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A7274F">
      <w:pPr>
        <w:spacing w:line="360" w:lineRule="auto"/>
        <w:jc w:val="center"/>
        <w:rPr>
          <w:rFonts w:hint="eastAsia" w:ascii="宋体" w:hAnsi="宋体" w:eastAsia="宋体" w:cs="宋体"/>
          <w:b/>
          <w:color w:val="000000"/>
          <w:sz w:val="96"/>
          <w:szCs w:val="96"/>
        </w:rPr>
      </w:pPr>
    </w:p>
    <w:p w14:paraId="12BEC9C9">
      <w:pPr>
        <w:spacing w:line="360" w:lineRule="auto"/>
        <w:jc w:val="center"/>
        <w:rPr>
          <w:rFonts w:ascii="宋体" w:hAnsi="宋体" w:eastAsia="宋体" w:cs="宋体"/>
          <w:b/>
          <w:color w:val="000000"/>
          <w:sz w:val="84"/>
          <w:szCs w:val="84"/>
        </w:rPr>
      </w:pPr>
      <w:r>
        <w:rPr>
          <w:rFonts w:hint="eastAsia" w:ascii="宋体" w:hAnsi="宋体" w:eastAsia="宋体" w:cs="宋体"/>
          <w:b/>
          <w:color w:val="000000"/>
          <w:sz w:val="96"/>
          <w:szCs w:val="96"/>
        </w:rPr>
        <w:t>竞争性磋商文件</w:t>
      </w:r>
    </w:p>
    <w:p w14:paraId="7883676D">
      <w:pPr>
        <w:pStyle w:val="2"/>
        <w:rPr>
          <w:rFonts w:hint="eastAsia" w:ascii="宋体" w:hAnsi="宋体" w:eastAsia="宋体" w:cs="宋体"/>
          <w:b/>
          <w:bCs/>
          <w:color w:val="000000"/>
          <w:sz w:val="32"/>
          <w:szCs w:val="32"/>
        </w:rPr>
      </w:pPr>
    </w:p>
    <w:p w14:paraId="7CE3A275">
      <w:pPr>
        <w:rPr>
          <w:rFonts w:hint="eastAsia"/>
        </w:rPr>
      </w:pPr>
    </w:p>
    <w:p w14:paraId="7971EFFA">
      <w:pPr>
        <w:pStyle w:val="2"/>
        <w:rPr>
          <w:rFonts w:hint="eastAsia"/>
        </w:rPr>
      </w:pPr>
    </w:p>
    <w:p w14:paraId="65970B8E">
      <w:pPr>
        <w:rPr>
          <w:rFonts w:hint="eastAsia" w:ascii="宋体" w:hAnsi="宋体" w:eastAsia="宋体" w:cs="宋体"/>
          <w:b/>
          <w:bCs/>
          <w:color w:val="000000"/>
          <w:sz w:val="32"/>
          <w:szCs w:val="32"/>
        </w:rPr>
      </w:pPr>
    </w:p>
    <w:p w14:paraId="6B979468">
      <w:pPr>
        <w:pStyle w:val="2"/>
        <w:rPr>
          <w:rFonts w:hint="eastAsia"/>
        </w:rPr>
      </w:pPr>
    </w:p>
    <w:p w14:paraId="2DB88DE7">
      <w:pPr>
        <w:keepNext w:val="0"/>
        <w:keepLines w:val="0"/>
        <w:pageBreakBefore w:val="0"/>
        <w:widowControl w:val="0"/>
        <w:spacing w:line="360" w:lineRule="auto"/>
        <w:ind w:right="0" w:firstLine="964"/>
        <w:outlineLvl w:val="9"/>
        <w:rPr>
          <w:rFonts w:hint="eastAsia" w:ascii="宋体" w:hAnsi="宋体" w:eastAsia="宋体" w:cs="宋体"/>
          <w:color w:val="000000"/>
          <w:sz w:val="32"/>
          <w:szCs w:val="32"/>
          <w:lang w:eastAsia="zh-CN"/>
        </w:rPr>
      </w:pPr>
      <w:r>
        <w:rPr>
          <w:rFonts w:hint="eastAsia" w:ascii="宋体" w:hAnsi="宋体" w:eastAsia="宋体" w:cs="宋体"/>
          <w:b/>
          <w:bCs/>
          <w:color w:val="000000"/>
          <w:sz w:val="32"/>
          <w:szCs w:val="32"/>
        </w:rPr>
        <w:t>项目编号：</w:t>
      </w:r>
      <w:r>
        <w:rPr>
          <w:rFonts w:hint="eastAsia" w:ascii="宋体" w:hAnsi="宋体" w:eastAsia="宋体" w:cs="宋体"/>
          <w:color w:val="000000"/>
          <w:sz w:val="32"/>
          <w:szCs w:val="32"/>
          <w:lang w:eastAsia="zh-CN"/>
        </w:rPr>
        <w:t>JSZC-320312-JSZH-C2026-0076</w:t>
      </w:r>
    </w:p>
    <w:p w14:paraId="71246600">
      <w:pPr>
        <w:keepNext w:val="0"/>
        <w:keepLines w:val="0"/>
        <w:pageBreakBefore w:val="0"/>
        <w:widowControl w:val="0"/>
        <w:spacing w:after="0" w:line="360" w:lineRule="auto"/>
        <w:ind w:left="420" w:right="0"/>
        <w:jc w:val="center"/>
        <w:outlineLvl w:val="9"/>
        <w:rPr>
          <w:rFonts w:hint="default" w:ascii="宋体" w:hAnsi="宋体" w:eastAsia="宋体" w:cs="宋体"/>
          <w:color w:val="000000"/>
          <w:sz w:val="32"/>
          <w:szCs w:val="32"/>
          <w:lang w:val="en-US" w:eastAsia="zh-CN" w:bidi="ar-SA"/>
        </w:rPr>
      </w:pPr>
    </w:p>
    <w:p w14:paraId="279830CC">
      <w:pPr>
        <w:keepNext w:val="0"/>
        <w:keepLines w:val="0"/>
        <w:pageBreakBefore w:val="0"/>
        <w:widowControl w:val="0"/>
        <w:spacing w:line="360" w:lineRule="auto"/>
        <w:ind w:right="0" w:firstLine="964"/>
        <w:outlineLvl w:val="9"/>
        <w:rPr>
          <w:rFonts w:hint="eastAsia" w:ascii="宋体" w:hAnsi="宋体" w:eastAsia="宋体" w:cs="宋体"/>
          <w:color w:val="000000"/>
          <w:sz w:val="32"/>
          <w:szCs w:val="32"/>
          <w:lang w:eastAsia="zh-CN"/>
        </w:rPr>
      </w:pPr>
      <w:r>
        <w:rPr>
          <w:rFonts w:hint="eastAsia" w:ascii="宋体" w:hAnsi="宋体" w:eastAsia="宋体" w:cs="宋体"/>
          <w:b/>
          <w:bCs/>
          <w:color w:val="000000"/>
          <w:sz w:val="32"/>
          <w:szCs w:val="32"/>
        </w:rPr>
        <w:t>项目名称：</w:t>
      </w:r>
      <w:r>
        <w:rPr>
          <w:rFonts w:hint="eastAsia" w:ascii="宋体" w:hAnsi="宋体" w:eastAsia="宋体" w:cs="宋体"/>
          <w:color w:val="000000"/>
          <w:sz w:val="32"/>
          <w:szCs w:val="32"/>
          <w:lang w:eastAsia="zh-CN"/>
        </w:rPr>
        <w:t>铜山区成品油税控联网监管系统项目</w:t>
      </w:r>
    </w:p>
    <w:p w14:paraId="15778D2F">
      <w:pPr>
        <w:keepNext w:val="0"/>
        <w:keepLines w:val="0"/>
        <w:pageBreakBefore w:val="0"/>
        <w:widowControl w:val="0"/>
        <w:spacing w:after="0" w:line="360" w:lineRule="auto"/>
        <w:ind w:left="420" w:right="0"/>
        <w:jc w:val="center"/>
        <w:outlineLvl w:val="9"/>
        <w:rPr>
          <w:rFonts w:hint="default" w:ascii="宋体" w:hAnsi="宋体" w:eastAsia="宋体" w:cs="宋体"/>
          <w:color w:val="000000"/>
          <w:sz w:val="32"/>
          <w:szCs w:val="32"/>
          <w:lang w:val="en-US" w:eastAsia="zh-CN" w:bidi="ar-SA"/>
        </w:rPr>
      </w:pPr>
    </w:p>
    <w:p w14:paraId="6E6BE55E">
      <w:pPr>
        <w:keepNext w:val="0"/>
        <w:keepLines w:val="0"/>
        <w:pageBreakBefore w:val="0"/>
        <w:widowControl w:val="0"/>
        <w:spacing w:line="360" w:lineRule="auto"/>
        <w:ind w:right="0"/>
        <w:outlineLvl w:val="9"/>
        <w:rPr>
          <w:rFonts w:ascii="宋体" w:hAnsi="宋体" w:eastAsia="宋体" w:cs="宋体"/>
          <w:b/>
          <w:color w:val="000000"/>
          <w:szCs w:val="21"/>
        </w:rPr>
      </w:pPr>
      <w:r>
        <w:rPr>
          <w:rFonts w:hint="eastAsia" w:ascii="宋体" w:hAnsi="宋体" w:eastAsia="宋体" w:cs="宋体"/>
          <w:b/>
          <w:bCs/>
          <w:color w:val="000000"/>
          <w:sz w:val="32"/>
          <w:szCs w:val="32"/>
          <w:lang w:val="en-US" w:eastAsia="zh-CN"/>
        </w:rPr>
        <w:t xml:space="preserve">      </w:t>
      </w:r>
      <w:r>
        <w:rPr>
          <w:rFonts w:hint="eastAsia" w:ascii="宋体" w:hAnsi="宋体" w:eastAsia="宋体" w:cs="宋体"/>
          <w:b/>
          <w:bCs/>
          <w:color w:val="000000"/>
          <w:sz w:val="32"/>
          <w:szCs w:val="32"/>
        </w:rPr>
        <w:t>采购单位：</w:t>
      </w:r>
      <w:r>
        <w:rPr>
          <w:rFonts w:hint="eastAsia" w:ascii="宋体" w:hAnsi="宋体" w:eastAsia="宋体" w:cs="宋体"/>
          <w:color w:val="000000"/>
          <w:sz w:val="32"/>
          <w:szCs w:val="32"/>
          <w:lang w:eastAsia="zh-CN"/>
        </w:rPr>
        <w:t>徐州市铜山区财政局</w:t>
      </w:r>
    </w:p>
    <w:p w14:paraId="729DCA0A">
      <w:pPr>
        <w:widowControl w:val="0"/>
        <w:ind w:left="420" w:right="33"/>
        <w:jc w:val="left"/>
        <w:rPr>
          <w:rFonts w:hint="default" w:ascii="宋体" w:hAnsi="宋体" w:eastAsia="宋体" w:cs="宋体"/>
          <w:b/>
          <w:color w:val="000000"/>
          <w:sz w:val="24"/>
          <w:szCs w:val="21"/>
          <w:lang w:val="en-US" w:eastAsia="zh-CN" w:bidi="ar-SA"/>
        </w:rPr>
      </w:pPr>
    </w:p>
    <w:p w14:paraId="5439CF02">
      <w:pPr>
        <w:widowControl w:val="0"/>
        <w:ind w:left="420" w:right="33"/>
        <w:jc w:val="center"/>
        <w:rPr>
          <w:rFonts w:hint="eastAsia" w:ascii="宋体" w:hAnsi="宋体" w:eastAsia="宋体" w:cs="宋体"/>
          <w:sz w:val="28"/>
          <w:szCs w:val="28"/>
          <w:lang w:val="en-US" w:eastAsia="zh-CN" w:bidi="ar-SA"/>
        </w:rPr>
      </w:pPr>
    </w:p>
    <w:p w14:paraId="2B98DF61">
      <w:pPr>
        <w:widowControl w:val="0"/>
        <w:ind w:left="420" w:right="33"/>
        <w:jc w:val="center"/>
        <w:rPr>
          <w:rFonts w:hint="eastAsia" w:ascii="宋体" w:hAnsi="宋体" w:eastAsia="宋体" w:cs="宋体"/>
          <w:sz w:val="28"/>
          <w:szCs w:val="28"/>
          <w:lang w:val="en-US" w:eastAsia="zh-CN" w:bidi="ar-SA"/>
        </w:rPr>
      </w:pPr>
    </w:p>
    <w:p w14:paraId="653E5203">
      <w:pPr>
        <w:widowControl w:val="0"/>
        <w:ind w:left="420" w:right="33"/>
        <w:jc w:val="center"/>
        <w:rPr>
          <w:rFonts w:hint="eastAsia" w:ascii="宋体" w:hAnsi="宋体" w:eastAsia="宋体" w:cs="宋体"/>
          <w:sz w:val="28"/>
          <w:szCs w:val="28"/>
          <w:lang w:val="en-US" w:eastAsia="zh-CN" w:bidi="ar-SA"/>
        </w:rPr>
      </w:pPr>
    </w:p>
    <w:p w14:paraId="613F098E">
      <w:pPr>
        <w:widowControl w:val="0"/>
        <w:ind w:left="420" w:right="33"/>
        <w:jc w:val="center"/>
        <w:rPr>
          <w:rFonts w:hint="eastAsia" w:ascii="宋体" w:hAnsi="宋体" w:eastAsia="宋体" w:cs="宋体"/>
          <w:sz w:val="28"/>
          <w:szCs w:val="28"/>
          <w:lang w:val="en-US" w:eastAsia="zh-CN" w:bidi="ar-SA"/>
        </w:rPr>
      </w:pPr>
    </w:p>
    <w:p w14:paraId="4F0B421F">
      <w:pPr>
        <w:widowControl w:val="0"/>
        <w:ind w:left="420" w:right="33"/>
        <w:jc w:val="center"/>
        <w:rPr>
          <w:rFonts w:hint="default" w:ascii="宋体" w:hAnsi="宋体" w:eastAsia="宋体" w:cs="宋体"/>
          <w:b/>
          <w:color w:val="000000"/>
          <w:sz w:val="24"/>
          <w:szCs w:val="21"/>
          <w:lang w:val="en-US" w:eastAsia="zh-CN" w:bidi="ar-SA"/>
        </w:rPr>
      </w:pPr>
    </w:p>
    <w:p w14:paraId="159499ED">
      <w:pPr>
        <w:widowControl w:val="0"/>
        <w:ind w:left="420" w:right="33"/>
        <w:jc w:val="left"/>
        <w:rPr>
          <w:rFonts w:hint="default" w:ascii="宋体" w:hAnsi="宋体" w:eastAsia="宋体" w:cs="宋体"/>
          <w:b/>
          <w:color w:val="000000"/>
          <w:sz w:val="24"/>
          <w:szCs w:val="21"/>
          <w:lang w:val="en-US" w:eastAsia="zh-CN" w:bidi="ar-SA"/>
        </w:rPr>
      </w:pPr>
    </w:p>
    <w:p w14:paraId="7699EF3B">
      <w:pPr>
        <w:widowControl w:val="0"/>
        <w:jc w:val="both"/>
        <w:rPr>
          <w:rFonts w:hint="default" w:ascii="宋体" w:hAnsi="宋体" w:eastAsia="宋体" w:cs="宋体"/>
          <w:color w:val="000000"/>
          <w:sz w:val="21"/>
          <w:szCs w:val="24"/>
          <w:lang w:val="en-US" w:eastAsia="zh-CN" w:bidi="ar-SA"/>
        </w:rPr>
      </w:pPr>
    </w:p>
    <w:p w14:paraId="1FA721BA">
      <w:pPr>
        <w:jc w:val="center"/>
        <w:rPr>
          <w:rFonts w:hint="default" w:ascii="宋体" w:hAnsi="宋体" w:eastAsia="宋体" w:cs="宋体"/>
          <w:b/>
          <w:color w:val="000000"/>
          <w:sz w:val="32"/>
          <w:szCs w:val="20"/>
          <w:lang w:val="en-US" w:eastAsia="zh-CN" w:bidi="ar-SA"/>
        </w:rPr>
      </w:pPr>
      <w:r>
        <w:rPr>
          <w:rFonts w:hint="eastAsia" w:ascii="宋体" w:hAnsi="宋体" w:eastAsia="宋体" w:cs="宋体"/>
          <w:color w:val="000000"/>
          <w:sz w:val="32"/>
        </w:rPr>
        <w:tab/>
      </w:r>
    </w:p>
    <w:p w14:paraId="1E7A469A">
      <w:pPr>
        <w:widowControl w:val="0"/>
        <w:ind w:left="420" w:right="33"/>
        <w:jc w:val="left"/>
        <w:rPr>
          <w:rFonts w:hint="default" w:ascii="宋体" w:hAnsi="宋体" w:eastAsia="宋体" w:cs="宋体"/>
          <w:b/>
          <w:color w:val="000000"/>
          <w:sz w:val="32"/>
          <w:szCs w:val="20"/>
          <w:lang w:val="en-US" w:eastAsia="zh-CN" w:bidi="ar-SA"/>
        </w:rPr>
      </w:pPr>
    </w:p>
    <w:p w14:paraId="70FE9B81">
      <w:pPr>
        <w:spacing w:line="360" w:lineRule="auto"/>
        <w:rPr>
          <w:rFonts w:hint="default" w:ascii="宋体" w:hAnsi="宋体" w:eastAsia="宋体" w:cs="宋体"/>
          <w:b/>
          <w:color w:val="000000"/>
          <w:sz w:val="32"/>
          <w:lang w:val="en-US" w:eastAsia="zh-CN"/>
        </w:rPr>
      </w:pPr>
      <w:r>
        <w:rPr>
          <w:rFonts w:hint="eastAsia" w:ascii="宋体" w:hAnsi="宋体" w:eastAsia="宋体" w:cs="宋体"/>
          <w:b/>
          <w:color w:val="000000"/>
          <w:sz w:val="32"/>
        </w:rPr>
        <w:t xml:space="preserve">      </w:t>
      </w:r>
      <w:r>
        <w:rPr>
          <w:rFonts w:hint="eastAsia" w:ascii="宋体" w:hAnsi="宋体" w:eastAsia="宋体" w:cs="宋体"/>
          <w:b/>
          <w:color w:val="000000"/>
          <w:sz w:val="32"/>
          <w:lang w:val="en-US" w:eastAsia="zh-CN"/>
        </w:rPr>
        <w:t xml:space="preserve">  </w:t>
      </w:r>
      <w:r>
        <w:rPr>
          <w:rFonts w:hint="eastAsia" w:ascii="宋体" w:hAnsi="宋体" w:eastAsia="宋体" w:cs="宋体"/>
          <w:b/>
          <w:color w:val="000000"/>
          <w:sz w:val="32"/>
        </w:rPr>
        <w:t>代理机构：</w:t>
      </w:r>
      <w:r>
        <w:rPr>
          <w:rFonts w:hint="eastAsia" w:ascii="宋体" w:hAnsi="宋体" w:eastAsia="宋体" w:cs="宋体"/>
          <w:b/>
          <w:color w:val="000000"/>
          <w:sz w:val="32"/>
          <w:lang w:eastAsia="zh-CN"/>
        </w:rPr>
        <w:t>江苏</w:t>
      </w:r>
      <w:r>
        <w:rPr>
          <w:rFonts w:hint="eastAsia" w:ascii="宋体" w:hAnsi="宋体" w:eastAsia="宋体" w:cs="宋体"/>
          <w:b/>
          <w:color w:val="000000"/>
          <w:sz w:val="32"/>
          <w:lang w:val="en-US" w:eastAsia="zh-CN"/>
        </w:rPr>
        <w:t>智汇锡建工程项目管理有限公司</w:t>
      </w:r>
    </w:p>
    <w:p w14:paraId="1264E2A5">
      <w:pPr>
        <w:spacing w:line="360" w:lineRule="auto"/>
        <w:jc w:val="center"/>
        <w:rPr>
          <w:rFonts w:ascii="宋体" w:hAnsi="宋体" w:eastAsia="宋体" w:cs="宋体"/>
          <w:b/>
          <w:color w:val="000000"/>
          <w:sz w:val="32"/>
        </w:rPr>
      </w:pPr>
      <w:r>
        <w:rPr>
          <w:rFonts w:hint="eastAsia" w:ascii="宋体" w:hAnsi="宋体" w:eastAsia="宋体" w:cs="宋体"/>
          <w:b/>
          <w:color w:val="000000"/>
          <w:sz w:val="32"/>
        </w:rPr>
        <w:t>二〇二</w:t>
      </w:r>
      <w:r>
        <w:rPr>
          <w:rFonts w:hint="eastAsia" w:ascii="宋体" w:hAnsi="宋体" w:eastAsia="宋体" w:cs="宋体"/>
          <w:b/>
          <w:color w:val="000000"/>
          <w:sz w:val="32"/>
          <w:lang w:val="en-US" w:eastAsia="zh-CN"/>
        </w:rPr>
        <w:t>六</w:t>
      </w:r>
      <w:r>
        <w:rPr>
          <w:rFonts w:hint="eastAsia" w:ascii="宋体" w:hAnsi="宋体" w:eastAsia="宋体" w:cs="宋体"/>
          <w:b/>
          <w:color w:val="000000"/>
          <w:sz w:val="32"/>
        </w:rPr>
        <w:t>年</w:t>
      </w:r>
      <w:r>
        <w:rPr>
          <w:rFonts w:hint="eastAsia" w:ascii="宋体" w:hAnsi="宋体" w:eastAsia="宋体" w:cs="宋体"/>
          <w:b/>
          <w:color w:val="000000"/>
          <w:sz w:val="32"/>
          <w:lang w:val="en-US" w:eastAsia="zh-CN"/>
        </w:rPr>
        <w:t>九</w:t>
      </w:r>
      <w:r>
        <w:rPr>
          <w:rFonts w:hint="eastAsia" w:ascii="宋体" w:hAnsi="宋体" w:eastAsia="宋体" w:cs="宋体"/>
          <w:b/>
          <w:color w:val="000000"/>
          <w:sz w:val="32"/>
        </w:rPr>
        <w:t>月</w:t>
      </w:r>
    </w:p>
    <w:p w14:paraId="2EC6670A">
      <w:pPr>
        <w:jc w:val="center"/>
        <w:rPr>
          <w:rFonts w:hint="eastAsia" w:ascii="宋体" w:hAnsi="宋体" w:cs="宋体"/>
          <w:b/>
          <w:color w:val="000000"/>
          <w:sz w:val="36"/>
        </w:rPr>
        <w:sectPr>
          <w:footerReference r:id="rId4" w:type="first"/>
          <w:footerReference r:id="rId3" w:type="default"/>
          <w:pgSz w:w="11906" w:h="16838"/>
          <w:pgMar w:top="1134" w:right="1797" w:bottom="1134" w:left="1797" w:header="851" w:footer="992" w:gutter="0"/>
          <w:cols w:space="1701" w:num="1"/>
          <w:titlePg/>
          <w:docGrid w:linePitch="360" w:charSpace="0"/>
        </w:sectPr>
      </w:pPr>
    </w:p>
    <w:p w14:paraId="45740C5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imes New Roman" w:hAnsi="Times New Roman" w:eastAsia="宋体" w:cs="Times New Roman"/>
        </w:rPr>
      </w:pPr>
      <w:r>
        <w:rPr>
          <w:rFonts w:hint="default" w:ascii="宋体" w:hAnsi="宋体" w:eastAsia="宋体" w:cs="宋体"/>
          <w:b/>
          <w:color w:val="000000"/>
          <w:sz w:val="36"/>
        </w:rPr>
        <w:t>竞争性磋商文件</w:t>
      </w:r>
    </w:p>
    <w:p w14:paraId="7FA690F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ascii="Times New Roman" w:hAnsi="Times New Roman" w:eastAsia="宋体" w:cs="Times New Roman"/>
          <w:lang w:eastAsia="zh-CN"/>
        </w:rPr>
      </w:pPr>
      <w:r>
        <w:rPr>
          <w:rFonts w:hint="default" w:ascii="宋体" w:hAnsi="宋体" w:eastAsia="宋体" w:cs="宋体"/>
          <w:color w:val="000000"/>
          <w:sz w:val="24"/>
        </w:rPr>
        <w:t>项目编号：</w:t>
      </w:r>
      <w:r>
        <w:rPr>
          <w:rFonts w:hint="eastAsia" w:ascii="宋体" w:hAnsi="宋体" w:eastAsia="宋体" w:cs="宋体"/>
          <w:color w:val="000000"/>
          <w:sz w:val="24"/>
          <w:lang w:eastAsia="zh-CN"/>
        </w:rPr>
        <w:t>JSZC-320312-JSZH-C2026-0076</w:t>
      </w:r>
    </w:p>
    <w:p w14:paraId="7A26110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u w:val="single"/>
        </w:rPr>
        <w:t>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w:t>
      </w:r>
      <w:r>
        <w:rPr>
          <w:rFonts w:hint="default" w:ascii="宋体" w:hAnsi="宋体" w:eastAsia="宋体" w:cs="宋体"/>
          <w:color w:val="000000"/>
          <w:sz w:val="24"/>
        </w:rPr>
        <w:t>（供应商）：</w:t>
      </w:r>
    </w:p>
    <w:p w14:paraId="28AF0CD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按照《中华人民共和国政府采购法》、《中华人民共和国政府采购法实施条例》及《政府采购竞争性磋商采购方式管理暂行办法》的规定，</w:t>
      </w:r>
      <w:r>
        <w:rPr>
          <w:rFonts w:hint="eastAsia" w:ascii="宋体" w:hAnsi="宋体" w:eastAsia="宋体" w:cs="宋体"/>
          <w:color w:val="000000"/>
          <w:sz w:val="24"/>
          <w:lang w:eastAsia="zh-CN"/>
        </w:rPr>
        <w:t>江苏智汇锡建工程项目管理有限公司</w:t>
      </w:r>
      <w:r>
        <w:rPr>
          <w:rFonts w:hint="default" w:ascii="宋体" w:hAnsi="宋体" w:eastAsia="宋体" w:cs="宋体"/>
          <w:color w:val="000000"/>
          <w:sz w:val="24"/>
        </w:rPr>
        <w:t>对</w:t>
      </w:r>
      <w:r>
        <w:rPr>
          <w:rFonts w:hint="eastAsia" w:ascii="宋体" w:hAnsi="宋体" w:eastAsia="宋体" w:cs="宋体"/>
          <w:color w:val="000000"/>
          <w:sz w:val="24"/>
          <w:lang w:eastAsia="zh-CN"/>
        </w:rPr>
        <w:t>铜山区成品油税控联网监管系统项目</w:t>
      </w:r>
      <w:r>
        <w:rPr>
          <w:rFonts w:hint="default" w:ascii="宋体" w:hAnsi="宋体" w:eastAsia="宋体" w:cs="宋体"/>
          <w:color w:val="000000"/>
          <w:sz w:val="24"/>
        </w:rPr>
        <w:t>采取竞争性磋商采购方式进行采购。如贵单位有意与本公司合作，请按以下竞争性磋商文件（以下简称磋商文件）要求参加磋商。</w:t>
      </w:r>
    </w:p>
    <w:p w14:paraId="18B4692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Times New Roman" w:hAnsi="Times New Roman" w:eastAsia="宋体" w:cs="Times New Roman"/>
        </w:rPr>
      </w:pPr>
      <w:r>
        <w:rPr>
          <w:rFonts w:hint="default" w:ascii="宋体" w:hAnsi="宋体" w:eastAsia="宋体" w:cs="宋体"/>
          <w:color w:val="000000"/>
          <w:sz w:val="28"/>
        </w:rPr>
        <w:t> </w:t>
      </w:r>
    </w:p>
    <w:p w14:paraId="0D802AB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Times New Roman" w:hAnsi="Times New Roman" w:eastAsia="宋体" w:cs="Times New Roman"/>
        </w:rPr>
      </w:pPr>
      <w:r>
        <w:rPr>
          <w:rFonts w:hint="default" w:ascii="宋体" w:hAnsi="宋体" w:eastAsia="宋体" w:cs="宋体"/>
          <w:color w:val="000000"/>
          <w:sz w:val="28"/>
        </w:rPr>
        <w:t>第一章 项目说明</w:t>
      </w:r>
    </w:p>
    <w:p w14:paraId="2BE5973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w:t>
      </w:r>
    </w:p>
    <w:p w14:paraId="08E903F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ascii="Times New Roman" w:hAnsi="Times New Roman" w:eastAsia="宋体" w:cs="Times New Roman"/>
          <w:lang w:eastAsia="zh-CN"/>
        </w:rPr>
      </w:pPr>
      <w:r>
        <w:rPr>
          <w:rFonts w:hint="default" w:ascii="宋体" w:hAnsi="宋体" w:eastAsia="宋体" w:cs="宋体"/>
          <w:color w:val="000000"/>
          <w:sz w:val="24"/>
        </w:rPr>
        <w:t>一、采</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购</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人：</w:t>
      </w:r>
      <w:r>
        <w:rPr>
          <w:rFonts w:hint="eastAsia" w:ascii="宋体" w:hAnsi="宋体" w:eastAsia="宋体" w:cs="宋体"/>
          <w:color w:val="000000"/>
          <w:sz w:val="24"/>
          <w:lang w:eastAsia="zh-CN"/>
        </w:rPr>
        <w:t>徐州市铜山区财政局</w:t>
      </w:r>
    </w:p>
    <w:p w14:paraId="0FEF344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ascii="Times New Roman" w:hAnsi="Times New Roman" w:eastAsia="宋体" w:cs="Times New Roman"/>
          <w:lang w:eastAsia="zh-CN"/>
        </w:rPr>
      </w:pPr>
      <w:r>
        <w:rPr>
          <w:rFonts w:hint="default" w:ascii="宋体" w:hAnsi="宋体" w:eastAsia="宋体" w:cs="宋体"/>
          <w:color w:val="000000"/>
          <w:sz w:val="24"/>
        </w:rPr>
        <w:t>二、项目名称：</w:t>
      </w:r>
      <w:r>
        <w:rPr>
          <w:rFonts w:hint="eastAsia" w:ascii="宋体" w:hAnsi="宋体" w:eastAsia="宋体" w:cs="宋体"/>
          <w:color w:val="000000"/>
          <w:sz w:val="24"/>
          <w:lang w:eastAsia="zh-CN"/>
        </w:rPr>
        <w:t>铜山区成品油税控联网监管系统项目</w:t>
      </w:r>
    </w:p>
    <w:p w14:paraId="04DE2D4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ascii="Times New Roman" w:hAnsi="Times New Roman" w:eastAsia="宋体" w:cs="Times New Roman"/>
          <w:lang w:eastAsia="zh-CN"/>
        </w:rPr>
      </w:pPr>
      <w:r>
        <w:rPr>
          <w:rFonts w:hint="default" w:ascii="宋体" w:hAnsi="宋体" w:eastAsia="宋体" w:cs="宋体"/>
          <w:color w:val="000000"/>
          <w:sz w:val="24"/>
        </w:rPr>
        <w:t>三、项目编号：</w:t>
      </w:r>
      <w:r>
        <w:rPr>
          <w:rFonts w:hint="eastAsia" w:ascii="宋体" w:hAnsi="宋体" w:eastAsia="宋体" w:cs="宋体"/>
          <w:color w:val="000000"/>
          <w:sz w:val="24"/>
          <w:lang w:eastAsia="zh-CN"/>
        </w:rPr>
        <w:t>JSZC-320312-JSZH-C2026-0076</w:t>
      </w:r>
    </w:p>
    <w:p w14:paraId="21AEEF6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四、采购邀请：通过发布公告的方式邀请符合相应资格条件的供应商参与竞争性磋商采购活动。</w:t>
      </w:r>
    </w:p>
    <w:p w14:paraId="0FBF6D1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五、采购方式：本项目采用竞争性磋商采购方式。</w:t>
      </w:r>
    </w:p>
    <w:p w14:paraId="6B1F307C">
      <w:pPr>
        <w:pBdr>
          <w:top w:val="none" w:color="000000" w:sz="0" w:space="0"/>
          <w:left w:val="none" w:color="000000" w:sz="0" w:space="0"/>
          <w:bottom w:val="none" w:color="000000" w:sz="0" w:space="0"/>
          <w:right w:val="none" w:color="000000" w:sz="0" w:space="0"/>
        </w:pBdr>
        <w:spacing w:before="0" w:after="0" w:line="400" w:lineRule="atLeast"/>
        <w:ind w:left="0" w:right="0" w:firstLine="480"/>
        <w:jc w:val="left"/>
        <w:rPr>
          <w:rFonts w:hint="default" w:ascii="Times New Roman" w:hAnsi="Times New Roman" w:eastAsia="宋体" w:cs="Times New Roman"/>
        </w:rPr>
      </w:pPr>
      <w:r>
        <w:rPr>
          <w:rFonts w:hint="default" w:ascii="宋体" w:hAnsi="宋体" w:eastAsia="宋体" w:cs="宋体"/>
          <w:color w:val="000000"/>
          <w:sz w:val="24"/>
        </w:rPr>
        <w:t>六、供应商资格条件：见竞争性磋商公告（项目编号：</w:t>
      </w:r>
      <w:r>
        <w:rPr>
          <w:rFonts w:hint="eastAsia" w:ascii="宋体" w:hAnsi="宋体" w:eastAsia="宋体" w:cs="宋体"/>
          <w:color w:val="000000"/>
          <w:sz w:val="24"/>
          <w:lang w:eastAsia="zh-CN"/>
        </w:rPr>
        <w:t>JSZC-320312-JSZH-C2026-0076</w:t>
      </w:r>
      <w:r>
        <w:rPr>
          <w:rFonts w:hint="default" w:ascii="宋体" w:hAnsi="宋体" w:eastAsia="宋体" w:cs="宋体"/>
          <w:color w:val="000000"/>
          <w:sz w:val="24"/>
        </w:rPr>
        <w:t>）。</w:t>
      </w:r>
    </w:p>
    <w:p w14:paraId="6931CBB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七、采购预算（采购项目预算金额）：见《磋商文件》附件2、《项目要求（采购需求）》。</w:t>
      </w:r>
    </w:p>
    <w:p w14:paraId="7816BAD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八、采购需求：见《磋商文件》附件2、《项目要求（采购需求）》。</w:t>
      </w:r>
    </w:p>
    <w:p w14:paraId="13922B3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九、合同草案条款：见《磋商文件》附件8、《合同草案条款》。</w:t>
      </w:r>
    </w:p>
    <w:p w14:paraId="317E083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十、报价要求</w:t>
      </w:r>
    </w:p>
    <w:p w14:paraId="3E5235B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1、供应商报价为要约，</w:t>
      </w:r>
      <w:r>
        <w:rPr>
          <w:rFonts w:hint="eastAsia" w:ascii="宋体" w:hAnsi="宋体" w:eastAsia="宋体" w:cs="宋体"/>
          <w:color w:val="000000"/>
          <w:sz w:val="24"/>
          <w:lang w:eastAsia="zh-CN"/>
        </w:rPr>
        <w:t>江苏智汇锡建工程项目管理有限公司</w:t>
      </w:r>
      <w:r>
        <w:rPr>
          <w:rFonts w:hint="default" w:ascii="宋体" w:hAnsi="宋体" w:eastAsia="宋体" w:cs="宋体"/>
          <w:color w:val="000000"/>
          <w:sz w:val="24"/>
        </w:rPr>
        <w:t>无承诺表示时视为未成交，</w:t>
      </w:r>
      <w:r>
        <w:rPr>
          <w:rFonts w:hint="eastAsia" w:ascii="宋体" w:hAnsi="宋体" w:eastAsia="宋体" w:cs="宋体"/>
          <w:color w:val="000000"/>
          <w:sz w:val="24"/>
          <w:lang w:eastAsia="zh-CN"/>
        </w:rPr>
        <w:t>江苏智汇锡建工程项目管理有限公司</w:t>
      </w:r>
      <w:r>
        <w:rPr>
          <w:rFonts w:hint="default" w:ascii="宋体" w:hAnsi="宋体" w:eastAsia="宋体" w:cs="宋体"/>
          <w:color w:val="000000"/>
          <w:sz w:val="24"/>
        </w:rPr>
        <w:t>认为必要时可重新进行竞争性磋商采购或采取其它方式采购。</w:t>
      </w:r>
    </w:p>
    <w:p w14:paraId="52B66E6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2、按照《磋商报价表》要求填写首次报价。</w:t>
      </w:r>
    </w:p>
    <w:p w14:paraId="6B21B49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3、报价包含本项目范围内的全部费用。供应商有漏报或不报的，采购人将视为有关费用已包括在本项目的报价中而不予支付。采购人不支付报价以外的任何费用。</w:t>
      </w:r>
    </w:p>
    <w:p w14:paraId="2316475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Times New Roman" w:hAnsi="Times New Roman" w:eastAsia="宋体" w:cs="Times New Roman"/>
        </w:rPr>
      </w:pPr>
      <w:r>
        <w:rPr>
          <w:rFonts w:hint="default" w:ascii="宋体" w:hAnsi="宋体" w:eastAsia="宋体" w:cs="宋体"/>
          <w:color w:val="000000"/>
          <w:sz w:val="28"/>
        </w:rPr>
        <w:t> </w:t>
      </w:r>
    </w:p>
    <w:p w14:paraId="439D2FC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Times New Roman" w:hAnsi="Times New Roman" w:eastAsia="宋体" w:cs="Times New Roman"/>
        </w:rPr>
      </w:pPr>
      <w:r>
        <w:rPr>
          <w:rFonts w:hint="default" w:ascii="宋体" w:hAnsi="宋体" w:eastAsia="宋体" w:cs="宋体"/>
          <w:color w:val="000000"/>
          <w:sz w:val="28"/>
        </w:rPr>
        <w:t>第二章 磋商保证金</w:t>
      </w:r>
    </w:p>
    <w:p w14:paraId="7BF9B39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宋体" w:hAnsi="宋体" w:eastAsia="宋体" w:cs="宋体"/>
          <w:color w:val="000000"/>
          <w:sz w:val="24"/>
        </w:rPr>
      </w:pPr>
    </w:p>
    <w:p w14:paraId="02DF63F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十一、磋商保证金交纳数额和形式：不需交纳。</w:t>
      </w:r>
    </w:p>
    <w:p w14:paraId="307D7F1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Times New Roman" w:hAnsi="Times New Roman" w:eastAsia="宋体" w:cs="Times New Roman"/>
        </w:rPr>
      </w:pPr>
      <w:r>
        <w:rPr>
          <w:rFonts w:hint="default" w:ascii="宋体" w:hAnsi="宋体" w:eastAsia="宋体" w:cs="宋体"/>
          <w:color w:val="000000"/>
          <w:sz w:val="28"/>
        </w:rPr>
        <w:t> </w:t>
      </w:r>
    </w:p>
    <w:p w14:paraId="3060655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Times New Roman" w:hAnsi="Times New Roman" w:eastAsia="宋体" w:cs="Times New Roman"/>
        </w:rPr>
      </w:pPr>
      <w:r>
        <w:rPr>
          <w:rFonts w:hint="default" w:ascii="宋体" w:hAnsi="宋体" w:eastAsia="宋体" w:cs="宋体"/>
          <w:color w:val="000000"/>
          <w:sz w:val="28"/>
        </w:rPr>
        <w:t>第三章 响应文件</w:t>
      </w:r>
    </w:p>
    <w:p w14:paraId="4D4A759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宋体" w:hAnsi="宋体" w:eastAsia="宋体" w:cs="宋体"/>
          <w:color w:val="000000"/>
          <w:sz w:val="24"/>
        </w:rPr>
      </w:pPr>
      <w:r>
        <w:rPr>
          <w:rFonts w:hint="default" w:ascii="宋体" w:hAnsi="宋体" w:eastAsia="宋体" w:cs="宋体"/>
          <w:color w:val="000000"/>
          <w:sz w:val="24"/>
        </w:rPr>
        <w:t>十二、提交响应文件要求</w:t>
      </w:r>
    </w:p>
    <w:p w14:paraId="1BB8B5C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（一）本项目通过“苏采云”系统进行电子采购，即供应商响应文件从政府采购客户端工具制作并通过“苏采云”系统提交。</w:t>
      </w:r>
    </w:p>
    <w:p w14:paraId="57C0284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供应商应当通过“苏采云”系统提交数据电文形式的响应文件（即电子投标）。未进行线上响应文件提交并解密(因“苏采云”系统导致解密失败的除外)的供应商，响应无效。</w:t>
      </w:r>
    </w:p>
    <w:p w14:paraId="6BBDF8F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6DF618F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default" w:ascii="Times New Roman" w:hAnsi="Times New Roman" w:eastAsia="宋体" w:cs="Times New Roman"/>
        </w:rPr>
      </w:pPr>
      <w:r>
        <w:rPr>
          <w:rFonts w:hint="eastAsia" w:ascii="宋体" w:hAnsi="宋体" w:eastAsia="宋体" w:cs="宋体"/>
          <w:color w:val="000000"/>
          <w:sz w:val="24"/>
        </w:rPr>
        <w:t>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hint="default" w:ascii="宋体" w:hAnsi="宋体" w:eastAsia="宋体" w:cs="宋体"/>
          <w:color w:val="000000"/>
          <w:sz w:val="24"/>
        </w:rPr>
        <w:t>。</w:t>
      </w:r>
    </w:p>
    <w:p w14:paraId="48C8702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宋体" w:hAnsi="宋体" w:eastAsia="宋体" w:cs="宋体"/>
          <w:color w:val="000000"/>
          <w:sz w:val="24"/>
        </w:rPr>
      </w:pPr>
      <w:r>
        <w:rPr>
          <w:rFonts w:hint="default" w:ascii="宋体" w:hAnsi="宋体" w:eastAsia="宋体" w:cs="宋体"/>
          <w:color w:val="000000"/>
          <w:sz w:val="24"/>
        </w:rPr>
        <w:t>“苏采云”系统使用要求：</w:t>
      </w:r>
    </w:p>
    <w:p w14:paraId="661EC49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宋体" w:hAnsi="宋体" w:eastAsia="宋体" w:cs="宋体"/>
          <w:color w:val="000000"/>
          <w:sz w:val="24"/>
        </w:rPr>
      </w:pPr>
      <w:r>
        <w:rPr>
          <w:rFonts w:hint="default" w:ascii="宋体" w:hAnsi="宋体" w:eastAsia="宋体" w:cs="宋体"/>
          <w:color w:val="000000"/>
          <w:sz w:val="24"/>
        </w:rPr>
        <w:t>1、使用谷歌浏览器参与不见面开标及磋商环节。</w:t>
      </w:r>
    </w:p>
    <w:p w14:paraId="05C22DB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宋体" w:hAnsi="宋体" w:eastAsia="宋体" w:cs="宋体"/>
          <w:color w:val="000000"/>
          <w:sz w:val="24"/>
        </w:rPr>
      </w:pPr>
      <w:r>
        <w:rPr>
          <w:rFonts w:hint="default" w:ascii="宋体" w:hAnsi="宋体" w:eastAsia="宋体" w:cs="宋体"/>
          <w:color w:val="000000"/>
          <w:sz w:val="24"/>
        </w:rPr>
        <w:t>2、电脑需提前准备好麦克风、音响，摄像头，提前检查保证能够正常使用。</w:t>
      </w:r>
    </w:p>
    <w:p w14:paraId="7664F56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宋体" w:hAnsi="宋体" w:eastAsia="宋体" w:cs="宋体"/>
          <w:color w:val="000000"/>
          <w:sz w:val="24"/>
        </w:rPr>
      </w:pPr>
      <w:r>
        <w:rPr>
          <w:rFonts w:hint="default" w:ascii="宋体" w:hAnsi="宋体" w:eastAsia="宋体" w:cs="宋体"/>
          <w:color w:val="000000"/>
          <w:sz w:val="24"/>
        </w:rPr>
        <w:t>3、操作系统至少win7以上，建议使用win10操作系统。</w:t>
      </w:r>
    </w:p>
    <w:p w14:paraId="6FF14FD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宋体" w:hAnsi="宋体" w:eastAsia="宋体" w:cs="宋体"/>
          <w:color w:val="000000"/>
          <w:sz w:val="24"/>
        </w:rPr>
      </w:pPr>
      <w:r>
        <w:rPr>
          <w:rFonts w:hint="default" w:ascii="宋体" w:hAnsi="宋体" w:eastAsia="宋体" w:cs="宋体"/>
          <w:b/>
          <w:bCs/>
          <w:color w:val="000000"/>
          <w:sz w:val="24"/>
        </w:rPr>
        <w:t>（二）首次响应文件提交的截止时间：2026年</w:t>
      </w:r>
      <w:r>
        <w:rPr>
          <w:rFonts w:hint="eastAsia" w:ascii="宋体" w:hAnsi="宋体" w:eastAsia="宋体" w:cs="宋体"/>
          <w:b/>
          <w:bCs/>
          <w:color w:val="000000"/>
          <w:sz w:val="24"/>
          <w:lang w:val="en-US" w:eastAsia="zh-CN"/>
        </w:rPr>
        <w:t>9</w:t>
      </w:r>
      <w:r>
        <w:rPr>
          <w:rFonts w:hint="default" w:ascii="宋体" w:hAnsi="宋体" w:eastAsia="宋体" w:cs="宋体"/>
          <w:b/>
          <w:bCs/>
          <w:color w:val="000000"/>
          <w:sz w:val="24"/>
        </w:rPr>
        <w:t>月</w:t>
      </w:r>
      <w:r>
        <w:rPr>
          <w:rFonts w:hint="eastAsia" w:ascii="宋体" w:hAnsi="宋体" w:eastAsia="宋体" w:cs="宋体"/>
          <w:b/>
          <w:bCs/>
          <w:color w:val="000000"/>
          <w:sz w:val="24"/>
          <w:lang w:val="en-US" w:eastAsia="zh-CN"/>
        </w:rPr>
        <w:t>23</w:t>
      </w:r>
      <w:r>
        <w:rPr>
          <w:rFonts w:hint="default" w:ascii="宋体" w:hAnsi="宋体" w:eastAsia="宋体" w:cs="宋体"/>
          <w:b/>
          <w:bCs/>
          <w:color w:val="000000"/>
          <w:sz w:val="24"/>
        </w:rPr>
        <w:t>日</w:t>
      </w:r>
      <w:r>
        <w:rPr>
          <w:rFonts w:hint="eastAsia" w:ascii="宋体" w:hAnsi="宋体" w:eastAsia="宋体" w:cs="宋体"/>
          <w:b/>
          <w:bCs/>
          <w:color w:val="000000"/>
          <w:sz w:val="24"/>
          <w:lang w:val="en-US" w:eastAsia="zh-CN"/>
        </w:rPr>
        <w:t>10</w:t>
      </w:r>
      <w:r>
        <w:rPr>
          <w:rFonts w:hint="default" w:ascii="宋体" w:hAnsi="宋体" w:eastAsia="宋体" w:cs="宋体"/>
          <w:b/>
          <w:bCs/>
          <w:color w:val="000000"/>
          <w:sz w:val="24"/>
        </w:rPr>
        <w:t>:</w:t>
      </w:r>
      <w:r>
        <w:rPr>
          <w:rFonts w:hint="eastAsia" w:ascii="宋体" w:hAnsi="宋体" w:eastAsia="宋体" w:cs="宋体"/>
          <w:b/>
          <w:bCs/>
          <w:color w:val="000000"/>
          <w:sz w:val="24"/>
          <w:lang w:val="en-US" w:eastAsia="zh-CN"/>
        </w:rPr>
        <w:t>0</w:t>
      </w:r>
      <w:r>
        <w:rPr>
          <w:rFonts w:hint="default" w:ascii="宋体" w:hAnsi="宋体" w:eastAsia="宋体" w:cs="宋体"/>
          <w:b/>
          <w:bCs/>
          <w:color w:val="000000"/>
          <w:sz w:val="24"/>
        </w:rPr>
        <w:t>0，在截止时间后提交的首次响应文件为无效文件，将被拒收。</w:t>
      </w:r>
    </w:p>
    <w:p w14:paraId="7EBD3DC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宋体" w:hAnsi="宋体" w:eastAsia="宋体" w:cs="宋体"/>
          <w:color w:val="000000"/>
          <w:sz w:val="24"/>
        </w:rPr>
      </w:pPr>
      <w:r>
        <w:rPr>
          <w:rFonts w:hint="default" w:ascii="宋体" w:hAnsi="宋体" w:eastAsia="宋体" w:cs="宋体"/>
          <w:color w:val="000000"/>
          <w:sz w:val="24"/>
        </w:rPr>
        <w:t>（三）首次响应文件提交时间、地点：</w:t>
      </w:r>
    </w:p>
    <w:p w14:paraId="410B06D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default" w:ascii="宋体" w:hAnsi="宋体" w:eastAsia="宋体" w:cs="宋体"/>
          <w:color w:val="000000"/>
          <w:sz w:val="24"/>
        </w:rPr>
      </w:pPr>
      <w:r>
        <w:rPr>
          <w:rFonts w:hint="default" w:ascii="宋体" w:hAnsi="宋体" w:eastAsia="宋体" w:cs="宋体"/>
          <w:b/>
          <w:bCs/>
          <w:color w:val="000000"/>
          <w:sz w:val="24"/>
        </w:rPr>
        <w:t>1、提交时间：首次响应文件提交的截止时间（2026年</w:t>
      </w:r>
      <w:r>
        <w:rPr>
          <w:rFonts w:hint="eastAsia" w:ascii="宋体" w:hAnsi="宋体" w:eastAsia="宋体" w:cs="宋体"/>
          <w:b/>
          <w:bCs/>
          <w:color w:val="000000"/>
          <w:sz w:val="24"/>
          <w:lang w:val="en-US" w:eastAsia="zh-CN"/>
        </w:rPr>
        <w:t>9</w:t>
      </w:r>
      <w:r>
        <w:rPr>
          <w:rFonts w:hint="default" w:ascii="宋体" w:hAnsi="宋体" w:eastAsia="宋体" w:cs="宋体"/>
          <w:b/>
          <w:bCs/>
          <w:color w:val="000000"/>
          <w:sz w:val="24"/>
        </w:rPr>
        <w:t>月</w:t>
      </w:r>
      <w:r>
        <w:rPr>
          <w:rFonts w:hint="eastAsia" w:ascii="宋体" w:hAnsi="宋体" w:eastAsia="宋体" w:cs="宋体"/>
          <w:b/>
          <w:bCs/>
          <w:color w:val="000000"/>
          <w:sz w:val="24"/>
          <w:lang w:val="en-US" w:eastAsia="zh-CN"/>
        </w:rPr>
        <w:t>23</w:t>
      </w:r>
      <w:r>
        <w:rPr>
          <w:rFonts w:hint="default" w:ascii="宋体" w:hAnsi="宋体" w:eastAsia="宋体" w:cs="宋体"/>
          <w:b/>
          <w:bCs/>
          <w:color w:val="000000"/>
          <w:sz w:val="24"/>
        </w:rPr>
        <w:t>日</w:t>
      </w:r>
      <w:r>
        <w:rPr>
          <w:rFonts w:hint="eastAsia" w:ascii="宋体" w:hAnsi="宋体" w:eastAsia="宋体" w:cs="宋体"/>
          <w:b/>
          <w:bCs/>
          <w:color w:val="000000"/>
          <w:sz w:val="24"/>
          <w:lang w:val="en-US" w:eastAsia="zh-CN"/>
        </w:rPr>
        <w:t>10</w:t>
      </w:r>
      <w:r>
        <w:rPr>
          <w:rFonts w:hint="default" w:ascii="宋体" w:hAnsi="宋体" w:eastAsia="宋体" w:cs="宋体"/>
          <w:b/>
          <w:bCs/>
          <w:color w:val="000000"/>
          <w:sz w:val="24"/>
        </w:rPr>
        <w:t>:</w:t>
      </w:r>
      <w:r>
        <w:rPr>
          <w:rFonts w:hint="eastAsia" w:ascii="宋体" w:hAnsi="宋体" w:eastAsia="宋体" w:cs="宋体"/>
          <w:b/>
          <w:bCs/>
          <w:color w:val="000000"/>
          <w:sz w:val="24"/>
          <w:lang w:val="en-US" w:eastAsia="zh-CN"/>
        </w:rPr>
        <w:t>0</w:t>
      </w:r>
      <w:r>
        <w:rPr>
          <w:rFonts w:hint="default" w:ascii="宋体" w:hAnsi="宋体" w:eastAsia="宋体" w:cs="宋体"/>
          <w:b/>
          <w:bCs/>
          <w:color w:val="000000"/>
          <w:sz w:val="24"/>
        </w:rPr>
        <w:t>0）前。</w:t>
      </w:r>
    </w:p>
    <w:p w14:paraId="523D29A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rPr>
      </w:pPr>
      <w:r>
        <w:rPr>
          <w:rFonts w:hint="eastAsia" w:ascii="宋体" w:hAnsi="宋体" w:eastAsia="宋体" w:cs="宋体"/>
          <w:color w:val="000000"/>
          <w:sz w:val="24"/>
        </w:rPr>
        <w:t>2、提交地点：</w:t>
      </w:r>
      <w:r>
        <w:rPr>
          <w:rFonts w:hint="eastAsia" w:ascii="宋体" w:hAnsi="宋体" w:eastAsia="宋体" w:cs="宋体"/>
          <w:color w:val="000000"/>
          <w:sz w:val="24"/>
          <w:lang w:val="en-US" w:eastAsia="zh-CN"/>
        </w:rPr>
        <w:t>“苏采云”系统（网址：http://jszfcg.jsczt.cn/）“开标大厅”或进入徐州政府采购网（网址：https://czj.xz.gov.cn/zfcg/index.html）--办事指南--供应商--供应商登录入口，点击“苏采云”进入系统“开标大厅”</w:t>
      </w:r>
      <w:r>
        <w:rPr>
          <w:rFonts w:hint="eastAsia" w:ascii="宋体" w:hAnsi="宋体" w:eastAsia="宋体" w:cs="宋体"/>
          <w:color w:val="000000"/>
          <w:sz w:val="24"/>
        </w:rPr>
        <w:t xml:space="preserve">。 </w:t>
      </w:r>
    </w:p>
    <w:p w14:paraId="6A55140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b/>
          <w:bCs/>
          <w:color w:val="000000"/>
          <w:sz w:val="24"/>
        </w:rPr>
      </w:pPr>
      <w:r>
        <w:rPr>
          <w:rFonts w:hint="eastAsia" w:ascii="宋体" w:hAnsi="宋体" w:eastAsia="宋体" w:cs="宋体"/>
          <w:b/>
          <w:bCs/>
          <w:color w:val="000000"/>
          <w:sz w:val="24"/>
        </w:rPr>
        <w:t>（四）首次响应文件开启时间：2026年</w:t>
      </w:r>
      <w:r>
        <w:rPr>
          <w:rFonts w:hint="eastAsia" w:ascii="宋体" w:hAnsi="宋体" w:eastAsia="宋体" w:cs="宋体"/>
          <w:b/>
          <w:bCs/>
          <w:color w:val="000000"/>
          <w:sz w:val="24"/>
          <w:lang w:val="en-US" w:eastAsia="zh-CN"/>
        </w:rPr>
        <w:t>9</w:t>
      </w:r>
      <w:r>
        <w:rPr>
          <w:rFonts w:hint="eastAsia" w:ascii="宋体" w:hAnsi="宋体" w:eastAsia="宋体" w:cs="宋体"/>
          <w:b/>
          <w:bCs/>
          <w:color w:val="000000"/>
          <w:sz w:val="24"/>
          <w:lang w:eastAsia="zh-CN"/>
        </w:rPr>
        <w:t>月</w:t>
      </w:r>
      <w:r>
        <w:rPr>
          <w:rFonts w:hint="eastAsia" w:ascii="宋体" w:hAnsi="宋体" w:eastAsia="宋体" w:cs="宋体"/>
          <w:b/>
          <w:bCs/>
          <w:color w:val="000000"/>
          <w:sz w:val="24"/>
          <w:lang w:val="en-US" w:eastAsia="zh-CN"/>
        </w:rPr>
        <w:t>23</w:t>
      </w:r>
      <w:r>
        <w:rPr>
          <w:rFonts w:hint="eastAsia" w:ascii="宋体" w:hAnsi="宋体" w:eastAsia="宋体" w:cs="宋体"/>
          <w:b/>
          <w:bCs/>
          <w:color w:val="000000"/>
          <w:sz w:val="24"/>
          <w:lang w:eastAsia="zh-CN"/>
        </w:rPr>
        <w:t>日</w:t>
      </w:r>
      <w:r>
        <w:rPr>
          <w:rFonts w:hint="eastAsia" w:ascii="宋体" w:hAnsi="宋体" w:eastAsia="宋体" w:cs="宋体"/>
          <w:b/>
          <w:bCs/>
          <w:color w:val="000000"/>
          <w:sz w:val="24"/>
          <w:lang w:val="en-US" w:eastAsia="zh-CN"/>
        </w:rPr>
        <w:t>10</w:t>
      </w:r>
      <w:r>
        <w:rPr>
          <w:rFonts w:hint="eastAsia" w:ascii="宋体" w:hAnsi="宋体" w:eastAsia="宋体" w:cs="宋体"/>
          <w:b/>
          <w:bCs/>
          <w:color w:val="000000"/>
          <w:sz w:val="24"/>
        </w:rPr>
        <w:t>:</w:t>
      </w:r>
      <w:r>
        <w:rPr>
          <w:rFonts w:hint="eastAsia" w:ascii="宋体" w:hAnsi="宋体" w:eastAsia="宋体" w:cs="宋体"/>
          <w:b/>
          <w:bCs/>
          <w:color w:val="000000"/>
          <w:sz w:val="24"/>
          <w:lang w:val="en-US" w:eastAsia="zh-CN"/>
        </w:rPr>
        <w:t>0</w:t>
      </w:r>
      <w:r>
        <w:rPr>
          <w:rFonts w:hint="eastAsia" w:ascii="宋体" w:hAnsi="宋体" w:eastAsia="宋体" w:cs="宋体"/>
          <w:b/>
          <w:bCs/>
          <w:color w:val="000000"/>
          <w:sz w:val="24"/>
        </w:rPr>
        <w:t>0。</w:t>
      </w:r>
    </w:p>
    <w:p w14:paraId="60DDDD0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rPr>
      </w:pPr>
      <w:r>
        <w:rPr>
          <w:rFonts w:hint="eastAsia" w:ascii="宋体" w:hAnsi="宋体" w:eastAsia="宋体" w:cs="宋体"/>
          <w:color w:val="000000"/>
          <w:sz w:val="24"/>
        </w:rPr>
        <w:t>（五）首次响应文件开启地点：“苏采云”系统（网址：http://jszfcg.jsczt.cn/）“开标大厅”或进入徐州政府采购网（网址：http://czj.xz.gov.cn/Home/HomeIndex）-业务工作-用户登录，点击“苏采云”进入系统“开标大厅”。</w:t>
      </w:r>
    </w:p>
    <w:p w14:paraId="335CC5F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rPr>
      </w:pPr>
      <w:r>
        <w:rPr>
          <w:rFonts w:hint="eastAsia" w:ascii="宋体" w:hAnsi="宋体" w:eastAsia="宋体" w:cs="宋体"/>
          <w:color w:val="000000"/>
          <w:sz w:val="24"/>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7A00FEC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rPr>
      </w:pPr>
      <w:r>
        <w:rPr>
          <w:rFonts w:hint="eastAsia" w:ascii="宋体" w:hAnsi="宋体" w:eastAsia="宋体" w:cs="宋体"/>
          <w:color w:val="000000"/>
          <w:sz w:val="24"/>
        </w:rPr>
        <w:t>（七）不接受不按要求加盖公章（电子签章）的首次响应文件。电子签章相关要求见“苏采云”系统。</w:t>
      </w:r>
    </w:p>
    <w:p w14:paraId="1A32129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p>
    <w:p w14:paraId="6D0432F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p>
    <w:p w14:paraId="00F20DA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rPr>
      </w:pPr>
      <w:r>
        <w:rPr>
          <w:rFonts w:hint="eastAsia" w:ascii="宋体" w:hAnsi="宋体" w:eastAsia="宋体" w:cs="宋体"/>
          <w:color w:val="000000"/>
          <w:sz w:val="24"/>
          <w:lang w:val="en-US" w:eastAsia="zh-CN"/>
        </w:rPr>
        <w:t>（十）相关说明：供应商在“苏采云”系统中提交首次响应文件的时间即为数据电文（响应文件，下同）的发送时间和接收时间。</w:t>
      </w:r>
    </w:p>
    <w:p w14:paraId="2729703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b/>
          <w:bCs/>
          <w:color w:val="000000"/>
          <w:sz w:val="24"/>
        </w:rPr>
      </w:pPr>
      <w:r>
        <w:rPr>
          <w:rFonts w:hint="eastAsia" w:ascii="宋体" w:hAnsi="宋体" w:eastAsia="宋体" w:cs="宋体"/>
          <w:b/>
          <w:bCs/>
          <w:color w:val="000000"/>
          <w:sz w:val="24"/>
        </w:rPr>
        <w:t>十三、响应文件编制要求</w:t>
      </w:r>
    </w:p>
    <w:p w14:paraId="0D943B8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请按照以下要求（包括但不限于以下要求）制作：</w:t>
      </w:r>
    </w:p>
    <w:p w14:paraId="3D61DBD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（一）基本目录</w:t>
      </w:r>
    </w:p>
    <w:p w14:paraId="3C56AAA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1、《磋商报价表》（加盖电子签章，格式见《磋商文件》附件。政府采购客户端工具输入报价自动生成）（必须提供，否则响应无效）；</w:t>
      </w:r>
    </w:p>
    <w:p w14:paraId="1AECECD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w:t>
      </w:r>
      <w:bookmarkStart w:id="0" w:name="OLE_LINK2"/>
      <w:r>
        <w:rPr>
          <w:rFonts w:hint="eastAsia" w:ascii="宋体" w:hAnsi="宋体" w:eastAsia="宋体" w:cs="宋体"/>
          <w:b/>
          <w:bCs/>
          <w:color w:val="000000"/>
          <w:sz w:val="24"/>
          <w:lang w:val="en-US" w:eastAsia="zh-CN"/>
        </w:rPr>
        <w:t>《授权委托书》（提供原件的扫描件，格式见《磋商文件》附件）（必须提供，否则响应无效）</w:t>
      </w:r>
      <w:bookmarkEnd w:id="0"/>
      <w:r>
        <w:rPr>
          <w:rFonts w:hint="eastAsia" w:ascii="宋体" w:hAnsi="宋体" w:eastAsia="宋体" w:cs="宋体"/>
          <w:b/>
          <w:bCs/>
          <w:color w:val="000000"/>
          <w:sz w:val="24"/>
          <w:lang w:val="en-US" w:eastAsia="zh-CN"/>
        </w:rPr>
        <w:t>；</w:t>
      </w:r>
    </w:p>
    <w:p w14:paraId="14E8C57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3、供应商认为需要提供的其他资料的扫描件（如有）。</w:t>
      </w:r>
    </w:p>
    <w:p w14:paraId="698757F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b/>
          <w:bCs/>
          <w:color w:val="000000"/>
          <w:sz w:val="24"/>
        </w:rPr>
      </w:pPr>
      <w:r>
        <w:rPr>
          <w:rFonts w:hint="eastAsia" w:ascii="宋体" w:hAnsi="宋体" w:eastAsia="宋体" w:cs="宋体"/>
          <w:b/>
          <w:bCs/>
          <w:color w:val="000000"/>
          <w:sz w:val="24"/>
        </w:rPr>
        <w:t>（二）资格条件（1～</w:t>
      </w:r>
      <w:r>
        <w:rPr>
          <w:rFonts w:hint="eastAsia" w:ascii="宋体" w:hAnsi="宋体" w:eastAsia="宋体" w:cs="宋体"/>
          <w:b/>
          <w:bCs/>
          <w:color w:val="000000"/>
          <w:sz w:val="24"/>
          <w:lang w:val="en-US" w:eastAsia="zh-CN"/>
        </w:rPr>
        <w:t>5</w:t>
      </w:r>
      <w:r>
        <w:rPr>
          <w:rFonts w:hint="eastAsia" w:ascii="宋体" w:hAnsi="宋体" w:eastAsia="宋体" w:cs="宋体"/>
          <w:b/>
          <w:bCs/>
          <w:color w:val="000000"/>
          <w:sz w:val="24"/>
        </w:rPr>
        <w:t>项必须提供原件扫描件，否则响应无效）</w:t>
      </w:r>
    </w:p>
    <w:p w14:paraId="66449F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1、供应商合法有效的法人或者其他组织的营业执照等证明文件，自然人的身份证明。以上证明文件的扫描件；</w:t>
      </w:r>
    </w:p>
    <w:p w14:paraId="252E01B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2、具备履行合同所必需的设备和专业技术能力的证明材料，即响应文件中提供《具备履行合同所必需的设备和专业技术能力的书面声明》（附证明材料，加盖电子签章，格式见《磋商文件》附件）；</w:t>
      </w:r>
    </w:p>
    <w:p w14:paraId="1DF32D3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3、具有良好的商业信誉和健全的财务会计制度，财务状况报告至少提供：</w:t>
      </w:r>
    </w:p>
    <w:p w14:paraId="5EABCDC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2025年度财务审计报告（应包括审计报告正文、资产负债表、现金流量表、利润表）；</w:t>
      </w:r>
    </w:p>
    <w:p w14:paraId="2EE545E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4、有依法缴纳税收和社会保障资金的良好记录，至少提供：</w:t>
      </w:r>
    </w:p>
    <w:p w14:paraId="07917EE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p>
    <w:p w14:paraId="5FF8AF7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5、供应商参加政府采购活动前3年内在经营活动中没有重大违法记录的书面声明(格式见《磋商文件》附件)。</w:t>
      </w:r>
    </w:p>
    <w:p w14:paraId="2CC1070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b/>
          <w:bCs/>
          <w:color w:val="000000"/>
          <w:sz w:val="24"/>
        </w:rPr>
      </w:pPr>
      <w:r>
        <w:rPr>
          <w:rFonts w:hint="eastAsia" w:ascii="宋体" w:hAnsi="宋体" w:eastAsia="宋体" w:cs="宋体"/>
          <w:b/>
          <w:bCs/>
          <w:color w:val="000000"/>
          <w:sz w:val="24"/>
        </w:rPr>
        <w:t>（三）符合条件（必须提供，否则响应无效）</w:t>
      </w:r>
    </w:p>
    <w:p w14:paraId="16AF90A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1、《报价符合性审查》。</w:t>
      </w:r>
    </w:p>
    <w:p w14:paraId="0FC7A4E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w:t>
      </w:r>
      <w:r>
        <w:rPr>
          <w:rFonts w:hint="default" w:ascii="宋体" w:hAnsi="宋体" w:eastAsia="宋体" w:cs="宋体"/>
          <w:color w:val="000000"/>
          <w:sz w:val="24"/>
          <w:lang w:val="en-US" w:eastAsia="zh-CN"/>
        </w:rPr>
        <w:t>）超预算/最高限价审查要求：投标（响应）报价不得超过采购项目预算/最高限价。</w:t>
      </w:r>
    </w:p>
    <w:p w14:paraId="37BEBE4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rPr>
      </w:pPr>
      <w:r>
        <w:rPr>
          <w:rFonts w:hint="default" w:ascii="宋体" w:hAnsi="宋体" w:eastAsia="宋体" w:cs="宋体"/>
          <w:color w:val="000000"/>
          <w:sz w:val="24"/>
          <w:lang w:val="en-US" w:eastAsia="zh-CN"/>
        </w:rPr>
        <w:t>（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p>
    <w:p w14:paraId="2BEED0B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bookmarkStart w:id="1" w:name="OLE_LINK3"/>
      <w:r>
        <w:rPr>
          <w:rFonts w:hint="eastAsia" w:ascii="宋体" w:hAnsi="宋体" w:eastAsia="宋体" w:cs="宋体"/>
          <w:color w:val="000000"/>
          <w:sz w:val="24"/>
          <w:lang w:val="en-US" w:eastAsia="zh-CN"/>
        </w:rPr>
        <w:t>《承诺书》（加盖电子签章，格式见《磋商文件》附件）</w:t>
      </w:r>
      <w:bookmarkEnd w:id="1"/>
      <w:r>
        <w:rPr>
          <w:rFonts w:hint="eastAsia" w:ascii="宋体" w:hAnsi="宋体" w:eastAsia="宋体" w:cs="宋体"/>
          <w:color w:val="000000"/>
          <w:sz w:val="24"/>
          <w:lang w:val="en-US" w:eastAsia="zh-CN"/>
        </w:rPr>
        <w:t>；</w:t>
      </w:r>
    </w:p>
    <w:p w14:paraId="66B0223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bookmarkStart w:id="2" w:name="OLE_LINK4"/>
      <w:r>
        <w:rPr>
          <w:rFonts w:hint="eastAsia" w:ascii="宋体" w:hAnsi="宋体" w:eastAsia="宋体" w:cs="宋体"/>
          <w:color w:val="000000"/>
          <w:sz w:val="24"/>
          <w:lang w:val="en-US" w:eastAsia="zh-CN"/>
        </w:rPr>
        <w:t>《分项价格表》加盖电子签章，格式见《磋商文件》附件）</w:t>
      </w:r>
      <w:bookmarkEnd w:id="2"/>
      <w:r>
        <w:rPr>
          <w:rFonts w:hint="eastAsia" w:ascii="宋体" w:hAnsi="宋体" w:eastAsia="宋体" w:cs="宋体"/>
          <w:color w:val="000000"/>
          <w:sz w:val="24"/>
          <w:lang w:val="en-US" w:eastAsia="zh-CN"/>
        </w:rPr>
        <w:t>；</w:t>
      </w:r>
    </w:p>
    <w:p w14:paraId="2B4F950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bookmarkStart w:id="3" w:name="OLE_LINK5"/>
      <w:r>
        <w:rPr>
          <w:rFonts w:hint="eastAsia" w:ascii="宋体" w:hAnsi="宋体" w:eastAsia="宋体" w:cs="宋体"/>
          <w:color w:val="000000"/>
          <w:sz w:val="24"/>
          <w:lang w:val="en-US" w:eastAsia="zh-CN"/>
        </w:rPr>
        <w:t>《偏离表》（加盖电子签章，格式见《磋商文件》附件）</w:t>
      </w:r>
      <w:bookmarkEnd w:id="3"/>
      <w:r>
        <w:rPr>
          <w:rFonts w:hint="eastAsia" w:ascii="宋体" w:hAnsi="宋体" w:eastAsia="宋体" w:cs="宋体"/>
          <w:color w:val="000000"/>
          <w:sz w:val="24"/>
          <w:lang w:val="en-US" w:eastAsia="zh-CN"/>
        </w:rPr>
        <w:t>。</w:t>
      </w:r>
    </w:p>
    <w:p w14:paraId="278C96F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b/>
          <w:bCs/>
          <w:color w:val="000000"/>
          <w:sz w:val="24"/>
        </w:rPr>
      </w:pPr>
      <w:r>
        <w:rPr>
          <w:rFonts w:hint="eastAsia" w:ascii="宋体" w:hAnsi="宋体" w:eastAsia="宋体" w:cs="宋体"/>
          <w:b/>
          <w:bCs/>
          <w:color w:val="000000"/>
          <w:sz w:val="24"/>
        </w:rPr>
        <w:t>（四）综合评审评分项</w:t>
      </w:r>
    </w:p>
    <w:p w14:paraId="3B36A50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w:t>
      </w:r>
      <w:r>
        <w:rPr>
          <w:rFonts w:hint="eastAsia" w:ascii="宋体" w:hAnsi="宋体" w:cs="宋体"/>
          <w:color w:val="000000"/>
          <w:sz w:val="24"/>
        </w:rPr>
        <w:t>设备技术及功能要求</w:t>
      </w:r>
      <w:r>
        <w:rPr>
          <w:rFonts w:hint="eastAsia" w:ascii="宋体" w:hAnsi="宋体" w:eastAsia="宋体" w:cs="宋体"/>
          <w:color w:val="000000"/>
          <w:sz w:val="24"/>
          <w:lang w:val="en-US" w:eastAsia="zh-CN"/>
        </w:rPr>
        <w:t>（见要求《磋商文件》附件1.《评分细则》）；</w:t>
      </w:r>
    </w:p>
    <w:p w14:paraId="2E15A31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r>
        <w:rPr>
          <w:rFonts w:hint="eastAsia" w:ascii="宋体" w:hAnsi="宋体" w:cs="宋体"/>
          <w:color w:val="000000"/>
          <w:sz w:val="24"/>
        </w:rPr>
        <w:t>总体方案</w:t>
      </w:r>
      <w:r>
        <w:rPr>
          <w:rFonts w:hint="eastAsia" w:ascii="宋体" w:hAnsi="宋体" w:eastAsia="宋体" w:cs="宋体"/>
          <w:color w:val="000000"/>
          <w:sz w:val="24"/>
          <w:lang w:val="en-US" w:eastAsia="zh-CN"/>
        </w:rPr>
        <w:t>（见要求《磋商文件》附件1.《评分细则》）；</w:t>
      </w:r>
    </w:p>
    <w:p w14:paraId="00EB61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hint="eastAsia" w:ascii="宋体" w:hAnsi="宋体" w:cs="宋体"/>
          <w:color w:val="000000"/>
          <w:sz w:val="24"/>
        </w:rPr>
        <w:t>具体实施方案</w:t>
      </w:r>
      <w:r>
        <w:rPr>
          <w:rFonts w:hint="eastAsia" w:ascii="宋体" w:hAnsi="宋体" w:eastAsia="宋体" w:cs="宋体"/>
          <w:color w:val="000000"/>
          <w:sz w:val="24"/>
          <w:lang w:val="en-US" w:eastAsia="zh-CN"/>
        </w:rPr>
        <w:t>（见要求《磋商文件》附件1.《评分细则》）；</w:t>
      </w:r>
    </w:p>
    <w:p w14:paraId="25F5B50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r>
        <w:rPr>
          <w:rFonts w:hint="eastAsia" w:ascii="宋体" w:hAnsi="宋体" w:cs="宋体"/>
          <w:color w:val="000000"/>
          <w:sz w:val="24"/>
        </w:rPr>
        <w:t>项目进度保障方案</w:t>
      </w:r>
      <w:r>
        <w:rPr>
          <w:rFonts w:hint="eastAsia" w:ascii="宋体" w:hAnsi="宋体" w:eastAsia="宋体" w:cs="宋体"/>
          <w:color w:val="000000"/>
          <w:sz w:val="24"/>
          <w:lang w:val="en-US" w:eastAsia="zh-CN"/>
        </w:rPr>
        <w:t>（见要求《磋商文件》附件1.《评分细则》）；</w:t>
      </w:r>
    </w:p>
    <w:p w14:paraId="3355650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w:t>
      </w:r>
      <w:r>
        <w:rPr>
          <w:rFonts w:hint="eastAsia" w:ascii="宋体" w:hAnsi="宋体" w:cs="宋体"/>
          <w:color w:val="000000"/>
          <w:sz w:val="24"/>
        </w:rPr>
        <w:t>项目质量保障方案</w:t>
      </w:r>
      <w:r>
        <w:rPr>
          <w:rFonts w:hint="eastAsia" w:ascii="宋体" w:hAnsi="宋体" w:eastAsia="宋体" w:cs="宋体"/>
          <w:color w:val="000000"/>
          <w:sz w:val="24"/>
          <w:lang w:val="en-US" w:eastAsia="zh-CN"/>
        </w:rPr>
        <w:t>（见要求《磋商文件》附件1.《评分细则》）；</w:t>
      </w:r>
    </w:p>
    <w:p w14:paraId="3D815E6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6、</w:t>
      </w:r>
      <w:r>
        <w:rPr>
          <w:rFonts w:hint="eastAsia" w:ascii="宋体" w:hAnsi="宋体" w:cs="宋体"/>
          <w:color w:val="000000"/>
          <w:sz w:val="24"/>
        </w:rPr>
        <w:t>应急突发事件处置方案</w:t>
      </w:r>
      <w:r>
        <w:rPr>
          <w:rFonts w:hint="eastAsia" w:ascii="宋体" w:hAnsi="宋体" w:eastAsia="宋体" w:cs="宋体"/>
          <w:color w:val="000000"/>
          <w:sz w:val="24"/>
          <w:lang w:val="en-US" w:eastAsia="zh-CN"/>
        </w:rPr>
        <w:t>（见要求《磋商文件》附件1.《评分细则》）；</w:t>
      </w:r>
    </w:p>
    <w:p w14:paraId="57F586C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7、</w:t>
      </w:r>
      <w:r>
        <w:rPr>
          <w:rFonts w:hint="eastAsia" w:ascii="宋体" w:hAnsi="宋体" w:cs="宋体"/>
          <w:color w:val="000000"/>
          <w:sz w:val="24"/>
        </w:rPr>
        <w:t>售后服务和培训方案</w:t>
      </w:r>
      <w:r>
        <w:rPr>
          <w:rFonts w:hint="eastAsia" w:ascii="宋体" w:hAnsi="宋体" w:eastAsia="宋体" w:cs="宋体"/>
          <w:color w:val="000000"/>
          <w:sz w:val="24"/>
          <w:lang w:val="en-US" w:eastAsia="zh-CN"/>
        </w:rPr>
        <w:t>（见要求《磋商文件》附件1.《评分细则》）；</w:t>
      </w:r>
    </w:p>
    <w:p w14:paraId="6966164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8、</w:t>
      </w:r>
      <w:r>
        <w:rPr>
          <w:rFonts w:hint="eastAsia" w:ascii="宋体" w:hAnsi="宋体" w:cs="宋体"/>
          <w:color w:val="000000"/>
          <w:sz w:val="24"/>
        </w:rPr>
        <w:t>企业</w:t>
      </w:r>
      <w:r>
        <w:rPr>
          <w:rFonts w:hint="eastAsia" w:ascii="宋体" w:hAnsi="宋体" w:cs="宋体"/>
          <w:color w:val="000000"/>
          <w:sz w:val="24"/>
          <w:lang w:val="en-US" w:eastAsia="zh-CN"/>
        </w:rPr>
        <w:t>实力</w:t>
      </w:r>
      <w:r>
        <w:rPr>
          <w:rFonts w:hint="eastAsia" w:ascii="宋体" w:hAnsi="宋体" w:eastAsia="宋体" w:cs="宋体"/>
          <w:color w:val="000000"/>
          <w:sz w:val="24"/>
          <w:lang w:val="en-US" w:eastAsia="zh-CN"/>
        </w:rPr>
        <w:t>（见要求《磋商文件》附件1.《评分细则》）；</w:t>
      </w:r>
    </w:p>
    <w:p w14:paraId="66C1BEA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9、</w:t>
      </w:r>
      <w:r>
        <w:rPr>
          <w:rFonts w:hint="eastAsia" w:ascii="宋体" w:hAnsi="宋体" w:cs="宋体"/>
          <w:color w:val="000000"/>
          <w:sz w:val="24"/>
        </w:rPr>
        <w:t>人员能力</w:t>
      </w:r>
      <w:r>
        <w:rPr>
          <w:rFonts w:hint="eastAsia" w:ascii="宋体" w:hAnsi="宋体" w:eastAsia="宋体" w:cs="宋体"/>
          <w:color w:val="000000"/>
          <w:sz w:val="24"/>
          <w:lang w:val="en-US" w:eastAsia="zh-CN"/>
        </w:rPr>
        <w:t>（见要求《磋商文件》附件1.《评分细则》）；</w:t>
      </w:r>
    </w:p>
    <w:p w14:paraId="7FC334F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cs="宋体"/>
          <w:color w:val="000000"/>
          <w:sz w:val="24"/>
        </w:rPr>
      </w:pPr>
      <w:r>
        <w:rPr>
          <w:rFonts w:hint="eastAsia" w:ascii="宋体" w:hAnsi="宋体" w:eastAsia="宋体" w:cs="宋体"/>
          <w:color w:val="000000"/>
          <w:sz w:val="24"/>
          <w:lang w:val="en-US" w:eastAsia="zh-CN"/>
        </w:rPr>
        <w:t>10、</w:t>
      </w:r>
      <w:r>
        <w:rPr>
          <w:rFonts w:hint="eastAsia" w:ascii="宋体" w:hAnsi="宋体" w:cs="宋体"/>
          <w:color w:val="000000"/>
          <w:sz w:val="24"/>
        </w:rPr>
        <w:t>类似业绩</w:t>
      </w:r>
      <w:r>
        <w:rPr>
          <w:rFonts w:hint="eastAsia" w:ascii="宋体" w:hAnsi="宋体" w:eastAsia="宋体" w:cs="宋体"/>
          <w:color w:val="000000"/>
          <w:sz w:val="24"/>
          <w:lang w:val="en-US" w:eastAsia="zh-CN"/>
        </w:rPr>
        <w:t>（见要求《磋商文件》附件1.《评分细则》）；</w:t>
      </w:r>
    </w:p>
    <w:p w14:paraId="732739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b/>
          <w:bCs/>
          <w:color w:val="000000"/>
          <w:sz w:val="24"/>
        </w:rPr>
      </w:pPr>
      <w:r>
        <w:rPr>
          <w:rFonts w:hint="eastAsia" w:ascii="宋体" w:hAnsi="宋体" w:eastAsia="宋体" w:cs="宋体"/>
          <w:b/>
          <w:bCs/>
          <w:color w:val="000000"/>
          <w:sz w:val="24"/>
        </w:rPr>
        <w:t>（五）价格折扣文件格式</w:t>
      </w:r>
    </w:p>
    <w:p w14:paraId="2D04546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企业报价折扣证明：供应商为中小企业（含中型、小型、微型企业，下同）的，提供《中小企业声明函》（电子签章，须填写完整，否则无效。格式见《磋商文件》附件）。《中小企业声明函》查询渠道参考工业和信息化部发布的中小企业规模自测小程序。</w:t>
      </w:r>
    </w:p>
    <w:p w14:paraId="08B6B0A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注：中小微企业，应当同时符合以下条件：</w:t>
      </w:r>
    </w:p>
    <w:p w14:paraId="5AB96BC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具体以《政府采购促进中小企业发展管理办法》（财库[2020]46号）和《关于印发中小企业划型标准规定的通知》（工信部联企业[2011]300号）的规定为准。</w:t>
      </w:r>
    </w:p>
    <w:p w14:paraId="058EA0F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注：监护企业和残疾人福利性单位等同于小微企业。</w:t>
      </w:r>
    </w:p>
    <w:p w14:paraId="0062328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供应商为监狱企业的，提供省级以上监狱管理局、戒毒管理局（含新疆生产建设兵团）出具的属于监狱企业的证明文件原件的扫描件。</w:t>
      </w:r>
    </w:p>
    <w:p w14:paraId="496C5F0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具体以《财政部 司法部关于政府采购支持监狱企业发展有关问题的通知》（财库〔2014〕68号）的规定为准。</w:t>
      </w:r>
    </w:p>
    <w:p w14:paraId="1AD5485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供应商为享受政府采购支持政策的残疾人福利性单位的，提供《残疾人福利性单位声明函》（加盖电子签章，格式见《磋商文件》附件）。</w:t>
      </w:r>
    </w:p>
    <w:p w14:paraId="7C3811D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享受政府采购支持政策的残疾人福利性单位应当同时满足以下条件：</w:t>
      </w:r>
    </w:p>
    <w:p w14:paraId="13421F7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①安置的残疾人占本单位在职职工人数的比例不低于25%（含25%），并且安置的残疾人人数不少于10人（含10人）；</w:t>
      </w:r>
    </w:p>
    <w:p w14:paraId="6D2BAD3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②依法与安置的每位残疾人签订了一年以上（含一年）的劳动合同或服务协议；</w:t>
      </w:r>
    </w:p>
    <w:p w14:paraId="060DEA9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③为安置的每位残疾人按月足额缴纳了基本养老保险、基本医疗保险、失业保险、工伤保险和生育保险等社会保险费；</w:t>
      </w:r>
    </w:p>
    <w:p w14:paraId="59701F0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④通过银行等金融机构向安置的每位残疾人，按月支付了不低于单位所在区县适用的经省级人民政府批准的月最低工资标准的工资；</w:t>
      </w:r>
    </w:p>
    <w:p w14:paraId="68041F0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⑤提供本单位制造的货物、承担的工程或者服务（以下简称产品），或者提供其他残疾人福利性单位制造的货物（不包括使用非残疾人福利性单位注册商标的货物）。</w:t>
      </w:r>
    </w:p>
    <w:p w14:paraId="60BAC28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C3FD30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具体以《三部门联合发布关于促进残疾人就业政府采购政策的通知》（财库〔2017〕141号）规定为准。</w:t>
      </w:r>
    </w:p>
    <w:p w14:paraId="094F4F1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eastAsia" w:ascii="宋体" w:hAnsi="宋体" w:eastAsia="宋体" w:cs="宋体"/>
          <w:b/>
          <w:bCs/>
          <w:color w:val="000000"/>
          <w:sz w:val="24"/>
        </w:rPr>
      </w:pPr>
      <w:r>
        <w:rPr>
          <w:rFonts w:hint="eastAsia" w:ascii="宋体" w:hAnsi="宋体" w:eastAsia="宋体" w:cs="宋体"/>
          <w:b/>
          <w:bCs/>
          <w:color w:val="000000"/>
          <w:sz w:val="24"/>
        </w:rPr>
        <w:t>（六）提交的首次响应文件的加密、签署、盖章要求：</w:t>
      </w:r>
    </w:p>
    <w:p w14:paraId="68761041">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1、加密要求：</w:t>
      </w:r>
    </w:p>
    <w:p w14:paraId="24CB93A1">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供应商应当按照《磋商文件》和“苏采云”系统的要求编制并加密响应文件。本项目供应商须通过“苏采云”系统提供的政府采购客户端工具（使用“CA数字证书”）对其数据电文形式的响应文件加密。</w:t>
      </w:r>
    </w:p>
    <w:p w14:paraId="52C35C22">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2、</w:t>
      </w:r>
      <w:r>
        <w:rPr>
          <w:rFonts w:hint="default" w:ascii="宋体" w:hAnsi="宋体" w:eastAsia="宋体" w:cs="宋体"/>
          <w:color w:val="000000"/>
          <w:sz w:val="24"/>
        </w:rPr>
        <w:t>盖章要求：见《磋商文件》第九章附件中相关格式要求。供应商须通过“苏采云”系统提供的政府采购客户端工具（使用“CA数字证书”）加盖电子签章</w:t>
      </w:r>
      <w:r>
        <w:rPr>
          <w:rFonts w:hint="eastAsia" w:ascii="宋体" w:hAnsi="宋体" w:eastAsia="宋体" w:cs="宋体"/>
          <w:color w:val="000000"/>
          <w:sz w:val="24"/>
          <w:lang w:eastAsia="zh-CN"/>
        </w:rPr>
        <w:t>。</w:t>
      </w:r>
    </w:p>
    <w:p w14:paraId="3DBE1C8B">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3、</w:t>
      </w:r>
      <w:r>
        <w:rPr>
          <w:rFonts w:hint="eastAsia" w:ascii="宋体" w:hAnsi="宋体" w:eastAsia="宋体" w:cs="宋体"/>
          <w:color w:val="000000"/>
          <w:sz w:val="24"/>
          <w:lang w:eastAsia="zh-CN"/>
        </w:rPr>
        <w:t>签署要求：见《磋商文件》第九章附件中相关格式要求。特别提醒：竞争性磋商文件中如需“授权代表签字或盖章”，供应商可打印成文档，签字或盖章后再扫描上传，最后再电子签章。</w:t>
      </w:r>
    </w:p>
    <w:p w14:paraId="0EF75A70">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 xml:space="preserve">（七）通过“苏采云”系统提交政府采购客户端工具导出加密的响应文件（后缀名为zip）。上传响应文件的大小不得超过苏采云系统设置的范围！ </w:t>
      </w:r>
    </w:p>
    <w:p w14:paraId="222C5A17">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注：</w:t>
      </w:r>
    </w:p>
    <w:p w14:paraId="4931AD89">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1、供应商应当按照《磋商文件》的要求编制响应文件，并对其提交的响应文件的真实性、合法性承担法律责任。</w:t>
      </w:r>
    </w:p>
    <w:p w14:paraId="1814B990">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2、采购人索取成交供应商的响应文件，须在双方签订政府采购合同后，由采购代理机构提供给采购人。</w:t>
      </w:r>
    </w:p>
    <w:p w14:paraId="487F65D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Times New Roman" w:hAnsi="Times New Roman" w:eastAsia="宋体" w:cs="Times New Roman"/>
        </w:rPr>
      </w:pPr>
      <w:r>
        <w:rPr>
          <w:rFonts w:hint="default" w:ascii="宋体" w:hAnsi="宋体" w:eastAsia="宋体" w:cs="宋体"/>
          <w:color w:val="000000"/>
          <w:sz w:val="28"/>
        </w:rPr>
        <w:t> </w:t>
      </w:r>
    </w:p>
    <w:p w14:paraId="755FB1D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Times New Roman" w:hAnsi="Times New Roman" w:eastAsia="宋体" w:cs="Times New Roman"/>
        </w:rPr>
      </w:pPr>
      <w:r>
        <w:rPr>
          <w:rFonts w:hint="default" w:ascii="宋体" w:hAnsi="宋体" w:eastAsia="宋体" w:cs="宋体"/>
          <w:color w:val="000000"/>
          <w:sz w:val="28"/>
        </w:rPr>
        <w:t>第四章 磋商相关说明</w:t>
      </w:r>
    </w:p>
    <w:p w14:paraId="01277F3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宋体" w:hAnsi="宋体" w:eastAsia="宋体" w:cs="宋体"/>
          <w:color w:val="000000"/>
          <w:sz w:val="24"/>
        </w:rPr>
      </w:pPr>
      <w:r>
        <w:rPr>
          <w:rFonts w:hint="default" w:ascii="宋体" w:hAnsi="宋体" w:eastAsia="宋体" w:cs="宋体"/>
          <w:color w:val="000000"/>
          <w:sz w:val="24"/>
        </w:rPr>
        <w:t>十四、磋商程序</w:t>
      </w:r>
    </w:p>
    <w:p w14:paraId="3ACF654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宋体" w:hAnsi="宋体" w:eastAsia="宋体" w:cs="宋体"/>
          <w:b/>
          <w:color w:val="000000"/>
          <w:sz w:val="24"/>
        </w:rPr>
      </w:pPr>
      <w:r>
        <w:rPr>
          <w:rFonts w:hint="eastAsia" w:ascii="宋体" w:hAnsi="宋体" w:eastAsia="宋体" w:cs="宋体"/>
          <w:b/>
          <w:color w:val="000000"/>
          <w:sz w:val="24"/>
        </w:rPr>
        <w:t>（一）磋商要求</w:t>
      </w:r>
    </w:p>
    <w:p w14:paraId="12E9849C">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1、被邀请参与磋商的供应商需按本竞争性磋商文件要求的截止时间、方式（地点）提交首次响应文件，同时派代表（以下简称：磋商人员）通过“苏采云”系统在“开标大厅”等待磋商。</w:t>
      </w:r>
    </w:p>
    <w:p w14:paraId="22F260DF">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2、供应商可通过CA数字证书，在首次响应文件开启时间后，使用CA数字证书在规定时间内解密各自响应文件。</w:t>
      </w:r>
    </w:p>
    <w:p w14:paraId="765DA5B1">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宋体" w:hAnsi="宋体" w:cs="宋体"/>
          <w:b w:val="0"/>
          <w:bCs w:val="0"/>
          <w:sz w:val="24"/>
          <w:highlight w:val="none"/>
        </w:rPr>
      </w:pPr>
      <w:r>
        <w:rPr>
          <w:rFonts w:hint="default" w:ascii="宋体" w:hAnsi="宋体" w:cs="宋体"/>
          <w:b w:val="0"/>
          <w:bCs w:val="0"/>
          <w:sz w:val="24"/>
          <w:highlight w:val="none"/>
        </w:rPr>
        <w:t>3、</w:t>
      </w:r>
      <w:r>
        <w:rPr>
          <w:rFonts w:hint="eastAsia" w:ascii="宋体" w:hAnsi="宋体" w:cs="宋体"/>
          <w:b w:val="0"/>
          <w:bCs w:val="0"/>
          <w:sz w:val="24"/>
          <w:highlight w:val="none"/>
        </w:rPr>
        <w:t>供应商的授权代表或法人须全程守候在“苏采云”系统开标大厅，并确保视频设备正常使用。</w:t>
      </w:r>
      <w:r>
        <w:rPr>
          <w:rFonts w:hint="default" w:ascii="宋体" w:hAnsi="宋体" w:cs="宋体"/>
          <w:b w:val="0"/>
          <w:bCs w:val="0"/>
          <w:sz w:val="24"/>
          <w:highlight w:val="none"/>
        </w:rPr>
        <w:t>供应商授权的磋商人员需携带授权委托书原件及身份证原件按时参与磋商活动。</w:t>
      </w:r>
      <w:bookmarkStart w:id="41" w:name="_GoBack"/>
      <w:bookmarkEnd w:id="41"/>
    </w:p>
    <w:p w14:paraId="2236F151">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4、磋商顺序按照电子标书解密先后时间进行，解密时间相同的，不分先后顺序。</w:t>
      </w:r>
    </w:p>
    <w:p w14:paraId="33751F19">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5、磋商方式：本次磋商采用“苏采云”系统中的视频会议，供应商自行选择任意地点参加远程磋商会议。请供应商在磋商前等候在开标大厅，随时接听磋商小组发出的磋商视频邀请。</w:t>
      </w:r>
    </w:p>
    <w:p w14:paraId="707F6513">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6、未在“苏采云”系统规定时间内进行答疑澄清的，视同放弃澄清。</w:t>
      </w:r>
    </w:p>
    <w:p w14:paraId="5B219817">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7、未在“苏采云”系统规定时间内进行报价的，视为响应无效。</w:t>
      </w:r>
    </w:p>
    <w:p w14:paraId="7977BBA2">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宋体" w:hAnsi="宋体" w:eastAsia="宋体" w:cs="宋体"/>
          <w:color w:val="000000"/>
          <w:sz w:val="24"/>
        </w:rPr>
      </w:pPr>
      <w:r>
        <w:rPr>
          <w:rFonts w:hint="eastAsia" w:ascii="宋体" w:hAnsi="宋体" w:eastAsia="宋体" w:cs="宋体"/>
          <w:color w:val="000000"/>
          <w:sz w:val="24"/>
        </w:rPr>
        <w:t>注：各供应商在未进行第二次报价前，请不要离开开标系统，随时接受评标委员会提出的二次报价，因供应商未能及时二次报价而引起的废标及损失，由供应商负责。</w:t>
      </w:r>
    </w:p>
    <w:p w14:paraId="3A563FD3">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8、被邀请参与磋商的供应商如未按上述磋商要求执行，视同放弃磋商的权利。</w:t>
      </w:r>
    </w:p>
    <w:p w14:paraId="06ACF53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宋体" w:hAnsi="宋体" w:eastAsia="宋体" w:cs="宋体"/>
          <w:b/>
          <w:color w:val="000000"/>
          <w:sz w:val="24"/>
        </w:rPr>
      </w:pPr>
      <w:r>
        <w:rPr>
          <w:rFonts w:hint="default" w:ascii="宋体" w:hAnsi="宋体" w:eastAsia="宋体" w:cs="宋体"/>
          <w:b/>
          <w:color w:val="000000"/>
          <w:sz w:val="24"/>
        </w:rPr>
        <w:t>(二) 查询及使用供应商信用记录</w:t>
      </w:r>
    </w:p>
    <w:p w14:paraId="5250EAA5">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1、由采购人查询信用信息。</w:t>
      </w:r>
    </w:p>
    <w:p w14:paraId="3917026D">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2、查询渠道包括：</w:t>
      </w:r>
    </w:p>
    <w:p w14:paraId="00C48E98">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(1)“信用中国”网（www.creditchina.gov.cn）；</w:t>
      </w:r>
    </w:p>
    <w:p w14:paraId="3B360CA2">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(2)中国政府采购网（www.ccgp.gov.cn）；</w:t>
      </w:r>
    </w:p>
    <w:p w14:paraId="6A478B2B">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(3)“信用江苏”网（http://credit.jiangsu.gov.cn/）；</w:t>
      </w:r>
    </w:p>
    <w:p w14:paraId="46E9A241">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(4)信用徐州”网（www.xuzhoucredit.gov.cn/）。</w:t>
      </w:r>
    </w:p>
    <w:p w14:paraId="17F8BEE8">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3、截止时点（查询环节）：首次响应文件开启后资格审查结束前。</w:t>
      </w:r>
    </w:p>
    <w:p w14:paraId="1A665895">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4、信用信息查询记录和证据留存的具体方式：</w:t>
      </w:r>
    </w:p>
    <w:p w14:paraId="69675CAD">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网页截屏打印，与其他采购文件一并保存。</w:t>
      </w:r>
    </w:p>
    <w:p w14:paraId="7E352EB8">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5、信用信息的使用规则：</w:t>
      </w:r>
    </w:p>
    <w:p w14:paraId="0044192A">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32B34480">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6、信用评价结果查询：见《磋商文件》附件1.《评分细则》。</w:t>
      </w:r>
    </w:p>
    <w:p w14:paraId="3FAEF47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b/>
          <w:color w:val="000000"/>
          <w:sz w:val="24"/>
        </w:rPr>
        <w:t>十五、评审程序</w:t>
      </w:r>
    </w:p>
    <w:p w14:paraId="1C0BCE3E">
      <w:pPr>
        <w:keepNext w:val="0"/>
        <w:keepLines w:val="0"/>
        <w:pageBreakBefore w:val="0"/>
        <w:widowControl w:val="0"/>
        <w:spacing w:line="360" w:lineRule="auto"/>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经磋商确定最终采购需求和提交最后报价的供应商后，由磋商小组采用综合评分法对提交最后报价的供应商的响应文件和最后报价进行综合评分。</w:t>
      </w:r>
    </w:p>
    <w:p w14:paraId="48854321">
      <w:pPr>
        <w:keepNext w:val="0"/>
        <w:keepLines w:val="0"/>
        <w:pageBreakBefore w:val="0"/>
        <w:widowControl w:val="0"/>
        <w:spacing w:line="360" w:lineRule="auto"/>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磋商小组在阅读完所有磋商供应商的响应文件后，集中与单一供应商代表分别就技术参数等技术问题及价格和售后服务等内容进行磋商。</w:t>
      </w:r>
    </w:p>
    <w:p w14:paraId="0CB86F9B">
      <w:pPr>
        <w:keepNext w:val="0"/>
        <w:keepLines w:val="0"/>
        <w:pageBreakBefore w:val="0"/>
        <w:widowControl w:val="0"/>
        <w:spacing w:line="360" w:lineRule="auto"/>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磋商结束后，磋商小组应当要求所有参加磋商的供应商在规定时间内进行最后报价。供应商可按照磋商小组的要求在磋商现场（即“苏采云”系统开标大厅中）进行报价，首轮报价不公开，本项目二次报价为最终报价。</w:t>
      </w:r>
    </w:p>
    <w:p w14:paraId="44D055EE">
      <w:pPr>
        <w:keepNext w:val="0"/>
        <w:keepLines w:val="0"/>
        <w:pageBreakBefore w:val="0"/>
        <w:widowControl w:val="0"/>
        <w:spacing w:line="360" w:lineRule="auto"/>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磋商小组应当根据综合评分情况，按照评审得分由高到低顺序推荐成交候选供应商，并编写评审报告。评审得分相同的，按照最后报价由低到高的顺序推荐。评审得分且最后报价相同的，按照施工组织设计顺序推荐。</w:t>
      </w:r>
    </w:p>
    <w:p w14:paraId="5C0854C5">
      <w:pPr>
        <w:keepNext w:val="0"/>
        <w:keepLines w:val="0"/>
        <w:pageBreakBefore w:val="0"/>
        <w:widowControl w:val="0"/>
        <w:spacing w:line="360" w:lineRule="auto"/>
        <w:ind w:firstLine="480"/>
        <w:jc w:val="both"/>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p>
    <w:p w14:paraId="4C520457">
      <w:pPr>
        <w:keepNext w:val="0"/>
        <w:keepLines w:val="0"/>
        <w:pageBreakBefore w:val="0"/>
        <w:widowControl w:val="0"/>
        <w:spacing w:line="360" w:lineRule="auto"/>
        <w:ind w:lef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实施政府采购异常低价审查的有关要求:</w:t>
      </w:r>
    </w:p>
    <w:p w14:paraId="18B9324E">
      <w:pPr>
        <w:keepNext w:val="0"/>
        <w:keepLines w:val="0"/>
        <w:pageBreakBefore w:val="0"/>
        <w:widowControl w:val="0"/>
        <w:spacing w:line="360" w:lineRule="auto"/>
        <w:ind w:lef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(1)评审过程中出现下列情形之一的，磋商小组应当启动异常低价投标(响应)审查程序:</w:t>
      </w:r>
    </w:p>
    <w:p w14:paraId="25DEBF88">
      <w:pPr>
        <w:keepNext w:val="0"/>
        <w:keepLines w:val="0"/>
        <w:pageBreakBefore w:val="0"/>
        <w:widowControl w:val="0"/>
        <w:spacing w:line="360" w:lineRule="auto"/>
        <w:ind w:lef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5B217FC9">
      <w:pPr>
        <w:keepNext w:val="0"/>
        <w:keepLines w:val="0"/>
        <w:pageBreakBefore w:val="0"/>
        <w:widowControl w:val="0"/>
        <w:spacing w:line="360" w:lineRule="auto"/>
        <w:ind w:lef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2F252F22">
      <w:pPr>
        <w:keepNext w:val="0"/>
        <w:keepLines w:val="0"/>
        <w:pageBreakBefore w:val="0"/>
        <w:widowControl w:val="0"/>
        <w:spacing w:line="360" w:lineRule="auto"/>
        <w:ind w:lef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3.投标（响应）报价低于采购项目最高限价（未设定最高限价的采购项目，以采购项目预算金额作为最高限价）45%的，即投标（响应）报价&lt;采购项目最高限价×45%；</w:t>
      </w:r>
    </w:p>
    <w:p w14:paraId="7E5DF44C">
      <w:pPr>
        <w:keepNext w:val="0"/>
        <w:keepLines w:val="0"/>
        <w:pageBreakBefore w:val="0"/>
        <w:widowControl w:val="0"/>
        <w:spacing w:line="360" w:lineRule="auto"/>
        <w:ind w:lef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4.评审（评标）委员会基于专业判断，认为供应商报价过低，有可能影响产品质量或者不能诚信履约的其他情形。</w:t>
      </w:r>
    </w:p>
    <w:p w14:paraId="227AAC73">
      <w:pPr>
        <w:keepNext w:val="0"/>
        <w:keepLines w:val="0"/>
        <w:pageBreakBefore w:val="0"/>
        <w:widowControl w:val="0"/>
        <w:spacing w:line="360" w:lineRule="auto"/>
        <w:ind w:lef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相关法律法规对供应商报价有规定的，从其规定。</w:t>
      </w:r>
    </w:p>
    <w:p w14:paraId="275BEAB6">
      <w:pPr>
        <w:keepNext w:val="0"/>
        <w:keepLines w:val="0"/>
        <w:pageBreakBefore w:val="0"/>
        <w:widowControl w:val="0"/>
        <w:spacing w:line="360" w:lineRule="auto"/>
        <w:ind w:lef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11DCE60">
      <w:pPr>
        <w:keepNext w:val="0"/>
        <w:keepLines w:val="0"/>
        <w:pageBreakBefore w:val="0"/>
        <w:widowControl w:val="0"/>
        <w:spacing w:line="360" w:lineRule="auto"/>
        <w:ind w:lef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2E0AF53D">
      <w:pPr>
        <w:keepNext w:val="0"/>
        <w:keepLines w:val="0"/>
        <w:pageBreakBefore w:val="0"/>
        <w:widowControl w:val="0"/>
        <w:spacing w:line="360" w:lineRule="auto"/>
        <w:ind w:lef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4C465743">
      <w:pPr>
        <w:keepNext w:val="0"/>
        <w:keepLines w:val="0"/>
        <w:pageBreakBefore w:val="0"/>
        <w:widowControl w:val="0"/>
        <w:spacing w:line="360" w:lineRule="auto"/>
        <w:ind w:lef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3350830F">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2" w:right="29" w:firstLine="480"/>
        <w:jc w:val="both"/>
        <w:rPr>
          <w:rFonts w:hint="eastAsia" w:ascii="宋体" w:hAnsi="宋体" w:eastAsia="宋体" w:cs="宋体"/>
          <w:sz w:val="24"/>
          <w:szCs w:val="24"/>
          <w:lang w:val="en-US" w:eastAsia="zh-CN" w:bidi="ar-SA"/>
        </w:rPr>
      </w:pPr>
      <w:r>
        <w:rPr>
          <w:rFonts w:hint="eastAsia" w:ascii="宋体" w:hAnsi="宋体" w:eastAsia="宋体" w:cs="宋体"/>
          <w:b/>
          <w:bCs/>
          <w:color w:val="auto"/>
          <w:sz w:val="24"/>
          <w:szCs w:val="24"/>
          <w:highlight w:val="none"/>
          <w:lang w:val="en-US" w:eastAsia="zh-CN" w:bidi="ar-SA"/>
        </w:rPr>
        <w:t>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p>
    <w:p w14:paraId="05E1637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b/>
          <w:color w:val="000000"/>
          <w:sz w:val="24"/>
        </w:rPr>
        <w:t>十六、评审方法和评审标准</w:t>
      </w:r>
    </w:p>
    <w:p w14:paraId="30149B6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1、评审方法：综合评分法；</w:t>
      </w:r>
    </w:p>
    <w:p w14:paraId="796BE9D9">
      <w:pPr>
        <w:pBdr>
          <w:top w:val="none" w:color="000000" w:sz="0" w:space="0"/>
          <w:left w:val="none" w:color="000000" w:sz="0" w:space="0"/>
          <w:bottom w:val="none" w:color="000000" w:sz="0" w:space="0"/>
          <w:right w:val="none" w:color="000000" w:sz="0" w:space="0"/>
        </w:pBdr>
        <w:spacing w:before="0" w:after="0" w:line="400" w:lineRule="atLeast"/>
        <w:ind w:left="2" w:right="29" w:firstLine="480"/>
        <w:jc w:val="both"/>
        <w:rPr>
          <w:rFonts w:hint="default" w:ascii="Times New Roman" w:hAnsi="Times New Roman" w:eastAsia="宋体" w:cs="Times New Roman"/>
        </w:rPr>
      </w:pPr>
      <w:r>
        <w:rPr>
          <w:rFonts w:hint="default" w:ascii="宋体" w:hAnsi="宋体" w:eastAsia="宋体" w:cs="宋体"/>
          <w:color w:val="000000"/>
          <w:sz w:val="24"/>
        </w:rPr>
        <w:t>2、评审标准：详见《磋商文件》附件1、《评分细则》。</w:t>
      </w:r>
    </w:p>
    <w:p w14:paraId="43C6D74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b/>
          <w:color w:val="000000"/>
          <w:sz w:val="24"/>
        </w:rPr>
        <w:t>十七、有下列情形之一的，其响应无效：</w:t>
      </w:r>
    </w:p>
    <w:p w14:paraId="119F952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xml:space="preserve">1、电子响应文件未按规定期限提交的； </w:t>
      </w:r>
    </w:p>
    <w:p w14:paraId="25D99B8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xml:space="preserve">2、电子响应文件未按磋商文件要求签章的； </w:t>
      </w:r>
    </w:p>
    <w:p w14:paraId="592CB04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xml:space="preserve">3、供应商未在规定时间内解密电子响应文件的； </w:t>
      </w:r>
    </w:p>
    <w:p w14:paraId="633C076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xml:space="preserve">4、供应商的法定代表人授权代表，无法定代表人授权委托书的； </w:t>
      </w:r>
    </w:p>
    <w:p w14:paraId="57E0EF5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xml:space="preserve">5、不具备磋商文件中规定的资格要求或未按磋商文件规定的要求提供资格、资信证明文件的； </w:t>
      </w:r>
    </w:p>
    <w:p w14:paraId="66CDAE5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xml:space="preserve">6、被列入“信用中国”网站（www.creditchina.gov.cn）失信被执行人、重大税收违法案件当事人名单、政府采购严重违法失信行为记录名单的； </w:t>
      </w:r>
    </w:p>
    <w:p w14:paraId="6299AFB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7、响应文件未按磋商文件规定的内容和要求填写的；没有在系统指定位置上传对应文件、材料的；</w:t>
      </w:r>
    </w:p>
    <w:p w14:paraId="673CFED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xml:space="preserve">8、响应文件含有采购人不能接受的附加条件的； </w:t>
      </w:r>
    </w:p>
    <w:p w14:paraId="516A852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xml:space="preserve">9、不同供应商委托同一单位或者个人办理磋商事宜的； </w:t>
      </w:r>
    </w:p>
    <w:p w14:paraId="025832E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xml:space="preserve">10、项目磋商报价超过本项目（采购包）预算或最高限价的； </w:t>
      </w:r>
    </w:p>
    <w:p w14:paraId="1D612DB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1</w:t>
      </w:r>
      <w:r>
        <w:rPr>
          <w:rFonts w:hint="eastAsia" w:ascii="宋体" w:hAnsi="宋体" w:eastAsia="宋体" w:cs="宋体"/>
          <w:color w:val="000000"/>
          <w:sz w:val="24"/>
          <w:lang w:val="en-US" w:eastAsia="zh-CN"/>
        </w:rPr>
        <w:t>1</w:t>
      </w:r>
      <w:r>
        <w:rPr>
          <w:rFonts w:hint="default" w:ascii="宋体" w:hAnsi="宋体" w:eastAsia="宋体" w:cs="宋体"/>
          <w:color w:val="000000"/>
          <w:sz w:val="24"/>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p>
    <w:p w14:paraId="7C7B196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1</w:t>
      </w:r>
      <w:r>
        <w:rPr>
          <w:rFonts w:hint="eastAsia" w:ascii="宋体" w:hAnsi="宋体" w:eastAsia="宋体" w:cs="宋体"/>
          <w:color w:val="000000"/>
          <w:sz w:val="24"/>
          <w:lang w:val="en-US" w:eastAsia="zh-CN"/>
        </w:rPr>
        <w:t>2</w:t>
      </w:r>
      <w:r>
        <w:rPr>
          <w:rFonts w:hint="default" w:ascii="宋体" w:hAnsi="宋体" w:eastAsia="宋体" w:cs="宋体"/>
          <w:color w:val="000000"/>
          <w:sz w:val="24"/>
        </w:rPr>
        <w:t xml:space="preserve">、响应文件内容不全或不符合磋商文件中规定的其它实质性要求的； </w:t>
      </w:r>
    </w:p>
    <w:p w14:paraId="680ED46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1</w:t>
      </w:r>
      <w:r>
        <w:rPr>
          <w:rFonts w:hint="eastAsia" w:ascii="宋体" w:hAnsi="宋体" w:eastAsia="宋体" w:cs="宋体"/>
          <w:color w:val="000000"/>
          <w:sz w:val="24"/>
          <w:lang w:val="en-US" w:eastAsia="zh-CN"/>
        </w:rPr>
        <w:t>3</w:t>
      </w:r>
      <w:r>
        <w:rPr>
          <w:rFonts w:hint="default" w:ascii="宋体" w:hAnsi="宋体" w:eastAsia="宋体" w:cs="宋体"/>
          <w:color w:val="000000"/>
          <w:sz w:val="24"/>
        </w:rPr>
        <w:t>、法律法规和磋商文件规定的其它无效情形。</w:t>
      </w:r>
    </w:p>
    <w:p w14:paraId="6320D23C">
      <w:pPr>
        <w:pBdr>
          <w:top w:val="none" w:color="000000" w:sz="0" w:space="0"/>
          <w:left w:val="none" w:color="000000" w:sz="0" w:space="0"/>
          <w:bottom w:val="none" w:color="000000" w:sz="0" w:space="0"/>
          <w:right w:val="none" w:color="000000" w:sz="0" w:space="0"/>
        </w:pBdr>
        <w:spacing w:before="0" w:after="0" w:line="400" w:lineRule="atLeast"/>
        <w:ind w:left="2" w:right="29" w:firstLine="480"/>
        <w:jc w:val="both"/>
        <w:rPr>
          <w:rFonts w:hint="default" w:ascii="Times New Roman" w:hAnsi="Times New Roman" w:eastAsia="宋体" w:cs="Times New Roman"/>
        </w:rPr>
      </w:pPr>
      <w:r>
        <w:rPr>
          <w:rFonts w:hint="default" w:ascii="宋体" w:hAnsi="宋体" w:eastAsia="宋体" w:cs="宋体"/>
          <w:color w:val="000000"/>
          <w:sz w:val="24"/>
        </w:rPr>
        <w:t>十八、磋商过程中可能实质性变动的内容：在磋商过程中，磋商小组可以根据《磋商文件》和磋商情况实质性变动采购需求中的技术、服务要求以及合同草案条款。</w:t>
      </w:r>
    </w:p>
    <w:p w14:paraId="0149D2D6">
      <w:pPr>
        <w:pBdr>
          <w:top w:val="none" w:color="000000" w:sz="0" w:space="0"/>
          <w:left w:val="none" w:color="000000" w:sz="0" w:space="0"/>
          <w:bottom w:val="none" w:color="000000" w:sz="0" w:space="0"/>
          <w:right w:val="none" w:color="000000" w:sz="0" w:space="0"/>
        </w:pBdr>
        <w:spacing w:before="0" w:after="0" w:line="400" w:lineRule="atLeast"/>
        <w:ind w:left="-2" w:right="29" w:firstLine="0"/>
        <w:jc w:val="center"/>
        <w:rPr>
          <w:rFonts w:hint="default" w:ascii="Times New Roman" w:hAnsi="Times New Roman" w:eastAsia="宋体" w:cs="Times New Roman"/>
        </w:rPr>
      </w:pPr>
      <w:r>
        <w:rPr>
          <w:rFonts w:hint="default" w:ascii="宋体" w:hAnsi="宋体" w:eastAsia="宋体" w:cs="宋体"/>
          <w:color w:val="000000"/>
          <w:sz w:val="28"/>
        </w:rPr>
        <w:t> </w:t>
      </w:r>
    </w:p>
    <w:p w14:paraId="2B8613B2">
      <w:pPr>
        <w:pBdr>
          <w:top w:val="none" w:color="000000" w:sz="0" w:space="0"/>
          <w:left w:val="none" w:color="000000" w:sz="0" w:space="0"/>
          <w:bottom w:val="none" w:color="000000" w:sz="0" w:space="0"/>
          <w:right w:val="none" w:color="000000" w:sz="0" w:space="0"/>
        </w:pBdr>
        <w:spacing w:before="0" w:after="0" w:line="400" w:lineRule="atLeast"/>
        <w:ind w:left="-2" w:right="29" w:firstLine="0"/>
        <w:jc w:val="center"/>
        <w:rPr>
          <w:rFonts w:hint="default" w:ascii="Times New Roman" w:hAnsi="Times New Roman" w:eastAsia="宋体" w:cs="Times New Roman"/>
        </w:rPr>
      </w:pPr>
      <w:r>
        <w:rPr>
          <w:rFonts w:hint="default" w:ascii="宋体" w:hAnsi="宋体" w:eastAsia="宋体" w:cs="宋体"/>
          <w:color w:val="000000"/>
          <w:sz w:val="28"/>
        </w:rPr>
        <w:t>第五章 确定成交供应商及合同签订等</w:t>
      </w:r>
    </w:p>
    <w:p w14:paraId="76CD6D13">
      <w:pPr>
        <w:pBdr>
          <w:top w:val="none" w:color="000000" w:sz="0" w:space="0"/>
          <w:left w:val="none" w:color="000000" w:sz="0" w:space="0"/>
          <w:bottom w:val="none" w:color="000000" w:sz="0" w:space="0"/>
          <w:right w:val="none" w:color="000000" w:sz="0" w:space="0"/>
        </w:pBdr>
        <w:spacing w:before="0" w:after="0" w:line="400" w:lineRule="atLeast"/>
        <w:ind w:left="2" w:right="29" w:firstLine="480"/>
        <w:jc w:val="both"/>
        <w:rPr>
          <w:rFonts w:hint="default" w:ascii="Times New Roman" w:hAnsi="Times New Roman" w:eastAsia="宋体" w:cs="Times New Roman"/>
        </w:rPr>
      </w:pPr>
      <w:r>
        <w:rPr>
          <w:rFonts w:hint="default" w:ascii="宋体" w:hAnsi="宋体" w:eastAsia="宋体" w:cs="宋体"/>
          <w:color w:val="000000"/>
          <w:sz w:val="24"/>
        </w:rPr>
        <w:t> </w:t>
      </w:r>
    </w:p>
    <w:p w14:paraId="4366D0E7">
      <w:pPr>
        <w:pBdr>
          <w:top w:val="none" w:color="000000" w:sz="0" w:space="0"/>
          <w:left w:val="none" w:color="000000" w:sz="0" w:space="0"/>
          <w:bottom w:val="none" w:color="000000" w:sz="0" w:space="0"/>
          <w:right w:val="none" w:color="000000" w:sz="0" w:space="0"/>
        </w:pBdr>
        <w:spacing w:before="0" w:after="0" w:line="400" w:lineRule="atLeast"/>
        <w:ind w:left="2" w:right="29" w:firstLine="480"/>
        <w:jc w:val="both"/>
        <w:rPr>
          <w:rFonts w:hint="default" w:ascii="Times New Roman" w:hAnsi="Times New Roman" w:eastAsia="宋体" w:cs="Times New Roman"/>
        </w:rPr>
      </w:pPr>
      <w:r>
        <w:rPr>
          <w:rFonts w:hint="default" w:ascii="宋体" w:hAnsi="宋体" w:eastAsia="宋体" w:cs="宋体"/>
          <w:color w:val="000000"/>
          <w:sz w:val="24"/>
        </w:rPr>
        <w:t>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p>
    <w:p w14:paraId="6876D789">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二十、采购人与成交供应商应当在成交通知书发出之日起30日内，按照《磋商文件》确定的合同文本以及采购标的、规格型号、采购金额、采购数量、技术和服务要求等事项签订政府采购合同。</w:t>
      </w:r>
    </w:p>
    <w:p w14:paraId="447F8D75">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特别说明： 按照《政府采购法》及其实施条例以及相关规定，中标或者成交后无正当理由拒不与采购人签订政府采购合同的, 在一至三年内禁止参加政府采购活动，列入政府采购严重违法失信行为记录名单。</w:t>
      </w:r>
    </w:p>
    <w:p w14:paraId="5D65C995">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二十一、成交供应商在收到成交通知书时，须向</w:t>
      </w:r>
      <w:r>
        <w:rPr>
          <w:rFonts w:hint="eastAsia" w:ascii="宋体" w:hAnsi="宋体" w:eastAsia="宋体" w:cs="宋体"/>
          <w:color w:val="000000"/>
          <w:sz w:val="24"/>
          <w:lang w:eastAsia="zh-CN"/>
        </w:rPr>
        <w:t>江苏智汇锡建工程项目管理有限公司</w:t>
      </w:r>
      <w:r>
        <w:rPr>
          <w:rFonts w:hint="default" w:ascii="宋体" w:hAnsi="宋体" w:eastAsia="宋体" w:cs="宋体"/>
          <w:color w:val="000000"/>
          <w:sz w:val="24"/>
        </w:rPr>
        <w:t>提交《磋商报价表》（首次响应文件）和《分项价格表》（首次响应文件）的数据文件（WORD格式）。</w:t>
      </w:r>
    </w:p>
    <w:p w14:paraId="27CA74FD">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b/>
          <w:color w:val="000000"/>
          <w:sz w:val="24"/>
        </w:rPr>
        <w:t>二十二、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p>
    <w:p w14:paraId="6EE3E32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Times New Roman" w:hAnsi="Times New Roman" w:eastAsia="宋体" w:cs="Times New Roman"/>
        </w:rPr>
      </w:pPr>
      <w:r>
        <w:rPr>
          <w:rFonts w:hint="default" w:ascii="宋体" w:hAnsi="宋体" w:eastAsia="宋体" w:cs="宋体"/>
          <w:color w:val="000000"/>
          <w:sz w:val="28"/>
        </w:rPr>
        <w:t> </w:t>
      </w:r>
    </w:p>
    <w:p w14:paraId="5571497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Times New Roman" w:hAnsi="Times New Roman" w:eastAsia="宋体" w:cs="Times New Roman"/>
        </w:rPr>
      </w:pPr>
      <w:r>
        <w:rPr>
          <w:rFonts w:hint="default" w:ascii="宋体" w:hAnsi="宋体" w:eastAsia="宋体" w:cs="宋体"/>
          <w:color w:val="000000"/>
          <w:sz w:val="28"/>
        </w:rPr>
        <w:t>第六章 磋商文件的澄清或者修改</w:t>
      </w:r>
    </w:p>
    <w:p w14:paraId="7F1ED3F5">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 </w:t>
      </w:r>
    </w:p>
    <w:p w14:paraId="623FC930">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二十三、《磋商文件》的澄清或者修改</w:t>
      </w:r>
    </w:p>
    <w:p w14:paraId="5834DA58">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p>
    <w:p w14:paraId="6D6D144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Times New Roman" w:hAnsi="Times New Roman" w:eastAsia="宋体" w:cs="Times New Roman"/>
        </w:rPr>
      </w:pPr>
      <w:r>
        <w:rPr>
          <w:rFonts w:hint="default" w:ascii="宋体" w:hAnsi="宋体" w:eastAsia="宋体" w:cs="宋体"/>
          <w:color w:val="000000"/>
          <w:sz w:val="28"/>
        </w:rPr>
        <w:t> </w:t>
      </w:r>
    </w:p>
    <w:p w14:paraId="12E37CB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Times New Roman" w:hAnsi="Times New Roman" w:eastAsia="宋体" w:cs="Times New Roman"/>
        </w:rPr>
      </w:pPr>
      <w:r>
        <w:rPr>
          <w:rFonts w:hint="default" w:ascii="宋体" w:hAnsi="宋体" w:eastAsia="宋体" w:cs="宋体"/>
          <w:color w:val="000000"/>
          <w:sz w:val="28"/>
        </w:rPr>
        <w:t>第七章 询问和质疑</w:t>
      </w:r>
    </w:p>
    <w:p w14:paraId="7EC21FF8">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 </w:t>
      </w:r>
    </w:p>
    <w:p w14:paraId="400C2A23">
      <w:pPr>
        <w:pBdr>
          <w:top w:val="none" w:color="000000" w:sz="0" w:space="0"/>
          <w:left w:val="none" w:color="000000" w:sz="0" w:space="0"/>
          <w:bottom w:val="none" w:color="000000" w:sz="0" w:space="0"/>
          <w:right w:val="none" w:color="000000" w:sz="0" w:space="0"/>
        </w:pBdr>
        <w:spacing w:before="0" w:after="0" w:line="400"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二十四、询问和质疑</w:t>
      </w:r>
    </w:p>
    <w:p w14:paraId="206570C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p>
    <w:p w14:paraId="6772DFA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2、质疑和投诉按《政府采购质疑和投诉办法》执行。</w:t>
      </w:r>
    </w:p>
    <w:p w14:paraId="5DC4B75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3、供应商对同一采购程序环节的质疑应在质疑期内一次性提出。</w:t>
      </w:r>
    </w:p>
    <w:p w14:paraId="5E0CF6E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ascii="Times New Roman" w:hAnsi="Times New Roman" w:eastAsia="宋体" w:cs="Times New Roman"/>
          <w:lang w:eastAsia="zh-CN"/>
        </w:rPr>
      </w:pPr>
      <w:r>
        <w:rPr>
          <w:rFonts w:hint="default" w:ascii="宋体" w:hAnsi="宋体" w:eastAsia="宋体" w:cs="宋体"/>
          <w:color w:val="000000"/>
          <w:sz w:val="24"/>
        </w:rPr>
        <w:t>质疑接收人：</w:t>
      </w:r>
      <w:r>
        <w:rPr>
          <w:rFonts w:hint="eastAsia" w:ascii="宋体" w:hAnsi="宋体" w:eastAsia="宋体" w:cs="宋体"/>
          <w:color w:val="000000"/>
          <w:sz w:val="24"/>
          <w:lang w:eastAsia="zh-CN"/>
        </w:rPr>
        <w:t>滕杭轩</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联系电话：</w:t>
      </w:r>
      <w:r>
        <w:rPr>
          <w:rFonts w:hint="eastAsia" w:ascii="宋体" w:hAnsi="宋体" w:eastAsia="宋体" w:cs="宋体"/>
          <w:color w:val="000000"/>
          <w:sz w:val="24"/>
          <w:lang w:eastAsia="zh-CN"/>
        </w:rPr>
        <w:t>0516-83533877</w:t>
      </w:r>
    </w:p>
    <w:p w14:paraId="275D36C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地址：</w:t>
      </w:r>
      <w:r>
        <w:rPr>
          <w:rFonts w:hint="eastAsia" w:ascii="宋体" w:hAnsi="宋体" w:eastAsia="宋体" w:cs="宋体"/>
          <w:color w:val="000000"/>
          <w:sz w:val="24"/>
          <w:lang w:eastAsia="zh-CN"/>
        </w:rPr>
        <w:t>徐州市铜山区彭祖路4号财富中心5楼</w:t>
      </w:r>
      <w:r>
        <w:rPr>
          <w:rFonts w:hint="default" w:ascii="宋体" w:hAnsi="宋体" w:eastAsia="宋体" w:cs="宋体"/>
          <w:color w:val="000000"/>
          <w:sz w:val="24"/>
        </w:rPr>
        <w:t>。</w:t>
      </w:r>
    </w:p>
    <w:p w14:paraId="1D612AC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Times New Roman" w:hAnsi="Times New Roman" w:eastAsia="宋体" w:cs="Times New Roman"/>
        </w:rPr>
      </w:pPr>
      <w:r>
        <w:rPr>
          <w:rFonts w:hint="default" w:ascii="宋体" w:hAnsi="宋体" w:eastAsia="宋体" w:cs="宋体"/>
          <w:color w:val="000000"/>
          <w:sz w:val="28"/>
        </w:rPr>
        <w:t> </w:t>
      </w:r>
    </w:p>
    <w:p w14:paraId="28E292A0">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Times New Roman" w:hAnsi="Times New Roman" w:eastAsia="宋体" w:cs="Times New Roman"/>
        </w:rPr>
      </w:pPr>
      <w:r>
        <w:rPr>
          <w:rFonts w:hint="default" w:ascii="宋体" w:hAnsi="宋体" w:eastAsia="宋体" w:cs="宋体"/>
          <w:color w:val="000000"/>
          <w:sz w:val="28"/>
        </w:rPr>
        <w:t>第八章 其他</w:t>
      </w:r>
    </w:p>
    <w:p w14:paraId="77F669D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1、代理服务费由成交人向采购代理机构支付，收取标准见附件。</w:t>
      </w:r>
    </w:p>
    <w:p w14:paraId="3035E3E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2、成交结果在徐州政府采购网上公布。</w:t>
      </w:r>
    </w:p>
    <w:p w14:paraId="48F28B1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ascii="Times New Roman" w:hAnsi="Times New Roman" w:eastAsia="宋体" w:cs="Times New Roman"/>
          <w:lang w:eastAsia="zh-CN"/>
        </w:rPr>
      </w:pPr>
      <w:r>
        <w:rPr>
          <w:rFonts w:hint="default" w:ascii="宋体" w:hAnsi="宋体" w:eastAsia="宋体" w:cs="宋体"/>
          <w:color w:val="000000"/>
          <w:sz w:val="24"/>
        </w:rPr>
        <w:t>3、采购人：</w:t>
      </w:r>
      <w:r>
        <w:rPr>
          <w:rFonts w:hint="eastAsia" w:ascii="宋体" w:hAnsi="宋体" w:eastAsia="宋体" w:cs="宋体"/>
          <w:color w:val="000000"/>
          <w:sz w:val="24"/>
          <w:lang w:eastAsia="zh-CN"/>
        </w:rPr>
        <w:t xml:space="preserve"> 徐州市铜山区财政局</w:t>
      </w:r>
    </w:p>
    <w:p w14:paraId="01058F0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地址：</w:t>
      </w:r>
      <w:r>
        <w:rPr>
          <w:rFonts w:hint="eastAsia" w:ascii="宋体" w:hAnsi="宋体" w:eastAsia="宋体" w:cs="宋体"/>
          <w:color w:val="000000"/>
          <w:sz w:val="24"/>
          <w:lang w:eastAsia="zh-CN"/>
        </w:rPr>
        <w:t>徐州市铜山区嘉源大厦5楼</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w:t>
      </w:r>
    </w:p>
    <w:p w14:paraId="303EA91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ascii="宋体" w:hAnsi="宋体" w:eastAsia="宋体" w:cs="宋体"/>
          <w:color w:val="000000"/>
          <w:sz w:val="24"/>
          <w:lang w:val="en-US" w:eastAsia="zh-CN"/>
        </w:rPr>
      </w:pPr>
      <w:r>
        <w:rPr>
          <w:rFonts w:hint="default" w:ascii="宋体" w:hAnsi="宋体" w:eastAsia="宋体" w:cs="宋体"/>
          <w:color w:val="000000"/>
          <w:sz w:val="24"/>
        </w:rPr>
        <w:t>联系人：</w:t>
      </w:r>
      <w:r>
        <w:rPr>
          <w:rFonts w:hint="eastAsia" w:ascii="宋体" w:hAnsi="宋体" w:eastAsia="宋体" w:cs="宋体"/>
          <w:color w:val="000000"/>
          <w:sz w:val="24"/>
          <w:lang w:val="en-US" w:eastAsia="zh-CN"/>
        </w:rPr>
        <w:t xml:space="preserve">李长霖 </w:t>
      </w:r>
    </w:p>
    <w:p w14:paraId="494E294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ascii="Times New Roman" w:hAnsi="Times New Roman" w:eastAsia="宋体" w:cs="Times New Roman"/>
          <w:lang w:eastAsia="zh-CN"/>
        </w:rPr>
      </w:pPr>
      <w:r>
        <w:rPr>
          <w:rFonts w:hint="default" w:ascii="宋体" w:hAnsi="宋体" w:eastAsia="宋体" w:cs="宋体"/>
          <w:color w:val="000000"/>
          <w:sz w:val="24"/>
        </w:rPr>
        <w:t>联系电话：</w:t>
      </w:r>
      <w:r>
        <w:rPr>
          <w:rFonts w:hint="eastAsia" w:ascii="宋体" w:hAnsi="宋体" w:eastAsia="宋体" w:cs="宋体"/>
          <w:sz w:val="24"/>
          <w:szCs w:val="24"/>
          <w:highlight w:val="none"/>
          <w:lang w:val="en-US" w:eastAsia="zh-CN"/>
        </w:rPr>
        <w:t>0516-83535557</w:t>
      </w:r>
      <w:r>
        <w:rPr>
          <w:rFonts w:hint="eastAsia" w:ascii="宋体" w:hAnsi="宋体" w:eastAsia="宋体" w:cs="宋体"/>
          <w:color w:val="000000"/>
          <w:sz w:val="24"/>
          <w:lang w:val="en-US" w:eastAsia="zh-CN"/>
        </w:rPr>
        <w:t xml:space="preserve"> </w:t>
      </w:r>
    </w:p>
    <w:p w14:paraId="4A145023">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eastAsia" w:ascii="Times New Roman" w:hAnsi="Times New Roman" w:eastAsia="宋体" w:cs="Times New Roman"/>
          <w:lang w:eastAsia="zh-CN"/>
        </w:rPr>
      </w:pPr>
      <w:r>
        <w:rPr>
          <w:rFonts w:hint="default" w:ascii="宋体" w:hAnsi="宋体" w:eastAsia="宋体" w:cs="宋体"/>
          <w:color w:val="000000"/>
          <w:sz w:val="24"/>
        </w:rPr>
        <w:t>4、采购代理公司：</w:t>
      </w:r>
      <w:r>
        <w:rPr>
          <w:rFonts w:hint="eastAsia" w:ascii="宋体" w:hAnsi="宋体" w:eastAsia="宋体" w:cs="宋体"/>
          <w:color w:val="000000"/>
          <w:sz w:val="24"/>
          <w:lang w:eastAsia="zh-CN"/>
        </w:rPr>
        <w:t>江苏智汇锡建工程项目管理有限公司</w:t>
      </w:r>
    </w:p>
    <w:p w14:paraId="5C880C27">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default" w:ascii="Times New Roman" w:hAnsi="Times New Roman" w:eastAsia="宋体" w:cs="Times New Roman"/>
        </w:rPr>
      </w:pPr>
      <w:r>
        <w:rPr>
          <w:rFonts w:hint="default" w:ascii="宋体" w:hAnsi="宋体" w:eastAsia="宋体" w:cs="宋体"/>
          <w:color w:val="000000"/>
          <w:sz w:val="24"/>
        </w:rPr>
        <w:t>地址：</w:t>
      </w:r>
      <w:r>
        <w:rPr>
          <w:rFonts w:hint="eastAsia" w:ascii="宋体" w:hAnsi="宋体" w:eastAsia="宋体" w:cs="宋体"/>
          <w:color w:val="000000"/>
          <w:sz w:val="24"/>
          <w:lang w:eastAsia="zh-CN"/>
        </w:rPr>
        <w:t>徐州市铜山区彭祖路4号财富中心5楼</w:t>
      </w:r>
      <w:r>
        <w:rPr>
          <w:rFonts w:hint="default" w:ascii="宋体" w:hAnsi="宋体" w:eastAsia="宋体" w:cs="宋体"/>
          <w:color w:val="000000"/>
          <w:sz w:val="24"/>
        </w:rPr>
        <w:t>。</w:t>
      </w:r>
    </w:p>
    <w:p w14:paraId="361E6950">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eastAsia" w:ascii="宋体" w:hAnsi="宋体" w:eastAsia="宋体" w:cs="宋体"/>
          <w:color w:val="000000"/>
          <w:sz w:val="24"/>
          <w:lang w:val="en-US" w:eastAsia="zh-CN"/>
        </w:rPr>
      </w:pPr>
      <w:r>
        <w:rPr>
          <w:rFonts w:hint="default" w:ascii="宋体" w:hAnsi="宋体" w:eastAsia="宋体" w:cs="宋体"/>
          <w:color w:val="000000"/>
          <w:sz w:val="24"/>
        </w:rPr>
        <w:t>联系人：</w:t>
      </w:r>
      <w:r>
        <w:rPr>
          <w:rFonts w:hint="eastAsia" w:ascii="宋体" w:hAnsi="宋体" w:eastAsia="宋体" w:cs="宋体"/>
          <w:color w:val="000000"/>
          <w:sz w:val="24"/>
          <w:lang w:eastAsia="zh-CN"/>
        </w:rPr>
        <w:t>滕杭轩</w:t>
      </w:r>
      <w:r>
        <w:rPr>
          <w:rFonts w:hint="eastAsia" w:ascii="宋体" w:hAnsi="宋体" w:eastAsia="宋体" w:cs="宋体"/>
          <w:color w:val="000000"/>
          <w:sz w:val="24"/>
          <w:lang w:val="en-US" w:eastAsia="zh-CN"/>
        </w:rPr>
        <w:t xml:space="preserve"> </w:t>
      </w:r>
    </w:p>
    <w:p w14:paraId="653767D9">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eastAsia" w:ascii="Times New Roman" w:hAnsi="Times New Roman" w:eastAsia="宋体" w:cs="Times New Roman"/>
          <w:lang w:eastAsia="zh-CN"/>
        </w:rPr>
      </w:pPr>
      <w:r>
        <w:rPr>
          <w:rFonts w:hint="default" w:ascii="宋体" w:hAnsi="宋体" w:eastAsia="宋体" w:cs="宋体"/>
          <w:color w:val="000000"/>
          <w:sz w:val="24"/>
        </w:rPr>
        <w:t>联系电话：</w:t>
      </w:r>
      <w:r>
        <w:rPr>
          <w:rFonts w:hint="eastAsia" w:ascii="宋体" w:hAnsi="宋体" w:eastAsia="宋体" w:cs="宋体"/>
          <w:color w:val="000000"/>
          <w:sz w:val="24"/>
          <w:lang w:eastAsia="zh-CN"/>
        </w:rPr>
        <w:t>0516-83533877</w:t>
      </w:r>
    </w:p>
    <w:p w14:paraId="1C6FB2C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w:t>
      </w:r>
    </w:p>
    <w:p w14:paraId="4C65E47E">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Times New Roman" w:hAnsi="Times New Roman" w:eastAsia="宋体" w:cs="Times New Roman"/>
        </w:rPr>
        <w:br w:type="page" w:clear="all"/>
      </w:r>
    </w:p>
    <w:p w14:paraId="112FCC3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imes New Roman" w:hAnsi="Times New Roman" w:eastAsia="宋体" w:cs="Times New Roman"/>
        </w:rPr>
      </w:pPr>
      <w:r>
        <w:rPr>
          <w:rFonts w:hint="default" w:ascii="宋体" w:hAnsi="宋体" w:eastAsia="宋体" w:cs="宋体"/>
          <w:color w:val="000000"/>
          <w:sz w:val="28"/>
        </w:rPr>
        <w:t>第九章 附件</w:t>
      </w:r>
    </w:p>
    <w:p w14:paraId="47247AB2">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default" w:ascii="Times New Roman" w:hAnsi="Times New Roman" w:eastAsia="宋体" w:cs="Times New Roman"/>
        </w:rPr>
      </w:pPr>
      <w:r>
        <w:rPr>
          <w:rFonts w:hint="default" w:ascii="宋体" w:hAnsi="宋体" w:eastAsia="宋体" w:cs="宋体"/>
          <w:color w:val="000000"/>
          <w:sz w:val="24"/>
        </w:rPr>
        <w:t>1、《评分细则》</w:t>
      </w:r>
    </w:p>
    <w:p w14:paraId="0D61470E">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default" w:ascii="Times New Roman" w:hAnsi="Times New Roman" w:eastAsia="宋体" w:cs="Times New Roman"/>
        </w:rPr>
      </w:pPr>
      <w:r>
        <w:rPr>
          <w:rFonts w:hint="default" w:ascii="宋体" w:hAnsi="宋体" w:eastAsia="宋体" w:cs="宋体"/>
          <w:color w:val="000000"/>
          <w:sz w:val="24"/>
        </w:rPr>
        <w:t>2、《项目要求（采购需求）》</w:t>
      </w:r>
    </w:p>
    <w:p w14:paraId="724A0263">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default" w:ascii="Times New Roman" w:hAnsi="Times New Roman" w:eastAsia="宋体" w:cs="Times New Roman"/>
        </w:rPr>
      </w:pPr>
      <w:r>
        <w:rPr>
          <w:rFonts w:hint="default" w:ascii="宋体" w:hAnsi="宋体" w:eastAsia="宋体" w:cs="宋体"/>
          <w:color w:val="000000"/>
          <w:sz w:val="24"/>
        </w:rPr>
        <w:t>3、《磋商报价表》</w:t>
      </w:r>
    </w:p>
    <w:p w14:paraId="1B4D48B2">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default" w:ascii="Times New Roman" w:hAnsi="Times New Roman" w:eastAsia="宋体" w:cs="Times New Roman"/>
        </w:rPr>
      </w:pPr>
      <w:r>
        <w:rPr>
          <w:rFonts w:hint="default" w:ascii="宋体" w:hAnsi="宋体" w:eastAsia="宋体" w:cs="宋体"/>
          <w:color w:val="000000"/>
          <w:sz w:val="24"/>
        </w:rPr>
        <w:t>4、《分项价格表》</w:t>
      </w:r>
    </w:p>
    <w:p w14:paraId="7B1DE9F2">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default" w:ascii="Times New Roman" w:hAnsi="Times New Roman" w:eastAsia="宋体" w:cs="Times New Roman"/>
        </w:rPr>
      </w:pPr>
      <w:r>
        <w:rPr>
          <w:rFonts w:hint="default" w:ascii="宋体" w:hAnsi="宋体" w:eastAsia="宋体" w:cs="宋体"/>
          <w:color w:val="000000"/>
          <w:sz w:val="24"/>
        </w:rPr>
        <w:t>5、《偏离表》</w:t>
      </w:r>
    </w:p>
    <w:p w14:paraId="162BB8CB">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default" w:ascii="Times New Roman" w:hAnsi="Times New Roman" w:eastAsia="宋体" w:cs="Times New Roman"/>
        </w:rPr>
      </w:pPr>
      <w:r>
        <w:rPr>
          <w:rFonts w:hint="default" w:ascii="宋体" w:hAnsi="宋体" w:eastAsia="宋体" w:cs="宋体"/>
          <w:color w:val="000000"/>
          <w:sz w:val="24"/>
        </w:rPr>
        <w:t>6、《合同草案条款》</w:t>
      </w:r>
    </w:p>
    <w:p w14:paraId="462717F5">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default" w:ascii="Times New Roman" w:hAnsi="Times New Roman" w:eastAsia="宋体" w:cs="Times New Roman"/>
        </w:rPr>
      </w:pPr>
      <w:r>
        <w:rPr>
          <w:rFonts w:hint="default" w:ascii="宋体" w:hAnsi="宋体" w:eastAsia="宋体" w:cs="宋体"/>
          <w:color w:val="000000"/>
          <w:sz w:val="24"/>
        </w:rPr>
        <w:t>7、《承诺书》</w:t>
      </w:r>
    </w:p>
    <w:p w14:paraId="75F8FECA">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default" w:ascii="Times New Roman" w:hAnsi="Times New Roman" w:eastAsia="宋体" w:cs="Times New Roman"/>
        </w:rPr>
      </w:pPr>
      <w:r>
        <w:rPr>
          <w:rFonts w:hint="default" w:ascii="宋体" w:hAnsi="宋体" w:eastAsia="宋体" w:cs="宋体"/>
          <w:color w:val="000000"/>
          <w:sz w:val="24"/>
        </w:rPr>
        <w:t>8、《授权委托书》</w:t>
      </w:r>
    </w:p>
    <w:p w14:paraId="732BC970">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default" w:ascii="Times New Roman" w:hAnsi="Times New Roman" w:eastAsia="宋体" w:cs="Times New Roman"/>
        </w:rPr>
      </w:pPr>
      <w:r>
        <w:rPr>
          <w:rFonts w:hint="default" w:ascii="宋体" w:hAnsi="宋体" w:eastAsia="宋体" w:cs="宋体"/>
          <w:color w:val="000000"/>
          <w:sz w:val="24"/>
        </w:rPr>
        <w:t>9、《中小企业声明函》</w:t>
      </w:r>
    </w:p>
    <w:p w14:paraId="6BF02F43">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default" w:ascii="Times New Roman" w:hAnsi="Times New Roman" w:eastAsia="宋体" w:cs="Times New Roman"/>
        </w:rPr>
      </w:pPr>
      <w:r>
        <w:rPr>
          <w:rFonts w:hint="default" w:ascii="宋体" w:hAnsi="宋体" w:eastAsia="宋体" w:cs="宋体"/>
          <w:color w:val="000000"/>
          <w:sz w:val="24"/>
        </w:rPr>
        <w:t>10、《供应商参加政府采购活动前3年内在经营活动中没有重大违法记录的书面声明》</w:t>
      </w:r>
    </w:p>
    <w:p w14:paraId="76342D3F">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default" w:ascii="Times New Roman" w:hAnsi="Times New Roman" w:eastAsia="宋体" w:cs="Times New Roman"/>
        </w:rPr>
      </w:pPr>
      <w:r>
        <w:rPr>
          <w:rFonts w:hint="default" w:ascii="宋体" w:hAnsi="宋体" w:eastAsia="宋体" w:cs="宋体"/>
          <w:color w:val="000000"/>
          <w:sz w:val="24"/>
        </w:rPr>
        <w:t>11、《残疾人福利性单位声明函》</w:t>
      </w:r>
    </w:p>
    <w:p w14:paraId="65B818B1">
      <w:pPr>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default" w:ascii="宋体" w:hAnsi="宋体" w:eastAsia="宋体" w:cs="宋体"/>
          <w:color w:val="000000"/>
          <w:sz w:val="24"/>
        </w:rPr>
      </w:pPr>
      <w:r>
        <w:rPr>
          <w:rFonts w:hint="default" w:ascii="宋体" w:hAnsi="宋体" w:eastAsia="宋体" w:cs="宋体"/>
          <w:color w:val="000000"/>
          <w:sz w:val="24"/>
        </w:rPr>
        <w:t xml:space="preserve">12、《具备履行合同所必需的设备和专业技术能力的书面声明（附证明材料）格式》 </w:t>
      </w:r>
    </w:p>
    <w:p w14:paraId="42288CDD">
      <w:pPr>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default" w:ascii="宋体" w:hAnsi="宋体" w:eastAsia="宋体" w:cs="宋体"/>
          <w:color w:val="000000"/>
          <w:sz w:val="24"/>
        </w:rPr>
      </w:pPr>
      <w:r>
        <w:rPr>
          <w:rFonts w:hint="eastAsia" w:ascii="宋体" w:hAnsi="宋体" w:eastAsia="宋体" w:cs="宋体"/>
          <w:color w:val="000000"/>
          <w:sz w:val="24"/>
          <w:lang w:val="en-US" w:eastAsia="zh-CN"/>
        </w:rPr>
        <w:t>13、</w:t>
      </w:r>
      <w:r>
        <w:rPr>
          <w:rFonts w:hint="default" w:ascii="宋体" w:hAnsi="宋体" w:eastAsia="宋体" w:cs="宋体"/>
          <w:color w:val="000000"/>
          <w:sz w:val="24"/>
        </w:rPr>
        <w:t>《</w:t>
      </w:r>
      <w:r>
        <w:rPr>
          <w:rFonts w:hint="eastAsia" w:ascii="宋体" w:hAnsi="宋体" w:eastAsia="宋体" w:cs="宋体"/>
          <w:color w:val="000000"/>
          <w:sz w:val="24"/>
          <w:lang w:val="en-US" w:eastAsia="zh-CN"/>
        </w:rPr>
        <w:t>项目人员配备表</w:t>
      </w:r>
      <w:r>
        <w:rPr>
          <w:rFonts w:hint="default" w:ascii="宋体" w:hAnsi="宋体" w:eastAsia="宋体" w:cs="宋体"/>
          <w:color w:val="000000"/>
          <w:sz w:val="24"/>
        </w:rPr>
        <w:t>》</w:t>
      </w:r>
    </w:p>
    <w:p w14:paraId="6771AF61">
      <w:pPr>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default" w:ascii="宋体" w:hAnsi="宋体" w:eastAsia="宋体" w:cs="宋体"/>
          <w:color w:val="000000"/>
          <w:sz w:val="24"/>
        </w:rPr>
      </w:pPr>
      <w:r>
        <w:rPr>
          <w:rFonts w:hint="eastAsia" w:ascii="宋体" w:hAnsi="宋体" w:eastAsia="宋体" w:cs="宋体"/>
          <w:color w:val="000000"/>
          <w:sz w:val="24"/>
          <w:lang w:val="en-US" w:eastAsia="zh-CN"/>
        </w:rPr>
        <w:t>14、</w:t>
      </w:r>
      <w:r>
        <w:rPr>
          <w:rFonts w:hint="default" w:ascii="宋体" w:hAnsi="宋体" w:eastAsia="宋体" w:cs="宋体"/>
          <w:color w:val="000000"/>
          <w:sz w:val="24"/>
        </w:rPr>
        <w:t>《</w:t>
      </w:r>
      <w:r>
        <w:rPr>
          <w:rFonts w:hint="eastAsia" w:ascii="宋体" w:hAnsi="宋体" w:eastAsia="宋体" w:cs="宋体"/>
          <w:color w:val="000000"/>
          <w:sz w:val="24"/>
          <w:lang w:val="en-US" w:eastAsia="zh-CN"/>
        </w:rPr>
        <w:t>业绩一览表</w:t>
      </w:r>
      <w:r>
        <w:rPr>
          <w:rFonts w:hint="default" w:ascii="宋体" w:hAnsi="宋体" w:eastAsia="宋体" w:cs="宋体"/>
          <w:color w:val="000000"/>
          <w:sz w:val="24"/>
        </w:rPr>
        <w:t>》</w:t>
      </w:r>
    </w:p>
    <w:p w14:paraId="0A2B379B">
      <w:pPr>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default" w:ascii="宋体" w:hAnsi="宋体" w:eastAsia="宋体" w:cs="宋体"/>
          <w:color w:val="000000"/>
          <w:sz w:val="24"/>
        </w:rPr>
      </w:pPr>
      <w:r>
        <w:rPr>
          <w:rFonts w:hint="eastAsia" w:ascii="宋体" w:hAnsi="宋体" w:eastAsia="宋体" w:cs="宋体"/>
          <w:color w:val="000000"/>
          <w:sz w:val="24"/>
          <w:lang w:val="en-US" w:eastAsia="zh-CN"/>
        </w:rPr>
        <w:t>15、</w:t>
      </w:r>
      <w:r>
        <w:rPr>
          <w:rFonts w:hint="default" w:ascii="宋体" w:hAnsi="宋体" w:eastAsia="宋体" w:cs="宋体"/>
          <w:color w:val="000000"/>
          <w:sz w:val="24"/>
        </w:rPr>
        <w:t>《</w:t>
      </w:r>
      <w:r>
        <w:rPr>
          <w:rFonts w:hint="eastAsia" w:ascii="宋体" w:hAnsi="宋体" w:eastAsia="宋体" w:cs="宋体"/>
          <w:color w:val="000000"/>
          <w:sz w:val="24"/>
          <w:lang w:val="en-US" w:eastAsia="zh-CN"/>
        </w:rPr>
        <w:t>安全管理承诺书</w:t>
      </w:r>
      <w:r>
        <w:rPr>
          <w:rFonts w:hint="default" w:ascii="宋体" w:hAnsi="宋体" w:eastAsia="宋体" w:cs="宋体"/>
          <w:color w:val="000000"/>
          <w:sz w:val="24"/>
        </w:rPr>
        <w:t>》</w:t>
      </w:r>
    </w:p>
    <w:p w14:paraId="238708CD">
      <w:pPr>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default" w:ascii="宋体" w:hAnsi="宋体" w:eastAsia="宋体" w:cs="宋体"/>
          <w:color w:val="000000"/>
          <w:sz w:val="24"/>
        </w:rPr>
      </w:pPr>
      <w:r>
        <w:rPr>
          <w:rFonts w:hint="eastAsia" w:ascii="宋体" w:hAnsi="宋体" w:eastAsia="宋体" w:cs="宋体"/>
          <w:color w:val="000000"/>
          <w:sz w:val="24"/>
          <w:lang w:val="en-US" w:eastAsia="zh-CN"/>
        </w:rPr>
        <w:t>16、</w:t>
      </w:r>
      <w:r>
        <w:rPr>
          <w:rFonts w:hint="default" w:ascii="宋体" w:hAnsi="宋体" w:eastAsia="宋体" w:cs="宋体"/>
          <w:color w:val="000000"/>
          <w:sz w:val="24"/>
        </w:rPr>
        <w:t>《</w:t>
      </w:r>
      <w:r>
        <w:rPr>
          <w:rFonts w:hint="eastAsia" w:ascii="宋体" w:hAnsi="宋体" w:eastAsia="宋体" w:cs="宋体"/>
          <w:color w:val="000000"/>
          <w:sz w:val="24"/>
          <w:lang w:val="en-US" w:eastAsia="zh-CN"/>
        </w:rPr>
        <w:t>供应商相关承诺</w:t>
      </w:r>
      <w:r>
        <w:rPr>
          <w:rFonts w:hint="default" w:ascii="宋体" w:hAnsi="宋体" w:eastAsia="宋体" w:cs="宋体"/>
          <w:color w:val="000000"/>
          <w:sz w:val="24"/>
        </w:rPr>
        <w:t>》</w:t>
      </w:r>
    </w:p>
    <w:p w14:paraId="16056550">
      <w:pPr>
        <w:pBdr>
          <w:top w:val="none" w:color="000000" w:sz="0" w:space="0"/>
          <w:left w:val="none" w:color="000000" w:sz="0" w:space="0"/>
          <w:bottom w:val="none" w:color="000000" w:sz="0" w:space="0"/>
          <w:right w:val="none" w:color="000000" w:sz="0" w:space="0"/>
        </w:pBdr>
        <w:spacing w:before="0" w:after="0" w:line="400" w:lineRule="atLeast"/>
        <w:ind w:left="0" w:right="0" w:firstLine="482"/>
        <w:jc w:val="left"/>
        <w:rPr>
          <w:rFonts w:hint="default" w:ascii="Times New Roman" w:hAnsi="Times New Roman" w:eastAsia="宋体" w:cs="Times New Roman"/>
        </w:rPr>
      </w:pPr>
      <w:r>
        <w:rPr>
          <w:rFonts w:hint="eastAsia" w:ascii="宋体" w:hAnsi="宋体" w:eastAsia="宋体" w:cs="宋体"/>
          <w:color w:val="000000"/>
          <w:sz w:val="24"/>
          <w:lang w:val="en-US" w:eastAsia="zh-CN"/>
        </w:rPr>
        <w:t>17、</w:t>
      </w:r>
      <w:r>
        <w:rPr>
          <w:rFonts w:hint="default" w:ascii="宋体" w:hAnsi="宋体" w:eastAsia="宋体" w:cs="宋体"/>
          <w:color w:val="000000"/>
          <w:sz w:val="24"/>
        </w:rPr>
        <w:t>《</w:t>
      </w:r>
      <w:r>
        <w:rPr>
          <w:rFonts w:hint="eastAsia" w:ascii="宋体" w:hAnsi="宋体" w:eastAsia="宋体" w:cs="宋体"/>
          <w:color w:val="000000"/>
          <w:sz w:val="24"/>
          <w:lang w:val="en-US" w:eastAsia="zh-CN"/>
        </w:rPr>
        <w:t>供应商书面说明</w:t>
      </w:r>
      <w:r>
        <w:rPr>
          <w:rFonts w:hint="default" w:ascii="宋体" w:hAnsi="宋体" w:eastAsia="宋体" w:cs="宋体"/>
          <w:color w:val="000000"/>
          <w:sz w:val="24"/>
        </w:rPr>
        <w:t>》</w:t>
      </w:r>
      <w:r>
        <w:rPr>
          <w:rFonts w:hint="default" w:ascii="宋体" w:hAnsi="宋体" w:eastAsia="宋体" w:cs="宋体"/>
          <w:color w:val="000000"/>
          <w:sz w:val="24"/>
        </w:rPr>
        <w:br w:type="textWrapping"/>
      </w:r>
      <w:r>
        <w:rPr>
          <w:rFonts w:hint="default" w:ascii="宋体" w:hAnsi="宋体" w:eastAsia="宋体" w:cs="宋体"/>
          <w:color w:val="000000"/>
          <w:sz w:val="24"/>
        </w:rPr>
        <w:t>  1</w:t>
      </w:r>
      <w:r>
        <w:rPr>
          <w:rFonts w:hint="eastAsia" w:ascii="宋体" w:hAnsi="宋体" w:eastAsia="宋体" w:cs="宋体"/>
          <w:color w:val="000000"/>
          <w:sz w:val="24"/>
          <w:lang w:val="en-US" w:eastAsia="zh-CN"/>
        </w:rPr>
        <w:t>8</w:t>
      </w:r>
      <w:r>
        <w:rPr>
          <w:rFonts w:hint="default" w:ascii="宋体" w:hAnsi="宋体" w:eastAsia="宋体" w:cs="宋体"/>
          <w:color w:val="000000"/>
          <w:sz w:val="24"/>
        </w:rPr>
        <w:t>、《预付款保函支付条款模板》</w:t>
      </w:r>
    </w:p>
    <w:p w14:paraId="3FEEF3E6">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default" w:ascii="Times New Roman" w:hAnsi="Times New Roman" w:eastAsia="宋体" w:cs="Times New Roman"/>
        </w:rPr>
      </w:pPr>
      <w:r>
        <w:rPr>
          <w:rFonts w:hint="default" w:ascii="宋体" w:hAnsi="宋体" w:eastAsia="宋体" w:cs="宋体"/>
          <w:color w:val="000000"/>
          <w:sz w:val="24"/>
        </w:rPr>
        <w:t>1</w:t>
      </w:r>
      <w:r>
        <w:rPr>
          <w:rFonts w:hint="eastAsia" w:ascii="宋体" w:hAnsi="宋体" w:eastAsia="宋体" w:cs="宋体"/>
          <w:color w:val="000000"/>
          <w:sz w:val="24"/>
          <w:lang w:val="en-US" w:eastAsia="zh-CN"/>
        </w:rPr>
        <w:t>9</w:t>
      </w:r>
      <w:r>
        <w:rPr>
          <w:rFonts w:hint="default" w:ascii="宋体" w:hAnsi="宋体" w:eastAsia="宋体" w:cs="宋体"/>
          <w:color w:val="000000"/>
          <w:sz w:val="24"/>
        </w:rPr>
        <w:t>、《代理服务收费标准》</w:t>
      </w:r>
    </w:p>
    <w:p w14:paraId="0C2EA20E">
      <w:pPr>
        <w:pBdr>
          <w:top w:val="none" w:color="000000" w:sz="0" w:space="0"/>
          <w:left w:val="none" w:color="000000" w:sz="0" w:space="0"/>
          <w:bottom w:val="none" w:color="000000" w:sz="0" w:space="0"/>
          <w:right w:val="none" w:color="000000" w:sz="0" w:space="0"/>
        </w:pBdr>
        <w:spacing w:before="0" w:after="0" w:line="85" w:lineRule="atLeast"/>
        <w:ind w:left="0" w:right="0" w:firstLine="480"/>
        <w:jc w:val="right"/>
        <w:rPr>
          <w:rFonts w:hint="default" w:ascii="Times New Roman" w:hAnsi="Times New Roman" w:eastAsia="宋体" w:cs="Times New Roman"/>
        </w:rPr>
      </w:pPr>
      <w:r>
        <w:rPr>
          <w:rFonts w:hint="default" w:ascii="宋体" w:hAnsi="宋体" w:eastAsia="宋体" w:cs="宋体"/>
          <w:color w:val="000000"/>
          <w:sz w:val="24"/>
        </w:rPr>
        <w:t>202</w:t>
      </w:r>
      <w:r>
        <w:rPr>
          <w:rFonts w:hint="eastAsia" w:ascii="宋体" w:hAnsi="宋体" w:eastAsia="宋体" w:cs="宋体"/>
          <w:color w:val="000000"/>
          <w:sz w:val="24"/>
          <w:lang w:val="en-US" w:eastAsia="zh-CN"/>
        </w:rPr>
        <w:t>6</w:t>
      </w:r>
      <w:r>
        <w:rPr>
          <w:rFonts w:hint="default" w:ascii="宋体" w:hAnsi="宋体" w:eastAsia="宋体" w:cs="宋体"/>
          <w:color w:val="000000"/>
          <w:sz w:val="24"/>
        </w:rPr>
        <w:t>年</w:t>
      </w:r>
      <w:r>
        <w:rPr>
          <w:rFonts w:hint="eastAsia" w:ascii="宋体" w:hAnsi="宋体" w:eastAsia="宋体" w:cs="宋体"/>
          <w:color w:val="000000"/>
          <w:sz w:val="24"/>
          <w:lang w:val="en-US" w:eastAsia="zh-CN"/>
        </w:rPr>
        <w:t>9</w:t>
      </w:r>
      <w:r>
        <w:rPr>
          <w:rFonts w:hint="default" w:ascii="宋体" w:hAnsi="宋体" w:eastAsia="宋体" w:cs="宋体"/>
          <w:color w:val="000000"/>
          <w:sz w:val="24"/>
        </w:rPr>
        <w:t>月</w:t>
      </w:r>
      <w:r>
        <w:rPr>
          <w:rFonts w:hint="eastAsia" w:ascii="宋体" w:hAnsi="宋体" w:eastAsia="宋体" w:cs="宋体"/>
          <w:color w:val="000000"/>
          <w:sz w:val="24"/>
          <w:lang w:val="en-US" w:eastAsia="zh-CN"/>
        </w:rPr>
        <w:t>8</w:t>
      </w:r>
      <w:r>
        <w:rPr>
          <w:rFonts w:hint="default" w:ascii="宋体" w:hAnsi="宋体" w:eastAsia="宋体" w:cs="宋体"/>
          <w:color w:val="000000"/>
          <w:sz w:val="24"/>
        </w:rPr>
        <w:t>日</w:t>
      </w:r>
    </w:p>
    <w:p w14:paraId="1138C480">
      <w:pPr>
        <w:numPr>
          <w:ilvl w:val="0"/>
          <w:numId w:val="1"/>
        </w:numPr>
        <w:pBdr>
          <w:top w:val="none" w:color="000000" w:sz="0" w:space="0"/>
          <w:left w:val="none" w:color="000000" w:sz="0" w:space="0"/>
          <w:bottom w:val="none" w:color="000000" w:sz="0" w:space="0"/>
          <w:right w:val="none" w:color="000000" w:sz="0" w:space="0"/>
        </w:pBdr>
        <w:spacing w:before="0" w:after="0"/>
        <w:ind w:left="2310"/>
        <w:jc w:val="center"/>
        <w:rPr>
          <w:rFonts w:hint="default" w:ascii="Times New Roman" w:hAnsi="Times New Roman" w:eastAsia="宋体" w:cs="Times New Roman"/>
        </w:rPr>
      </w:pPr>
      <w:r>
        <w:rPr>
          <w:rFonts w:hint="default" w:ascii="Times New Roman" w:hAnsi="Times New Roman" w:eastAsia="宋体" w:cs="Times New Roman"/>
        </w:rPr>
        <w:br w:type="page" w:clear="all"/>
      </w:r>
    </w:p>
    <w:p w14:paraId="55AEDAD0">
      <w:pPr>
        <w:numPr>
          <w:ilvl w:val="0"/>
          <w:numId w:val="0"/>
        </w:numPr>
        <w:pBdr>
          <w:top w:val="none" w:color="000000" w:sz="0" w:space="0"/>
          <w:left w:val="none" w:color="000000" w:sz="0" w:space="0"/>
          <w:bottom w:val="none" w:color="000000" w:sz="0" w:space="0"/>
          <w:right w:val="none" w:color="000000" w:sz="0" w:space="0"/>
        </w:pBdr>
        <w:spacing w:before="0" w:after="0"/>
        <w:jc w:val="center"/>
        <w:rPr>
          <w:rFonts w:hint="default" w:ascii="Times New Roman" w:hAnsi="Times New Roman" w:eastAsia="宋体" w:cs="Times New Roman"/>
        </w:rPr>
      </w:pPr>
      <w:r>
        <w:rPr>
          <w:rFonts w:hint="eastAsia" w:ascii="宋体" w:hAnsi="宋体" w:eastAsia="宋体" w:cs="宋体"/>
          <w:b/>
          <w:color w:val="000000"/>
          <w:sz w:val="36"/>
          <w:lang w:val="en-US" w:eastAsia="zh-CN"/>
        </w:rPr>
        <w:t>1、</w:t>
      </w:r>
      <w:r>
        <w:rPr>
          <w:rFonts w:hint="default" w:ascii="宋体" w:hAnsi="宋体" w:eastAsia="宋体" w:cs="宋体"/>
          <w:b/>
          <w:color w:val="000000"/>
          <w:sz w:val="36"/>
        </w:rPr>
        <w:t>评分细则</w:t>
      </w:r>
    </w:p>
    <w:tbl>
      <w:tblPr>
        <w:tblStyle w:val="29"/>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1088"/>
        <w:gridCol w:w="8147"/>
      </w:tblGrid>
      <w:tr w14:paraId="4F4CA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2012" w:type="dxa"/>
            <w:gridSpan w:val="2"/>
            <w:noWrap w:val="0"/>
            <w:vAlign w:val="center"/>
          </w:tcPr>
          <w:p w14:paraId="1D5E5BB9">
            <w:pPr>
              <w:widowControl/>
              <w:jc w:val="center"/>
              <w:rPr>
                <w:rFonts w:hint="eastAsia" w:ascii="宋体" w:hAnsi="宋体" w:eastAsia="宋体" w:cs="宋体"/>
                <w:color w:val="000000"/>
                <w:sz w:val="24"/>
                <w:szCs w:val="24"/>
                <w:highlight w:val="none"/>
                <w:lang w:val="en-US" w:eastAsia="zh-Hans"/>
              </w:rPr>
            </w:pPr>
            <w:r>
              <w:rPr>
                <w:rFonts w:hint="eastAsia" w:ascii="宋体" w:hAnsi="宋体" w:eastAsia="宋体" w:cs="宋体"/>
                <w:color w:val="000000"/>
                <w:sz w:val="24"/>
                <w:szCs w:val="24"/>
                <w:highlight w:val="none"/>
                <w:lang w:val="en-US" w:eastAsia="zh-CN"/>
              </w:rPr>
              <w:t>项目分值</w:t>
            </w:r>
          </w:p>
        </w:tc>
        <w:tc>
          <w:tcPr>
            <w:tcW w:w="8147" w:type="dxa"/>
            <w:noWrap w:val="0"/>
            <w:vAlign w:val="center"/>
          </w:tcPr>
          <w:p w14:paraId="1EB40849">
            <w:pPr>
              <w:widowControl/>
              <w:jc w:val="center"/>
              <w:rPr>
                <w:rFonts w:hint="eastAsia" w:ascii="宋体" w:hAnsi="宋体" w:eastAsia="宋体" w:cs="宋体"/>
                <w:color w:val="000000"/>
                <w:sz w:val="24"/>
                <w:szCs w:val="24"/>
                <w:highlight w:val="none"/>
                <w:lang w:val="en-US" w:eastAsia="zh-Hans"/>
              </w:rPr>
            </w:pPr>
            <w:r>
              <w:rPr>
                <w:rFonts w:hint="eastAsia" w:ascii="宋体" w:hAnsi="宋体" w:eastAsia="宋体" w:cs="宋体"/>
                <w:color w:val="000000"/>
                <w:sz w:val="24"/>
                <w:szCs w:val="24"/>
                <w:highlight w:val="none"/>
                <w:lang w:val="en-US" w:eastAsia="zh-CN"/>
              </w:rPr>
              <w:t>评分标准</w:t>
            </w:r>
          </w:p>
        </w:tc>
      </w:tr>
      <w:tr w14:paraId="0A230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1" w:hRule="atLeast"/>
          <w:jc w:val="center"/>
        </w:trPr>
        <w:tc>
          <w:tcPr>
            <w:tcW w:w="2012" w:type="dxa"/>
            <w:gridSpan w:val="2"/>
            <w:noWrap w:val="0"/>
            <w:vAlign w:val="center"/>
          </w:tcPr>
          <w:p w14:paraId="29D96666">
            <w:pPr>
              <w:widowControl/>
              <w:ind w:firstLine="66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报价</w:t>
            </w:r>
          </w:p>
          <w:p w14:paraId="169D7600">
            <w:pPr>
              <w:widowControl/>
              <w:ind w:firstLine="4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（10分）</w:t>
            </w:r>
          </w:p>
        </w:tc>
        <w:tc>
          <w:tcPr>
            <w:tcW w:w="8147" w:type="dxa"/>
            <w:noWrap w:val="0"/>
            <w:vAlign w:val="center"/>
          </w:tcPr>
          <w:p w14:paraId="0329A999">
            <w:pPr>
              <w:widowControl/>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采用低价优先法计算，即满足磋商文件要求且最后报价最低的供应商的价格为磋商基准价，其价格分为满分。其他供应商的价格分统一按照下列公式计算：磋商报价得分=（磋商基准价/最后磋商报价）×10</w:t>
            </w:r>
          </w:p>
          <w:p w14:paraId="79971E99">
            <w:pPr>
              <w:widowControl/>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（按四舍五入取至小数点后两位）</w:t>
            </w:r>
          </w:p>
          <w:p w14:paraId="3683B5CF">
            <w:pPr>
              <w:widowControl/>
              <w:jc w:val="lef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p>
        </w:tc>
      </w:tr>
      <w:tr w14:paraId="280CD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2" w:hRule="atLeast"/>
          <w:jc w:val="center"/>
        </w:trPr>
        <w:tc>
          <w:tcPr>
            <w:tcW w:w="924" w:type="dxa"/>
            <w:vMerge w:val="restart"/>
            <w:noWrap w:val="0"/>
            <w:vAlign w:val="center"/>
          </w:tcPr>
          <w:p w14:paraId="1A72DE65">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Hans"/>
              </w:rPr>
              <w:t>技术部分</w:t>
            </w:r>
            <w:r>
              <w:rPr>
                <w:rFonts w:hint="eastAsia" w:ascii="宋体" w:hAnsi="宋体" w:eastAsia="宋体" w:cs="宋体"/>
                <w:color w:val="000000"/>
                <w:sz w:val="24"/>
                <w:szCs w:val="24"/>
                <w:highlight w:val="none"/>
                <w:lang w:val="en-US" w:eastAsia="zh-CN"/>
              </w:rPr>
              <w:t>（77.5分）</w:t>
            </w:r>
          </w:p>
        </w:tc>
        <w:tc>
          <w:tcPr>
            <w:tcW w:w="1088" w:type="dxa"/>
            <w:noWrap w:val="0"/>
            <w:vAlign w:val="center"/>
          </w:tcPr>
          <w:p w14:paraId="6E893673">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设备技术及功能要求（2</w:t>
            </w:r>
            <w:r>
              <w:rPr>
                <w:rFonts w:hint="eastAsia" w:ascii="宋体" w:hAnsi="宋体" w:cs="宋体"/>
                <w:color w:val="000000" w:themeColor="text1"/>
                <w:sz w:val="24"/>
                <w:lang w:val="en-US" w:eastAsia="zh-CN"/>
                <w14:textFill>
                  <w14:solidFill>
                    <w14:schemeClr w14:val="tx1"/>
                  </w14:solidFill>
                </w14:textFill>
              </w:rPr>
              <w:t>7.5</w:t>
            </w:r>
            <w:r>
              <w:rPr>
                <w:rFonts w:hint="eastAsia" w:ascii="宋体" w:hAnsi="宋体" w:cs="宋体"/>
                <w:color w:val="000000" w:themeColor="text1"/>
                <w:sz w:val="24"/>
                <w14:textFill>
                  <w14:solidFill>
                    <w14:schemeClr w14:val="tx1"/>
                  </w14:solidFill>
                </w14:textFill>
              </w:rPr>
              <w:t>分）</w:t>
            </w:r>
          </w:p>
        </w:tc>
        <w:tc>
          <w:tcPr>
            <w:tcW w:w="8147" w:type="dxa"/>
            <w:noWrap w:val="0"/>
            <w:vAlign w:val="center"/>
          </w:tcPr>
          <w:p w14:paraId="704FD5F0">
            <w:pPr>
              <w:spacing w:line="400" w:lineRule="exact"/>
              <w:ind w:firstLine="24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供应商所投产品技术参数全部满足招标文件要求的得满分</w:t>
            </w:r>
            <w:r>
              <w:rPr>
                <w:rFonts w:hint="eastAsia" w:ascii="宋体" w:hAnsi="宋体" w:cs="宋体"/>
                <w:color w:val="000000" w:themeColor="text1"/>
                <w:sz w:val="24"/>
                <w:lang w:val="en-US" w:eastAsia="zh-CN"/>
                <w14:textFill>
                  <w14:solidFill>
                    <w14:schemeClr w14:val="tx1"/>
                  </w14:solidFill>
                </w14:textFill>
              </w:rPr>
              <w:t>27.5</w:t>
            </w:r>
            <w:r>
              <w:rPr>
                <w:rFonts w:hint="eastAsia" w:ascii="宋体" w:hAnsi="宋体" w:cs="宋体"/>
                <w:color w:val="000000" w:themeColor="text1"/>
                <w:sz w:val="24"/>
                <w14:textFill>
                  <w14:solidFill>
                    <w14:schemeClr w14:val="tx1"/>
                  </w14:solidFill>
                </w14:textFill>
              </w:rPr>
              <w:t>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打“▲”号的技术参数，有1项负偏离扣</w:t>
            </w:r>
            <w:r>
              <w:rPr>
                <w:rFonts w:hint="eastAsia" w:ascii="宋体" w:hAnsi="宋体" w:cs="宋体"/>
                <w:color w:val="000000" w:themeColor="text1"/>
                <w:sz w:val="24"/>
                <w:lang w:val="en-US" w:eastAsia="zh-CN"/>
                <w14:textFill>
                  <w14:solidFill>
                    <w14:schemeClr w14:val="tx1"/>
                  </w14:solidFill>
                </w14:textFill>
              </w:rPr>
              <w:t>0.75</w:t>
            </w:r>
            <w:r>
              <w:rPr>
                <w:rFonts w:hint="eastAsia" w:ascii="宋体" w:hAnsi="宋体" w:cs="宋体"/>
                <w:color w:val="000000" w:themeColor="text1"/>
                <w:sz w:val="24"/>
                <w14:textFill>
                  <w14:solidFill>
                    <w14:schemeClr w14:val="tx1"/>
                  </w14:solidFill>
                </w14:textFill>
              </w:rPr>
              <w:t>分；其他未标识的参数如有负偏离，每1项扣</w:t>
            </w:r>
            <w:r>
              <w:rPr>
                <w:rFonts w:hint="eastAsia" w:ascii="宋体" w:hAnsi="宋体" w:cs="宋体"/>
                <w:color w:val="000000" w:themeColor="text1"/>
                <w:sz w:val="24"/>
                <w:lang w:val="en-US" w:eastAsia="zh-CN"/>
                <w14:textFill>
                  <w14:solidFill>
                    <w14:schemeClr w14:val="tx1"/>
                  </w14:solidFill>
                </w14:textFill>
              </w:rPr>
              <w:t>0.25</w:t>
            </w:r>
            <w:r>
              <w:rPr>
                <w:rFonts w:hint="eastAsia" w:ascii="宋体" w:hAnsi="宋体" w:cs="宋体"/>
                <w:color w:val="000000" w:themeColor="text1"/>
                <w:sz w:val="24"/>
                <w14:textFill>
                  <w14:solidFill>
                    <w14:schemeClr w14:val="tx1"/>
                  </w14:solidFill>
                </w14:textFill>
              </w:rPr>
              <w:t>分。扣完为止。</w:t>
            </w:r>
          </w:p>
          <w:p w14:paraId="30DC6B4F">
            <w:pPr>
              <w:spacing w:line="400" w:lineRule="exact"/>
              <w:ind w:firstLine="241"/>
              <w:rPr>
                <w:rFonts w:hint="eastAsia" w:ascii="宋体" w:hAnsi="宋体" w:eastAsia="宋体" w:cs="宋体"/>
                <w:color w:val="000000"/>
                <w:sz w:val="24"/>
                <w:szCs w:val="24"/>
                <w:highlight w:val="none"/>
                <w:lang w:val="en-US" w:eastAsia="zh-CN"/>
              </w:rPr>
            </w:pPr>
            <w:r>
              <w:rPr>
                <w:rFonts w:hint="eastAsia" w:ascii="宋体" w:hAnsi="宋体" w:cs="宋体"/>
                <w:b/>
                <w:bCs/>
                <w:color w:val="000000" w:themeColor="text1"/>
                <w:sz w:val="24"/>
                <w14:textFill>
                  <w14:solidFill>
                    <w14:schemeClr w14:val="tx1"/>
                  </w14:solidFill>
                </w14:textFill>
              </w:rPr>
              <w:t>供应商须按要求逐条响应，打“▲”号的按要求提供相关证明材料，否则不得分。</w:t>
            </w:r>
          </w:p>
        </w:tc>
      </w:tr>
      <w:tr w14:paraId="08E49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9" w:hRule="atLeast"/>
          <w:jc w:val="center"/>
        </w:trPr>
        <w:tc>
          <w:tcPr>
            <w:tcW w:w="924" w:type="dxa"/>
            <w:vMerge w:val="continue"/>
            <w:noWrap w:val="0"/>
            <w:vAlign w:val="center"/>
          </w:tcPr>
          <w:p w14:paraId="5756138E">
            <w:pPr>
              <w:widowControl/>
              <w:jc w:val="center"/>
              <w:rPr>
                <w:rFonts w:hint="eastAsia" w:ascii="宋体" w:hAnsi="宋体" w:eastAsia="宋体" w:cs="宋体"/>
                <w:color w:val="000000"/>
                <w:sz w:val="24"/>
                <w:szCs w:val="24"/>
                <w:highlight w:val="none"/>
                <w:lang w:val="en-US" w:eastAsia="zh-CN"/>
              </w:rPr>
            </w:pPr>
          </w:p>
        </w:tc>
        <w:tc>
          <w:tcPr>
            <w:tcW w:w="1088" w:type="dxa"/>
            <w:noWrap w:val="0"/>
            <w:vAlign w:val="center"/>
          </w:tcPr>
          <w:p w14:paraId="69969CDA">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总体方案</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10</w:t>
            </w:r>
            <w:r>
              <w:rPr>
                <w:rFonts w:hint="eastAsia" w:ascii="宋体" w:hAnsi="宋体" w:cs="宋体"/>
                <w:color w:val="000000" w:themeColor="text1"/>
                <w:sz w:val="24"/>
                <w14:textFill>
                  <w14:solidFill>
                    <w14:schemeClr w14:val="tx1"/>
                  </w14:solidFill>
                </w14:textFill>
              </w:rPr>
              <w:t>分）</w:t>
            </w:r>
          </w:p>
        </w:tc>
        <w:tc>
          <w:tcPr>
            <w:tcW w:w="8147" w:type="dxa"/>
            <w:noWrap w:val="0"/>
            <w:vAlign w:val="center"/>
          </w:tcPr>
          <w:p w14:paraId="2539EC14">
            <w:pPr>
              <w:spacing w:line="400" w:lineRule="exact"/>
              <w:ind w:firstLine="24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根据供应商提供总体服务方案的完整性、针对性、可行性等予以综合评审。方案内容包括但不限于项目组织、“三员”管理、设计方案、解决方案、安全方案、关键技术、工艺方案等。</w:t>
            </w:r>
          </w:p>
          <w:p w14:paraId="4BD26CEA">
            <w:pPr>
              <w:spacing w:line="400" w:lineRule="exact"/>
              <w:ind w:firstLine="240"/>
              <w:jc w:val="lef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1、总体方案设计科学、合理、可行，对关键技术、工艺有深入表述，解决方案完整、具体、经济、安全、切实可行，内容全面，措施得力的得</w:t>
            </w:r>
            <w:r>
              <w:rPr>
                <w:rFonts w:hint="eastAsia" w:ascii="宋体" w:hAnsi="宋体" w:cs="宋体"/>
                <w:color w:val="000000" w:themeColor="text1"/>
                <w:sz w:val="24"/>
                <w:lang w:val="en-US" w:eastAsia="zh-CN"/>
                <w14:textFill>
                  <w14:solidFill>
                    <w14:schemeClr w14:val="tx1"/>
                  </w14:solidFill>
                </w14:textFill>
              </w:rPr>
              <w:t>10</w:t>
            </w:r>
            <w:r>
              <w:rPr>
                <w:rFonts w:hint="eastAsia" w:ascii="宋体" w:hAnsi="宋体" w:cs="宋体"/>
                <w:color w:val="000000" w:themeColor="text1"/>
                <w:sz w:val="24"/>
                <w14:textFill>
                  <w14:solidFill>
                    <w14:schemeClr w14:val="tx1"/>
                  </w14:solidFill>
                </w14:textFill>
              </w:rPr>
              <w:t>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2、总体方案设计具有一定的科学性、合理性、可行性，对关键技术、工艺有具体表述，解决方案较完整、经济、安全、具有一定可行性，内容较全面，措施比较得力的得</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3、总体方案设计具有初步的科学性、合理性、可行性，对关键技术、工艺有一定表述，解决方案基本完整、具体、经济、安全、基本可行，内容基本全面，措施基本得力的得</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4、未提供任何内容的得0分。</w:t>
            </w:r>
          </w:p>
        </w:tc>
      </w:tr>
      <w:tr w14:paraId="4DC49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jc w:val="center"/>
        </w:trPr>
        <w:tc>
          <w:tcPr>
            <w:tcW w:w="924" w:type="dxa"/>
            <w:vMerge w:val="continue"/>
            <w:noWrap w:val="0"/>
            <w:vAlign w:val="center"/>
          </w:tcPr>
          <w:p w14:paraId="5F7C7064">
            <w:pPr>
              <w:widowControl/>
              <w:jc w:val="center"/>
              <w:rPr>
                <w:rFonts w:hint="eastAsia" w:ascii="宋体" w:hAnsi="宋体" w:eastAsia="宋体" w:cs="宋体"/>
                <w:color w:val="000000"/>
                <w:sz w:val="24"/>
                <w:szCs w:val="24"/>
                <w:highlight w:val="none"/>
                <w:lang w:val="en-US" w:eastAsia="zh-CN"/>
              </w:rPr>
            </w:pPr>
          </w:p>
        </w:tc>
        <w:tc>
          <w:tcPr>
            <w:tcW w:w="1088" w:type="dxa"/>
            <w:noWrap w:val="0"/>
            <w:vAlign w:val="center"/>
          </w:tcPr>
          <w:p w14:paraId="545E4029">
            <w:pPr>
              <w:rPr>
                <w:rFonts w:hint="eastAsia" w:ascii="宋体" w:hAnsi="宋体" w:eastAsia="宋体" w:cs="宋体"/>
                <w:color w:val="000000"/>
                <w:sz w:val="24"/>
                <w:szCs w:val="24"/>
                <w:highlight w:val="none"/>
                <w:lang w:val="en-US" w:eastAsia="zh-Hans"/>
              </w:rPr>
            </w:pPr>
            <w:r>
              <w:rPr>
                <w:rFonts w:hint="eastAsia" w:ascii="宋体" w:hAnsi="宋体" w:cs="宋体"/>
                <w:color w:val="000000" w:themeColor="text1"/>
                <w:sz w:val="24"/>
                <w14:textFill>
                  <w14:solidFill>
                    <w14:schemeClr w14:val="tx1"/>
                  </w14:solidFill>
                </w14:textFill>
              </w:rPr>
              <w:t>具体实施方案</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分）</w:t>
            </w:r>
          </w:p>
        </w:tc>
        <w:tc>
          <w:tcPr>
            <w:tcW w:w="8147" w:type="dxa"/>
            <w:noWrap w:val="0"/>
            <w:vAlign w:val="center"/>
          </w:tcPr>
          <w:p w14:paraId="2646487C">
            <w:pPr>
              <w:spacing w:line="400" w:lineRule="exact"/>
              <w:ind w:firstLine="24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根据供应商提供的项目实施组织设计路线的条理性、针对性、周密性等进行综合评审。方案内容包括但不限于节点部署、实施技术路线、物资储备、人力资源投入、安装调试、交付验收等。</w:t>
            </w:r>
          </w:p>
          <w:p w14:paraId="1FFE9F0B">
            <w:pPr>
              <w:spacing w:line="400" w:lineRule="exact"/>
              <w:ind w:firstLine="240"/>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1、实施方案科学、合理、针对性强，实施路线清晰、安装调试交付验收、服务成果节点提交承诺完整可行或高于满足项目需求的得</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2、实施方案比较科学、合理、比较具有针对性，实施路线比较清晰，安装调试交付验收、服务成果节点提交承诺满足项目需求的得</w:t>
            </w:r>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3、实施方案基本科学、合理、针对性不强，安装调试步骤基本清晰，安装调试交付验收、服务成果节点提交承诺基本符合本项目需求的得</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4、未提供任何内容的得0分。</w:t>
            </w:r>
          </w:p>
        </w:tc>
      </w:tr>
      <w:tr w14:paraId="1E7C7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6" w:hRule="atLeast"/>
          <w:jc w:val="center"/>
        </w:trPr>
        <w:tc>
          <w:tcPr>
            <w:tcW w:w="924" w:type="dxa"/>
            <w:vMerge w:val="continue"/>
            <w:noWrap w:val="0"/>
            <w:vAlign w:val="center"/>
          </w:tcPr>
          <w:p w14:paraId="60BF33C1">
            <w:pPr>
              <w:widowControl/>
              <w:jc w:val="center"/>
              <w:rPr>
                <w:rFonts w:hint="eastAsia" w:ascii="宋体" w:hAnsi="宋体" w:eastAsia="宋体" w:cs="宋体"/>
                <w:color w:val="000000"/>
                <w:sz w:val="24"/>
                <w:szCs w:val="24"/>
                <w:highlight w:val="none"/>
                <w:lang w:val="en-US" w:eastAsia="zh-CN"/>
              </w:rPr>
            </w:pPr>
          </w:p>
        </w:tc>
        <w:tc>
          <w:tcPr>
            <w:tcW w:w="1088" w:type="dxa"/>
            <w:noWrap w:val="0"/>
            <w:vAlign w:val="center"/>
          </w:tcPr>
          <w:p w14:paraId="347A4230">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项目进度保障方案</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（8分）</w:t>
            </w:r>
          </w:p>
        </w:tc>
        <w:tc>
          <w:tcPr>
            <w:tcW w:w="8147" w:type="dxa"/>
            <w:noWrap w:val="0"/>
            <w:vAlign w:val="center"/>
          </w:tcPr>
          <w:p w14:paraId="314D52DE">
            <w:pPr>
              <w:spacing w:line="400" w:lineRule="exact"/>
              <w:ind w:firstLine="24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根据供应商提供的项目进度实施计划、保障措施的针对性、合理性、可行性等予以综合评审。方案内容包括但不限于关键路线、节点、实施措施及进度计划保障措施等。</w:t>
            </w:r>
          </w:p>
          <w:p w14:paraId="7BE2D849">
            <w:pPr>
              <w:spacing w:line="400" w:lineRule="exact"/>
              <w:ind w:firstLine="240"/>
              <w:jc w:val="lef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1、项目实施计划编排合理、可行；业务衔接路线清晰、准确、完整；关键节点的控制措施得力、合理；进度保证措施可靠；施工措施具体、可行性强；保证措施可信、可行的得8分；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2、项目实施计划编排比较可行；业务衔接路线比较清晰；关键节点的控制措施比较得力、合理；进度保证措施比较可行；施工措施比较具体、可行；保证措施比较可信、可行的得5分；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3、项目实施计划编排具有一定的可行性；业务衔接路线基本清晰、关键节点控制措施基本得力、合理；进度保证措施比较可行；施工措施基本具体、可行；保证措施基本可信、可行的得2分；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4、未提供任何内容的得0分。</w:t>
            </w:r>
          </w:p>
        </w:tc>
      </w:tr>
      <w:tr w14:paraId="7AECC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4" w:hRule="atLeast"/>
          <w:jc w:val="center"/>
        </w:trPr>
        <w:tc>
          <w:tcPr>
            <w:tcW w:w="924" w:type="dxa"/>
            <w:vMerge w:val="continue"/>
            <w:noWrap w:val="0"/>
            <w:vAlign w:val="center"/>
          </w:tcPr>
          <w:p w14:paraId="553579E2">
            <w:pPr>
              <w:widowControl/>
              <w:jc w:val="center"/>
              <w:rPr>
                <w:rFonts w:hint="eastAsia" w:ascii="宋体" w:hAnsi="宋体" w:eastAsia="宋体" w:cs="宋体"/>
                <w:color w:val="000000"/>
                <w:sz w:val="24"/>
                <w:szCs w:val="24"/>
                <w:highlight w:val="none"/>
                <w:lang w:val="en-US" w:eastAsia="zh-CN"/>
              </w:rPr>
            </w:pPr>
          </w:p>
        </w:tc>
        <w:tc>
          <w:tcPr>
            <w:tcW w:w="1088" w:type="dxa"/>
            <w:noWrap w:val="0"/>
            <w:vAlign w:val="center"/>
          </w:tcPr>
          <w:p w14:paraId="50B9ED30">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项目质量保障方案</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分）</w:t>
            </w:r>
          </w:p>
        </w:tc>
        <w:tc>
          <w:tcPr>
            <w:tcW w:w="8147" w:type="dxa"/>
            <w:noWrap w:val="0"/>
            <w:vAlign w:val="center"/>
          </w:tcPr>
          <w:p w14:paraId="68EF8147">
            <w:pPr>
              <w:spacing w:line="400" w:lineRule="exact"/>
              <w:ind w:firstLine="24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根据供应商提供的确保项目实施质量的保障方案及其措施的可行性、针对性、完整性等予以综合评审。方案内容包括但不限于软件质量控制、硬件质量控制、施工建设质量、技术力量投入、安全保障措施等。</w:t>
            </w:r>
          </w:p>
          <w:p w14:paraId="5FBE08B3">
            <w:pPr>
              <w:spacing w:line="400" w:lineRule="exact"/>
              <w:ind w:firstLine="240"/>
              <w:jc w:val="lef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1、项目质量保障方案编排清晰、完整，合理、可行，关键节点控制措施合理、得力，质量保障措施具体、可行性强的得</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2、项目质量保障方案编排比较清晰、完整，关键节点控制措施比较合理、得力，质量保障措施比较具体、可行性的得</w:t>
            </w:r>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3、项目质量保障方案编排基本清晰、完整，关键节点控制措施基本合理、可行，质量保障措施不强的得</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4、未提供任何内容的得0分。</w:t>
            </w:r>
          </w:p>
        </w:tc>
      </w:tr>
      <w:tr w14:paraId="293D2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924" w:type="dxa"/>
            <w:vMerge w:val="continue"/>
            <w:noWrap w:val="0"/>
            <w:vAlign w:val="center"/>
          </w:tcPr>
          <w:p w14:paraId="6A7C6566">
            <w:pPr>
              <w:widowControl/>
              <w:jc w:val="center"/>
              <w:rPr>
                <w:rFonts w:hint="eastAsia" w:ascii="宋体" w:hAnsi="宋体" w:eastAsia="宋体" w:cs="宋体"/>
                <w:color w:val="000000"/>
                <w:sz w:val="24"/>
                <w:szCs w:val="24"/>
                <w:highlight w:val="none"/>
                <w:lang w:val="en-US" w:eastAsia="zh-CN"/>
              </w:rPr>
            </w:pPr>
          </w:p>
        </w:tc>
        <w:tc>
          <w:tcPr>
            <w:tcW w:w="1088" w:type="dxa"/>
            <w:noWrap w:val="0"/>
            <w:vAlign w:val="center"/>
          </w:tcPr>
          <w:p w14:paraId="576B4600">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应急突发事件处置</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方案</w:t>
            </w:r>
          </w:p>
          <w:p w14:paraId="325B21E2">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分）</w:t>
            </w:r>
          </w:p>
        </w:tc>
        <w:tc>
          <w:tcPr>
            <w:tcW w:w="8147" w:type="dxa"/>
            <w:noWrap w:val="0"/>
            <w:vAlign w:val="center"/>
          </w:tcPr>
          <w:p w14:paraId="59F68B9E">
            <w:pPr>
              <w:spacing w:line="400" w:lineRule="exact"/>
              <w:ind w:firstLine="24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根据供应商提供的确保本项目的应急处置预案的完整性、针对性、可操作性等予以综合评审。方案内容包括但不限于常规可预见的日常维护、突发事件应急处置备用物品储备、应急恢复措施及处置时限等。</w:t>
            </w:r>
          </w:p>
          <w:p w14:paraId="33EC168B">
            <w:pPr>
              <w:spacing w:line="400" w:lineRule="exact"/>
              <w:ind w:firstLine="240"/>
              <w:jc w:val="lef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1、针对本项目做出的应急突发事件处置预案，内容详细、具体，应急处置承诺迅速，恢复措施得力可行的得</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2、针对本项目做出的应急突发事件处置预案，内容比较全面、具体，应急处置承诺及时，恢复措施比较得力可行的得4分；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3、针对本项目做出的应急突发事件处置方案，内容基本全面、应急处置承诺不可行可信，恢复措施基本可行的得2分；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4、未提供任何内容的得0分。</w:t>
            </w:r>
          </w:p>
        </w:tc>
      </w:tr>
      <w:tr w14:paraId="03489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6" w:hRule="atLeast"/>
          <w:jc w:val="center"/>
        </w:trPr>
        <w:tc>
          <w:tcPr>
            <w:tcW w:w="924" w:type="dxa"/>
            <w:vMerge w:val="continue"/>
            <w:noWrap w:val="0"/>
            <w:vAlign w:val="center"/>
          </w:tcPr>
          <w:p w14:paraId="50C1F610">
            <w:pPr>
              <w:widowControl/>
              <w:jc w:val="center"/>
              <w:rPr>
                <w:rFonts w:hint="eastAsia" w:ascii="宋体" w:hAnsi="宋体" w:eastAsia="宋体" w:cs="宋体"/>
                <w:color w:val="000000"/>
                <w:sz w:val="24"/>
                <w:szCs w:val="24"/>
                <w:highlight w:val="none"/>
                <w:lang w:val="en-US" w:eastAsia="zh-CN"/>
              </w:rPr>
            </w:pPr>
          </w:p>
        </w:tc>
        <w:tc>
          <w:tcPr>
            <w:tcW w:w="1088" w:type="dxa"/>
            <w:noWrap w:val="0"/>
            <w:vAlign w:val="center"/>
          </w:tcPr>
          <w:p w14:paraId="3D67B4FE">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售后服务和培训方案</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分）</w:t>
            </w:r>
          </w:p>
        </w:tc>
        <w:tc>
          <w:tcPr>
            <w:tcW w:w="8147" w:type="dxa"/>
            <w:noWrap w:val="0"/>
            <w:vAlign w:val="center"/>
          </w:tcPr>
          <w:p w14:paraId="2A4A9F92">
            <w:pPr>
              <w:spacing w:line="400" w:lineRule="exact"/>
              <w:ind w:firstLine="241"/>
              <w:jc w:val="left"/>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根据供应商提供的售后服务方案完整性、及时性、个性化服务承诺等予以综合评审。售后服务方案内容包括但不限于售后服务内容与计划、免费运维期限、售后技术力量配备、故障恢复响应时间等运维服务相关承诺。（4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（1）售后服务方案完整，针对性强，服务体系完备、维护人员充足，响应时间短、措施合理，且提供了优于采购需求且具备可行性的特色服务的，得4分；</w:t>
            </w:r>
          </w:p>
          <w:p w14:paraId="1CE3ED9E">
            <w:pPr>
              <w:spacing w:line="400" w:lineRule="exact"/>
              <w:ind w:firstLine="24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（2）售后服务方案比较全面，比较具有针对性，具备一定的维护力量，响应时间基本满足需求的得2分；</w:t>
            </w:r>
          </w:p>
          <w:p w14:paraId="059A892E">
            <w:pPr>
              <w:spacing w:line="400" w:lineRule="exact"/>
              <w:ind w:firstLine="24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（3）售后服务体系不完整，针对性强，维护力量薄弱，服务响应速度慢的得1分；</w:t>
            </w:r>
          </w:p>
          <w:p w14:paraId="52AE6B40">
            <w:pPr>
              <w:spacing w:line="400" w:lineRule="exact"/>
              <w:ind w:firstLine="24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（4）未提供或所提供的方案完全不匹配项目实际情况，不具备可操作性的得0分。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bCs/>
                <w:color w:val="000000" w:themeColor="text1"/>
                <w:sz w:val="24"/>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根据供应商提供切合本项目的技术培训方案予以综合评审。内容包括但不限于培训对象、培训目的、培训流程、培训形式、培训内容、培训效果等。（</w:t>
            </w: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分）</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 xml:space="preserve">  （1）培训方案内容详细、覆盖全面、培训计划及进度安排合理的</w:t>
            </w: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分；</w:t>
            </w:r>
          </w:p>
          <w:p w14:paraId="69D0DDE1">
            <w:pPr>
              <w:spacing w:line="400" w:lineRule="exact"/>
              <w:ind w:firstLine="24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（2）培训方案内容简单、覆盖不全面、培训计划及进度安排不合理的得</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分；</w:t>
            </w:r>
          </w:p>
          <w:p w14:paraId="427E6D92">
            <w:pPr>
              <w:spacing w:line="400" w:lineRule="exact"/>
              <w:ind w:firstLine="240"/>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未提供的得0分。</w:t>
            </w:r>
          </w:p>
        </w:tc>
      </w:tr>
      <w:tr w14:paraId="6E23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8" w:hRule="atLeast"/>
          <w:jc w:val="center"/>
        </w:trPr>
        <w:tc>
          <w:tcPr>
            <w:tcW w:w="924" w:type="dxa"/>
            <w:vMerge w:val="restart"/>
            <w:noWrap w:val="0"/>
            <w:vAlign w:val="center"/>
          </w:tcPr>
          <w:p w14:paraId="1A4CC34B">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Hans"/>
              </w:rPr>
              <w:t>商务部分</w:t>
            </w:r>
            <w:r>
              <w:rPr>
                <w:rFonts w:hint="eastAsia" w:ascii="宋体" w:hAnsi="宋体" w:eastAsia="宋体" w:cs="宋体"/>
                <w:color w:val="000000"/>
                <w:sz w:val="24"/>
                <w:szCs w:val="24"/>
                <w:highlight w:val="none"/>
                <w:lang w:val="en-US" w:eastAsia="zh-CN"/>
              </w:rPr>
              <w:t>（12.5分）</w:t>
            </w:r>
          </w:p>
        </w:tc>
        <w:tc>
          <w:tcPr>
            <w:tcW w:w="1088" w:type="dxa"/>
            <w:noWrap w:val="0"/>
            <w:vAlign w:val="center"/>
          </w:tcPr>
          <w:p w14:paraId="2E846122">
            <w:pPr>
              <w:widowControl/>
              <w:jc w:val="both"/>
              <w:rPr>
                <w:rFonts w:hint="eastAsia" w:ascii="宋体" w:hAnsi="宋体" w:eastAsia="宋体" w:cs="宋体"/>
                <w:color w:val="000000"/>
                <w:sz w:val="24"/>
                <w:szCs w:val="24"/>
                <w:highlight w:val="none"/>
                <w:lang w:val="en-US" w:eastAsia="zh-CN"/>
              </w:rPr>
            </w:pPr>
            <w:r>
              <w:rPr>
                <w:rFonts w:hint="eastAsia" w:ascii="宋体" w:hAnsi="宋体" w:cs="宋体"/>
                <w:color w:val="000000"/>
                <w:sz w:val="24"/>
              </w:rPr>
              <w:t>企业</w:t>
            </w:r>
            <w:r>
              <w:rPr>
                <w:rFonts w:hint="eastAsia" w:ascii="宋体" w:hAnsi="宋体" w:cs="宋体"/>
                <w:color w:val="000000"/>
                <w:sz w:val="24"/>
                <w:lang w:val="en-US" w:eastAsia="zh-CN"/>
              </w:rPr>
              <w:t>实力</w:t>
            </w:r>
            <w:r>
              <w:rPr>
                <w:rFonts w:hint="eastAsia" w:ascii="宋体" w:hAnsi="宋体" w:cs="宋体"/>
                <w:color w:val="000000"/>
                <w:sz w:val="24"/>
              </w:rPr>
              <w:br w:type="textWrapping"/>
            </w:r>
            <w:r>
              <w:rPr>
                <w:rFonts w:hint="eastAsia" w:ascii="宋体" w:hAnsi="宋体" w:cs="宋体"/>
                <w:color w:val="000000"/>
                <w:sz w:val="24"/>
              </w:rPr>
              <w:t>（</w:t>
            </w:r>
            <w:r>
              <w:rPr>
                <w:rFonts w:hint="eastAsia" w:ascii="宋体" w:hAnsi="宋体" w:cs="宋体"/>
                <w:color w:val="000000"/>
                <w:sz w:val="24"/>
                <w:lang w:val="en-US" w:eastAsia="zh-CN"/>
              </w:rPr>
              <w:t>4</w:t>
            </w:r>
            <w:r>
              <w:rPr>
                <w:rFonts w:hint="eastAsia" w:ascii="宋体" w:hAnsi="宋体" w:cs="宋体"/>
                <w:color w:val="000000"/>
                <w:sz w:val="24"/>
              </w:rPr>
              <w:t>分）</w:t>
            </w:r>
          </w:p>
        </w:tc>
        <w:tc>
          <w:tcPr>
            <w:tcW w:w="8147" w:type="dxa"/>
            <w:noWrap w:val="0"/>
            <w:vAlign w:val="center"/>
          </w:tcPr>
          <w:p w14:paraId="454389BB">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right="0" w:firstLine="240"/>
              <w:jc w:val="both"/>
              <w:rPr>
                <w:rFonts w:hint="default" w:eastAsia="宋体"/>
                <w:highlight w:val="none"/>
                <w:lang w:val="en-US" w:eastAsia="zh-CN"/>
              </w:rPr>
            </w:pPr>
            <w:r>
              <w:rPr>
                <w:rFonts w:hint="eastAsia" w:ascii="宋体" w:hAnsi="宋体" w:eastAsia="宋体" w:cs="宋体"/>
                <w:color w:val="000000"/>
                <w:sz w:val="24"/>
                <w:szCs w:val="24"/>
                <w:highlight w:val="none"/>
              </w:rPr>
              <w:t>1、响应文件中</w:t>
            </w:r>
            <w:r>
              <w:rPr>
                <w:rFonts w:hint="eastAsia" w:ascii="宋体" w:hAnsi="宋体" w:eastAsia="宋体" w:cs="宋体"/>
                <w:color w:val="000000"/>
                <w:sz w:val="24"/>
                <w:szCs w:val="24"/>
                <w:highlight w:val="none"/>
                <w:lang w:val="en-US" w:eastAsia="zh-CN"/>
              </w:rPr>
              <w:t>同时</w:t>
            </w:r>
            <w:r>
              <w:rPr>
                <w:rFonts w:hint="eastAsia" w:ascii="宋体" w:hAnsi="宋体" w:eastAsia="宋体" w:cs="宋体"/>
                <w:color w:val="000000"/>
                <w:sz w:val="24"/>
                <w:szCs w:val="24"/>
                <w:highlight w:val="none"/>
              </w:rPr>
              <w:t>提供有效的ISO9001质量管理体系认证证书</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eastAsia="宋体" w:cs="宋体"/>
                <w:color w:val="000000"/>
                <w:sz w:val="24"/>
                <w:szCs w:val="24"/>
                <w:highlight w:val="none"/>
              </w:rPr>
              <w:t>ISO14001环境管理体系认证证书</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eastAsia="宋体" w:cs="宋体"/>
                <w:color w:val="000000"/>
                <w:sz w:val="24"/>
                <w:szCs w:val="24"/>
                <w:highlight w:val="none"/>
              </w:rPr>
              <w:t>ISO27001信息安全管理体系认证证书原件扫描件的得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val="en-US" w:eastAsia="zh-CN"/>
              </w:rPr>
              <w:t>缺一个不得分。</w:t>
            </w:r>
          </w:p>
          <w:p w14:paraId="22E7A81C">
            <w:pPr>
              <w:spacing w:line="400" w:lineRule="exact"/>
              <w:ind w:firstLine="241"/>
              <w:jc w:val="left"/>
              <w:rPr>
                <w:rFonts w:hint="eastAsia" w:ascii="宋体" w:hAnsi="宋体" w:eastAsia="宋体" w:cs="宋体"/>
                <w:b/>
                <w:bCs/>
                <w:color w:val="000000"/>
                <w:sz w:val="24"/>
              </w:rPr>
            </w:pPr>
            <w:r>
              <w:rPr>
                <w:rFonts w:hint="eastAsia" w:ascii="宋体" w:hAnsi="宋体" w:eastAsia="宋体" w:cs="宋体"/>
                <w:b/>
                <w:bCs/>
                <w:color w:val="000000"/>
                <w:sz w:val="24"/>
              </w:rPr>
              <w:t>以上证书要求同时提供国家市场监督管理总局全国认证认可信息公共服务平台（网址：http://cx.cnca.cn/CertECloud/result/skipResultList）有效截图证明，未提供</w:t>
            </w:r>
            <w:r>
              <w:rPr>
                <w:rFonts w:hint="eastAsia" w:ascii="宋体" w:hAnsi="宋体" w:eastAsia="宋体" w:cs="宋体"/>
                <w:b/>
                <w:bCs/>
                <w:color w:val="000000"/>
                <w:sz w:val="24"/>
                <w:lang w:val="en-US" w:eastAsia="zh-CN"/>
              </w:rPr>
              <w:t>全</w:t>
            </w:r>
            <w:r>
              <w:rPr>
                <w:rFonts w:hint="eastAsia" w:ascii="宋体" w:hAnsi="宋体" w:eastAsia="宋体" w:cs="宋体"/>
                <w:b/>
                <w:bCs/>
                <w:color w:val="000000"/>
                <w:sz w:val="24"/>
              </w:rPr>
              <w:t>不得分。</w:t>
            </w:r>
          </w:p>
          <w:p w14:paraId="3DC5B43C">
            <w:pPr>
              <w:widowControl/>
              <w:ind w:firstLine="24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lang w:val="en-US" w:eastAsia="zh-CN"/>
              </w:rPr>
              <w:t>2</w:t>
            </w:r>
            <w:r>
              <w:rPr>
                <w:rFonts w:hint="eastAsia" w:ascii="宋体" w:hAnsi="宋体" w:eastAsia="宋体" w:cs="宋体"/>
                <w:color w:val="000000"/>
                <w:sz w:val="24"/>
              </w:rPr>
              <w:t>、供应商或所投产品制</w:t>
            </w:r>
            <w:r>
              <w:rPr>
                <w:rFonts w:hint="eastAsia" w:ascii="宋体" w:hAnsi="宋体" w:eastAsia="宋体" w:cs="宋体"/>
                <w:color w:val="000000"/>
                <w:sz w:val="24"/>
                <w:highlight w:val="none"/>
              </w:rPr>
              <w:t>造商提供有效期内成品油综合智慧监管云平台类软件著作证书，提供</w:t>
            </w:r>
            <w:r>
              <w:rPr>
                <w:rFonts w:hint="eastAsia" w:ascii="宋体" w:hAnsi="宋体" w:eastAsia="宋体" w:cs="宋体"/>
                <w:color w:val="000000"/>
                <w:sz w:val="24"/>
                <w:highlight w:val="none"/>
                <w:lang w:val="en-US" w:eastAsia="zh-CN"/>
              </w:rPr>
              <w:t>1个</w:t>
            </w:r>
            <w:r>
              <w:rPr>
                <w:rFonts w:hint="eastAsia" w:ascii="宋体" w:hAnsi="宋体" w:eastAsia="宋体" w:cs="宋体"/>
                <w:color w:val="auto"/>
                <w:sz w:val="24"/>
                <w:highlight w:val="none"/>
                <w:lang w:val="en-US" w:eastAsia="zh-CN"/>
              </w:rPr>
              <w:t>原件扫描件</w:t>
            </w:r>
            <w:r>
              <w:rPr>
                <w:rFonts w:hint="eastAsia" w:ascii="宋体" w:hAnsi="宋体" w:eastAsia="宋体" w:cs="宋体"/>
                <w:color w:val="auto"/>
                <w:sz w:val="24"/>
                <w:highlight w:val="none"/>
              </w:rPr>
              <w:t>证</w:t>
            </w:r>
            <w:r>
              <w:rPr>
                <w:rFonts w:hint="eastAsia" w:ascii="宋体" w:hAnsi="宋体" w:eastAsia="宋体" w:cs="宋体"/>
                <w:color w:val="000000"/>
                <w:sz w:val="24"/>
                <w:highlight w:val="none"/>
              </w:rPr>
              <w:t>书得</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分</w:t>
            </w:r>
            <w:r>
              <w:rPr>
                <w:rFonts w:hint="eastAsia" w:ascii="宋体" w:hAnsi="宋体" w:eastAsia="宋体" w:cs="宋体"/>
                <w:color w:val="000000"/>
                <w:sz w:val="24"/>
                <w:highlight w:val="none"/>
                <w:lang w:eastAsia="zh-CN"/>
              </w:rPr>
              <w:t>，本项最高得1分</w:t>
            </w:r>
            <w:r>
              <w:rPr>
                <w:rFonts w:hint="eastAsia" w:ascii="宋体" w:hAnsi="宋体" w:eastAsia="宋体" w:cs="宋体"/>
                <w:color w:val="000000"/>
                <w:sz w:val="24"/>
                <w:highlight w:val="none"/>
              </w:rPr>
              <w:t>。</w:t>
            </w:r>
          </w:p>
        </w:tc>
      </w:tr>
      <w:tr w14:paraId="18692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924" w:type="dxa"/>
            <w:vMerge w:val="continue"/>
            <w:noWrap w:val="0"/>
            <w:vAlign w:val="center"/>
          </w:tcPr>
          <w:p w14:paraId="241E512D">
            <w:pPr>
              <w:widowControl/>
              <w:jc w:val="center"/>
              <w:rPr>
                <w:rFonts w:hint="eastAsia" w:ascii="宋体" w:hAnsi="宋体" w:eastAsia="宋体" w:cs="宋体"/>
                <w:color w:val="000000"/>
                <w:sz w:val="24"/>
                <w:szCs w:val="24"/>
                <w:highlight w:val="none"/>
                <w:lang w:val="en-US" w:eastAsia="zh-CN"/>
              </w:rPr>
            </w:pPr>
          </w:p>
        </w:tc>
        <w:tc>
          <w:tcPr>
            <w:tcW w:w="1088" w:type="dxa"/>
            <w:shd w:val="clear" w:color="auto" w:fill="auto"/>
            <w:noWrap w:val="0"/>
            <w:vAlign w:val="center"/>
          </w:tcPr>
          <w:p w14:paraId="4DACF4B0">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人员能力</w:t>
            </w:r>
            <w:r>
              <w:rPr>
                <w:rFonts w:hint="eastAsia" w:ascii="宋体" w:hAnsi="宋体" w:cs="宋体"/>
                <w:color w:val="000000" w:themeColor="text1"/>
                <w:sz w:val="24"/>
                <w14:textFill>
                  <w14:solidFill>
                    <w14:schemeClr w14:val="tx1"/>
                  </w14:solidFill>
                </w14:textFill>
              </w:rPr>
              <w:br w:type="textWrapping"/>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4.5</w:t>
            </w:r>
            <w:r>
              <w:rPr>
                <w:rFonts w:hint="eastAsia" w:ascii="宋体" w:hAnsi="宋体" w:cs="宋体"/>
                <w:color w:val="000000" w:themeColor="text1"/>
                <w:sz w:val="24"/>
                <w14:textFill>
                  <w14:solidFill>
                    <w14:schemeClr w14:val="tx1"/>
                  </w14:solidFill>
                </w14:textFill>
              </w:rPr>
              <w:t>分）</w:t>
            </w:r>
          </w:p>
        </w:tc>
        <w:tc>
          <w:tcPr>
            <w:tcW w:w="8147" w:type="dxa"/>
            <w:shd w:val="clear" w:color="auto" w:fill="auto"/>
            <w:noWrap w:val="0"/>
            <w:vAlign w:val="center"/>
          </w:tcPr>
          <w:p w14:paraId="25A77A18">
            <w:pPr>
              <w:spacing w:line="400" w:lineRule="exact"/>
              <w:ind w:firstLine="24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1、项目负责人：</w:t>
            </w:r>
          </w:p>
          <w:p w14:paraId="18F5CDD6">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firstLine="240"/>
              <w:jc w:val="both"/>
              <w:rPr>
                <w:rFonts w:hint="eastAsia" w:ascii="宋体" w:hAnsi="宋体" w:cs="宋体"/>
                <w:color w:val="000000" w:themeColor="text1"/>
                <w:sz w:val="24"/>
                <w14:textFill>
                  <w14:solidFill>
                    <w14:schemeClr w14:val="tx1"/>
                  </w14:solidFill>
                </w14:textFill>
              </w:rPr>
            </w:pPr>
            <w:r>
              <w:rPr>
                <w:rFonts w:hint="eastAsia" w:ascii="宋体" w:hAnsi="宋体" w:eastAsia="宋体" w:cs="宋体"/>
                <w:color w:val="000000"/>
                <w:sz w:val="24"/>
                <w:szCs w:val="24"/>
              </w:rPr>
              <w:t>具有信息系统项目管理师证书或系统集成项目管理工程师证书或系统分析师证书的得</w:t>
            </w:r>
            <w:r>
              <w:rPr>
                <w:rFonts w:hint="eastAsia" w:ascii="宋体" w:hAnsi="宋体" w:eastAsia="宋体" w:cs="宋体"/>
                <w:color w:val="000000"/>
                <w:sz w:val="24"/>
                <w:szCs w:val="24"/>
                <w:lang w:val="en-US" w:eastAsia="zh-CN"/>
              </w:rPr>
              <w:t>1.5</w:t>
            </w:r>
            <w:r>
              <w:rPr>
                <w:rFonts w:hint="eastAsia" w:ascii="宋体" w:hAnsi="宋体" w:eastAsia="宋体" w:cs="宋体"/>
                <w:color w:val="000000"/>
                <w:sz w:val="24"/>
                <w:szCs w:val="24"/>
              </w:rPr>
              <w:t>分，没有的不得分。</w:t>
            </w:r>
          </w:p>
          <w:p w14:paraId="6D7F299D">
            <w:pPr>
              <w:spacing w:line="400" w:lineRule="exact"/>
              <w:ind w:firstLine="24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2、技术负责人：</w:t>
            </w:r>
          </w:p>
          <w:p w14:paraId="1B837659">
            <w:pPr>
              <w:spacing w:line="400" w:lineRule="exact"/>
              <w:ind w:firstLine="24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具有网络规划设计师高级证书或高级工程师职称证书的得</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分，没有的不得分。</w:t>
            </w:r>
          </w:p>
          <w:p w14:paraId="34AEAA10">
            <w:pPr>
              <w:spacing w:line="400" w:lineRule="exact"/>
              <w:ind w:firstLine="24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3、项目团队其他成员：</w:t>
            </w:r>
          </w:p>
          <w:p w14:paraId="16859874">
            <w:pPr>
              <w:spacing w:line="400" w:lineRule="exact"/>
              <w:ind w:firstLine="24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项目团队成员中</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不含项目负责人和技术负责人</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具有网络工程师或高级工程师或注册信息安全专业人员或通信工程师或系统分析师或网络规划设计师，每提供1人得</w:t>
            </w:r>
            <w:r>
              <w:rPr>
                <w:rFonts w:hint="eastAsia" w:ascii="宋体" w:hAnsi="宋体" w:cs="宋体"/>
                <w:color w:val="000000" w:themeColor="text1"/>
                <w:sz w:val="24"/>
                <w:lang w:val="en-US" w:eastAsia="zh-CN"/>
                <w14:textFill>
                  <w14:solidFill>
                    <w14:schemeClr w14:val="tx1"/>
                  </w14:solidFill>
                </w14:textFill>
              </w:rPr>
              <w:t>0.5</w:t>
            </w:r>
            <w:r>
              <w:rPr>
                <w:rFonts w:hint="eastAsia" w:ascii="宋体" w:hAnsi="宋体" w:cs="宋体"/>
                <w:color w:val="000000" w:themeColor="text1"/>
                <w:sz w:val="24"/>
                <w14:textFill>
                  <w14:solidFill>
                    <w14:schemeClr w14:val="tx1"/>
                  </w14:solidFill>
                </w14:textFill>
              </w:rPr>
              <w:t>分，本项最高得</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分。1人多证的按1个人计算，不重复计分。</w:t>
            </w:r>
          </w:p>
          <w:p w14:paraId="37D48FDC">
            <w:pPr>
              <w:spacing w:line="400" w:lineRule="exact"/>
              <w:ind w:firstLine="241"/>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注：以上人员必须为投标人单位员工，提供相关证书</w:t>
            </w:r>
            <w:r>
              <w:rPr>
                <w:rFonts w:hint="eastAsia" w:ascii="宋体" w:hAnsi="宋体" w:cs="宋体"/>
                <w:b/>
                <w:bCs/>
                <w:color w:val="000000"/>
                <w:sz w:val="24"/>
                <w:szCs w:val="24"/>
                <w:highlight w:val="none"/>
                <w:lang w:val="en-US" w:eastAsia="zh-CN" w:bidi="ar-SA"/>
              </w:rPr>
              <w:t>原件扫描件</w:t>
            </w:r>
            <w:r>
              <w:rPr>
                <w:rFonts w:hint="eastAsia" w:ascii="宋体" w:hAnsi="宋体" w:eastAsia="宋体" w:cs="宋体"/>
                <w:b/>
                <w:bCs/>
                <w:color w:val="000000"/>
                <w:sz w:val="24"/>
                <w:szCs w:val="24"/>
                <w:highlight w:val="none"/>
                <w:lang w:val="en-US" w:eastAsia="zh-CN" w:bidi="ar-SA"/>
              </w:rPr>
              <w:t>以及开标前六个月内</w:t>
            </w:r>
            <w:r>
              <w:rPr>
                <w:rFonts w:hint="eastAsia" w:ascii="宋体" w:hAnsi="宋体" w:cs="宋体"/>
                <w:b/>
                <w:bCs/>
                <w:color w:val="000000"/>
                <w:sz w:val="24"/>
                <w:highlight w:val="none"/>
              </w:rPr>
              <w:t>任何1月</w:t>
            </w:r>
            <w:r>
              <w:rPr>
                <w:rFonts w:hint="eastAsia" w:ascii="宋体" w:hAnsi="宋体" w:eastAsia="宋体" w:cs="宋体"/>
                <w:b/>
                <w:bCs/>
                <w:color w:val="000000"/>
                <w:sz w:val="24"/>
                <w:szCs w:val="24"/>
                <w:highlight w:val="none"/>
                <w:lang w:val="en-US" w:eastAsia="zh-CN" w:bidi="ar-SA"/>
              </w:rPr>
              <w:t>（不含开标当月）由政府主管部门出具的由本单位缴纳的社保证明</w:t>
            </w:r>
            <w:r>
              <w:rPr>
                <w:rFonts w:hint="eastAsia" w:ascii="宋体" w:hAnsi="宋体" w:cs="宋体"/>
                <w:b/>
                <w:bCs/>
                <w:color w:val="000000"/>
                <w:sz w:val="24"/>
                <w:highlight w:val="none"/>
              </w:rPr>
              <w:t>，未提供的不得分</w:t>
            </w:r>
            <w:r>
              <w:rPr>
                <w:rFonts w:hint="eastAsia" w:ascii="宋体" w:hAnsi="宋体" w:eastAsia="宋体" w:cs="宋体"/>
                <w:b/>
                <w:bCs/>
                <w:color w:val="000000"/>
                <w:sz w:val="24"/>
                <w:szCs w:val="24"/>
                <w:highlight w:val="none"/>
                <w:lang w:val="en-US" w:eastAsia="zh-CN" w:bidi="ar-SA"/>
              </w:rPr>
              <w:t>。</w:t>
            </w:r>
          </w:p>
        </w:tc>
      </w:tr>
      <w:tr w14:paraId="7972A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4" w:type="dxa"/>
            <w:vMerge w:val="continue"/>
            <w:noWrap w:val="0"/>
            <w:vAlign w:val="center"/>
          </w:tcPr>
          <w:p w14:paraId="343A0180">
            <w:pPr>
              <w:widowControl/>
              <w:jc w:val="center"/>
              <w:rPr>
                <w:rFonts w:hint="eastAsia" w:ascii="宋体" w:hAnsi="宋体" w:eastAsia="宋体" w:cs="宋体"/>
                <w:color w:val="000000"/>
                <w:sz w:val="24"/>
                <w:szCs w:val="24"/>
                <w:highlight w:val="none"/>
                <w:lang w:val="en-US" w:eastAsia="zh-CN"/>
              </w:rPr>
            </w:pPr>
          </w:p>
        </w:tc>
        <w:tc>
          <w:tcPr>
            <w:tcW w:w="1088" w:type="dxa"/>
            <w:noWrap w:val="0"/>
            <w:vAlign w:val="center"/>
          </w:tcPr>
          <w:p w14:paraId="07DBE55F">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类似业绩（4分）</w:t>
            </w:r>
          </w:p>
        </w:tc>
        <w:tc>
          <w:tcPr>
            <w:tcW w:w="8147" w:type="dxa"/>
            <w:noWrap w:val="0"/>
            <w:vAlign w:val="center"/>
          </w:tcPr>
          <w:p w14:paraId="1DB68D7F">
            <w:pPr>
              <w:spacing w:line="400" w:lineRule="exact"/>
              <w:ind w:firstLine="24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2023年1月1日以来（以合同签订时间为准），供应商承担过类似服务或数据采集类项目（同一集团公司或同一法人主体内的分支机构签署的直接或间接的案例均可）。每提供一个得</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分，本项最高得4分。</w:t>
            </w:r>
          </w:p>
          <w:p w14:paraId="1D465C97">
            <w:pPr>
              <w:spacing w:line="400" w:lineRule="exact"/>
              <w:ind w:firstLine="241"/>
              <w:rPr>
                <w:rFonts w:hint="eastAsia" w:ascii="宋体" w:hAnsi="宋体" w:eastAsia="宋体" w:cs="宋体"/>
                <w:color w:val="000000"/>
                <w:sz w:val="24"/>
                <w:szCs w:val="24"/>
                <w:highlight w:val="none"/>
                <w:lang w:val="en-US" w:eastAsia="zh-CN"/>
              </w:rPr>
            </w:pPr>
            <w:r>
              <w:rPr>
                <w:rFonts w:hint="eastAsia" w:ascii="宋体" w:hAnsi="宋体" w:cs="宋体"/>
                <w:b/>
                <w:bCs/>
                <w:color w:val="000000" w:themeColor="text1"/>
                <w:sz w:val="24"/>
                <w14:textFill>
                  <w14:solidFill>
                    <w14:schemeClr w14:val="tx1"/>
                  </w14:solidFill>
                </w14:textFill>
              </w:rPr>
              <w:t>以提供项目业绩合同原件扫描件</w:t>
            </w:r>
            <w:r>
              <w:rPr>
                <w:rFonts w:hint="eastAsia" w:ascii="宋体" w:hAnsi="宋体" w:eastAsia="宋体" w:cs="宋体"/>
                <w:b/>
                <w:bCs/>
                <w:color w:val="auto"/>
                <w:sz w:val="24"/>
                <w:szCs w:val="24"/>
                <w:highlight w:val="none"/>
                <w:lang w:val="en-US" w:eastAsia="zh-CN" w:bidi="ar-SA"/>
              </w:rPr>
              <w:t>并加盖供应商电子签章</w:t>
            </w:r>
            <w:r>
              <w:rPr>
                <w:rFonts w:hint="eastAsia" w:ascii="宋体" w:hAnsi="宋体" w:cs="宋体"/>
                <w:b/>
                <w:bCs/>
                <w:color w:val="000000" w:themeColor="text1"/>
                <w:sz w:val="24"/>
                <w14:textFill>
                  <w14:solidFill>
                    <w14:schemeClr w14:val="tx1"/>
                  </w14:solidFill>
                </w14:textFill>
              </w:rPr>
              <w:t>为准，不提供的不得分。</w:t>
            </w:r>
          </w:p>
        </w:tc>
      </w:tr>
    </w:tbl>
    <w:p w14:paraId="1866DE8E">
      <w:pPr>
        <w:pBdr>
          <w:top w:val="none" w:color="000000" w:sz="0" w:space="0"/>
          <w:left w:val="none" w:color="000000" w:sz="0" w:space="0"/>
          <w:bottom w:val="none" w:color="000000" w:sz="0" w:space="0"/>
          <w:right w:val="none" w:color="000000" w:sz="0" w:space="0"/>
        </w:pBdr>
        <w:spacing w:before="240" w:after="240" w:line="74" w:lineRule="atLeast"/>
        <w:ind w:left="0" w:right="0" w:firstLine="0"/>
        <w:rPr>
          <w:rFonts w:hint="default" w:ascii="Times New Roman" w:hAnsi="Times New Roman" w:eastAsia="宋体" w:cs="Times New Roman"/>
        </w:rPr>
      </w:pPr>
      <w:r>
        <w:rPr>
          <w:rFonts w:hint="default" w:ascii="宋体" w:hAnsi="宋体" w:eastAsia="宋体" w:cs="宋体"/>
          <w:color w:val="000000"/>
          <w:sz w:val="24"/>
        </w:rPr>
        <w:t>本章说明：本项目采用综合评分法，得分保留小数点后两位。</w:t>
      </w:r>
      <w:r>
        <w:rPr>
          <w:rFonts w:hint="default" w:ascii="宋体" w:hAnsi="宋体" w:eastAsia="宋体" w:cs="宋体"/>
          <w:color w:val="000000"/>
          <w:sz w:val="24"/>
        </w:rPr>
        <w:br w:type="page" w:clear="all"/>
      </w:r>
    </w:p>
    <w:p w14:paraId="0B2FCC1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90" w:lineRule="exact"/>
        <w:ind w:left="0" w:right="0" w:firstLine="0"/>
        <w:jc w:val="center"/>
        <w:rPr>
          <w:rFonts w:hint="default" w:ascii="Times New Roman" w:hAnsi="Times New Roman" w:eastAsia="宋体" w:cs="Times New Roman"/>
        </w:rPr>
      </w:pPr>
      <w:r>
        <w:rPr>
          <w:rFonts w:hint="default" w:ascii="宋体" w:hAnsi="宋体" w:eastAsia="宋体" w:cs="宋体"/>
          <w:b/>
          <w:color w:val="000000"/>
          <w:sz w:val="36"/>
        </w:rPr>
        <w:t>2、项目要求（采购需求）</w:t>
      </w:r>
    </w:p>
    <w:p w14:paraId="0F9174BF">
      <w:pPr>
        <w:keepNext w:val="0"/>
        <w:keepLines w:val="0"/>
        <w:pageBreakBefore w:val="0"/>
        <w:widowControl w:val="0"/>
        <w:numPr>
          <w:ilvl w:val="0"/>
          <w:numId w:val="2"/>
        </w:numPr>
        <w:spacing w:line="390" w:lineRule="exact"/>
        <w:ind w:left="0" w:firstLine="420"/>
        <w:jc w:val="left"/>
        <w:outlineLvl w:val="1"/>
        <w:rPr>
          <w:rFonts w:hint="eastAsia" w:ascii="宋体" w:hAnsi="宋体" w:eastAsia="宋体" w:cs="宋体"/>
          <w:b/>
          <w:sz w:val="28"/>
          <w:szCs w:val="28"/>
        </w:rPr>
      </w:pPr>
      <w:bookmarkStart w:id="4" w:name="_Toc10053"/>
      <w:bookmarkStart w:id="5" w:name="_Toc28738"/>
      <w:r>
        <w:rPr>
          <w:rFonts w:hint="eastAsia" w:ascii="宋体" w:hAnsi="宋体" w:eastAsia="宋体" w:cs="宋体"/>
          <w:b/>
          <w:sz w:val="28"/>
          <w:szCs w:val="28"/>
        </w:rPr>
        <w:t>说明</w:t>
      </w:r>
      <w:bookmarkEnd w:id="4"/>
      <w:bookmarkEnd w:id="5"/>
    </w:p>
    <w:p w14:paraId="55D3F52D">
      <w:pPr>
        <w:keepNext w:val="0"/>
        <w:keepLines w:val="0"/>
        <w:pageBreakBefore w:val="0"/>
        <w:widowControl w:val="0"/>
        <w:numPr>
          <w:ilvl w:val="0"/>
          <w:numId w:val="3"/>
        </w:numPr>
        <w:spacing w:after="0" w:line="390" w:lineRule="exact"/>
        <w:ind w:left="0" w:firstLine="420"/>
        <w:jc w:val="both"/>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采购</w:t>
      </w:r>
      <w:r>
        <w:rPr>
          <w:rFonts w:hint="eastAsia" w:ascii="宋体" w:hAnsi="宋体" w:eastAsia="宋体" w:cs="宋体"/>
          <w:b/>
          <w:bCs w:val="0"/>
          <w:sz w:val="24"/>
          <w:szCs w:val="24"/>
          <w:highlight w:val="none"/>
          <w:lang w:val="en-US" w:eastAsia="zh-CN" w:bidi="ar-SA"/>
        </w:rPr>
        <w:t>人：</w:t>
      </w:r>
      <w:r>
        <w:rPr>
          <w:rFonts w:hint="eastAsia" w:ascii="宋体" w:hAnsi="宋体" w:eastAsia="宋体" w:cs="宋体"/>
          <w:b w:val="0"/>
          <w:bCs/>
          <w:sz w:val="24"/>
          <w:szCs w:val="24"/>
          <w:highlight w:val="none"/>
          <w:lang w:val="en-US" w:eastAsia="zh-CN" w:bidi="ar-SA"/>
        </w:rPr>
        <w:t>徐州市铜山区财政局</w:t>
      </w:r>
    </w:p>
    <w:p w14:paraId="048FA510">
      <w:pPr>
        <w:keepNext w:val="0"/>
        <w:keepLines w:val="0"/>
        <w:pageBreakBefore w:val="0"/>
        <w:widowControl w:val="0"/>
        <w:numPr>
          <w:ilvl w:val="0"/>
          <w:numId w:val="3"/>
        </w:numPr>
        <w:spacing w:after="0" w:line="390" w:lineRule="exact"/>
        <w:ind w:left="0" w:firstLine="420"/>
        <w:jc w:val="both"/>
        <w:rPr>
          <w:rFonts w:hint="eastAsia" w:ascii="宋体" w:hAnsi="宋体" w:eastAsia="宋体" w:cs="宋体"/>
          <w:bCs/>
          <w:sz w:val="24"/>
          <w:szCs w:val="24"/>
          <w:highlight w:val="none"/>
          <w:lang w:val="en-US" w:eastAsia="zh-CN" w:bidi="ar-SA"/>
        </w:rPr>
      </w:pPr>
      <w:r>
        <w:rPr>
          <w:rFonts w:hint="eastAsia" w:ascii="宋体" w:hAnsi="宋体" w:eastAsia="宋体" w:cs="宋体"/>
          <w:b/>
          <w:sz w:val="24"/>
          <w:szCs w:val="24"/>
          <w:lang w:val="en-US" w:eastAsia="zh-CN" w:bidi="ar-SA"/>
        </w:rPr>
        <w:t>采购项目名称：</w:t>
      </w:r>
      <w:r>
        <w:rPr>
          <w:rFonts w:hint="eastAsia" w:ascii="宋体" w:hAnsi="宋体" w:eastAsia="宋体" w:cs="宋体"/>
          <w:bCs/>
          <w:sz w:val="24"/>
          <w:szCs w:val="24"/>
          <w:lang w:val="en-US" w:eastAsia="zh-CN" w:bidi="ar-SA"/>
        </w:rPr>
        <w:t>铜山区</w:t>
      </w:r>
      <w:r>
        <w:rPr>
          <w:rFonts w:hint="eastAsia" w:ascii="宋体" w:hAnsi="宋体" w:eastAsia="宋体" w:cs="宋体"/>
          <w:bCs/>
          <w:sz w:val="24"/>
          <w:szCs w:val="24"/>
          <w:highlight w:val="none"/>
          <w:lang w:val="en-US" w:eastAsia="zh-CN" w:bidi="ar-SA"/>
        </w:rPr>
        <w:t>成品油税控联网监管系统项目</w:t>
      </w:r>
    </w:p>
    <w:p w14:paraId="5A11F08B">
      <w:pPr>
        <w:keepNext w:val="0"/>
        <w:keepLines w:val="0"/>
        <w:pageBreakBefore w:val="0"/>
        <w:widowControl w:val="0"/>
        <w:numPr>
          <w:ilvl w:val="0"/>
          <w:numId w:val="3"/>
        </w:numPr>
        <w:spacing w:after="0" w:line="390" w:lineRule="exact"/>
        <w:ind w:left="0" w:firstLine="420"/>
        <w:jc w:val="both"/>
        <w:rPr>
          <w:rFonts w:hint="eastAsia" w:ascii="宋体" w:hAnsi="宋体" w:eastAsia="宋体" w:cs="宋体"/>
          <w:bCs/>
          <w:sz w:val="24"/>
          <w:szCs w:val="24"/>
          <w:highlight w:val="none"/>
          <w:lang w:val="en-US" w:eastAsia="zh-CN" w:bidi="ar-SA"/>
        </w:rPr>
      </w:pPr>
      <w:r>
        <w:rPr>
          <w:rFonts w:hint="eastAsia" w:ascii="宋体" w:hAnsi="宋体" w:eastAsia="宋体" w:cs="宋体"/>
          <w:b/>
          <w:sz w:val="24"/>
          <w:szCs w:val="24"/>
          <w:highlight w:val="none"/>
          <w:lang w:val="en-US" w:eastAsia="zh-CN" w:bidi="ar-SA"/>
        </w:rPr>
        <w:t>项目预算：</w:t>
      </w:r>
      <w:r>
        <w:rPr>
          <w:rFonts w:hint="eastAsia" w:ascii="宋体" w:hAnsi="宋体" w:eastAsia="宋体" w:cs="宋体"/>
          <w:bCs/>
          <w:sz w:val="24"/>
          <w:szCs w:val="24"/>
          <w:highlight w:val="none"/>
          <w:lang w:val="en-US" w:eastAsia="zh-CN" w:bidi="ar-SA"/>
        </w:rPr>
        <w:t>本项目预算金额为195万元。</w:t>
      </w:r>
    </w:p>
    <w:p w14:paraId="49A4D092">
      <w:pPr>
        <w:keepNext w:val="0"/>
        <w:keepLines w:val="0"/>
        <w:pageBreakBefore w:val="0"/>
        <w:widowControl w:val="0"/>
        <w:spacing w:line="390" w:lineRule="exact"/>
        <w:ind w:firstLine="480"/>
        <w:jc w:val="left"/>
        <w:rPr>
          <w:rFonts w:hint="eastAsia" w:ascii="宋体" w:hAnsi="宋体" w:eastAsia="宋体" w:cs="宋体"/>
          <w:b/>
          <w:sz w:val="24"/>
          <w:highlight w:val="none"/>
        </w:rPr>
      </w:pPr>
      <w:r>
        <w:rPr>
          <w:rFonts w:hint="eastAsia" w:ascii="宋体" w:hAnsi="宋体" w:eastAsia="宋体" w:cs="宋体"/>
          <w:b/>
          <w:sz w:val="24"/>
          <w:highlight w:val="none"/>
        </w:rPr>
        <w:t>本项目不接受超过</w:t>
      </w:r>
      <w:r>
        <w:rPr>
          <w:rFonts w:hint="eastAsia" w:ascii="宋体" w:hAnsi="宋体" w:eastAsia="宋体" w:cs="宋体"/>
          <w:b/>
          <w:bCs/>
          <w:sz w:val="24"/>
          <w:highlight w:val="none"/>
          <w:u w:val="single"/>
          <w:lang w:val="en-US" w:eastAsia="zh-CN"/>
        </w:rPr>
        <w:t>195</w:t>
      </w:r>
      <w:r>
        <w:rPr>
          <w:rFonts w:hint="eastAsia" w:ascii="宋体" w:hAnsi="宋体" w:eastAsia="宋体" w:cs="宋体"/>
          <w:b/>
          <w:sz w:val="24"/>
          <w:highlight w:val="none"/>
        </w:rPr>
        <w:t>万元人民币（采购项目预算金额）的磋商报价</w:t>
      </w:r>
      <w:r>
        <w:rPr>
          <w:rFonts w:hint="eastAsia" w:ascii="宋体" w:hAnsi="宋体" w:eastAsia="宋体" w:cs="Times New Roman"/>
          <w:b/>
          <w:color w:val="000000"/>
          <w:sz w:val="24"/>
          <w:highlight w:val="none"/>
        </w:rPr>
        <w:t>（首次和最后报价）</w:t>
      </w:r>
      <w:r>
        <w:rPr>
          <w:rFonts w:hint="eastAsia" w:ascii="宋体" w:hAnsi="宋体" w:eastAsia="宋体" w:cs="宋体"/>
          <w:b/>
          <w:sz w:val="24"/>
          <w:highlight w:val="none"/>
        </w:rPr>
        <w:t>。</w:t>
      </w:r>
    </w:p>
    <w:p w14:paraId="04D123E8">
      <w:pPr>
        <w:keepNext w:val="0"/>
        <w:keepLines w:val="0"/>
        <w:pageBreakBefore w:val="0"/>
        <w:widowControl w:val="0"/>
        <w:spacing w:line="390" w:lineRule="exact"/>
        <w:ind w:firstLine="480"/>
        <w:jc w:val="left"/>
        <w:rPr>
          <w:rFonts w:hint="eastAsia" w:ascii="宋体" w:hAnsi="宋体" w:eastAsia="宋体" w:cs="宋体"/>
          <w:b/>
          <w:sz w:val="24"/>
          <w:highlight w:val="none"/>
        </w:rPr>
      </w:pPr>
      <w:r>
        <w:rPr>
          <w:rFonts w:hint="eastAsia" w:ascii="宋体" w:hAnsi="宋体" w:eastAsia="宋体" w:cs="宋体"/>
          <w:b/>
          <w:sz w:val="24"/>
          <w:highlight w:val="none"/>
        </w:rPr>
        <w:t>报价包含但不限于设备、软件的采购、安装、调试、测评、服务期内的技术服务、运维服务等完成本项目全部内容所需的一切费用。采购人不再支付报价以外的任何费用。</w:t>
      </w:r>
    </w:p>
    <w:p w14:paraId="4A4CD05F">
      <w:pPr>
        <w:keepNext w:val="0"/>
        <w:keepLines w:val="0"/>
        <w:pageBreakBefore w:val="0"/>
        <w:widowControl w:val="0"/>
        <w:numPr>
          <w:ilvl w:val="0"/>
          <w:numId w:val="3"/>
        </w:numPr>
        <w:spacing w:after="0" w:line="390" w:lineRule="exact"/>
        <w:ind w:left="0" w:firstLine="420"/>
        <w:jc w:val="both"/>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采购需求概况</w:t>
      </w:r>
    </w:p>
    <w:p w14:paraId="701F831F">
      <w:pPr>
        <w:keepNext w:val="0"/>
        <w:keepLines w:val="0"/>
        <w:pageBreakBefore w:val="0"/>
        <w:widowControl w:val="0"/>
        <w:spacing w:before="100" w:beforeAutospacing="0" w:after="100" w:afterAutospacing="0" w:line="390" w:lineRule="exact"/>
        <w:ind w:firstLine="480"/>
        <w:jc w:val="both"/>
        <w:rPr>
          <w:rFonts w:hint="eastAsia"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szCs w:val="20"/>
          <w:highlight w:val="none"/>
          <w:lang w:val="en-US" w:eastAsia="zh-CN" w:bidi="ar-SA"/>
        </w:rPr>
        <w:t>为了解决部分加油站企业税法遵从观念淡薄，财务制度不健全，不能如实申报收入和成本，以“低质、低标、低税、低价”油品冲击成品油市场，导致“合规守法企业受损，不合规非法企业获利”的市场乱象；以及在传统监管模式下，管理人员定期上门入户采集数据，花费大量人力物力仅能采集某个时间段的累计数据，无法实时反映出纳税人明细、动态数据；甚至一些加油站非法破坏</w:t>
      </w:r>
      <w:r>
        <w:rPr>
          <w:rFonts w:hint="eastAsia" w:ascii="宋体" w:hAnsi="宋体" w:eastAsia="宋体" w:cs="宋体"/>
          <w:bCs/>
          <w:color w:val="000000"/>
          <w:sz w:val="24"/>
          <w:szCs w:val="20"/>
          <w:lang w:val="en-US" w:eastAsia="zh-CN" w:bidi="ar-SA"/>
        </w:rPr>
        <w:t>加油机计量、税控设施，篡改隐匿主板数据，导致监管部门采集数据严重失真等问题。</w:t>
      </w:r>
      <w:r>
        <w:rPr>
          <w:rFonts w:hint="eastAsia" w:ascii="宋体" w:hAnsi="宋体" w:eastAsia="宋体" w:cs="宋体"/>
          <w:bCs/>
          <w:color w:val="000000"/>
          <w:sz w:val="24"/>
          <w:szCs w:val="20"/>
          <w:highlight w:val="none"/>
          <w:lang w:val="en-US" w:eastAsia="zh-CN" w:bidi="ar-SA"/>
        </w:rPr>
        <w:t>铜山区财政局拟通</w:t>
      </w:r>
      <w:r>
        <w:rPr>
          <w:rFonts w:hint="eastAsia" w:ascii="宋体" w:hAnsi="宋体" w:eastAsia="宋体" w:cs="宋体"/>
          <w:bCs/>
          <w:color w:val="000000"/>
          <w:sz w:val="24"/>
          <w:szCs w:val="20"/>
          <w:lang w:val="en-US" w:eastAsia="zh-CN" w:bidi="ar-SA"/>
        </w:rPr>
        <w:t>过运用物联网、大数据等技术手段</w:t>
      </w:r>
      <w:r>
        <w:rPr>
          <w:rFonts w:hint="eastAsia" w:ascii="宋体" w:hAnsi="宋体" w:eastAsia="宋体" w:cs="宋体"/>
          <w:bCs/>
          <w:color w:val="000000"/>
          <w:sz w:val="24"/>
          <w:szCs w:val="20"/>
          <w:highlight w:val="none"/>
          <w:lang w:val="en-US" w:eastAsia="zh-CN" w:bidi="ar-SA"/>
        </w:rPr>
        <w:t>，将全区38座加油站、152台加油机和38个液位仪采集器全部纳入远程实时监管，实现</w:t>
      </w:r>
      <w:r>
        <w:rPr>
          <w:rFonts w:hint="eastAsia" w:ascii="宋体" w:hAnsi="宋体" w:eastAsia="宋体" w:cs="宋体"/>
          <w:bCs/>
          <w:color w:val="000000"/>
          <w:sz w:val="24"/>
          <w:szCs w:val="20"/>
          <w:lang w:val="en-US" w:eastAsia="zh-CN" w:bidi="ar-SA"/>
        </w:rPr>
        <w:t>统一监管方式、统一监管方法（两统一），实时监控加油站税控数据、民生计量、油品价格等芯片级数据源（三实时），加强监管信息归集共享和关联整合。在防范税源流失、增加财政收入的同时，提升对成品油流通企业监管的数字化、精准化、智能化水平，进一步优化（一优化）营商环境，推动成品油市场健康发展目标，提高人民群众幸福</w:t>
      </w:r>
      <w:r>
        <w:rPr>
          <w:rFonts w:hint="eastAsia" w:ascii="宋体" w:hAnsi="宋体" w:eastAsia="宋体" w:cs="宋体"/>
          <w:bCs/>
          <w:color w:val="000000"/>
          <w:sz w:val="24"/>
          <w:szCs w:val="20"/>
          <w:highlight w:val="none"/>
          <w:lang w:val="en-US" w:eastAsia="zh-CN" w:bidi="ar-SA"/>
        </w:rPr>
        <w:t>感。</w:t>
      </w:r>
    </w:p>
    <w:p w14:paraId="24E32EEB">
      <w:pPr>
        <w:keepNext w:val="0"/>
        <w:keepLines w:val="0"/>
        <w:pageBreakBefore w:val="0"/>
        <w:widowControl w:val="0"/>
        <w:numPr>
          <w:ilvl w:val="0"/>
          <w:numId w:val="3"/>
        </w:numPr>
        <w:spacing w:after="0" w:line="390" w:lineRule="exact"/>
        <w:ind w:left="0" w:firstLine="420"/>
        <w:jc w:val="both"/>
        <w:rPr>
          <w:rFonts w:hint="eastAsia" w:ascii="宋体" w:hAnsi="宋体" w:eastAsia="宋体" w:cs="宋体"/>
          <w:b/>
          <w:sz w:val="24"/>
          <w:szCs w:val="24"/>
          <w:highlight w:val="none"/>
          <w:lang w:val="en-US" w:eastAsia="zh-CN" w:bidi="ar-SA"/>
        </w:rPr>
      </w:pPr>
      <w:r>
        <w:rPr>
          <w:rFonts w:hint="eastAsia" w:ascii="宋体" w:hAnsi="宋体" w:eastAsia="宋体" w:cs="宋体"/>
          <w:b/>
          <w:bCs/>
          <w:sz w:val="24"/>
          <w:szCs w:val="24"/>
          <w:highlight w:val="none"/>
          <w:lang w:val="en-US" w:eastAsia="zh-CN" w:bidi="ar-SA"/>
        </w:rPr>
        <w:t>本项目不属于专门面向中小微企业采购的项目</w:t>
      </w:r>
      <w:r>
        <w:rPr>
          <w:rFonts w:hint="eastAsia" w:ascii="宋体" w:hAnsi="宋体" w:eastAsia="宋体" w:cs="宋体"/>
          <w:b/>
          <w:sz w:val="24"/>
          <w:szCs w:val="24"/>
          <w:highlight w:val="none"/>
          <w:lang w:val="en-US" w:eastAsia="zh-CN" w:bidi="ar-SA"/>
        </w:rPr>
        <w:t>。</w:t>
      </w:r>
    </w:p>
    <w:p w14:paraId="1AFF780C">
      <w:pPr>
        <w:keepNext w:val="0"/>
        <w:keepLines w:val="0"/>
        <w:pageBreakBefore w:val="0"/>
        <w:widowControl w:val="0"/>
        <w:numPr>
          <w:ilvl w:val="0"/>
          <w:numId w:val="3"/>
        </w:numPr>
        <w:spacing w:after="0" w:line="390" w:lineRule="exact"/>
        <w:ind w:left="0" w:firstLine="420"/>
        <w:jc w:val="both"/>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服务期限：</w:t>
      </w:r>
      <w:r>
        <w:rPr>
          <w:rFonts w:hint="eastAsia" w:ascii="宋体" w:hAnsi="宋体" w:eastAsia="宋体" w:cs="宋体"/>
          <w:bCs/>
          <w:sz w:val="24"/>
          <w:szCs w:val="24"/>
          <w:highlight w:val="none"/>
          <w:lang w:val="en-US" w:eastAsia="zh-CN" w:bidi="ar-SA"/>
        </w:rPr>
        <w:t>自项目验收合格之日起3年。</w:t>
      </w:r>
    </w:p>
    <w:p w14:paraId="2BC3A945">
      <w:pPr>
        <w:keepNext w:val="0"/>
        <w:keepLines w:val="0"/>
        <w:pageBreakBefore w:val="0"/>
        <w:widowControl w:val="0"/>
        <w:numPr>
          <w:ilvl w:val="0"/>
          <w:numId w:val="2"/>
        </w:numPr>
        <w:spacing w:line="390" w:lineRule="exact"/>
        <w:ind w:left="0" w:firstLine="420"/>
        <w:jc w:val="left"/>
        <w:outlineLvl w:val="1"/>
        <w:rPr>
          <w:rFonts w:hint="eastAsia" w:ascii="宋体" w:hAnsi="宋体" w:eastAsia="宋体" w:cs="宋体"/>
          <w:b/>
          <w:sz w:val="28"/>
          <w:szCs w:val="28"/>
        </w:rPr>
      </w:pPr>
      <w:bookmarkStart w:id="6" w:name="_Toc12492"/>
      <w:bookmarkStart w:id="7" w:name="_Toc14737"/>
      <w:bookmarkStart w:id="8" w:name="_Toc6817"/>
      <w:r>
        <w:rPr>
          <w:rFonts w:hint="eastAsia" w:ascii="宋体" w:hAnsi="宋体" w:eastAsia="宋体" w:cs="宋体"/>
          <w:b/>
          <w:sz w:val="28"/>
          <w:szCs w:val="28"/>
        </w:rPr>
        <w:t>项目服务内容</w:t>
      </w:r>
      <w:bookmarkEnd w:id="6"/>
      <w:bookmarkEnd w:id="7"/>
      <w:bookmarkEnd w:id="8"/>
    </w:p>
    <w:p w14:paraId="149593DE">
      <w:pPr>
        <w:keepNext w:val="0"/>
        <w:keepLines w:val="0"/>
        <w:pageBreakBefore w:val="0"/>
        <w:widowControl w:val="0"/>
        <w:numPr>
          <w:ilvl w:val="0"/>
          <w:numId w:val="4"/>
        </w:numPr>
        <w:spacing w:after="0" w:line="390" w:lineRule="exact"/>
        <w:ind w:left="0" w:firstLine="420"/>
        <w:jc w:val="both"/>
        <w:rPr>
          <w:rFonts w:hint="eastAsia" w:ascii="宋体" w:hAnsi="宋体" w:eastAsia="宋体" w:cs="宋体"/>
          <w:b/>
          <w:sz w:val="24"/>
          <w:szCs w:val="24"/>
          <w:highlight w:val="none"/>
          <w:lang w:val="en-US" w:eastAsia="zh-CN" w:bidi="ar-SA"/>
        </w:rPr>
      </w:pPr>
      <w:bookmarkStart w:id="9" w:name="_Toc17548"/>
      <w:bookmarkStart w:id="10" w:name="_Toc5054"/>
      <w:r>
        <w:rPr>
          <w:rFonts w:hint="eastAsia" w:ascii="宋体" w:hAnsi="宋体" w:eastAsia="宋体" w:cs="宋体"/>
          <w:b/>
          <w:sz w:val="24"/>
          <w:szCs w:val="24"/>
          <w:highlight w:val="none"/>
          <w:lang w:val="en-US" w:eastAsia="zh-CN" w:bidi="ar-SA"/>
        </w:rPr>
        <w:t>项目规模</w:t>
      </w:r>
    </w:p>
    <w:p w14:paraId="2808E00F">
      <w:pPr>
        <w:keepNext w:val="0"/>
        <w:keepLines w:val="0"/>
        <w:pageBreakBefore w:val="0"/>
        <w:widowControl w:val="0"/>
        <w:spacing w:before="100" w:beforeAutospacing="0" w:after="100" w:afterAutospacing="0" w:line="390" w:lineRule="exact"/>
        <w:ind w:firstLine="480"/>
        <w:jc w:val="both"/>
        <w:rPr>
          <w:rFonts w:hint="eastAsia"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szCs w:val="20"/>
          <w:highlight w:val="none"/>
          <w:lang w:val="en-US" w:eastAsia="zh-CN" w:bidi="ar-SA"/>
        </w:rPr>
        <w:t>将全区38座加油站、152台加油机和38个液位仪采集器全部纳入远程实时监管，提升加油站监管数字化、智能化水平。</w:t>
      </w:r>
    </w:p>
    <w:p w14:paraId="16AEF23A">
      <w:pPr>
        <w:keepNext w:val="0"/>
        <w:keepLines w:val="0"/>
        <w:pageBreakBefore w:val="0"/>
        <w:widowControl w:val="0"/>
        <w:numPr>
          <w:ilvl w:val="0"/>
          <w:numId w:val="4"/>
        </w:numPr>
        <w:spacing w:after="0" w:line="390" w:lineRule="exact"/>
        <w:ind w:left="0" w:firstLine="420"/>
        <w:jc w:val="both"/>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项目内容</w:t>
      </w:r>
    </w:p>
    <w:p w14:paraId="08A49B7A">
      <w:pPr>
        <w:keepNext w:val="0"/>
        <w:keepLines w:val="0"/>
        <w:pageBreakBefore w:val="0"/>
        <w:widowControl w:val="0"/>
        <w:numPr>
          <w:ilvl w:val="0"/>
          <w:numId w:val="5"/>
        </w:numPr>
        <w:spacing w:before="100" w:beforeAutospacing="0" w:after="100" w:afterAutospacing="0" w:line="390" w:lineRule="exact"/>
        <w:ind w:firstLine="480"/>
        <w:jc w:val="both"/>
        <w:rPr>
          <w:rFonts w:hint="eastAsia" w:ascii="宋体" w:hAnsi="宋体" w:eastAsia="宋体" w:cs="宋体"/>
          <w:bCs/>
          <w:color w:val="000000"/>
          <w:sz w:val="24"/>
          <w:szCs w:val="20"/>
          <w:highlight w:val="none"/>
          <w:lang w:val="en-US" w:eastAsia="zh-CN" w:bidi="ar-SA"/>
        </w:rPr>
      </w:pPr>
      <w:bookmarkStart w:id="11" w:name="_Toc14923"/>
      <w:r>
        <w:rPr>
          <w:rFonts w:hint="eastAsia" w:ascii="宋体" w:hAnsi="宋体" w:eastAsia="宋体" w:cs="宋体"/>
          <w:bCs/>
          <w:color w:val="000000"/>
          <w:sz w:val="24"/>
          <w:szCs w:val="20"/>
          <w:highlight w:val="none"/>
          <w:lang w:val="en-US" w:eastAsia="zh-CN" w:bidi="ar-SA"/>
        </w:rPr>
        <w:t>智慧监管云平台系统（平台管理）</w:t>
      </w:r>
    </w:p>
    <w:p w14:paraId="4847104D">
      <w:pPr>
        <w:keepNext w:val="0"/>
        <w:keepLines w:val="0"/>
        <w:pageBreakBefore w:val="0"/>
        <w:widowControl w:val="0"/>
        <w:spacing w:before="100" w:beforeAutospacing="0" w:after="100" w:afterAutospacing="0" w:line="390" w:lineRule="exact"/>
        <w:ind w:firstLine="480"/>
        <w:jc w:val="both"/>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通过</w:t>
      </w:r>
      <w:r>
        <w:rPr>
          <w:rFonts w:hint="eastAsia" w:ascii="宋体" w:hAnsi="宋体" w:eastAsia="宋体" w:cs="宋体"/>
          <w:bCs/>
          <w:sz w:val="24"/>
          <w:szCs w:val="24"/>
          <w:lang w:val="en-US" w:eastAsia="zh-CN" w:bidi="ar-SA"/>
        </w:rPr>
        <w:t>成品油流通企业</w:t>
      </w:r>
      <w:r>
        <w:rPr>
          <w:rFonts w:hint="eastAsia" w:ascii="宋体" w:hAnsi="宋体" w:eastAsia="宋体" w:cs="宋体"/>
          <w:bCs/>
          <w:color w:val="000000"/>
          <w:sz w:val="24"/>
          <w:szCs w:val="20"/>
          <w:lang w:val="en-US" w:eastAsia="zh-CN" w:bidi="ar-SA"/>
        </w:rPr>
        <w:t>智慧监管云平台的搭建，基于大数据分析技术，对铜山全区</w:t>
      </w:r>
      <w:r>
        <w:rPr>
          <w:rFonts w:hint="eastAsia" w:ascii="宋体" w:hAnsi="宋体" w:eastAsia="宋体" w:cs="宋体"/>
          <w:bCs/>
          <w:sz w:val="24"/>
          <w:szCs w:val="24"/>
          <w:lang w:val="en-US" w:eastAsia="zh-CN" w:bidi="ar-SA"/>
        </w:rPr>
        <w:t>成品油流通企业</w:t>
      </w:r>
      <w:r>
        <w:rPr>
          <w:rFonts w:hint="eastAsia" w:ascii="宋体" w:hAnsi="宋体" w:eastAsia="宋体" w:cs="宋体"/>
          <w:bCs/>
          <w:color w:val="000000"/>
          <w:sz w:val="24"/>
          <w:szCs w:val="20"/>
          <w:lang w:val="en-US" w:eastAsia="zh-CN" w:bidi="ar-SA"/>
        </w:rPr>
        <w:t>进行实时全方位的监管，实时采集加油机信息，实现事前监管、实时监管、事中监管、事后监督的统一。</w:t>
      </w:r>
    </w:p>
    <w:p w14:paraId="76025011">
      <w:pPr>
        <w:keepNext w:val="0"/>
        <w:keepLines w:val="0"/>
        <w:pageBreakBefore w:val="0"/>
        <w:widowControl w:val="0"/>
        <w:numPr>
          <w:ilvl w:val="0"/>
          <w:numId w:val="5"/>
        </w:numPr>
        <w:spacing w:before="100" w:beforeAutospacing="0" w:after="100" w:afterAutospacing="0" w:line="390" w:lineRule="exact"/>
        <w:ind w:firstLine="480"/>
        <w:jc w:val="both"/>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加油机数据采集（销项监管）</w:t>
      </w:r>
      <w:bookmarkEnd w:id="11"/>
    </w:p>
    <w:p w14:paraId="6A4FCB93">
      <w:pPr>
        <w:keepNext w:val="0"/>
        <w:keepLines w:val="0"/>
        <w:pageBreakBefore w:val="0"/>
        <w:widowControl w:val="0"/>
        <w:spacing w:before="100" w:beforeAutospacing="0" w:after="100" w:afterAutospacing="0" w:line="390" w:lineRule="exact"/>
        <w:ind w:firstLine="480"/>
        <w:jc w:val="both"/>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将</w:t>
      </w:r>
      <w:bookmarkStart w:id="12" w:name="OLE_LINK1"/>
      <w:r>
        <w:rPr>
          <w:rFonts w:hint="eastAsia" w:ascii="宋体" w:hAnsi="宋体" w:eastAsia="宋体" w:cs="宋体"/>
          <w:bCs/>
          <w:color w:val="000000"/>
          <w:sz w:val="24"/>
          <w:szCs w:val="20"/>
          <w:lang w:val="en-US" w:eastAsia="zh-CN" w:bidi="ar-SA"/>
        </w:rPr>
        <w:t>全区</w:t>
      </w:r>
      <w:bookmarkEnd w:id="12"/>
      <w:r>
        <w:rPr>
          <w:rFonts w:hint="eastAsia" w:ascii="宋体" w:hAnsi="宋体" w:eastAsia="宋体" w:cs="宋体"/>
          <w:bCs/>
          <w:color w:val="000000"/>
          <w:sz w:val="24"/>
          <w:szCs w:val="20"/>
          <w:lang w:val="en-US" w:eastAsia="zh-CN" w:bidi="ar-SA"/>
        </w:rPr>
        <w:t>加油站（点）内加油机（枪）与云平台联网，通过加油机数据采集服务，对站内加油机编号、加油枪编号、成品油名称、油品数量、单价、金额、加油时间进行实时采集，自动生成电子发票基础数据信息，监控纳税人开票和纳税申报行为，及时开展纳税申报比对。通过4G/5G物联网将税控数据与云平台对接，如云平台数据采集设备出现异常情况预警，多部门即联动快速核查，开展执法行动。</w:t>
      </w:r>
    </w:p>
    <w:p w14:paraId="0AE2C71E">
      <w:pPr>
        <w:keepNext w:val="0"/>
        <w:keepLines w:val="0"/>
        <w:pageBreakBefore w:val="0"/>
        <w:widowControl w:val="0"/>
        <w:numPr>
          <w:ilvl w:val="0"/>
          <w:numId w:val="4"/>
        </w:numPr>
        <w:spacing w:after="0" w:line="390" w:lineRule="exact"/>
        <w:ind w:left="0" w:firstLine="420"/>
        <w:jc w:val="both"/>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服务目标</w:t>
      </w:r>
      <w:bookmarkEnd w:id="9"/>
      <w:bookmarkEnd w:id="10"/>
    </w:p>
    <w:p w14:paraId="06DC0488">
      <w:pPr>
        <w:keepNext w:val="0"/>
        <w:keepLines w:val="0"/>
        <w:pageBreakBefore w:val="0"/>
        <w:widowControl w:val="0"/>
        <w:spacing w:before="100" w:beforeAutospacing="0" w:after="100" w:afterAutospacing="0" w:line="390" w:lineRule="exact"/>
        <w:ind w:firstLine="480"/>
        <w:jc w:val="both"/>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 xml:space="preserve">通过云平台提供的动态感知服务，为政府和职能管理部门提供大数据看板、领导“驾驶舱”窗口、APP，动态全景感知成品油进销数据、售油数据、纳税数据、油站数据、安全生产等数据，为政府科学决策提供必要的数据支撑依据。 </w:t>
      </w:r>
    </w:p>
    <w:p w14:paraId="49E9CA68">
      <w:pPr>
        <w:keepNext w:val="0"/>
        <w:keepLines w:val="0"/>
        <w:pageBreakBefore w:val="0"/>
        <w:widowControl w:val="0"/>
        <w:spacing w:before="100" w:beforeAutospacing="0" w:after="100" w:afterAutospacing="0" w:line="390" w:lineRule="exact"/>
        <w:ind w:firstLine="482"/>
        <w:jc w:val="both"/>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标准计量服务。</w:t>
      </w:r>
      <w:r>
        <w:rPr>
          <w:rFonts w:hint="eastAsia" w:ascii="宋体" w:hAnsi="宋体" w:eastAsia="宋体" w:cs="宋体"/>
          <w:sz w:val="24"/>
          <w:szCs w:val="24"/>
          <w:lang w:val="en-US" w:eastAsia="zh-CN" w:bidi="ar-SA"/>
        </w:rPr>
        <w:t>通过云平台提供的标准计量服务，打击部分加油站非法破坏加油机计量、税控设施，篡改隐匿主板数据，导致监管部门采集数据严重失真的违法行为。</w:t>
      </w:r>
    </w:p>
    <w:p w14:paraId="79A3E217">
      <w:pPr>
        <w:keepNext w:val="0"/>
        <w:keepLines w:val="0"/>
        <w:pageBreakBefore w:val="0"/>
        <w:widowControl w:val="0"/>
        <w:spacing w:line="390" w:lineRule="exact"/>
        <w:ind w:firstLine="482"/>
        <w:rPr>
          <w:rFonts w:hint="eastAsia" w:ascii="宋体" w:hAnsi="宋体" w:eastAsia="宋体" w:cs="宋体"/>
          <w:sz w:val="24"/>
        </w:rPr>
      </w:pPr>
      <w:r>
        <w:rPr>
          <w:rFonts w:hint="eastAsia" w:ascii="宋体" w:hAnsi="宋体" w:eastAsia="宋体" w:cs="宋体"/>
          <w:b/>
          <w:bCs/>
          <w:sz w:val="24"/>
        </w:rPr>
        <w:t>数据采集服务。</w:t>
      </w:r>
      <w:r>
        <w:rPr>
          <w:rFonts w:hint="eastAsia" w:ascii="宋体" w:hAnsi="宋体" w:eastAsia="宋体" w:cs="宋体"/>
          <w:sz w:val="24"/>
        </w:rPr>
        <w:t>通过云平台提供的数据采集服务，对站内加油机编号、加油枪编号、成品油名称、油品数量、单价、金额、加油时间进行实时采集，自动生成电子发票基础数据信息，监控纳税人开票和纳税申报行为，及时开展纳税申报比对。通过4G/5G物联网将税控数据与云平台对接，对设备出现异常情况预警，多部门立即联动快速核查，开展执法行动。制止“合规守法企业受损，不合规非法企业获利”的市场乱象，营造市场公平营商环境。</w:t>
      </w:r>
    </w:p>
    <w:p w14:paraId="4DC63145">
      <w:pPr>
        <w:keepNext w:val="0"/>
        <w:keepLines w:val="0"/>
        <w:pageBreakBefore w:val="0"/>
        <w:widowControl w:val="0"/>
        <w:spacing w:line="390" w:lineRule="exact"/>
        <w:ind w:firstLine="482"/>
        <w:rPr>
          <w:rFonts w:hint="eastAsia" w:ascii="宋体" w:hAnsi="宋体" w:eastAsia="宋体" w:cs="宋体"/>
          <w:sz w:val="24"/>
        </w:rPr>
      </w:pPr>
      <w:r>
        <w:rPr>
          <w:rFonts w:hint="eastAsia" w:ascii="宋体" w:hAnsi="宋体" w:eastAsia="宋体" w:cs="宋体"/>
          <w:b/>
          <w:bCs/>
          <w:sz w:val="24"/>
        </w:rPr>
        <w:t>统计分析服务。</w:t>
      </w:r>
      <w:r>
        <w:rPr>
          <w:rFonts w:hint="eastAsia" w:ascii="宋体" w:hAnsi="宋体" w:eastAsia="宋体" w:cs="宋体"/>
          <w:sz w:val="24"/>
        </w:rPr>
        <w:t>通过云平台提供的统计分析服务，实现成品油领域的税务监管、价格监管、计量监管等环节齐抓共管、综合治理。配合取缔 “黑”加油站点，进一步规范成品油营销环境，保护合法加油站的利益，杜绝黑加油站点存在的社会安全隐患。</w:t>
      </w:r>
    </w:p>
    <w:p w14:paraId="217DF38B">
      <w:pPr>
        <w:keepNext w:val="0"/>
        <w:keepLines w:val="0"/>
        <w:pageBreakBefore w:val="0"/>
        <w:widowControl w:val="0"/>
        <w:spacing w:line="390" w:lineRule="exact"/>
        <w:ind w:firstLine="482"/>
        <w:rPr>
          <w:rFonts w:hint="eastAsia" w:ascii="宋体" w:hAnsi="宋体" w:eastAsia="宋体" w:cs="宋体"/>
          <w:sz w:val="24"/>
        </w:rPr>
      </w:pPr>
      <w:r>
        <w:rPr>
          <w:rFonts w:hint="eastAsia" w:ascii="宋体" w:hAnsi="宋体" w:eastAsia="宋体" w:cs="宋体"/>
          <w:b/>
          <w:bCs/>
          <w:sz w:val="24"/>
        </w:rPr>
        <w:t>智能预警服务。</w:t>
      </w:r>
      <w:r>
        <w:rPr>
          <w:rFonts w:hint="eastAsia" w:ascii="宋体" w:hAnsi="宋体" w:eastAsia="宋体" w:cs="宋体"/>
          <w:sz w:val="24"/>
        </w:rPr>
        <w:t>通过云平台提供的智能预警服务，实现违法作弊行为、安全生产隐患、非法运输车辆等全天候无人值守的及时预警，实现监管、预警、处置的高效联动。</w:t>
      </w:r>
    </w:p>
    <w:p w14:paraId="69149517">
      <w:pPr>
        <w:keepNext w:val="0"/>
        <w:keepLines w:val="0"/>
        <w:pageBreakBefore w:val="0"/>
        <w:widowControl w:val="0"/>
        <w:spacing w:line="390" w:lineRule="exact"/>
        <w:ind w:firstLine="482"/>
        <w:rPr>
          <w:rFonts w:hint="eastAsia" w:ascii="仿宋" w:hAnsi="仿宋" w:eastAsia="仿宋" w:cs="方正楷体_GB2312"/>
          <w:sz w:val="24"/>
        </w:rPr>
      </w:pPr>
      <w:r>
        <w:rPr>
          <w:rFonts w:hint="eastAsia" w:ascii="宋体" w:hAnsi="宋体" w:eastAsia="宋体" w:cs="宋体"/>
          <w:b/>
          <w:bCs/>
          <w:sz w:val="24"/>
        </w:rPr>
        <w:t>动态感知服务。</w:t>
      </w:r>
      <w:r>
        <w:rPr>
          <w:rFonts w:hint="eastAsia" w:ascii="宋体" w:hAnsi="宋体" w:eastAsia="宋体" w:cs="宋体"/>
          <w:sz w:val="24"/>
        </w:rPr>
        <w:t>通过云平台提供的动态感知服务，为政府和职能管理部门提供大数据看板、领导“驾驶舱”窗口、APP，动态全景感知成品油进销数据、售油数据、纳税数据、油站数据、安全生产等数据，为政府科学决策提供必要的数据支撑依据。</w:t>
      </w:r>
    </w:p>
    <w:p w14:paraId="6F2538A4">
      <w:pPr>
        <w:keepNext w:val="0"/>
        <w:keepLines w:val="0"/>
        <w:pageBreakBefore w:val="0"/>
        <w:widowControl w:val="0"/>
        <w:numPr>
          <w:ilvl w:val="0"/>
          <w:numId w:val="4"/>
        </w:numPr>
        <w:spacing w:after="0" w:line="390" w:lineRule="exact"/>
        <w:ind w:left="0" w:firstLine="420"/>
        <w:jc w:val="both"/>
        <w:rPr>
          <w:rFonts w:hint="eastAsia" w:ascii="宋体" w:hAnsi="宋体" w:eastAsia="宋体" w:cs="宋体"/>
          <w:b/>
          <w:sz w:val="24"/>
          <w:szCs w:val="24"/>
          <w:highlight w:val="none"/>
          <w:lang w:val="en-US" w:eastAsia="zh-CN" w:bidi="ar-SA"/>
        </w:rPr>
      </w:pPr>
      <w:bookmarkStart w:id="13" w:name="_Toc13182"/>
      <w:r>
        <w:rPr>
          <w:rFonts w:hint="eastAsia" w:ascii="宋体" w:hAnsi="宋体" w:eastAsia="宋体" w:cs="宋体"/>
          <w:b/>
          <w:sz w:val="24"/>
          <w:szCs w:val="24"/>
          <w:highlight w:val="none"/>
          <w:lang w:val="en-US" w:eastAsia="zh-CN" w:bidi="ar-SA"/>
        </w:rPr>
        <w:t>采购清单：</w:t>
      </w:r>
      <w:bookmarkEnd w:id="13"/>
    </w:p>
    <w:tbl>
      <w:tblPr>
        <w:tblStyle w:val="29"/>
        <w:tblW w:w="46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6"/>
        <w:gridCol w:w="4329"/>
        <w:gridCol w:w="1571"/>
        <w:gridCol w:w="1837"/>
      </w:tblGrid>
      <w:tr w14:paraId="570FA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shd w:val="clear" w:color="000000" w:fill="FFFFFF"/>
            <w:noWrap/>
            <w:vAlign w:val="center"/>
          </w:tcPr>
          <w:p w14:paraId="5959B228">
            <w:pPr>
              <w:keepNext w:val="0"/>
              <w:keepLines w:val="0"/>
              <w:pageBreakBefore w:val="0"/>
              <w:widowControl w:val="0"/>
              <w:spacing w:line="390" w:lineRule="exact"/>
              <w:jc w:val="center"/>
              <w:rPr>
                <w:rFonts w:hint="eastAsia" w:ascii="宋体" w:hAnsi="宋体" w:eastAsia="宋体" w:cs="宋体"/>
                <w:b/>
                <w:bCs/>
                <w:color w:val="000000"/>
                <w:sz w:val="24"/>
              </w:rPr>
            </w:pPr>
            <w:r>
              <w:rPr>
                <w:rFonts w:hint="eastAsia" w:ascii="宋体" w:hAnsi="宋体" w:eastAsia="宋体" w:cs="宋体"/>
                <w:b/>
                <w:bCs/>
                <w:color w:val="000000"/>
                <w:sz w:val="24"/>
              </w:rPr>
              <w:t>序号</w:t>
            </w:r>
          </w:p>
        </w:tc>
        <w:tc>
          <w:tcPr>
            <w:tcW w:w="2533" w:type="pct"/>
            <w:shd w:val="clear" w:color="000000" w:fill="FFFFFF"/>
            <w:noWrap/>
            <w:vAlign w:val="center"/>
          </w:tcPr>
          <w:p w14:paraId="7E707800">
            <w:pPr>
              <w:keepNext w:val="0"/>
              <w:keepLines w:val="0"/>
              <w:pageBreakBefore w:val="0"/>
              <w:widowControl w:val="0"/>
              <w:spacing w:line="390" w:lineRule="exact"/>
              <w:jc w:val="center"/>
              <w:rPr>
                <w:rFonts w:hint="eastAsia" w:ascii="宋体" w:hAnsi="宋体" w:eastAsia="宋体" w:cs="宋体"/>
                <w:b/>
                <w:bCs/>
                <w:color w:val="000000"/>
                <w:sz w:val="24"/>
              </w:rPr>
            </w:pPr>
            <w:r>
              <w:rPr>
                <w:rFonts w:hint="eastAsia" w:ascii="宋体" w:hAnsi="宋体" w:eastAsia="宋体" w:cs="宋体"/>
                <w:b/>
                <w:bCs/>
                <w:color w:val="000000"/>
                <w:sz w:val="24"/>
              </w:rPr>
              <w:t>内容</w:t>
            </w:r>
          </w:p>
        </w:tc>
        <w:tc>
          <w:tcPr>
            <w:tcW w:w="919" w:type="pct"/>
            <w:shd w:val="clear" w:color="000000" w:fill="FFFFFF"/>
            <w:noWrap/>
            <w:vAlign w:val="center"/>
          </w:tcPr>
          <w:p w14:paraId="730FC7A0">
            <w:pPr>
              <w:keepNext w:val="0"/>
              <w:keepLines w:val="0"/>
              <w:pageBreakBefore w:val="0"/>
              <w:widowControl w:val="0"/>
              <w:spacing w:line="390" w:lineRule="exact"/>
              <w:jc w:val="center"/>
              <w:rPr>
                <w:rFonts w:hint="eastAsia" w:ascii="宋体" w:hAnsi="宋体" w:eastAsia="宋体" w:cs="宋体"/>
                <w:b/>
                <w:bCs/>
                <w:color w:val="000000"/>
                <w:sz w:val="24"/>
              </w:rPr>
            </w:pPr>
            <w:r>
              <w:rPr>
                <w:rFonts w:hint="eastAsia" w:ascii="宋体" w:hAnsi="宋体" w:eastAsia="宋体" w:cs="宋体"/>
                <w:b/>
                <w:bCs/>
                <w:color w:val="000000"/>
                <w:sz w:val="24"/>
              </w:rPr>
              <w:t>数量</w:t>
            </w:r>
          </w:p>
        </w:tc>
        <w:tc>
          <w:tcPr>
            <w:tcW w:w="1075" w:type="pct"/>
            <w:shd w:val="clear" w:color="000000" w:fill="FFFFFF"/>
            <w:noWrap/>
            <w:vAlign w:val="center"/>
          </w:tcPr>
          <w:p w14:paraId="0FA955DB">
            <w:pPr>
              <w:keepNext w:val="0"/>
              <w:keepLines w:val="0"/>
              <w:pageBreakBefore w:val="0"/>
              <w:widowControl w:val="0"/>
              <w:spacing w:line="390" w:lineRule="exact"/>
              <w:jc w:val="center"/>
              <w:rPr>
                <w:rFonts w:hint="eastAsia" w:ascii="宋体" w:hAnsi="宋体" w:eastAsia="宋体" w:cs="宋体"/>
                <w:b/>
                <w:bCs/>
                <w:color w:val="000000"/>
                <w:sz w:val="24"/>
              </w:rPr>
            </w:pPr>
            <w:r>
              <w:rPr>
                <w:rFonts w:hint="eastAsia" w:ascii="宋体" w:hAnsi="宋体" w:eastAsia="宋体" w:cs="宋体"/>
                <w:b/>
                <w:bCs/>
                <w:color w:val="000000"/>
                <w:sz w:val="24"/>
              </w:rPr>
              <w:t>单位</w:t>
            </w:r>
          </w:p>
        </w:tc>
      </w:tr>
      <w:tr w14:paraId="4C82A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shd w:val="clear" w:color="000000" w:fill="FFFFFF"/>
            <w:noWrap w:val="0"/>
            <w:vAlign w:val="center"/>
          </w:tcPr>
          <w:p w14:paraId="7FD0D8C8">
            <w:pPr>
              <w:keepNext w:val="0"/>
              <w:keepLines w:val="0"/>
              <w:pageBreakBefore w:val="0"/>
              <w:widowControl w:val="0"/>
              <w:spacing w:line="390" w:lineRule="exact"/>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2533" w:type="pct"/>
            <w:shd w:val="clear" w:color="000000" w:fill="FFFFFF"/>
            <w:noWrap w:val="0"/>
            <w:vAlign w:val="center"/>
          </w:tcPr>
          <w:p w14:paraId="5F773F92">
            <w:pPr>
              <w:keepNext w:val="0"/>
              <w:keepLines w:val="0"/>
              <w:pageBreakBefore w:val="0"/>
              <w:widowControl w:val="0"/>
              <w:spacing w:line="390" w:lineRule="exact"/>
              <w:jc w:val="center"/>
              <w:rPr>
                <w:rFonts w:hint="eastAsia" w:ascii="宋体" w:hAnsi="宋体" w:eastAsia="宋体" w:cs="宋体"/>
                <w:color w:val="000000"/>
                <w:sz w:val="24"/>
              </w:rPr>
            </w:pPr>
            <w:r>
              <w:rPr>
                <w:rFonts w:hint="eastAsia" w:ascii="宋体" w:hAnsi="宋体" w:eastAsia="宋体" w:cs="宋体"/>
                <w:color w:val="000000"/>
                <w:sz w:val="24"/>
              </w:rPr>
              <w:t>成品油流通数据监管云平台系统</w:t>
            </w:r>
          </w:p>
        </w:tc>
        <w:tc>
          <w:tcPr>
            <w:tcW w:w="919" w:type="pct"/>
            <w:shd w:val="clear" w:color="000000" w:fill="FFFFFF"/>
            <w:noWrap w:val="0"/>
            <w:vAlign w:val="center"/>
          </w:tcPr>
          <w:p w14:paraId="54A8B8F6">
            <w:pPr>
              <w:keepNext w:val="0"/>
              <w:keepLines w:val="0"/>
              <w:pageBreakBefore w:val="0"/>
              <w:widowControl w:val="0"/>
              <w:spacing w:line="390" w:lineRule="exact"/>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1075" w:type="pct"/>
            <w:shd w:val="clear" w:color="000000" w:fill="FFFFFF"/>
            <w:noWrap w:val="0"/>
            <w:vAlign w:val="center"/>
          </w:tcPr>
          <w:p w14:paraId="3144D248">
            <w:pPr>
              <w:keepNext w:val="0"/>
              <w:keepLines w:val="0"/>
              <w:pageBreakBefore w:val="0"/>
              <w:widowControl w:val="0"/>
              <w:spacing w:line="390" w:lineRule="exact"/>
              <w:jc w:val="center"/>
              <w:rPr>
                <w:rFonts w:hint="eastAsia" w:ascii="宋体" w:hAnsi="宋体" w:eastAsia="宋体" w:cs="宋体"/>
                <w:color w:val="000000"/>
                <w:sz w:val="24"/>
              </w:rPr>
            </w:pPr>
            <w:r>
              <w:rPr>
                <w:rFonts w:hint="eastAsia" w:ascii="宋体" w:hAnsi="宋体" w:eastAsia="宋体" w:cs="宋体"/>
                <w:color w:val="000000"/>
                <w:sz w:val="24"/>
              </w:rPr>
              <w:t>套</w:t>
            </w:r>
          </w:p>
        </w:tc>
      </w:tr>
      <w:tr w14:paraId="50DF8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shd w:val="clear" w:color="000000" w:fill="FFFFFF"/>
            <w:noWrap w:val="0"/>
            <w:vAlign w:val="center"/>
          </w:tcPr>
          <w:p w14:paraId="7B07E6BA">
            <w:pPr>
              <w:keepNext w:val="0"/>
              <w:keepLines w:val="0"/>
              <w:pageBreakBefore w:val="0"/>
              <w:widowControl w:val="0"/>
              <w:spacing w:line="390" w:lineRule="exact"/>
              <w:jc w:val="center"/>
              <w:rPr>
                <w:rFonts w:hint="eastAsia" w:ascii="宋体" w:hAnsi="宋体" w:eastAsia="宋体" w:cs="宋体"/>
                <w:color w:val="000000"/>
                <w:sz w:val="24"/>
              </w:rPr>
            </w:pPr>
            <w:r>
              <w:rPr>
                <w:rFonts w:hint="eastAsia" w:ascii="宋体" w:hAnsi="宋体" w:eastAsia="宋体" w:cs="宋体"/>
                <w:color w:val="000000"/>
                <w:sz w:val="24"/>
              </w:rPr>
              <w:t>2</w:t>
            </w:r>
          </w:p>
        </w:tc>
        <w:tc>
          <w:tcPr>
            <w:tcW w:w="2533" w:type="pct"/>
            <w:shd w:val="clear" w:color="000000" w:fill="FFFFFF"/>
            <w:noWrap w:val="0"/>
            <w:vAlign w:val="center"/>
          </w:tcPr>
          <w:p w14:paraId="0EA64084">
            <w:pPr>
              <w:keepNext w:val="0"/>
              <w:keepLines w:val="0"/>
              <w:pageBreakBefore w:val="0"/>
              <w:widowControl w:val="0"/>
              <w:spacing w:line="390" w:lineRule="exact"/>
              <w:jc w:val="center"/>
              <w:rPr>
                <w:rFonts w:hint="eastAsia" w:ascii="宋体" w:hAnsi="宋体" w:eastAsia="宋体" w:cs="宋体"/>
                <w:color w:val="000000"/>
                <w:sz w:val="24"/>
              </w:rPr>
            </w:pPr>
            <w:r>
              <w:rPr>
                <w:rFonts w:hint="eastAsia" w:ascii="宋体" w:hAnsi="宋体" w:eastAsia="宋体" w:cs="宋体"/>
                <w:color w:val="000000"/>
                <w:sz w:val="24"/>
              </w:rPr>
              <w:t>加油机数据采集设备</w:t>
            </w:r>
          </w:p>
        </w:tc>
        <w:tc>
          <w:tcPr>
            <w:tcW w:w="919" w:type="pct"/>
            <w:shd w:val="clear" w:color="000000" w:fill="FFFFFF"/>
            <w:noWrap w:val="0"/>
            <w:vAlign w:val="center"/>
          </w:tcPr>
          <w:p w14:paraId="4679F754">
            <w:pPr>
              <w:keepNext w:val="0"/>
              <w:keepLines w:val="0"/>
              <w:pageBreakBefore w:val="0"/>
              <w:widowControl w:val="0"/>
              <w:spacing w:line="390" w:lineRule="exact"/>
              <w:jc w:val="center"/>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190</w:t>
            </w:r>
          </w:p>
        </w:tc>
        <w:tc>
          <w:tcPr>
            <w:tcW w:w="1075" w:type="pct"/>
            <w:shd w:val="clear" w:color="000000" w:fill="FFFFFF"/>
            <w:noWrap w:val="0"/>
            <w:vAlign w:val="center"/>
          </w:tcPr>
          <w:p w14:paraId="54681993">
            <w:pPr>
              <w:keepNext w:val="0"/>
              <w:keepLines w:val="0"/>
              <w:pageBreakBefore w:val="0"/>
              <w:widowControl w:val="0"/>
              <w:spacing w:line="390" w:lineRule="exact"/>
              <w:jc w:val="center"/>
              <w:rPr>
                <w:rFonts w:hint="eastAsia" w:ascii="宋体" w:hAnsi="宋体" w:eastAsia="宋体" w:cs="宋体"/>
                <w:color w:val="000000"/>
                <w:sz w:val="24"/>
              </w:rPr>
            </w:pPr>
            <w:r>
              <w:rPr>
                <w:rFonts w:hint="eastAsia" w:ascii="宋体" w:hAnsi="宋体" w:eastAsia="宋体" w:cs="宋体"/>
                <w:color w:val="000000"/>
                <w:sz w:val="24"/>
              </w:rPr>
              <w:t>台</w:t>
            </w:r>
          </w:p>
        </w:tc>
      </w:tr>
      <w:tr w14:paraId="5659D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shd w:val="clear" w:color="000000" w:fill="FFFFFF"/>
            <w:noWrap w:val="0"/>
            <w:vAlign w:val="center"/>
          </w:tcPr>
          <w:p w14:paraId="4E61FB8E">
            <w:pPr>
              <w:keepNext w:val="0"/>
              <w:keepLines w:val="0"/>
              <w:pageBreakBefore w:val="0"/>
              <w:widowControl w:val="0"/>
              <w:spacing w:line="390" w:lineRule="exact"/>
              <w:jc w:val="center"/>
              <w:rPr>
                <w:rFonts w:hint="eastAsia" w:ascii="宋体" w:hAnsi="宋体" w:eastAsia="宋体" w:cs="宋体"/>
                <w:color w:val="000000"/>
                <w:sz w:val="24"/>
              </w:rPr>
            </w:pPr>
            <w:r>
              <w:rPr>
                <w:rFonts w:hint="eastAsia" w:ascii="宋体" w:hAnsi="宋体" w:eastAsia="宋体" w:cs="宋体"/>
                <w:color w:val="000000"/>
                <w:sz w:val="24"/>
              </w:rPr>
              <w:t>3</w:t>
            </w:r>
          </w:p>
        </w:tc>
        <w:tc>
          <w:tcPr>
            <w:tcW w:w="2533" w:type="pct"/>
            <w:shd w:val="clear" w:color="000000" w:fill="FFFFFF"/>
            <w:noWrap w:val="0"/>
            <w:vAlign w:val="center"/>
          </w:tcPr>
          <w:p w14:paraId="72503107">
            <w:pPr>
              <w:keepNext w:val="0"/>
              <w:keepLines w:val="0"/>
              <w:pageBreakBefore w:val="0"/>
              <w:widowControl w:val="0"/>
              <w:spacing w:line="390" w:lineRule="exact"/>
              <w:jc w:val="center"/>
              <w:rPr>
                <w:rFonts w:hint="eastAsia" w:ascii="宋体" w:hAnsi="宋体" w:eastAsia="宋体" w:cs="宋体"/>
                <w:color w:val="000000"/>
                <w:sz w:val="24"/>
              </w:rPr>
            </w:pPr>
            <w:r>
              <w:rPr>
                <w:rFonts w:hint="eastAsia" w:ascii="宋体" w:hAnsi="宋体" w:eastAsia="宋体" w:cs="宋体"/>
                <w:color w:val="000000"/>
                <w:sz w:val="24"/>
              </w:rPr>
              <w:t>4G/5G物联网卡</w:t>
            </w:r>
          </w:p>
        </w:tc>
        <w:tc>
          <w:tcPr>
            <w:tcW w:w="919" w:type="pct"/>
            <w:shd w:val="clear" w:color="000000" w:fill="FFFFFF"/>
            <w:noWrap w:val="0"/>
            <w:vAlign w:val="center"/>
          </w:tcPr>
          <w:p w14:paraId="64AACDA9">
            <w:pPr>
              <w:keepNext w:val="0"/>
              <w:keepLines w:val="0"/>
              <w:pageBreakBefore w:val="0"/>
              <w:widowControl w:val="0"/>
              <w:spacing w:line="390" w:lineRule="exact"/>
              <w:jc w:val="center"/>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190</w:t>
            </w:r>
          </w:p>
        </w:tc>
        <w:tc>
          <w:tcPr>
            <w:tcW w:w="1075" w:type="pct"/>
            <w:shd w:val="clear" w:color="000000" w:fill="FFFFFF"/>
            <w:noWrap w:val="0"/>
            <w:vAlign w:val="center"/>
          </w:tcPr>
          <w:p w14:paraId="313A1BBD">
            <w:pPr>
              <w:keepNext w:val="0"/>
              <w:keepLines w:val="0"/>
              <w:pageBreakBefore w:val="0"/>
              <w:widowControl w:val="0"/>
              <w:spacing w:line="390" w:lineRule="exact"/>
              <w:jc w:val="center"/>
              <w:rPr>
                <w:rFonts w:hint="eastAsia" w:ascii="宋体" w:hAnsi="宋体" w:eastAsia="宋体" w:cs="宋体"/>
                <w:color w:val="000000"/>
                <w:sz w:val="24"/>
              </w:rPr>
            </w:pPr>
            <w:r>
              <w:rPr>
                <w:rFonts w:hint="eastAsia" w:ascii="宋体" w:hAnsi="宋体" w:eastAsia="宋体" w:cs="宋体"/>
                <w:color w:val="000000"/>
                <w:sz w:val="24"/>
              </w:rPr>
              <w:t>张/3年</w:t>
            </w:r>
          </w:p>
        </w:tc>
      </w:tr>
    </w:tbl>
    <w:p w14:paraId="1BA72272">
      <w:pPr>
        <w:keepNext w:val="0"/>
        <w:keepLines w:val="0"/>
        <w:pageBreakBefore w:val="0"/>
        <w:widowControl w:val="0"/>
        <w:numPr>
          <w:ilvl w:val="0"/>
          <w:numId w:val="2"/>
        </w:numPr>
        <w:spacing w:line="390" w:lineRule="exact"/>
        <w:ind w:left="0" w:firstLine="420"/>
        <w:jc w:val="left"/>
        <w:outlineLvl w:val="1"/>
        <w:rPr>
          <w:rFonts w:hint="eastAsia" w:ascii="宋体" w:hAnsi="宋体" w:eastAsia="宋体" w:cs="宋体"/>
          <w:b/>
          <w:sz w:val="28"/>
          <w:szCs w:val="28"/>
        </w:rPr>
      </w:pPr>
      <w:bookmarkStart w:id="14" w:name="_Toc15669"/>
      <w:bookmarkStart w:id="15" w:name="_Toc30342"/>
      <w:r>
        <w:rPr>
          <w:rFonts w:hint="eastAsia" w:ascii="宋体" w:hAnsi="宋体" w:eastAsia="宋体" w:cs="宋体"/>
          <w:b/>
          <w:sz w:val="28"/>
          <w:szCs w:val="28"/>
        </w:rPr>
        <w:t>技术要求</w:t>
      </w:r>
      <w:bookmarkEnd w:id="14"/>
      <w:bookmarkEnd w:id="15"/>
    </w:p>
    <w:p w14:paraId="268E2E45">
      <w:pPr>
        <w:keepNext w:val="0"/>
        <w:keepLines w:val="0"/>
        <w:pageBreakBefore w:val="0"/>
        <w:widowControl w:val="0"/>
        <w:numPr>
          <w:ilvl w:val="0"/>
          <w:numId w:val="6"/>
        </w:numPr>
        <w:spacing w:after="120" w:line="390" w:lineRule="exact"/>
        <w:ind w:left="0" w:firstLine="420"/>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云平台服务系统</w:t>
      </w:r>
    </w:p>
    <w:p w14:paraId="18AC1E71">
      <w:pPr>
        <w:keepNext w:val="0"/>
        <w:keepLines w:val="0"/>
        <w:pageBreakBefore w:val="0"/>
        <w:widowControl w:val="0"/>
        <w:numPr>
          <w:ilvl w:val="0"/>
          <w:numId w:val="7"/>
        </w:numPr>
        <w:spacing w:after="120" w:line="390" w:lineRule="exact"/>
        <w:ind w:left="0" w:firstLine="480"/>
        <w:jc w:val="both"/>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平台技术要求：</w:t>
      </w:r>
    </w:p>
    <w:p w14:paraId="557CD98C">
      <w:pPr>
        <w:keepNext w:val="0"/>
        <w:keepLines w:val="0"/>
        <w:pageBreakBefore w:val="0"/>
        <w:widowControl w:val="0"/>
        <w:spacing w:line="390" w:lineRule="exact"/>
        <w:ind w:firstLine="480"/>
        <w:rPr>
          <w:rFonts w:hint="eastAsia" w:ascii="宋体" w:hAnsi="宋体" w:eastAsia="宋体" w:cs="宋体"/>
          <w:sz w:val="24"/>
        </w:rPr>
      </w:pPr>
      <w:r>
        <w:rPr>
          <w:rFonts w:hint="eastAsia" w:ascii="宋体" w:hAnsi="宋体" w:eastAsia="宋体" w:cs="宋体"/>
          <w:sz w:val="24"/>
        </w:rPr>
        <w:t>通过物联网技术加密传输到云平台，进行数据的汇总、分析、展示、利用。实现实时监控各加油站的交易数据，基于各类交易数据分析，生成多维度的数据分析报告和报表，为市场监管、税务、商务等部门提供更加丰富的监管依据，营造公平竞争的市场环境，为智慧城市建设提供有力的技术支撑。软件平台应包括可视化大屏展示、PC管理平台、手机端查询平台等多场景应用平台。</w:t>
      </w:r>
    </w:p>
    <w:p w14:paraId="20510100">
      <w:pPr>
        <w:keepNext w:val="0"/>
        <w:keepLines w:val="0"/>
        <w:pageBreakBefore w:val="0"/>
        <w:widowControl w:val="0"/>
        <w:numPr>
          <w:ilvl w:val="0"/>
          <w:numId w:val="7"/>
        </w:numPr>
        <w:spacing w:after="120" w:line="390" w:lineRule="exact"/>
        <w:ind w:left="0"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功能与技术参数要求：</w:t>
      </w:r>
    </w:p>
    <w:tbl>
      <w:tblPr>
        <w:tblStyle w:val="29"/>
        <w:tblW w:w="50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940"/>
        <w:gridCol w:w="1374"/>
        <w:gridCol w:w="1976"/>
        <w:gridCol w:w="4335"/>
      </w:tblGrid>
      <w:tr w14:paraId="04D8B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blHeader/>
          <w:jc w:val="center"/>
        </w:trPr>
        <w:tc>
          <w:tcPr>
            <w:tcW w:w="404" w:type="pct"/>
            <w:shd w:val="clear" w:color="000000" w:fill="auto"/>
            <w:noWrap/>
            <w:vAlign w:val="center"/>
          </w:tcPr>
          <w:p w14:paraId="0EFFB6A3">
            <w:pPr>
              <w:jc w:val="center"/>
              <w:rPr>
                <w:rFonts w:ascii="Times New Roman" w:hAnsi="Times New Roman" w:eastAsia="宋体" w:cs="Times New Roman"/>
                <w:b/>
                <w:bCs/>
                <w:sz w:val="24"/>
              </w:rPr>
            </w:pPr>
            <w:r>
              <w:rPr>
                <w:rFonts w:hint="eastAsia" w:ascii="Times New Roman" w:hAnsi="Times New Roman" w:eastAsia="宋体" w:cs="Times New Roman"/>
                <w:b/>
                <w:bCs/>
                <w:sz w:val="24"/>
              </w:rPr>
              <w:t>序号</w:t>
            </w:r>
          </w:p>
        </w:tc>
        <w:tc>
          <w:tcPr>
            <w:tcW w:w="500" w:type="pct"/>
            <w:shd w:val="clear" w:color="000000" w:fill="auto"/>
            <w:noWrap/>
            <w:vAlign w:val="center"/>
          </w:tcPr>
          <w:p w14:paraId="6F6C74DD">
            <w:pPr>
              <w:jc w:val="center"/>
              <w:rPr>
                <w:rFonts w:ascii="Times New Roman" w:hAnsi="Times New Roman" w:eastAsia="宋体" w:cs="Times New Roman"/>
                <w:b/>
                <w:bCs/>
                <w:sz w:val="24"/>
              </w:rPr>
            </w:pPr>
            <w:r>
              <w:rPr>
                <w:rFonts w:hint="eastAsia" w:ascii="Times New Roman" w:hAnsi="Times New Roman" w:eastAsia="宋体" w:cs="Times New Roman"/>
                <w:b/>
                <w:bCs/>
                <w:sz w:val="24"/>
              </w:rPr>
              <w:t>类别</w:t>
            </w:r>
          </w:p>
        </w:tc>
        <w:tc>
          <w:tcPr>
            <w:tcW w:w="732" w:type="pct"/>
            <w:shd w:val="clear" w:color="000000" w:fill="auto"/>
            <w:noWrap/>
            <w:vAlign w:val="center"/>
          </w:tcPr>
          <w:p w14:paraId="5CE8889F">
            <w:pPr>
              <w:jc w:val="center"/>
              <w:rPr>
                <w:rFonts w:ascii="Times New Roman" w:hAnsi="Times New Roman" w:eastAsia="宋体" w:cs="Times New Roman"/>
                <w:b/>
                <w:bCs/>
                <w:sz w:val="24"/>
              </w:rPr>
            </w:pPr>
            <w:r>
              <w:rPr>
                <w:rFonts w:hint="eastAsia" w:ascii="Times New Roman" w:hAnsi="Times New Roman" w:eastAsia="宋体" w:cs="Times New Roman"/>
                <w:b/>
                <w:bCs/>
                <w:sz w:val="24"/>
              </w:rPr>
              <w:t>一级功能</w:t>
            </w:r>
          </w:p>
        </w:tc>
        <w:tc>
          <w:tcPr>
            <w:tcW w:w="1052" w:type="pct"/>
            <w:shd w:val="clear" w:color="000000" w:fill="auto"/>
            <w:noWrap/>
            <w:vAlign w:val="center"/>
          </w:tcPr>
          <w:p w14:paraId="512B1866">
            <w:pPr>
              <w:jc w:val="center"/>
              <w:rPr>
                <w:rFonts w:ascii="Times New Roman" w:hAnsi="Times New Roman" w:eastAsia="宋体" w:cs="Times New Roman"/>
                <w:b/>
                <w:bCs/>
                <w:sz w:val="24"/>
              </w:rPr>
            </w:pPr>
            <w:r>
              <w:rPr>
                <w:rFonts w:hint="eastAsia" w:ascii="Times New Roman" w:hAnsi="Times New Roman" w:eastAsia="宋体" w:cs="Times New Roman"/>
                <w:b/>
                <w:bCs/>
                <w:sz w:val="24"/>
              </w:rPr>
              <w:t>二级功能</w:t>
            </w:r>
          </w:p>
        </w:tc>
        <w:tc>
          <w:tcPr>
            <w:tcW w:w="2309" w:type="pct"/>
            <w:shd w:val="clear" w:color="000000" w:fill="auto"/>
            <w:noWrap/>
            <w:vAlign w:val="center"/>
          </w:tcPr>
          <w:p w14:paraId="158D2F32">
            <w:pPr>
              <w:jc w:val="center"/>
              <w:rPr>
                <w:rFonts w:ascii="Times New Roman" w:hAnsi="Times New Roman" w:eastAsia="宋体" w:cs="Times New Roman"/>
                <w:b/>
                <w:bCs/>
                <w:sz w:val="24"/>
              </w:rPr>
            </w:pPr>
            <w:r>
              <w:rPr>
                <w:rFonts w:hint="eastAsia" w:ascii="Times New Roman" w:hAnsi="Times New Roman" w:eastAsia="宋体" w:cs="Times New Roman"/>
                <w:b/>
                <w:bCs/>
                <w:sz w:val="24"/>
              </w:rPr>
              <w:t>技术参数</w:t>
            </w:r>
          </w:p>
        </w:tc>
      </w:tr>
      <w:tr w14:paraId="04711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restart"/>
            <w:noWrap/>
            <w:vAlign w:val="center"/>
          </w:tcPr>
          <w:p w14:paraId="6798CFF8">
            <w:pPr>
              <w:jc w:val="center"/>
              <w:rPr>
                <w:rFonts w:hint="eastAsia" w:ascii="宋体" w:hAnsi="宋体" w:eastAsia="宋体" w:cs="宋体"/>
                <w:highlight w:val="none"/>
              </w:rPr>
            </w:pPr>
            <w:r>
              <w:rPr>
                <w:rFonts w:hint="eastAsia" w:ascii="宋体" w:hAnsi="宋体" w:eastAsia="宋体" w:cs="宋体"/>
                <w:highlight w:val="none"/>
              </w:rPr>
              <w:t>1</w:t>
            </w:r>
          </w:p>
        </w:tc>
        <w:tc>
          <w:tcPr>
            <w:tcW w:w="500" w:type="pct"/>
            <w:vMerge w:val="restart"/>
            <w:noWrap/>
            <w:vAlign w:val="center"/>
          </w:tcPr>
          <w:p w14:paraId="33883413">
            <w:pPr>
              <w:rPr>
                <w:rFonts w:hint="eastAsia" w:ascii="宋体" w:hAnsi="宋体" w:eastAsia="宋体" w:cs="宋体"/>
                <w:highlight w:val="none"/>
              </w:rPr>
            </w:pPr>
            <w:r>
              <w:rPr>
                <w:rFonts w:hint="eastAsia" w:ascii="宋体" w:hAnsi="宋体" w:eastAsia="宋体" w:cs="宋体"/>
                <w:highlight w:val="none"/>
              </w:rPr>
              <w:t>综合管理平台</w:t>
            </w:r>
          </w:p>
        </w:tc>
        <w:tc>
          <w:tcPr>
            <w:tcW w:w="732" w:type="pct"/>
            <w:vMerge w:val="restart"/>
            <w:noWrap/>
            <w:vAlign w:val="center"/>
          </w:tcPr>
          <w:p w14:paraId="46DAFED8">
            <w:pPr>
              <w:rPr>
                <w:rFonts w:hint="eastAsia" w:ascii="宋体" w:hAnsi="宋体" w:eastAsia="宋体" w:cs="宋体"/>
                <w:highlight w:val="none"/>
              </w:rPr>
            </w:pPr>
            <w:r>
              <w:rPr>
                <w:rFonts w:hint="eastAsia" w:ascii="宋体" w:hAnsi="宋体" w:eastAsia="宋体" w:cs="宋体"/>
                <w:highlight w:val="none"/>
              </w:rPr>
              <w:t>油站信息管理</w:t>
            </w:r>
          </w:p>
        </w:tc>
        <w:tc>
          <w:tcPr>
            <w:tcW w:w="1052" w:type="pct"/>
            <w:noWrap/>
            <w:vAlign w:val="center"/>
          </w:tcPr>
          <w:p w14:paraId="67FA5BF2">
            <w:pPr>
              <w:rPr>
                <w:rFonts w:hint="eastAsia" w:ascii="宋体" w:hAnsi="宋体" w:eastAsia="宋体" w:cs="宋体"/>
                <w:highlight w:val="none"/>
              </w:rPr>
            </w:pPr>
            <w:r>
              <w:rPr>
                <w:rFonts w:hint="eastAsia" w:ascii="宋体" w:hAnsi="宋体" w:eastAsia="宋体" w:cs="宋体"/>
                <w:highlight w:val="none"/>
              </w:rPr>
              <w:t>油站信息</w:t>
            </w:r>
          </w:p>
        </w:tc>
        <w:tc>
          <w:tcPr>
            <w:tcW w:w="2309" w:type="pct"/>
            <w:shd w:val="clear" w:color="000000" w:fill="FFFFFF"/>
            <w:noWrap/>
            <w:vAlign w:val="center"/>
          </w:tcPr>
          <w:p w14:paraId="223B8919">
            <w:pPr>
              <w:rPr>
                <w:rFonts w:hint="default" w:ascii="宋体" w:hAnsi="宋体" w:eastAsia="宋体" w:cs="宋体"/>
                <w:highlight w:val="none"/>
                <w:lang w:val="en-US" w:eastAsia="zh-CN"/>
              </w:rPr>
            </w:pPr>
            <w:r>
              <w:rPr>
                <w:rFonts w:hint="eastAsia" w:ascii="宋体" w:hAnsi="宋体" w:eastAsia="宋体" w:cs="宋体"/>
                <w:highlight w:val="none"/>
              </w:rPr>
              <w:t>油站信息功能包括辖区内所有加油站的基础档案信息，主要包含加油站名称、统一社会信用代码、所属区域、油站类型、油机数量、油枪数量、法人代表、联系电话、日期等信息。能够快捷的进入该油站对应的油机信息列表或油枪信息列表查询相应信息。</w:t>
            </w:r>
          </w:p>
        </w:tc>
      </w:tr>
      <w:tr w14:paraId="509E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4904FEBF">
            <w:pPr>
              <w:rPr>
                <w:rFonts w:hint="eastAsia" w:ascii="宋体" w:hAnsi="宋体" w:eastAsia="宋体" w:cs="宋体"/>
                <w:highlight w:val="none"/>
              </w:rPr>
            </w:pPr>
          </w:p>
        </w:tc>
        <w:tc>
          <w:tcPr>
            <w:tcW w:w="500" w:type="pct"/>
            <w:vMerge w:val="continue"/>
            <w:noWrap/>
            <w:vAlign w:val="center"/>
          </w:tcPr>
          <w:p w14:paraId="0312DB16">
            <w:pPr>
              <w:rPr>
                <w:rFonts w:hint="eastAsia" w:ascii="宋体" w:hAnsi="宋体" w:eastAsia="宋体" w:cs="宋体"/>
                <w:highlight w:val="none"/>
              </w:rPr>
            </w:pPr>
          </w:p>
        </w:tc>
        <w:tc>
          <w:tcPr>
            <w:tcW w:w="732" w:type="pct"/>
            <w:vMerge w:val="continue"/>
            <w:noWrap/>
            <w:vAlign w:val="center"/>
          </w:tcPr>
          <w:p w14:paraId="18F00727">
            <w:pPr>
              <w:rPr>
                <w:rFonts w:hint="eastAsia" w:ascii="宋体" w:hAnsi="宋体" w:eastAsia="宋体" w:cs="宋体"/>
                <w:highlight w:val="none"/>
              </w:rPr>
            </w:pPr>
          </w:p>
        </w:tc>
        <w:tc>
          <w:tcPr>
            <w:tcW w:w="1052" w:type="pct"/>
            <w:noWrap/>
            <w:vAlign w:val="center"/>
          </w:tcPr>
          <w:p w14:paraId="15CAF21B">
            <w:pPr>
              <w:rPr>
                <w:rFonts w:hint="eastAsia" w:ascii="宋体" w:hAnsi="宋体" w:eastAsia="宋体" w:cs="宋体"/>
                <w:highlight w:val="none"/>
              </w:rPr>
            </w:pPr>
            <w:r>
              <w:rPr>
                <w:rFonts w:hint="eastAsia" w:ascii="宋体" w:hAnsi="宋体" w:eastAsia="宋体" w:cs="宋体"/>
                <w:highlight w:val="none"/>
              </w:rPr>
              <w:t>油站地图信息</w:t>
            </w:r>
          </w:p>
        </w:tc>
        <w:tc>
          <w:tcPr>
            <w:tcW w:w="2309" w:type="pct"/>
            <w:shd w:val="clear" w:color="000000" w:fill="FFFFFF"/>
            <w:noWrap/>
            <w:vAlign w:val="center"/>
          </w:tcPr>
          <w:p w14:paraId="7781026C">
            <w:pPr>
              <w:rPr>
                <w:rFonts w:hint="eastAsia" w:ascii="宋体" w:hAnsi="宋体" w:eastAsia="宋体" w:cs="宋体"/>
                <w:highlight w:val="none"/>
              </w:rPr>
            </w:pPr>
            <w:r>
              <w:rPr>
                <w:rFonts w:hint="eastAsia" w:ascii="宋体" w:hAnsi="宋体" w:eastAsia="宋体" w:cs="宋体"/>
                <w:highlight w:val="none"/>
              </w:rPr>
              <w:t>油站地图信息功能在 GIS（地理信息系统）的支持下，实现辖区内油站地图分布情况等。地图可任意放大或缩小，准确定位到油站详细位置，油站图标上会显示该加油站的基本信息（加油站名称、油机数量、油枪数量、油机在线状态），并通过油站图标不同颜色来展示油站在线状态。通过油站图标可以进入该油站对应的油机信息列表和油枪信息列表。</w:t>
            </w:r>
          </w:p>
        </w:tc>
      </w:tr>
      <w:tr w14:paraId="742F2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5C6F725F">
            <w:pPr>
              <w:rPr>
                <w:rFonts w:hint="eastAsia" w:ascii="宋体" w:hAnsi="宋体" w:eastAsia="宋体" w:cs="宋体"/>
                <w:highlight w:val="none"/>
              </w:rPr>
            </w:pPr>
          </w:p>
        </w:tc>
        <w:tc>
          <w:tcPr>
            <w:tcW w:w="500" w:type="pct"/>
            <w:vMerge w:val="continue"/>
            <w:noWrap/>
            <w:vAlign w:val="center"/>
          </w:tcPr>
          <w:p w14:paraId="517A9B6C">
            <w:pPr>
              <w:rPr>
                <w:rFonts w:hint="eastAsia" w:ascii="宋体" w:hAnsi="宋体" w:eastAsia="宋体" w:cs="宋体"/>
                <w:highlight w:val="none"/>
              </w:rPr>
            </w:pPr>
          </w:p>
        </w:tc>
        <w:tc>
          <w:tcPr>
            <w:tcW w:w="732" w:type="pct"/>
            <w:vMerge w:val="continue"/>
            <w:noWrap/>
            <w:vAlign w:val="center"/>
          </w:tcPr>
          <w:p w14:paraId="626FF5AE">
            <w:pPr>
              <w:rPr>
                <w:rFonts w:hint="eastAsia" w:ascii="宋体" w:hAnsi="宋体" w:eastAsia="宋体" w:cs="宋体"/>
                <w:highlight w:val="none"/>
              </w:rPr>
            </w:pPr>
          </w:p>
        </w:tc>
        <w:tc>
          <w:tcPr>
            <w:tcW w:w="1052" w:type="pct"/>
            <w:noWrap/>
            <w:vAlign w:val="center"/>
          </w:tcPr>
          <w:p w14:paraId="175110EC">
            <w:pPr>
              <w:rPr>
                <w:rFonts w:hint="eastAsia" w:ascii="宋体" w:hAnsi="宋体" w:eastAsia="宋体" w:cs="宋体"/>
                <w:highlight w:val="none"/>
              </w:rPr>
            </w:pPr>
            <w:r>
              <w:rPr>
                <w:rFonts w:hint="eastAsia" w:ascii="宋体" w:hAnsi="宋体" w:eastAsia="宋体" w:cs="宋体"/>
                <w:highlight w:val="none"/>
              </w:rPr>
              <w:t>油机信息</w:t>
            </w:r>
          </w:p>
        </w:tc>
        <w:tc>
          <w:tcPr>
            <w:tcW w:w="2309" w:type="pct"/>
            <w:shd w:val="clear" w:color="000000" w:fill="FFFFFF"/>
            <w:noWrap/>
            <w:vAlign w:val="center"/>
          </w:tcPr>
          <w:p w14:paraId="039828E7">
            <w:pPr>
              <w:rPr>
                <w:rFonts w:hint="eastAsia" w:ascii="宋体" w:hAnsi="宋体" w:eastAsia="宋体" w:cs="宋体"/>
                <w:highlight w:val="none"/>
              </w:rPr>
            </w:pPr>
            <w:r>
              <w:rPr>
                <w:rFonts w:hint="eastAsia" w:ascii="宋体" w:hAnsi="宋体" w:eastAsia="宋体" w:cs="宋体"/>
                <w:highlight w:val="none"/>
              </w:rPr>
              <w:t>油机信息功能主要包含辖区内加油站名称、油机编号、出厂编号、厂家名称、出厂日期、油枪数量、在线状态等信息。能够快捷的进入该油机对应的油枪信息列表查询相应信息。</w:t>
            </w:r>
          </w:p>
        </w:tc>
      </w:tr>
      <w:tr w14:paraId="338FC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7DC6C722">
            <w:pPr>
              <w:rPr>
                <w:rFonts w:hint="eastAsia" w:ascii="宋体" w:hAnsi="宋体" w:eastAsia="宋体" w:cs="宋体"/>
                <w:highlight w:val="none"/>
              </w:rPr>
            </w:pPr>
          </w:p>
        </w:tc>
        <w:tc>
          <w:tcPr>
            <w:tcW w:w="500" w:type="pct"/>
            <w:vMerge w:val="continue"/>
            <w:noWrap/>
            <w:vAlign w:val="center"/>
          </w:tcPr>
          <w:p w14:paraId="6383639A">
            <w:pPr>
              <w:rPr>
                <w:rFonts w:hint="eastAsia" w:ascii="宋体" w:hAnsi="宋体" w:eastAsia="宋体" w:cs="宋体"/>
                <w:highlight w:val="none"/>
              </w:rPr>
            </w:pPr>
          </w:p>
        </w:tc>
        <w:tc>
          <w:tcPr>
            <w:tcW w:w="732" w:type="pct"/>
            <w:vMerge w:val="continue"/>
            <w:noWrap/>
            <w:vAlign w:val="center"/>
          </w:tcPr>
          <w:p w14:paraId="65D9CEB2">
            <w:pPr>
              <w:rPr>
                <w:rFonts w:hint="eastAsia" w:ascii="宋体" w:hAnsi="宋体" w:eastAsia="宋体" w:cs="宋体"/>
                <w:highlight w:val="none"/>
              </w:rPr>
            </w:pPr>
          </w:p>
        </w:tc>
        <w:tc>
          <w:tcPr>
            <w:tcW w:w="1052" w:type="pct"/>
            <w:noWrap/>
            <w:vAlign w:val="center"/>
          </w:tcPr>
          <w:p w14:paraId="3225537A">
            <w:pPr>
              <w:rPr>
                <w:rFonts w:hint="eastAsia" w:ascii="宋体" w:hAnsi="宋体" w:eastAsia="宋体" w:cs="宋体"/>
                <w:highlight w:val="none"/>
              </w:rPr>
            </w:pPr>
            <w:r>
              <w:rPr>
                <w:rFonts w:hint="eastAsia" w:ascii="宋体" w:hAnsi="宋体" w:eastAsia="宋体" w:cs="宋体"/>
                <w:highlight w:val="none"/>
              </w:rPr>
              <w:t>油枪信息</w:t>
            </w:r>
          </w:p>
        </w:tc>
        <w:tc>
          <w:tcPr>
            <w:tcW w:w="2309" w:type="pct"/>
            <w:shd w:val="clear" w:color="000000" w:fill="FFFFFF"/>
            <w:noWrap/>
            <w:vAlign w:val="center"/>
          </w:tcPr>
          <w:p w14:paraId="5513CF16">
            <w:pPr>
              <w:rPr>
                <w:rFonts w:hint="eastAsia" w:ascii="宋体" w:hAnsi="宋体" w:eastAsia="宋体" w:cs="宋体"/>
                <w:highlight w:val="none"/>
              </w:rPr>
            </w:pPr>
            <w:r>
              <w:rPr>
                <w:rFonts w:hint="eastAsia" w:ascii="宋体" w:hAnsi="宋体" w:eastAsia="宋体" w:cs="宋体"/>
                <w:highlight w:val="none"/>
              </w:rPr>
              <w:t>油枪信息功能包括辖区内所有加油枪的基础档案信息，油枪信息主要包含加油站名称、油机编号、油枪编号、油品、监控微处理器序列号、主板内枪号、主板通道号、编码器序列号等信息。</w:t>
            </w:r>
          </w:p>
        </w:tc>
      </w:tr>
      <w:tr w14:paraId="09DC6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shd w:val="clear" w:color="000000" w:fill="FFFFFF"/>
            <w:noWrap/>
            <w:vAlign w:val="center"/>
          </w:tcPr>
          <w:p w14:paraId="12134157">
            <w:pPr>
              <w:rPr>
                <w:rFonts w:hint="eastAsia" w:ascii="宋体" w:hAnsi="宋体" w:eastAsia="宋体" w:cs="宋体"/>
                <w:highlight w:val="none"/>
              </w:rPr>
            </w:pPr>
          </w:p>
        </w:tc>
        <w:tc>
          <w:tcPr>
            <w:tcW w:w="500" w:type="pct"/>
            <w:vMerge w:val="continue"/>
            <w:shd w:val="clear" w:color="000000" w:fill="FFFFFF"/>
            <w:noWrap/>
            <w:vAlign w:val="center"/>
          </w:tcPr>
          <w:p w14:paraId="2F2B82F6">
            <w:pPr>
              <w:rPr>
                <w:rFonts w:hint="eastAsia" w:ascii="宋体" w:hAnsi="宋体" w:eastAsia="宋体" w:cs="宋体"/>
                <w:highlight w:val="none"/>
              </w:rPr>
            </w:pPr>
          </w:p>
        </w:tc>
        <w:tc>
          <w:tcPr>
            <w:tcW w:w="732" w:type="pct"/>
            <w:shd w:val="clear" w:color="000000" w:fill="FFFFFF"/>
            <w:noWrap/>
            <w:vAlign w:val="center"/>
          </w:tcPr>
          <w:p w14:paraId="6BDAF780">
            <w:pPr>
              <w:rPr>
                <w:rFonts w:hint="eastAsia" w:ascii="宋体" w:hAnsi="宋体" w:eastAsia="宋体" w:cs="宋体"/>
                <w:highlight w:val="none"/>
              </w:rPr>
            </w:pPr>
            <w:r>
              <w:rPr>
                <w:rFonts w:hint="eastAsia" w:ascii="宋体" w:hAnsi="宋体" w:eastAsia="宋体" w:cs="宋体"/>
                <w:highlight w:val="none"/>
              </w:rPr>
              <w:t>防作弊状态监控</w:t>
            </w:r>
          </w:p>
        </w:tc>
        <w:tc>
          <w:tcPr>
            <w:tcW w:w="1052" w:type="pct"/>
            <w:shd w:val="clear" w:color="000000" w:fill="FFFFFF"/>
            <w:noWrap/>
            <w:vAlign w:val="center"/>
          </w:tcPr>
          <w:p w14:paraId="47C63300">
            <w:pPr>
              <w:rPr>
                <w:rFonts w:hint="eastAsia" w:ascii="宋体" w:hAnsi="宋体" w:eastAsia="宋体" w:cs="宋体"/>
                <w:highlight w:val="none"/>
              </w:rPr>
            </w:pPr>
            <w:r>
              <w:rPr>
                <w:rFonts w:hint="eastAsia" w:ascii="宋体" w:hAnsi="宋体" w:eastAsia="宋体" w:cs="宋体"/>
                <w:highlight w:val="none"/>
              </w:rPr>
              <w:t>防作弊状态监控</w:t>
            </w:r>
          </w:p>
        </w:tc>
        <w:tc>
          <w:tcPr>
            <w:tcW w:w="2309" w:type="pct"/>
            <w:shd w:val="clear" w:color="000000" w:fill="FFFFFF"/>
            <w:noWrap/>
            <w:vAlign w:val="center"/>
          </w:tcPr>
          <w:p w14:paraId="49CFD8B2">
            <w:pPr>
              <w:rPr>
                <w:rFonts w:hint="eastAsia" w:ascii="宋体" w:hAnsi="宋体" w:eastAsia="宋体" w:cs="宋体"/>
                <w:highlight w:val="none"/>
              </w:rPr>
            </w:pPr>
            <w:r>
              <w:rPr>
                <w:rFonts w:hint="eastAsia" w:ascii="宋体" w:hAnsi="宋体" w:eastAsia="宋体" w:cs="宋体"/>
                <w:highlight w:val="none"/>
              </w:rPr>
              <w:t>▲系统对辖区内每个加油站的每条加油枪的防作弊功能启动状态进行在线监控，确保加油机的防作弊功能处于启动状态。防作弊状态监控信息主要包括：油站名称、油机编号、油枪编号、监控微处理器序列号、主板内枪号、编码器序列号、防作弊功能启动状态。支持通过油站名称或防作弊功能启动状态，进行信息检索查询。</w:t>
            </w:r>
          </w:p>
          <w:p w14:paraId="416AD1CB">
            <w:pPr>
              <w:rPr>
                <w:rFonts w:hint="eastAsia" w:ascii="宋体" w:hAnsi="宋体" w:eastAsia="宋体" w:cs="宋体"/>
                <w:highlight w:val="none"/>
              </w:rPr>
            </w:pPr>
            <w:r>
              <w:rPr>
                <w:rFonts w:hint="eastAsia" w:ascii="宋体" w:hAnsi="宋体" w:eastAsia="宋体" w:cs="宋体"/>
                <w:b/>
                <w:bCs/>
                <w:highlight w:val="none"/>
              </w:rPr>
              <w:t>注：</w:t>
            </w:r>
            <w:r>
              <w:rPr>
                <w:rFonts w:hint="eastAsia" w:ascii="宋体" w:hAnsi="宋体" w:eastAsia="宋体" w:cs="宋体"/>
                <w:b/>
                <w:bCs/>
                <w:highlight w:val="none"/>
                <w:lang w:val="en-US" w:eastAsia="zh-CN"/>
              </w:rPr>
              <w:t>提供省级或省级以上软件评测中心出具的软件产品鉴定报告的原件扫描件。</w:t>
            </w:r>
          </w:p>
        </w:tc>
      </w:tr>
      <w:tr w14:paraId="6BB6F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73F0EDF9">
            <w:pPr>
              <w:rPr>
                <w:rFonts w:hint="eastAsia" w:ascii="宋体" w:hAnsi="宋体" w:eastAsia="宋体" w:cs="宋体"/>
                <w:highlight w:val="none"/>
              </w:rPr>
            </w:pPr>
          </w:p>
        </w:tc>
        <w:tc>
          <w:tcPr>
            <w:tcW w:w="500" w:type="pct"/>
            <w:vMerge w:val="continue"/>
            <w:noWrap/>
            <w:vAlign w:val="center"/>
          </w:tcPr>
          <w:p w14:paraId="2BF175AE">
            <w:pPr>
              <w:rPr>
                <w:rFonts w:hint="eastAsia" w:ascii="宋体" w:hAnsi="宋体" w:eastAsia="宋体" w:cs="宋体"/>
                <w:highlight w:val="none"/>
              </w:rPr>
            </w:pPr>
          </w:p>
        </w:tc>
        <w:tc>
          <w:tcPr>
            <w:tcW w:w="732" w:type="pct"/>
            <w:vMerge w:val="restart"/>
            <w:noWrap/>
            <w:vAlign w:val="center"/>
          </w:tcPr>
          <w:p w14:paraId="6C93DB33">
            <w:pPr>
              <w:rPr>
                <w:rFonts w:hint="eastAsia" w:ascii="宋体" w:hAnsi="宋体" w:eastAsia="宋体" w:cs="宋体"/>
                <w:highlight w:val="none"/>
              </w:rPr>
            </w:pPr>
            <w:r>
              <w:rPr>
                <w:rFonts w:hint="eastAsia" w:ascii="宋体" w:hAnsi="宋体" w:eastAsia="宋体" w:cs="宋体"/>
                <w:highlight w:val="none"/>
              </w:rPr>
              <w:t>异常告警</w:t>
            </w:r>
          </w:p>
        </w:tc>
        <w:tc>
          <w:tcPr>
            <w:tcW w:w="1052" w:type="pct"/>
            <w:noWrap/>
            <w:vAlign w:val="center"/>
          </w:tcPr>
          <w:p w14:paraId="6CB38351">
            <w:pPr>
              <w:rPr>
                <w:rFonts w:hint="eastAsia" w:ascii="宋体" w:hAnsi="宋体" w:eastAsia="宋体" w:cs="宋体"/>
                <w:highlight w:val="none"/>
              </w:rPr>
            </w:pPr>
            <w:r>
              <w:rPr>
                <w:rFonts w:hint="eastAsia" w:ascii="宋体" w:hAnsi="宋体" w:eastAsia="宋体" w:cs="宋体"/>
                <w:highlight w:val="none"/>
              </w:rPr>
              <w:t>异常超差统计</w:t>
            </w:r>
          </w:p>
        </w:tc>
        <w:tc>
          <w:tcPr>
            <w:tcW w:w="2309" w:type="pct"/>
            <w:shd w:val="clear" w:color="000000" w:fill="FFFFFF"/>
            <w:noWrap/>
            <w:vAlign w:val="center"/>
          </w:tcPr>
          <w:p w14:paraId="02E7F9B4">
            <w:pPr>
              <w:rPr>
                <w:rFonts w:hint="eastAsia" w:ascii="宋体" w:hAnsi="宋体" w:eastAsia="宋体" w:cs="宋体"/>
                <w:highlight w:val="none"/>
              </w:rPr>
            </w:pPr>
            <w:r>
              <w:rPr>
                <w:rFonts w:hint="eastAsia" w:ascii="宋体" w:hAnsi="宋体" w:eastAsia="宋体" w:cs="宋体"/>
                <w:highlight w:val="none"/>
              </w:rPr>
              <w:t>▲系统对辖区内加油枪的超差记录统计，统计有超差记录的油站油枪的超差次数。超差记录统计信息包含油站名称、油机编号、油枪编号、监控微处理器号、主板内枪号、超差记录次数。通过超差次数可进入该油站油枪的超差记录列表并操作处理。支持通过油站名称油机、油枪号、超差次数大于多少次，进行信息检索查询。</w:t>
            </w:r>
          </w:p>
          <w:p w14:paraId="1079EC9E">
            <w:pPr>
              <w:rPr>
                <w:rFonts w:hint="eastAsia" w:ascii="宋体" w:hAnsi="宋体" w:eastAsia="宋体" w:cs="宋体"/>
                <w:highlight w:val="none"/>
              </w:rPr>
            </w:pPr>
            <w:r>
              <w:rPr>
                <w:rFonts w:hint="eastAsia" w:ascii="宋体" w:hAnsi="宋体" w:eastAsia="宋体" w:cs="宋体"/>
                <w:b/>
                <w:bCs/>
                <w:highlight w:val="none"/>
              </w:rPr>
              <w:t>注：</w:t>
            </w:r>
            <w:r>
              <w:rPr>
                <w:rFonts w:hint="eastAsia" w:ascii="宋体" w:hAnsi="宋体" w:eastAsia="宋体" w:cs="宋体"/>
                <w:b/>
                <w:bCs/>
                <w:highlight w:val="none"/>
                <w:lang w:val="en-US" w:eastAsia="zh-CN"/>
              </w:rPr>
              <w:t>提供省级或省级以上软件评测中心出具的软件产品鉴定报告的原件扫描件。</w:t>
            </w:r>
          </w:p>
        </w:tc>
      </w:tr>
      <w:tr w14:paraId="552AB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7DAE4720">
            <w:pPr>
              <w:rPr>
                <w:rFonts w:hint="eastAsia" w:ascii="宋体" w:hAnsi="宋体" w:eastAsia="宋体" w:cs="宋体"/>
                <w:highlight w:val="none"/>
              </w:rPr>
            </w:pPr>
          </w:p>
        </w:tc>
        <w:tc>
          <w:tcPr>
            <w:tcW w:w="500" w:type="pct"/>
            <w:vMerge w:val="continue"/>
            <w:noWrap/>
            <w:vAlign w:val="center"/>
          </w:tcPr>
          <w:p w14:paraId="58061A73">
            <w:pPr>
              <w:rPr>
                <w:rFonts w:hint="eastAsia" w:ascii="宋体" w:hAnsi="宋体" w:eastAsia="宋体" w:cs="宋体"/>
                <w:highlight w:val="none"/>
              </w:rPr>
            </w:pPr>
          </w:p>
        </w:tc>
        <w:tc>
          <w:tcPr>
            <w:tcW w:w="732" w:type="pct"/>
            <w:vMerge w:val="continue"/>
            <w:noWrap/>
            <w:vAlign w:val="center"/>
          </w:tcPr>
          <w:p w14:paraId="4539ED51">
            <w:pPr>
              <w:rPr>
                <w:rFonts w:hint="eastAsia" w:ascii="宋体" w:hAnsi="宋体" w:eastAsia="宋体" w:cs="宋体"/>
                <w:highlight w:val="none"/>
              </w:rPr>
            </w:pPr>
          </w:p>
        </w:tc>
        <w:tc>
          <w:tcPr>
            <w:tcW w:w="1052" w:type="pct"/>
            <w:noWrap/>
            <w:vAlign w:val="center"/>
          </w:tcPr>
          <w:p w14:paraId="421A9E06">
            <w:pPr>
              <w:rPr>
                <w:rFonts w:hint="eastAsia" w:ascii="宋体" w:hAnsi="宋体" w:eastAsia="宋体" w:cs="宋体"/>
                <w:highlight w:val="none"/>
              </w:rPr>
            </w:pPr>
            <w:r>
              <w:rPr>
                <w:rFonts w:hint="eastAsia" w:ascii="宋体" w:hAnsi="宋体" w:eastAsia="宋体" w:cs="宋体"/>
                <w:highlight w:val="none"/>
              </w:rPr>
              <w:t>异常超差记录</w:t>
            </w:r>
          </w:p>
        </w:tc>
        <w:tc>
          <w:tcPr>
            <w:tcW w:w="2309" w:type="pct"/>
            <w:shd w:val="clear" w:color="000000" w:fill="FFFFFF"/>
            <w:noWrap/>
            <w:vAlign w:val="center"/>
          </w:tcPr>
          <w:p w14:paraId="668E8B41">
            <w:pPr>
              <w:rPr>
                <w:rFonts w:hint="eastAsia" w:ascii="宋体" w:hAnsi="宋体" w:eastAsia="宋体" w:cs="宋体"/>
                <w:highlight w:val="none"/>
              </w:rPr>
            </w:pPr>
            <w:r>
              <w:rPr>
                <w:rFonts w:hint="eastAsia" w:ascii="宋体" w:hAnsi="宋体" w:eastAsia="宋体" w:cs="宋体"/>
                <w:highlight w:val="none"/>
              </w:rPr>
              <w:t>▲系统对辖区内加油枪的异常超差记录，统计有异常超差记录的油站油枪。超差记录信息包含油站名称、油机编号、油枪编号、监控微处理器号、主板内枪号、真实油量、显示油量、超差时间、上传时间、处理状态、处理结果等信息。</w:t>
            </w:r>
          </w:p>
          <w:p w14:paraId="58532C5D">
            <w:pPr>
              <w:rPr>
                <w:rFonts w:hint="eastAsia" w:ascii="宋体" w:hAnsi="宋体" w:eastAsia="宋体" w:cs="宋体"/>
                <w:highlight w:val="none"/>
              </w:rPr>
            </w:pPr>
            <w:r>
              <w:rPr>
                <w:rFonts w:hint="eastAsia" w:ascii="宋体" w:hAnsi="宋体" w:eastAsia="宋体" w:cs="宋体"/>
                <w:b/>
                <w:bCs/>
                <w:highlight w:val="none"/>
              </w:rPr>
              <w:t>注：</w:t>
            </w:r>
            <w:r>
              <w:rPr>
                <w:rFonts w:hint="eastAsia" w:ascii="宋体" w:hAnsi="宋体" w:eastAsia="宋体" w:cs="宋体"/>
                <w:b/>
                <w:bCs/>
                <w:highlight w:val="none"/>
                <w:lang w:val="en-US" w:eastAsia="zh-CN"/>
              </w:rPr>
              <w:t>提供省级或省级以上软件评测中心出具的软件产品鉴定报告的原件扫描件。</w:t>
            </w:r>
          </w:p>
        </w:tc>
      </w:tr>
      <w:tr w14:paraId="44A5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740E469F">
            <w:pPr>
              <w:rPr>
                <w:rFonts w:hint="eastAsia" w:ascii="宋体" w:hAnsi="宋体" w:eastAsia="宋体" w:cs="宋体"/>
                <w:highlight w:val="none"/>
              </w:rPr>
            </w:pPr>
          </w:p>
        </w:tc>
        <w:tc>
          <w:tcPr>
            <w:tcW w:w="500" w:type="pct"/>
            <w:vMerge w:val="continue"/>
            <w:noWrap/>
            <w:vAlign w:val="center"/>
          </w:tcPr>
          <w:p w14:paraId="5992957E">
            <w:pPr>
              <w:rPr>
                <w:rFonts w:hint="eastAsia" w:ascii="宋体" w:hAnsi="宋体" w:eastAsia="宋体" w:cs="宋体"/>
                <w:highlight w:val="none"/>
              </w:rPr>
            </w:pPr>
          </w:p>
        </w:tc>
        <w:tc>
          <w:tcPr>
            <w:tcW w:w="732" w:type="pct"/>
            <w:vMerge w:val="continue"/>
            <w:noWrap/>
            <w:vAlign w:val="center"/>
          </w:tcPr>
          <w:p w14:paraId="4EF05494">
            <w:pPr>
              <w:rPr>
                <w:rFonts w:hint="eastAsia" w:ascii="宋体" w:hAnsi="宋体" w:eastAsia="宋体" w:cs="宋体"/>
                <w:highlight w:val="none"/>
              </w:rPr>
            </w:pPr>
          </w:p>
        </w:tc>
        <w:tc>
          <w:tcPr>
            <w:tcW w:w="1052" w:type="pct"/>
            <w:noWrap/>
            <w:vAlign w:val="center"/>
          </w:tcPr>
          <w:p w14:paraId="390B42DD">
            <w:pPr>
              <w:rPr>
                <w:rFonts w:hint="eastAsia" w:ascii="宋体" w:hAnsi="宋体" w:eastAsia="宋体" w:cs="宋体"/>
                <w:highlight w:val="none"/>
              </w:rPr>
            </w:pPr>
            <w:r>
              <w:rPr>
                <w:rFonts w:hint="eastAsia" w:ascii="宋体" w:hAnsi="宋体" w:eastAsia="宋体" w:cs="宋体"/>
                <w:highlight w:val="none"/>
              </w:rPr>
              <w:t>设备离线报警</w:t>
            </w:r>
          </w:p>
        </w:tc>
        <w:tc>
          <w:tcPr>
            <w:tcW w:w="2309" w:type="pct"/>
            <w:shd w:val="clear" w:color="000000" w:fill="FFFFFF"/>
            <w:noWrap/>
            <w:vAlign w:val="center"/>
          </w:tcPr>
          <w:p w14:paraId="329AB182">
            <w:pPr>
              <w:rPr>
                <w:rFonts w:hint="eastAsia" w:ascii="宋体" w:hAnsi="宋体" w:eastAsia="宋体" w:cs="宋体"/>
                <w:highlight w:val="none"/>
              </w:rPr>
            </w:pPr>
            <w:r>
              <w:rPr>
                <w:rFonts w:hint="eastAsia" w:ascii="宋体" w:hAnsi="宋体" w:eastAsia="宋体" w:cs="宋体"/>
                <w:highlight w:val="none"/>
              </w:rPr>
              <w:t>系统对辖区内加油机进行监控，监控到设备离线就在这里展示，展示信息包括油站名称、油机编号、离线时间、恢复时间、处理结果等信息。</w:t>
            </w:r>
          </w:p>
        </w:tc>
      </w:tr>
      <w:tr w14:paraId="78300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44616778">
            <w:pPr>
              <w:rPr>
                <w:rFonts w:hint="eastAsia" w:ascii="宋体" w:hAnsi="宋体" w:eastAsia="宋体" w:cs="宋体"/>
                <w:highlight w:val="none"/>
              </w:rPr>
            </w:pPr>
          </w:p>
        </w:tc>
        <w:tc>
          <w:tcPr>
            <w:tcW w:w="500" w:type="pct"/>
            <w:vMerge w:val="continue"/>
            <w:noWrap/>
            <w:vAlign w:val="center"/>
          </w:tcPr>
          <w:p w14:paraId="7093CCC2">
            <w:pPr>
              <w:rPr>
                <w:rFonts w:hint="eastAsia" w:ascii="宋体" w:hAnsi="宋体" w:eastAsia="宋体" w:cs="宋体"/>
                <w:highlight w:val="none"/>
              </w:rPr>
            </w:pPr>
          </w:p>
        </w:tc>
        <w:tc>
          <w:tcPr>
            <w:tcW w:w="732" w:type="pct"/>
            <w:vMerge w:val="continue"/>
            <w:noWrap/>
            <w:vAlign w:val="center"/>
          </w:tcPr>
          <w:p w14:paraId="03F625F3">
            <w:pPr>
              <w:rPr>
                <w:rFonts w:hint="eastAsia" w:ascii="宋体" w:hAnsi="宋体" w:eastAsia="宋体" w:cs="宋体"/>
                <w:highlight w:val="none"/>
              </w:rPr>
            </w:pPr>
          </w:p>
        </w:tc>
        <w:tc>
          <w:tcPr>
            <w:tcW w:w="1052" w:type="pct"/>
            <w:noWrap/>
            <w:vAlign w:val="center"/>
          </w:tcPr>
          <w:p w14:paraId="7AB409A8">
            <w:pPr>
              <w:rPr>
                <w:rFonts w:hint="eastAsia" w:ascii="宋体" w:hAnsi="宋体" w:eastAsia="宋体" w:cs="宋体"/>
                <w:highlight w:val="none"/>
              </w:rPr>
            </w:pPr>
            <w:r>
              <w:rPr>
                <w:rFonts w:hint="eastAsia" w:ascii="宋体" w:hAnsi="宋体" w:eastAsia="宋体" w:cs="宋体"/>
                <w:highlight w:val="none"/>
              </w:rPr>
              <w:t>税控离线报警</w:t>
            </w:r>
          </w:p>
        </w:tc>
        <w:tc>
          <w:tcPr>
            <w:tcW w:w="2309" w:type="pct"/>
            <w:shd w:val="clear" w:color="000000" w:fill="FFFFFF"/>
            <w:noWrap/>
            <w:vAlign w:val="center"/>
          </w:tcPr>
          <w:p w14:paraId="702A2463">
            <w:pPr>
              <w:rPr>
                <w:rFonts w:hint="eastAsia" w:ascii="宋体" w:hAnsi="宋体" w:eastAsia="宋体" w:cs="宋体"/>
                <w:highlight w:val="none"/>
              </w:rPr>
            </w:pPr>
            <w:r>
              <w:rPr>
                <w:rFonts w:hint="eastAsia" w:ascii="宋体" w:hAnsi="宋体" w:eastAsia="宋体" w:cs="宋体"/>
                <w:highlight w:val="none"/>
              </w:rPr>
              <w:t>系统对辖区内加油机税控通道进行监控，监控到税控离线就在这里展示，展示信息包括油站名称、油机编号、税控通道号、离线时间、恢复时间、处理结果等信息。</w:t>
            </w:r>
          </w:p>
        </w:tc>
      </w:tr>
      <w:tr w14:paraId="00B0A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348325E2">
            <w:pPr>
              <w:rPr>
                <w:rFonts w:hint="eastAsia" w:ascii="宋体" w:hAnsi="宋体" w:eastAsia="宋体" w:cs="宋体"/>
                <w:highlight w:val="none"/>
              </w:rPr>
            </w:pPr>
          </w:p>
        </w:tc>
        <w:tc>
          <w:tcPr>
            <w:tcW w:w="500" w:type="pct"/>
            <w:vMerge w:val="continue"/>
            <w:noWrap/>
            <w:vAlign w:val="center"/>
          </w:tcPr>
          <w:p w14:paraId="7FF7BFD2">
            <w:pPr>
              <w:rPr>
                <w:rFonts w:hint="eastAsia" w:ascii="宋体" w:hAnsi="宋体" w:eastAsia="宋体" w:cs="宋体"/>
                <w:highlight w:val="none"/>
              </w:rPr>
            </w:pPr>
          </w:p>
        </w:tc>
        <w:tc>
          <w:tcPr>
            <w:tcW w:w="732" w:type="pct"/>
            <w:vMerge w:val="continue"/>
            <w:noWrap/>
            <w:vAlign w:val="center"/>
          </w:tcPr>
          <w:p w14:paraId="22E3CD47">
            <w:pPr>
              <w:rPr>
                <w:rFonts w:hint="eastAsia" w:ascii="宋体" w:hAnsi="宋体" w:eastAsia="宋体" w:cs="宋体"/>
                <w:highlight w:val="none"/>
              </w:rPr>
            </w:pPr>
          </w:p>
        </w:tc>
        <w:tc>
          <w:tcPr>
            <w:tcW w:w="1052" w:type="pct"/>
            <w:noWrap/>
            <w:vAlign w:val="center"/>
          </w:tcPr>
          <w:p w14:paraId="47EF1C10">
            <w:pPr>
              <w:rPr>
                <w:rFonts w:hint="eastAsia" w:ascii="宋体" w:hAnsi="宋体" w:eastAsia="宋体" w:cs="宋体"/>
                <w:highlight w:val="none"/>
              </w:rPr>
            </w:pPr>
            <w:r>
              <w:rPr>
                <w:rFonts w:hint="eastAsia" w:ascii="宋体" w:hAnsi="宋体" w:eastAsia="宋体" w:cs="宋体"/>
                <w:highlight w:val="none"/>
              </w:rPr>
              <w:t>税控变更报警</w:t>
            </w:r>
          </w:p>
        </w:tc>
        <w:tc>
          <w:tcPr>
            <w:tcW w:w="2309" w:type="pct"/>
            <w:shd w:val="clear" w:color="000000" w:fill="FFFFFF"/>
            <w:noWrap/>
            <w:vAlign w:val="center"/>
          </w:tcPr>
          <w:p w14:paraId="70B4B9A2">
            <w:pPr>
              <w:rPr>
                <w:rFonts w:hint="eastAsia" w:ascii="宋体" w:hAnsi="宋体" w:eastAsia="宋体" w:cs="宋体"/>
                <w:highlight w:val="none"/>
              </w:rPr>
            </w:pPr>
            <w:r>
              <w:rPr>
                <w:rFonts w:hint="eastAsia" w:ascii="宋体" w:hAnsi="宋体" w:eastAsia="宋体" w:cs="宋体"/>
                <w:highlight w:val="none"/>
              </w:rPr>
              <w:t>▲系统对辖区内加油机税控芯片进行监控，监控到税控芯片变更就在这里展示，展示信息包括油站名称、油机编号、油枪编号、原监控微处理器号、变更后的监控微处理器号、变更时间、处理结果等信息。</w:t>
            </w:r>
          </w:p>
          <w:p w14:paraId="213787CF">
            <w:pPr>
              <w:rPr>
                <w:rFonts w:hint="eastAsia" w:ascii="宋体" w:hAnsi="宋体" w:eastAsia="宋体" w:cs="宋体"/>
                <w:highlight w:val="none"/>
              </w:rPr>
            </w:pPr>
            <w:r>
              <w:rPr>
                <w:rFonts w:hint="eastAsia" w:ascii="宋体" w:hAnsi="宋体" w:eastAsia="宋体" w:cs="宋体"/>
                <w:b/>
                <w:bCs/>
                <w:highlight w:val="none"/>
              </w:rPr>
              <w:t>注：</w:t>
            </w:r>
            <w:r>
              <w:rPr>
                <w:rFonts w:hint="eastAsia" w:ascii="宋体" w:hAnsi="宋体" w:eastAsia="宋体" w:cs="宋体"/>
                <w:b/>
                <w:bCs/>
                <w:highlight w:val="none"/>
                <w:lang w:val="en-US" w:eastAsia="zh-CN"/>
              </w:rPr>
              <w:t>提供省级或省级以上软件评测中心出具的软件产品鉴定报告的原件扫描件。</w:t>
            </w:r>
          </w:p>
        </w:tc>
      </w:tr>
      <w:tr w14:paraId="0B61C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504542B9">
            <w:pPr>
              <w:rPr>
                <w:rFonts w:hint="eastAsia" w:ascii="宋体" w:hAnsi="宋体" w:eastAsia="宋体" w:cs="宋体"/>
                <w:highlight w:val="none"/>
              </w:rPr>
            </w:pPr>
          </w:p>
        </w:tc>
        <w:tc>
          <w:tcPr>
            <w:tcW w:w="500" w:type="pct"/>
            <w:vMerge w:val="continue"/>
            <w:noWrap/>
            <w:vAlign w:val="center"/>
          </w:tcPr>
          <w:p w14:paraId="4C13D1D5">
            <w:pPr>
              <w:rPr>
                <w:rFonts w:hint="eastAsia" w:ascii="宋体" w:hAnsi="宋体" w:eastAsia="宋体" w:cs="宋体"/>
                <w:highlight w:val="none"/>
              </w:rPr>
            </w:pPr>
          </w:p>
        </w:tc>
        <w:tc>
          <w:tcPr>
            <w:tcW w:w="732" w:type="pct"/>
            <w:vMerge w:val="continue"/>
            <w:noWrap/>
            <w:vAlign w:val="center"/>
          </w:tcPr>
          <w:p w14:paraId="318CB903">
            <w:pPr>
              <w:rPr>
                <w:rFonts w:hint="eastAsia" w:ascii="宋体" w:hAnsi="宋体" w:eastAsia="宋体" w:cs="宋体"/>
                <w:highlight w:val="none"/>
              </w:rPr>
            </w:pPr>
          </w:p>
        </w:tc>
        <w:tc>
          <w:tcPr>
            <w:tcW w:w="1052" w:type="pct"/>
            <w:shd w:val="clear" w:color="000000" w:fill="FFFFFF"/>
            <w:noWrap/>
            <w:vAlign w:val="center"/>
          </w:tcPr>
          <w:p w14:paraId="234A50F8">
            <w:pPr>
              <w:rPr>
                <w:rFonts w:hint="eastAsia" w:ascii="宋体" w:hAnsi="宋体" w:eastAsia="宋体" w:cs="宋体"/>
                <w:highlight w:val="none"/>
              </w:rPr>
            </w:pPr>
            <w:r>
              <w:rPr>
                <w:rFonts w:hint="eastAsia" w:ascii="宋体" w:hAnsi="宋体" w:eastAsia="宋体" w:cs="宋体"/>
                <w:highlight w:val="none"/>
              </w:rPr>
              <w:t>编码器变更报警</w:t>
            </w:r>
          </w:p>
        </w:tc>
        <w:tc>
          <w:tcPr>
            <w:tcW w:w="2309" w:type="pct"/>
            <w:shd w:val="clear" w:color="000000" w:fill="FFFFFF"/>
            <w:noWrap/>
            <w:vAlign w:val="center"/>
          </w:tcPr>
          <w:p w14:paraId="5F865D82">
            <w:pPr>
              <w:rPr>
                <w:rFonts w:hint="eastAsia" w:ascii="宋体" w:hAnsi="宋体" w:eastAsia="宋体" w:cs="宋体"/>
                <w:highlight w:val="none"/>
              </w:rPr>
            </w:pPr>
            <w:r>
              <w:rPr>
                <w:rFonts w:hint="eastAsia" w:ascii="宋体" w:hAnsi="宋体" w:eastAsia="宋体" w:cs="宋体"/>
                <w:highlight w:val="none"/>
              </w:rPr>
              <w:t>▲编码器是加油机自锁功能核心部件，系统检测到编码器发生变更进行告警，编码器变更告警记录包括：油站名称、油机编号、油枪编号、原编码器号、新编码器号、变更时间。支持通过油站名称、油机编号、油枪编号，进行信息检索查询。</w:t>
            </w:r>
          </w:p>
          <w:p w14:paraId="15FBBFFE">
            <w:pPr>
              <w:rPr>
                <w:rFonts w:hint="eastAsia" w:ascii="宋体" w:hAnsi="宋体" w:eastAsia="宋体" w:cs="宋体"/>
                <w:highlight w:val="none"/>
              </w:rPr>
            </w:pPr>
            <w:r>
              <w:rPr>
                <w:rFonts w:hint="eastAsia" w:ascii="宋体" w:hAnsi="宋体" w:eastAsia="宋体" w:cs="宋体"/>
                <w:b/>
                <w:bCs/>
                <w:highlight w:val="none"/>
              </w:rPr>
              <w:t>注：</w:t>
            </w:r>
            <w:r>
              <w:rPr>
                <w:rFonts w:hint="eastAsia" w:ascii="宋体" w:hAnsi="宋体" w:eastAsia="宋体" w:cs="宋体"/>
                <w:b/>
                <w:bCs/>
                <w:highlight w:val="none"/>
                <w:lang w:val="en-US" w:eastAsia="zh-CN"/>
              </w:rPr>
              <w:t>提供省级或省级以上软件评测中心出具的软件产品鉴定报告的原件扫描件。</w:t>
            </w:r>
          </w:p>
        </w:tc>
      </w:tr>
      <w:tr w14:paraId="7F50C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46E8E34F">
            <w:pPr>
              <w:rPr>
                <w:rFonts w:hint="eastAsia" w:ascii="宋体" w:hAnsi="宋体" w:eastAsia="宋体" w:cs="宋体"/>
                <w:highlight w:val="none"/>
              </w:rPr>
            </w:pPr>
          </w:p>
        </w:tc>
        <w:tc>
          <w:tcPr>
            <w:tcW w:w="500" w:type="pct"/>
            <w:vMerge w:val="continue"/>
            <w:noWrap/>
            <w:vAlign w:val="center"/>
          </w:tcPr>
          <w:p w14:paraId="7D9C413C">
            <w:pPr>
              <w:rPr>
                <w:rFonts w:hint="eastAsia" w:ascii="宋体" w:hAnsi="宋体" w:eastAsia="宋体" w:cs="宋体"/>
                <w:highlight w:val="none"/>
              </w:rPr>
            </w:pPr>
          </w:p>
        </w:tc>
        <w:tc>
          <w:tcPr>
            <w:tcW w:w="732" w:type="pct"/>
            <w:vMerge w:val="continue"/>
            <w:noWrap/>
            <w:vAlign w:val="center"/>
          </w:tcPr>
          <w:p w14:paraId="4BB208DA">
            <w:pPr>
              <w:rPr>
                <w:rFonts w:hint="eastAsia" w:ascii="宋体" w:hAnsi="宋体" w:eastAsia="宋体" w:cs="宋体"/>
                <w:highlight w:val="none"/>
              </w:rPr>
            </w:pPr>
          </w:p>
        </w:tc>
        <w:tc>
          <w:tcPr>
            <w:tcW w:w="1052" w:type="pct"/>
            <w:shd w:val="clear" w:color="000000" w:fill="FFFFFF"/>
            <w:noWrap/>
            <w:vAlign w:val="center"/>
          </w:tcPr>
          <w:p w14:paraId="74212A10">
            <w:pPr>
              <w:rPr>
                <w:rFonts w:hint="eastAsia" w:ascii="宋体" w:hAnsi="宋体" w:eastAsia="宋体" w:cs="宋体"/>
                <w:highlight w:val="none"/>
              </w:rPr>
            </w:pPr>
            <w:r>
              <w:rPr>
                <w:rFonts w:hint="eastAsia" w:ascii="宋体" w:hAnsi="宋体" w:eastAsia="宋体" w:cs="宋体"/>
                <w:highlight w:val="none"/>
              </w:rPr>
              <w:t>短信设置</w:t>
            </w:r>
          </w:p>
        </w:tc>
        <w:tc>
          <w:tcPr>
            <w:tcW w:w="2309" w:type="pct"/>
            <w:shd w:val="clear" w:color="000000" w:fill="FFFFFF"/>
            <w:noWrap/>
            <w:vAlign w:val="center"/>
          </w:tcPr>
          <w:p w14:paraId="36BDA033">
            <w:pPr>
              <w:rPr>
                <w:rFonts w:hint="eastAsia" w:ascii="宋体" w:hAnsi="宋体" w:eastAsia="宋体" w:cs="宋体"/>
                <w:highlight w:val="none"/>
              </w:rPr>
            </w:pPr>
            <w:r>
              <w:rPr>
                <w:rFonts w:hint="eastAsia" w:ascii="宋体" w:hAnsi="宋体" w:eastAsia="宋体" w:cs="宋体"/>
                <w:highlight w:val="none"/>
              </w:rPr>
              <w:t>用户可以设置手机号接收报警信息，包括油站油机离线报警离线、税控口离线报警、税控变更报警、加油机变更报警、编码器变更报警等。</w:t>
            </w:r>
          </w:p>
        </w:tc>
      </w:tr>
      <w:tr w14:paraId="7DE45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4E15839E">
            <w:pPr>
              <w:rPr>
                <w:rFonts w:hint="eastAsia" w:ascii="宋体" w:hAnsi="宋体" w:eastAsia="宋体" w:cs="宋体"/>
                <w:highlight w:val="none"/>
              </w:rPr>
            </w:pPr>
          </w:p>
        </w:tc>
        <w:tc>
          <w:tcPr>
            <w:tcW w:w="500" w:type="pct"/>
            <w:vMerge w:val="continue"/>
            <w:noWrap/>
            <w:vAlign w:val="center"/>
          </w:tcPr>
          <w:p w14:paraId="5954A839">
            <w:pPr>
              <w:rPr>
                <w:rFonts w:hint="eastAsia" w:ascii="宋体" w:hAnsi="宋体" w:eastAsia="宋体" w:cs="宋体"/>
                <w:highlight w:val="none"/>
              </w:rPr>
            </w:pPr>
          </w:p>
        </w:tc>
        <w:tc>
          <w:tcPr>
            <w:tcW w:w="732" w:type="pct"/>
            <w:vMerge w:val="restart"/>
            <w:noWrap/>
            <w:vAlign w:val="center"/>
          </w:tcPr>
          <w:p w14:paraId="05397542">
            <w:pPr>
              <w:rPr>
                <w:rFonts w:hint="eastAsia" w:ascii="宋体" w:hAnsi="宋体" w:eastAsia="宋体" w:cs="宋体"/>
                <w:highlight w:val="none"/>
              </w:rPr>
            </w:pPr>
            <w:r>
              <w:rPr>
                <w:rFonts w:hint="eastAsia" w:ascii="宋体" w:hAnsi="宋体" w:eastAsia="宋体" w:cs="宋体"/>
                <w:highlight w:val="none"/>
              </w:rPr>
              <w:t>加油数据</w:t>
            </w:r>
          </w:p>
        </w:tc>
        <w:tc>
          <w:tcPr>
            <w:tcW w:w="1052" w:type="pct"/>
            <w:noWrap/>
            <w:vAlign w:val="center"/>
          </w:tcPr>
          <w:p w14:paraId="73C7ECC5">
            <w:pPr>
              <w:rPr>
                <w:rFonts w:hint="eastAsia" w:ascii="宋体" w:hAnsi="宋体" w:eastAsia="宋体" w:cs="宋体"/>
                <w:highlight w:val="none"/>
              </w:rPr>
            </w:pPr>
            <w:r>
              <w:rPr>
                <w:rFonts w:hint="eastAsia" w:ascii="宋体" w:hAnsi="宋体" w:eastAsia="宋体" w:cs="宋体"/>
                <w:highlight w:val="none"/>
              </w:rPr>
              <w:t>月销油品汇总</w:t>
            </w:r>
          </w:p>
        </w:tc>
        <w:tc>
          <w:tcPr>
            <w:tcW w:w="2309" w:type="pct"/>
            <w:shd w:val="clear" w:color="000000" w:fill="FFFFFF"/>
            <w:noWrap/>
            <w:vAlign w:val="center"/>
          </w:tcPr>
          <w:p w14:paraId="2F990848">
            <w:pPr>
              <w:rPr>
                <w:rFonts w:hint="eastAsia" w:ascii="宋体" w:hAnsi="宋体" w:eastAsia="宋体" w:cs="宋体"/>
                <w:highlight w:val="none"/>
              </w:rPr>
            </w:pPr>
            <w:r>
              <w:rPr>
                <w:rFonts w:hint="eastAsia" w:ascii="宋体" w:hAnsi="宋体" w:eastAsia="宋体" w:cs="宋体"/>
                <w:highlight w:val="none"/>
              </w:rPr>
              <w:t>▲系统对辖区内各个加油站的92#、95#、98#、0#、-10#按月油品销量统计，包含油站名称、92#（升）、95#（升）、98#（升）、0#（升）、-10#（升）、年月等信息，通过各枪累计可查看该油站当月各个油枪的油量汇总，可按照油站名称、月份进行信息检索。</w:t>
            </w:r>
          </w:p>
          <w:p w14:paraId="6CEF7CE5">
            <w:pPr>
              <w:rPr>
                <w:rFonts w:hint="eastAsia" w:ascii="宋体" w:hAnsi="宋体" w:eastAsia="宋体" w:cs="宋体"/>
                <w:highlight w:val="none"/>
              </w:rPr>
            </w:pPr>
            <w:r>
              <w:rPr>
                <w:rFonts w:hint="eastAsia" w:ascii="宋体" w:hAnsi="宋体" w:eastAsia="宋体" w:cs="宋体"/>
                <w:b/>
                <w:bCs/>
                <w:highlight w:val="none"/>
              </w:rPr>
              <w:t>注：</w:t>
            </w:r>
            <w:r>
              <w:rPr>
                <w:rFonts w:hint="eastAsia" w:ascii="宋体" w:hAnsi="宋体" w:eastAsia="宋体" w:cs="宋体"/>
                <w:b/>
                <w:bCs/>
                <w:highlight w:val="none"/>
                <w:lang w:val="en-US" w:eastAsia="zh-CN"/>
              </w:rPr>
              <w:t>提供省级或省级以上软件评测中心出具的软件产品鉴定报告的原件扫描件。</w:t>
            </w:r>
          </w:p>
        </w:tc>
      </w:tr>
      <w:tr w14:paraId="41663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404" w:type="pct"/>
            <w:vMerge w:val="continue"/>
            <w:noWrap/>
            <w:vAlign w:val="center"/>
          </w:tcPr>
          <w:p w14:paraId="4E6CC3C4">
            <w:pPr>
              <w:rPr>
                <w:rFonts w:hint="eastAsia" w:ascii="宋体" w:hAnsi="宋体" w:eastAsia="宋体" w:cs="宋体"/>
                <w:highlight w:val="none"/>
              </w:rPr>
            </w:pPr>
          </w:p>
        </w:tc>
        <w:tc>
          <w:tcPr>
            <w:tcW w:w="500" w:type="pct"/>
            <w:vMerge w:val="continue"/>
            <w:noWrap/>
            <w:vAlign w:val="center"/>
          </w:tcPr>
          <w:p w14:paraId="257EAF4A">
            <w:pPr>
              <w:rPr>
                <w:rFonts w:hint="eastAsia" w:ascii="宋体" w:hAnsi="宋体" w:eastAsia="宋体" w:cs="宋体"/>
                <w:highlight w:val="none"/>
              </w:rPr>
            </w:pPr>
          </w:p>
        </w:tc>
        <w:tc>
          <w:tcPr>
            <w:tcW w:w="732" w:type="pct"/>
            <w:vMerge w:val="continue"/>
            <w:noWrap/>
            <w:vAlign w:val="center"/>
          </w:tcPr>
          <w:p w14:paraId="5C32230A">
            <w:pPr>
              <w:rPr>
                <w:rFonts w:hint="eastAsia" w:ascii="宋体" w:hAnsi="宋体" w:eastAsia="宋体" w:cs="宋体"/>
                <w:highlight w:val="none"/>
              </w:rPr>
            </w:pPr>
          </w:p>
        </w:tc>
        <w:tc>
          <w:tcPr>
            <w:tcW w:w="1052" w:type="pct"/>
            <w:noWrap/>
            <w:vAlign w:val="center"/>
          </w:tcPr>
          <w:p w14:paraId="1DD4BA16">
            <w:pPr>
              <w:rPr>
                <w:rFonts w:hint="eastAsia" w:ascii="宋体" w:hAnsi="宋体" w:eastAsia="宋体" w:cs="宋体"/>
                <w:highlight w:val="none"/>
              </w:rPr>
            </w:pPr>
            <w:r>
              <w:rPr>
                <w:rFonts w:hint="eastAsia" w:ascii="宋体" w:hAnsi="宋体" w:eastAsia="宋体" w:cs="宋体"/>
                <w:highlight w:val="none"/>
              </w:rPr>
              <w:t>加油信息明细</w:t>
            </w:r>
          </w:p>
        </w:tc>
        <w:tc>
          <w:tcPr>
            <w:tcW w:w="2309" w:type="pct"/>
            <w:shd w:val="clear" w:color="000000" w:fill="FFFFFF"/>
            <w:noWrap/>
            <w:vAlign w:val="center"/>
          </w:tcPr>
          <w:p w14:paraId="4DDAE1C6">
            <w:pPr>
              <w:rPr>
                <w:rFonts w:hint="eastAsia" w:ascii="宋体" w:hAnsi="宋体" w:eastAsia="宋体" w:cs="宋体"/>
                <w:highlight w:val="none"/>
              </w:rPr>
            </w:pPr>
            <w:r>
              <w:rPr>
                <w:rFonts w:hint="eastAsia" w:ascii="宋体" w:hAnsi="宋体" w:eastAsia="宋体" w:cs="宋体"/>
                <w:highlight w:val="none"/>
              </w:rPr>
              <w:t>系统对辖区内各个加油站按月进行销量统计，销售金额统计，包含油站名称、油站类型、该月累计油量、该月累计金额、年月等信息，通过交易明细可查看该油站当月各个油枪的加油明细，可按照油站名称、月份进行信息检索。</w:t>
            </w:r>
          </w:p>
        </w:tc>
      </w:tr>
      <w:tr w14:paraId="58E6D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52D67D35">
            <w:pPr>
              <w:rPr>
                <w:rFonts w:hint="eastAsia" w:ascii="宋体" w:hAnsi="宋体" w:eastAsia="宋体" w:cs="宋体"/>
                <w:highlight w:val="none"/>
              </w:rPr>
            </w:pPr>
          </w:p>
        </w:tc>
        <w:tc>
          <w:tcPr>
            <w:tcW w:w="500" w:type="pct"/>
            <w:vMerge w:val="continue"/>
            <w:noWrap/>
            <w:vAlign w:val="center"/>
          </w:tcPr>
          <w:p w14:paraId="0EDC2B96">
            <w:pPr>
              <w:rPr>
                <w:rFonts w:hint="eastAsia" w:ascii="宋体" w:hAnsi="宋体" w:eastAsia="宋体" w:cs="宋体"/>
                <w:highlight w:val="none"/>
              </w:rPr>
            </w:pPr>
          </w:p>
        </w:tc>
        <w:tc>
          <w:tcPr>
            <w:tcW w:w="732" w:type="pct"/>
            <w:vMerge w:val="restart"/>
            <w:noWrap/>
            <w:vAlign w:val="center"/>
          </w:tcPr>
          <w:p w14:paraId="7158C398">
            <w:pPr>
              <w:rPr>
                <w:rFonts w:hint="eastAsia" w:ascii="宋体" w:hAnsi="宋体" w:eastAsia="宋体" w:cs="宋体"/>
                <w:highlight w:val="none"/>
              </w:rPr>
            </w:pPr>
            <w:r>
              <w:rPr>
                <w:rFonts w:hint="eastAsia" w:ascii="宋体" w:hAnsi="宋体" w:eastAsia="宋体" w:cs="宋体"/>
                <w:highlight w:val="none"/>
              </w:rPr>
              <w:t>汇总统计</w:t>
            </w:r>
          </w:p>
        </w:tc>
        <w:tc>
          <w:tcPr>
            <w:tcW w:w="1052" w:type="pct"/>
            <w:noWrap/>
            <w:vAlign w:val="center"/>
          </w:tcPr>
          <w:p w14:paraId="120481B0">
            <w:pPr>
              <w:rPr>
                <w:rFonts w:hint="eastAsia" w:ascii="宋体" w:hAnsi="宋体" w:eastAsia="宋体" w:cs="宋体"/>
                <w:highlight w:val="none"/>
              </w:rPr>
            </w:pPr>
            <w:r>
              <w:rPr>
                <w:rFonts w:hint="eastAsia" w:ascii="宋体" w:hAnsi="宋体" w:eastAsia="宋体" w:cs="宋体"/>
                <w:highlight w:val="none"/>
              </w:rPr>
              <w:t>加油数据统计</w:t>
            </w:r>
          </w:p>
        </w:tc>
        <w:tc>
          <w:tcPr>
            <w:tcW w:w="2309" w:type="pct"/>
            <w:shd w:val="clear" w:color="000000" w:fill="FFFFFF"/>
            <w:noWrap/>
            <w:vAlign w:val="center"/>
          </w:tcPr>
          <w:p w14:paraId="5EE66815">
            <w:pPr>
              <w:rPr>
                <w:rFonts w:hint="eastAsia" w:ascii="宋体" w:hAnsi="宋体" w:eastAsia="宋体" w:cs="宋体"/>
                <w:highlight w:val="none"/>
              </w:rPr>
            </w:pPr>
            <w:r>
              <w:rPr>
                <w:rFonts w:hint="eastAsia" w:ascii="宋体" w:hAnsi="宋体" w:eastAsia="宋体" w:cs="宋体"/>
                <w:highlight w:val="none"/>
              </w:rPr>
              <w:t>可按照各税务机构、纳税人识别号、油站名称、油枪、油品信息，按年、月、日或时间段进行各种各样的加油数据统计，基本展示信息包括各税务机构、油站名称、纳税人识别号、各油站、油枪、油品销量、销售金额等信息，可导出excel文档。</w:t>
            </w:r>
          </w:p>
        </w:tc>
      </w:tr>
      <w:tr w14:paraId="4334C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1F4F3FF1">
            <w:pPr>
              <w:rPr>
                <w:rFonts w:hint="eastAsia" w:ascii="宋体" w:hAnsi="宋体" w:eastAsia="宋体" w:cs="宋体"/>
                <w:highlight w:val="none"/>
              </w:rPr>
            </w:pPr>
          </w:p>
        </w:tc>
        <w:tc>
          <w:tcPr>
            <w:tcW w:w="500" w:type="pct"/>
            <w:vMerge w:val="continue"/>
            <w:noWrap/>
            <w:vAlign w:val="center"/>
          </w:tcPr>
          <w:p w14:paraId="7D618830">
            <w:pPr>
              <w:rPr>
                <w:rFonts w:hint="eastAsia" w:ascii="宋体" w:hAnsi="宋体" w:eastAsia="宋体" w:cs="宋体"/>
                <w:highlight w:val="none"/>
              </w:rPr>
            </w:pPr>
          </w:p>
        </w:tc>
        <w:tc>
          <w:tcPr>
            <w:tcW w:w="732" w:type="pct"/>
            <w:vMerge w:val="continue"/>
            <w:noWrap/>
            <w:vAlign w:val="center"/>
          </w:tcPr>
          <w:p w14:paraId="3379A4BA">
            <w:pPr>
              <w:rPr>
                <w:rFonts w:hint="eastAsia" w:ascii="宋体" w:hAnsi="宋体" w:eastAsia="宋体" w:cs="宋体"/>
                <w:highlight w:val="none"/>
              </w:rPr>
            </w:pPr>
          </w:p>
        </w:tc>
        <w:tc>
          <w:tcPr>
            <w:tcW w:w="1052" w:type="pct"/>
            <w:noWrap/>
            <w:vAlign w:val="center"/>
          </w:tcPr>
          <w:p w14:paraId="785D845A">
            <w:pPr>
              <w:rPr>
                <w:rFonts w:hint="eastAsia" w:ascii="宋体" w:hAnsi="宋体" w:eastAsia="宋体" w:cs="宋体"/>
                <w:highlight w:val="none"/>
              </w:rPr>
            </w:pPr>
            <w:r>
              <w:rPr>
                <w:rFonts w:hint="eastAsia" w:ascii="宋体" w:hAnsi="宋体" w:eastAsia="宋体" w:cs="宋体"/>
                <w:highlight w:val="none"/>
              </w:rPr>
              <w:t>销售金额统计</w:t>
            </w:r>
          </w:p>
        </w:tc>
        <w:tc>
          <w:tcPr>
            <w:tcW w:w="2309" w:type="pct"/>
            <w:shd w:val="clear" w:color="000000" w:fill="FFFFFF"/>
            <w:noWrap/>
            <w:vAlign w:val="center"/>
          </w:tcPr>
          <w:p w14:paraId="08B413B1">
            <w:pPr>
              <w:rPr>
                <w:rFonts w:hint="eastAsia" w:ascii="宋体" w:hAnsi="宋体" w:eastAsia="宋体" w:cs="宋体"/>
                <w:highlight w:val="none"/>
              </w:rPr>
            </w:pPr>
            <w:r>
              <w:rPr>
                <w:rFonts w:hint="eastAsia" w:ascii="宋体" w:hAnsi="宋体" w:eastAsia="宋体" w:cs="宋体"/>
                <w:highlight w:val="none"/>
              </w:rPr>
              <w:t>系统对辖区内各个加油站按日期时间段查询销售金额统计汇总，包含油站名称、销售金额等信息，可按照油站名称、区域选择、日期范围进行信息检索并支持导出excel报表。</w:t>
            </w:r>
          </w:p>
        </w:tc>
      </w:tr>
      <w:tr w14:paraId="2F514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02BAC68A">
            <w:pPr>
              <w:rPr>
                <w:rFonts w:hint="eastAsia" w:ascii="宋体" w:hAnsi="宋体" w:eastAsia="宋体" w:cs="宋体"/>
                <w:highlight w:val="none"/>
              </w:rPr>
            </w:pPr>
          </w:p>
        </w:tc>
        <w:tc>
          <w:tcPr>
            <w:tcW w:w="500" w:type="pct"/>
            <w:vMerge w:val="continue"/>
            <w:noWrap/>
            <w:vAlign w:val="center"/>
          </w:tcPr>
          <w:p w14:paraId="57B9FAAE">
            <w:pPr>
              <w:rPr>
                <w:rFonts w:hint="eastAsia" w:ascii="宋体" w:hAnsi="宋体" w:eastAsia="宋体" w:cs="宋体"/>
                <w:highlight w:val="none"/>
              </w:rPr>
            </w:pPr>
          </w:p>
        </w:tc>
        <w:tc>
          <w:tcPr>
            <w:tcW w:w="732" w:type="pct"/>
            <w:vMerge w:val="continue"/>
            <w:noWrap/>
            <w:vAlign w:val="center"/>
          </w:tcPr>
          <w:p w14:paraId="3D53F690">
            <w:pPr>
              <w:rPr>
                <w:rFonts w:hint="eastAsia" w:ascii="宋体" w:hAnsi="宋体" w:eastAsia="宋体" w:cs="宋体"/>
                <w:highlight w:val="none"/>
              </w:rPr>
            </w:pPr>
          </w:p>
        </w:tc>
        <w:tc>
          <w:tcPr>
            <w:tcW w:w="1052" w:type="pct"/>
            <w:noWrap/>
            <w:vAlign w:val="center"/>
          </w:tcPr>
          <w:p w14:paraId="5CEF6508">
            <w:pPr>
              <w:rPr>
                <w:rFonts w:hint="eastAsia" w:ascii="宋体" w:hAnsi="宋体" w:eastAsia="宋体" w:cs="宋体"/>
                <w:highlight w:val="none"/>
              </w:rPr>
            </w:pPr>
            <w:r>
              <w:rPr>
                <w:rFonts w:hint="eastAsia" w:ascii="宋体" w:hAnsi="宋体" w:eastAsia="宋体" w:cs="宋体"/>
                <w:highlight w:val="none"/>
              </w:rPr>
              <w:t>油站营销走势</w:t>
            </w:r>
          </w:p>
        </w:tc>
        <w:tc>
          <w:tcPr>
            <w:tcW w:w="2309" w:type="pct"/>
            <w:shd w:val="clear" w:color="000000" w:fill="FFFFFF"/>
            <w:noWrap/>
            <w:vAlign w:val="center"/>
          </w:tcPr>
          <w:p w14:paraId="214881F4">
            <w:pPr>
              <w:rPr>
                <w:rFonts w:hint="eastAsia" w:ascii="宋体" w:hAnsi="宋体" w:eastAsia="宋体" w:cs="宋体"/>
                <w:highlight w:val="none"/>
              </w:rPr>
            </w:pPr>
            <w:r>
              <w:rPr>
                <w:rFonts w:hint="eastAsia" w:ascii="宋体" w:hAnsi="宋体" w:eastAsia="宋体" w:cs="宋体"/>
                <w:highlight w:val="none"/>
              </w:rPr>
              <w:t>系统对辖区内加油站可按月统计销售金额并绘制折线图，折线图包含当年每月的销售金额，可按照油站名称、统计年份范围进行信息检索。</w:t>
            </w:r>
          </w:p>
        </w:tc>
      </w:tr>
      <w:tr w14:paraId="4C489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3F262B92">
            <w:pPr>
              <w:rPr>
                <w:rFonts w:hint="eastAsia" w:ascii="宋体" w:hAnsi="宋体" w:eastAsia="宋体" w:cs="宋体"/>
                <w:highlight w:val="none"/>
              </w:rPr>
            </w:pPr>
          </w:p>
        </w:tc>
        <w:tc>
          <w:tcPr>
            <w:tcW w:w="500" w:type="pct"/>
            <w:vMerge w:val="continue"/>
            <w:noWrap/>
            <w:vAlign w:val="center"/>
          </w:tcPr>
          <w:p w14:paraId="0B94048B">
            <w:pPr>
              <w:rPr>
                <w:rFonts w:hint="eastAsia" w:ascii="宋体" w:hAnsi="宋体" w:eastAsia="宋体" w:cs="宋体"/>
                <w:highlight w:val="none"/>
              </w:rPr>
            </w:pPr>
          </w:p>
        </w:tc>
        <w:tc>
          <w:tcPr>
            <w:tcW w:w="732" w:type="pct"/>
            <w:vMerge w:val="continue"/>
            <w:noWrap/>
            <w:vAlign w:val="center"/>
          </w:tcPr>
          <w:p w14:paraId="7C2E9888">
            <w:pPr>
              <w:rPr>
                <w:rFonts w:hint="eastAsia" w:ascii="宋体" w:hAnsi="宋体" w:eastAsia="宋体" w:cs="宋体"/>
                <w:highlight w:val="none"/>
              </w:rPr>
            </w:pPr>
          </w:p>
        </w:tc>
        <w:tc>
          <w:tcPr>
            <w:tcW w:w="1052" w:type="pct"/>
            <w:noWrap/>
            <w:vAlign w:val="center"/>
          </w:tcPr>
          <w:p w14:paraId="683C8B41">
            <w:pPr>
              <w:rPr>
                <w:rFonts w:hint="eastAsia" w:ascii="宋体" w:hAnsi="宋体" w:eastAsia="宋体" w:cs="宋体"/>
                <w:highlight w:val="none"/>
              </w:rPr>
            </w:pPr>
            <w:r>
              <w:rPr>
                <w:rFonts w:hint="eastAsia" w:ascii="宋体" w:hAnsi="宋体" w:eastAsia="宋体" w:cs="宋体"/>
                <w:highlight w:val="none"/>
              </w:rPr>
              <w:t>区域营销走势</w:t>
            </w:r>
          </w:p>
        </w:tc>
        <w:tc>
          <w:tcPr>
            <w:tcW w:w="2309" w:type="pct"/>
            <w:shd w:val="clear" w:color="000000" w:fill="FFFFFF"/>
            <w:noWrap/>
            <w:vAlign w:val="center"/>
          </w:tcPr>
          <w:p w14:paraId="20FE4C16">
            <w:pPr>
              <w:rPr>
                <w:rFonts w:hint="eastAsia" w:ascii="宋体" w:hAnsi="宋体" w:eastAsia="宋体" w:cs="宋体"/>
                <w:highlight w:val="none"/>
              </w:rPr>
            </w:pPr>
            <w:r>
              <w:rPr>
                <w:rFonts w:hint="eastAsia" w:ascii="宋体" w:hAnsi="宋体" w:eastAsia="宋体" w:cs="宋体"/>
                <w:highlight w:val="none"/>
              </w:rPr>
              <w:t>系统对辖区内的税务机构销售金额统计并绘制曲线图，曲线图包含当年每月的销售金额，可按照区域名称、统计年份范围进行信息检索。</w:t>
            </w:r>
          </w:p>
        </w:tc>
      </w:tr>
      <w:tr w14:paraId="7195F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69F19167">
            <w:pPr>
              <w:rPr>
                <w:rFonts w:hint="eastAsia" w:ascii="宋体" w:hAnsi="宋体" w:eastAsia="宋体" w:cs="宋体"/>
                <w:highlight w:val="none"/>
              </w:rPr>
            </w:pPr>
          </w:p>
        </w:tc>
        <w:tc>
          <w:tcPr>
            <w:tcW w:w="500" w:type="pct"/>
            <w:vMerge w:val="continue"/>
            <w:noWrap/>
            <w:vAlign w:val="center"/>
          </w:tcPr>
          <w:p w14:paraId="2BE8B3C8">
            <w:pPr>
              <w:rPr>
                <w:rFonts w:hint="eastAsia" w:ascii="宋体" w:hAnsi="宋体" w:eastAsia="宋体" w:cs="宋体"/>
                <w:highlight w:val="none"/>
              </w:rPr>
            </w:pPr>
          </w:p>
        </w:tc>
        <w:tc>
          <w:tcPr>
            <w:tcW w:w="732" w:type="pct"/>
            <w:vMerge w:val="restart"/>
            <w:noWrap/>
            <w:vAlign w:val="center"/>
          </w:tcPr>
          <w:p w14:paraId="43E25D6E">
            <w:pPr>
              <w:rPr>
                <w:rFonts w:hint="eastAsia" w:ascii="宋体" w:hAnsi="宋体" w:eastAsia="宋体" w:cs="宋体"/>
                <w:highlight w:val="none"/>
              </w:rPr>
            </w:pPr>
            <w:r>
              <w:rPr>
                <w:rFonts w:hint="eastAsia" w:ascii="宋体" w:hAnsi="宋体" w:eastAsia="宋体" w:cs="宋体"/>
                <w:highlight w:val="none"/>
              </w:rPr>
              <w:t>数据分析</w:t>
            </w:r>
          </w:p>
        </w:tc>
        <w:tc>
          <w:tcPr>
            <w:tcW w:w="1052" w:type="pct"/>
            <w:noWrap/>
            <w:vAlign w:val="center"/>
          </w:tcPr>
          <w:p w14:paraId="723BDAB3">
            <w:pPr>
              <w:rPr>
                <w:rFonts w:hint="eastAsia" w:ascii="宋体" w:hAnsi="宋体" w:eastAsia="宋体" w:cs="宋体"/>
                <w:highlight w:val="none"/>
              </w:rPr>
            </w:pPr>
            <w:r>
              <w:rPr>
                <w:rFonts w:hint="eastAsia" w:ascii="宋体" w:hAnsi="宋体" w:eastAsia="宋体" w:cs="宋体"/>
                <w:highlight w:val="none"/>
              </w:rPr>
              <w:t>加油间断统计分析</w:t>
            </w:r>
          </w:p>
        </w:tc>
        <w:tc>
          <w:tcPr>
            <w:tcW w:w="2309" w:type="pct"/>
            <w:shd w:val="clear" w:color="000000" w:fill="FFFFFF"/>
            <w:noWrap/>
            <w:vAlign w:val="center"/>
          </w:tcPr>
          <w:p w14:paraId="00582CAF">
            <w:pPr>
              <w:rPr>
                <w:rFonts w:hint="eastAsia" w:ascii="宋体" w:hAnsi="宋体" w:eastAsia="宋体" w:cs="宋体"/>
                <w:highlight w:val="none"/>
              </w:rPr>
            </w:pPr>
            <w:r>
              <w:rPr>
                <w:rFonts w:hint="eastAsia" w:ascii="宋体" w:hAnsi="宋体" w:eastAsia="宋体" w:cs="宋体"/>
                <w:highlight w:val="none"/>
              </w:rPr>
              <w:t>系统对辖区内各个加油站最后加油时间进行加油间断时间分析，包含油站名称、油机编号、油枪编号、最后加油时间、上传时间、加油间断时间等信息，可按照油站名称、加油间断天数进行信息检索并支持导出excel报表。</w:t>
            </w:r>
          </w:p>
        </w:tc>
      </w:tr>
      <w:tr w14:paraId="40CB9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7948540F">
            <w:pPr>
              <w:rPr>
                <w:rFonts w:hint="eastAsia" w:ascii="宋体" w:hAnsi="宋体" w:eastAsia="宋体" w:cs="宋体"/>
                <w:highlight w:val="none"/>
              </w:rPr>
            </w:pPr>
          </w:p>
        </w:tc>
        <w:tc>
          <w:tcPr>
            <w:tcW w:w="500" w:type="pct"/>
            <w:vMerge w:val="continue"/>
            <w:noWrap/>
            <w:vAlign w:val="center"/>
          </w:tcPr>
          <w:p w14:paraId="5F49795E">
            <w:pPr>
              <w:rPr>
                <w:rFonts w:hint="eastAsia" w:ascii="宋体" w:hAnsi="宋体" w:eastAsia="宋体" w:cs="宋体"/>
                <w:highlight w:val="none"/>
              </w:rPr>
            </w:pPr>
          </w:p>
        </w:tc>
        <w:tc>
          <w:tcPr>
            <w:tcW w:w="732" w:type="pct"/>
            <w:vMerge w:val="continue"/>
            <w:noWrap/>
            <w:vAlign w:val="center"/>
          </w:tcPr>
          <w:p w14:paraId="395337D4">
            <w:pPr>
              <w:rPr>
                <w:rFonts w:hint="eastAsia" w:ascii="宋体" w:hAnsi="宋体" w:eastAsia="宋体" w:cs="宋体"/>
                <w:highlight w:val="none"/>
              </w:rPr>
            </w:pPr>
          </w:p>
        </w:tc>
        <w:tc>
          <w:tcPr>
            <w:tcW w:w="1052" w:type="pct"/>
            <w:noWrap/>
            <w:vAlign w:val="center"/>
          </w:tcPr>
          <w:p w14:paraId="7D7644C3">
            <w:pPr>
              <w:rPr>
                <w:rFonts w:hint="eastAsia" w:ascii="宋体" w:hAnsi="宋体" w:eastAsia="宋体" w:cs="宋体"/>
                <w:highlight w:val="none"/>
              </w:rPr>
            </w:pPr>
            <w:r>
              <w:rPr>
                <w:rFonts w:hint="eastAsia" w:ascii="宋体" w:hAnsi="宋体" w:eastAsia="宋体" w:cs="宋体"/>
                <w:highlight w:val="none"/>
              </w:rPr>
              <w:t>月销对比分析</w:t>
            </w:r>
          </w:p>
        </w:tc>
        <w:tc>
          <w:tcPr>
            <w:tcW w:w="2309" w:type="pct"/>
            <w:shd w:val="clear" w:color="000000" w:fill="FFFFFF"/>
            <w:noWrap/>
            <w:vAlign w:val="center"/>
          </w:tcPr>
          <w:p w14:paraId="1B5B79F9">
            <w:pPr>
              <w:rPr>
                <w:rFonts w:hint="eastAsia" w:ascii="宋体" w:hAnsi="宋体" w:eastAsia="宋体" w:cs="宋体"/>
                <w:highlight w:val="none"/>
              </w:rPr>
            </w:pPr>
            <w:r>
              <w:rPr>
                <w:rFonts w:hint="eastAsia" w:ascii="宋体" w:hAnsi="宋体" w:eastAsia="宋体" w:cs="宋体"/>
                <w:highlight w:val="none"/>
              </w:rPr>
              <w:t>▲系统对辖区内各个加油站的销售金额按月份进行月环比分析，包含油站名称、销售金额、月环比、年月等信息，可按照油站名称、年月进行信息检索。</w:t>
            </w:r>
          </w:p>
          <w:p w14:paraId="787F197C">
            <w:pPr>
              <w:rPr>
                <w:rFonts w:hint="eastAsia" w:ascii="宋体" w:hAnsi="宋体" w:eastAsia="宋体" w:cs="宋体"/>
                <w:highlight w:val="none"/>
              </w:rPr>
            </w:pPr>
            <w:r>
              <w:rPr>
                <w:rFonts w:hint="eastAsia" w:ascii="宋体" w:hAnsi="宋体" w:eastAsia="宋体" w:cs="宋体"/>
                <w:b/>
                <w:bCs/>
                <w:highlight w:val="none"/>
              </w:rPr>
              <w:t>注：</w:t>
            </w:r>
            <w:r>
              <w:rPr>
                <w:rFonts w:hint="eastAsia" w:ascii="宋体" w:hAnsi="宋体" w:eastAsia="宋体" w:cs="宋体"/>
                <w:b/>
                <w:bCs/>
                <w:highlight w:val="none"/>
                <w:lang w:val="en-US" w:eastAsia="zh-CN"/>
              </w:rPr>
              <w:t>提供省级或省级以上软件评测中心出具的软件产品鉴定报告的原件扫描件。</w:t>
            </w:r>
          </w:p>
        </w:tc>
      </w:tr>
      <w:tr w14:paraId="0B557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636BBD83">
            <w:pPr>
              <w:rPr>
                <w:rFonts w:hint="eastAsia" w:ascii="宋体" w:hAnsi="宋体" w:eastAsia="宋体" w:cs="宋体"/>
                <w:highlight w:val="none"/>
              </w:rPr>
            </w:pPr>
          </w:p>
        </w:tc>
        <w:tc>
          <w:tcPr>
            <w:tcW w:w="500" w:type="pct"/>
            <w:vMerge w:val="continue"/>
            <w:noWrap/>
            <w:vAlign w:val="center"/>
          </w:tcPr>
          <w:p w14:paraId="72D301BA">
            <w:pPr>
              <w:rPr>
                <w:rFonts w:hint="eastAsia" w:ascii="宋体" w:hAnsi="宋体" w:eastAsia="宋体" w:cs="宋体"/>
                <w:highlight w:val="none"/>
              </w:rPr>
            </w:pPr>
          </w:p>
        </w:tc>
        <w:tc>
          <w:tcPr>
            <w:tcW w:w="732" w:type="pct"/>
            <w:vMerge w:val="continue"/>
            <w:noWrap/>
            <w:vAlign w:val="center"/>
          </w:tcPr>
          <w:p w14:paraId="78A749BA">
            <w:pPr>
              <w:rPr>
                <w:rFonts w:hint="eastAsia" w:ascii="宋体" w:hAnsi="宋体" w:eastAsia="宋体" w:cs="宋体"/>
                <w:highlight w:val="none"/>
              </w:rPr>
            </w:pPr>
          </w:p>
        </w:tc>
        <w:tc>
          <w:tcPr>
            <w:tcW w:w="1052" w:type="pct"/>
            <w:noWrap/>
            <w:vAlign w:val="center"/>
          </w:tcPr>
          <w:p w14:paraId="0EDAC320">
            <w:pPr>
              <w:rPr>
                <w:rFonts w:hint="eastAsia" w:ascii="宋体" w:hAnsi="宋体" w:eastAsia="宋体" w:cs="宋体"/>
                <w:highlight w:val="none"/>
              </w:rPr>
            </w:pPr>
            <w:r>
              <w:rPr>
                <w:rFonts w:hint="eastAsia" w:ascii="宋体" w:hAnsi="宋体" w:eastAsia="宋体" w:cs="宋体"/>
                <w:highlight w:val="none"/>
              </w:rPr>
              <w:t>月销同比分析</w:t>
            </w:r>
          </w:p>
        </w:tc>
        <w:tc>
          <w:tcPr>
            <w:tcW w:w="2309" w:type="pct"/>
            <w:shd w:val="clear" w:color="000000" w:fill="FFFFFF"/>
            <w:noWrap/>
            <w:vAlign w:val="center"/>
          </w:tcPr>
          <w:p w14:paraId="78055E20">
            <w:pPr>
              <w:rPr>
                <w:rFonts w:hint="eastAsia" w:ascii="宋体" w:hAnsi="宋体" w:eastAsia="宋体" w:cs="宋体"/>
                <w:highlight w:val="none"/>
              </w:rPr>
            </w:pPr>
            <w:r>
              <w:rPr>
                <w:rFonts w:hint="eastAsia" w:ascii="宋体" w:hAnsi="宋体" w:eastAsia="宋体" w:cs="宋体"/>
                <w:highlight w:val="none"/>
              </w:rPr>
              <w:t>▲系统对辖区内各个加油站的销售金额按月份进行月同比分析，包含油站名称、销售金额、上年销售额、月同比、年月等信息，可按照油站名称、年月进行信息检索。</w:t>
            </w:r>
          </w:p>
          <w:p w14:paraId="79166B22">
            <w:pPr>
              <w:rPr>
                <w:rFonts w:hint="eastAsia"/>
              </w:rPr>
            </w:pPr>
            <w:r>
              <w:rPr>
                <w:rFonts w:hint="eastAsia" w:ascii="宋体" w:hAnsi="宋体" w:eastAsia="宋体" w:cs="宋体"/>
                <w:b/>
                <w:bCs/>
                <w:highlight w:val="none"/>
                <w:lang w:val="en-US" w:eastAsia="zh-CN"/>
              </w:rPr>
              <w:t>注：提供省级或省级以上软件评测中心出具的软件产品鉴定报告的原件扫描件。</w:t>
            </w:r>
          </w:p>
        </w:tc>
      </w:tr>
      <w:tr w14:paraId="50A34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3A7F6133">
            <w:pPr>
              <w:rPr>
                <w:rFonts w:hint="eastAsia" w:ascii="宋体" w:hAnsi="宋体" w:eastAsia="宋体" w:cs="宋体"/>
                <w:highlight w:val="none"/>
              </w:rPr>
            </w:pPr>
          </w:p>
        </w:tc>
        <w:tc>
          <w:tcPr>
            <w:tcW w:w="500" w:type="pct"/>
            <w:vMerge w:val="continue"/>
            <w:noWrap/>
            <w:vAlign w:val="center"/>
          </w:tcPr>
          <w:p w14:paraId="2890607B">
            <w:pPr>
              <w:rPr>
                <w:rFonts w:hint="eastAsia" w:ascii="宋体" w:hAnsi="宋体" w:eastAsia="宋体" w:cs="宋体"/>
                <w:highlight w:val="none"/>
              </w:rPr>
            </w:pPr>
          </w:p>
        </w:tc>
        <w:tc>
          <w:tcPr>
            <w:tcW w:w="732" w:type="pct"/>
            <w:vMerge w:val="continue"/>
            <w:noWrap/>
            <w:vAlign w:val="center"/>
          </w:tcPr>
          <w:p w14:paraId="5FC6A0C0">
            <w:pPr>
              <w:rPr>
                <w:rFonts w:hint="eastAsia" w:ascii="宋体" w:hAnsi="宋体" w:eastAsia="宋体" w:cs="宋体"/>
                <w:highlight w:val="none"/>
              </w:rPr>
            </w:pPr>
          </w:p>
        </w:tc>
        <w:tc>
          <w:tcPr>
            <w:tcW w:w="1052" w:type="pct"/>
            <w:noWrap/>
            <w:vAlign w:val="center"/>
          </w:tcPr>
          <w:p w14:paraId="40394A61">
            <w:pPr>
              <w:rPr>
                <w:rFonts w:hint="eastAsia" w:ascii="宋体" w:hAnsi="宋体" w:eastAsia="宋体" w:cs="宋体"/>
                <w:highlight w:val="none"/>
              </w:rPr>
            </w:pPr>
            <w:r>
              <w:rPr>
                <w:rFonts w:hint="eastAsia" w:ascii="宋体" w:hAnsi="宋体" w:eastAsia="宋体" w:cs="宋体"/>
                <w:highlight w:val="none"/>
              </w:rPr>
              <w:t>油站排行榜</w:t>
            </w:r>
          </w:p>
        </w:tc>
        <w:tc>
          <w:tcPr>
            <w:tcW w:w="2309" w:type="pct"/>
            <w:shd w:val="clear" w:color="000000" w:fill="FFFFFF"/>
            <w:noWrap/>
            <w:vAlign w:val="center"/>
          </w:tcPr>
          <w:p w14:paraId="7AD51713">
            <w:pPr>
              <w:rPr>
                <w:rFonts w:hint="eastAsia" w:ascii="宋体" w:hAnsi="宋体" w:eastAsia="宋体" w:cs="宋体"/>
                <w:highlight w:val="none"/>
              </w:rPr>
            </w:pPr>
            <w:r>
              <w:rPr>
                <w:rFonts w:hint="eastAsia" w:ascii="宋体" w:hAnsi="宋体" w:eastAsia="宋体" w:cs="宋体"/>
                <w:highlight w:val="none"/>
              </w:rPr>
              <w:t>系统对辖区内各个加油站的销售金额按月份进行排名，包含油站名称、销售金额、排名顺序、年月等信息，可按照油站名称、年月进行信息检索。</w:t>
            </w:r>
          </w:p>
        </w:tc>
      </w:tr>
      <w:tr w14:paraId="54D7B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60EA9020">
            <w:pPr>
              <w:rPr>
                <w:rFonts w:hint="eastAsia" w:ascii="宋体" w:hAnsi="宋体" w:eastAsia="宋体" w:cs="宋体"/>
                <w:highlight w:val="none"/>
              </w:rPr>
            </w:pPr>
          </w:p>
        </w:tc>
        <w:tc>
          <w:tcPr>
            <w:tcW w:w="500" w:type="pct"/>
            <w:vMerge w:val="continue"/>
            <w:noWrap/>
            <w:vAlign w:val="center"/>
          </w:tcPr>
          <w:p w14:paraId="29073F58">
            <w:pPr>
              <w:rPr>
                <w:rFonts w:hint="eastAsia" w:ascii="宋体" w:hAnsi="宋体" w:eastAsia="宋体" w:cs="宋体"/>
                <w:highlight w:val="none"/>
              </w:rPr>
            </w:pPr>
          </w:p>
        </w:tc>
        <w:tc>
          <w:tcPr>
            <w:tcW w:w="732" w:type="pct"/>
            <w:vMerge w:val="continue"/>
            <w:noWrap/>
            <w:vAlign w:val="center"/>
          </w:tcPr>
          <w:p w14:paraId="210944D3">
            <w:pPr>
              <w:rPr>
                <w:rFonts w:hint="eastAsia" w:ascii="宋体" w:hAnsi="宋体" w:eastAsia="宋体" w:cs="宋体"/>
                <w:highlight w:val="none"/>
              </w:rPr>
            </w:pPr>
          </w:p>
        </w:tc>
        <w:tc>
          <w:tcPr>
            <w:tcW w:w="1052" w:type="pct"/>
            <w:noWrap/>
            <w:vAlign w:val="center"/>
          </w:tcPr>
          <w:p w14:paraId="7A87CDB9">
            <w:pPr>
              <w:rPr>
                <w:rFonts w:hint="eastAsia" w:ascii="宋体" w:hAnsi="宋体" w:eastAsia="宋体" w:cs="宋体"/>
                <w:highlight w:val="none"/>
              </w:rPr>
            </w:pPr>
            <w:r>
              <w:rPr>
                <w:rFonts w:hint="eastAsia" w:ascii="宋体" w:hAnsi="宋体" w:eastAsia="宋体" w:cs="宋体"/>
                <w:highlight w:val="none"/>
              </w:rPr>
              <w:t>区域排行榜</w:t>
            </w:r>
          </w:p>
        </w:tc>
        <w:tc>
          <w:tcPr>
            <w:tcW w:w="2309" w:type="pct"/>
            <w:shd w:val="clear" w:color="000000" w:fill="FFFFFF"/>
            <w:noWrap/>
            <w:vAlign w:val="center"/>
          </w:tcPr>
          <w:p w14:paraId="65254DC8">
            <w:pPr>
              <w:rPr>
                <w:rFonts w:hint="eastAsia" w:ascii="宋体" w:hAnsi="宋体" w:eastAsia="宋体" w:cs="宋体"/>
                <w:highlight w:val="none"/>
              </w:rPr>
            </w:pPr>
            <w:r>
              <w:rPr>
                <w:rFonts w:hint="eastAsia" w:ascii="宋体" w:hAnsi="宋体" w:eastAsia="宋体" w:cs="宋体"/>
                <w:highlight w:val="none"/>
              </w:rPr>
              <w:t>系统对辖区内税务机构的销售金额按油站及月份汇总之后当月进行排名，包含区县名称、累计销售金额、占比、排名顺序、年月等信息，可按照油站名称、年月进行信息检索并支持导出。</w:t>
            </w:r>
          </w:p>
        </w:tc>
      </w:tr>
      <w:tr w14:paraId="23DF1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390049CF">
            <w:pPr>
              <w:rPr>
                <w:rFonts w:hint="eastAsia" w:ascii="宋体" w:hAnsi="宋体" w:eastAsia="宋体" w:cs="宋体"/>
                <w:highlight w:val="none"/>
              </w:rPr>
            </w:pPr>
          </w:p>
        </w:tc>
        <w:tc>
          <w:tcPr>
            <w:tcW w:w="500" w:type="pct"/>
            <w:vMerge w:val="continue"/>
            <w:noWrap/>
            <w:vAlign w:val="center"/>
          </w:tcPr>
          <w:p w14:paraId="631DB42D">
            <w:pPr>
              <w:rPr>
                <w:rFonts w:hint="eastAsia" w:ascii="宋体" w:hAnsi="宋体" w:eastAsia="宋体" w:cs="宋体"/>
                <w:highlight w:val="none"/>
              </w:rPr>
            </w:pPr>
          </w:p>
        </w:tc>
        <w:tc>
          <w:tcPr>
            <w:tcW w:w="732" w:type="pct"/>
            <w:vMerge w:val="restart"/>
            <w:noWrap/>
            <w:vAlign w:val="center"/>
          </w:tcPr>
          <w:p w14:paraId="6FADE00C">
            <w:pPr>
              <w:rPr>
                <w:rFonts w:hint="eastAsia" w:ascii="宋体" w:hAnsi="宋体" w:eastAsia="宋体" w:cs="宋体"/>
                <w:highlight w:val="none"/>
              </w:rPr>
            </w:pPr>
            <w:r>
              <w:rPr>
                <w:rFonts w:hint="eastAsia" w:ascii="宋体" w:hAnsi="宋体" w:eastAsia="宋体" w:cs="宋体"/>
                <w:highlight w:val="none"/>
              </w:rPr>
              <w:t>系统管理</w:t>
            </w:r>
          </w:p>
        </w:tc>
        <w:tc>
          <w:tcPr>
            <w:tcW w:w="1052" w:type="pct"/>
            <w:noWrap/>
            <w:vAlign w:val="center"/>
          </w:tcPr>
          <w:p w14:paraId="6326A056">
            <w:pPr>
              <w:rPr>
                <w:rFonts w:hint="eastAsia" w:ascii="宋体" w:hAnsi="宋体" w:eastAsia="宋体" w:cs="宋体"/>
                <w:highlight w:val="none"/>
              </w:rPr>
            </w:pPr>
            <w:r>
              <w:rPr>
                <w:rFonts w:hint="eastAsia" w:ascii="宋体" w:hAnsi="宋体" w:eastAsia="宋体" w:cs="宋体"/>
                <w:highlight w:val="none"/>
              </w:rPr>
              <w:t>用户管理</w:t>
            </w:r>
          </w:p>
        </w:tc>
        <w:tc>
          <w:tcPr>
            <w:tcW w:w="2309" w:type="pct"/>
            <w:shd w:val="clear" w:color="000000" w:fill="FFFFFF"/>
            <w:noWrap/>
            <w:vAlign w:val="center"/>
          </w:tcPr>
          <w:p w14:paraId="39B1E542">
            <w:pPr>
              <w:rPr>
                <w:rFonts w:hint="eastAsia" w:ascii="宋体" w:hAnsi="宋体" w:eastAsia="宋体" w:cs="宋体"/>
                <w:highlight w:val="none"/>
              </w:rPr>
            </w:pPr>
            <w:r>
              <w:rPr>
                <w:rFonts w:hint="eastAsia" w:ascii="宋体" w:hAnsi="宋体" w:eastAsia="宋体" w:cs="宋体"/>
                <w:highlight w:val="none"/>
              </w:rPr>
              <w:t>显示系统内用户信息，并支持添加新用户，重置密码、添加分局用户并为分局用户分配油站管理权限，用户列表包括账号、手机号、昵称、账号类型、状态、分管区域、备注、日期等，可按姓名、手机号、账号、账号类型进行检索查询。</w:t>
            </w:r>
          </w:p>
        </w:tc>
      </w:tr>
      <w:tr w14:paraId="00A41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0B0A38A9">
            <w:pPr>
              <w:rPr>
                <w:rFonts w:hint="eastAsia" w:ascii="宋体" w:hAnsi="宋体" w:eastAsia="宋体" w:cs="宋体"/>
                <w:highlight w:val="none"/>
              </w:rPr>
            </w:pPr>
          </w:p>
        </w:tc>
        <w:tc>
          <w:tcPr>
            <w:tcW w:w="500" w:type="pct"/>
            <w:vMerge w:val="continue"/>
            <w:noWrap/>
            <w:vAlign w:val="center"/>
          </w:tcPr>
          <w:p w14:paraId="2FCC81EC">
            <w:pPr>
              <w:rPr>
                <w:rFonts w:hint="eastAsia" w:ascii="宋体" w:hAnsi="宋体" w:eastAsia="宋体" w:cs="宋体"/>
                <w:highlight w:val="none"/>
              </w:rPr>
            </w:pPr>
          </w:p>
        </w:tc>
        <w:tc>
          <w:tcPr>
            <w:tcW w:w="732" w:type="pct"/>
            <w:vMerge w:val="continue"/>
            <w:noWrap/>
            <w:vAlign w:val="center"/>
          </w:tcPr>
          <w:p w14:paraId="3A855AC6">
            <w:pPr>
              <w:rPr>
                <w:rFonts w:hint="eastAsia" w:ascii="宋体" w:hAnsi="宋体" w:eastAsia="宋体" w:cs="宋体"/>
                <w:highlight w:val="none"/>
              </w:rPr>
            </w:pPr>
          </w:p>
        </w:tc>
        <w:tc>
          <w:tcPr>
            <w:tcW w:w="1052" w:type="pct"/>
            <w:noWrap/>
            <w:vAlign w:val="center"/>
          </w:tcPr>
          <w:p w14:paraId="3966BD39">
            <w:pPr>
              <w:rPr>
                <w:rFonts w:hint="eastAsia" w:ascii="宋体" w:hAnsi="宋体" w:eastAsia="宋体" w:cs="宋体"/>
                <w:highlight w:val="none"/>
              </w:rPr>
            </w:pPr>
            <w:r>
              <w:rPr>
                <w:rFonts w:hint="eastAsia" w:ascii="宋体" w:hAnsi="宋体" w:eastAsia="宋体" w:cs="宋体"/>
                <w:highlight w:val="none"/>
              </w:rPr>
              <w:t>操作日志</w:t>
            </w:r>
          </w:p>
        </w:tc>
        <w:tc>
          <w:tcPr>
            <w:tcW w:w="2309" w:type="pct"/>
            <w:shd w:val="clear" w:color="000000" w:fill="FFFFFF"/>
            <w:noWrap/>
            <w:vAlign w:val="center"/>
          </w:tcPr>
          <w:p w14:paraId="219ED9F5">
            <w:pPr>
              <w:rPr>
                <w:rFonts w:hint="eastAsia" w:ascii="宋体" w:hAnsi="宋体" w:eastAsia="宋体" w:cs="宋体"/>
                <w:highlight w:val="none"/>
              </w:rPr>
            </w:pPr>
            <w:r>
              <w:rPr>
                <w:rFonts w:hint="eastAsia" w:ascii="宋体" w:hAnsi="宋体" w:eastAsia="宋体" w:cs="宋体"/>
                <w:highlight w:val="none"/>
              </w:rPr>
              <w:t>显示每个账号的登入登出记录及下载文档的操作记录，可按照用户名称或账号、区域、操作内容、时间选择来查询。</w:t>
            </w:r>
          </w:p>
        </w:tc>
      </w:tr>
      <w:tr w14:paraId="423E3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1FCB39BC">
            <w:pPr>
              <w:rPr>
                <w:rFonts w:hint="eastAsia" w:ascii="宋体" w:hAnsi="宋体" w:eastAsia="宋体" w:cs="宋体"/>
                <w:highlight w:val="none"/>
              </w:rPr>
            </w:pPr>
          </w:p>
        </w:tc>
        <w:tc>
          <w:tcPr>
            <w:tcW w:w="500" w:type="pct"/>
            <w:vMerge w:val="continue"/>
            <w:noWrap/>
            <w:vAlign w:val="center"/>
          </w:tcPr>
          <w:p w14:paraId="18633477">
            <w:pPr>
              <w:rPr>
                <w:rFonts w:hint="eastAsia" w:ascii="宋体" w:hAnsi="宋体" w:eastAsia="宋体" w:cs="宋体"/>
                <w:highlight w:val="none"/>
              </w:rPr>
            </w:pPr>
          </w:p>
        </w:tc>
        <w:tc>
          <w:tcPr>
            <w:tcW w:w="732" w:type="pct"/>
            <w:vMerge w:val="continue"/>
            <w:noWrap/>
            <w:vAlign w:val="center"/>
          </w:tcPr>
          <w:p w14:paraId="29FAC7DD">
            <w:pPr>
              <w:rPr>
                <w:rFonts w:hint="eastAsia" w:ascii="宋体" w:hAnsi="宋体" w:eastAsia="宋体" w:cs="宋体"/>
                <w:highlight w:val="none"/>
              </w:rPr>
            </w:pPr>
          </w:p>
        </w:tc>
        <w:tc>
          <w:tcPr>
            <w:tcW w:w="1052" w:type="pct"/>
            <w:noWrap/>
            <w:vAlign w:val="center"/>
          </w:tcPr>
          <w:p w14:paraId="069118E8">
            <w:pPr>
              <w:rPr>
                <w:rFonts w:hint="eastAsia" w:ascii="宋体" w:hAnsi="宋体" w:eastAsia="宋体" w:cs="宋体"/>
                <w:highlight w:val="none"/>
              </w:rPr>
            </w:pPr>
            <w:r>
              <w:rPr>
                <w:rFonts w:hint="eastAsia" w:ascii="宋体" w:hAnsi="宋体" w:eastAsia="宋体" w:cs="宋体"/>
                <w:highlight w:val="none"/>
              </w:rPr>
              <w:t>修改密码</w:t>
            </w:r>
          </w:p>
        </w:tc>
        <w:tc>
          <w:tcPr>
            <w:tcW w:w="2309" w:type="pct"/>
            <w:shd w:val="clear" w:color="000000" w:fill="FFFFFF"/>
            <w:noWrap/>
            <w:vAlign w:val="center"/>
          </w:tcPr>
          <w:p w14:paraId="5E75226E">
            <w:pPr>
              <w:rPr>
                <w:rFonts w:hint="eastAsia" w:ascii="宋体" w:hAnsi="宋体" w:eastAsia="宋体" w:cs="宋体"/>
                <w:highlight w:val="none"/>
              </w:rPr>
            </w:pPr>
            <w:r>
              <w:rPr>
                <w:rFonts w:hint="eastAsia" w:ascii="宋体" w:hAnsi="宋体" w:eastAsia="宋体" w:cs="宋体"/>
                <w:highlight w:val="none"/>
              </w:rPr>
              <w:t>可修改本登录账号的密码，需要输入原始密码，新密码、确认新密码才可以修改成功。</w:t>
            </w:r>
          </w:p>
        </w:tc>
      </w:tr>
      <w:tr w14:paraId="0820E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restart"/>
            <w:noWrap/>
            <w:vAlign w:val="center"/>
          </w:tcPr>
          <w:p w14:paraId="1BC986BF">
            <w:pPr>
              <w:jc w:val="center"/>
              <w:rPr>
                <w:rFonts w:hint="eastAsia" w:ascii="宋体" w:hAnsi="宋体" w:eastAsia="宋体" w:cs="宋体"/>
                <w:highlight w:val="none"/>
              </w:rPr>
            </w:pPr>
            <w:r>
              <w:rPr>
                <w:rFonts w:hint="eastAsia" w:ascii="宋体" w:hAnsi="宋体" w:eastAsia="宋体" w:cs="宋体"/>
                <w:highlight w:val="none"/>
              </w:rPr>
              <w:t>2</w:t>
            </w:r>
          </w:p>
        </w:tc>
        <w:tc>
          <w:tcPr>
            <w:tcW w:w="500" w:type="pct"/>
            <w:vMerge w:val="restart"/>
            <w:noWrap/>
            <w:vAlign w:val="center"/>
          </w:tcPr>
          <w:p w14:paraId="61243664">
            <w:pPr>
              <w:rPr>
                <w:rFonts w:hint="eastAsia" w:ascii="宋体" w:hAnsi="宋体" w:eastAsia="宋体" w:cs="宋体"/>
                <w:highlight w:val="none"/>
              </w:rPr>
            </w:pPr>
            <w:r>
              <w:rPr>
                <w:rFonts w:hint="eastAsia" w:ascii="宋体" w:hAnsi="宋体" w:eastAsia="宋体" w:cs="宋体"/>
                <w:highlight w:val="none"/>
              </w:rPr>
              <w:t>可视化展示</w:t>
            </w:r>
          </w:p>
        </w:tc>
        <w:tc>
          <w:tcPr>
            <w:tcW w:w="732" w:type="pct"/>
            <w:vMerge w:val="restart"/>
            <w:noWrap/>
            <w:vAlign w:val="center"/>
          </w:tcPr>
          <w:p w14:paraId="78B270D4">
            <w:pPr>
              <w:rPr>
                <w:rFonts w:hint="eastAsia" w:ascii="宋体" w:hAnsi="宋体" w:eastAsia="宋体" w:cs="宋体"/>
                <w:highlight w:val="none"/>
              </w:rPr>
            </w:pPr>
            <w:r>
              <w:rPr>
                <w:rFonts w:hint="eastAsia" w:ascii="宋体" w:hAnsi="宋体" w:eastAsia="宋体" w:cs="宋体"/>
                <w:highlight w:val="none"/>
              </w:rPr>
              <w:t>GIS地图</w:t>
            </w:r>
          </w:p>
        </w:tc>
        <w:tc>
          <w:tcPr>
            <w:tcW w:w="1052" w:type="pct"/>
            <w:noWrap/>
            <w:vAlign w:val="center"/>
          </w:tcPr>
          <w:p w14:paraId="0302E7DC">
            <w:pPr>
              <w:rPr>
                <w:rFonts w:hint="eastAsia" w:ascii="宋体" w:hAnsi="宋体" w:eastAsia="宋体" w:cs="宋体"/>
                <w:highlight w:val="none"/>
              </w:rPr>
            </w:pPr>
            <w:r>
              <w:rPr>
                <w:rFonts w:hint="eastAsia" w:ascii="宋体" w:hAnsi="宋体" w:eastAsia="宋体" w:cs="宋体"/>
                <w:highlight w:val="none"/>
              </w:rPr>
              <w:t>分布统计</w:t>
            </w:r>
          </w:p>
        </w:tc>
        <w:tc>
          <w:tcPr>
            <w:tcW w:w="2309" w:type="pct"/>
            <w:shd w:val="clear" w:color="000000" w:fill="FFFFFF"/>
            <w:noWrap/>
            <w:vAlign w:val="center"/>
          </w:tcPr>
          <w:p w14:paraId="62C8A999">
            <w:pPr>
              <w:rPr>
                <w:rFonts w:hint="eastAsia" w:ascii="宋体" w:hAnsi="宋体" w:eastAsia="宋体" w:cs="宋体"/>
                <w:highlight w:val="none"/>
              </w:rPr>
            </w:pPr>
            <w:r>
              <w:rPr>
                <w:rFonts w:hint="eastAsia" w:ascii="宋体" w:hAnsi="宋体" w:eastAsia="宋体" w:cs="宋体"/>
                <w:highlight w:val="none"/>
              </w:rPr>
              <w:t>▲通过GIS地图展示不同区域的加油站分布情况和油机状态统计（正常数量/异常数量），并通过不同颜色区分。</w:t>
            </w:r>
          </w:p>
          <w:p w14:paraId="35553720">
            <w:pPr>
              <w:rPr>
                <w:rFonts w:hint="eastAsia"/>
              </w:rPr>
            </w:pPr>
            <w:r>
              <w:rPr>
                <w:rFonts w:hint="eastAsia" w:ascii="宋体" w:hAnsi="宋体" w:eastAsia="宋体" w:cs="宋体"/>
                <w:b/>
                <w:bCs/>
                <w:highlight w:val="none"/>
                <w:lang w:val="en-US" w:eastAsia="zh-CN"/>
              </w:rPr>
              <w:t>注：提供省级或省级以上软件评测中心出具的软件产品鉴定报告的原件扫描件。</w:t>
            </w:r>
          </w:p>
        </w:tc>
      </w:tr>
      <w:tr w14:paraId="2AD22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ign w:val="center"/>
          </w:tcPr>
          <w:p w14:paraId="7EE4BC5A">
            <w:pPr>
              <w:rPr>
                <w:rFonts w:hint="eastAsia" w:ascii="宋体" w:hAnsi="宋体" w:eastAsia="宋体" w:cs="宋体"/>
                <w:highlight w:val="none"/>
              </w:rPr>
            </w:pPr>
          </w:p>
        </w:tc>
        <w:tc>
          <w:tcPr>
            <w:tcW w:w="500" w:type="pct"/>
            <w:vMerge w:val="continue"/>
            <w:noWrap/>
            <w:vAlign w:val="center"/>
          </w:tcPr>
          <w:p w14:paraId="6157CD9D">
            <w:pPr>
              <w:rPr>
                <w:rFonts w:hint="eastAsia" w:ascii="宋体" w:hAnsi="宋体" w:eastAsia="宋体" w:cs="宋体"/>
                <w:highlight w:val="none"/>
              </w:rPr>
            </w:pPr>
          </w:p>
        </w:tc>
        <w:tc>
          <w:tcPr>
            <w:tcW w:w="732" w:type="pct"/>
            <w:vMerge w:val="continue"/>
            <w:noWrap/>
            <w:vAlign w:val="center"/>
          </w:tcPr>
          <w:p w14:paraId="09539981">
            <w:pPr>
              <w:rPr>
                <w:rFonts w:hint="eastAsia" w:ascii="宋体" w:hAnsi="宋体" w:eastAsia="宋体" w:cs="宋体"/>
                <w:highlight w:val="none"/>
              </w:rPr>
            </w:pPr>
          </w:p>
        </w:tc>
        <w:tc>
          <w:tcPr>
            <w:tcW w:w="1052" w:type="pct"/>
            <w:noWrap/>
            <w:vAlign w:val="center"/>
          </w:tcPr>
          <w:p w14:paraId="5CEE98B6">
            <w:pPr>
              <w:rPr>
                <w:rFonts w:hint="eastAsia" w:ascii="宋体" w:hAnsi="宋体" w:eastAsia="宋体" w:cs="宋体"/>
                <w:highlight w:val="none"/>
              </w:rPr>
            </w:pPr>
            <w:r>
              <w:rPr>
                <w:rFonts w:hint="eastAsia" w:ascii="宋体" w:hAnsi="宋体" w:eastAsia="宋体" w:cs="宋体"/>
                <w:highlight w:val="none"/>
              </w:rPr>
              <w:t>地图展示</w:t>
            </w:r>
          </w:p>
        </w:tc>
        <w:tc>
          <w:tcPr>
            <w:tcW w:w="2309" w:type="pct"/>
            <w:shd w:val="clear" w:color="000000" w:fill="FFFFFF"/>
            <w:noWrap/>
            <w:vAlign w:val="center"/>
          </w:tcPr>
          <w:p w14:paraId="2D6F4A61">
            <w:pPr>
              <w:rPr>
                <w:rFonts w:hint="eastAsia" w:ascii="宋体" w:hAnsi="宋体" w:eastAsia="宋体" w:cs="宋体"/>
                <w:highlight w:val="none"/>
              </w:rPr>
            </w:pPr>
            <w:r>
              <w:rPr>
                <w:rFonts w:hint="eastAsia" w:ascii="宋体" w:hAnsi="宋体" w:eastAsia="宋体" w:cs="宋体"/>
                <w:highlight w:val="none"/>
              </w:rPr>
              <w:t>地图可最大化全屏显示，油站图标通过不同颜色区分油站状态（油机全部在线、油机部分在线、油机全部离线），并将最近有加油行为的油站图标进行跳动展示。</w:t>
            </w:r>
          </w:p>
        </w:tc>
      </w:tr>
      <w:tr w14:paraId="0A021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0"/>
            <w:vAlign w:val="center"/>
          </w:tcPr>
          <w:p w14:paraId="11C143F9">
            <w:pPr>
              <w:rPr>
                <w:rFonts w:hint="eastAsia" w:ascii="宋体" w:hAnsi="宋体" w:eastAsia="宋体" w:cs="宋体"/>
                <w:highlight w:val="none"/>
              </w:rPr>
            </w:pPr>
          </w:p>
        </w:tc>
        <w:tc>
          <w:tcPr>
            <w:tcW w:w="500" w:type="pct"/>
            <w:vMerge w:val="continue"/>
            <w:noWrap w:val="0"/>
            <w:vAlign w:val="center"/>
          </w:tcPr>
          <w:p w14:paraId="583B34C1">
            <w:pPr>
              <w:rPr>
                <w:rFonts w:hint="eastAsia" w:ascii="宋体" w:hAnsi="宋体" w:eastAsia="宋体" w:cs="宋体"/>
                <w:highlight w:val="none"/>
              </w:rPr>
            </w:pPr>
          </w:p>
        </w:tc>
        <w:tc>
          <w:tcPr>
            <w:tcW w:w="732" w:type="pct"/>
            <w:vMerge w:val="continue"/>
            <w:noWrap w:val="0"/>
          </w:tcPr>
          <w:p w14:paraId="7E345AF5">
            <w:pPr>
              <w:rPr>
                <w:rFonts w:hint="eastAsia" w:ascii="宋体" w:hAnsi="宋体" w:eastAsia="宋体" w:cs="宋体"/>
                <w:highlight w:val="none"/>
              </w:rPr>
            </w:pPr>
          </w:p>
        </w:tc>
        <w:tc>
          <w:tcPr>
            <w:tcW w:w="1052" w:type="pct"/>
            <w:noWrap w:val="0"/>
            <w:vAlign w:val="center"/>
          </w:tcPr>
          <w:p w14:paraId="206E4455">
            <w:pPr>
              <w:rPr>
                <w:rFonts w:hint="eastAsia" w:ascii="宋体" w:hAnsi="宋体" w:eastAsia="宋体" w:cs="宋体"/>
                <w:highlight w:val="none"/>
              </w:rPr>
            </w:pPr>
            <w:r>
              <w:rPr>
                <w:rFonts w:hint="eastAsia" w:ascii="宋体" w:hAnsi="宋体" w:eastAsia="宋体" w:cs="宋体"/>
                <w:highlight w:val="none"/>
              </w:rPr>
              <w:t>油站基础信息</w:t>
            </w:r>
          </w:p>
        </w:tc>
        <w:tc>
          <w:tcPr>
            <w:tcW w:w="2309" w:type="pct"/>
            <w:noWrap w:val="0"/>
            <w:vAlign w:val="center"/>
          </w:tcPr>
          <w:p w14:paraId="3A041E11">
            <w:pPr>
              <w:rPr>
                <w:rFonts w:hint="eastAsia" w:ascii="宋体" w:hAnsi="宋体" w:eastAsia="宋体" w:cs="宋体"/>
                <w:highlight w:val="none"/>
              </w:rPr>
            </w:pPr>
            <w:r>
              <w:rPr>
                <w:rFonts w:hint="eastAsia" w:ascii="宋体" w:hAnsi="宋体" w:eastAsia="宋体" w:cs="宋体"/>
                <w:highlight w:val="none"/>
              </w:rPr>
              <w:t>通过加油站图标时，可显示目标加油站的基本信息：油站名称、油站状态、油机数量和在线状态、油枪数量。</w:t>
            </w:r>
          </w:p>
        </w:tc>
      </w:tr>
      <w:tr w14:paraId="26E28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0"/>
            <w:vAlign w:val="center"/>
          </w:tcPr>
          <w:p w14:paraId="5B12F7E0">
            <w:pPr>
              <w:rPr>
                <w:rFonts w:hint="eastAsia" w:ascii="宋体" w:hAnsi="宋体" w:eastAsia="宋体" w:cs="宋体"/>
                <w:highlight w:val="none"/>
              </w:rPr>
            </w:pPr>
          </w:p>
        </w:tc>
        <w:tc>
          <w:tcPr>
            <w:tcW w:w="500" w:type="pct"/>
            <w:vMerge w:val="continue"/>
            <w:noWrap w:val="0"/>
            <w:vAlign w:val="center"/>
          </w:tcPr>
          <w:p w14:paraId="7F322598">
            <w:pPr>
              <w:rPr>
                <w:rFonts w:hint="eastAsia" w:ascii="宋体" w:hAnsi="宋体" w:eastAsia="宋体" w:cs="宋体"/>
                <w:highlight w:val="none"/>
              </w:rPr>
            </w:pPr>
          </w:p>
        </w:tc>
        <w:tc>
          <w:tcPr>
            <w:tcW w:w="732" w:type="pct"/>
            <w:vMerge w:val="continue"/>
            <w:noWrap w:val="0"/>
          </w:tcPr>
          <w:p w14:paraId="43A9AFDA">
            <w:pPr>
              <w:rPr>
                <w:rFonts w:hint="eastAsia" w:ascii="宋体" w:hAnsi="宋体" w:eastAsia="宋体" w:cs="宋体"/>
                <w:highlight w:val="none"/>
              </w:rPr>
            </w:pPr>
          </w:p>
        </w:tc>
        <w:tc>
          <w:tcPr>
            <w:tcW w:w="1052" w:type="pct"/>
            <w:noWrap w:val="0"/>
            <w:vAlign w:val="center"/>
          </w:tcPr>
          <w:p w14:paraId="5AE29354">
            <w:pPr>
              <w:rPr>
                <w:rFonts w:hint="eastAsia" w:ascii="宋体" w:hAnsi="宋体" w:eastAsia="宋体" w:cs="宋体"/>
                <w:highlight w:val="none"/>
              </w:rPr>
            </w:pPr>
            <w:r>
              <w:rPr>
                <w:rFonts w:hint="eastAsia" w:ascii="宋体" w:hAnsi="宋体" w:eastAsia="宋体" w:cs="宋体"/>
                <w:highlight w:val="none"/>
              </w:rPr>
              <w:t>油站详情信息</w:t>
            </w:r>
          </w:p>
        </w:tc>
        <w:tc>
          <w:tcPr>
            <w:tcW w:w="2309" w:type="pct"/>
            <w:noWrap w:val="0"/>
            <w:vAlign w:val="center"/>
          </w:tcPr>
          <w:p w14:paraId="34B95A7D">
            <w:pPr>
              <w:rPr>
                <w:rFonts w:hint="eastAsia" w:ascii="宋体" w:hAnsi="宋体" w:eastAsia="宋体" w:cs="宋体"/>
                <w:highlight w:val="none"/>
              </w:rPr>
            </w:pPr>
            <w:r>
              <w:rPr>
                <w:rFonts w:hint="eastAsia" w:ascii="宋体" w:hAnsi="宋体" w:eastAsia="宋体" w:cs="宋体"/>
                <w:highlight w:val="none"/>
              </w:rPr>
              <w:t>通过地图中的加油站图标，可进入目标加油站的一户式详情信息，包括目标加油站基本信息、油机信息、油枪信息、防作弊状态信息、异常告警信息、加油数据信息、卸油数据信息等。</w:t>
            </w:r>
          </w:p>
        </w:tc>
      </w:tr>
      <w:tr w14:paraId="1CD35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38A8002F">
            <w:pPr>
              <w:rPr>
                <w:rFonts w:hint="eastAsia" w:ascii="宋体" w:hAnsi="宋体" w:eastAsia="宋体" w:cs="宋体"/>
                <w:highlight w:val="none"/>
              </w:rPr>
            </w:pPr>
          </w:p>
        </w:tc>
        <w:tc>
          <w:tcPr>
            <w:tcW w:w="500" w:type="pct"/>
            <w:vMerge w:val="continue"/>
            <w:noWrap w:val="0"/>
            <w:vAlign w:val="center"/>
          </w:tcPr>
          <w:p w14:paraId="1051F63B">
            <w:pPr>
              <w:rPr>
                <w:rFonts w:hint="eastAsia" w:ascii="宋体" w:hAnsi="宋体" w:eastAsia="宋体" w:cs="宋体"/>
                <w:highlight w:val="none"/>
              </w:rPr>
            </w:pPr>
          </w:p>
        </w:tc>
        <w:tc>
          <w:tcPr>
            <w:tcW w:w="732" w:type="pct"/>
            <w:vMerge w:val="restart"/>
            <w:noWrap w:val="0"/>
            <w:vAlign w:val="center"/>
          </w:tcPr>
          <w:p w14:paraId="6461C875">
            <w:pPr>
              <w:rPr>
                <w:rFonts w:hint="eastAsia" w:ascii="宋体" w:hAnsi="宋体" w:eastAsia="宋体" w:cs="宋体"/>
                <w:highlight w:val="none"/>
              </w:rPr>
            </w:pPr>
            <w:r>
              <w:rPr>
                <w:rFonts w:hint="eastAsia" w:ascii="宋体" w:hAnsi="宋体" w:eastAsia="宋体" w:cs="宋体"/>
                <w:highlight w:val="none"/>
              </w:rPr>
              <w:t>设备统计</w:t>
            </w:r>
          </w:p>
        </w:tc>
        <w:tc>
          <w:tcPr>
            <w:tcW w:w="1052" w:type="pct"/>
            <w:noWrap w:val="0"/>
            <w:vAlign w:val="center"/>
          </w:tcPr>
          <w:p w14:paraId="70909694">
            <w:pPr>
              <w:rPr>
                <w:rFonts w:hint="eastAsia" w:ascii="宋体" w:hAnsi="宋体" w:eastAsia="宋体" w:cs="宋体"/>
                <w:highlight w:val="none"/>
              </w:rPr>
            </w:pPr>
            <w:r>
              <w:rPr>
                <w:rFonts w:hint="eastAsia" w:ascii="宋体" w:hAnsi="宋体" w:eastAsia="宋体" w:cs="宋体"/>
                <w:highlight w:val="none"/>
              </w:rPr>
              <w:t>加油站数量统计</w:t>
            </w:r>
          </w:p>
        </w:tc>
        <w:tc>
          <w:tcPr>
            <w:tcW w:w="2309" w:type="pct"/>
            <w:noWrap w:val="0"/>
            <w:vAlign w:val="center"/>
          </w:tcPr>
          <w:p w14:paraId="705554D3">
            <w:pPr>
              <w:rPr>
                <w:rFonts w:hint="eastAsia" w:ascii="宋体" w:hAnsi="宋体" w:eastAsia="宋体" w:cs="宋体"/>
                <w:highlight w:val="none"/>
              </w:rPr>
            </w:pPr>
            <w:r>
              <w:rPr>
                <w:rFonts w:hint="eastAsia" w:ascii="宋体" w:hAnsi="宋体" w:eastAsia="宋体" w:cs="宋体"/>
                <w:highlight w:val="none"/>
              </w:rPr>
              <w:t>可按不同油站类型分别统计。</w:t>
            </w:r>
          </w:p>
        </w:tc>
      </w:tr>
      <w:tr w14:paraId="24A8F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6E9402FC">
            <w:pPr>
              <w:rPr>
                <w:rFonts w:hint="eastAsia" w:ascii="宋体" w:hAnsi="宋体" w:eastAsia="宋体" w:cs="宋体"/>
                <w:highlight w:val="none"/>
              </w:rPr>
            </w:pPr>
          </w:p>
        </w:tc>
        <w:tc>
          <w:tcPr>
            <w:tcW w:w="500" w:type="pct"/>
            <w:vMerge w:val="continue"/>
            <w:noWrap w:val="0"/>
            <w:vAlign w:val="center"/>
          </w:tcPr>
          <w:p w14:paraId="4E0724EA">
            <w:pPr>
              <w:rPr>
                <w:rFonts w:hint="eastAsia" w:ascii="宋体" w:hAnsi="宋体" w:eastAsia="宋体" w:cs="宋体"/>
                <w:highlight w:val="none"/>
              </w:rPr>
            </w:pPr>
          </w:p>
        </w:tc>
        <w:tc>
          <w:tcPr>
            <w:tcW w:w="732" w:type="pct"/>
            <w:vMerge w:val="continue"/>
            <w:noWrap w:val="0"/>
          </w:tcPr>
          <w:p w14:paraId="616281D3">
            <w:pPr>
              <w:rPr>
                <w:rFonts w:hint="eastAsia" w:ascii="宋体" w:hAnsi="宋体" w:eastAsia="宋体" w:cs="宋体"/>
                <w:highlight w:val="none"/>
              </w:rPr>
            </w:pPr>
          </w:p>
        </w:tc>
        <w:tc>
          <w:tcPr>
            <w:tcW w:w="1052" w:type="pct"/>
            <w:noWrap w:val="0"/>
            <w:vAlign w:val="center"/>
          </w:tcPr>
          <w:p w14:paraId="0DE334E7">
            <w:pPr>
              <w:rPr>
                <w:rFonts w:hint="eastAsia" w:ascii="宋体" w:hAnsi="宋体" w:eastAsia="宋体" w:cs="宋体"/>
                <w:highlight w:val="none"/>
              </w:rPr>
            </w:pPr>
            <w:r>
              <w:rPr>
                <w:rFonts w:hint="eastAsia" w:ascii="宋体" w:hAnsi="宋体" w:eastAsia="宋体" w:cs="宋体"/>
                <w:highlight w:val="none"/>
              </w:rPr>
              <w:t>加油机数量统计</w:t>
            </w:r>
          </w:p>
        </w:tc>
        <w:tc>
          <w:tcPr>
            <w:tcW w:w="2309" w:type="pct"/>
            <w:noWrap w:val="0"/>
            <w:vAlign w:val="center"/>
          </w:tcPr>
          <w:p w14:paraId="4F52E4DA">
            <w:pPr>
              <w:rPr>
                <w:rFonts w:hint="eastAsia" w:ascii="宋体" w:hAnsi="宋体" w:eastAsia="宋体" w:cs="宋体"/>
                <w:highlight w:val="none"/>
              </w:rPr>
            </w:pPr>
            <w:r>
              <w:rPr>
                <w:rFonts w:hint="eastAsia" w:ascii="宋体" w:hAnsi="宋体" w:eastAsia="宋体" w:cs="宋体"/>
                <w:highlight w:val="none"/>
              </w:rPr>
              <w:t>可按不同油站类型分别统计。</w:t>
            </w:r>
          </w:p>
        </w:tc>
      </w:tr>
      <w:tr w14:paraId="26E11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2653CB71">
            <w:pPr>
              <w:rPr>
                <w:rFonts w:hint="eastAsia" w:ascii="宋体" w:hAnsi="宋体" w:eastAsia="宋体" w:cs="宋体"/>
                <w:highlight w:val="none"/>
              </w:rPr>
            </w:pPr>
          </w:p>
        </w:tc>
        <w:tc>
          <w:tcPr>
            <w:tcW w:w="500" w:type="pct"/>
            <w:vMerge w:val="continue"/>
            <w:noWrap w:val="0"/>
            <w:vAlign w:val="center"/>
          </w:tcPr>
          <w:p w14:paraId="0E1D7D97">
            <w:pPr>
              <w:rPr>
                <w:rFonts w:hint="eastAsia" w:ascii="宋体" w:hAnsi="宋体" w:eastAsia="宋体" w:cs="宋体"/>
                <w:highlight w:val="none"/>
              </w:rPr>
            </w:pPr>
          </w:p>
        </w:tc>
        <w:tc>
          <w:tcPr>
            <w:tcW w:w="732" w:type="pct"/>
            <w:vMerge w:val="continue"/>
            <w:noWrap w:val="0"/>
          </w:tcPr>
          <w:p w14:paraId="0EDF4F03">
            <w:pPr>
              <w:rPr>
                <w:rFonts w:hint="eastAsia" w:ascii="宋体" w:hAnsi="宋体" w:eastAsia="宋体" w:cs="宋体"/>
                <w:highlight w:val="none"/>
              </w:rPr>
            </w:pPr>
          </w:p>
        </w:tc>
        <w:tc>
          <w:tcPr>
            <w:tcW w:w="1052" w:type="pct"/>
            <w:noWrap w:val="0"/>
            <w:vAlign w:val="center"/>
          </w:tcPr>
          <w:p w14:paraId="43739F49">
            <w:pPr>
              <w:rPr>
                <w:rFonts w:hint="eastAsia" w:ascii="宋体" w:hAnsi="宋体" w:eastAsia="宋体" w:cs="宋体"/>
                <w:highlight w:val="none"/>
              </w:rPr>
            </w:pPr>
            <w:r>
              <w:rPr>
                <w:rFonts w:hint="eastAsia" w:ascii="宋体" w:hAnsi="宋体" w:eastAsia="宋体" w:cs="宋体"/>
                <w:highlight w:val="none"/>
              </w:rPr>
              <w:t>加油枪数量统计</w:t>
            </w:r>
          </w:p>
        </w:tc>
        <w:tc>
          <w:tcPr>
            <w:tcW w:w="2309" w:type="pct"/>
            <w:noWrap w:val="0"/>
            <w:vAlign w:val="center"/>
          </w:tcPr>
          <w:p w14:paraId="5CA3D480">
            <w:pPr>
              <w:rPr>
                <w:rFonts w:hint="eastAsia" w:ascii="宋体" w:hAnsi="宋体" w:eastAsia="宋体" w:cs="宋体"/>
                <w:highlight w:val="none"/>
              </w:rPr>
            </w:pPr>
            <w:r>
              <w:rPr>
                <w:rFonts w:hint="eastAsia" w:ascii="宋体" w:hAnsi="宋体" w:eastAsia="宋体" w:cs="宋体"/>
                <w:highlight w:val="none"/>
              </w:rPr>
              <w:t>可按不同油站类型分别统计。</w:t>
            </w:r>
          </w:p>
        </w:tc>
      </w:tr>
      <w:tr w14:paraId="0202B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2C64A987">
            <w:pPr>
              <w:rPr>
                <w:rFonts w:hint="eastAsia" w:ascii="宋体" w:hAnsi="宋体" w:eastAsia="宋体" w:cs="宋体"/>
                <w:highlight w:val="none"/>
              </w:rPr>
            </w:pPr>
          </w:p>
        </w:tc>
        <w:tc>
          <w:tcPr>
            <w:tcW w:w="500" w:type="pct"/>
            <w:vMerge w:val="continue"/>
            <w:noWrap w:val="0"/>
            <w:vAlign w:val="center"/>
          </w:tcPr>
          <w:p w14:paraId="00D3E47C">
            <w:pPr>
              <w:rPr>
                <w:rFonts w:hint="eastAsia" w:ascii="宋体" w:hAnsi="宋体" w:eastAsia="宋体" w:cs="宋体"/>
                <w:highlight w:val="none"/>
              </w:rPr>
            </w:pPr>
          </w:p>
        </w:tc>
        <w:tc>
          <w:tcPr>
            <w:tcW w:w="732" w:type="pct"/>
            <w:vMerge w:val="continue"/>
            <w:noWrap w:val="0"/>
          </w:tcPr>
          <w:p w14:paraId="4DFD1486">
            <w:pPr>
              <w:rPr>
                <w:rFonts w:hint="eastAsia" w:ascii="宋体" w:hAnsi="宋体" w:eastAsia="宋体" w:cs="宋体"/>
                <w:highlight w:val="none"/>
              </w:rPr>
            </w:pPr>
          </w:p>
        </w:tc>
        <w:tc>
          <w:tcPr>
            <w:tcW w:w="1052" w:type="pct"/>
            <w:noWrap w:val="0"/>
            <w:vAlign w:val="center"/>
          </w:tcPr>
          <w:p w14:paraId="66A47CE9">
            <w:pPr>
              <w:rPr>
                <w:rFonts w:hint="eastAsia" w:ascii="宋体" w:hAnsi="宋体" w:eastAsia="宋体" w:cs="宋体"/>
                <w:highlight w:val="none"/>
              </w:rPr>
            </w:pPr>
            <w:r>
              <w:rPr>
                <w:rFonts w:hint="eastAsia" w:ascii="宋体" w:hAnsi="宋体" w:eastAsia="宋体" w:cs="宋体"/>
                <w:highlight w:val="none"/>
              </w:rPr>
              <w:t>采集设备数量统计</w:t>
            </w:r>
          </w:p>
        </w:tc>
        <w:tc>
          <w:tcPr>
            <w:tcW w:w="2309" w:type="pct"/>
            <w:noWrap w:val="0"/>
            <w:vAlign w:val="center"/>
          </w:tcPr>
          <w:p w14:paraId="26644725">
            <w:pPr>
              <w:rPr>
                <w:rFonts w:hint="eastAsia" w:ascii="宋体" w:hAnsi="宋体" w:eastAsia="宋体" w:cs="宋体"/>
                <w:highlight w:val="none"/>
              </w:rPr>
            </w:pPr>
            <w:r>
              <w:rPr>
                <w:rFonts w:hint="eastAsia" w:ascii="宋体" w:hAnsi="宋体" w:eastAsia="宋体" w:cs="宋体"/>
                <w:highlight w:val="none"/>
              </w:rPr>
              <w:t>可按不同油站类型分别统计。</w:t>
            </w:r>
          </w:p>
        </w:tc>
      </w:tr>
      <w:tr w14:paraId="147CC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3102CBD2">
            <w:pPr>
              <w:rPr>
                <w:rFonts w:hint="eastAsia" w:ascii="宋体" w:hAnsi="宋体" w:eastAsia="宋体" w:cs="宋体"/>
                <w:highlight w:val="none"/>
              </w:rPr>
            </w:pPr>
          </w:p>
        </w:tc>
        <w:tc>
          <w:tcPr>
            <w:tcW w:w="500" w:type="pct"/>
            <w:vMerge w:val="continue"/>
            <w:noWrap w:val="0"/>
            <w:vAlign w:val="center"/>
          </w:tcPr>
          <w:p w14:paraId="053F497F">
            <w:pPr>
              <w:rPr>
                <w:rFonts w:hint="eastAsia" w:ascii="宋体" w:hAnsi="宋体" w:eastAsia="宋体" w:cs="宋体"/>
                <w:highlight w:val="none"/>
              </w:rPr>
            </w:pPr>
          </w:p>
        </w:tc>
        <w:tc>
          <w:tcPr>
            <w:tcW w:w="732" w:type="pct"/>
            <w:vMerge w:val="restart"/>
            <w:noWrap w:val="0"/>
            <w:vAlign w:val="center"/>
          </w:tcPr>
          <w:p w14:paraId="288D40E0">
            <w:pPr>
              <w:rPr>
                <w:rFonts w:hint="eastAsia" w:ascii="宋体" w:hAnsi="宋体" w:eastAsia="宋体" w:cs="宋体"/>
                <w:highlight w:val="none"/>
              </w:rPr>
            </w:pPr>
            <w:r>
              <w:rPr>
                <w:rFonts w:hint="eastAsia" w:ascii="宋体" w:hAnsi="宋体" w:eastAsia="宋体" w:cs="宋体"/>
                <w:highlight w:val="none"/>
              </w:rPr>
              <w:t>加油站区域分布</w:t>
            </w:r>
          </w:p>
        </w:tc>
        <w:tc>
          <w:tcPr>
            <w:tcW w:w="1052" w:type="pct"/>
            <w:noWrap w:val="0"/>
            <w:vAlign w:val="center"/>
          </w:tcPr>
          <w:p w14:paraId="073E8FB9">
            <w:pPr>
              <w:rPr>
                <w:rFonts w:hint="eastAsia" w:ascii="宋体" w:hAnsi="宋体" w:eastAsia="宋体" w:cs="宋体"/>
                <w:highlight w:val="none"/>
              </w:rPr>
            </w:pPr>
            <w:r>
              <w:rPr>
                <w:rFonts w:hint="eastAsia" w:ascii="宋体" w:hAnsi="宋体" w:eastAsia="宋体" w:cs="宋体"/>
                <w:highlight w:val="none"/>
              </w:rPr>
              <w:t>区域油站数量分布</w:t>
            </w:r>
          </w:p>
        </w:tc>
        <w:tc>
          <w:tcPr>
            <w:tcW w:w="2309" w:type="pct"/>
            <w:noWrap w:val="0"/>
            <w:vAlign w:val="center"/>
          </w:tcPr>
          <w:p w14:paraId="4D2DC7C6">
            <w:pPr>
              <w:rPr>
                <w:rFonts w:hint="eastAsia" w:ascii="宋体" w:hAnsi="宋体" w:eastAsia="宋体" w:cs="宋体"/>
                <w:highlight w:val="none"/>
              </w:rPr>
            </w:pPr>
            <w:r>
              <w:rPr>
                <w:rFonts w:hint="eastAsia" w:ascii="宋体" w:hAnsi="宋体" w:eastAsia="宋体" w:cs="宋体"/>
                <w:highlight w:val="none"/>
              </w:rPr>
              <w:t>按不同区域油站数量统计分布柱状图。</w:t>
            </w:r>
          </w:p>
        </w:tc>
      </w:tr>
      <w:tr w14:paraId="02360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3043C759">
            <w:pPr>
              <w:rPr>
                <w:rFonts w:hint="eastAsia" w:ascii="宋体" w:hAnsi="宋体" w:eastAsia="宋体" w:cs="宋体"/>
                <w:highlight w:val="none"/>
              </w:rPr>
            </w:pPr>
          </w:p>
        </w:tc>
        <w:tc>
          <w:tcPr>
            <w:tcW w:w="500" w:type="pct"/>
            <w:vMerge w:val="continue"/>
            <w:noWrap w:val="0"/>
            <w:vAlign w:val="center"/>
          </w:tcPr>
          <w:p w14:paraId="2B92F03C">
            <w:pPr>
              <w:rPr>
                <w:rFonts w:hint="eastAsia" w:ascii="宋体" w:hAnsi="宋体" w:eastAsia="宋体" w:cs="宋体"/>
                <w:highlight w:val="none"/>
              </w:rPr>
            </w:pPr>
          </w:p>
        </w:tc>
        <w:tc>
          <w:tcPr>
            <w:tcW w:w="732" w:type="pct"/>
            <w:vMerge w:val="continue"/>
            <w:noWrap w:val="0"/>
          </w:tcPr>
          <w:p w14:paraId="73D7DBAF">
            <w:pPr>
              <w:rPr>
                <w:rFonts w:hint="eastAsia" w:ascii="宋体" w:hAnsi="宋体" w:eastAsia="宋体" w:cs="宋体"/>
                <w:highlight w:val="none"/>
              </w:rPr>
            </w:pPr>
          </w:p>
        </w:tc>
        <w:tc>
          <w:tcPr>
            <w:tcW w:w="1052" w:type="pct"/>
            <w:noWrap w:val="0"/>
            <w:vAlign w:val="center"/>
          </w:tcPr>
          <w:p w14:paraId="4AF74665">
            <w:pPr>
              <w:rPr>
                <w:rFonts w:hint="eastAsia" w:ascii="宋体" w:hAnsi="宋体" w:eastAsia="宋体" w:cs="宋体"/>
                <w:highlight w:val="none"/>
              </w:rPr>
            </w:pPr>
            <w:r>
              <w:rPr>
                <w:rFonts w:hint="eastAsia" w:ascii="宋体" w:hAnsi="宋体" w:eastAsia="宋体" w:cs="宋体"/>
                <w:highlight w:val="none"/>
              </w:rPr>
              <w:t>区域油机数量分布</w:t>
            </w:r>
          </w:p>
        </w:tc>
        <w:tc>
          <w:tcPr>
            <w:tcW w:w="2309" w:type="pct"/>
            <w:noWrap w:val="0"/>
            <w:vAlign w:val="center"/>
          </w:tcPr>
          <w:p w14:paraId="313C3C86">
            <w:pPr>
              <w:rPr>
                <w:rFonts w:hint="eastAsia" w:ascii="宋体" w:hAnsi="宋体" w:eastAsia="宋体" w:cs="宋体"/>
                <w:highlight w:val="none"/>
              </w:rPr>
            </w:pPr>
            <w:r>
              <w:rPr>
                <w:rFonts w:hint="eastAsia" w:ascii="宋体" w:hAnsi="宋体" w:eastAsia="宋体" w:cs="宋体"/>
                <w:highlight w:val="none"/>
              </w:rPr>
              <w:t>按不同区域油机数量统计分布柱状图。</w:t>
            </w:r>
          </w:p>
        </w:tc>
      </w:tr>
      <w:tr w14:paraId="4237F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1FD8299C">
            <w:pPr>
              <w:rPr>
                <w:rFonts w:hint="eastAsia" w:ascii="宋体" w:hAnsi="宋体" w:eastAsia="宋体" w:cs="宋体"/>
                <w:highlight w:val="none"/>
              </w:rPr>
            </w:pPr>
          </w:p>
        </w:tc>
        <w:tc>
          <w:tcPr>
            <w:tcW w:w="500" w:type="pct"/>
            <w:vMerge w:val="continue"/>
            <w:noWrap w:val="0"/>
            <w:vAlign w:val="center"/>
          </w:tcPr>
          <w:p w14:paraId="2E2D3A82">
            <w:pPr>
              <w:rPr>
                <w:rFonts w:hint="eastAsia" w:ascii="宋体" w:hAnsi="宋体" w:eastAsia="宋体" w:cs="宋体"/>
                <w:highlight w:val="none"/>
              </w:rPr>
            </w:pPr>
          </w:p>
        </w:tc>
        <w:tc>
          <w:tcPr>
            <w:tcW w:w="732" w:type="pct"/>
            <w:vMerge w:val="continue"/>
            <w:noWrap w:val="0"/>
          </w:tcPr>
          <w:p w14:paraId="398A7A64">
            <w:pPr>
              <w:rPr>
                <w:rFonts w:hint="eastAsia" w:ascii="宋体" w:hAnsi="宋体" w:eastAsia="宋体" w:cs="宋体"/>
                <w:highlight w:val="none"/>
              </w:rPr>
            </w:pPr>
          </w:p>
        </w:tc>
        <w:tc>
          <w:tcPr>
            <w:tcW w:w="1052" w:type="pct"/>
            <w:noWrap w:val="0"/>
            <w:vAlign w:val="center"/>
          </w:tcPr>
          <w:p w14:paraId="41B7AD30">
            <w:pPr>
              <w:rPr>
                <w:rFonts w:hint="eastAsia" w:ascii="宋体" w:hAnsi="宋体" w:eastAsia="宋体" w:cs="宋体"/>
                <w:highlight w:val="none"/>
              </w:rPr>
            </w:pPr>
            <w:r>
              <w:rPr>
                <w:rFonts w:hint="eastAsia" w:ascii="宋体" w:hAnsi="宋体" w:eastAsia="宋体" w:cs="宋体"/>
                <w:highlight w:val="none"/>
              </w:rPr>
              <w:t>区域销售金额分布</w:t>
            </w:r>
          </w:p>
        </w:tc>
        <w:tc>
          <w:tcPr>
            <w:tcW w:w="2309" w:type="pct"/>
            <w:noWrap w:val="0"/>
            <w:vAlign w:val="center"/>
          </w:tcPr>
          <w:p w14:paraId="76173464">
            <w:pPr>
              <w:rPr>
                <w:rFonts w:hint="eastAsia" w:ascii="宋体" w:hAnsi="宋体" w:eastAsia="宋体" w:cs="宋体"/>
                <w:highlight w:val="none"/>
              </w:rPr>
            </w:pPr>
            <w:r>
              <w:rPr>
                <w:rFonts w:hint="eastAsia" w:ascii="宋体" w:hAnsi="宋体" w:eastAsia="宋体" w:cs="宋体"/>
                <w:highlight w:val="none"/>
              </w:rPr>
              <w:t>按不同区域销售金额统计分布柱状图。</w:t>
            </w:r>
          </w:p>
        </w:tc>
      </w:tr>
      <w:tr w14:paraId="2AE02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0F7D39AE">
            <w:pPr>
              <w:rPr>
                <w:rFonts w:hint="eastAsia" w:ascii="宋体" w:hAnsi="宋体" w:eastAsia="宋体" w:cs="宋体"/>
                <w:highlight w:val="none"/>
              </w:rPr>
            </w:pPr>
          </w:p>
        </w:tc>
        <w:tc>
          <w:tcPr>
            <w:tcW w:w="500" w:type="pct"/>
            <w:vMerge w:val="continue"/>
            <w:noWrap w:val="0"/>
            <w:vAlign w:val="center"/>
          </w:tcPr>
          <w:p w14:paraId="57945EE3">
            <w:pPr>
              <w:rPr>
                <w:rFonts w:hint="eastAsia" w:ascii="宋体" w:hAnsi="宋体" w:eastAsia="宋体" w:cs="宋体"/>
                <w:highlight w:val="none"/>
              </w:rPr>
            </w:pPr>
          </w:p>
        </w:tc>
        <w:tc>
          <w:tcPr>
            <w:tcW w:w="732" w:type="pct"/>
            <w:vMerge w:val="continue"/>
            <w:noWrap w:val="0"/>
          </w:tcPr>
          <w:p w14:paraId="1AC015E8">
            <w:pPr>
              <w:rPr>
                <w:rFonts w:hint="eastAsia" w:ascii="宋体" w:hAnsi="宋体" w:eastAsia="宋体" w:cs="宋体"/>
                <w:highlight w:val="none"/>
              </w:rPr>
            </w:pPr>
          </w:p>
        </w:tc>
        <w:tc>
          <w:tcPr>
            <w:tcW w:w="1052" w:type="pct"/>
            <w:noWrap w:val="0"/>
            <w:vAlign w:val="center"/>
          </w:tcPr>
          <w:p w14:paraId="28389124">
            <w:pPr>
              <w:rPr>
                <w:rFonts w:hint="eastAsia" w:ascii="宋体" w:hAnsi="宋体" w:eastAsia="宋体" w:cs="宋体"/>
                <w:highlight w:val="none"/>
              </w:rPr>
            </w:pPr>
            <w:r>
              <w:rPr>
                <w:rFonts w:hint="eastAsia" w:ascii="宋体" w:hAnsi="宋体" w:eastAsia="宋体" w:cs="宋体"/>
                <w:highlight w:val="none"/>
              </w:rPr>
              <w:t>按时间段查询</w:t>
            </w:r>
          </w:p>
        </w:tc>
        <w:tc>
          <w:tcPr>
            <w:tcW w:w="2309" w:type="pct"/>
            <w:noWrap w:val="0"/>
            <w:vAlign w:val="center"/>
          </w:tcPr>
          <w:p w14:paraId="357D6210">
            <w:pPr>
              <w:rPr>
                <w:rFonts w:hint="eastAsia" w:ascii="宋体" w:hAnsi="宋体" w:eastAsia="宋体" w:cs="宋体"/>
                <w:highlight w:val="none"/>
              </w:rPr>
            </w:pPr>
            <w:r>
              <w:rPr>
                <w:rFonts w:hint="eastAsia" w:ascii="宋体" w:hAnsi="宋体" w:eastAsia="宋体" w:cs="宋体"/>
                <w:highlight w:val="none"/>
              </w:rPr>
              <w:t>选择时间段范围查询统计数据。</w:t>
            </w:r>
          </w:p>
        </w:tc>
      </w:tr>
      <w:tr w14:paraId="04FE8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0"/>
            <w:vAlign w:val="center"/>
          </w:tcPr>
          <w:p w14:paraId="64256A06">
            <w:pPr>
              <w:rPr>
                <w:rFonts w:hint="eastAsia" w:ascii="宋体" w:hAnsi="宋体" w:eastAsia="宋体" w:cs="宋体"/>
                <w:highlight w:val="none"/>
              </w:rPr>
            </w:pPr>
          </w:p>
        </w:tc>
        <w:tc>
          <w:tcPr>
            <w:tcW w:w="500" w:type="pct"/>
            <w:vMerge w:val="continue"/>
            <w:noWrap w:val="0"/>
            <w:vAlign w:val="center"/>
          </w:tcPr>
          <w:p w14:paraId="26638BD3">
            <w:pPr>
              <w:rPr>
                <w:rFonts w:hint="eastAsia" w:ascii="宋体" w:hAnsi="宋体" w:eastAsia="宋体" w:cs="宋体"/>
                <w:highlight w:val="none"/>
              </w:rPr>
            </w:pPr>
          </w:p>
        </w:tc>
        <w:tc>
          <w:tcPr>
            <w:tcW w:w="732" w:type="pct"/>
            <w:noWrap w:val="0"/>
            <w:vAlign w:val="center"/>
          </w:tcPr>
          <w:p w14:paraId="3ACD89EB">
            <w:pPr>
              <w:rPr>
                <w:rFonts w:hint="eastAsia" w:ascii="宋体" w:hAnsi="宋体" w:eastAsia="宋体" w:cs="宋体"/>
                <w:highlight w:val="none"/>
              </w:rPr>
            </w:pPr>
            <w:r>
              <w:rPr>
                <w:rFonts w:hint="eastAsia" w:ascii="宋体" w:hAnsi="宋体" w:eastAsia="宋体" w:cs="宋体"/>
                <w:highlight w:val="none"/>
              </w:rPr>
              <w:t>异常统计</w:t>
            </w:r>
          </w:p>
        </w:tc>
        <w:tc>
          <w:tcPr>
            <w:tcW w:w="1052" w:type="pct"/>
            <w:noWrap w:val="0"/>
            <w:vAlign w:val="center"/>
          </w:tcPr>
          <w:p w14:paraId="4968DC6B">
            <w:pPr>
              <w:rPr>
                <w:rFonts w:hint="eastAsia" w:ascii="宋体" w:hAnsi="宋体" w:eastAsia="宋体" w:cs="宋体"/>
                <w:highlight w:val="none"/>
              </w:rPr>
            </w:pPr>
            <w:r>
              <w:rPr>
                <w:rFonts w:hint="eastAsia" w:ascii="宋体" w:hAnsi="宋体" w:eastAsia="宋体" w:cs="宋体"/>
                <w:highlight w:val="none"/>
              </w:rPr>
              <w:t>异常统计</w:t>
            </w:r>
          </w:p>
        </w:tc>
        <w:tc>
          <w:tcPr>
            <w:tcW w:w="2309" w:type="pct"/>
            <w:noWrap w:val="0"/>
            <w:vAlign w:val="center"/>
          </w:tcPr>
          <w:p w14:paraId="02F8BD52">
            <w:pPr>
              <w:rPr>
                <w:rFonts w:hint="eastAsia" w:ascii="宋体" w:hAnsi="宋体" w:eastAsia="宋体" w:cs="宋体"/>
                <w:highlight w:val="none"/>
              </w:rPr>
            </w:pPr>
            <w:r>
              <w:rPr>
                <w:rFonts w:hint="eastAsia" w:ascii="宋体" w:hAnsi="宋体" w:eastAsia="宋体" w:cs="宋体"/>
                <w:highlight w:val="none"/>
              </w:rPr>
              <w:t>异常情况数量可视化图表汇总统计，包括设备离线、税控离线、异常超差、税控变更、编码器变更。</w:t>
            </w:r>
          </w:p>
        </w:tc>
      </w:tr>
      <w:tr w14:paraId="6D1FB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0"/>
            <w:vAlign w:val="center"/>
          </w:tcPr>
          <w:p w14:paraId="598BE239">
            <w:pPr>
              <w:rPr>
                <w:rFonts w:hint="eastAsia" w:ascii="宋体" w:hAnsi="宋体" w:eastAsia="宋体" w:cs="宋体"/>
                <w:highlight w:val="none"/>
              </w:rPr>
            </w:pPr>
          </w:p>
        </w:tc>
        <w:tc>
          <w:tcPr>
            <w:tcW w:w="500" w:type="pct"/>
            <w:vMerge w:val="continue"/>
            <w:noWrap w:val="0"/>
            <w:vAlign w:val="center"/>
          </w:tcPr>
          <w:p w14:paraId="712DE0D4">
            <w:pPr>
              <w:rPr>
                <w:rFonts w:hint="eastAsia" w:ascii="宋体" w:hAnsi="宋体" w:eastAsia="宋体" w:cs="宋体"/>
                <w:highlight w:val="none"/>
              </w:rPr>
            </w:pPr>
          </w:p>
        </w:tc>
        <w:tc>
          <w:tcPr>
            <w:tcW w:w="732" w:type="pct"/>
            <w:noWrap w:val="0"/>
            <w:vAlign w:val="center"/>
          </w:tcPr>
          <w:p w14:paraId="0BEED9E8">
            <w:pPr>
              <w:rPr>
                <w:rFonts w:hint="eastAsia" w:ascii="宋体" w:hAnsi="宋体" w:eastAsia="宋体" w:cs="宋体"/>
                <w:highlight w:val="none"/>
              </w:rPr>
            </w:pPr>
            <w:r>
              <w:rPr>
                <w:rFonts w:hint="eastAsia" w:ascii="宋体" w:hAnsi="宋体" w:eastAsia="宋体" w:cs="宋体"/>
                <w:highlight w:val="none"/>
              </w:rPr>
              <w:t>月销售统计</w:t>
            </w:r>
          </w:p>
        </w:tc>
        <w:tc>
          <w:tcPr>
            <w:tcW w:w="1052" w:type="pct"/>
            <w:noWrap w:val="0"/>
            <w:vAlign w:val="center"/>
          </w:tcPr>
          <w:p w14:paraId="0C163A2C">
            <w:pPr>
              <w:rPr>
                <w:rFonts w:hint="eastAsia" w:ascii="宋体" w:hAnsi="宋体" w:eastAsia="宋体" w:cs="宋体"/>
                <w:highlight w:val="none"/>
              </w:rPr>
            </w:pPr>
            <w:r>
              <w:rPr>
                <w:rFonts w:hint="eastAsia" w:ascii="宋体" w:hAnsi="宋体" w:eastAsia="宋体" w:cs="宋体"/>
                <w:highlight w:val="none"/>
              </w:rPr>
              <w:t>月销售统计</w:t>
            </w:r>
          </w:p>
        </w:tc>
        <w:tc>
          <w:tcPr>
            <w:tcW w:w="2309" w:type="pct"/>
            <w:noWrap w:val="0"/>
            <w:vAlign w:val="center"/>
          </w:tcPr>
          <w:p w14:paraId="6D64117E">
            <w:pPr>
              <w:rPr>
                <w:rFonts w:hint="eastAsia" w:ascii="宋体" w:hAnsi="宋体" w:eastAsia="宋体" w:cs="宋体"/>
                <w:highlight w:val="none"/>
              </w:rPr>
            </w:pPr>
            <w:r>
              <w:rPr>
                <w:rFonts w:hint="eastAsia" w:ascii="宋体" w:hAnsi="宋体" w:eastAsia="宋体" w:cs="宋体"/>
                <w:highlight w:val="none"/>
              </w:rPr>
              <w:t>可按年份、按区域、按油品统计加油站月销售金额和油量。</w:t>
            </w:r>
          </w:p>
        </w:tc>
      </w:tr>
      <w:tr w14:paraId="1CC00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0"/>
            <w:vAlign w:val="center"/>
          </w:tcPr>
          <w:p w14:paraId="04C6459B">
            <w:pPr>
              <w:rPr>
                <w:rFonts w:hint="eastAsia" w:ascii="宋体" w:hAnsi="宋体" w:eastAsia="宋体" w:cs="宋体"/>
                <w:highlight w:val="none"/>
              </w:rPr>
            </w:pPr>
          </w:p>
        </w:tc>
        <w:tc>
          <w:tcPr>
            <w:tcW w:w="500" w:type="pct"/>
            <w:vMerge w:val="continue"/>
            <w:noWrap w:val="0"/>
            <w:vAlign w:val="center"/>
          </w:tcPr>
          <w:p w14:paraId="45143B01">
            <w:pPr>
              <w:rPr>
                <w:rFonts w:hint="eastAsia" w:ascii="宋体" w:hAnsi="宋体" w:eastAsia="宋体" w:cs="宋体"/>
                <w:highlight w:val="none"/>
              </w:rPr>
            </w:pPr>
          </w:p>
        </w:tc>
        <w:tc>
          <w:tcPr>
            <w:tcW w:w="732" w:type="pct"/>
            <w:noWrap w:val="0"/>
            <w:vAlign w:val="center"/>
          </w:tcPr>
          <w:p w14:paraId="7EE24157">
            <w:pPr>
              <w:rPr>
                <w:rFonts w:hint="eastAsia" w:ascii="宋体" w:hAnsi="宋体" w:eastAsia="宋体" w:cs="宋体"/>
                <w:highlight w:val="none"/>
              </w:rPr>
            </w:pPr>
            <w:r>
              <w:rPr>
                <w:rFonts w:hint="eastAsia" w:ascii="宋体" w:hAnsi="宋体" w:eastAsia="宋体" w:cs="宋体"/>
                <w:highlight w:val="none"/>
              </w:rPr>
              <w:t>购销趋势</w:t>
            </w:r>
          </w:p>
        </w:tc>
        <w:tc>
          <w:tcPr>
            <w:tcW w:w="1052" w:type="pct"/>
            <w:noWrap w:val="0"/>
            <w:vAlign w:val="center"/>
          </w:tcPr>
          <w:p w14:paraId="0891FC60">
            <w:pPr>
              <w:rPr>
                <w:rFonts w:hint="eastAsia" w:ascii="宋体" w:hAnsi="宋体" w:eastAsia="宋体" w:cs="宋体"/>
                <w:highlight w:val="none"/>
              </w:rPr>
            </w:pPr>
            <w:r>
              <w:rPr>
                <w:rFonts w:hint="eastAsia" w:ascii="宋体" w:hAnsi="宋体" w:eastAsia="宋体" w:cs="宋体"/>
                <w:highlight w:val="none"/>
              </w:rPr>
              <w:t>购销趋势</w:t>
            </w:r>
          </w:p>
        </w:tc>
        <w:tc>
          <w:tcPr>
            <w:tcW w:w="2309" w:type="pct"/>
            <w:noWrap w:val="0"/>
            <w:vAlign w:val="center"/>
          </w:tcPr>
          <w:p w14:paraId="3B7A0E5A">
            <w:pPr>
              <w:rPr>
                <w:rFonts w:hint="eastAsia" w:ascii="宋体" w:hAnsi="宋体" w:eastAsia="宋体" w:cs="宋体"/>
                <w:highlight w:val="none"/>
              </w:rPr>
            </w:pPr>
            <w:r>
              <w:rPr>
                <w:rFonts w:hint="eastAsia" w:ascii="宋体" w:hAnsi="宋体" w:eastAsia="宋体" w:cs="宋体"/>
                <w:highlight w:val="none"/>
              </w:rPr>
              <w:t>按照不同月份进行辖区内油站的购销趋势（购进量和销售量）可视化图表统计分析。支持按不同类型油站分布统计。</w:t>
            </w:r>
          </w:p>
        </w:tc>
      </w:tr>
      <w:tr w14:paraId="3BB65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0"/>
            <w:vAlign w:val="center"/>
          </w:tcPr>
          <w:p w14:paraId="0CF3403F">
            <w:pPr>
              <w:rPr>
                <w:rFonts w:hint="eastAsia" w:ascii="宋体" w:hAnsi="宋体" w:eastAsia="宋体" w:cs="宋体"/>
                <w:highlight w:val="none"/>
              </w:rPr>
            </w:pPr>
          </w:p>
        </w:tc>
        <w:tc>
          <w:tcPr>
            <w:tcW w:w="500" w:type="pct"/>
            <w:vMerge w:val="continue"/>
            <w:noWrap w:val="0"/>
            <w:vAlign w:val="center"/>
          </w:tcPr>
          <w:p w14:paraId="77514E0C">
            <w:pPr>
              <w:rPr>
                <w:rFonts w:hint="eastAsia" w:ascii="宋体" w:hAnsi="宋体" w:eastAsia="宋体" w:cs="宋体"/>
                <w:highlight w:val="none"/>
              </w:rPr>
            </w:pPr>
          </w:p>
        </w:tc>
        <w:tc>
          <w:tcPr>
            <w:tcW w:w="732" w:type="pct"/>
            <w:vMerge w:val="restart"/>
            <w:noWrap w:val="0"/>
            <w:vAlign w:val="center"/>
          </w:tcPr>
          <w:p w14:paraId="616D9D57">
            <w:pPr>
              <w:rPr>
                <w:rFonts w:hint="eastAsia" w:ascii="宋体" w:hAnsi="宋体" w:eastAsia="宋体" w:cs="宋体"/>
                <w:highlight w:val="none"/>
              </w:rPr>
            </w:pPr>
            <w:r>
              <w:rPr>
                <w:rFonts w:hint="eastAsia" w:ascii="宋体" w:hAnsi="宋体" w:eastAsia="宋体" w:cs="宋体"/>
                <w:highlight w:val="none"/>
              </w:rPr>
              <w:t>实时数据统计</w:t>
            </w:r>
          </w:p>
        </w:tc>
        <w:tc>
          <w:tcPr>
            <w:tcW w:w="1052" w:type="pct"/>
            <w:noWrap w:val="0"/>
            <w:vAlign w:val="center"/>
          </w:tcPr>
          <w:p w14:paraId="471364A4">
            <w:pPr>
              <w:rPr>
                <w:rFonts w:hint="eastAsia" w:ascii="宋体" w:hAnsi="宋体" w:eastAsia="宋体" w:cs="宋体"/>
                <w:highlight w:val="none"/>
              </w:rPr>
            </w:pPr>
            <w:r>
              <w:rPr>
                <w:rFonts w:hint="eastAsia" w:ascii="宋体" w:hAnsi="宋体" w:eastAsia="宋体" w:cs="宋体"/>
                <w:highlight w:val="none"/>
              </w:rPr>
              <w:t>加油次数统计</w:t>
            </w:r>
          </w:p>
        </w:tc>
        <w:tc>
          <w:tcPr>
            <w:tcW w:w="2309" w:type="pct"/>
            <w:noWrap w:val="0"/>
            <w:vAlign w:val="center"/>
          </w:tcPr>
          <w:p w14:paraId="37E4186F">
            <w:pPr>
              <w:rPr>
                <w:rFonts w:hint="eastAsia" w:ascii="宋体" w:hAnsi="宋体" w:eastAsia="宋体" w:cs="宋体"/>
                <w:highlight w:val="none"/>
              </w:rPr>
            </w:pPr>
            <w:r>
              <w:rPr>
                <w:rFonts w:hint="eastAsia" w:ascii="宋体" w:hAnsi="宋体" w:eastAsia="宋体" w:cs="宋体"/>
                <w:highlight w:val="none"/>
              </w:rPr>
              <w:t>辖区内加油站今日、本月、本年加油次数实时统计，滚动更新。</w:t>
            </w:r>
          </w:p>
        </w:tc>
      </w:tr>
      <w:tr w14:paraId="61772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0"/>
            <w:vAlign w:val="center"/>
          </w:tcPr>
          <w:p w14:paraId="544F9317">
            <w:pPr>
              <w:rPr>
                <w:rFonts w:hint="eastAsia" w:ascii="宋体" w:hAnsi="宋体" w:eastAsia="宋体" w:cs="宋体"/>
                <w:highlight w:val="none"/>
              </w:rPr>
            </w:pPr>
          </w:p>
        </w:tc>
        <w:tc>
          <w:tcPr>
            <w:tcW w:w="500" w:type="pct"/>
            <w:vMerge w:val="continue"/>
            <w:noWrap w:val="0"/>
            <w:vAlign w:val="center"/>
          </w:tcPr>
          <w:p w14:paraId="5287E802">
            <w:pPr>
              <w:rPr>
                <w:rFonts w:hint="eastAsia" w:ascii="宋体" w:hAnsi="宋体" w:eastAsia="宋体" w:cs="宋体"/>
                <w:highlight w:val="none"/>
              </w:rPr>
            </w:pPr>
          </w:p>
        </w:tc>
        <w:tc>
          <w:tcPr>
            <w:tcW w:w="732" w:type="pct"/>
            <w:vMerge w:val="continue"/>
            <w:noWrap w:val="0"/>
          </w:tcPr>
          <w:p w14:paraId="0A901920">
            <w:pPr>
              <w:rPr>
                <w:rFonts w:hint="eastAsia" w:ascii="宋体" w:hAnsi="宋体" w:eastAsia="宋体" w:cs="宋体"/>
                <w:highlight w:val="none"/>
              </w:rPr>
            </w:pPr>
          </w:p>
        </w:tc>
        <w:tc>
          <w:tcPr>
            <w:tcW w:w="1052" w:type="pct"/>
            <w:noWrap w:val="0"/>
            <w:vAlign w:val="center"/>
          </w:tcPr>
          <w:p w14:paraId="68F2D438">
            <w:pPr>
              <w:rPr>
                <w:rFonts w:hint="eastAsia" w:ascii="宋体" w:hAnsi="宋体" w:eastAsia="宋体" w:cs="宋体"/>
                <w:highlight w:val="none"/>
              </w:rPr>
            </w:pPr>
            <w:r>
              <w:rPr>
                <w:rFonts w:hint="eastAsia" w:ascii="宋体" w:hAnsi="宋体" w:eastAsia="宋体" w:cs="宋体"/>
                <w:highlight w:val="none"/>
              </w:rPr>
              <w:t>销售金额统计</w:t>
            </w:r>
          </w:p>
        </w:tc>
        <w:tc>
          <w:tcPr>
            <w:tcW w:w="2309" w:type="pct"/>
            <w:noWrap w:val="0"/>
            <w:vAlign w:val="center"/>
          </w:tcPr>
          <w:p w14:paraId="2FEAF2BA">
            <w:pPr>
              <w:rPr>
                <w:rFonts w:hint="eastAsia" w:ascii="宋体" w:hAnsi="宋体" w:eastAsia="宋体" w:cs="宋体"/>
                <w:highlight w:val="none"/>
              </w:rPr>
            </w:pPr>
            <w:r>
              <w:rPr>
                <w:rFonts w:hint="eastAsia" w:ascii="宋体" w:hAnsi="宋体" w:eastAsia="宋体" w:cs="宋体"/>
                <w:highlight w:val="none"/>
              </w:rPr>
              <w:t>辖区内加油站今日、本月、本年销售金额实时统计，滚动更新。</w:t>
            </w:r>
          </w:p>
        </w:tc>
      </w:tr>
      <w:tr w14:paraId="0D44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0"/>
            <w:vAlign w:val="center"/>
          </w:tcPr>
          <w:p w14:paraId="08C7C769">
            <w:pPr>
              <w:rPr>
                <w:rFonts w:hint="eastAsia" w:ascii="宋体" w:hAnsi="宋体" w:eastAsia="宋体" w:cs="宋体"/>
                <w:highlight w:val="none"/>
              </w:rPr>
            </w:pPr>
          </w:p>
        </w:tc>
        <w:tc>
          <w:tcPr>
            <w:tcW w:w="500" w:type="pct"/>
            <w:vMerge w:val="continue"/>
            <w:noWrap w:val="0"/>
            <w:vAlign w:val="center"/>
          </w:tcPr>
          <w:p w14:paraId="5FAD352C">
            <w:pPr>
              <w:rPr>
                <w:rFonts w:hint="eastAsia" w:ascii="宋体" w:hAnsi="宋体" w:eastAsia="宋体" w:cs="宋体"/>
                <w:highlight w:val="none"/>
              </w:rPr>
            </w:pPr>
          </w:p>
        </w:tc>
        <w:tc>
          <w:tcPr>
            <w:tcW w:w="732" w:type="pct"/>
            <w:vMerge w:val="continue"/>
            <w:noWrap w:val="0"/>
          </w:tcPr>
          <w:p w14:paraId="66546DB2">
            <w:pPr>
              <w:rPr>
                <w:rFonts w:hint="eastAsia" w:ascii="宋体" w:hAnsi="宋体" w:eastAsia="宋体" w:cs="宋体"/>
                <w:highlight w:val="none"/>
              </w:rPr>
            </w:pPr>
          </w:p>
        </w:tc>
        <w:tc>
          <w:tcPr>
            <w:tcW w:w="1052" w:type="pct"/>
            <w:noWrap w:val="0"/>
            <w:vAlign w:val="center"/>
          </w:tcPr>
          <w:p w14:paraId="3191B54C">
            <w:pPr>
              <w:rPr>
                <w:rFonts w:hint="eastAsia" w:ascii="宋体" w:hAnsi="宋体" w:eastAsia="宋体" w:cs="宋体"/>
                <w:highlight w:val="none"/>
              </w:rPr>
            </w:pPr>
            <w:r>
              <w:rPr>
                <w:rFonts w:hint="eastAsia" w:ascii="宋体" w:hAnsi="宋体" w:eastAsia="宋体" w:cs="宋体"/>
                <w:highlight w:val="none"/>
              </w:rPr>
              <w:t>销售量统计</w:t>
            </w:r>
          </w:p>
        </w:tc>
        <w:tc>
          <w:tcPr>
            <w:tcW w:w="2309" w:type="pct"/>
            <w:noWrap w:val="0"/>
            <w:vAlign w:val="center"/>
          </w:tcPr>
          <w:p w14:paraId="12153100">
            <w:pPr>
              <w:rPr>
                <w:rFonts w:hint="eastAsia" w:ascii="宋体" w:hAnsi="宋体" w:eastAsia="宋体" w:cs="宋体"/>
                <w:highlight w:val="none"/>
              </w:rPr>
            </w:pPr>
            <w:r>
              <w:rPr>
                <w:rFonts w:hint="eastAsia" w:ascii="宋体" w:hAnsi="宋体" w:eastAsia="宋体" w:cs="宋体"/>
                <w:highlight w:val="none"/>
              </w:rPr>
              <w:t>辖区内加油站今日、本月、本年销售量实时统计，滚动更新。</w:t>
            </w:r>
          </w:p>
        </w:tc>
      </w:tr>
      <w:tr w14:paraId="49949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0"/>
            <w:vAlign w:val="center"/>
          </w:tcPr>
          <w:p w14:paraId="06A8F42B">
            <w:pPr>
              <w:rPr>
                <w:rFonts w:hint="eastAsia" w:ascii="宋体" w:hAnsi="宋体" w:eastAsia="宋体" w:cs="宋体"/>
                <w:highlight w:val="none"/>
              </w:rPr>
            </w:pPr>
          </w:p>
        </w:tc>
        <w:tc>
          <w:tcPr>
            <w:tcW w:w="500" w:type="pct"/>
            <w:vMerge w:val="continue"/>
            <w:noWrap w:val="0"/>
            <w:vAlign w:val="center"/>
          </w:tcPr>
          <w:p w14:paraId="0A5E366D">
            <w:pPr>
              <w:rPr>
                <w:rFonts w:hint="eastAsia" w:ascii="宋体" w:hAnsi="宋体" w:eastAsia="宋体" w:cs="宋体"/>
                <w:highlight w:val="none"/>
              </w:rPr>
            </w:pPr>
          </w:p>
        </w:tc>
        <w:tc>
          <w:tcPr>
            <w:tcW w:w="732" w:type="pct"/>
            <w:vMerge w:val="continue"/>
            <w:noWrap w:val="0"/>
          </w:tcPr>
          <w:p w14:paraId="217E0C19">
            <w:pPr>
              <w:rPr>
                <w:rFonts w:hint="eastAsia" w:ascii="宋体" w:hAnsi="宋体" w:eastAsia="宋体" w:cs="宋体"/>
                <w:highlight w:val="none"/>
              </w:rPr>
            </w:pPr>
          </w:p>
        </w:tc>
        <w:tc>
          <w:tcPr>
            <w:tcW w:w="1052" w:type="pct"/>
            <w:noWrap w:val="0"/>
            <w:vAlign w:val="center"/>
          </w:tcPr>
          <w:p w14:paraId="7C5C2801">
            <w:pPr>
              <w:rPr>
                <w:rFonts w:hint="eastAsia" w:ascii="宋体" w:hAnsi="宋体" w:eastAsia="宋体" w:cs="宋体"/>
                <w:highlight w:val="none"/>
              </w:rPr>
            </w:pPr>
            <w:r>
              <w:rPr>
                <w:rFonts w:hint="eastAsia" w:ascii="宋体" w:hAnsi="宋体" w:eastAsia="宋体" w:cs="宋体"/>
                <w:highlight w:val="none"/>
              </w:rPr>
              <w:t>购进量统计</w:t>
            </w:r>
          </w:p>
        </w:tc>
        <w:tc>
          <w:tcPr>
            <w:tcW w:w="2309" w:type="pct"/>
            <w:noWrap w:val="0"/>
            <w:vAlign w:val="center"/>
          </w:tcPr>
          <w:p w14:paraId="218FFE7A">
            <w:pPr>
              <w:rPr>
                <w:rFonts w:hint="eastAsia" w:ascii="宋体" w:hAnsi="宋体" w:eastAsia="宋体" w:cs="宋体"/>
                <w:highlight w:val="none"/>
              </w:rPr>
            </w:pPr>
            <w:r>
              <w:rPr>
                <w:rFonts w:hint="eastAsia" w:ascii="宋体" w:hAnsi="宋体" w:eastAsia="宋体" w:cs="宋体"/>
                <w:highlight w:val="none"/>
              </w:rPr>
              <w:t>辖区内加油站今日、本月、本年购进量实时统计，滚动更新。</w:t>
            </w:r>
          </w:p>
        </w:tc>
      </w:tr>
      <w:tr w14:paraId="65903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0"/>
            <w:vAlign w:val="center"/>
          </w:tcPr>
          <w:p w14:paraId="1EDFAC34">
            <w:pPr>
              <w:rPr>
                <w:rFonts w:hint="eastAsia" w:ascii="宋体" w:hAnsi="宋体" w:eastAsia="宋体" w:cs="宋体"/>
                <w:highlight w:val="none"/>
              </w:rPr>
            </w:pPr>
          </w:p>
        </w:tc>
        <w:tc>
          <w:tcPr>
            <w:tcW w:w="500" w:type="pct"/>
            <w:vMerge w:val="continue"/>
            <w:noWrap w:val="0"/>
            <w:vAlign w:val="center"/>
          </w:tcPr>
          <w:p w14:paraId="01AEFE0D">
            <w:pPr>
              <w:rPr>
                <w:rFonts w:hint="eastAsia" w:ascii="宋体" w:hAnsi="宋体" w:eastAsia="宋体" w:cs="宋体"/>
                <w:highlight w:val="none"/>
              </w:rPr>
            </w:pPr>
          </w:p>
        </w:tc>
        <w:tc>
          <w:tcPr>
            <w:tcW w:w="732" w:type="pct"/>
            <w:vMerge w:val="continue"/>
            <w:noWrap w:val="0"/>
          </w:tcPr>
          <w:p w14:paraId="5E1BF0B6">
            <w:pPr>
              <w:rPr>
                <w:rFonts w:hint="eastAsia" w:ascii="宋体" w:hAnsi="宋体" w:eastAsia="宋体" w:cs="宋体"/>
                <w:highlight w:val="none"/>
              </w:rPr>
            </w:pPr>
          </w:p>
        </w:tc>
        <w:tc>
          <w:tcPr>
            <w:tcW w:w="1052" w:type="pct"/>
            <w:noWrap w:val="0"/>
            <w:vAlign w:val="center"/>
          </w:tcPr>
          <w:p w14:paraId="507CB961">
            <w:pPr>
              <w:rPr>
                <w:rFonts w:hint="eastAsia" w:ascii="宋体" w:hAnsi="宋体" w:eastAsia="宋体" w:cs="宋体"/>
                <w:highlight w:val="none"/>
              </w:rPr>
            </w:pPr>
            <w:r>
              <w:rPr>
                <w:rFonts w:hint="eastAsia" w:ascii="宋体" w:hAnsi="宋体" w:eastAsia="宋体" w:cs="宋体"/>
                <w:highlight w:val="none"/>
              </w:rPr>
              <w:t>最新实时订单</w:t>
            </w:r>
          </w:p>
        </w:tc>
        <w:tc>
          <w:tcPr>
            <w:tcW w:w="2309" w:type="pct"/>
            <w:noWrap w:val="0"/>
            <w:vAlign w:val="center"/>
          </w:tcPr>
          <w:p w14:paraId="3F71022E">
            <w:pPr>
              <w:rPr>
                <w:rFonts w:hint="eastAsia" w:ascii="宋体" w:hAnsi="宋体" w:eastAsia="宋体" w:cs="宋体"/>
                <w:highlight w:val="none"/>
              </w:rPr>
            </w:pPr>
            <w:r>
              <w:rPr>
                <w:rFonts w:hint="eastAsia" w:ascii="宋体" w:hAnsi="宋体" w:eastAsia="宋体" w:cs="宋体"/>
                <w:highlight w:val="none"/>
              </w:rPr>
              <w:t>辖区内加油站最近10笔加油明细数据，自动更新显示。</w:t>
            </w:r>
          </w:p>
        </w:tc>
      </w:tr>
      <w:tr w14:paraId="4FFD7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0"/>
            <w:vAlign w:val="center"/>
          </w:tcPr>
          <w:p w14:paraId="2C23CEE7">
            <w:pPr>
              <w:rPr>
                <w:rFonts w:hint="eastAsia" w:ascii="宋体" w:hAnsi="宋体" w:eastAsia="宋体" w:cs="宋体"/>
                <w:highlight w:val="none"/>
              </w:rPr>
            </w:pPr>
          </w:p>
        </w:tc>
        <w:tc>
          <w:tcPr>
            <w:tcW w:w="500" w:type="pct"/>
            <w:vMerge w:val="continue"/>
            <w:noWrap w:val="0"/>
            <w:vAlign w:val="center"/>
          </w:tcPr>
          <w:p w14:paraId="2E81F915">
            <w:pPr>
              <w:rPr>
                <w:rFonts w:hint="eastAsia" w:ascii="宋体" w:hAnsi="宋体" w:eastAsia="宋体" w:cs="宋体"/>
                <w:highlight w:val="none"/>
              </w:rPr>
            </w:pPr>
          </w:p>
        </w:tc>
        <w:tc>
          <w:tcPr>
            <w:tcW w:w="732" w:type="pct"/>
            <w:noWrap w:val="0"/>
            <w:vAlign w:val="center"/>
          </w:tcPr>
          <w:p w14:paraId="6E888620">
            <w:pPr>
              <w:rPr>
                <w:rFonts w:hint="eastAsia" w:ascii="宋体" w:hAnsi="宋体" w:eastAsia="宋体" w:cs="宋体"/>
                <w:highlight w:val="none"/>
              </w:rPr>
            </w:pPr>
            <w:r>
              <w:rPr>
                <w:rFonts w:hint="eastAsia" w:ascii="宋体" w:hAnsi="宋体" w:eastAsia="宋体" w:cs="宋体"/>
                <w:highlight w:val="none"/>
              </w:rPr>
              <w:t>油品单价变化趋势</w:t>
            </w:r>
          </w:p>
        </w:tc>
        <w:tc>
          <w:tcPr>
            <w:tcW w:w="1052" w:type="pct"/>
            <w:noWrap w:val="0"/>
            <w:vAlign w:val="center"/>
          </w:tcPr>
          <w:p w14:paraId="5C3A16D2">
            <w:pPr>
              <w:rPr>
                <w:rFonts w:hint="eastAsia" w:ascii="宋体" w:hAnsi="宋体" w:eastAsia="宋体" w:cs="宋体"/>
                <w:highlight w:val="none"/>
              </w:rPr>
            </w:pPr>
            <w:r>
              <w:rPr>
                <w:rFonts w:hint="eastAsia" w:ascii="宋体" w:hAnsi="宋体" w:eastAsia="宋体" w:cs="宋体"/>
                <w:highlight w:val="none"/>
              </w:rPr>
              <w:t>油品单价变化趋势</w:t>
            </w:r>
          </w:p>
        </w:tc>
        <w:tc>
          <w:tcPr>
            <w:tcW w:w="2309" w:type="pct"/>
            <w:noWrap w:val="0"/>
            <w:vAlign w:val="center"/>
          </w:tcPr>
          <w:p w14:paraId="5D8854FF">
            <w:pPr>
              <w:rPr>
                <w:rFonts w:hint="eastAsia" w:ascii="宋体" w:hAnsi="宋体" w:eastAsia="宋体" w:cs="宋体"/>
                <w:highlight w:val="none"/>
              </w:rPr>
            </w:pPr>
            <w:r>
              <w:rPr>
                <w:rFonts w:hint="eastAsia" w:ascii="宋体" w:hAnsi="宋体" w:eastAsia="宋体" w:cs="宋体"/>
                <w:highlight w:val="none"/>
              </w:rPr>
              <w:t>按照不同月份、不同油品计算平均单价，并进行单价变化趋势可视化图表分析。</w:t>
            </w:r>
          </w:p>
        </w:tc>
      </w:tr>
      <w:tr w14:paraId="52C2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0"/>
            <w:vAlign w:val="center"/>
          </w:tcPr>
          <w:p w14:paraId="2FFF476D">
            <w:pPr>
              <w:rPr>
                <w:rFonts w:hint="eastAsia" w:ascii="宋体" w:hAnsi="宋体" w:eastAsia="宋体" w:cs="宋体"/>
                <w:highlight w:val="none"/>
              </w:rPr>
            </w:pPr>
          </w:p>
        </w:tc>
        <w:tc>
          <w:tcPr>
            <w:tcW w:w="500" w:type="pct"/>
            <w:vMerge w:val="continue"/>
            <w:noWrap w:val="0"/>
            <w:vAlign w:val="center"/>
          </w:tcPr>
          <w:p w14:paraId="59364FC8">
            <w:pPr>
              <w:rPr>
                <w:rFonts w:hint="eastAsia" w:ascii="宋体" w:hAnsi="宋体" w:eastAsia="宋体" w:cs="宋体"/>
                <w:highlight w:val="none"/>
              </w:rPr>
            </w:pPr>
          </w:p>
        </w:tc>
        <w:tc>
          <w:tcPr>
            <w:tcW w:w="732" w:type="pct"/>
            <w:noWrap w:val="0"/>
            <w:vAlign w:val="center"/>
          </w:tcPr>
          <w:p w14:paraId="310C2AF2">
            <w:pPr>
              <w:rPr>
                <w:rFonts w:hint="eastAsia" w:ascii="宋体" w:hAnsi="宋体" w:eastAsia="宋体" w:cs="宋体"/>
                <w:highlight w:val="none"/>
              </w:rPr>
            </w:pPr>
            <w:r>
              <w:rPr>
                <w:rFonts w:hint="eastAsia" w:ascii="宋体" w:hAnsi="宋体" w:eastAsia="宋体" w:cs="宋体"/>
                <w:highlight w:val="none"/>
              </w:rPr>
              <w:t>油站一户式查询</w:t>
            </w:r>
          </w:p>
        </w:tc>
        <w:tc>
          <w:tcPr>
            <w:tcW w:w="1052" w:type="pct"/>
            <w:noWrap w:val="0"/>
            <w:vAlign w:val="center"/>
          </w:tcPr>
          <w:p w14:paraId="28838A04">
            <w:pPr>
              <w:rPr>
                <w:rFonts w:hint="eastAsia" w:ascii="宋体" w:hAnsi="宋体" w:eastAsia="宋体" w:cs="宋体"/>
                <w:highlight w:val="none"/>
              </w:rPr>
            </w:pPr>
            <w:r>
              <w:rPr>
                <w:rFonts w:hint="eastAsia" w:ascii="宋体" w:hAnsi="宋体" w:eastAsia="宋体" w:cs="宋体"/>
                <w:highlight w:val="none"/>
              </w:rPr>
              <w:t>油站一户式查询</w:t>
            </w:r>
          </w:p>
        </w:tc>
        <w:tc>
          <w:tcPr>
            <w:tcW w:w="2309" w:type="pct"/>
            <w:noWrap w:val="0"/>
            <w:vAlign w:val="center"/>
          </w:tcPr>
          <w:p w14:paraId="1A53FE84">
            <w:pPr>
              <w:rPr>
                <w:rFonts w:hint="eastAsia" w:ascii="宋体" w:hAnsi="宋体" w:eastAsia="宋体" w:cs="宋体"/>
                <w:highlight w:val="none"/>
              </w:rPr>
            </w:pPr>
            <w:r>
              <w:rPr>
                <w:rFonts w:hint="eastAsia" w:ascii="宋体" w:hAnsi="宋体" w:eastAsia="宋体" w:cs="宋体"/>
                <w:highlight w:val="none"/>
              </w:rPr>
              <w:t>▲可根据油站纳税人识别号或加油站名称进行一户式查询，包括目标油站基本信息、油机信息、油枪信息、防作弊状态信息、异常告警信息、加油数据信息、卸油数据信息等。</w:t>
            </w:r>
          </w:p>
          <w:p w14:paraId="51B65EE4">
            <w:pPr>
              <w:rPr>
                <w:rFonts w:hint="eastAsia"/>
              </w:rPr>
            </w:pPr>
            <w:r>
              <w:rPr>
                <w:rFonts w:hint="eastAsia" w:ascii="宋体" w:hAnsi="宋体" w:eastAsia="宋体" w:cs="宋体"/>
                <w:b/>
                <w:bCs/>
                <w:highlight w:val="none"/>
                <w:lang w:val="en-US" w:eastAsia="zh-CN"/>
              </w:rPr>
              <w:t>注：提供省级或省级以上软件评测中心出具的软件产品鉴定报告的原件扫描件。</w:t>
            </w:r>
          </w:p>
        </w:tc>
      </w:tr>
      <w:tr w14:paraId="3C8A9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404" w:type="pct"/>
            <w:vMerge w:val="continue"/>
            <w:noWrap w:val="0"/>
            <w:vAlign w:val="center"/>
          </w:tcPr>
          <w:p w14:paraId="07CFA760">
            <w:pPr>
              <w:rPr>
                <w:rFonts w:hint="eastAsia" w:ascii="宋体" w:hAnsi="宋体" w:eastAsia="宋体" w:cs="宋体"/>
                <w:highlight w:val="none"/>
              </w:rPr>
            </w:pPr>
          </w:p>
        </w:tc>
        <w:tc>
          <w:tcPr>
            <w:tcW w:w="500" w:type="pct"/>
            <w:vMerge w:val="continue"/>
            <w:noWrap w:val="0"/>
            <w:vAlign w:val="center"/>
          </w:tcPr>
          <w:p w14:paraId="0EE3B0F3">
            <w:pPr>
              <w:rPr>
                <w:rFonts w:hint="eastAsia" w:ascii="宋体" w:hAnsi="宋体" w:eastAsia="宋体" w:cs="宋体"/>
                <w:highlight w:val="none"/>
              </w:rPr>
            </w:pPr>
          </w:p>
        </w:tc>
        <w:tc>
          <w:tcPr>
            <w:tcW w:w="732" w:type="pct"/>
            <w:vMerge w:val="restart"/>
            <w:noWrap w:val="0"/>
            <w:vAlign w:val="center"/>
          </w:tcPr>
          <w:p w14:paraId="708D891C">
            <w:pPr>
              <w:rPr>
                <w:rFonts w:hint="eastAsia" w:ascii="宋体" w:hAnsi="宋体" w:eastAsia="宋体" w:cs="宋体"/>
                <w:highlight w:val="none"/>
              </w:rPr>
            </w:pPr>
            <w:r>
              <w:rPr>
                <w:rFonts w:hint="eastAsia" w:ascii="宋体" w:hAnsi="宋体" w:eastAsia="宋体" w:cs="宋体"/>
                <w:highlight w:val="none"/>
              </w:rPr>
              <w:t>预警中心</w:t>
            </w:r>
          </w:p>
        </w:tc>
        <w:tc>
          <w:tcPr>
            <w:tcW w:w="1052" w:type="pct"/>
            <w:noWrap w:val="0"/>
            <w:vAlign w:val="center"/>
          </w:tcPr>
          <w:p w14:paraId="5B1C70C2">
            <w:pPr>
              <w:rPr>
                <w:rFonts w:hint="eastAsia" w:ascii="宋体" w:hAnsi="宋体" w:eastAsia="宋体" w:cs="宋体"/>
                <w:highlight w:val="none"/>
              </w:rPr>
            </w:pPr>
            <w:r>
              <w:rPr>
                <w:rFonts w:hint="eastAsia" w:ascii="宋体" w:hAnsi="宋体" w:eastAsia="宋体" w:cs="宋体"/>
                <w:highlight w:val="none"/>
              </w:rPr>
              <w:t>预警信息汇总</w:t>
            </w:r>
          </w:p>
        </w:tc>
        <w:tc>
          <w:tcPr>
            <w:tcW w:w="2309" w:type="pct"/>
            <w:noWrap w:val="0"/>
            <w:vAlign w:val="center"/>
          </w:tcPr>
          <w:p w14:paraId="60D83459">
            <w:pPr>
              <w:rPr>
                <w:rFonts w:hint="eastAsia" w:ascii="宋体" w:hAnsi="宋体" w:eastAsia="宋体" w:cs="宋体"/>
                <w:highlight w:val="none"/>
              </w:rPr>
            </w:pPr>
            <w:r>
              <w:rPr>
                <w:rFonts w:hint="eastAsia" w:ascii="宋体" w:hAnsi="宋体" w:eastAsia="宋体" w:cs="宋体"/>
                <w:highlight w:val="none"/>
              </w:rPr>
              <w:t>按不同区域汇总预警信息，包括预警发生数量、未恢复数量、已核查数量、待核查数量。可按本年和本月进行汇总。</w:t>
            </w:r>
          </w:p>
        </w:tc>
      </w:tr>
      <w:tr w14:paraId="64780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38E6D625">
            <w:pPr>
              <w:rPr>
                <w:rFonts w:hint="eastAsia" w:ascii="宋体" w:hAnsi="宋体" w:eastAsia="宋体" w:cs="宋体"/>
                <w:highlight w:val="none"/>
              </w:rPr>
            </w:pPr>
          </w:p>
        </w:tc>
        <w:tc>
          <w:tcPr>
            <w:tcW w:w="500" w:type="pct"/>
            <w:vMerge w:val="continue"/>
            <w:noWrap w:val="0"/>
            <w:vAlign w:val="center"/>
          </w:tcPr>
          <w:p w14:paraId="5A7DDBFC">
            <w:pPr>
              <w:rPr>
                <w:rFonts w:hint="eastAsia" w:ascii="宋体" w:hAnsi="宋体" w:eastAsia="宋体" w:cs="宋体"/>
                <w:highlight w:val="none"/>
              </w:rPr>
            </w:pPr>
          </w:p>
        </w:tc>
        <w:tc>
          <w:tcPr>
            <w:tcW w:w="732" w:type="pct"/>
            <w:vMerge w:val="continue"/>
            <w:noWrap w:val="0"/>
          </w:tcPr>
          <w:p w14:paraId="5F0D9CCF">
            <w:pPr>
              <w:rPr>
                <w:rFonts w:hint="eastAsia" w:ascii="宋体" w:hAnsi="宋体" w:eastAsia="宋体" w:cs="宋体"/>
                <w:highlight w:val="none"/>
              </w:rPr>
            </w:pPr>
          </w:p>
        </w:tc>
        <w:tc>
          <w:tcPr>
            <w:tcW w:w="1052" w:type="pct"/>
            <w:noWrap w:val="0"/>
            <w:vAlign w:val="center"/>
          </w:tcPr>
          <w:p w14:paraId="67F89728">
            <w:pPr>
              <w:rPr>
                <w:rFonts w:hint="eastAsia" w:ascii="宋体" w:hAnsi="宋体" w:eastAsia="宋体" w:cs="宋体"/>
                <w:highlight w:val="none"/>
              </w:rPr>
            </w:pPr>
            <w:r>
              <w:rPr>
                <w:rFonts w:hint="eastAsia" w:ascii="宋体" w:hAnsi="宋体" w:eastAsia="宋体" w:cs="宋体"/>
                <w:highlight w:val="none"/>
              </w:rPr>
              <w:t>实时异常信息</w:t>
            </w:r>
          </w:p>
        </w:tc>
        <w:tc>
          <w:tcPr>
            <w:tcW w:w="2309" w:type="pct"/>
            <w:noWrap w:val="0"/>
            <w:vAlign w:val="center"/>
          </w:tcPr>
          <w:p w14:paraId="549ED704">
            <w:pPr>
              <w:rPr>
                <w:rFonts w:hint="eastAsia" w:ascii="宋体" w:hAnsi="宋体" w:eastAsia="宋体" w:cs="宋体"/>
                <w:highlight w:val="none"/>
              </w:rPr>
            </w:pPr>
            <w:r>
              <w:rPr>
                <w:rFonts w:hint="eastAsia" w:ascii="宋体" w:hAnsi="宋体" w:eastAsia="宋体" w:cs="宋体"/>
                <w:highlight w:val="none"/>
              </w:rPr>
              <w:t>滚动显示最近10笔异常预警明细信息。</w:t>
            </w:r>
          </w:p>
        </w:tc>
      </w:tr>
      <w:tr w14:paraId="51993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7789ACF0">
            <w:pPr>
              <w:rPr>
                <w:rFonts w:hint="eastAsia" w:ascii="宋体" w:hAnsi="宋体" w:eastAsia="宋体" w:cs="宋体"/>
                <w:highlight w:val="none"/>
              </w:rPr>
            </w:pPr>
          </w:p>
        </w:tc>
        <w:tc>
          <w:tcPr>
            <w:tcW w:w="500" w:type="pct"/>
            <w:vMerge w:val="continue"/>
            <w:noWrap w:val="0"/>
            <w:vAlign w:val="center"/>
          </w:tcPr>
          <w:p w14:paraId="74D224F0">
            <w:pPr>
              <w:rPr>
                <w:rFonts w:hint="eastAsia" w:ascii="宋体" w:hAnsi="宋体" w:eastAsia="宋体" w:cs="宋体"/>
                <w:highlight w:val="none"/>
              </w:rPr>
            </w:pPr>
          </w:p>
        </w:tc>
        <w:tc>
          <w:tcPr>
            <w:tcW w:w="732" w:type="pct"/>
            <w:noWrap w:val="0"/>
            <w:vAlign w:val="center"/>
          </w:tcPr>
          <w:p w14:paraId="5AA5C4B7">
            <w:pPr>
              <w:rPr>
                <w:rFonts w:hint="eastAsia" w:ascii="宋体" w:hAnsi="宋体" w:eastAsia="宋体" w:cs="宋体"/>
                <w:highlight w:val="none"/>
              </w:rPr>
            </w:pPr>
            <w:r>
              <w:rPr>
                <w:rFonts w:hint="eastAsia" w:ascii="宋体" w:hAnsi="宋体" w:eastAsia="宋体" w:cs="宋体"/>
                <w:highlight w:val="none"/>
              </w:rPr>
              <w:t>进入主页</w:t>
            </w:r>
          </w:p>
        </w:tc>
        <w:tc>
          <w:tcPr>
            <w:tcW w:w="1052" w:type="pct"/>
            <w:noWrap w:val="0"/>
            <w:vAlign w:val="center"/>
          </w:tcPr>
          <w:p w14:paraId="6F37AAC3">
            <w:pPr>
              <w:rPr>
                <w:rFonts w:hint="eastAsia" w:ascii="宋体" w:hAnsi="宋体" w:eastAsia="宋体" w:cs="宋体"/>
                <w:highlight w:val="none"/>
              </w:rPr>
            </w:pPr>
            <w:r>
              <w:rPr>
                <w:rFonts w:hint="eastAsia" w:ascii="宋体" w:hAnsi="宋体" w:eastAsia="宋体" w:cs="宋体"/>
                <w:highlight w:val="none"/>
              </w:rPr>
              <w:t>进入主页</w:t>
            </w:r>
          </w:p>
        </w:tc>
        <w:tc>
          <w:tcPr>
            <w:tcW w:w="2309" w:type="pct"/>
            <w:noWrap w:val="0"/>
            <w:vAlign w:val="center"/>
          </w:tcPr>
          <w:p w14:paraId="725CCDDA">
            <w:pPr>
              <w:rPr>
                <w:rFonts w:hint="eastAsia" w:ascii="宋体" w:hAnsi="宋体" w:eastAsia="宋体" w:cs="宋体"/>
                <w:highlight w:val="none"/>
              </w:rPr>
            </w:pPr>
            <w:r>
              <w:rPr>
                <w:rFonts w:hint="eastAsia" w:ascii="宋体" w:hAnsi="宋体" w:eastAsia="宋体" w:cs="宋体"/>
                <w:highlight w:val="none"/>
              </w:rPr>
              <w:t>可跳转到综合管理平台。</w:t>
            </w:r>
          </w:p>
        </w:tc>
      </w:tr>
      <w:tr w14:paraId="0655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restart"/>
            <w:noWrap w:val="0"/>
            <w:vAlign w:val="center"/>
          </w:tcPr>
          <w:p w14:paraId="55ECBE9D">
            <w:pPr>
              <w:jc w:val="center"/>
              <w:rPr>
                <w:rFonts w:hint="eastAsia" w:ascii="宋体" w:hAnsi="宋体" w:eastAsia="宋体" w:cs="宋体"/>
                <w:highlight w:val="none"/>
              </w:rPr>
            </w:pPr>
            <w:r>
              <w:rPr>
                <w:rFonts w:hint="eastAsia" w:ascii="宋体" w:hAnsi="宋体" w:eastAsia="宋体" w:cs="宋体"/>
                <w:highlight w:val="none"/>
              </w:rPr>
              <w:t>3</w:t>
            </w:r>
          </w:p>
        </w:tc>
        <w:tc>
          <w:tcPr>
            <w:tcW w:w="500" w:type="pct"/>
            <w:vMerge w:val="restart"/>
            <w:noWrap w:val="0"/>
            <w:vAlign w:val="center"/>
          </w:tcPr>
          <w:p w14:paraId="03316D29">
            <w:pPr>
              <w:rPr>
                <w:rFonts w:hint="eastAsia" w:ascii="宋体" w:hAnsi="宋体" w:eastAsia="宋体" w:cs="宋体"/>
                <w:highlight w:val="none"/>
              </w:rPr>
            </w:pPr>
            <w:r>
              <w:rPr>
                <w:rFonts w:hint="eastAsia" w:ascii="宋体" w:hAnsi="宋体" w:eastAsia="宋体" w:cs="宋体"/>
                <w:highlight w:val="none"/>
              </w:rPr>
              <w:t>数据安全</w:t>
            </w:r>
          </w:p>
        </w:tc>
        <w:tc>
          <w:tcPr>
            <w:tcW w:w="732" w:type="pct"/>
            <w:noWrap w:val="0"/>
            <w:vAlign w:val="center"/>
          </w:tcPr>
          <w:p w14:paraId="5CA519A2">
            <w:pPr>
              <w:rPr>
                <w:rFonts w:hint="eastAsia" w:ascii="宋体" w:hAnsi="宋体" w:eastAsia="宋体" w:cs="宋体"/>
                <w:highlight w:val="none"/>
              </w:rPr>
            </w:pPr>
            <w:r>
              <w:rPr>
                <w:rFonts w:hint="eastAsia" w:ascii="宋体" w:hAnsi="宋体" w:eastAsia="宋体" w:cs="宋体"/>
                <w:highlight w:val="none"/>
              </w:rPr>
              <w:t>数据安全性</w:t>
            </w:r>
          </w:p>
        </w:tc>
        <w:tc>
          <w:tcPr>
            <w:tcW w:w="1052" w:type="pct"/>
            <w:noWrap w:val="0"/>
            <w:vAlign w:val="center"/>
          </w:tcPr>
          <w:p w14:paraId="1BFAE59F">
            <w:pPr>
              <w:rPr>
                <w:rFonts w:hint="eastAsia" w:ascii="宋体" w:hAnsi="宋体" w:eastAsia="宋体" w:cs="宋体"/>
                <w:highlight w:val="none"/>
              </w:rPr>
            </w:pPr>
            <w:r>
              <w:rPr>
                <w:rFonts w:hint="eastAsia" w:ascii="宋体" w:hAnsi="宋体" w:eastAsia="宋体" w:cs="宋体"/>
                <w:highlight w:val="none"/>
              </w:rPr>
              <w:t>数据安全性</w:t>
            </w:r>
          </w:p>
        </w:tc>
        <w:tc>
          <w:tcPr>
            <w:tcW w:w="2309" w:type="pct"/>
            <w:noWrap w:val="0"/>
            <w:vAlign w:val="center"/>
          </w:tcPr>
          <w:p w14:paraId="4CE3095E">
            <w:pPr>
              <w:rPr>
                <w:rFonts w:hint="eastAsia" w:ascii="宋体" w:hAnsi="宋体" w:eastAsia="宋体" w:cs="宋体"/>
                <w:highlight w:val="none"/>
              </w:rPr>
            </w:pPr>
            <w:r>
              <w:rPr>
                <w:rFonts w:hint="eastAsia" w:ascii="宋体" w:hAnsi="宋体" w:eastAsia="宋体" w:cs="宋体"/>
                <w:highlight w:val="none"/>
              </w:rPr>
              <w:t>设备采集的加油机数据，能够利用4G或5G网络直连，从采集端直接传输到系统云平台中。数据传输过程安全可靠，数据加密传输，支持国密算法，支持数据加解密。</w:t>
            </w:r>
          </w:p>
        </w:tc>
      </w:tr>
      <w:tr w14:paraId="3007A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404" w:type="pct"/>
            <w:vMerge w:val="continue"/>
            <w:noWrap w:val="0"/>
            <w:vAlign w:val="center"/>
          </w:tcPr>
          <w:p w14:paraId="5C5A2CAA">
            <w:pPr>
              <w:rPr>
                <w:rFonts w:hint="eastAsia" w:ascii="宋体" w:hAnsi="宋体" w:eastAsia="宋体" w:cs="宋体"/>
                <w:highlight w:val="none"/>
              </w:rPr>
            </w:pPr>
          </w:p>
        </w:tc>
        <w:tc>
          <w:tcPr>
            <w:tcW w:w="500" w:type="pct"/>
            <w:vMerge w:val="continue"/>
            <w:noWrap w:val="0"/>
            <w:vAlign w:val="center"/>
          </w:tcPr>
          <w:p w14:paraId="173364C0">
            <w:pPr>
              <w:rPr>
                <w:rFonts w:hint="eastAsia" w:ascii="宋体" w:hAnsi="宋体" w:eastAsia="宋体" w:cs="宋体"/>
                <w:highlight w:val="none"/>
              </w:rPr>
            </w:pPr>
          </w:p>
        </w:tc>
        <w:tc>
          <w:tcPr>
            <w:tcW w:w="732" w:type="pct"/>
            <w:noWrap w:val="0"/>
            <w:vAlign w:val="center"/>
          </w:tcPr>
          <w:p w14:paraId="288B1418">
            <w:pPr>
              <w:rPr>
                <w:rFonts w:hint="eastAsia" w:ascii="宋体" w:hAnsi="宋体" w:eastAsia="宋体" w:cs="宋体"/>
                <w:highlight w:val="none"/>
              </w:rPr>
            </w:pPr>
            <w:r>
              <w:rPr>
                <w:rFonts w:hint="eastAsia" w:ascii="宋体" w:hAnsi="宋体" w:eastAsia="宋体" w:cs="宋体"/>
                <w:highlight w:val="none"/>
              </w:rPr>
              <w:t>数据自动续传</w:t>
            </w:r>
          </w:p>
        </w:tc>
        <w:tc>
          <w:tcPr>
            <w:tcW w:w="1052" w:type="pct"/>
            <w:noWrap w:val="0"/>
            <w:vAlign w:val="center"/>
          </w:tcPr>
          <w:p w14:paraId="4F1BA793">
            <w:pPr>
              <w:rPr>
                <w:rFonts w:hint="eastAsia" w:ascii="宋体" w:hAnsi="宋体" w:eastAsia="宋体" w:cs="宋体"/>
                <w:highlight w:val="none"/>
              </w:rPr>
            </w:pPr>
            <w:r>
              <w:rPr>
                <w:rFonts w:hint="eastAsia" w:ascii="宋体" w:hAnsi="宋体" w:eastAsia="宋体" w:cs="宋体"/>
                <w:highlight w:val="none"/>
              </w:rPr>
              <w:t>数据自动续传</w:t>
            </w:r>
          </w:p>
        </w:tc>
        <w:tc>
          <w:tcPr>
            <w:tcW w:w="2309" w:type="pct"/>
            <w:noWrap w:val="0"/>
            <w:vAlign w:val="center"/>
          </w:tcPr>
          <w:p w14:paraId="597DE146">
            <w:pPr>
              <w:rPr>
                <w:rFonts w:hint="eastAsia" w:ascii="宋体" w:hAnsi="宋体" w:eastAsia="宋体" w:cs="宋体"/>
                <w:highlight w:val="none"/>
              </w:rPr>
            </w:pPr>
            <w:r>
              <w:rPr>
                <w:rFonts w:hint="eastAsia" w:ascii="宋体" w:hAnsi="宋体" w:eastAsia="宋体" w:cs="宋体"/>
                <w:highlight w:val="none"/>
              </w:rPr>
              <w:t>网络中断采集的数据能本地存储，网络恢复后自动上传到管理平台，设备本地具有专用存储器，在设备断电、断网情况下，数据可存30天不丢失。</w:t>
            </w:r>
          </w:p>
        </w:tc>
      </w:tr>
      <w:tr w14:paraId="5CF60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33843B57">
            <w:pPr>
              <w:rPr>
                <w:rFonts w:hint="eastAsia" w:ascii="宋体" w:hAnsi="宋体" w:eastAsia="宋体" w:cs="宋体"/>
                <w:highlight w:val="none"/>
              </w:rPr>
            </w:pPr>
          </w:p>
        </w:tc>
        <w:tc>
          <w:tcPr>
            <w:tcW w:w="500" w:type="pct"/>
            <w:vMerge w:val="continue"/>
            <w:noWrap w:val="0"/>
            <w:vAlign w:val="center"/>
          </w:tcPr>
          <w:p w14:paraId="1D1047C7">
            <w:pPr>
              <w:rPr>
                <w:rFonts w:hint="eastAsia" w:ascii="宋体" w:hAnsi="宋体" w:eastAsia="宋体" w:cs="宋体"/>
                <w:highlight w:val="none"/>
              </w:rPr>
            </w:pPr>
          </w:p>
        </w:tc>
        <w:tc>
          <w:tcPr>
            <w:tcW w:w="732" w:type="pct"/>
            <w:noWrap w:val="0"/>
            <w:vAlign w:val="center"/>
          </w:tcPr>
          <w:p w14:paraId="382ADC7C">
            <w:pPr>
              <w:rPr>
                <w:rFonts w:hint="eastAsia" w:ascii="宋体" w:hAnsi="宋体" w:eastAsia="宋体" w:cs="宋体"/>
                <w:highlight w:val="none"/>
              </w:rPr>
            </w:pPr>
            <w:r>
              <w:rPr>
                <w:rFonts w:hint="eastAsia" w:ascii="宋体" w:hAnsi="宋体" w:eastAsia="宋体" w:cs="宋体"/>
                <w:highlight w:val="none"/>
              </w:rPr>
              <w:t>产品易维护</w:t>
            </w:r>
          </w:p>
        </w:tc>
        <w:tc>
          <w:tcPr>
            <w:tcW w:w="1052" w:type="pct"/>
            <w:noWrap w:val="0"/>
            <w:vAlign w:val="center"/>
          </w:tcPr>
          <w:p w14:paraId="76D965AE">
            <w:pPr>
              <w:rPr>
                <w:rFonts w:hint="eastAsia" w:ascii="宋体" w:hAnsi="宋体" w:eastAsia="宋体" w:cs="宋体"/>
                <w:highlight w:val="none"/>
              </w:rPr>
            </w:pPr>
            <w:r>
              <w:rPr>
                <w:rFonts w:hint="eastAsia" w:ascii="宋体" w:hAnsi="宋体" w:eastAsia="宋体" w:cs="宋体"/>
                <w:highlight w:val="none"/>
              </w:rPr>
              <w:t>产品易维护</w:t>
            </w:r>
          </w:p>
        </w:tc>
        <w:tc>
          <w:tcPr>
            <w:tcW w:w="2309" w:type="pct"/>
            <w:noWrap w:val="0"/>
            <w:vAlign w:val="center"/>
          </w:tcPr>
          <w:p w14:paraId="2B8A1185">
            <w:pPr>
              <w:rPr>
                <w:rFonts w:hint="eastAsia" w:ascii="宋体" w:hAnsi="宋体" w:eastAsia="宋体" w:cs="宋体"/>
                <w:highlight w:val="none"/>
              </w:rPr>
            </w:pPr>
            <w:r>
              <w:rPr>
                <w:rFonts w:hint="eastAsia" w:ascii="宋体" w:hAnsi="宋体" w:eastAsia="宋体" w:cs="宋体"/>
                <w:highlight w:val="none"/>
              </w:rPr>
              <w:t>平台产品支持远程或本地升级。</w:t>
            </w:r>
          </w:p>
        </w:tc>
      </w:tr>
      <w:tr w14:paraId="3EFD0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4" w:type="pct"/>
            <w:vMerge w:val="continue"/>
            <w:noWrap w:val="0"/>
            <w:vAlign w:val="center"/>
          </w:tcPr>
          <w:p w14:paraId="14D6C5D8">
            <w:pPr>
              <w:rPr>
                <w:rFonts w:hint="eastAsia" w:ascii="宋体" w:hAnsi="宋体" w:eastAsia="宋体" w:cs="宋体"/>
                <w:highlight w:val="none"/>
              </w:rPr>
            </w:pPr>
          </w:p>
        </w:tc>
        <w:tc>
          <w:tcPr>
            <w:tcW w:w="500" w:type="pct"/>
            <w:vMerge w:val="continue"/>
            <w:noWrap w:val="0"/>
            <w:vAlign w:val="center"/>
          </w:tcPr>
          <w:p w14:paraId="1BF41675">
            <w:pPr>
              <w:rPr>
                <w:rFonts w:hint="eastAsia" w:ascii="宋体" w:hAnsi="宋体" w:eastAsia="宋体" w:cs="宋体"/>
                <w:highlight w:val="none"/>
              </w:rPr>
            </w:pPr>
          </w:p>
        </w:tc>
        <w:tc>
          <w:tcPr>
            <w:tcW w:w="732" w:type="pct"/>
            <w:noWrap w:val="0"/>
            <w:vAlign w:val="center"/>
          </w:tcPr>
          <w:p w14:paraId="162EAD83">
            <w:pPr>
              <w:rPr>
                <w:rFonts w:hint="eastAsia" w:ascii="宋体" w:hAnsi="宋体" w:eastAsia="宋体" w:cs="宋体"/>
                <w:highlight w:val="none"/>
              </w:rPr>
            </w:pPr>
            <w:r>
              <w:rPr>
                <w:rFonts w:hint="eastAsia" w:ascii="宋体" w:hAnsi="宋体" w:eastAsia="宋体" w:cs="宋体"/>
                <w:highlight w:val="none"/>
              </w:rPr>
              <w:t>系统安全</w:t>
            </w:r>
          </w:p>
        </w:tc>
        <w:tc>
          <w:tcPr>
            <w:tcW w:w="1052" w:type="pct"/>
            <w:noWrap w:val="0"/>
            <w:vAlign w:val="center"/>
          </w:tcPr>
          <w:p w14:paraId="4C73EAAB">
            <w:pPr>
              <w:rPr>
                <w:rFonts w:hint="eastAsia" w:ascii="宋体" w:hAnsi="宋体" w:eastAsia="宋体" w:cs="宋体"/>
                <w:highlight w:val="none"/>
              </w:rPr>
            </w:pPr>
            <w:r>
              <w:rPr>
                <w:rFonts w:hint="eastAsia" w:ascii="宋体" w:hAnsi="宋体" w:eastAsia="宋体" w:cs="宋体"/>
                <w:highlight w:val="none"/>
              </w:rPr>
              <w:t>系统安全</w:t>
            </w:r>
          </w:p>
        </w:tc>
        <w:tc>
          <w:tcPr>
            <w:tcW w:w="2309" w:type="pct"/>
            <w:noWrap w:val="0"/>
            <w:vAlign w:val="center"/>
          </w:tcPr>
          <w:p w14:paraId="378DB777">
            <w:pPr>
              <w:rPr>
                <w:rFonts w:hint="eastAsia" w:ascii="宋体" w:hAnsi="宋体" w:eastAsia="宋体" w:cs="宋体"/>
                <w:highlight w:val="none"/>
              </w:rPr>
            </w:pPr>
            <w:r>
              <w:rPr>
                <w:rFonts w:hint="eastAsia" w:ascii="宋体" w:hAnsi="宋体" w:eastAsia="宋体" w:cs="宋体"/>
                <w:highlight w:val="none"/>
              </w:rPr>
              <w:t>审计功能：系统应配置策略和审计模块，对重要用户操作、行为进行日志审计，审计范围不仅针对前端用户的操作、行为，也包括后台管理员的重要操作。</w:t>
            </w:r>
          </w:p>
          <w:p w14:paraId="043B831A">
            <w:pPr>
              <w:rPr>
                <w:rFonts w:hint="eastAsia" w:ascii="宋体" w:hAnsi="宋体" w:eastAsia="宋体" w:cs="宋体"/>
                <w:highlight w:val="none"/>
              </w:rPr>
            </w:pPr>
            <w:r>
              <w:rPr>
                <w:rFonts w:hint="eastAsia" w:ascii="宋体" w:hAnsi="宋体" w:eastAsia="宋体" w:cs="宋体"/>
                <w:highlight w:val="none"/>
              </w:rPr>
              <w:t>登录安全：采取两种或以上登录验证模式。</w:t>
            </w:r>
          </w:p>
        </w:tc>
      </w:tr>
      <w:tr w14:paraId="59D46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restart"/>
            <w:noWrap w:val="0"/>
            <w:vAlign w:val="center"/>
          </w:tcPr>
          <w:p w14:paraId="783846BB">
            <w:pPr>
              <w:widowControl w:val="0"/>
              <w:spacing w:after="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4</w:t>
            </w:r>
          </w:p>
        </w:tc>
        <w:tc>
          <w:tcPr>
            <w:tcW w:w="500" w:type="pct"/>
            <w:vMerge w:val="restart"/>
            <w:noWrap w:val="0"/>
            <w:vAlign w:val="center"/>
          </w:tcPr>
          <w:p w14:paraId="6A29317C">
            <w:pPr>
              <w:rPr>
                <w:rFonts w:hint="eastAsia" w:ascii="宋体" w:hAnsi="宋体" w:eastAsia="宋体" w:cs="宋体"/>
                <w:highlight w:val="none"/>
                <w:lang w:eastAsia="zh-CN"/>
              </w:rPr>
            </w:pPr>
            <w:r>
              <w:rPr>
                <w:rFonts w:hint="eastAsia" w:ascii="宋体" w:hAnsi="宋体" w:eastAsia="宋体" w:cs="宋体"/>
                <w:highlight w:val="none"/>
                <w:lang w:val="en-US" w:eastAsia="zh-CN"/>
              </w:rPr>
              <w:t>移动</w:t>
            </w:r>
            <w:r>
              <w:rPr>
                <w:rFonts w:hint="eastAsia" w:ascii="宋体" w:hAnsi="宋体" w:eastAsia="宋体" w:cs="宋体"/>
                <w:highlight w:val="none"/>
              </w:rPr>
              <w:t>端</w:t>
            </w:r>
            <w:r>
              <w:rPr>
                <w:rFonts w:hint="eastAsia" w:ascii="宋体" w:hAnsi="宋体" w:eastAsia="宋体" w:cs="宋体"/>
                <w:highlight w:val="none"/>
                <w:lang w:val="en-US" w:eastAsia="zh-CN"/>
              </w:rPr>
              <w:t>查询</w:t>
            </w:r>
          </w:p>
        </w:tc>
        <w:tc>
          <w:tcPr>
            <w:tcW w:w="732" w:type="pct"/>
            <w:vMerge w:val="restart"/>
            <w:noWrap w:val="0"/>
            <w:vAlign w:val="center"/>
          </w:tcPr>
          <w:p w14:paraId="1B0BDA8F">
            <w:pPr>
              <w:rPr>
                <w:rFonts w:hint="eastAsia" w:ascii="宋体" w:hAnsi="宋体" w:eastAsia="宋体" w:cs="宋体"/>
                <w:highlight w:val="none"/>
              </w:rPr>
            </w:pPr>
            <w:r>
              <w:rPr>
                <w:rFonts w:hint="eastAsia" w:ascii="宋体" w:hAnsi="宋体" w:eastAsia="宋体" w:cs="宋体"/>
                <w:highlight w:val="none"/>
              </w:rPr>
              <w:t>数据统计</w:t>
            </w:r>
          </w:p>
        </w:tc>
        <w:tc>
          <w:tcPr>
            <w:tcW w:w="1052" w:type="pct"/>
            <w:noWrap w:val="0"/>
            <w:vAlign w:val="center"/>
          </w:tcPr>
          <w:p w14:paraId="06EF65D4">
            <w:pPr>
              <w:rPr>
                <w:rFonts w:hint="eastAsia" w:ascii="宋体" w:hAnsi="宋体" w:eastAsia="宋体" w:cs="宋体"/>
                <w:highlight w:val="none"/>
              </w:rPr>
            </w:pPr>
            <w:r>
              <w:rPr>
                <w:rFonts w:hint="eastAsia" w:ascii="宋体" w:hAnsi="宋体" w:eastAsia="宋体" w:cs="宋体"/>
                <w:highlight w:val="none"/>
              </w:rPr>
              <w:t>油站数量统计</w:t>
            </w:r>
          </w:p>
        </w:tc>
        <w:tc>
          <w:tcPr>
            <w:tcW w:w="2309" w:type="pct"/>
            <w:noWrap w:val="0"/>
          </w:tcPr>
          <w:p w14:paraId="0D158988">
            <w:pPr>
              <w:rPr>
                <w:rFonts w:hint="eastAsia" w:ascii="宋体" w:hAnsi="宋体" w:eastAsia="宋体" w:cs="宋体"/>
                <w:highlight w:val="none"/>
              </w:rPr>
            </w:pPr>
            <w:r>
              <w:rPr>
                <w:rFonts w:hint="eastAsia" w:ascii="宋体" w:hAnsi="宋体" w:eastAsia="宋体" w:cs="宋体"/>
                <w:highlight w:val="none"/>
              </w:rPr>
              <w:t>统计并展示辖区内在营加油站数量及明细</w:t>
            </w:r>
          </w:p>
        </w:tc>
      </w:tr>
      <w:tr w14:paraId="6CE52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422BA727">
            <w:pPr>
              <w:widowControl w:val="0"/>
              <w:spacing w:after="120"/>
              <w:ind w:firstLine="360"/>
              <w:jc w:val="center"/>
              <w:rPr>
                <w:rFonts w:hint="eastAsia" w:ascii="宋体" w:hAnsi="宋体" w:eastAsia="宋体" w:cs="宋体"/>
                <w:sz w:val="21"/>
                <w:szCs w:val="21"/>
                <w:highlight w:val="none"/>
                <w:lang w:val="en-US" w:eastAsia="zh-CN" w:bidi="ar-SA"/>
              </w:rPr>
            </w:pPr>
          </w:p>
        </w:tc>
        <w:tc>
          <w:tcPr>
            <w:tcW w:w="500" w:type="pct"/>
            <w:vMerge w:val="continue"/>
            <w:noWrap w:val="0"/>
            <w:vAlign w:val="center"/>
          </w:tcPr>
          <w:p w14:paraId="7936A82A">
            <w:pPr>
              <w:rPr>
                <w:rFonts w:hint="eastAsia" w:ascii="宋体" w:hAnsi="宋体" w:eastAsia="宋体" w:cs="宋体"/>
                <w:highlight w:val="none"/>
              </w:rPr>
            </w:pPr>
          </w:p>
        </w:tc>
        <w:tc>
          <w:tcPr>
            <w:tcW w:w="732" w:type="pct"/>
            <w:vMerge w:val="continue"/>
            <w:noWrap w:val="0"/>
            <w:vAlign w:val="center"/>
          </w:tcPr>
          <w:p w14:paraId="750834E1">
            <w:pPr>
              <w:rPr>
                <w:rFonts w:hint="eastAsia" w:ascii="宋体" w:hAnsi="宋体" w:eastAsia="宋体" w:cs="宋体"/>
                <w:highlight w:val="none"/>
              </w:rPr>
            </w:pPr>
          </w:p>
        </w:tc>
        <w:tc>
          <w:tcPr>
            <w:tcW w:w="1052" w:type="pct"/>
            <w:noWrap w:val="0"/>
            <w:vAlign w:val="center"/>
          </w:tcPr>
          <w:p w14:paraId="09056448">
            <w:pPr>
              <w:rPr>
                <w:rFonts w:hint="eastAsia" w:ascii="宋体" w:hAnsi="宋体" w:eastAsia="宋体" w:cs="宋体"/>
                <w:highlight w:val="none"/>
              </w:rPr>
            </w:pPr>
            <w:r>
              <w:rPr>
                <w:rFonts w:hint="eastAsia" w:ascii="宋体" w:hAnsi="宋体" w:eastAsia="宋体" w:cs="宋体"/>
                <w:highlight w:val="none"/>
              </w:rPr>
              <w:t>油机数量统计</w:t>
            </w:r>
          </w:p>
        </w:tc>
        <w:tc>
          <w:tcPr>
            <w:tcW w:w="2309" w:type="pct"/>
            <w:noWrap w:val="0"/>
          </w:tcPr>
          <w:p w14:paraId="0C5C8B57">
            <w:pPr>
              <w:rPr>
                <w:rFonts w:hint="eastAsia" w:ascii="宋体" w:hAnsi="宋体" w:eastAsia="宋体" w:cs="宋体"/>
                <w:highlight w:val="none"/>
              </w:rPr>
            </w:pPr>
            <w:r>
              <w:rPr>
                <w:rFonts w:hint="eastAsia" w:ascii="宋体" w:hAnsi="宋体" w:eastAsia="宋体" w:cs="宋体"/>
                <w:highlight w:val="none"/>
              </w:rPr>
              <w:t>统计并展示辖区内在线加油机数量及明细</w:t>
            </w:r>
          </w:p>
        </w:tc>
      </w:tr>
      <w:tr w14:paraId="4236A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3CB867B5">
            <w:pPr>
              <w:widowControl w:val="0"/>
              <w:spacing w:after="120"/>
              <w:ind w:firstLine="360"/>
              <w:jc w:val="center"/>
              <w:rPr>
                <w:rFonts w:hint="eastAsia" w:ascii="宋体" w:hAnsi="宋体" w:eastAsia="宋体" w:cs="宋体"/>
                <w:sz w:val="21"/>
                <w:szCs w:val="21"/>
                <w:highlight w:val="none"/>
                <w:lang w:val="en-US" w:eastAsia="zh-CN" w:bidi="ar-SA"/>
              </w:rPr>
            </w:pPr>
          </w:p>
        </w:tc>
        <w:tc>
          <w:tcPr>
            <w:tcW w:w="500" w:type="pct"/>
            <w:vMerge w:val="continue"/>
            <w:noWrap w:val="0"/>
            <w:vAlign w:val="center"/>
          </w:tcPr>
          <w:p w14:paraId="0AEC2912">
            <w:pPr>
              <w:rPr>
                <w:rFonts w:hint="eastAsia" w:ascii="宋体" w:hAnsi="宋体" w:eastAsia="宋体" w:cs="宋体"/>
                <w:highlight w:val="none"/>
              </w:rPr>
            </w:pPr>
          </w:p>
        </w:tc>
        <w:tc>
          <w:tcPr>
            <w:tcW w:w="732" w:type="pct"/>
            <w:vMerge w:val="continue"/>
            <w:noWrap w:val="0"/>
            <w:vAlign w:val="center"/>
          </w:tcPr>
          <w:p w14:paraId="0708D581">
            <w:pPr>
              <w:rPr>
                <w:rFonts w:hint="eastAsia" w:ascii="宋体" w:hAnsi="宋体" w:eastAsia="宋体" w:cs="宋体"/>
                <w:highlight w:val="none"/>
              </w:rPr>
            </w:pPr>
          </w:p>
        </w:tc>
        <w:tc>
          <w:tcPr>
            <w:tcW w:w="1052" w:type="pct"/>
            <w:noWrap w:val="0"/>
            <w:vAlign w:val="center"/>
          </w:tcPr>
          <w:p w14:paraId="3A86F8BD">
            <w:pPr>
              <w:rPr>
                <w:rFonts w:hint="eastAsia" w:ascii="宋体" w:hAnsi="宋体" w:eastAsia="宋体" w:cs="宋体"/>
                <w:highlight w:val="none"/>
              </w:rPr>
            </w:pPr>
            <w:r>
              <w:rPr>
                <w:rFonts w:hint="eastAsia" w:ascii="宋体" w:hAnsi="宋体" w:eastAsia="宋体" w:cs="宋体"/>
                <w:highlight w:val="none"/>
              </w:rPr>
              <w:t>油枪数量统计</w:t>
            </w:r>
          </w:p>
        </w:tc>
        <w:tc>
          <w:tcPr>
            <w:tcW w:w="2309" w:type="pct"/>
            <w:noWrap w:val="0"/>
          </w:tcPr>
          <w:p w14:paraId="417F9CA8">
            <w:pPr>
              <w:rPr>
                <w:rFonts w:hint="eastAsia" w:ascii="宋体" w:hAnsi="宋体" w:eastAsia="宋体" w:cs="宋体"/>
                <w:highlight w:val="none"/>
              </w:rPr>
            </w:pPr>
            <w:r>
              <w:rPr>
                <w:rFonts w:hint="eastAsia" w:ascii="宋体" w:hAnsi="宋体" w:eastAsia="宋体" w:cs="宋体"/>
                <w:highlight w:val="none"/>
              </w:rPr>
              <w:t>统计并展示辖区内在线加油枪数量及明细</w:t>
            </w:r>
          </w:p>
        </w:tc>
      </w:tr>
      <w:tr w14:paraId="6A997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7E817FBB">
            <w:pPr>
              <w:widowControl w:val="0"/>
              <w:spacing w:after="120"/>
              <w:ind w:firstLine="360"/>
              <w:jc w:val="center"/>
              <w:rPr>
                <w:rFonts w:hint="eastAsia" w:ascii="宋体" w:hAnsi="宋体" w:eastAsia="宋体" w:cs="宋体"/>
                <w:sz w:val="21"/>
                <w:szCs w:val="21"/>
                <w:highlight w:val="none"/>
                <w:lang w:val="en-US" w:eastAsia="zh-CN" w:bidi="ar-SA"/>
              </w:rPr>
            </w:pPr>
          </w:p>
        </w:tc>
        <w:tc>
          <w:tcPr>
            <w:tcW w:w="500" w:type="pct"/>
            <w:vMerge w:val="continue"/>
            <w:noWrap w:val="0"/>
            <w:vAlign w:val="center"/>
          </w:tcPr>
          <w:p w14:paraId="27882C17">
            <w:pPr>
              <w:rPr>
                <w:rFonts w:hint="eastAsia" w:ascii="宋体" w:hAnsi="宋体" w:eastAsia="宋体" w:cs="宋体"/>
                <w:highlight w:val="none"/>
              </w:rPr>
            </w:pPr>
          </w:p>
        </w:tc>
        <w:tc>
          <w:tcPr>
            <w:tcW w:w="732" w:type="pct"/>
            <w:vMerge w:val="continue"/>
            <w:noWrap w:val="0"/>
            <w:vAlign w:val="center"/>
          </w:tcPr>
          <w:p w14:paraId="0488B67B">
            <w:pPr>
              <w:rPr>
                <w:rFonts w:hint="eastAsia" w:ascii="宋体" w:hAnsi="宋体" w:eastAsia="宋体" w:cs="宋体"/>
                <w:highlight w:val="none"/>
              </w:rPr>
            </w:pPr>
          </w:p>
        </w:tc>
        <w:tc>
          <w:tcPr>
            <w:tcW w:w="1052" w:type="pct"/>
            <w:noWrap w:val="0"/>
            <w:vAlign w:val="center"/>
          </w:tcPr>
          <w:p w14:paraId="3CF51992">
            <w:pPr>
              <w:rPr>
                <w:rFonts w:hint="eastAsia" w:ascii="宋体" w:hAnsi="宋体" w:eastAsia="宋体" w:cs="宋体"/>
                <w:highlight w:val="none"/>
              </w:rPr>
            </w:pPr>
            <w:r>
              <w:rPr>
                <w:rFonts w:hint="eastAsia" w:ascii="宋体" w:hAnsi="宋体" w:eastAsia="宋体" w:cs="宋体"/>
                <w:highlight w:val="none"/>
              </w:rPr>
              <w:t>月</w:t>
            </w:r>
            <w:r>
              <w:rPr>
                <w:rFonts w:hint="eastAsia" w:ascii="宋体" w:hAnsi="宋体" w:eastAsia="宋体" w:cs="宋体"/>
                <w:sz w:val="18"/>
                <w:szCs w:val="18"/>
                <w:highlight w:val="none"/>
              </w:rPr>
              <w:t>销</w:t>
            </w:r>
            <w:r>
              <w:rPr>
                <w:rFonts w:hint="eastAsia" w:ascii="宋体" w:hAnsi="宋体" w:eastAsia="宋体" w:cs="宋体"/>
                <w:highlight w:val="none"/>
              </w:rPr>
              <w:t>售额统计</w:t>
            </w:r>
          </w:p>
        </w:tc>
        <w:tc>
          <w:tcPr>
            <w:tcW w:w="2309" w:type="pct"/>
            <w:noWrap w:val="0"/>
          </w:tcPr>
          <w:p w14:paraId="41DB4EF7">
            <w:pPr>
              <w:rPr>
                <w:rFonts w:hint="eastAsia" w:ascii="宋体" w:hAnsi="宋体" w:eastAsia="宋体" w:cs="宋体"/>
                <w:highlight w:val="none"/>
              </w:rPr>
            </w:pPr>
            <w:r>
              <w:rPr>
                <w:rFonts w:hint="eastAsia" w:ascii="宋体" w:hAnsi="宋体" w:eastAsia="宋体" w:cs="宋体"/>
                <w:highlight w:val="none"/>
              </w:rPr>
              <w:t>统计并展示可按时间、按区域、按油品统计加油站月销售金额和油量</w:t>
            </w:r>
          </w:p>
        </w:tc>
      </w:tr>
      <w:tr w14:paraId="1FAA1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285CD85D">
            <w:pPr>
              <w:widowControl w:val="0"/>
              <w:spacing w:after="120"/>
              <w:ind w:firstLine="360"/>
              <w:jc w:val="center"/>
              <w:rPr>
                <w:rFonts w:hint="eastAsia" w:ascii="宋体" w:hAnsi="宋体" w:eastAsia="宋体" w:cs="宋体"/>
                <w:sz w:val="21"/>
                <w:szCs w:val="21"/>
                <w:highlight w:val="none"/>
                <w:lang w:val="en-US" w:eastAsia="zh-CN" w:bidi="ar-SA"/>
              </w:rPr>
            </w:pPr>
          </w:p>
        </w:tc>
        <w:tc>
          <w:tcPr>
            <w:tcW w:w="500" w:type="pct"/>
            <w:vMerge w:val="continue"/>
            <w:noWrap w:val="0"/>
            <w:vAlign w:val="center"/>
          </w:tcPr>
          <w:p w14:paraId="6CFAF98C">
            <w:pPr>
              <w:rPr>
                <w:rFonts w:hint="eastAsia" w:ascii="宋体" w:hAnsi="宋体" w:eastAsia="宋体" w:cs="宋体"/>
                <w:highlight w:val="none"/>
              </w:rPr>
            </w:pPr>
          </w:p>
        </w:tc>
        <w:tc>
          <w:tcPr>
            <w:tcW w:w="732" w:type="pct"/>
            <w:vMerge w:val="continue"/>
            <w:noWrap w:val="0"/>
            <w:vAlign w:val="center"/>
          </w:tcPr>
          <w:p w14:paraId="7ACEF003">
            <w:pPr>
              <w:rPr>
                <w:rFonts w:hint="eastAsia" w:ascii="宋体" w:hAnsi="宋体" w:eastAsia="宋体" w:cs="宋体"/>
                <w:highlight w:val="none"/>
              </w:rPr>
            </w:pPr>
          </w:p>
        </w:tc>
        <w:tc>
          <w:tcPr>
            <w:tcW w:w="1052" w:type="pct"/>
            <w:noWrap w:val="0"/>
            <w:vAlign w:val="center"/>
          </w:tcPr>
          <w:p w14:paraId="39E30CBE">
            <w:pPr>
              <w:rPr>
                <w:rFonts w:hint="eastAsia" w:ascii="宋体" w:hAnsi="宋体" w:eastAsia="宋体" w:cs="宋体"/>
                <w:highlight w:val="none"/>
              </w:rPr>
            </w:pPr>
            <w:r>
              <w:rPr>
                <w:rFonts w:hint="eastAsia" w:ascii="宋体" w:hAnsi="宋体" w:eastAsia="宋体" w:cs="宋体"/>
                <w:highlight w:val="none"/>
              </w:rPr>
              <w:t>累计销售额统计</w:t>
            </w:r>
          </w:p>
        </w:tc>
        <w:tc>
          <w:tcPr>
            <w:tcW w:w="2309" w:type="pct"/>
            <w:noWrap w:val="0"/>
          </w:tcPr>
          <w:p w14:paraId="0A4400F9">
            <w:pPr>
              <w:rPr>
                <w:rFonts w:hint="eastAsia" w:ascii="宋体" w:hAnsi="宋体" w:eastAsia="宋体" w:cs="宋体"/>
                <w:highlight w:val="none"/>
              </w:rPr>
            </w:pPr>
            <w:r>
              <w:rPr>
                <w:rFonts w:hint="eastAsia" w:ascii="宋体" w:hAnsi="宋体" w:eastAsia="宋体" w:cs="宋体"/>
                <w:highlight w:val="none"/>
              </w:rPr>
              <w:t>统计并展示辖区内加油站今日、本月、本年累计销售量，销售金额</w:t>
            </w:r>
          </w:p>
        </w:tc>
      </w:tr>
      <w:tr w14:paraId="37AB8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301ACDE9">
            <w:pPr>
              <w:widowControl w:val="0"/>
              <w:spacing w:after="120"/>
              <w:ind w:firstLine="360"/>
              <w:jc w:val="center"/>
              <w:rPr>
                <w:rFonts w:hint="eastAsia" w:ascii="宋体" w:hAnsi="宋体" w:eastAsia="宋体" w:cs="宋体"/>
                <w:sz w:val="21"/>
                <w:szCs w:val="21"/>
                <w:highlight w:val="none"/>
                <w:lang w:val="en-US" w:eastAsia="zh-CN" w:bidi="ar-SA"/>
              </w:rPr>
            </w:pPr>
          </w:p>
        </w:tc>
        <w:tc>
          <w:tcPr>
            <w:tcW w:w="500" w:type="pct"/>
            <w:vMerge w:val="continue"/>
            <w:noWrap w:val="0"/>
            <w:vAlign w:val="center"/>
          </w:tcPr>
          <w:p w14:paraId="6AD6444F">
            <w:pPr>
              <w:rPr>
                <w:rFonts w:hint="eastAsia" w:ascii="宋体" w:hAnsi="宋体" w:eastAsia="宋体" w:cs="宋体"/>
                <w:highlight w:val="none"/>
              </w:rPr>
            </w:pPr>
          </w:p>
        </w:tc>
        <w:tc>
          <w:tcPr>
            <w:tcW w:w="732" w:type="pct"/>
            <w:vMerge w:val="restart"/>
            <w:noWrap w:val="0"/>
            <w:vAlign w:val="center"/>
          </w:tcPr>
          <w:p w14:paraId="5F04B2AA">
            <w:pPr>
              <w:rPr>
                <w:rFonts w:hint="eastAsia" w:ascii="宋体" w:hAnsi="宋体" w:eastAsia="宋体" w:cs="宋体"/>
                <w:highlight w:val="none"/>
              </w:rPr>
            </w:pPr>
            <w:r>
              <w:rPr>
                <w:rFonts w:hint="eastAsia" w:ascii="宋体" w:hAnsi="宋体" w:eastAsia="宋体" w:cs="宋体"/>
                <w:highlight w:val="none"/>
              </w:rPr>
              <w:t>数据查询</w:t>
            </w:r>
          </w:p>
        </w:tc>
        <w:tc>
          <w:tcPr>
            <w:tcW w:w="1052" w:type="pct"/>
            <w:noWrap w:val="0"/>
            <w:vAlign w:val="center"/>
          </w:tcPr>
          <w:p w14:paraId="4D3AE74B">
            <w:pPr>
              <w:rPr>
                <w:rFonts w:hint="eastAsia" w:ascii="宋体" w:hAnsi="宋体" w:eastAsia="宋体" w:cs="宋体"/>
                <w:highlight w:val="none"/>
              </w:rPr>
            </w:pPr>
            <w:r>
              <w:rPr>
                <w:rFonts w:hint="eastAsia" w:ascii="宋体" w:hAnsi="宋体" w:eastAsia="宋体" w:cs="宋体"/>
                <w:highlight w:val="none"/>
              </w:rPr>
              <w:t>在线状态查询</w:t>
            </w:r>
          </w:p>
        </w:tc>
        <w:tc>
          <w:tcPr>
            <w:tcW w:w="2309" w:type="pct"/>
            <w:noWrap w:val="0"/>
          </w:tcPr>
          <w:p w14:paraId="4483CC08">
            <w:pPr>
              <w:rPr>
                <w:rFonts w:hint="eastAsia" w:ascii="宋体" w:hAnsi="宋体" w:eastAsia="宋体" w:cs="宋体"/>
                <w:highlight w:val="none"/>
              </w:rPr>
            </w:pPr>
            <w:r>
              <w:rPr>
                <w:rFonts w:hint="eastAsia" w:ascii="宋体" w:hAnsi="宋体" w:eastAsia="宋体" w:cs="宋体"/>
                <w:highlight w:val="none"/>
              </w:rPr>
              <w:t>统计并展示辖区内数据采集设备在线状态信息</w:t>
            </w:r>
          </w:p>
        </w:tc>
      </w:tr>
      <w:tr w14:paraId="1C1B1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48DE39D0">
            <w:pPr>
              <w:widowControl w:val="0"/>
              <w:spacing w:after="120"/>
              <w:ind w:firstLine="360"/>
              <w:jc w:val="center"/>
              <w:rPr>
                <w:rFonts w:hint="eastAsia" w:ascii="宋体" w:hAnsi="宋体" w:eastAsia="宋体" w:cs="宋体"/>
                <w:sz w:val="21"/>
                <w:szCs w:val="21"/>
                <w:highlight w:val="none"/>
                <w:lang w:val="en-US" w:eastAsia="zh-CN" w:bidi="ar-SA"/>
              </w:rPr>
            </w:pPr>
          </w:p>
        </w:tc>
        <w:tc>
          <w:tcPr>
            <w:tcW w:w="500" w:type="pct"/>
            <w:vMerge w:val="continue"/>
            <w:noWrap w:val="0"/>
            <w:vAlign w:val="center"/>
          </w:tcPr>
          <w:p w14:paraId="2470C29D">
            <w:pPr>
              <w:rPr>
                <w:rFonts w:hint="eastAsia" w:ascii="宋体" w:hAnsi="宋体" w:eastAsia="宋体" w:cs="宋体"/>
                <w:highlight w:val="none"/>
              </w:rPr>
            </w:pPr>
          </w:p>
        </w:tc>
        <w:tc>
          <w:tcPr>
            <w:tcW w:w="732" w:type="pct"/>
            <w:vMerge w:val="continue"/>
            <w:noWrap w:val="0"/>
            <w:vAlign w:val="center"/>
          </w:tcPr>
          <w:p w14:paraId="36978A7D">
            <w:pPr>
              <w:rPr>
                <w:rFonts w:hint="eastAsia" w:ascii="宋体" w:hAnsi="宋体" w:eastAsia="宋体" w:cs="宋体"/>
                <w:highlight w:val="none"/>
              </w:rPr>
            </w:pPr>
          </w:p>
        </w:tc>
        <w:tc>
          <w:tcPr>
            <w:tcW w:w="1052" w:type="pct"/>
            <w:noWrap w:val="0"/>
            <w:vAlign w:val="center"/>
          </w:tcPr>
          <w:p w14:paraId="71287A6A">
            <w:pPr>
              <w:rPr>
                <w:rFonts w:hint="eastAsia" w:ascii="宋体" w:hAnsi="宋体" w:eastAsia="宋体" w:cs="宋体"/>
                <w:highlight w:val="none"/>
              </w:rPr>
            </w:pPr>
            <w:r>
              <w:rPr>
                <w:rFonts w:hint="eastAsia" w:ascii="宋体" w:hAnsi="宋体" w:eastAsia="宋体" w:cs="宋体"/>
                <w:highlight w:val="none"/>
              </w:rPr>
              <w:t>加油数据查询</w:t>
            </w:r>
          </w:p>
        </w:tc>
        <w:tc>
          <w:tcPr>
            <w:tcW w:w="2309" w:type="pct"/>
            <w:noWrap w:val="0"/>
          </w:tcPr>
          <w:p w14:paraId="20332C80">
            <w:pPr>
              <w:rPr>
                <w:rFonts w:hint="eastAsia" w:ascii="宋体" w:hAnsi="宋体" w:eastAsia="宋体" w:cs="宋体"/>
                <w:highlight w:val="none"/>
              </w:rPr>
            </w:pPr>
            <w:r>
              <w:rPr>
                <w:rFonts w:hint="eastAsia" w:ascii="宋体" w:hAnsi="宋体" w:eastAsia="宋体" w:cs="宋体"/>
                <w:highlight w:val="none"/>
              </w:rPr>
              <w:t>统计并展示辖区内加油站、加油机、加油枪的加油流水</w:t>
            </w:r>
          </w:p>
        </w:tc>
      </w:tr>
      <w:tr w14:paraId="14756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007EAA9A">
            <w:pPr>
              <w:widowControl w:val="0"/>
              <w:spacing w:after="120"/>
              <w:ind w:firstLine="360"/>
              <w:jc w:val="center"/>
              <w:rPr>
                <w:rFonts w:hint="eastAsia" w:ascii="宋体" w:hAnsi="宋体" w:eastAsia="宋体" w:cs="宋体"/>
                <w:sz w:val="21"/>
                <w:szCs w:val="21"/>
                <w:highlight w:val="none"/>
                <w:lang w:val="en-US" w:eastAsia="zh-CN" w:bidi="ar-SA"/>
              </w:rPr>
            </w:pPr>
          </w:p>
        </w:tc>
        <w:tc>
          <w:tcPr>
            <w:tcW w:w="500" w:type="pct"/>
            <w:vMerge w:val="continue"/>
            <w:noWrap w:val="0"/>
            <w:vAlign w:val="center"/>
          </w:tcPr>
          <w:p w14:paraId="608B297B">
            <w:pPr>
              <w:rPr>
                <w:rFonts w:ascii="Times New Roman" w:hAnsi="Times New Roman" w:eastAsia="宋体" w:cs="Times New Roman"/>
                <w:highlight w:val="none"/>
              </w:rPr>
            </w:pPr>
          </w:p>
        </w:tc>
        <w:tc>
          <w:tcPr>
            <w:tcW w:w="732" w:type="pct"/>
            <w:vMerge w:val="continue"/>
            <w:noWrap w:val="0"/>
            <w:vAlign w:val="center"/>
          </w:tcPr>
          <w:p w14:paraId="791CB448">
            <w:pPr>
              <w:rPr>
                <w:rFonts w:ascii="Times New Roman" w:hAnsi="Times New Roman" w:eastAsia="宋体" w:cs="Times New Roman"/>
                <w:highlight w:val="none"/>
              </w:rPr>
            </w:pPr>
          </w:p>
        </w:tc>
        <w:tc>
          <w:tcPr>
            <w:tcW w:w="1052" w:type="pct"/>
            <w:noWrap w:val="0"/>
            <w:vAlign w:val="center"/>
          </w:tcPr>
          <w:p w14:paraId="5C4AA9F0">
            <w:pPr>
              <w:rPr>
                <w:rFonts w:ascii="Times New Roman" w:hAnsi="Times New Roman" w:eastAsia="宋体" w:cs="Times New Roman"/>
                <w:highlight w:val="none"/>
              </w:rPr>
            </w:pPr>
            <w:r>
              <w:rPr>
                <w:rFonts w:hint="eastAsia" w:ascii="Times New Roman" w:hAnsi="Times New Roman" w:eastAsia="宋体" w:cs="Times New Roman"/>
                <w:highlight w:val="none"/>
              </w:rPr>
              <w:t>油品统计查询</w:t>
            </w:r>
          </w:p>
        </w:tc>
        <w:tc>
          <w:tcPr>
            <w:tcW w:w="2309" w:type="pct"/>
            <w:noWrap w:val="0"/>
          </w:tcPr>
          <w:p w14:paraId="3B78B885">
            <w:pPr>
              <w:rPr>
                <w:rFonts w:ascii="Times New Roman" w:hAnsi="Times New Roman" w:eastAsia="宋体" w:cs="Times New Roman"/>
                <w:highlight w:val="none"/>
              </w:rPr>
            </w:pPr>
            <w:r>
              <w:rPr>
                <w:rFonts w:hint="eastAsia" w:ascii="宋体" w:hAnsi="宋体" w:eastAsia="宋体" w:cs="宋体"/>
                <w:highlight w:val="none"/>
              </w:rPr>
              <w:t xml:space="preserve">统计并展示辖区内各个加油站的92#、95#、98#、0#、-10#按月油品销量统计，包含油站名称、92#（升）、95#（升）、98#（升）、0#（升）、-10#（升）、年月等信息， </w:t>
            </w:r>
          </w:p>
        </w:tc>
      </w:tr>
      <w:tr w14:paraId="5735A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3AA2922C">
            <w:pPr>
              <w:widowControl w:val="0"/>
              <w:spacing w:after="120"/>
              <w:ind w:firstLine="360"/>
              <w:jc w:val="center"/>
              <w:rPr>
                <w:rFonts w:hint="eastAsia" w:ascii="宋体" w:hAnsi="宋体" w:eastAsia="宋体" w:cs="宋体"/>
                <w:sz w:val="21"/>
                <w:szCs w:val="21"/>
                <w:highlight w:val="none"/>
                <w:lang w:val="en-US" w:eastAsia="zh-CN" w:bidi="ar-SA"/>
              </w:rPr>
            </w:pPr>
          </w:p>
        </w:tc>
        <w:tc>
          <w:tcPr>
            <w:tcW w:w="500" w:type="pct"/>
            <w:vMerge w:val="continue"/>
            <w:noWrap w:val="0"/>
            <w:vAlign w:val="center"/>
          </w:tcPr>
          <w:p w14:paraId="14FDDD38">
            <w:pPr>
              <w:rPr>
                <w:rFonts w:ascii="Times New Roman" w:hAnsi="Times New Roman" w:eastAsia="宋体" w:cs="Times New Roman"/>
                <w:highlight w:val="none"/>
              </w:rPr>
            </w:pPr>
          </w:p>
        </w:tc>
        <w:tc>
          <w:tcPr>
            <w:tcW w:w="732" w:type="pct"/>
            <w:vMerge w:val="restart"/>
            <w:noWrap w:val="0"/>
            <w:vAlign w:val="center"/>
          </w:tcPr>
          <w:p w14:paraId="1C082B55">
            <w:pPr>
              <w:rPr>
                <w:rFonts w:ascii="Times New Roman" w:hAnsi="Times New Roman" w:eastAsia="宋体" w:cs="Times New Roman"/>
                <w:highlight w:val="none"/>
              </w:rPr>
            </w:pPr>
            <w:r>
              <w:rPr>
                <w:rFonts w:hint="eastAsia" w:ascii="Times New Roman" w:hAnsi="Times New Roman" w:eastAsia="宋体" w:cs="Times New Roman"/>
                <w:highlight w:val="none"/>
              </w:rPr>
              <w:t>数据分析</w:t>
            </w:r>
          </w:p>
        </w:tc>
        <w:tc>
          <w:tcPr>
            <w:tcW w:w="1052" w:type="pct"/>
            <w:noWrap w:val="0"/>
            <w:vAlign w:val="center"/>
          </w:tcPr>
          <w:p w14:paraId="46F060D9">
            <w:pPr>
              <w:rPr>
                <w:rFonts w:ascii="Times New Roman" w:hAnsi="Times New Roman" w:eastAsia="宋体" w:cs="Times New Roman"/>
                <w:highlight w:val="none"/>
              </w:rPr>
            </w:pPr>
            <w:r>
              <w:rPr>
                <w:rFonts w:hint="eastAsia" w:ascii="Times New Roman" w:hAnsi="Times New Roman" w:eastAsia="宋体" w:cs="Times New Roman"/>
                <w:highlight w:val="none"/>
              </w:rPr>
              <w:t>区域排行</w:t>
            </w:r>
          </w:p>
        </w:tc>
        <w:tc>
          <w:tcPr>
            <w:tcW w:w="2309" w:type="pct"/>
            <w:noWrap w:val="0"/>
          </w:tcPr>
          <w:p w14:paraId="35A11801">
            <w:pPr>
              <w:rPr>
                <w:rFonts w:ascii="Times New Roman" w:hAnsi="Times New Roman" w:eastAsia="宋体" w:cs="Times New Roman"/>
                <w:highlight w:val="none"/>
              </w:rPr>
            </w:pPr>
            <w:r>
              <w:rPr>
                <w:rFonts w:hint="eastAsia" w:ascii="Times New Roman" w:hAnsi="Times New Roman" w:eastAsia="宋体" w:cs="Times New Roman"/>
                <w:highlight w:val="none"/>
              </w:rPr>
              <w:t>对辖区内按不同区县的税务机构的销售金额按油站按汇总之后当月进行排名，包含区县名称、累计销售金额、占比、排名顺序、年月等信息，可按照油站名称、年月进行信息检索</w:t>
            </w:r>
          </w:p>
        </w:tc>
      </w:tr>
      <w:tr w14:paraId="3C805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41811167">
            <w:pPr>
              <w:widowControl w:val="0"/>
              <w:spacing w:after="120"/>
              <w:ind w:firstLine="360"/>
              <w:jc w:val="center"/>
              <w:rPr>
                <w:rFonts w:hint="eastAsia" w:ascii="宋体" w:hAnsi="宋体" w:eastAsia="宋体" w:cs="宋体"/>
                <w:sz w:val="21"/>
                <w:szCs w:val="21"/>
                <w:highlight w:val="none"/>
                <w:lang w:val="en-US" w:eastAsia="zh-CN" w:bidi="ar-SA"/>
              </w:rPr>
            </w:pPr>
          </w:p>
        </w:tc>
        <w:tc>
          <w:tcPr>
            <w:tcW w:w="500" w:type="pct"/>
            <w:vMerge w:val="continue"/>
            <w:noWrap w:val="0"/>
            <w:vAlign w:val="center"/>
          </w:tcPr>
          <w:p w14:paraId="1EBE6B04">
            <w:pPr>
              <w:widowControl w:val="0"/>
              <w:spacing w:after="120"/>
              <w:ind w:firstLine="360"/>
              <w:jc w:val="center"/>
              <w:rPr>
                <w:rFonts w:hint="eastAsia" w:ascii="宋体" w:hAnsi="宋体" w:eastAsia="宋体" w:cs="宋体"/>
                <w:sz w:val="21"/>
                <w:szCs w:val="21"/>
                <w:highlight w:val="none"/>
                <w:lang w:val="en-US" w:eastAsia="zh-CN" w:bidi="ar-SA"/>
              </w:rPr>
            </w:pPr>
          </w:p>
        </w:tc>
        <w:tc>
          <w:tcPr>
            <w:tcW w:w="732" w:type="pct"/>
            <w:vMerge w:val="continue"/>
            <w:noWrap w:val="0"/>
            <w:vAlign w:val="center"/>
          </w:tcPr>
          <w:p w14:paraId="654E7FF6">
            <w:pPr>
              <w:widowControl w:val="0"/>
              <w:spacing w:after="120"/>
              <w:ind w:firstLine="360"/>
              <w:jc w:val="both"/>
              <w:rPr>
                <w:rFonts w:hint="eastAsia" w:ascii="宋体" w:hAnsi="宋体" w:eastAsia="宋体" w:cs="宋体"/>
                <w:sz w:val="21"/>
                <w:szCs w:val="21"/>
                <w:highlight w:val="none"/>
                <w:lang w:val="en-US" w:eastAsia="zh-CN" w:bidi="ar-SA"/>
              </w:rPr>
            </w:pPr>
          </w:p>
        </w:tc>
        <w:tc>
          <w:tcPr>
            <w:tcW w:w="1052" w:type="pct"/>
            <w:noWrap w:val="0"/>
            <w:vAlign w:val="center"/>
          </w:tcPr>
          <w:p w14:paraId="07D0D6EC">
            <w:pPr>
              <w:rPr>
                <w:rFonts w:ascii="Times New Roman" w:hAnsi="Times New Roman" w:eastAsia="宋体" w:cs="Times New Roman"/>
                <w:highlight w:val="none"/>
              </w:rPr>
            </w:pPr>
            <w:r>
              <w:rPr>
                <w:rFonts w:hint="eastAsia" w:ascii="Times New Roman" w:hAnsi="Times New Roman" w:eastAsia="宋体" w:cs="Times New Roman"/>
                <w:highlight w:val="none"/>
              </w:rPr>
              <w:t>油站排行</w:t>
            </w:r>
          </w:p>
        </w:tc>
        <w:tc>
          <w:tcPr>
            <w:tcW w:w="2309" w:type="pct"/>
            <w:noWrap w:val="0"/>
          </w:tcPr>
          <w:p w14:paraId="01EF9E3A">
            <w:pPr>
              <w:rPr>
                <w:rFonts w:ascii="Times New Roman" w:hAnsi="Times New Roman" w:eastAsia="宋体" w:cs="Times New Roman"/>
                <w:highlight w:val="none"/>
              </w:rPr>
            </w:pPr>
            <w:r>
              <w:rPr>
                <w:rFonts w:hint="eastAsia" w:ascii="Times New Roman" w:hAnsi="Times New Roman" w:eastAsia="宋体" w:cs="Times New Roman"/>
                <w:highlight w:val="none"/>
              </w:rPr>
              <w:t>对辖区内所有税务机构的销售金额按油站按月度汇总之后当月进行排名，包含区县名称、累计销售金额、占比、排名顺序、年月等信息，可按照油站名称、年月进行信息检索</w:t>
            </w:r>
          </w:p>
        </w:tc>
      </w:tr>
      <w:tr w14:paraId="29FA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4" w:type="pct"/>
            <w:vMerge w:val="continue"/>
            <w:noWrap w:val="0"/>
            <w:vAlign w:val="center"/>
          </w:tcPr>
          <w:p w14:paraId="31A84104">
            <w:pPr>
              <w:widowControl w:val="0"/>
              <w:spacing w:after="120"/>
              <w:ind w:firstLine="360"/>
              <w:jc w:val="center"/>
              <w:rPr>
                <w:rFonts w:hint="eastAsia" w:ascii="宋体" w:hAnsi="宋体" w:eastAsia="宋体" w:cs="宋体"/>
                <w:sz w:val="21"/>
                <w:szCs w:val="21"/>
                <w:highlight w:val="none"/>
                <w:lang w:val="en-US" w:eastAsia="zh-CN" w:bidi="ar-SA"/>
              </w:rPr>
            </w:pPr>
          </w:p>
        </w:tc>
        <w:tc>
          <w:tcPr>
            <w:tcW w:w="500" w:type="pct"/>
            <w:vMerge w:val="continue"/>
            <w:noWrap w:val="0"/>
            <w:vAlign w:val="center"/>
          </w:tcPr>
          <w:p w14:paraId="072001E5">
            <w:pPr>
              <w:widowControl w:val="0"/>
              <w:spacing w:after="120"/>
              <w:ind w:firstLine="360"/>
              <w:jc w:val="center"/>
              <w:rPr>
                <w:rFonts w:hint="eastAsia" w:ascii="宋体" w:hAnsi="宋体" w:eastAsia="宋体" w:cs="宋体"/>
                <w:sz w:val="21"/>
                <w:szCs w:val="21"/>
                <w:highlight w:val="none"/>
                <w:lang w:val="en-US" w:eastAsia="zh-CN" w:bidi="ar-SA"/>
              </w:rPr>
            </w:pPr>
          </w:p>
        </w:tc>
        <w:tc>
          <w:tcPr>
            <w:tcW w:w="732" w:type="pct"/>
            <w:vMerge w:val="continue"/>
            <w:noWrap w:val="0"/>
            <w:vAlign w:val="center"/>
          </w:tcPr>
          <w:p w14:paraId="4ECF9BA1">
            <w:pPr>
              <w:widowControl w:val="0"/>
              <w:spacing w:after="120"/>
              <w:ind w:firstLine="360"/>
              <w:jc w:val="both"/>
              <w:rPr>
                <w:rFonts w:hint="eastAsia" w:ascii="宋体" w:hAnsi="宋体" w:eastAsia="宋体" w:cs="宋体"/>
                <w:sz w:val="21"/>
                <w:szCs w:val="21"/>
                <w:highlight w:val="none"/>
                <w:lang w:val="en-US" w:eastAsia="zh-CN" w:bidi="ar-SA"/>
              </w:rPr>
            </w:pPr>
          </w:p>
        </w:tc>
        <w:tc>
          <w:tcPr>
            <w:tcW w:w="1052" w:type="pct"/>
            <w:noWrap w:val="0"/>
            <w:vAlign w:val="center"/>
          </w:tcPr>
          <w:p w14:paraId="34AA9D67">
            <w:pPr>
              <w:rPr>
                <w:rFonts w:ascii="Times New Roman" w:hAnsi="Times New Roman" w:eastAsia="宋体" w:cs="Times New Roman"/>
                <w:highlight w:val="none"/>
              </w:rPr>
            </w:pPr>
            <w:r>
              <w:rPr>
                <w:rFonts w:hint="eastAsia" w:ascii="Times New Roman" w:hAnsi="Times New Roman" w:eastAsia="宋体" w:cs="Times New Roman"/>
                <w:highlight w:val="none"/>
              </w:rPr>
              <w:t>区域年度营销走势</w:t>
            </w:r>
          </w:p>
        </w:tc>
        <w:tc>
          <w:tcPr>
            <w:tcW w:w="2309" w:type="pct"/>
            <w:noWrap w:val="0"/>
          </w:tcPr>
          <w:p w14:paraId="40B321C6">
            <w:pPr>
              <w:rPr>
                <w:rFonts w:ascii="Times New Roman" w:hAnsi="Times New Roman" w:eastAsia="宋体" w:cs="Times New Roman"/>
                <w:highlight w:val="none"/>
              </w:rPr>
            </w:pPr>
            <w:r>
              <w:rPr>
                <w:rFonts w:hint="eastAsia" w:ascii="Times New Roman" w:hAnsi="Times New Roman" w:eastAsia="宋体" w:cs="Times New Roman"/>
                <w:highlight w:val="none"/>
              </w:rPr>
              <w:t>对辖区内所有税务机构的所有加油站的销售金额按年度汇总之后与往年数据对比，展示走势曲线</w:t>
            </w:r>
          </w:p>
        </w:tc>
      </w:tr>
    </w:tbl>
    <w:p w14:paraId="623BC921">
      <w:pPr>
        <w:widowControl w:val="0"/>
        <w:numPr>
          <w:ilvl w:val="0"/>
          <w:numId w:val="6"/>
        </w:numPr>
        <w:spacing w:after="120" w:line="360" w:lineRule="auto"/>
        <w:ind w:left="0" w:firstLine="42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加油机数据采集设备</w:t>
      </w:r>
    </w:p>
    <w:p w14:paraId="0F2C05E8">
      <w:pPr>
        <w:widowControl w:val="0"/>
        <w:numPr>
          <w:ilvl w:val="0"/>
          <w:numId w:val="8"/>
        </w:numPr>
        <w:spacing w:after="0" w:line="360" w:lineRule="auto"/>
        <w:ind w:left="425" w:hanging="425"/>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数据采集设备技术要求：</w:t>
      </w:r>
    </w:p>
    <w:p w14:paraId="12A8F929">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要求内置嵌入式实时多任务操作系统，响应速度快，效率高，模块化设计，输入输出接口光耦隔离，采用防浪涌、防雷和EMC设计，集成度高，可靠性强，适用绝大部分加油机类型，支持有线、无线等多种传输模式，实现油机及油站相关设备的数据采集、存储、控制、报警及数据传输等综合功能。</w:t>
      </w:r>
    </w:p>
    <w:p w14:paraId="3700D789">
      <w:pPr>
        <w:widowControl w:val="0"/>
        <w:numPr>
          <w:ilvl w:val="0"/>
          <w:numId w:val="8"/>
        </w:numPr>
        <w:spacing w:after="0" w:line="360" w:lineRule="auto"/>
        <w:ind w:left="425" w:hanging="425"/>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技术参数要求</w:t>
      </w:r>
    </w:p>
    <w:tbl>
      <w:tblPr>
        <w:tblStyle w:val="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435"/>
        <w:gridCol w:w="6929"/>
      </w:tblGrid>
      <w:tr w14:paraId="1AB7B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475" w:type="pct"/>
            <w:noWrap w:val="0"/>
            <w:vAlign w:val="center"/>
          </w:tcPr>
          <w:p w14:paraId="0704952D">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序号</w:t>
            </w:r>
          </w:p>
        </w:tc>
        <w:tc>
          <w:tcPr>
            <w:tcW w:w="776" w:type="pct"/>
            <w:noWrap w:val="0"/>
            <w:vAlign w:val="center"/>
          </w:tcPr>
          <w:p w14:paraId="02E71D42">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项目</w:t>
            </w:r>
          </w:p>
        </w:tc>
        <w:tc>
          <w:tcPr>
            <w:tcW w:w="3747" w:type="pct"/>
            <w:noWrap w:val="0"/>
            <w:vAlign w:val="center"/>
          </w:tcPr>
          <w:p w14:paraId="164A2B27">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配置要求</w:t>
            </w:r>
          </w:p>
        </w:tc>
      </w:tr>
      <w:tr w14:paraId="70FF3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475" w:type="pct"/>
            <w:noWrap w:val="0"/>
            <w:vAlign w:val="center"/>
          </w:tcPr>
          <w:p w14:paraId="66ADC55E">
            <w:pPr>
              <w:jc w:val="center"/>
              <w:rPr>
                <w:rFonts w:hint="eastAsia" w:ascii="宋体" w:hAnsi="宋体" w:eastAsia="宋体" w:cs="宋体"/>
                <w:highlight w:val="none"/>
              </w:rPr>
            </w:pPr>
            <w:r>
              <w:rPr>
                <w:rFonts w:hint="eastAsia" w:ascii="宋体" w:hAnsi="宋体" w:eastAsia="宋体" w:cs="宋体"/>
                <w:highlight w:val="none"/>
              </w:rPr>
              <w:t>1</w:t>
            </w:r>
          </w:p>
        </w:tc>
        <w:tc>
          <w:tcPr>
            <w:tcW w:w="776" w:type="pct"/>
            <w:vMerge w:val="restart"/>
            <w:noWrap w:val="0"/>
            <w:vAlign w:val="center"/>
          </w:tcPr>
          <w:p w14:paraId="0888A4BF">
            <w:pPr>
              <w:rPr>
                <w:rFonts w:hint="eastAsia" w:ascii="宋体" w:hAnsi="宋体" w:eastAsia="宋体" w:cs="宋体"/>
                <w:highlight w:val="none"/>
              </w:rPr>
            </w:pPr>
            <w:r>
              <w:rPr>
                <w:rFonts w:hint="eastAsia" w:ascii="宋体" w:hAnsi="宋体" w:eastAsia="宋体" w:cs="宋体"/>
                <w:highlight w:val="none"/>
              </w:rPr>
              <w:t>产品功能</w:t>
            </w:r>
          </w:p>
        </w:tc>
        <w:tc>
          <w:tcPr>
            <w:tcW w:w="3747" w:type="pct"/>
            <w:noWrap w:val="0"/>
            <w:vAlign w:val="center"/>
          </w:tcPr>
          <w:p w14:paraId="54E9F051">
            <w:pPr>
              <w:rPr>
                <w:rFonts w:hint="eastAsia" w:ascii="宋体" w:hAnsi="宋体" w:eastAsia="宋体" w:cs="宋体"/>
                <w:highlight w:val="none"/>
              </w:rPr>
            </w:pPr>
            <w:r>
              <w:rPr>
                <w:rFonts w:hint="eastAsia" w:ascii="宋体" w:hAnsi="宋体" w:eastAsia="宋体" w:cs="宋体"/>
                <w:highlight w:val="none"/>
              </w:rPr>
              <w:t>具备通过报税口采集加油明细数据功能，采集的数据与加油机屏幕显示数据一致。</w:t>
            </w:r>
          </w:p>
        </w:tc>
      </w:tr>
      <w:tr w14:paraId="4A959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475" w:type="pct"/>
            <w:noWrap w:val="0"/>
            <w:vAlign w:val="center"/>
          </w:tcPr>
          <w:p w14:paraId="60131F03">
            <w:pPr>
              <w:jc w:val="center"/>
              <w:rPr>
                <w:rFonts w:hint="eastAsia" w:ascii="宋体" w:hAnsi="宋体" w:eastAsia="宋体" w:cs="宋体"/>
                <w:highlight w:val="none"/>
              </w:rPr>
            </w:pPr>
            <w:r>
              <w:rPr>
                <w:rFonts w:hint="eastAsia" w:ascii="宋体" w:hAnsi="宋体" w:eastAsia="宋体" w:cs="宋体"/>
                <w:highlight w:val="none"/>
              </w:rPr>
              <w:t>2</w:t>
            </w:r>
          </w:p>
        </w:tc>
        <w:tc>
          <w:tcPr>
            <w:tcW w:w="776" w:type="pct"/>
            <w:vMerge w:val="continue"/>
            <w:noWrap w:val="0"/>
            <w:vAlign w:val="center"/>
          </w:tcPr>
          <w:p w14:paraId="34E9113B">
            <w:pPr>
              <w:rPr>
                <w:rFonts w:hint="eastAsia" w:ascii="宋体" w:hAnsi="宋体" w:eastAsia="宋体" w:cs="宋体"/>
                <w:highlight w:val="none"/>
              </w:rPr>
            </w:pPr>
          </w:p>
        </w:tc>
        <w:tc>
          <w:tcPr>
            <w:tcW w:w="3747" w:type="pct"/>
            <w:noWrap w:val="0"/>
            <w:vAlign w:val="center"/>
          </w:tcPr>
          <w:p w14:paraId="72F97147">
            <w:pPr>
              <w:rPr>
                <w:rFonts w:hint="eastAsia" w:ascii="宋体" w:hAnsi="宋体" w:eastAsia="宋体" w:cs="宋体"/>
                <w:highlight w:val="none"/>
              </w:rPr>
            </w:pPr>
            <w:r>
              <w:rPr>
                <w:rFonts w:hint="eastAsia" w:ascii="宋体" w:hAnsi="宋体" w:eastAsia="宋体" w:cs="宋体"/>
                <w:highlight w:val="none"/>
              </w:rPr>
              <w:t>具备通过编码器采集加油明细数据功能。</w:t>
            </w:r>
          </w:p>
        </w:tc>
      </w:tr>
      <w:tr w14:paraId="14F41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475" w:type="pct"/>
            <w:noWrap w:val="0"/>
            <w:vAlign w:val="center"/>
          </w:tcPr>
          <w:p w14:paraId="4D8D7103">
            <w:pPr>
              <w:jc w:val="center"/>
              <w:rPr>
                <w:rFonts w:hint="eastAsia" w:ascii="宋体" w:hAnsi="宋体" w:eastAsia="宋体" w:cs="宋体"/>
                <w:highlight w:val="none"/>
              </w:rPr>
            </w:pPr>
            <w:r>
              <w:rPr>
                <w:rFonts w:hint="eastAsia" w:ascii="宋体" w:hAnsi="宋体" w:eastAsia="宋体" w:cs="宋体"/>
                <w:highlight w:val="none"/>
              </w:rPr>
              <w:t>3</w:t>
            </w:r>
          </w:p>
        </w:tc>
        <w:tc>
          <w:tcPr>
            <w:tcW w:w="776" w:type="pct"/>
            <w:vMerge w:val="continue"/>
            <w:noWrap w:val="0"/>
            <w:vAlign w:val="center"/>
          </w:tcPr>
          <w:p w14:paraId="4D5F76A9">
            <w:pPr>
              <w:rPr>
                <w:rFonts w:hint="eastAsia" w:ascii="宋体" w:hAnsi="宋体" w:eastAsia="宋体" w:cs="宋体"/>
                <w:highlight w:val="none"/>
              </w:rPr>
            </w:pPr>
          </w:p>
        </w:tc>
        <w:tc>
          <w:tcPr>
            <w:tcW w:w="3747" w:type="pct"/>
            <w:noWrap w:val="0"/>
            <w:vAlign w:val="center"/>
          </w:tcPr>
          <w:p w14:paraId="3BDD9B65">
            <w:pPr>
              <w:rPr>
                <w:rFonts w:hint="eastAsia" w:ascii="宋体" w:hAnsi="宋体" w:eastAsia="宋体" w:cs="宋体"/>
                <w:highlight w:val="none"/>
              </w:rPr>
            </w:pPr>
            <w:r>
              <w:rPr>
                <w:rFonts w:hint="eastAsia" w:ascii="宋体" w:hAnsi="宋体" w:eastAsia="宋体" w:cs="宋体"/>
                <w:highlight w:val="none"/>
              </w:rPr>
              <w:t>能够采集加油机监控微处理器（税控芯片）序列号信息，并上传到系统平台，系统平台显示的信息与使用专用POS机读取的监控微处理器（税控芯片）序列号信息一致。</w:t>
            </w:r>
          </w:p>
        </w:tc>
      </w:tr>
      <w:tr w14:paraId="072D5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475" w:type="pct"/>
            <w:noWrap w:val="0"/>
            <w:vAlign w:val="center"/>
          </w:tcPr>
          <w:p w14:paraId="5D68860E">
            <w:pPr>
              <w:jc w:val="center"/>
              <w:rPr>
                <w:rFonts w:hint="eastAsia" w:ascii="宋体" w:hAnsi="宋体" w:eastAsia="宋体" w:cs="宋体"/>
                <w:highlight w:val="none"/>
              </w:rPr>
            </w:pPr>
            <w:r>
              <w:rPr>
                <w:rFonts w:hint="eastAsia" w:ascii="宋体" w:hAnsi="宋体" w:eastAsia="宋体" w:cs="宋体"/>
                <w:highlight w:val="none"/>
              </w:rPr>
              <w:t>4</w:t>
            </w:r>
          </w:p>
        </w:tc>
        <w:tc>
          <w:tcPr>
            <w:tcW w:w="776" w:type="pct"/>
            <w:vMerge w:val="continue"/>
            <w:noWrap w:val="0"/>
            <w:vAlign w:val="center"/>
          </w:tcPr>
          <w:p w14:paraId="31E62540">
            <w:pPr>
              <w:rPr>
                <w:rFonts w:hint="eastAsia" w:ascii="宋体" w:hAnsi="宋体" w:eastAsia="宋体" w:cs="宋体"/>
                <w:highlight w:val="none"/>
              </w:rPr>
            </w:pPr>
          </w:p>
        </w:tc>
        <w:tc>
          <w:tcPr>
            <w:tcW w:w="3747" w:type="pct"/>
            <w:noWrap w:val="0"/>
            <w:vAlign w:val="center"/>
          </w:tcPr>
          <w:p w14:paraId="72C377AF">
            <w:pPr>
              <w:rPr>
                <w:rFonts w:hint="eastAsia" w:ascii="宋体" w:hAnsi="宋体" w:eastAsia="宋体" w:cs="宋体"/>
                <w:highlight w:val="none"/>
              </w:rPr>
            </w:pPr>
            <w:r>
              <w:rPr>
                <w:rFonts w:hint="eastAsia" w:ascii="宋体" w:hAnsi="宋体" w:eastAsia="宋体" w:cs="宋体"/>
                <w:highlight w:val="none"/>
              </w:rPr>
              <w:t>能够采集加油机编码器序列号信息，并上传到系统平台，系统平台显示的信息与使用专用POS机读取的编码器序列号信息一致</w:t>
            </w:r>
          </w:p>
        </w:tc>
      </w:tr>
      <w:tr w14:paraId="4DE31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475" w:type="pct"/>
            <w:noWrap w:val="0"/>
            <w:vAlign w:val="center"/>
          </w:tcPr>
          <w:p w14:paraId="3E73FC8B">
            <w:pPr>
              <w:jc w:val="center"/>
              <w:rPr>
                <w:rFonts w:hint="eastAsia" w:ascii="宋体" w:hAnsi="宋体" w:eastAsia="宋体" w:cs="宋体"/>
                <w:highlight w:val="none"/>
              </w:rPr>
            </w:pPr>
            <w:r>
              <w:rPr>
                <w:rFonts w:hint="eastAsia" w:ascii="宋体" w:hAnsi="宋体" w:eastAsia="宋体" w:cs="宋体"/>
                <w:highlight w:val="none"/>
              </w:rPr>
              <w:t>5</w:t>
            </w:r>
          </w:p>
        </w:tc>
        <w:tc>
          <w:tcPr>
            <w:tcW w:w="776" w:type="pct"/>
            <w:vMerge w:val="continue"/>
            <w:noWrap w:val="0"/>
            <w:vAlign w:val="center"/>
          </w:tcPr>
          <w:p w14:paraId="19A613ED">
            <w:pPr>
              <w:rPr>
                <w:rFonts w:hint="eastAsia" w:ascii="宋体" w:hAnsi="宋体" w:eastAsia="宋体" w:cs="宋体"/>
                <w:highlight w:val="none"/>
              </w:rPr>
            </w:pPr>
          </w:p>
        </w:tc>
        <w:tc>
          <w:tcPr>
            <w:tcW w:w="3747" w:type="pct"/>
            <w:noWrap w:val="0"/>
            <w:vAlign w:val="center"/>
          </w:tcPr>
          <w:p w14:paraId="4AFC38B1">
            <w:pPr>
              <w:rPr>
                <w:rFonts w:hint="eastAsia" w:ascii="宋体" w:hAnsi="宋体" w:eastAsia="宋体" w:cs="宋体"/>
                <w:highlight w:val="none"/>
              </w:rPr>
            </w:pPr>
            <w:r>
              <w:rPr>
                <w:rFonts w:hint="eastAsia" w:ascii="宋体" w:hAnsi="宋体" w:eastAsia="宋体" w:cs="宋体"/>
                <w:highlight w:val="none"/>
              </w:rPr>
              <w:t>能够采集加油机“异常记录”信息，并上传到系统平台，系统平台显示的异常记录信息（包括真实数据、显示数据）与使用专用POS机读取的“异常记录”信息一致。</w:t>
            </w:r>
          </w:p>
        </w:tc>
      </w:tr>
      <w:tr w14:paraId="1DCF6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475" w:type="pct"/>
            <w:noWrap w:val="0"/>
            <w:vAlign w:val="center"/>
          </w:tcPr>
          <w:p w14:paraId="0128C0F1">
            <w:pPr>
              <w:jc w:val="center"/>
              <w:rPr>
                <w:rFonts w:hint="eastAsia" w:ascii="宋体" w:hAnsi="宋体" w:eastAsia="宋体" w:cs="宋体"/>
                <w:highlight w:val="none"/>
              </w:rPr>
            </w:pPr>
            <w:r>
              <w:rPr>
                <w:rFonts w:hint="eastAsia" w:ascii="宋体" w:hAnsi="宋体" w:eastAsia="宋体" w:cs="宋体"/>
                <w:highlight w:val="none"/>
              </w:rPr>
              <w:t>6</w:t>
            </w:r>
          </w:p>
        </w:tc>
        <w:tc>
          <w:tcPr>
            <w:tcW w:w="776" w:type="pct"/>
            <w:vMerge w:val="continue"/>
            <w:noWrap w:val="0"/>
            <w:vAlign w:val="center"/>
          </w:tcPr>
          <w:p w14:paraId="74CB70CD">
            <w:pPr>
              <w:rPr>
                <w:rFonts w:hint="eastAsia" w:ascii="宋体" w:hAnsi="宋体" w:eastAsia="宋体" w:cs="宋体"/>
                <w:highlight w:val="none"/>
              </w:rPr>
            </w:pPr>
          </w:p>
        </w:tc>
        <w:tc>
          <w:tcPr>
            <w:tcW w:w="3747" w:type="pct"/>
            <w:noWrap w:val="0"/>
            <w:vAlign w:val="center"/>
          </w:tcPr>
          <w:p w14:paraId="53591651">
            <w:pPr>
              <w:rPr>
                <w:rFonts w:hint="eastAsia" w:ascii="宋体" w:hAnsi="宋体" w:eastAsia="宋体" w:cs="宋体"/>
                <w:highlight w:val="none"/>
              </w:rPr>
            </w:pPr>
            <w:r>
              <w:rPr>
                <w:rFonts w:hint="eastAsia" w:ascii="宋体" w:hAnsi="宋体" w:eastAsia="宋体" w:cs="宋体"/>
                <w:highlight w:val="none"/>
              </w:rPr>
              <w:t>能够监控加油机的在线状态信息，并上传到系统平台，系统平台能显示加油机的在线/离线状态信息。</w:t>
            </w:r>
          </w:p>
        </w:tc>
      </w:tr>
      <w:tr w14:paraId="3CC0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475" w:type="pct"/>
            <w:noWrap w:val="0"/>
            <w:vAlign w:val="center"/>
          </w:tcPr>
          <w:p w14:paraId="4AAEC5B1">
            <w:pPr>
              <w:jc w:val="center"/>
              <w:rPr>
                <w:rFonts w:hint="eastAsia" w:ascii="宋体" w:hAnsi="宋体" w:eastAsia="宋体" w:cs="宋体"/>
                <w:highlight w:val="none"/>
              </w:rPr>
            </w:pPr>
            <w:r>
              <w:rPr>
                <w:rFonts w:hint="eastAsia" w:ascii="宋体" w:hAnsi="宋体" w:eastAsia="宋体" w:cs="宋体"/>
                <w:highlight w:val="none"/>
              </w:rPr>
              <w:t>7</w:t>
            </w:r>
          </w:p>
        </w:tc>
        <w:tc>
          <w:tcPr>
            <w:tcW w:w="776" w:type="pct"/>
            <w:vMerge w:val="continue"/>
            <w:noWrap w:val="0"/>
            <w:vAlign w:val="center"/>
          </w:tcPr>
          <w:p w14:paraId="0EC57932">
            <w:pPr>
              <w:rPr>
                <w:rFonts w:hint="eastAsia" w:ascii="宋体" w:hAnsi="宋体" w:eastAsia="宋体" w:cs="宋体"/>
                <w:highlight w:val="none"/>
              </w:rPr>
            </w:pPr>
          </w:p>
        </w:tc>
        <w:tc>
          <w:tcPr>
            <w:tcW w:w="3747" w:type="pct"/>
            <w:noWrap w:val="0"/>
            <w:vAlign w:val="center"/>
          </w:tcPr>
          <w:p w14:paraId="1CC1D140">
            <w:pPr>
              <w:rPr>
                <w:rFonts w:hint="eastAsia" w:ascii="宋体" w:hAnsi="宋体" w:eastAsia="宋体" w:cs="宋体"/>
                <w:highlight w:val="none"/>
              </w:rPr>
            </w:pPr>
            <w:r>
              <w:rPr>
                <w:rFonts w:hint="eastAsia" w:ascii="宋体" w:hAnsi="宋体" w:eastAsia="宋体" w:cs="宋体"/>
                <w:highlight w:val="none"/>
              </w:rPr>
              <w:t>当采集设备或服务器网络中断期间，加油机新产生的加油明细数据能够存储在采集设备本地存储器中，当网络恢复正常后，采集设备能够将网络中断期间的加油明细数据，自动续传到系统平台中。</w:t>
            </w:r>
          </w:p>
        </w:tc>
      </w:tr>
      <w:tr w14:paraId="2067A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75" w:type="pct"/>
            <w:noWrap w:val="0"/>
            <w:vAlign w:val="center"/>
          </w:tcPr>
          <w:p w14:paraId="24FBCA22">
            <w:pPr>
              <w:jc w:val="center"/>
              <w:rPr>
                <w:rFonts w:hint="eastAsia" w:ascii="宋体" w:hAnsi="宋体" w:eastAsia="宋体" w:cs="宋体"/>
                <w:highlight w:val="none"/>
              </w:rPr>
            </w:pPr>
            <w:r>
              <w:rPr>
                <w:rFonts w:hint="eastAsia" w:ascii="宋体" w:hAnsi="宋体" w:eastAsia="宋体" w:cs="宋体"/>
                <w:highlight w:val="none"/>
              </w:rPr>
              <w:t>8</w:t>
            </w:r>
          </w:p>
        </w:tc>
        <w:tc>
          <w:tcPr>
            <w:tcW w:w="776" w:type="pct"/>
            <w:vMerge w:val="restart"/>
            <w:noWrap w:val="0"/>
            <w:vAlign w:val="center"/>
          </w:tcPr>
          <w:p w14:paraId="68423605">
            <w:pPr>
              <w:rPr>
                <w:rFonts w:hint="eastAsia" w:ascii="宋体" w:hAnsi="宋体" w:eastAsia="宋体" w:cs="宋体"/>
                <w:highlight w:val="none"/>
              </w:rPr>
            </w:pPr>
            <w:r>
              <w:rPr>
                <w:rFonts w:hint="eastAsia" w:ascii="宋体" w:hAnsi="宋体" w:eastAsia="宋体" w:cs="宋体"/>
                <w:highlight w:val="none"/>
              </w:rPr>
              <w:t>数据传输</w:t>
            </w:r>
          </w:p>
        </w:tc>
        <w:tc>
          <w:tcPr>
            <w:tcW w:w="3747" w:type="pct"/>
            <w:noWrap w:val="0"/>
            <w:vAlign w:val="center"/>
          </w:tcPr>
          <w:p w14:paraId="0A6256ED">
            <w:pPr>
              <w:rPr>
                <w:rFonts w:hint="eastAsia" w:ascii="宋体" w:hAnsi="宋体" w:eastAsia="宋体" w:cs="宋体"/>
                <w:highlight w:val="none"/>
              </w:rPr>
            </w:pPr>
            <w:r>
              <w:rPr>
                <w:rFonts w:hint="eastAsia" w:ascii="宋体" w:hAnsi="宋体" w:eastAsia="宋体" w:cs="宋体"/>
                <w:highlight w:val="none"/>
              </w:rPr>
              <w:t>采用4G/5G物联网模式，直接将采集的数据直传到云服务器，实现端对端直传，不经过油站中间环节周转。</w:t>
            </w:r>
          </w:p>
        </w:tc>
      </w:tr>
      <w:tr w14:paraId="43C4C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75" w:type="pct"/>
            <w:noWrap w:val="0"/>
            <w:vAlign w:val="center"/>
          </w:tcPr>
          <w:p w14:paraId="18D70DDE">
            <w:pPr>
              <w:jc w:val="center"/>
              <w:rPr>
                <w:rFonts w:hint="eastAsia" w:ascii="宋体" w:hAnsi="宋体" w:eastAsia="宋体" w:cs="宋体"/>
                <w:highlight w:val="none"/>
              </w:rPr>
            </w:pPr>
            <w:r>
              <w:rPr>
                <w:rFonts w:hint="eastAsia" w:ascii="宋体" w:hAnsi="宋体" w:eastAsia="宋体" w:cs="宋体"/>
                <w:highlight w:val="none"/>
              </w:rPr>
              <w:t>9</w:t>
            </w:r>
          </w:p>
        </w:tc>
        <w:tc>
          <w:tcPr>
            <w:tcW w:w="776" w:type="pct"/>
            <w:vMerge w:val="continue"/>
            <w:noWrap w:val="0"/>
            <w:vAlign w:val="center"/>
          </w:tcPr>
          <w:p w14:paraId="173D7C7D">
            <w:pPr>
              <w:rPr>
                <w:rFonts w:hint="eastAsia" w:ascii="宋体" w:hAnsi="宋体" w:eastAsia="宋体" w:cs="宋体"/>
                <w:highlight w:val="none"/>
              </w:rPr>
            </w:pPr>
          </w:p>
        </w:tc>
        <w:tc>
          <w:tcPr>
            <w:tcW w:w="3747" w:type="pct"/>
            <w:noWrap w:val="0"/>
            <w:vAlign w:val="center"/>
          </w:tcPr>
          <w:p w14:paraId="5BC1F713">
            <w:pPr>
              <w:rPr>
                <w:rFonts w:hint="eastAsia" w:ascii="宋体" w:hAnsi="宋体" w:eastAsia="宋体" w:cs="宋体"/>
                <w:highlight w:val="none"/>
              </w:rPr>
            </w:pPr>
            <w:r>
              <w:rPr>
                <w:rFonts w:hint="eastAsia" w:ascii="宋体" w:hAnsi="宋体" w:eastAsia="宋体" w:cs="宋体"/>
                <w:highlight w:val="none"/>
              </w:rPr>
              <w:t>制式支持：GSM/TD-SCDMA/WCDMA/cdma2000/TD-LTE/LTE FDD，射频功率：≤2W</w:t>
            </w:r>
          </w:p>
        </w:tc>
      </w:tr>
      <w:tr w14:paraId="619F9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475" w:type="pct"/>
            <w:noWrap w:val="0"/>
            <w:vAlign w:val="center"/>
          </w:tcPr>
          <w:p w14:paraId="651E060B">
            <w:pPr>
              <w:jc w:val="center"/>
              <w:rPr>
                <w:rFonts w:hint="eastAsia" w:ascii="宋体" w:hAnsi="宋体" w:eastAsia="宋体" w:cs="宋体"/>
                <w:highlight w:val="none"/>
              </w:rPr>
            </w:pPr>
            <w:r>
              <w:rPr>
                <w:rFonts w:hint="eastAsia" w:ascii="宋体" w:hAnsi="宋体" w:eastAsia="宋体" w:cs="宋体"/>
                <w:highlight w:val="none"/>
              </w:rPr>
              <w:t>10</w:t>
            </w:r>
          </w:p>
        </w:tc>
        <w:tc>
          <w:tcPr>
            <w:tcW w:w="776" w:type="pct"/>
            <w:vMerge w:val="restart"/>
            <w:noWrap w:val="0"/>
            <w:vAlign w:val="center"/>
          </w:tcPr>
          <w:p w14:paraId="3F495C0F">
            <w:pPr>
              <w:rPr>
                <w:rFonts w:hint="eastAsia" w:ascii="宋体" w:hAnsi="宋体" w:eastAsia="宋体" w:cs="宋体"/>
                <w:highlight w:val="none"/>
              </w:rPr>
            </w:pPr>
            <w:r>
              <w:rPr>
                <w:rFonts w:hint="eastAsia" w:ascii="宋体" w:hAnsi="宋体" w:eastAsia="宋体" w:cs="宋体"/>
                <w:highlight w:val="none"/>
              </w:rPr>
              <w:t>产品安全</w:t>
            </w:r>
          </w:p>
        </w:tc>
        <w:tc>
          <w:tcPr>
            <w:tcW w:w="3747" w:type="pct"/>
            <w:shd w:val="clear" w:color="000000" w:fill="auto"/>
            <w:noWrap w:val="0"/>
            <w:vAlign w:val="center"/>
          </w:tcPr>
          <w:p w14:paraId="5EBAE7A8">
            <w:pPr>
              <w:rPr>
                <w:rFonts w:hint="eastAsia" w:ascii="宋体" w:hAnsi="宋体" w:eastAsia="宋体" w:cs="宋体"/>
                <w:highlight w:val="none"/>
              </w:rPr>
            </w:pPr>
            <w:r>
              <w:rPr>
                <w:rFonts w:hint="eastAsia" w:ascii="宋体" w:hAnsi="宋体" w:eastAsia="宋体" w:cs="宋体"/>
                <w:highlight w:val="none"/>
              </w:rPr>
              <w:t>设备符合防爆要求，并</w:t>
            </w:r>
            <w:r>
              <w:rPr>
                <w:rFonts w:hint="eastAsia" w:ascii="宋体" w:hAnsi="宋体" w:eastAsia="宋体" w:cs="宋体"/>
                <w:highlight w:val="none"/>
                <w:lang w:val="en-US" w:eastAsia="zh-CN"/>
              </w:rPr>
              <w:t>提供</w:t>
            </w:r>
            <w:r>
              <w:rPr>
                <w:rFonts w:hint="eastAsia" w:ascii="宋体" w:hAnsi="宋体" w:eastAsia="宋体" w:cs="宋体"/>
                <w:highlight w:val="none"/>
              </w:rPr>
              <w:t>检验机构的防爆合格证和检验报告</w:t>
            </w:r>
            <w:r>
              <w:rPr>
                <w:rFonts w:hint="eastAsia" w:ascii="宋体" w:hAnsi="宋体" w:eastAsia="宋体" w:cs="宋体"/>
                <w:highlight w:val="none"/>
                <w:lang w:val="en-US" w:eastAsia="zh-CN"/>
              </w:rPr>
              <w:t>原件扫描件</w:t>
            </w:r>
            <w:r>
              <w:rPr>
                <w:rFonts w:hint="eastAsia" w:ascii="宋体" w:hAnsi="宋体" w:eastAsia="宋体" w:cs="宋体"/>
                <w:highlight w:val="none"/>
              </w:rPr>
              <w:t>。</w:t>
            </w:r>
          </w:p>
        </w:tc>
      </w:tr>
      <w:tr w14:paraId="05C3E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475" w:type="pct"/>
            <w:noWrap w:val="0"/>
            <w:vAlign w:val="center"/>
          </w:tcPr>
          <w:p w14:paraId="7D880F2B">
            <w:pPr>
              <w:jc w:val="center"/>
              <w:rPr>
                <w:rFonts w:hint="eastAsia" w:ascii="宋体" w:hAnsi="宋体" w:eastAsia="宋体" w:cs="宋体"/>
                <w:highlight w:val="none"/>
              </w:rPr>
            </w:pPr>
            <w:r>
              <w:rPr>
                <w:rFonts w:hint="eastAsia" w:ascii="宋体" w:hAnsi="宋体" w:eastAsia="宋体" w:cs="宋体"/>
                <w:highlight w:val="none"/>
              </w:rPr>
              <w:t>11</w:t>
            </w:r>
          </w:p>
        </w:tc>
        <w:tc>
          <w:tcPr>
            <w:tcW w:w="776" w:type="pct"/>
            <w:vMerge w:val="continue"/>
            <w:noWrap w:val="0"/>
            <w:vAlign w:val="center"/>
          </w:tcPr>
          <w:p w14:paraId="2D5ABDE7">
            <w:pPr>
              <w:rPr>
                <w:rFonts w:hint="eastAsia" w:ascii="宋体" w:hAnsi="宋体" w:eastAsia="宋体" w:cs="宋体"/>
                <w:highlight w:val="none"/>
              </w:rPr>
            </w:pPr>
          </w:p>
        </w:tc>
        <w:tc>
          <w:tcPr>
            <w:tcW w:w="3747" w:type="pct"/>
            <w:shd w:val="clear" w:color="000000" w:fill="auto"/>
            <w:noWrap w:val="0"/>
            <w:vAlign w:val="center"/>
          </w:tcPr>
          <w:p w14:paraId="5A26D127">
            <w:pPr>
              <w:rPr>
                <w:rFonts w:hint="eastAsia" w:ascii="宋体" w:hAnsi="宋体" w:eastAsia="宋体" w:cs="宋体"/>
                <w:highlight w:val="none"/>
              </w:rPr>
            </w:pPr>
            <w:r>
              <w:rPr>
                <w:rFonts w:hint="eastAsia" w:ascii="宋体" w:hAnsi="宋体" w:eastAsia="宋体" w:cs="宋体"/>
                <w:highlight w:val="none"/>
              </w:rPr>
              <w:t>设备安装后不影响加油机的计量准确性：设备安装前、后分别对加油机进行示值误差试验，其示值误差和重复性要求均符合国家标准范围。</w:t>
            </w:r>
          </w:p>
        </w:tc>
      </w:tr>
      <w:tr w14:paraId="3640A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75" w:type="pct"/>
            <w:noWrap w:val="0"/>
            <w:vAlign w:val="center"/>
          </w:tcPr>
          <w:p w14:paraId="702520E5">
            <w:pPr>
              <w:jc w:val="center"/>
              <w:rPr>
                <w:rFonts w:hint="eastAsia" w:ascii="宋体" w:hAnsi="宋体" w:eastAsia="宋体" w:cs="宋体"/>
                <w:highlight w:val="none"/>
              </w:rPr>
            </w:pPr>
            <w:r>
              <w:rPr>
                <w:rFonts w:hint="eastAsia" w:ascii="宋体" w:hAnsi="宋体" w:eastAsia="宋体" w:cs="宋体"/>
                <w:highlight w:val="none"/>
              </w:rPr>
              <w:t>12</w:t>
            </w:r>
          </w:p>
        </w:tc>
        <w:tc>
          <w:tcPr>
            <w:tcW w:w="776" w:type="pct"/>
            <w:vMerge w:val="continue"/>
            <w:noWrap w:val="0"/>
            <w:vAlign w:val="center"/>
          </w:tcPr>
          <w:p w14:paraId="5B3D5694">
            <w:pPr>
              <w:rPr>
                <w:rFonts w:hint="eastAsia" w:ascii="宋体" w:hAnsi="宋体" w:eastAsia="宋体" w:cs="宋体"/>
                <w:highlight w:val="none"/>
              </w:rPr>
            </w:pPr>
          </w:p>
        </w:tc>
        <w:tc>
          <w:tcPr>
            <w:tcW w:w="3747" w:type="pct"/>
            <w:shd w:val="clear" w:color="000000" w:fill="auto"/>
            <w:noWrap w:val="0"/>
            <w:vAlign w:val="center"/>
          </w:tcPr>
          <w:p w14:paraId="395FC33D">
            <w:pPr>
              <w:rPr>
                <w:rFonts w:hint="eastAsia" w:ascii="宋体" w:hAnsi="宋体" w:eastAsia="宋体" w:cs="宋体"/>
                <w:highlight w:val="none"/>
              </w:rPr>
            </w:pPr>
            <w:r>
              <w:rPr>
                <w:rFonts w:hint="eastAsia" w:ascii="宋体" w:hAnsi="宋体" w:eastAsia="宋体" w:cs="宋体"/>
                <w:highlight w:val="none"/>
              </w:rPr>
              <w:t>设备完成电磁兼容测试，取得电磁兼容测试报告，包括静电放电抗扰度、射频电磁场辐射抗扰度、电快速瞬变脉冲群抗扰度、浪涌（冲击）抗扰度、电压暂降抗扰度。</w:t>
            </w:r>
            <w:r>
              <w:rPr>
                <w:rFonts w:hint="eastAsia" w:ascii="宋体" w:hAnsi="宋体" w:eastAsia="宋体" w:cs="宋体"/>
                <w:b w:val="0"/>
                <w:bCs w:val="0"/>
                <w:highlight w:val="none"/>
              </w:rPr>
              <w:t>注：需提供第三方检测机构出具的</w:t>
            </w:r>
            <w:r>
              <w:rPr>
                <w:rFonts w:hint="eastAsia" w:ascii="宋体" w:hAnsi="宋体" w:eastAsia="宋体" w:cs="宋体"/>
                <w:b w:val="0"/>
                <w:bCs w:val="0"/>
                <w:highlight w:val="none"/>
                <w:lang w:val="en-US" w:eastAsia="zh-CN"/>
              </w:rPr>
              <w:t>有效期内的</w:t>
            </w:r>
            <w:r>
              <w:rPr>
                <w:rFonts w:hint="eastAsia" w:ascii="宋体" w:hAnsi="宋体" w:eastAsia="宋体" w:cs="宋体"/>
                <w:b w:val="0"/>
                <w:bCs w:val="0"/>
                <w:highlight w:val="none"/>
              </w:rPr>
              <w:t>带有CMA或CNAS标识的检测报告扫描件。</w:t>
            </w:r>
          </w:p>
        </w:tc>
      </w:tr>
      <w:tr w14:paraId="42278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5" w:type="pct"/>
            <w:noWrap w:val="0"/>
            <w:vAlign w:val="center"/>
          </w:tcPr>
          <w:p w14:paraId="5D81F130">
            <w:pPr>
              <w:jc w:val="center"/>
              <w:rPr>
                <w:rFonts w:hint="eastAsia" w:ascii="宋体" w:hAnsi="宋体" w:eastAsia="宋体" w:cs="宋体"/>
                <w:highlight w:val="none"/>
              </w:rPr>
            </w:pPr>
            <w:r>
              <w:rPr>
                <w:rFonts w:hint="eastAsia" w:ascii="宋体" w:hAnsi="宋体" w:eastAsia="宋体" w:cs="宋体"/>
                <w:highlight w:val="none"/>
              </w:rPr>
              <w:t>13</w:t>
            </w:r>
          </w:p>
        </w:tc>
        <w:tc>
          <w:tcPr>
            <w:tcW w:w="776" w:type="pct"/>
            <w:noWrap w:val="0"/>
            <w:vAlign w:val="center"/>
          </w:tcPr>
          <w:p w14:paraId="37C94928">
            <w:pPr>
              <w:rPr>
                <w:rFonts w:hint="eastAsia" w:ascii="宋体" w:hAnsi="宋体" w:eastAsia="宋体" w:cs="宋体"/>
                <w:highlight w:val="none"/>
              </w:rPr>
            </w:pPr>
            <w:r>
              <w:rPr>
                <w:rFonts w:hint="eastAsia" w:ascii="宋体" w:hAnsi="宋体" w:eastAsia="宋体" w:cs="宋体"/>
                <w:highlight w:val="none"/>
              </w:rPr>
              <w:t>处理器</w:t>
            </w:r>
          </w:p>
        </w:tc>
        <w:tc>
          <w:tcPr>
            <w:tcW w:w="3747" w:type="pct"/>
            <w:noWrap w:val="0"/>
            <w:vAlign w:val="center"/>
          </w:tcPr>
          <w:p w14:paraId="20F4E3EF">
            <w:pPr>
              <w:rPr>
                <w:rFonts w:hint="eastAsia" w:ascii="宋体" w:hAnsi="宋体" w:eastAsia="宋体" w:cs="宋体"/>
                <w:highlight w:val="none"/>
              </w:rPr>
            </w:pPr>
            <w:r>
              <w:rPr>
                <w:rFonts w:hint="eastAsia" w:ascii="宋体" w:hAnsi="宋体" w:eastAsia="宋体" w:cs="宋体"/>
                <w:highlight w:val="none"/>
              </w:rPr>
              <w:t>工业级处理器</w:t>
            </w:r>
          </w:p>
        </w:tc>
      </w:tr>
      <w:tr w14:paraId="7469F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5" w:type="pct"/>
            <w:noWrap w:val="0"/>
            <w:vAlign w:val="center"/>
          </w:tcPr>
          <w:p w14:paraId="26EF0D80">
            <w:pPr>
              <w:jc w:val="center"/>
              <w:rPr>
                <w:rFonts w:hint="eastAsia" w:ascii="宋体" w:hAnsi="宋体" w:eastAsia="宋体" w:cs="宋体"/>
                <w:highlight w:val="none"/>
              </w:rPr>
            </w:pPr>
            <w:r>
              <w:rPr>
                <w:rFonts w:hint="eastAsia" w:ascii="宋体" w:hAnsi="宋体" w:eastAsia="宋体" w:cs="宋体"/>
                <w:highlight w:val="none"/>
              </w:rPr>
              <w:t>14</w:t>
            </w:r>
          </w:p>
        </w:tc>
        <w:tc>
          <w:tcPr>
            <w:tcW w:w="776" w:type="pct"/>
            <w:noWrap w:val="0"/>
            <w:vAlign w:val="center"/>
          </w:tcPr>
          <w:p w14:paraId="701921B4">
            <w:pPr>
              <w:rPr>
                <w:rFonts w:hint="eastAsia" w:ascii="宋体" w:hAnsi="宋体" w:eastAsia="宋体" w:cs="宋体"/>
                <w:highlight w:val="none"/>
              </w:rPr>
            </w:pPr>
            <w:r>
              <w:rPr>
                <w:rFonts w:hint="eastAsia" w:ascii="宋体" w:hAnsi="宋体" w:eastAsia="宋体" w:cs="宋体"/>
                <w:highlight w:val="none"/>
              </w:rPr>
              <w:t>天线接口</w:t>
            </w:r>
          </w:p>
        </w:tc>
        <w:tc>
          <w:tcPr>
            <w:tcW w:w="3747" w:type="pct"/>
            <w:noWrap w:val="0"/>
            <w:vAlign w:val="center"/>
          </w:tcPr>
          <w:p w14:paraId="4AFC4207">
            <w:pPr>
              <w:rPr>
                <w:rFonts w:hint="eastAsia" w:ascii="宋体" w:hAnsi="宋体" w:eastAsia="宋体" w:cs="宋体"/>
                <w:highlight w:val="none"/>
              </w:rPr>
            </w:pPr>
            <w:r>
              <w:rPr>
                <w:rFonts w:hint="eastAsia" w:ascii="宋体" w:hAnsi="宋体" w:eastAsia="宋体" w:cs="宋体"/>
                <w:highlight w:val="none"/>
              </w:rPr>
              <w:t>标准 SMA 天线接口</w:t>
            </w:r>
          </w:p>
        </w:tc>
      </w:tr>
      <w:tr w14:paraId="4E03F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5" w:type="pct"/>
            <w:noWrap w:val="0"/>
            <w:vAlign w:val="center"/>
          </w:tcPr>
          <w:p w14:paraId="5392FBF9">
            <w:pPr>
              <w:jc w:val="center"/>
              <w:rPr>
                <w:rFonts w:hint="eastAsia" w:ascii="宋体" w:hAnsi="宋体" w:eastAsia="宋体" w:cs="宋体"/>
                <w:highlight w:val="none"/>
              </w:rPr>
            </w:pPr>
            <w:r>
              <w:rPr>
                <w:rFonts w:hint="eastAsia" w:ascii="宋体" w:hAnsi="宋体" w:eastAsia="宋体" w:cs="宋体"/>
                <w:highlight w:val="none"/>
              </w:rPr>
              <w:t>15</w:t>
            </w:r>
          </w:p>
        </w:tc>
        <w:tc>
          <w:tcPr>
            <w:tcW w:w="776" w:type="pct"/>
            <w:noWrap w:val="0"/>
            <w:vAlign w:val="center"/>
          </w:tcPr>
          <w:p w14:paraId="51432CF0">
            <w:pPr>
              <w:rPr>
                <w:rFonts w:hint="eastAsia" w:ascii="宋体" w:hAnsi="宋体" w:eastAsia="宋体" w:cs="宋体"/>
                <w:highlight w:val="none"/>
              </w:rPr>
            </w:pPr>
            <w:r>
              <w:rPr>
                <w:rFonts w:hint="eastAsia" w:ascii="宋体" w:hAnsi="宋体" w:eastAsia="宋体" w:cs="宋体"/>
                <w:highlight w:val="none"/>
              </w:rPr>
              <w:t>电压</w:t>
            </w:r>
          </w:p>
        </w:tc>
        <w:tc>
          <w:tcPr>
            <w:tcW w:w="3747" w:type="pct"/>
            <w:noWrap w:val="0"/>
            <w:vAlign w:val="center"/>
          </w:tcPr>
          <w:p w14:paraId="5F0E8EE8">
            <w:pPr>
              <w:rPr>
                <w:rFonts w:hint="eastAsia" w:ascii="宋体" w:hAnsi="宋体" w:eastAsia="宋体" w:cs="宋体"/>
                <w:highlight w:val="none"/>
              </w:rPr>
            </w:pPr>
            <w:r>
              <w:rPr>
                <w:rFonts w:hint="eastAsia" w:ascii="宋体" w:hAnsi="宋体" w:eastAsia="宋体" w:cs="宋体"/>
                <w:highlight w:val="none"/>
              </w:rPr>
              <w:t>供电范围： DC 5V—12V</w:t>
            </w:r>
          </w:p>
        </w:tc>
      </w:tr>
      <w:tr w14:paraId="56E9D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475" w:type="pct"/>
            <w:noWrap w:val="0"/>
            <w:vAlign w:val="center"/>
          </w:tcPr>
          <w:p w14:paraId="439FADC0">
            <w:pPr>
              <w:jc w:val="center"/>
              <w:rPr>
                <w:rFonts w:hint="eastAsia" w:ascii="宋体" w:hAnsi="宋体" w:eastAsia="宋体" w:cs="宋体"/>
                <w:highlight w:val="none"/>
              </w:rPr>
            </w:pPr>
            <w:r>
              <w:rPr>
                <w:rFonts w:hint="eastAsia" w:ascii="宋体" w:hAnsi="宋体" w:eastAsia="宋体" w:cs="宋体"/>
                <w:highlight w:val="none"/>
              </w:rPr>
              <w:t>16</w:t>
            </w:r>
          </w:p>
        </w:tc>
        <w:tc>
          <w:tcPr>
            <w:tcW w:w="776" w:type="pct"/>
            <w:noWrap w:val="0"/>
            <w:vAlign w:val="center"/>
          </w:tcPr>
          <w:p w14:paraId="0898A113">
            <w:pPr>
              <w:rPr>
                <w:rFonts w:hint="eastAsia" w:ascii="宋体" w:hAnsi="宋体" w:eastAsia="宋体" w:cs="宋体"/>
                <w:highlight w:val="none"/>
              </w:rPr>
            </w:pPr>
            <w:r>
              <w:rPr>
                <w:rFonts w:hint="eastAsia" w:ascii="宋体" w:hAnsi="宋体" w:eastAsia="宋体" w:cs="宋体"/>
                <w:highlight w:val="none"/>
              </w:rPr>
              <w:t>数据接口</w:t>
            </w:r>
          </w:p>
        </w:tc>
        <w:tc>
          <w:tcPr>
            <w:tcW w:w="3747" w:type="pct"/>
            <w:noWrap w:val="0"/>
            <w:vAlign w:val="center"/>
          </w:tcPr>
          <w:p w14:paraId="3D6EBDB1">
            <w:pPr>
              <w:rPr>
                <w:rFonts w:hint="eastAsia" w:ascii="宋体" w:hAnsi="宋体" w:eastAsia="宋体" w:cs="宋体"/>
                <w:highlight w:val="none"/>
              </w:rPr>
            </w:pPr>
            <w:r>
              <w:rPr>
                <w:rFonts w:hint="eastAsia" w:ascii="宋体" w:hAnsi="宋体" w:eastAsia="宋体" w:cs="宋体"/>
                <w:highlight w:val="none"/>
              </w:rPr>
              <w:t>▲1台设备能够同时支持4个报税口数据采集接口、4个编码器信号采集接口、4个油枪提挂枪信号采集接口。</w:t>
            </w:r>
            <w:r>
              <w:rPr>
                <w:rFonts w:hint="eastAsia" w:ascii="宋体" w:hAnsi="宋体" w:eastAsia="宋体" w:cs="宋体"/>
                <w:b/>
                <w:bCs/>
                <w:highlight w:val="none"/>
              </w:rPr>
              <w:t>注：需提供第三方检测机构出具的带有CMA或CNAS标识的检测报告扫描件。</w:t>
            </w:r>
          </w:p>
        </w:tc>
      </w:tr>
      <w:tr w14:paraId="07803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475" w:type="pct"/>
            <w:noWrap w:val="0"/>
            <w:vAlign w:val="center"/>
          </w:tcPr>
          <w:p w14:paraId="6EB8016A">
            <w:pPr>
              <w:jc w:val="center"/>
              <w:rPr>
                <w:rFonts w:hint="eastAsia" w:ascii="宋体" w:hAnsi="宋体" w:eastAsia="宋体" w:cs="宋体"/>
                <w:highlight w:val="none"/>
              </w:rPr>
            </w:pPr>
            <w:r>
              <w:rPr>
                <w:rFonts w:hint="eastAsia" w:ascii="宋体" w:hAnsi="宋体" w:eastAsia="宋体" w:cs="宋体"/>
                <w:highlight w:val="none"/>
              </w:rPr>
              <w:t>17</w:t>
            </w:r>
          </w:p>
        </w:tc>
        <w:tc>
          <w:tcPr>
            <w:tcW w:w="776" w:type="pct"/>
            <w:noWrap w:val="0"/>
            <w:vAlign w:val="center"/>
          </w:tcPr>
          <w:p w14:paraId="21129645">
            <w:pPr>
              <w:rPr>
                <w:rFonts w:hint="eastAsia" w:ascii="宋体" w:hAnsi="宋体" w:eastAsia="宋体" w:cs="宋体"/>
                <w:highlight w:val="none"/>
              </w:rPr>
            </w:pPr>
            <w:r>
              <w:rPr>
                <w:rFonts w:hint="eastAsia" w:ascii="宋体" w:hAnsi="宋体" w:eastAsia="宋体" w:cs="宋体"/>
                <w:highlight w:val="none"/>
              </w:rPr>
              <w:t>环境温度</w:t>
            </w:r>
          </w:p>
        </w:tc>
        <w:tc>
          <w:tcPr>
            <w:tcW w:w="3747" w:type="pct"/>
            <w:noWrap w:val="0"/>
            <w:vAlign w:val="center"/>
          </w:tcPr>
          <w:p w14:paraId="743D96D2">
            <w:pPr>
              <w:rPr>
                <w:rFonts w:hint="eastAsia" w:ascii="宋体" w:hAnsi="宋体" w:eastAsia="宋体" w:cs="宋体"/>
                <w:highlight w:val="none"/>
              </w:rPr>
            </w:pPr>
            <w:r>
              <w:rPr>
                <w:rFonts w:hint="eastAsia" w:ascii="宋体" w:hAnsi="宋体" w:eastAsia="宋体" w:cs="宋体"/>
                <w:highlight w:val="none"/>
              </w:rPr>
              <w:t>-30℃≤Ta≤+70℃</w:t>
            </w:r>
          </w:p>
        </w:tc>
      </w:tr>
      <w:tr w14:paraId="5A3D0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475" w:type="pct"/>
            <w:noWrap w:val="0"/>
            <w:vAlign w:val="center"/>
          </w:tcPr>
          <w:p w14:paraId="79568B1B">
            <w:pPr>
              <w:jc w:val="center"/>
              <w:rPr>
                <w:rFonts w:hint="eastAsia" w:ascii="宋体" w:hAnsi="宋体" w:eastAsia="宋体" w:cs="宋体"/>
                <w:highlight w:val="none"/>
              </w:rPr>
            </w:pPr>
            <w:r>
              <w:rPr>
                <w:rFonts w:hint="eastAsia" w:ascii="宋体" w:hAnsi="宋体" w:eastAsia="宋体" w:cs="宋体"/>
                <w:highlight w:val="none"/>
              </w:rPr>
              <w:t>18</w:t>
            </w:r>
          </w:p>
        </w:tc>
        <w:tc>
          <w:tcPr>
            <w:tcW w:w="776" w:type="pct"/>
            <w:noWrap w:val="0"/>
            <w:vAlign w:val="center"/>
          </w:tcPr>
          <w:p w14:paraId="6FCAEAFD">
            <w:pPr>
              <w:rPr>
                <w:rFonts w:hint="eastAsia" w:ascii="宋体" w:hAnsi="宋体" w:eastAsia="宋体" w:cs="宋体"/>
                <w:highlight w:val="none"/>
              </w:rPr>
            </w:pPr>
            <w:r>
              <w:rPr>
                <w:rFonts w:hint="eastAsia" w:ascii="宋体" w:hAnsi="宋体" w:eastAsia="宋体" w:cs="宋体"/>
                <w:highlight w:val="none"/>
              </w:rPr>
              <w:t>状态指示灯</w:t>
            </w:r>
          </w:p>
        </w:tc>
        <w:tc>
          <w:tcPr>
            <w:tcW w:w="3747" w:type="pct"/>
            <w:noWrap w:val="0"/>
            <w:vAlign w:val="center"/>
          </w:tcPr>
          <w:p w14:paraId="747E009A">
            <w:pPr>
              <w:rPr>
                <w:rFonts w:hint="eastAsia" w:ascii="宋体" w:hAnsi="宋体" w:eastAsia="宋体" w:cs="宋体"/>
                <w:highlight w:val="none"/>
              </w:rPr>
            </w:pPr>
            <w:r>
              <w:rPr>
                <w:rFonts w:hint="eastAsia" w:ascii="宋体" w:hAnsi="宋体" w:eastAsia="宋体" w:cs="宋体"/>
                <w:highlight w:val="none"/>
              </w:rPr>
              <w:t>至少支持4个独立状态指示灯，包括电源状态、网络信号状态、正常运行状态、信号采集状态。</w:t>
            </w:r>
          </w:p>
        </w:tc>
      </w:tr>
      <w:tr w14:paraId="389B3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75" w:type="pct"/>
            <w:noWrap w:val="0"/>
            <w:vAlign w:val="center"/>
          </w:tcPr>
          <w:p w14:paraId="47371ECC">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19</w:t>
            </w:r>
          </w:p>
        </w:tc>
        <w:tc>
          <w:tcPr>
            <w:tcW w:w="776" w:type="pct"/>
            <w:noWrap w:val="0"/>
            <w:vAlign w:val="center"/>
          </w:tcPr>
          <w:p w14:paraId="1E6BA1FE">
            <w:pPr>
              <w:rPr>
                <w:rFonts w:hint="eastAsia" w:ascii="宋体" w:hAnsi="宋体" w:eastAsia="宋体" w:cs="宋体"/>
                <w:highlight w:val="none"/>
              </w:rPr>
            </w:pPr>
            <w:r>
              <w:rPr>
                <w:rFonts w:hint="eastAsia" w:ascii="宋体" w:hAnsi="宋体" w:eastAsia="宋体" w:cs="宋体"/>
                <w:highlight w:val="none"/>
              </w:rPr>
              <w:t>兼容性</w:t>
            </w:r>
          </w:p>
        </w:tc>
        <w:tc>
          <w:tcPr>
            <w:tcW w:w="3747" w:type="pct"/>
            <w:shd w:val="clear" w:color="000000" w:fill="auto"/>
            <w:noWrap w:val="0"/>
            <w:vAlign w:val="center"/>
          </w:tcPr>
          <w:p w14:paraId="14C79C12">
            <w:pPr>
              <w:rPr>
                <w:rFonts w:hint="eastAsia" w:ascii="宋体" w:hAnsi="宋体" w:eastAsia="宋体" w:cs="宋体"/>
                <w:highlight w:val="none"/>
              </w:rPr>
            </w:pPr>
            <w:r>
              <w:rPr>
                <w:rFonts w:hint="eastAsia" w:ascii="宋体" w:hAnsi="宋体" w:eastAsia="宋体" w:cs="宋体"/>
                <w:highlight w:val="none"/>
              </w:rPr>
              <w:t>兼容市面在用的所有厂家加油机，包括2019 年后生产的新型加密加油机。</w:t>
            </w:r>
          </w:p>
        </w:tc>
      </w:tr>
      <w:tr w14:paraId="0285D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5" w:type="pct"/>
            <w:noWrap w:val="0"/>
            <w:vAlign w:val="center"/>
          </w:tcPr>
          <w:p w14:paraId="0AF3A89D">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20</w:t>
            </w:r>
          </w:p>
        </w:tc>
        <w:tc>
          <w:tcPr>
            <w:tcW w:w="776" w:type="pct"/>
            <w:noWrap w:val="0"/>
            <w:vAlign w:val="center"/>
          </w:tcPr>
          <w:p w14:paraId="56C57C9F">
            <w:pPr>
              <w:rPr>
                <w:rFonts w:hint="eastAsia" w:ascii="宋体" w:hAnsi="宋体" w:eastAsia="宋体" w:cs="宋体"/>
                <w:highlight w:val="none"/>
              </w:rPr>
            </w:pPr>
            <w:r>
              <w:rPr>
                <w:rFonts w:hint="eastAsia" w:ascii="宋体" w:hAnsi="宋体" w:eastAsia="宋体" w:cs="宋体"/>
                <w:highlight w:val="none"/>
              </w:rPr>
              <w:t>设备升级</w:t>
            </w:r>
          </w:p>
        </w:tc>
        <w:tc>
          <w:tcPr>
            <w:tcW w:w="3747" w:type="pct"/>
            <w:shd w:val="clear" w:color="000000" w:fill="auto"/>
            <w:noWrap w:val="0"/>
            <w:vAlign w:val="center"/>
          </w:tcPr>
          <w:p w14:paraId="35EA090B">
            <w:pPr>
              <w:rPr>
                <w:rFonts w:hint="eastAsia" w:ascii="宋体" w:hAnsi="宋体" w:eastAsia="宋体" w:cs="宋体"/>
                <w:highlight w:val="none"/>
              </w:rPr>
            </w:pPr>
            <w:r>
              <w:rPr>
                <w:rFonts w:hint="eastAsia" w:ascii="宋体" w:hAnsi="宋体" w:eastAsia="宋体" w:cs="宋体"/>
                <w:highlight w:val="none"/>
              </w:rPr>
              <w:t>支持本地升级和远程在线升级。</w:t>
            </w:r>
          </w:p>
        </w:tc>
      </w:tr>
      <w:tr w14:paraId="0CFA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5" w:type="pct"/>
            <w:noWrap w:val="0"/>
            <w:vAlign w:val="center"/>
          </w:tcPr>
          <w:p w14:paraId="78322CE6">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21</w:t>
            </w:r>
          </w:p>
        </w:tc>
        <w:tc>
          <w:tcPr>
            <w:tcW w:w="776" w:type="pct"/>
            <w:noWrap w:val="0"/>
            <w:vAlign w:val="center"/>
          </w:tcPr>
          <w:p w14:paraId="07C11EC9">
            <w:pPr>
              <w:rPr>
                <w:rFonts w:hint="eastAsia" w:ascii="宋体" w:hAnsi="宋体" w:eastAsia="宋体" w:cs="宋体"/>
                <w:highlight w:val="none"/>
              </w:rPr>
            </w:pPr>
            <w:r>
              <w:rPr>
                <w:rFonts w:hint="eastAsia" w:ascii="宋体" w:hAnsi="宋体" w:eastAsia="宋体" w:cs="宋体"/>
                <w:highlight w:val="none"/>
              </w:rPr>
              <w:t>数据加密</w:t>
            </w:r>
          </w:p>
        </w:tc>
        <w:tc>
          <w:tcPr>
            <w:tcW w:w="3747" w:type="pct"/>
            <w:noWrap w:val="0"/>
            <w:vAlign w:val="center"/>
          </w:tcPr>
          <w:p w14:paraId="2BB998D6">
            <w:pPr>
              <w:rPr>
                <w:rFonts w:hint="eastAsia" w:ascii="宋体" w:hAnsi="宋体" w:eastAsia="宋体" w:cs="宋体"/>
                <w:highlight w:val="none"/>
              </w:rPr>
            </w:pPr>
            <w:r>
              <w:rPr>
                <w:rFonts w:hint="eastAsia" w:ascii="宋体" w:hAnsi="宋体" w:eastAsia="宋体" w:cs="宋体"/>
                <w:highlight w:val="none"/>
              </w:rPr>
              <w:t>采用数据加密传输， 支持国密加密算法。</w:t>
            </w:r>
          </w:p>
        </w:tc>
      </w:tr>
    </w:tbl>
    <w:p w14:paraId="48D7238F">
      <w:pPr>
        <w:keepNext w:val="0"/>
        <w:keepLines w:val="0"/>
        <w:pageBreakBefore w:val="0"/>
        <w:widowControl w:val="0"/>
        <w:numPr>
          <w:ilvl w:val="0"/>
          <w:numId w:val="6"/>
        </w:numPr>
        <w:spacing w:after="120" w:line="390" w:lineRule="exact"/>
        <w:ind w:left="0" w:firstLine="42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4G/5G物联网卡</w:t>
      </w:r>
    </w:p>
    <w:tbl>
      <w:tblPr>
        <w:tblStyle w:val="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2328"/>
        <w:gridCol w:w="6036"/>
      </w:tblGrid>
      <w:tr w14:paraId="18FA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5" w:type="pct"/>
            <w:noWrap w:val="0"/>
            <w:vAlign w:val="center"/>
          </w:tcPr>
          <w:p w14:paraId="6F452C46">
            <w:pPr>
              <w:keepNext w:val="0"/>
              <w:keepLines w:val="0"/>
              <w:pageBreakBefore w:val="0"/>
              <w:widowControl w:val="0"/>
              <w:spacing w:line="390" w:lineRule="exact"/>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序号</w:t>
            </w:r>
          </w:p>
        </w:tc>
        <w:tc>
          <w:tcPr>
            <w:tcW w:w="1259" w:type="pct"/>
            <w:noWrap w:val="0"/>
            <w:vAlign w:val="center"/>
          </w:tcPr>
          <w:p w14:paraId="67CF707F">
            <w:pPr>
              <w:keepNext w:val="0"/>
              <w:keepLines w:val="0"/>
              <w:pageBreakBefore w:val="0"/>
              <w:widowControl w:val="0"/>
              <w:spacing w:line="390" w:lineRule="exact"/>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项目</w:t>
            </w:r>
          </w:p>
        </w:tc>
        <w:tc>
          <w:tcPr>
            <w:tcW w:w="3265" w:type="pct"/>
            <w:noWrap w:val="0"/>
            <w:vAlign w:val="center"/>
          </w:tcPr>
          <w:p w14:paraId="1DD6E61E">
            <w:pPr>
              <w:keepNext w:val="0"/>
              <w:keepLines w:val="0"/>
              <w:pageBreakBefore w:val="0"/>
              <w:widowControl w:val="0"/>
              <w:spacing w:line="390" w:lineRule="exact"/>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配置要求</w:t>
            </w:r>
          </w:p>
        </w:tc>
      </w:tr>
      <w:tr w14:paraId="4BD8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5" w:type="pct"/>
            <w:noWrap w:val="0"/>
            <w:vAlign w:val="center"/>
          </w:tcPr>
          <w:p w14:paraId="52AE4E0C">
            <w:pPr>
              <w:keepNext w:val="0"/>
              <w:keepLines w:val="0"/>
              <w:pageBreakBefore w:val="0"/>
              <w:widowControl w:val="0"/>
              <w:spacing w:line="390" w:lineRule="exact"/>
              <w:jc w:val="center"/>
              <w:rPr>
                <w:rFonts w:hint="eastAsia" w:ascii="宋体" w:hAnsi="宋体" w:eastAsia="宋体" w:cs="宋体"/>
                <w:highlight w:val="none"/>
              </w:rPr>
            </w:pPr>
            <w:r>
              <w:rPr>
                <w:rFonts w:hint="eastAsia" w:ascii="宋体" w:hAnsi="宋体" w:eastAsia="宋体" w:cs="宋体"/>
                <w:highlight w:val="none"/>
              </w:rPr>
              <w:t>1</w:t>
            </w:r>
          </w:p>
        </w:tc>
        <w:tc>
          <w:tcPr>
            <w:tcW w:w="1259" w:type="pct"/>
            <w:noWrap w:val="0"/>
            <w:vAlign w:val="center"/>
          </w:tcPr>
          <w:p w14:paraId="788774F4">
            <w:pPr>
              <w:keepNext w:val="0"/>
              <w:keepLines w:val="0"/>
              <w:pageBreakBefore w:val="0"/>
              <w:widowControl w:val="0"/>
              <w:spacing w:line="390" w:lineRule="exact"/>
              <w:rPr>
                <w:rFonts w:hint="eastAsia" w:ascii="宋体" w:hAnsi="宋体" w:eastAsia="宋体" w:cs="宋体"/>
                <w:highlight w:val="none"/>
              </w:rPr>
            </w:pPr>
            <w:r>
              <w:rPr>
                <w:rFonts w:hint="eastAsia" w:ascii="宋体" w:hAnsi="宋体" w:eastAsia="宋体" w:cs="宋体"/>
                <w:highlight w:val="none"/>
              </w:rPr>
              <w:t>4G/5G物联网卡无线传输服务</w:t>
            </w:r>
          </w:p>
        </w:tc>
        <w:tc>
          <w:tcPr>
            <w:tcW w:w="3265" w:type="pct"/>
            <w:noWrap w:val="0"/>
            <w:vAlign w:val="center"/>
          </w:tcPr>
          <w:p w14:paraId="41CD345F">
            <w:pPr>
              <w:keepNext w:val="0"/>
              <w:keepLines w:val="0"/>
              <w:pageBreakBefore w:val="0"/>
              <w:widowControl w:val="0"/>
              <w:spacing w:line="390" w:lineRule="exact"/>
              <w:rPr>
                <w:rFonts w:hint="eastAsia" w:ascii="宋体" w:hAnsi="宋体" w:eastAsia="宋体" w:cs="宋体"/>
                <w:highlight w:val="none"/>
              </w:rPr>
            </w:pPr>
            <w:r>
              <w:rPr>
                <w:rFonts w:hint="eastAsia" w:ascii="宋体" w:hAnsi="宋体" w:eastAsia="宋体" w:cs="宋体"/>
                <w:highlight w:val="none"/>
              </w:rPr>
              <w:t>4G/5G运营商无线网络流量，每张物联网卡≥2GB/年数据流量</w:t>
            </w:r>
          </w:p>
        </w:tc>
      </w:tr>
    </w:tbl>
    <w:p w14:paraId="67369FCA">
      <w:pPr>
        <w:keepNext w:val="0"/>
        <w:keepLines w:val="0"/>
        <w:pageBreakBefore w:val="0"/>
        <w:widowControl w:val="0"/>
        <w:numPr>
          <w:ilvl w:val="0"/>
          <w:numId w:val="2"/>
        </w:numPr>
        <w:spacing w:line="390" w:lineRule="exact"/>
        <w:ind w:left="0" w:firstLine="420"/>
        <w:jc w:val="left"/>
        <w:outlineLvl w:val="1"/>
        <w:rPr>
          <w:rFonts w:hint="eastAsia" w:ascii="宋体" w:hAnsi="宋体" w:eastAsia="宋体" w:cs="宋体"/>
          <w:b/>
          <w:sz w:val="28"/>
          <w:szCs w:val="28"/>
        </w:rPr>
      </w:pPr>
      <w:bookmarkStart w:id="16" w:name="_Toc4740"/>
      <w:bookmarkStart w:id="17" w:name="_Toc22086"/>
      <w:r>
        <w:rPr>
          <w:rFonts w:hint="eastAsia" w:ascii="宋体" w:hAnsi="宋体" w:eastAsia="宋体" w:cs="宋体"/>
          <w:b/>
          <w:sz w:val="28"/>
          <w:szCs w:val="28"/>
        </w:rPr>
        <w:t>项目实施要求</w:t>
      </w:r>
      <w:bookmarkEnd w:id="16"/>
      <w:bookmarkEnd w:id="17"/>
    </w:p>
    <w:p w14:paraId="10B5FE37">
      <w:pPr>
        <w:keepNext w:val="0"/>
        <w:keepLines w:val="0"/>
        <w:pageBreakBefore w:val="0"/>
        <w:widowControl w:val="0"/>
        <w:numPr>
          <w:ilvl w:val="0"/>
          <w:numId w:val="9"/>
        </w:numPr>
        <w:spacing w:after="120" w:line="390" w:lineRule="exact"/>
        <w:ind w:left="0" w:firstLine="42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项目实施组织</w:t>
      </w:r>
    </w:p>
    <w:p w14:paraId="603FBB35">
      <w:pPr>
        <w:keepNext w:val="0"/>
        <w:keepLines w:val="0"/>
        <w:pageBreakBefore w:val="0"/>
        <w:widowControl w:val="0"/>
        <w:spacing w:line="390" w:lineRule="exact"/>
        <w:ind w:firstLine="6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根据本项目的业务特点及项目的复杂性，供应商应设立项目部，明确项目负责人（项目经理），项目部由项目经理、技术负责人、各专业实施小组组长组成。项目的人员配置分为建设期的人员配置和运行期的人员配置两部分。本项目应组建不少于6人的项目技术团队。</w:t>
      </w:r>
    </w:p>
    <w:p w14:paraId="19649F1A">
      <w:pPr>
        <w:keepNext w:val="0"/>
        <w:keepLines w:val="0"/>
        <w:pageBreakBefore w:val="0"/>
        <w:widowControl w:val="0"/>
        <w:numPr>
          <w:ilvl w:val="0"/>
          <w:numId w:val="9"/>
        </w:numPr>
        <w:spacing w:after="120" w:line="390" w:lineRule="exact"/>
        <w:ind w:left="0" w:firstLine="42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技术服务团队</w:t>
      </w:r>
    </w:p>
    <w:p w14:paraId="3946E4EE">
      <w:pPr>
        <w:keepNext w:val="0"/>
        <w:keepLines w:val="0"/>
        <w:pageBreakBefore w:val="0"/>
        <w:widowControl w:val="0"/>
        <w:spacing w:line="390" w:lineRule="exact"/>
        <w:ind w:left="0"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0"/>
          <w:highlight w:val="none"/>
          <w:lang w:val="en-US" w:eastAsia="zh-CN" w:bidi="ar-SA"/>
        </w:rPr>
        <w:t>1. 项目负责人（项目经理，以下同）</w:t>
      </w:r>
      <w:r>
        <w:rPr>
          <w:rFonts w:hint="eastAsia" w:ascii="宋体" w:hAnsi="宋体" w:eastAsia="宋体" w:cs="宋体"/>
          <w:sz w:val="24"/>
          <w:szCs w:val="24"/>
          <w:highlight w:val="none"/>
          <w:lang w:val="en-US" w:eastAsia="zh-CN" w:bidi="ar-SA"/>
        </w:rPr>
        <w:t>。</w:t>
      </w:r>
      <w:r>
        <w:rPr>
          <w:rFonts w:hint="eastAsia" w:ascii="宋体" w:hAnsi="宋体" w:eastAsia="宋体" w:cs="宋体"/>
          <w:color w:val="000000"/>
          <w:sz w:val="24"/>
          <w:szCs w:val="24"/>
          <w:highlight w:val="none"/>
          <w:lang w:val="en-US" w:eastAsia="zh-CN" w:bidi="ar-SA"/>
        </w:rPr>
        <w:t>其</w:t>
      </w:r>
      <w:r>
        <w:rPr>
          <w:rFonts w:hint="eastAsia" w:ascii="宋体" w:hAnsi="宋体" w:eastAsia="宋体" w:cs="宋体"/>
          <w:color w:val="000000"/>
          <w:sz w:val="24"/>
          <w:szCs w:val="20"/>
          <w:highlight w:val="none"/>
          <w:lang w:val="en-US" w:eastAsia="zh-CN" w:bidi="ar-SA"/>
        </w:rPr>
        <w:t>主要职责包括：制定项目章程和工作计划，组织项目实施，控制项目范围，协调项目相关实施小组与相关单位和部门的合作，实施项目成本、质量管理和风险控制，向采购人汇报项目进展情况。</w:t>
      </w:r>
      <w:r>
        <w:rPr>
          <w:rFonts w:hint="eastAsia" w:ascii="宋体" w:hAnsi="宋体" w:eastAsia="宋体" w:cs="宋体"/>
          <w:color w:val="000000"/>
          <w:sz w:val="24"/>
          <w:szCs w:val="24"/>
          <w:highlight w:val="none"/>
          <w:lang w:val="en-US" w:eastAsia="zh-CN" w:bidi="ar-SA"/>
        </w:rPr>
        <w:t>具体负责本项目实施的综合管理工作，负责服务团队的日常管理，包括召开例会、落实工作纪律等；负责本项目服务期内的总体协调及人员调配；负责与采购人保持良好的沟通，及时反馈、跟踪、解决问题，定期对数据进行汇总、分析，形成书面报告；负责服务团队日常工作计划的制定和管理，人员的职责分工；负责制定培训计划，负责组织服务团队成员的培训及考核；负责协调处理服务工作中出现的突发事件，制定应急预案；组织云平台系统运行的巡检、审核维保文档，定期向采购人汇报平台运行工作情况及存在的问题。</w:t>
      </w:r>
    </w:p>
    <w:p w14:paraId="32DEB04A">
      <w:pPr>
        <w:keepNext w:val="0"/>
        <w:keepLines w:val="0"/>
        <w:pageBreakBefore w:val="0"/>
        <w:widowControl w:val="0"/>
        <w:spacing w:line="390" w:lineRule="exact"/>
        <w:ind w:left="0"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 技术负责人。技术负责人统筹技术方案落地、把控云平台系统质量与安全、解决关键技术问题，确保云平台系统全部设施稳定运行。确保所有数据采集工作符合国家及行业技术标准，避免因违规操作导致合规风险。定期分析运行数据，识别潜在技术风险（如设备故障、电池寿命接近阈值等），提前制定应对措施。</w:t>
      </w:r>
    </w:p>
    <w:p w14:paraId="29B8A0B0">
      <w:pPr>
        <w:keepNext w:val="0"/>
        <w:keepLines w:val="0"/>
        <w:pageBreakBefore w:val="0"/>
        <w:widowControl w:val="0"/>
        <w:spacing w:line="390" w:lineRule="exact"/>
        <w:ind w:left="0"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0"/>
          <w:highlight w:val="none"/>
          <w:lang w:val="en-US" w:eastAsia="zh-CN" w:bidi="ar-SA"/>
        </w:rPr>
        <w:t xml:space="preserve">3. </w:t>
      </w:r>
      <w:r>
        <w:rPr>
          <w:rFonts w:hint="eastAsia" w:ascii="宋体" w:hAnsi="宋体" w:eastAsia="宋体" w:cs="宋体"/>
          <w:color w:val="000000"/>
          <w:sz w:val="24"/>
          <w:szCs w:val="24"/>
          <w:highlight w:val="none"/>
          <w:lang w:val="en-US" w:eastAsia="zh-CN" w:bidi="ar-SA"/>
        </w:rPr>
        <w:t>项目服务团队其他人员（不含项目经理、技术负责人）。负责建设期的设备安装、调试，对项目系统实施部署，联调；对项目运行期项目使用用户进行相应培训工作；负责配合项目经理完成项目过程文档编写、文档整理及存档等工作。其核心职责是按技术标准完成监管数据采集、维保设备正常运行并配合解决基础问题，确保个人负责的设施模块稳定运行。故障发生时，按应急预案听从指挥，协助完成基础操作。故障修复后，配合技术负责人进行设施复机测试，确认分工内的设施恢复正常运行。严格遵守设备安全操作规程。</w:t>
      </w:r>
    </w:p>
    <w:p w14:paraId="5B2DE792">
      <w:pPr>
        <w:keepNext w:val="0"/>
        <w:keepLines w:val="0"/>
        <w:pageBreakBefore w:val="0"/>
        <w:widowControl w:val="0"/>
        <w:spacing w:line="39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提供项目组织的具体方案，应包含组织架构（包括项目人员保障、岗位设置、岗位职责）等。确保在项目服务期间各个阶段实施过程中项目团队的稳定性，业务衔接的连续性，确保本项目顺利实施和技术保障。</w:t>
      </w:r>
    </w:p>
    <w:p w14:paraId="0032566D">
      <w:pPr>
        <w:keepNext w:val="0"/>
        <w:keepLines w:val="0"/>
        <w:pageBreakBefore w:val="0"/>
        <w:widowControl w:val="0"/>
        <w:numPr>
          <w:ilvl w:val="0"/>
          <w:numId w:val="9"/>
        </w:numPr>
        <w:spacing w:after="120" w:line="390" w:lineRule="exact"/>
        <w:ind w:left="0" w:firstLine="42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安全保密要求</w:t>
      </w:r>
    </w:p>
    <w:p w14:paraId="4D89BC5F">
      <w:pPr>
        <w:keepNext w:val="0"/>
        <w:keepLines w:val="0"/>
        <w:pageBreakBefore w:val="0"/>
        <w:widowControl w:val="0"/>
        <w:spacing w:line="390" w:lineRule="exact"/>
        <w:ind w:firstLine="480"/>
        <w:rPr>
          <w:rFonts w:hint="eastAsia" w:ascii="宋体" w:hAnsi="宋体" w:eastAsia="宋体" w:cs="宋体"/>
          <w:sz w:val="24"/>
          <w:highlight w:val="none"/>
        </w:rPr>
      </w:pPr>
      <w:r>
        <w:rPr>
          <w:rFonts w:hint="eastAsia" w:ascii="宋体" w:hAnsi="宋体" w:eastAsia="宋体" w:cs="宋体"/>
          <w:color w:val="000000"/>
          <w:sz w:val="24"/>
          <w:highlight w:val="none"/>
        </w:rPr>
        <w:t>1. 供应商必须严格执行《信息安全技术网络安全等级保护基本要求》（GB/T 22239-2019）。应采用密码技术保证重要数据在传输过程中的保密性，包括但不限于鉴别数据、重要业务数据和重要个人信息等。（第二级适用）</w:t>
      </w:r>
    </w:p>
    <w:p w14:paraId="24ACCEB8">
      <w:pPr>
        <w:keepNext w:val="0"/>
        <w:keepLines w:val="0"/>
        <w:pageBreakBefore w:val="0"/>
        <w:widowControl w:val="0"/>
        <w:spacing w:line="39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2. </w:t>
      </w:r>
      <w:r>
        <w:rPr>
          <w:rFonts w:hint="eastAsia" w:ascii="宋体" w:hAnsi="宋体" w:eastAsia="宋体" w:cs="宋体"/>
          <w:color w:val="000000"/>
          <w:sz w:val="24"/>
          <w:highlight w:val="none"/>
        </w:rPr>
        <w:t>供应商应具备完善的安全保密管理体系，</w:t>
      </w:r>
      <w:r>
        <w:rPr>
          <w:rFonts w:hint="eastAsia" w:ascii="宋体" w:hAnsi="宋体" w:eastAsia="宋体" w:cs="宋体"/>
          <w:sz w:val="24"/>
          <w:highlight w:val="none"/>
        </w:rPr>
        <w:t>拟派本项目的所有项目服务工作人员必须签署保密协议和关键岗位人员的岗位责任协议，不得泄露工作中接触到的需要保密的信息。</w:t>
      </w:r>
    </w:p>
    <w:p w14:paraId="3645AD7D">
      <w:pPr>
        <w:keepNext w:val="0"/>
        <w:keepLines w:val="0"/>
        <w:pageBreakBefore w:val="0"/>
        <w:widowControl w:val="0"/>
        <w:numPr>
          <w:ilvl w:val="0"/>
          <w:numId w:val="9"/>
        </w:numPr>
        <w:spacing w:after="120" w:line="390" w:lineRule="exact"/>
        <w:ind w:left="0" w:firstLine="42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国产信创要求</w:t>
      </w:r>
    </w:p>
    <w:p w14:paraId="394D9F07">
      <w:pPr>
        <w:ind w:firstLine="480"/>
        <w:rPr>
          <w:rFonts w:hint="default"/>
          <w:lang w:val="en-US" w:eastAsia="zh-CN"/>
        </w:rPr>
      </w:pPr>
      <w:r>
        <w:rPr>
          <w:rFonts w:hint="eastAsia" w:ascii="宋体" w:hAnsi="宋体" w:eastAsia="宋体" w:cs="宋体"/>
          <w:sz w:val="24"/>
          <w:highlight w:val="none"/>
          <w:lang w:val="en-US" w:eastAsia="zh-CN"/>
        </w:rPr>
        <w:t>本项目建设的业务系统，须适配国产信创软硬件技术体系，支持在国产服务器硬件、国产操作系统、国产数据库、国产中间件环境下稳定部署、正常运行。</w:t>
      </w:r>
      <w:r>
        <w:rPr>
          <w:rFonts w:hint="eastAsia" w:ascii="宋体" w:hAnsi="宋体" w:eastAsia="宋体" w:cs="宋体"/>
          <w:color w:val="auto"/>
          <w:sz w:val="24"/>
          <w:szCs w:val="24"/>
          <w:highlight w:val="none"/>
          <w:lang w:val="en-US" w:eastAsia="zh-CN" w:bidi="ar-SA"/>
        </w:rPr>
        <w:t>承诺系统平台可为交易即开票系统提供加油流水的数据接口，确保数据准确。</w:t>
      </w:r>
    </w:p>
    <w:p w14:paraId="6850B24C">
      <w:pPr>
        <w:keepNext w:val="0"/>
        <w:keepLines w:val="0"/>
        <w:pageBreakBefore w:val="0"/>
        <w:widowControl w:val="0"/>
        <w:numPr>
          <w:ilvl w:val="0"/>
          <w:numId w:val="9"/>
        </w:numPr>
        <w:spacing w:after="120" w:line="390" w:lineRule="exact"/>
        <w:ind w:left="0" w:firstLine="42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咨询服务要求</w:t>
      </w:r>
    </w:p>
    <w:p w14:paraId="29472710">
      <w:pPr>
        <w:keepNext w:val="0"/>
        <w:keepLines w:val="0"/>
        <w:pageBreakBefore w:val="0"/>
        <w:widowControl w:val="0"/>
        <w:spacing w:line="39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成交供应商应对采购人信息类设备进行定期维护管理和配置优化，确保采购人整个信息系统运转的高效、稳定和安全，减少和避免系统性能瓶颈，杜绝信息系统安全事故，并且能根据采购人需要，提供信息系统运行的合理化建议和方案。</w:t>
      </w:r>
    </w:p>
    <w:p w14:paraId="7A2C83D6">
      <w:pPr>
        <w:keepNext w:val="0"/>
        <w:keepLines w:val="0"/>
        <w:pageBreakBefore w:val="0"/>
        <w:widowControl w:val="0"/>
        <w:numPr>
          <w:ilvl w:val="0"/>
          <w:numId w:val="9"/>
        </w:numPr>
        <w:spacing w:after="120" w:line="390" w:lineRule="exact"/>
        <w:ind w:left="0" w:firstLine="42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响应时间要求</w:t>
      </w:r>
    </w:p>
    <w:p w14:paraId="1695904F">
      <w:pPr>
        <w:keepNext w:val="0"/>
        <w:keepLines w:val="0"/>
        <w:pageBreakBefore w:val="0"/>
        <w:widowControl w:val="0"/>
        <w:spacing w:line="39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供应商须提供服务期内7*24*365天服务维护（即每周7个工作日，每天24小时，一年365天）技术支持服务。</w:t>
      </w:r>
    </w:p>
    <w:p w14:paraId="4C5B155A">
      <w:pPr>
        <w:keepNext w:val="0"/>
        <w:keepLines w:val="0"/>
        <w:pageBreakBefore w:val="0"/>
        <w:widowControl w:val="0"/>
        <w:spacing w:line="39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系统发生故障时，</w:t>
      </w:r>
      <w:r>
        <w:rPr>
          <w:rFonts w:hint="eastAsia" w:ascii="宋体" w:hAnsi="宋体" w:eastAsia="宋体" w:cs="宋体"/>
          <w:color w:val="000000"/>
          <w:sz w:val="24"/>
          <w:highlight w:val="none"/>
          <w:lang w:val="en-US" w:eastAsia="zh-CN"/>
        </w:rPr>
        <w:t>1小时内</w:t>
      </w:r>
      <w:r>
        <w:rPr>
          <w:rFonts w:hint="eastAsia" w:ascii="宋体" w:hAnsi="宋体" w:eastAsia="宋体" w:cs="宋体"/>
          <w:color w:val="000000"/>
          <w:sz w:val="24"/>
          <w:highlight w:val="none"/>
        </w:rPr>
        <w:t>响应；如果确定不能通过远程方式解决，成交供应商应立即安排技术人员</w:t>
      </w: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rPr>
        <w:t>小时</w:t>
      </w:r>
      <w:r>
        <w:rPr>
          <w:rFonts w:hint="eastAsia" w:ascii="宋体" w:hAnsi="宋体" w:eastAsia="宋体" w:cs="宋体"/>
          <w:color w:val="000000"/>
          <w:sz w:val="24"/>
          <w:highlight w:val="none"/>
          <w:lang w:val="en-US" w:eastAsia="zh-CN"/>
        </w:rPr>
        <w:t>内</w:t>
      </w:r>
      <w:r>
        <w:rPr>
          <w:rFonts w:hint="eastAsia" w:ascii="宋体" w:hAnsi="宋体" w:eastAsia="宋体" w:cs="宋体"/>
          <w:color w:val="000000"/>
          <w:sz w:val="24"/>
          <w:highlight w:val="none"/>
        </w:rPr>
        <w:t>到达故障现场，非严重硬件故障要求2小时内恢复，保证系统能够正常运行；其他软硬件故障必须在24小时内恢复，保证系统正常运行。</w:t>
      </w:r>
    </w:p>
    <w:p w14:paraId="03D1E73C">
      <w:pPr>
        <w:keepNext w:val="0"/>
        <w:keepLines w:val="0"/>
        <w:pageBreakBefore w:val="0"/>
        <w:widowControl w:val="0"/>
        <w:numPr>
          <w:ilvl w:val="0"/>
          <w:numId w:val="9"/>
        </w:numPr>
        <w:spacing w:after="120" w:line="390" w:lineRule="exact"/>
        <w:ind w:left="0" w:firstLine="42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文档管理要求</w:t>
      </w:r>
    </w:p>
    <w:p w14:paraId="076458C1">
      <w:pPr>
        <w:keepNext w:val="0"/>
        <w:keepLines w:val="0"/>
        <w:pageBreakBefore w:val="0"/>
        <w:widowControl w:val="0"/>
        <w:spacing w:line="390" w:lineRule="exact"/>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建立专门的系统运行、维护档案。每月提供巡检报告，要求用户及相关人员签字确认；现场巡检时，要做出报修设备的详细配置清单、所使用的操作系统、版本号、系统的使用情况及系统的配置参数。每次巡检为每台报修设备填写巡检表，记录设备的运行情况、出现过的问题和解决的办法、设备的配置变动等情况。在故障处理过程中，要详细记录故障的现象、处理的过程、更换设备的情况、记录更换设备的原型号和现型号等内容。巡检报告和巡检表，故障处理记录表应双方签字确认。</w:t>
      </w:r>
    </w:p>
    <w:p w14:paraId="380B4E22">
      <w:pPr>
        <w:keepNext w:val="0"/>
        <w:keepLines w:val="0"/>
        <w:pageBreakBefore w:val="0"/>
        <w:widowControl w:val="0"/>
        <w:numPr>
          <w:ilvl w:val="0"/>
          <w:numId w:val="9"/>
        </w:numPr>
        <w:spacing w:after="120" w:line="390" w:lineRule="exact"/>
        <w:ind w:left="0" w:firstLine="42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应急保障</w:t>
      </w:r>
    </w:p>
    <w:p w14:paraId="1955CF34">
      <w:pPr>
        <w:keepNext w:val="0"/>
        <w:keepLines w:val="0"/>
        <w:pageBreakBefore w:val="0"/>
        <w:widowControl w:val="0"/>
        <w:spacing w:line="39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供应商需根据采购人针对本项目的服务要求制定专项应急预案，包括启动应急预案的条件、应急组织构成、应急资源保障（人力、设备、技术和财力等方面）、事后教育和培训等内容，制定重要事件的应急预案，包括应急处理流程和系统恢复流程，定期对系统和相关人员进行应急培训并进行应急预案的演练，定期对应急预案进行重新评估和修订完善。应急预案要贴合采购人针对本项目的工作实际，具有可操作性。</w:t>
      </w:r>
    </w:p>
    <w:p w14:paraId="0346606C">
      <w:pPr>
        <w:keepNext w:val="0"/>
        <w:keepLines w:val="0"/>
        <w:pageBreakBefore w:val="0"/>
        <w:widowControl w:val="0"/>
        <w:numPr>
          <w:ilvl w:val="0"/>
          <w:numId w:val="9"/>
        </w:numPr>
        <w:spacing w:after="120" w:line="390" w:lineRule="exact"/>
        <w:ind w:left="0" w:firstLine="42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平台服务系统交付周期</w:t>
      </w:r>
    </w:p>
    <w:p w14:paraId="7BBAB88F">
      <w:pPr>
        <w:keepNext w:val="0"/>
        <w:keepLines w:val="0"/>
        <w:pageBreakBefore w:val="0"/>
        <w:widowControl w:val="0"/>
        <w:spacing w:line="39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平台服务系统</w:t>
      </w:r>
      <w:r>
        <w:rPr>
          <w:rFonts w:hint="eastAsia" w:ascii="宋体" w:hAnsi="宋体" w:eastAsia="宋体" w:cs="宋体"/>
          <w:color w:val="000000"/>
          <w:sz w:val="24"/>
          <w:highlight w:val="none"/>
        </w:rPr>
        <w:t>交付</w:t>
      </w:r>
      <w:r>
        <w:rPr>
          <w:rFonts w:hint="eastAsia" w:ascii="宋体" w:hAnsi="宋体" w:eastAsia="宋体" w:cs="宋体"/>
          <w:bCs/>
          <w:color w:val="000000"/>
          <w:sz w:val="24"/>
          <w:highlight w:val="none"/>
        </w:rPr>
        <w:t>周期为：自合同签订之日起30日历天完成项目施工</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lang w:val="en-US" w:eastAsia="zh-CN"/>
        </w:rPr>
        <w:t>项目完工后，乙方向甲方递交申请验收材料之日起，于10个工作日内完成验收，验收交付</w:t>
      </w:r>
      <w:r>
        <w:rPr>
          <w:rFonts w:hint="eastAsia" w:ascii="宋体" w:hAnsi="宋体" w:eastAsia="宋体" w:cs="宋体"/>
          <w:bCs/>
          <w:color w:val="000000"/>
          <w:sz w:val="24"/>
          <w:highlight w:val="none"/>
        </w:rPr>
        <w:t>合格后进入1个月试运行期。</w:t>
      </w:r>
    </w:p>
    <w:p w14:paraId="244E0432">
      <w:pPr>
        <w:keepNext w:val="0"/>
        <w:keepLines w:val="0"/>
        <w:pageBreakBefore w:val="0"/>
        <w:widowControl w:val="0"/>
        <w:numPr>
          <w:ilvl w:val="0"/>
          <w:numId w:val="9"/>
        </w:numPr>
        <w:spacing w:after="120" w:line="390" w:lineRule="exact"/>
        <w:ind w:left="0" w:firstLine="42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质保期</w:t>
      </w:r>
    </w:p>
    <w:p w14:paraId="6F7A9C57">
      <w:pPr>
        <w:keepNext w:val="0"/>
        <w:keepLines w:val="0"/>
        <w:pageBreakBefore w:val="0"/>
        <w:widowControl w:val="0"/>
        <w:spacing w:line="39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平台及其他设备质保期为调试验收合格交付运营后3年。质保期内所有设备非人为损毁，成交供应商应提供免费更换服务。</w:t>
      </w:r>
    </w:p>
    <w:p w14:paraId="32FE8D52">
      <w:pPr>
        <w:keepNext w:val="0"/>
        <w:keepLines w:val="0"/>
        <w:pageBreakBefore w:val="0"/>
        <w:widowControl w:val="0"/>
        <w:numPr>
          <w:ilvl w:val="0"/>
          <w:numId w:val="9"/>
        </w:numPr>
        <w:spacing w:after="120" w:line="390" w:lineRule="exact"/>
        <w:ind w:left="0" w:firstLine="42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售后服务</w:t>
      </w:r>
    </w:p>
    <w:p w14:paraId="2E6F124A">
      <w:pPr>
        <w:keepNext w:val="0"/>
        <w:keepLines w:val="0"/>
        <w:pageBreakBefore w:val="0"/>
        <w:widowControl w:val="0"/>
        <w:spacing w:line="39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供应商应按响应文件中作出的服务承诺提供及时、快速、优质的售后服务及系统免费升级服务。</w:t>
      </w:r>
    </w:p>
    <w:p w14:paraId="614E2539">
      <w:pPr>
        <w:keepNext w:val="0"/>
        <w:keepLines w:val="0"/>
        <w:pageBreakBefore w:val="0"/>
        <w:widowControl w:val="0"/>
        <w:numPr>
          <w:ilvl w:val="0"/>
          <w:numId w:val="2"/>
        </w:numPr>
        <w:spacing w:line="390" w:lineRule="exact"/>
        <w:ind w:left="0" w:firstLine="420"/>
        <w:jc w:val="left"/>
        <w:outlineLvl w:val="1"/>
        <w:rPr>
          <w:rFonts w:hint="eastAsia" w:ascii="宋体" w:hAnsi="宋体" w:eastAsia="宋体" w:cs="宋体"/>
          <w:b/>
          <w:sz w:val="28"/>
          <w:szCs w:val="28"/>
        </w:rPr>
      </w:pPr>
      <w:bookmarkStart w:id="18" w:name="_Toc4403"/>
      <w:bookmarkStart w:id="19" w:name="_Toc5899"/>
      <w:r>
        <w:rPr>
          <w:rFonts w:hint="eastAsia" w:ascii="宋体" w:hAnsi="宋体" w:eastAsia="宋体" w:cs="宋体"/>
          <w:b/>
          <w:sz w:val="28"/>
          <w:szCs w:val="28"/>
        </w:rPr>
        <w:t>培训要求</w:t>
      </w:r>
      <w:bookmarkEnd w:id="18"/>
      <w:bookmarkEnd w:id="19"/>
    </w:p>
    <w:p w14:paraId="5F1B38F6">
      <w:pPr>
        <w:keepNext w:val="0"/>
        <w:keepLines w:val="0"/>
        <w:pageBreakBefore w:val="0"/>
        <w:widowControl w:val="0"/>
        <w:numPr>
          <w:ilvl w:val="0"/>
          <w:numId w:val="10"/>
        </w:numPr>
        <w:spacing w:line="390" w:lineRule="exact"/>
        <w:ind w:left="0"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供应商应提供完备的《培训方案》针对不同层级的领导、业务办理人员和运维人员的实际状况和工作需求，制定相应的培训目标、计划、培训内容和要求，分类、分批实施。</w:t>
      </w:r>
      <w:bookmarkStart w:id="20" w:name="_Toc5787"/>
      <w:r>
        <w:rPr>
          <w:rFonts w:hint="eastAsia" w:ascii="宋体" w:hAnsi="宋体" w:eastAsia="宋体" w:cs="宋体"/>
          <w:color w:val="000000"/>
          <w:sz w:val="24"/>
          <w:highlight w:val="none"/>
        </w:rPr>
        <w:t>培训方式</w:t>
      </w:r>
      <w:bookmarkEnd w:id="20"/>
      <w:r>
        <w:rPr>
          <w:rFonts w:hint="eastAsia" w:ascii="宋体" w:hAnsi="宋体" w:eastAsia="宋体" w:cs="宋体"/>
          <w:color w:val="000000"/>
          <w:sz w:val="24"/>
          <w:highlight w:val="none"/>
        </w:rPr>
        <w:t>应包括：现场培训和集中技术培训。培训对象应包括技术人员培训方案和业务应用人员培训方案。成交供应商应按照《培训方案》中的服务承诺，免费为采购人及终端使用者提供现场培训服务。《培训方案》</w:t>
      </w:r>
      <w:r>
        <w:rPr>
          <w:rFonts w:hint="eastAsia" w:ascii="宋体" w:hAnsi="宋体" w:eastAsia="宋体" w:cs="宋体"/>
          <w:bCs/>
          <w:color w:val="000000"/>
          <w:sz w:val="24"/>
          <w:highlight w:val="none"/>
        </w:rPr>
        <w:t>内容包括但不限于详细培训计划、培训对象、培训人数、培训方式、培训地点、培训内容及培训效果等。</w:t>
      </w:r>
    </w:p>
    <w:p w14:paraId="10830937">
      <w:pPr>
        <w:keepNext w:val="0"/>
        <w:keepLines w:val="0"/>
        <w:pageBreakBefore w:val="0"/>
        <w:widowControl w:val="0"/>
        <w:numPr>
          <w:ilvl w:val="0"/>
          <w:numId w:val="10"/>
        </w:numPr>
        <w:spacing w:line="390" w:lineRule="exact"/>
        <w:ind w:left="0"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培训内容：各系统运行维护、使用规范及常见故障排除，提供有关文档。</w:t>
      </w:r>
    </w:p>
    <w:p w14:paraId="152AC862">
      <w:pPr>
        <w:keepNext w:val="0"/>
        <w:keepLines w:val="0"/>
        <w:pageBreakBefore w:val="0"/>
        <w:widowControl w:val="0"/>
        <w:numPr>
          <w:ilvl w:val="0"/>
          <w:numId w:val="10"/>
        </w:numPr>
        <w:spacing w:line="390" w:lineRule="exact"/>
        <w:ind w:left="0"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培训讲师：供应商派出的培训人员，应具有一定的资质和课程教学经验，且在培训前获得采购人的同意。</w:t>
      </w:r>
    </w:p>
    <w:p w14:paraId="18095A19">
      <w:pPr>
        <w:keepNext w:val="0"/>
        <w:keepLines w:val="0"/>
        <w:pageBreakBefore w:val="0"/>
        <w:widowControl w:val="0"/>
        <w:numPr>
          <w:ilvl w:val="0"/>
          <w:numId w:val="2"/>
        </w:numPr>
        <w:spacing w:line="390" w:lineRule="exact"/>
        <w:ind w:left="0" w:firstLine="420"/>
        <w:jc w:val="left"/>
        <w:outlineLvl w:val="1"/>
        <w:rPr>
          <w:rFonts w:hint="eastAsia" w:ascii="宋体" w:hAnsi="宋体" w:eastAsia="宋体" w:cs="宋体"/>
          <w:b/>
          <w:sz w:val="28"/>
          <w:szCs w:val="28"/>
        </w:rPr>
      </w:pPr>
      <w:bookmarkStart w:id="21" w:name="_Toc2307"/>
      <w:bookmarkStart w:id="22" w:name="_Toc20398"/>
      <w:r>
        <w:rPr>
          <w:rFonts w:hint="eastAsia" w:ascii="宋体" w:hAnsi="宋体" w:eastAsia="宋体" w:cs="宋体"/>
          <w:b/>
          <w:sz w:val="28"/>
          <w:szCs w:val="28"/>
        </w:rPr>
        <w:t>项目验收</w:t>
      </w:r>
      <w:bookmarkEnd w:id="21"/>
      <w:bookmarkEnd w:id="22"/>
    </w:p>
    <w:p w14:paraId="360DDB45">
      <w:pPr>
        <w:keepNext w:val="0"/>
        <w:keepLines w:val="0"/>
        <w:pageBreakBefore w:val="0"/>
        <w:widowControl w:val="0"/>
        <w:numPr>
          <w:ilvl w:val="0"/>
          <w:numId w:val="11"/>
        </w:numPr>
        <w:spacing w:line="390" w:lineRule="exact"/>
        <w:ind w:left="0"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项目验收阶段：</w:t>
      </w:r>
      <w:r>
        <w:rPr>
          <w:rFonts w:hint="eastAsia" w:ascii="宋体" w:hAnsi="宋体" w:eastAsia="宋体" w:cs="宋体"/>
          <w:bCs/>
          <w:color w:val="000000"/>
          <w:sz w:val="24"/>
          <w:highlight w:val="none"/>
          <w:lang w:val="en-US" w:eastAsia="zh-CN"/>
        </w:rPr>
        <w:t>项目完工后，乙方向甲方递交申请验收材料之日起，于10个工作日内完成验收</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根</w:t>
      </w:r>
      <w:r>
        <w:rPr>
          <w:rFonts w:hint="eastAsia" w:ascii="宋体" w:hAnsi="宋体" w:eastAsia="宋体" w:cs="宋体"/>
          <w:color w:val="000000"/>
          <w:sz w:val="24"/>
          <w:highlight w:val="none"/>
        </w:rPr>
        <w:t>据项目竣工验收的相关要求，开展项目内部验收、专项验收等工作。</w:t>
      </w:r>
    </w:p>
    <w:p w14:paraId="105024A8">
      <w:pPr>
        <w:keepNext w:val="0"/>
        <w:keepLines w:val="0"/>
        <w:pageBreakBefore w:val="0"/>
        <w:widowControl w:val="0"/>
        <w:numPr>
          <w:ilvl w:val="0"/>
          <w:numId w:val="11"/>
        </w:numPr>
        <w:spacing w:line="390" w:lineRule="exact"/>
        <w:ind w:left="0"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项目试运行阶段：</w:t>
      </w:r>
      <w:r>
        <w:rPr>
          <w:rFonts w:hint="eastAsia" w:ascii="宋体" w:hAnsi="宋体" w:eastAsia="宋体" w:cs="宋体"/>
          <w:sz w:val="24"/>
          <w:highlight w:val="none"/>
        </w:rPr>
        <w:t>通过对设备的功能性、安全性及信创适配性测试</w:t>
      </w:r>
      <w:r>
        <w:rPr>
          <w:rFonts w:hint="eastAsia" w:ascii="宋体" w:hAnsi="宋体" w:eastAsia="宋体" w:cs="宋体"/>
          <w:sz w:val="24"/>
          <w:highlight w:val="none"/>
          <w:lang w:val="en-US" w:eastAsia="zh-CN"/>
        </w:rPr>
        <w:t>等验收标准后，</w:t>
      </w:r>
      <w:r>
        <w:rPr>
          <w:rFonts w:hint="eastAsia" w:ascii="宋体" w:hAnsi="宋体" w:eastAsia="宋体" w:cs="宋体"/>
          <w:bCs/>
          <w:color w:val="000000"/>
          <w:sz w:val="24"/>
          <w:highlight w:val="none"/>
        </w:rPr>
        <w:t>进入项目试运行</w:t>
      </w:r>
      <w:r>
        <w:rPr>
          <w:rFonts w:hint="eastAsia" w:ascii="宋体" w:hAnsi="宋体" w:eastAsia="宋体" w:cs="宋体"/>
          <w:color w:val="000000"/>
          <w:sz w:val="24"/>
          <w:highlight w:val="none"/>
        </w:rPr>
        <w:t>阶段，试运行期为1个月。本阶段主要完成项目试运行，修正项目各部分联调中出现的问题，修正软件bug。</w:t>
      </w:r>
    </w:p>
    <w:p w14:paraId="1447D6E9">
      <w:pPr>
        <w:keepNext w:val="0"/>
        <w:keepLines w:val="0"/>
        <w:pageBreakBefore w:val="0"/>
        <w:widowControl w:val="0"/>
        <w:numPr>
          <w:ilvl w:val="0"/>
          <w:numId w:val="11"/>
        </w:numPr>
        <w:spacing w:line="390" w:lineRule="exact"/>
        <w:ind w:left="0"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服务成果验收：验收标准根据国家、行业验收标准，以及合同约定验收方案对采购项目进行实质性验收。</w:t>
      </w:r>
    </w:p>
    <w:p w14:paraId="07A090F4">
      <w:pPr>
        <w:keepNext w:val="0"/>
        <w:keepLines w:val="0"/>
        <w:pageBreakBefore w:val="0"/>
        <w:widowControl w:val="0"/>
        <w:numPr>
          <w:ilvl w:val="0"/>
          <w:numId w:val="2"/>
        </w:numPr>
        <w:spacing w:line="390" w:lineRule="exact"/>
        <w:ind w:left="0" w:firstLine="420"/>
        <w:jc w:val="left"/>
        <w:outlineLvl w:val="1"/>
        <w:rPr>
          <w:rFonts w:hint="eastAsia" w:ascii="宋体" w:hAnsi="宋体" w:eastAsia="宋体" w:cs="宋体"/>
          <w:b/>
          <w:sz w:val="28"/>
          <w:szCs w:val="28"/>
          <w:highlight w:val="none"/>
        </w:rPr>
      </w:pPr>
      <w:bookmarkStart w:id="23" w:name="_Toc4606"/>
      <w:bookmarkStart w:id="24" w:name="_Toc19892"/>
      <w:r>
        <w:rPr>
          <w:rFonts w:hint="eastAsia" w:ascii="宋体" w:hAnsi="宋体" w:eastAsia="宋体" w:cs="宋体"/>
          <w:b/>
          <w:sz w:val="28"/>
          <w:szCs w:val="28"/>
          <w:highlight w:val="none"/>
        </w:rPr>
        <w:t>付款方式</w:t>
      </w:r>
      <w:bookmarkEnd w:id="23"/>
      <w:bookmarkEnd w:id="24"/>
    </w:p>
    <w:p w14:paraId="4A14AB74">
      <w:pPr>
        <w:keepNext w:val="0"/>
        <w:keepLines w:val="0"/>
        <w:pageBreakBefore w:val="0"/>
        <w:widowControl w:val="0"/>
        <w:spacing w:line="39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合同签订生效并具备实施条件后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个工作日内支付合同价款的</w:t>
      </w:r>
      <w:r>
        <w:rPr>
          <w:rFonts w:hint="eastAsia" w:ascii="宋体" w:hAnsi="宋体" w:eastAsia="宋体" w:cs="宋体"/>
          <w:color w:val="000000"/>
          <w:sz w:val="24"/>
          <w:highlight w:val="none"/>
          <w:u w:val="single"/>
          <w:lang w:val="en-US" w:eastAsia="zh-CN"/>
        </w:rPr>
        <w:t>4</w:t>
      </w:r>
      <w:r>
        <w:rPr>
          <w:rFonts w:hint="eastAsia" w:ascii="宋体" w:hAnsi="宋体" w:eastAsia="宋体" w:cs="宋体"/>
          <w:b/>
          <w:bCs/>
          <w:color w:val="000000"/>
          <w:sz w:val="24"/>
          <w:highlight w:val="none"/>
          <w:u w:val="single"/>
        </w:rPr>
        <w:t>0</w:t>
      </w:r>
      <w:r>
        <w:rPr>
          <w:rFonts w:hint="eastAsia" w:ascii="宋体" w:hAnsi="宋体" w:eastAsia="宋体" w:cs="宋体"/>
          <w:b/>
          <w:bCs/>
          <w:color w:val="000000"/>
          <w:sz w:val="24"/>
          <w:highlight w:val="none"/>
        </w:rPr>
        <w:t>%</w:t>
      </w:r>
      <w:r>
        <w:rPr>
          <w:rFonts w:hint="eastAsia" w:ascii="宋体" w:hAnsi="宋体" w:eastAsia="宋体" w:cs="宋体"/>
          <w:color w:val="000000"/>
          <w:sz w:val="24"/>
          <w:highlight w:val="none"/>
        </w:rPr>
        <w:t>作为预付款；平台服务系统安装调试完毕验收合格正常使用后</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rPr>
        <w:t>个工作日内</w:t>
      </w:r>
      <w:r>
        <w:rPr>
          <w:rFonts w:hint="eastAsia" w:ascii="宋体" w:hAnsi="宋体" w:eastAsia="宋体" w:cs="宋体"/>
          <w:color w:val="000000"/>
          <w:sz w:val="24"/>
          <w:highlight w:val="none"/>
          <w:lang w:val="en-US" w:eastAsia="zh-CN"/>
        </w:rPr>
        <w:t>支付剩下</w:t>
      </w:r>
      <w:r>
        <w:rPr>
          <w:rFonts w:hint="eastAsia" w:ascii="宋体" w:hAnsi="宋体" w:eastAsia="宋体" w:cs="宋体"/>
          <w:color w:val="000000"/>
          <w:sz w:val="24"/>
          <w:highlight w:val="none"/>
        </w:rPr>
        <w:t>的</w:t>
      </w:r>
      <w:r>
        <w:rPr>
          <w:rFonts w:hint="eastAsia" w:ascii="宋体" w:hAnsi="宋体" w:eastAsia="宋体" w:cs="宋体"/>
          <w:b/>
          <w:bCs/>
          <w:color w:val="000000"/>
          <w:sz w:val="24"/>
          <w:highlight w:val="none"/>
          <w:u w:val="single"/>
          <w:lang w:val="en-US" w:eastAsia="zh-CN"/>
        </w:rPr>
        <w:t>6</w:t>
      </w:r>
      <w:r>
        <w:rPr>
          <w:rFonts w:hint="eastAsia" w:ascii="宋体" w:hAnsi="宋体" w:eastAsia="宋体" w:cs="宋体"/>
          <w:b/>
          <w:bCs/>
          <w:color w:val="000000"/>
          <w:sz w:val="24"/>
          <w:highlight w:val="none"/>
          <w:u w:val="single"/>
        </w:rPr>
        <w:t xml:space="preserve">0% </w:t>
      </w:r>
      <w:r>
        <w:rPr>
          <w:rFonts w:hint="eastAsia" w:ascii="宋体" w:hAnsi="宋体" w:eastAsia="宋体" w:cs="宋体"/>
          <w:color w:val="000000"/>
          <w:sz w:val="24"/>
          <w:highlight w:val="none"/>
        </w:rPr>
        <w:t>。</w:t>
      </w:r>
    </w:p>
    <w:p w14:paraId="246AC8E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90" w:lineRule="exact"/>
        <w:ind w:left="0" w:right="0" w:firstLine="0"/>
        <w:jc w:val="center"/>
        <w:rPr>
          <w:rFonts w:hint="default" w:ascii="Times New Roman" w:hAnsi="Times New Roman" w:eastAsia="宋体" w:cs="Times New Roman"/>
        </w:rPr>
      </w:pPr>
      <w:r>
        <w:rPr>
          <w:rFonts w:hint="eastAsia" w:ascii="宋体" w:hAnsi="宋体" w:eastAsia="宋体" w:cs="宋体"/>
          <w:color w:val="000000"/>
          <w:sz w:val="24"/>
          <w:highlight w:val="none"/>
        </w:rPr>
        <w:t>项目实施过程中发生变更的，双方另行签订补充协议，按照实际发生的内进行最终结算。</w:t>
      </w:r>
      <w:r>
        <w:rPr>
          <w:rFonts w:hint="default" w:ascii="Times New Roman" w:hAnsi="Times New Roman" w:eastAsia="宋体" w:cs="Times New Roman"/>
        </w:rPr>
        <w:br w:type="page" w:clear="all"/>
      </w:r>
    </w:p>
    <w:p w14:paraId="539890B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imes New Roman" w:hAnsi="Times New Roman" w:eastAsia="宋体" w:cs="Times New Roman"/>
        </w:rPr>
      </w:pPr>
      <w:r>
        <w:rPr>
          <w:rFonts w:hint="default" w:ascii="宋体" w:hAnsi="宋体" w:eastAsia="宋体" w:cs="宋体"/>
          <w:b/>
          <w:color w:val="000000"/>
          <w:sz w:val="36"/>
        </w:rPr>
        <w:t>3、磋商报价表</w:t>
      </w:r>
    </w:p>
    <w:p w14:paraId="3F5AD9E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default" w:ascii="宋体" w:hAnsi="宋体" w:eastAsia="宋体" w:cs="宋体"/>
          <w:color w:val="000000"/>
          <w:sz w:val="24"/>
        </w:rPr>
      </w:pPr>
    </w:p>
    <w:p w14:paraId="6B4A716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imes New Roman" w:hAnsi="Times New Roman" w:eastAsia="宋体" w:cs="Times New Roman"/>
          <w:lang w:eastAsia="zh-CN"/>
        </w:rPr>
      </w:pPr>
      <w:r>
        <w:rPr>
          <w:rFonts w:hint="default" w:ascii="宋体" w:hAnsi="宋体" w:eastAsia="宋体" w:cs="宋体"/>
          <w:color w:val="000000"/>
          <w:sz w:val="24"/>
        </w:rPr>
        <w:t>项目编号：</w:t>
      </w:r>
      <w:r>
        <w:rPr>
          <w:rFonts w:hint="eastAsia" w:ascii="宋体" w:hAnsi="宋体" w:eastAsia="宋体" w:cs="宋体"/>
          <w:color w:val="000000"/>
          <w:sz w:val="24"/>
          <w:lang w:eastAsia="zh-CN"/>
        </w:rPr>
        <w:t>JSZC-320312-JSZH-C2026-0076</w:t>
      </w:r>
    </w:p>
    <w:p w14:paraId="6BBB2B4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本次为首次报价</w:t>
      </w:r>
    </w:p>
    <w:p w14:paraId="1700052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货币单位：人民币元</w:t>
      </w:r>
    </w:p>
    <w:p w14:paraId="028CCF1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宋体" w:hAnsi="宋体" w:eastAsia="宋体" w:cs="宋体"/>
          <w:b/>
          <w:bCs/>
          <w:color w:val="000000"/>
          <w:sz w:val="24"/>
        </w:rPr>
      </w:pPr>
    </w:p>
    <w:p w14:paraId="248C233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imes New Roman" w:hAnsi="Times New Roman" w:eastAsia="宋体" w:cs="Times New Roman"/>
        </w:rPr>
      </w:pPr>
      <w:r>
        <w:rPr>
          <w:rFonts w:hint="default" w:ascii="宋体" w:hAnsi="宋体" w:eastAsia="宋体" w:cs="宋体"/>
          <w:b/>
          <w:bCs/>
          <w:color w:val="000000"/>
          <w:sz w:val="24"/>
        </w:rPr>
        <w:t>详见苏采云系统中的格式。</w:t>
      </w:r>
    </w:p>
    <w:p w14:paraId="0304FF9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3BADE48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4AE80C7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报价说明：</w:t>
      </w:r>
    </w:p>
    <w:p w14:paraId="6081E90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1、报价应包括磋商文件所确定的招标范围内所含的全部内容，以及为完成上述内容所需的全部费用；</w:t>
      </w:r>
    </w:p>
    <w:p w14:paraId="01F11D1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2、报价以总价为准，大小写不一致以大写为准；</w:t>
      </w:r>
    </w:p>
    <w:p w14:paraId="704C3E6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3、偏离说明：详见《偏离表》；</w:t>
      </w:r>
    </w:p>
    <w:p w14:paraId="6681E03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4、如最后报价未列明单价，则最后所报各项单价计算方法为：（最后报价/最初报价）* 各项最初报价的单价。</w:t>
      </w:r>
    </w:p>
    <w:p w14:paraId="016F8F7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w:t>
      </w:r>
    </w:p>
    <w:p w14:paraId="5EF6DDD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w:t>
      </w:r>
    </w:p>
    <w:p w14:paraId="09D89F73">
      <w:pPr>
        <w:pBdr>
          <w:top w:val="none" w:color="000000" w:sz="0" w:space="0"/>
          <w:left w:val="none" w:color="000000" w:sz="0" w:space="0"/>
          <w:bottom w:val="none" w:color="000000" w:sz="0" w:space="0"/>
          <w:right w:val="none" w:color="000000" w:sz="0" w:space="0"/>
        </w:pBdr>
        <w:spacing w:before="0" w:after="0" w:line="85" w:lineRule="atLeast"/>
        <w:ind w:left="0" w:right="29" w:firstLine="0"/>
        <w:jc w:val="both"/>
        <w:rPr>
          <w:rFonts w:hint="default" w:ascii="Times New Roman" w:hAnsi="Times New Roman" w:eastAsia="宋体" w:cs="Times New Roman"/>
        </w:rPr>
      </w:pPr>
      <w:r>
        <w:rPr>
          <w:rFonts w:hint="default" w:ascii="宋体" w:hAnsi="宋体" w:eastAsia="宋体" w:cs="宋体"/>
          <w:color w:val="000000"/>
          <w:sz w:val="24"/>
        </w:rPr>
        <w:t>                       供应商（电子签章）：</w:t>
      </w:r>
    </w:p>
    <w:p w14:paraId="4FE6643E">
      <w:pPr>
        <w:pBdr>
          <w:top w:val="none" w:color="000000" w:sz="0" w:space="0"/>
          <w:left w:val="none" w:color="000000" w:sz="0" w:space="0"/>
          <w:bottom w:val="none" w:color="000000" w:sz="0" w:space="0"/>
          <w:right w:val="none" w:color="000000" w:sz="0" w:space="0"/>
        </w:pBdr>
        <w:spacing w:before="0" w:after="0" w:line="85" w:lineRule="atLeast"/>
        <w:ind w:left="0" w:right="29" w:firstLine="0"/>
        <w:jc w:val="both"/>
        <w:rPr>
          <w:rFonts w:hint="default" w:ascii="Times New Roman" w:hAnsi="Times New Roman" w:eastAsia="宋体" w:cs="Times New Roman"/>
        </w:rPr>
      </w:pPr>
      <w:r>
        <w:rPr>
          <w:rFonts w:hint="default" w:ascii="宋体" w:hAnsi="宋体" w:eastAsia="宋体" w:cs="宋体"/>
          <w:color w:val="000000"/>
          <w:sz w:val="24"/>
        </w:rPr>
        <w:t>                       日期：</w:t>
      </w:r>
    </w:p>
    <w:p w14:paraId="11AC3089">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b/>
          <w:color w:val="000000"/>
          <w:sz w:val="36"/>
        </w:rPr>
        <w:t> </w:t>
      </w:r>
    </w:p>
    <w:p w14:paraId="27C288ED">
      <w:pPr>
        <w:pBdr>
          <w:top w:val="none" w:color="000000" w:sz="0" w:space="0"/>
          <w:left w:val="none" w:color="000000" w:sz="0" w:space="0"/>
          <w:bottom w:val="none" w:color="000000" w:sz="0" w:space="0"/>
          <w:right w:val="none" w:color="000000" w:sz="0" w:space="0"/>
        </w:pBdr>
        <w:spacing w:before="210" w:after="0" w:line="315" w:lineRule="atLeast"/>
        <w:ind w:left="0" w:right="0" w:firstLine="420"/>
        <w:jc w:val="both"/>
        <w:rPr>
          <w:rFonts w:hint="default" w:ascii="Times New Roman" w:hAnsi="Times New Roman" w:eastAsia="宋体" w:cs="Times New Roman"/>
        </w:rPr>
      </w:pPr>
      <w:r>
        <w:rPr>
          <w:rFonts w:hint="default" w:ascii="宋体" w:hAnsi="宋体" w:eastAsia="宋体" w:cs="宋体"/>
          <w:color w:val="000000"/>
          <w:sz w:val="21"/>
        </w:rPr>
        <w:t> </w:t>
      </w:r>
    </w:p>
    <w:p w14:paraId="16576828">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b/>
          <w:color w:val="000000"/>
          <w:sz w:val="36"/>
        </w:rPr>
        <w:t> </w:t>
      </w:r>
    </w:p>
    <w:p w14:paraId="32B1F6A0">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Times New Roman" w:hAnsi="Times New Roman" w:eastAsia="宋体" w:cs="Times New Roman"/>
        </w:rPr>
        <w:br w:type="page" w:clear="all"/>
      </w:r>
    </w:p>
    <w:p w14:paraId="07CCFDAF">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b/>
          <w:color w:val="000000"/>
          <w:sz w:val="36"/>
        </w:rPr>
        <w:t>4、</w:t>
      </w:r>
      <w:r>
        <w:rPr>
          <w:rFonts w:hint="default" w:ascii="宋体" w:hAnsi="宋体" w:eastAsia="宋体" w:cs="宋体"/>
          <w:b/>
          <w:color w:val="000000"/>
          <w:sz w:val="36"/>
          <w:u w:val="none"/>
        </w:rPr>
        <w:t>分项价格表</w:t>
      </w:r>
    </w:p>
    <w:p w14:paraId="5B00EDD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78F6727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本次为首次报价</w:t>
      </w:r>
    </w:p>
    <w:p w14:paraId="38F1F09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Times New Roman" w:hAnsi="Times New Roman" w:eastAsia="宋体" w:cs="Times New Roman"/>
          <w:lang w:eastAsia="zh-CN"/>
        </w:rPr>
      </w:pPr>
      <w:r>
        <w:rPr>
          <w:rFonts w:hint="default" w:ascii="宋体" w:hAnsi="宋体" w:eastAsia="宋体" w:cs="宋体"/>
          <w:color w:val="000000"/>
          <w:sz w:val="24"/>
        </w:rPr>
        <w:t>项目编号：</w:t>
      </w:r>
      <w:r>
        <w:rPr>
          <w:rFonts w:hint="eastAsia" w:ascii="宋体" w:hAnsi="宋体" w:eastAsia="宋体" w:cs="宋体"/>
          <w:color w:val="000000"/>
          <w:sz w:val="24"/>
          <w:lang w:eastAsia="zh-CN"/>
        </w:rPr>
        <w:t>JSZC-320312-JSZH-C2026-0076</w:t>
      </w:r>
    </w:p>
    <w:p w14:paraId="6B2D57A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Times New Roman" w:hAnsi="Times New Roman" w:eastAsia="宋体" w:cs="Times New Roman"/>
          <w:lang w:eastAsia="zh-CN"/>
        </w:rPr>
      </w:pPr>
      <w:r>
        <w:rPr>
          <w:rFonts w:hint="default" w:ascii="宋体" w:hAnsi="宋体" w:eastAsia="宋体" w:cs="宋体"/>
          <w:color w:val="000000"/>
          <w:sz w:val="24"/>
        </w:rPr>
        <w:t>项目名称：</w:t>
      </w:r>
      <w:r>
        <w:rPr>
          <w:rFonts w:hint="eastAsia" w:ascii="宋体" w:hAnsi="宋体" w:eastAsia="宋体" w:cs="宋体"/>
          <w:color w:val="000000"/>
          <w:sz w:val="24"/>
          <w:lang w:eastAsia="zh-CN"/>
        </w:rPr>
        <w:t>铜山区成品油税控联网监管系统项目</w:t>
      </w:r>
    </w:p>
    <w:p w14:paraId="6B69E82E">
      <w:pPr>
        <w:pBdr>
          <w:top w:val="none" w:color="000000" w:sz="0" w:space="0"/>
          <w:left w:val="none" w:color="000000" w:sz="0" w:space="0"/>
          <w:bottom w:val="none" w:color="000000" w:sz="0" w:space="0"/>
          <w:right w:val="none" w:color="000000" w:sz="0" w:space="0"/>
        </w:pBdr>
        <w:spacing w:before="0" w:after="0" w:line="6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2D9B4744">
      <w:pPr>
        <w:pBdr>
          <w:top w:val="none" w:color="000000" w:sz="0" w:space="0"/>
          <w:left w:val="none" w:color="000000" w:sz="0" w:space="0"/>
          <w:bottom w:val="none" w:color="000000" w:sz="0" w:space="0"/>
          <w:right w:val="none" w:color="000000" w:sz="0" w:space="0"/>
        </w:pBdr>
        <w:spacing w:before="240" w:after="240"/>
        <w:ind w:left="420" w:right="33" w:firstLine="0"/>
        <w:rPr>
          <w:rFonts w:hint="default" w:ascii="Times New Roman" w:hAnsi="Times New Roman" w:eastAsia="宋体" w:cs="Times New Roman"/>
        </w:rPr>
      </w:pPr>
      <w:r>
        <w:rPr>
          <w:rFonts w:hint="default" w:ascii="宋体" w:hAnsi="宋体" w:eastAsia="宋体" w:cs="宋体"/>
          <w:color w:val="000000"/>
          <w:sz w:val="24"/>
        </w:rPr>
        <w:t> </w:t>
      </w:r>
    </w:p>
    <w:p w14:paraId="2C047221">
      <w:pPr>
        <w:pBdr>
          <w:top w:val="none" w:color="000000" w:sz="0" w:space="0"/>
          <w:left w:val="none" w:color="000000" w:sz="0" w:space="0"/>
          <w:bottom w:val="none" w:color="000000" w:sz="0" w:space="0"/>
          <w:right w:val="none" w:color="000000" w:sz="0" w:space="0"/>
        </w:pBdr>
        <w:spacing w:before="0" w:after="0" w:line="65" w:lineRule="atLeast"/>
        <w:ind w:left="0" w:right="0" w:firstLine="0"/>
        <w:jc w:val="center"/>
        <w:rPr>
          <w:rFonts w:hint="default" w:ascii="Times New Roman" w:hAnsi="Times New Roman" w:eastAsia="宋体" w:cs="Times New Roman"/>
        </w:rPr>
      </w:pPr>
      <w:r>
        <w:rPr>
          <w:rFonts w:hint="eastAsia" w:ascii="宋体" w:hAnsi="宋体" w:eastAsia="宋体" w:cs="宋体"/>
          <w:color w:val="000000"/>
          <w:sz w:val="24"/>
          <w:lang w:val="en-US" w:eastAsia="zh-CN"/>
        </w:rPr>
        <w:t>格式自拟。</w:t>
      </w:r>
    </w:p>
    <w:p w14:paraId="703E5648">
      <w:pPr>
        <w:pBdr>
          <w:top w:val="none" w:color="000000" w:sz="0" w:space="0"/>
          <w:left w:val="none" w:color="000000" w:sz="0" w:space="0"/>
          <w:bottom w:val="none" w:color="000000" w:sz="0" w:space="0"/>
          <w:right w:val="none" w:color="000000" w:sz="0" w:space="0"/>
        </w:pBdr>
        <w:spacing w:before="0" w:after="0" w:line="6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0B270276">
      <w:pPr>
        <w:pBdr>
          <w:top w:val="none" w:color="000000" w:sz="0" w:space="0"/>
          <w:left w:val="none" w:color="000000" w:sz="0" w:space="0"/>
          <w:bottom w:val="none" w:color="000000" w:sz="0" w:space="0"/>
          <w:right w:val="none" w:color="000000" w:sz="0" w:space="0"/>
        </w:pBdr>
        <w:spacing w:before="0" w:after="0" w:line="6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7007DD0F">
      <w:pPr>
        <w:pBdr>
          <w:top w:val="none" w:color="000000" w:sz="0" w:space="0"/>
          <w:left w:val="none" w:color="000000" w:sz="0" w:space="0"/>
          <w:bottom w:val="none" w:color="000000" w:sz="0" w:space="0"/>
          <w:right w:val="none" w:color="000000" w:sz="0" w:space="0"/>
        </w:pBdr>
        <w:spacing w:before="0" w:after="0" w:line="6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2E36C58F">
      <w:pPr>
        <w:pBdr>
          <w:top w:val="none" w:color="000000" w:sz="0" w:space="0"/>
          <w:left w:val="none" w:color="000000" w:sz="0" w:space="0"/>
          <w:bottom w:val="none" w:color="000000" w:sz="0" w:space="0"/>
          <w:right w:val="none" w:color="000000" w:sz="0" w:space="0"/>
        </w:pBdr>
        <w:spacing w:before="0" w:after="0" w:line="6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318CD668">
      <w:pPr>
        <w:pBdr>
          <w:top w:val="none" w:color="000000" w:sz="0" w:space="0"/>
          <w:left w:val="none" w:color="000000" w:sz="0" w:space="0"/>
          <w:bottom w:val="none" w:color="000000" w:sz="0" w:space="0"/>
          <w:right w:val="none" w:color="000000" w:sz="0" w:space="0"/>
        </w:pBdr>
        <w:spacing w:before="0" w:after="0" w:line="6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5BDC262C">
      <w:pPr>
        <w:pBdr>
          <w:top w:val="none" w:color="000000" w:sz="0" w:space="0"/>
          <w:left w:val="none" w:color="000000" w:sz="0" w:space="0"/>
          <w:bottom w:val="none" w:color="000000" w:sz="0" w:space="0"/>
          <w:right w:val="none" w:color="000000" w:sz="0" w:space="0"/>
        </w:pBdr>
        <w:spacing w:before="0" w:after="0" w:line="6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4D7D20C4">
      <w:pPr>
        <w:pBdr>
          <w:top w:val="none" w:color="000000" w:sz="0" w:space="0"/>
          <w:left w:val="none" w:color="000000" w:sz="0" w:space="0"/>
          <w:bottom w:val="none" w:color="000000" w:sz="0" w:space="0"/>
          <w:right w:val="none" w:color="000000" w:sz="0" w:space="0"/>
        </w:pBdr>
        <w:spacing w:before="0" w:after="0" w:line="65" w:lineRule="atLeast"/>
        <w:ind w:left="0" w:right="0" w:firstLine="2280"/>
        <w:jc w:val="both"/>
        <w:rPr>
          <w:rFonts w:hint="default" w:ascii="Times New Roman" w:hAnsi="Times New Roman" w:eastAsia="宋体" w:cs="Times New Roman"/>
        </w:rPr>
      </w:pPr>
      <w:r>
        <w:rPr>
          <w:rFonts w:hint="default" w:ascii="宋体" w:hAnsi="宋体" w:eastAsia="宋体" w:cs="宋体"/>
          <w:color w:val="000000"/>
          <w:sz w:val="24"/>
        </w:rPr>
        <w:t>     供应商（电子签章）：</w:t>
      </w:r>
    </w:p>
    <w:p w14:paraId="6A9552B9">
      <w:pPr>
        <w:pBdr>
          <w:top w:val="none" w:color="000000" w:sz="0" w:space="0"/>
          <w:left w:val="none" w:color="000000" w:sz="0" w:space="0"/>
          <w:bottom w:val="none" w:color="000000" w:sz="0" w:space="0"/>
          <w:right w:val="none" w:color="000000" w:sz="0" w:space="0"/>
        </w:pBdr>
        <w:spacing w:before="0" w:after="0" w:line="6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日期：</w:t>
      </w:r>
    </w:p>
    <w:p w14:paraId="2936C893">
      <w:pPr>
        <w:pBdr>
          <w:top w:val="none" w:color="000000" w:sz="0" w:space="0"/>
          <w:left w:val="none" w:color="000000" w:sz="0" w:space="0"/>
          <w:bottom w:val="none" w:color="000000" w:sz="0" w:space="0"/>
          <w:right w:val="none" w:color="000000" w:sz="0" w:space="0"/>
        </w:pBdr>
        <w:spacing w:before="0" w:after="0" w:line="6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5E6497FD">
      <w:pPr>
        <w:pBdr>
          <w:top w:val="none" w:color="000000" w:sz="0" w:space="0"/>
          <w:left w:val="none" w:color="000000" w:sz="0" w:space="0"/>
          <w:bottom w:val="none" w:color="000000" w:sz="0" w:space="0"/>
          <w:right w:val="none" w:color="000000" w:sz="0" w:space="0"/>
        </w:pBdr>
        <w:spacing w:before="0" w:after="0" w:line="6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6C40000E">
      <w:pPr>
        <w:pBdr>
          <w:top w:val="none" w:color="000000" w:sz="0" w:space="0"/>
          <w:left w:val="none" w:color="000000" w:sz="0" w:space="0"/>
          <w:bottom w:val="none" w:color="000000" w:sz="0" w:space="0"/>
          <w:right w:val="none" w:color="000000" w:sz="0" w:space="0"/>
        </w:pBdr>
        <w:spacing w:before="0" w:after="0" w:line="6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注：1．</w:t>
      </w:r>
      <w:r>
        <w:rPr>
          <w:rFonts w:hint="default" w:ascii="宋体" w:hAnsi="宋体" w:eastAsia="宋体" w:cs="宋体"/>
          <w:b/>
          <w:color w:val="000000"/>
          <w:sz w:val="24"/>
        </w:rPr>
        <w:t>如果不提供《分项价格表》将视为没有实质性响应。</w:t>
      </w:r>
    </w:p>
    <w:p w14:paraId="4A25D821">
      <w:pPr>
        <w:numPr>
          <w:ilvl w:val="0"/>
          <w:numId w:val="12"/>
        </w:numPr>
        <w:pBdr>
          <w:top w:val="none" w:color="000000" w:sz="0" w:space="0"/>
          <w:left w:val="none" w:color="000000" w:sz="0" w:space="0"/>
          <w:bottom w:val="none" w:color="000000" w:sz="0" w:space="0"/>
          <w:right w:val="none" w:color="000000" w:sz="0" w:space="0"/>
        </w:pBdr>
        <w:spacing w:before="0" w:after="0" w:line="65" w:lineRule="atLeast"/>
        <w:ind w:left="0" w:firstLine="0"/>
        <w:jc w:val="both"/>
        <w:rPr>
          <w:rFonts w:hint="default" w:ascii="Times New Roman" w:hAnsi="Times New Roman" w:eastAsia="宋体" w:cs="Times New Roman"/>
        </w:rPr>
      </w:pPr>
      <w:r>
        <w:rPr>
          <w:rFonts w:hint="default" w:ascii="宋体" w:hAnsi="宋体" w:eastAsia="宋体" w:cs="宋体"/>
          <w:color w:val="000000"/>
          <w:sz w:val="24"/>
        </w:rPr>
        <w:t>响应供应商对以上数据的真实性负责。</w:t>
      </w:r>
    </w:p>
    <w:p w14:paraId="7E4BC306">
      <w:pPr>
        <w:pBdr>
          <w:top w:val="none" w:color="000000" w:sz="0" w:space="0"/>
          <w:left w:val="none" w:color="000000" w:sz="0" w:space="0"/>
          <w:bottom w:val="none" w:color="000000" w:sz="0" w:space="0"/>
          <w:right w:val="none" w:color="000000" w:sz="0" w:space="0"/>
        </w:pBdr>
        <w:spacing w:before="0" w:after="0" w:line="65" w:lineRule="atLeast"/>
        <w:ind w:left="0" w:right="0" w:firstLine="482"/>
        <w:jc w:val="both"/>
        <w:rPr>
          <w:rFonts w:hint="default" w:ascii="Times New Roman" w:hAnsi="Times New Roman" w:eastAsia="宋体" w:cs="Times New Roman"/>
        </w:rPr>
      </w:pPr>
      <w:r>
        <w:rPr>
          <w:rFonts w:hint="default" w:ascii="宋体" w:hAnsi="宋体" w:eastAsia="宋体" w:cs="宋体"/>
          <w:b/>
          <w:i/>
          <w:color w:val="000000"/>
          <w:sz w:val="24"/>
          <w:u w:val="single"/>
        </w:rPr>
        <w:t>采购人或采购代理机构有权将以上内容进行公示。</w:t>
      </w:r>
    </w:p>
    <w:p w14:paraId="210529D0">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Times New Roman" w:hAnsi="Times New Roman" w:eastAsia="宋体" w:cs="Times New Roman"/>
        </w:rPr>
        <w:br w:type="page" w:clear="all"/>
      </w:r>
    </w:p>
    <w:p w14:paraId="29010706">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b/>
          <w:color w:val="000000"/>
          <w:sz w:val="36"/>
        </w:rPr>
        <w:t>5、</w:t>
      </w:r>
      <w:r>
        <w:rPr>
          <w:rFonts w:hint="default" w:ascii="宋体" w:hAnsi="宋体" w:eastAsia="宋体" w:cs="宋体"/>
          <w:b/>
          <w:color w:val="000000"/>
          <w:sz w:val="36"/>
          <w:u w:val="none"/>
        </w:rPr>
        <w:t>偏离表</w:t>
      </w:r>
    </w:p>
    <w:p w14:paraId="7C0FBFD9">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imes New Roman" w:hAnsi="Times New Roman" w:eastAsia="宋体" w:cs="Times New Roman"/>
          <w:lang w:eastAsia="zh-CN"/>
        </w:rPr>
      </w:pPr>
      <w:r>
        <w:rPr>
          <w:rFonts w:hint="default" w:ascii="宋体" w:hAnsi="宋体" w:eastAsia="宋体" w:cs="宋体"/>
          <w:color w:val="000000"/>
          <w:sz w:val="24"/>
        </w:rPr>
        <w:t>项目编号：</w:t>
      </w:r>
      <w:r>
        <w:rPr>
          <w:rFonts w:hint="eastAsia" w:ascii="宋体" w:hAnsi="宋体" w:eastAsia="宋体" w:cs="宋体"/>
          <w:color w:val="000000"/>
          <w:sz w:val="24"/>
          <w:lang w:eastAsia="zh-CN"/>
        </w:rPr>
        <w:t>JSZC-320312-JSZH-C2026-0076</w:t>
      </w:r>
    </w:p>
    <w:p w14:paraId="2E5D7301">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Times New Roman" w:hAnsi="Times New Roman" w:eastAsia="宋体" w:cs="Times New Roman"/>
          <w:lang w:eastAsia="zh-CN"/>
        </w:rPr>
      </w:pPr>
      <w:r>
        <w:rPr>
          <w:rFonts w:hint="default" w:ascii="宋体" w:hAnsi="宋体" w:eastAsia="宋体" w:cs="宋体"/>
          <w:color w:val="000000"/>
          <w:sz w:val="24"/>
        </w:rPr>
        <w:t>项目名称：</w:t>
      </w:r>
      <w:r>
        <w:rPr>
          <w:rFonts w:hint="eastAsia" w:ascii="宋体" w:hAnsi="宋体" w:eastAsia="宋体" w:cs="宋体"/>
          <w:color w:val="000000"/>
          <w:sz w:val="24"/>
          <w:lang w:eastAsia="zh-CN"/>
        </w:rPr>
        <w:t>铜山区成品油税控联网监管系统项目</w:t>
      </w:r>
    </w:p>
    <w:tbl>
      <w:tblPr>
        <w:tblStyle w:val="30"/>
        <w:tblW w:w="915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69"/>
        <w:gridCol w:w="1248"/>
        <w:gridCol w:w="2779"/>
        <w:gridCol w:w="1685"/>
        <w:gridCol w:w="1807"/>
        <w:gridCol w:w="769"/>
      </w:tblGrid>
      <w:tr w14:paraId="715075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43" w:hRule="atLeast"/>
          <w:jc w:val="center"/>
        </w:trPr>
        <w:tc>
          <w:tcPr>
            <w:tcW w:w="86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425CDE">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序号</w:t>
            </w:r>
          </w:p>
        </w:tc>
        <w:tc>
          <w:tcPr>
            <w:tcW w:w="124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5732253">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偏离内容</w:t>
            </w:r>
          </w:p>
        </w:tc>
        <w:tc>
          <w:tcPr>
            <w:tcW w:w="277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7761804">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竞争性磋商文件（含竞争性磋商文件的澄清或者修改）的要求</w:t>
            </w:r>
          </w:p>
        </w:tc>
        <w:tc>
          <w:tcPr>
            <w:tcW w:w="168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5AFD226">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首次响应文件中的内容</w:t>
            </w:r>
          </w:p>
        </w:tc>
        <w:tc>
          <w:tcPr>
            <w:tcW w:w="180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3B2D64F">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（正/负/无）偏离</w:t>
            </w:r>
          </w:p>
        </w:tc>
        <w:tc>
          <w:tcPr>
            <w:tcW w:w="76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84CA8E3">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说明</w:t>
            </w:r>
          </w:p>
        </w:tc>
      </w:tr>
      <w:tr w14:paraId="4087E1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5" w:hRule="atLeast"/>
          <w:jc w:val="center"/>
        </w:trPr>
        <w:tc>
          <w:tcPr>
            <w:tcW w:w="8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CAA17D">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 </w:t>
            </w:r>
          </w:p>
        </w:tc>
        <w:tc>
          <w:tcPr>
            <w:tcW w:w="124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CFCE8C6">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 </w:t>
            </w:r>
          </w:p>
        </w:tc>
        <w:tc>
          <w:tcPr>
            <w:tcW w:w="27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E33039B">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 </w:t>
            </w:r>
          </w:p>
        </w:tc>
        <w:tc>
          <w:tcPr>
            <w:tcW w:w="168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820B368">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 </w:t>
            </w:r>
          </w:p>
        </w:tc>
        <w:tc>
          <w:tcPr>
            <w:tcW w:w="180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C81CAE3">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 </w:t>
            </w:r>
          </w:p>
        </w:tc>
        <w:tc>
          <w:tcPr>
            <w:tcW w:w="7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3795E5A">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 </w:t>
            </w:r>
          </w:p>
        </w:tc>
      </w:tr>
      <w:tr w14:paraId="791DDA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5" w:hRule="atLeast"/>
          <w:jc w:val="center"/>
        </w:trPr>
        <w:tc>
          <w:tcPr>
            <w:tcW w:w="8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259542">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24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ADAF08E">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27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FE962F4">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68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136E185">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80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9FA09F6">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7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1967ECF">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r>
      <w:tr w14:paraId="7C2FD3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5" w:hRule="atLeast"/>
          <w:jc w:val="center"/>
        </w:trPr>
        <w:tc>
          <w:tcPr>
            <w:tcW w:w="8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387AAD">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24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A911E80">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27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07CBF93">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68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80E830C">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80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929AAE5">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7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BFBC1AE">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r>
      <w:tr w14:paraId="723333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5" w:hRule="atLeast"/>
          <w:jc w:val="center"/>
        </w:trPr>
        <w:tc>
          <w:tcPr>
            <w:tcW w:w="8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9DE346">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24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F61C982">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27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4CAAA01">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68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521B694">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80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F6AE1AA">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7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D7223EA">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r>
      <w:tr w14:paraId="587295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5" w:hRule="atLeast"/>
          <w:jc w:val="center"/>
        </w:trPr>
        <w:tc>
          <w:tcPr>
            <w:tcW w:w="8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061410">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24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F532887">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27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79A9DF8">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68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4A5819A">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80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8AB22BB">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7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DA6C654">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r>
      <w:tr w14:paraId="7CB2CF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5" w:hRule="atLeast"/>
          <w:jc w:val="center"/>
        </w:trPr>
        <w:tc>
          <w:tcPr>
            <w:tcW w:w="8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3E404A">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24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832C440">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27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EB70F1">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68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F431D00">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80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9CD896C">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7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5E2A443">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r>
      <w:tr w14:paraId="6711CE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5" w:hRule="atLeast"/>
          <w:jc w:val="center"/>
        </w:trPr>
        <w:tc>
          <w:tcPr>
            <w:tcW w:w="8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5B793B">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24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214921A">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27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FD3F52C">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68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D0CBE9A">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80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AA88689">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7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64C6D8A">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r>
      <w:tr w14:paraId="6887CC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5" w:hRule="atLeast"/>
          <w:jc w:val="center"/>
        </w:trPr>
        <w:tc>
          <w:tcPr>
            <w:tcW w:w="8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6E469F">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24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E8B9D3A">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27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C622069">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68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0AA2735">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80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FCE8672">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7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7734EA2">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r>
      <w:tr w14:paraId="4FFA9A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5" w:hRule="atLeast"/>
          <w:jc w:val="center"/>
        </w:trPr>
        <w:tc>
          <w:tcPr>
            <w:tcW w:w="8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F29D81">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24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05AD69F">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27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9914589">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68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8E13273">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180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1552150">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c>
          <w:tcPr>
            <w:tcW w:w="7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4F2CA6C">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tc>
      </w:tr>
    </w:tbl>
    <w:p w14:paraId="40F6207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宋体" w:hAnsi="宋体" w:eastAsia="宋体" w:cs="宋体"/>
          <w:color w:val="000000"/>
          <w:sz w:val="24"/>
          <w:u w:val="single"/>
        </w:rPr>
      </w:pPr>
    </w:p>
    <w:p w14:paraId="0BAA5F3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u w:val="single"/>
        </w:rPr>
        <w:t>注：供应商的首次响应文件中的内容与竞争性磋商文件（含竞争性磋商文件的澄清或者修改，下同）的要求不同时，逐条列在偏离表中，否则将认为供应商接受竞争性磋商文件的要求。</w:t>
      </w:r>
    </w:p>
    <w:p w14:paraId="75C85B9A">
      <w:pPr>
        <w:pBdr>
          <w:top w:val="none" w:color="000000" w:sz="0" w:space="0"/>
          <w:left w:val="none" w:color="000000" w:sz="0" w:space="0"/>
          <w:bottom w:val="none" w:color="000000" w:sz="0" w:space="0"/>
          <w:right w:val="none" w:color="000000" w:sz="0" w:space="0"/>
        </w:pBdr>
        <w:spacing w:before="0" w:after="0" w:line="85" w:lineRule="atLeast"/>
        <w:ind w:left="0" w:right="29" w:firstLine="0"/>
        <w:jc w:val="both"/>
        <w:rPr>
          <w:rFonts w:hint="default" w:ascii="宋体" w:hAnsi="宋体" w:eastAsia="宋体" w:cs="宋体"/>
          <w:color w:val="000000"/>
          <w:sz w:val="24"/>
        </w:rPr>
      </w:pPr>
      <w:r>
        <w:rPr>
          <w:rFonts w:hint="default" w:ascii="宋体" w:hAnsi="宋体" w:eastAsia="宋体" w:cs="宋体"/>
          <w:color w:val="000000"/>
          <w:sz w:val="24"/>
        </w:rPr>
        <w:t>                      </w:t>
      </w:r>
    </w:p>
    <w:p w14:paraId="708E88A3">
      <w:pPr>
        <w:pBdr>
          <w:top w:val="none" w:color="000000" w:sz="0" w:space="0"/>
          <w:left w:val="none" w:color="000000" w:sz="0" w:space="0"/>
          <w:bottom w:val="none" w:color="000000" w:sz="0" w:space="0"/>
          <w:right w:val="none" w:color="000000" w:sz="0" w:space="0"/>
        </w:pBdr>
        <w:spacing w:before="0" w:after="0" w:line="85" w:lineRule="atLeast"/>
        <w:ind w:left="0" w:right="29" w:firstLine="0"/>
        <w:jc w:val="both"/>
        <w:rPr>
          <w:rFonts w:hint="default" w:ascii="宋体" w:hAnsi="宋体" w:eastAsia="宋体" w:cs="宋体"/>
          <w:color w:val="000000"/>
          <w:sz w:val="24"/>
        </w:rPr>
      </w:pPr>
    </w:p>
    <w:p w14:paraId="2FC4888E">
      <w:pPr>
        <w:pBdr>
          <w:top w:val="none" w:color="000000" w:sz="0" w:space="0"/>
          <w:left w:val="none" w:color="000000" w:sz="0" w:space="0"/>
          <w:bottom w:val="none" w:color="000000" w:sz="0" w:space="0"/>
          <w:right w:val="none" w:color="000000" w:sz="0" w:space="0"/>
        </w:pBdr>
        <w:spacing w:before="0" w:after="0" w:line="85" w:lineRule="atLeast"/>
        <w:ind w:left="0" w:right="29" w:firstLine="0"/>
        <w:jc w:val="center"/>
        <w:rPr>
          <w:rFonts w:hint="default" w:ascii="Times New Roman" w:hAnsi="Times New Roman" w:eastAsia="宋体" w:cs="Times New Roman"/>
        </w:rPr>
      </w:pPr>
      <w:r>
        <w:rPr>
          <w:rFonts w:hint="default" w:ascii="宋体" w:hAnsi="宋体" w:eastAsia="宋体" w:cs="宋体"/>
          <w:color w:val="000000"/>
          <w:sz w:val="24"/>
        </w:rPr>
        <w:t>供应商（电子签章）：</w:t>
      </w:r>
    </w:p>
    <w:p w14:paraId="74AC6B1E">
      <w:pPr>
        <w:pBdr>
          <w:top w:val="none" w:color="000000" w:sz="0" w:space="0"/>
          <w:left w:val="none" w:color="000000" w:sz="0" w:space="0"/>
          <w:bottom w:val="none" w:color="000000" w:sz="0" w:space="0"/>
          <w:right w:val="none" w:color="000000" w:sz="0" w:space="0"/>
        </w:pBdr>
        <w:spacing w:before="0" w:after="0" w:line="85" w:lineRule="atLeast"/>
        <w:ind w:left="0" w:right="29" w:firstLine="4008"/>
        <w:jc w:val="both"/>
        <w:rPr>
          <w:rFonts w:hint="default" w:ascii="Times New Roman" w:hAnsi="Times New Roman" w:eastAsia="宋体" w:cs="Times New Roman"/>
        </w:rPr>
      </w:pPr>
      <w:r>
        <w:rPr>
          <w:rFonts w:hint="default" w:ascii="宋体" w:hAnsi="宋体" w:eastAsia="宋体" w:cs="宋体"/>
          <w:color w:val="000000"/>
          <w:sz w:val="24"/>
        </w:rPr>
        <w:t>日期：</w:t>
      </w:r>
    </w:p>
    <w:p w14:paraId="675C5D2B">
      <w:pPr>
        <w:pBdr>
          <w:top w:val="none" w:color="000000" w:sz="0" w:space="0"/>
          <w:left w:val="none" w:color="000000" w:sz="0" w:space="0"/>
          <w:bottom w:val="none" w:color="000000" w:sz="0" w:space="0"/>
          <w:right w:val="none" w:color="000000" w:sz="0" w:space="0"/>
        </w:pBdr>
        <w:spacing w:before="240" w:after="240"/>
        <w:ind w:left="420" w:right="33" w:firstLine="0"/>
        <w:jc w:val="right"/>
        <w:rPr>
          <w:rFonts w:hint="default" w:ascii="Times New Roman" w:hAnsi="Times New Roman" w:eastAsia="宋体" w:cs="Times New Roman"/>
        </w:rPr>
      </w:pPr>
      <w:r>
        <w:rPr>
          <w:rFonts w:hint="default" w:ascii="Times New Roman" w:hAnsi="Times New Roman" w:eastAsia="Times New Roman" w:cs="Times New Roman"/>
          <w:color w:val="000000"/>
          <w:sz w:val="24"/>
        </w:rPr>
        <w:t> </w:t>
      </w:r>
    </w:p>
    <w:p w14:paraId="7EA83DCF">
      <w:pPr>
        <w:pBdr>
          <w:top w:val="none" w:color="000000" w:sz="0" w:space="0"/>
          <w:left w:val="none" w:color="000000" w:sz="0" w:space="0"/>
          <w:bottom w:val="none" w:color="000000" w:sz="0" w:space="0"/>
          <w:right w:val="none" w:color="000000" w:sz="0" w:space="0"/>
        </w:pBdr>
        <w:spacing w:before="0" w:after="0" w:line="85" w:lineRule="atLeast"/>
        <w:ind w:left="0" w:right="29" w:firstLine="0"/>
        <w:jc w:val="center"/>
        <w:rPr>
          <w:rFonts w:hint="default" w:ascii="Times New Roman" w:hAnsi="Times New Roman" w:eastAsia="宋体" w:cs="Times New Roman"/>
        </w:rPr>
      </w:pPr>
      <w:r>
        <w:rPr>
          <w:rFonts w:hint="default" w:ascii="Times New Roman" w:hAnsi="Times New Roman" w:eastAsia="宋体" w:cs="Times New Roman"/>
        </w:rPr>
        <w:br w:type="page" w:clear="all"/>
      </w:r>
    </w:p>
    <w:p w14:paraId="064CC32E">
      <w:pPr>
        <w:pBdr>
          <w:top w:val="none" w:color="000000" w:sz="0" w:space="0"/>
          <w:left w:val="none" w:color="000000" w:sz="0" w:space="0"/>
          <w:bottom w:val="none" w:color="000000" w:sz="0" w:space="0"/>
          <w:right w:val="none" w:color="000000" w:sz="0" w:space="0"/>
        </w:pBdr>
        <w:spacing w:before="0" w:after="0" w:line="85" w:lineRule="atLeast"/>
        <w:ind w:left="0" w:right="29" w:firstLine="0"/>
        <w:jc w:val="center"/>
        <w:rPr>
          <w:rFonts w:hint="default" w:ascii="Times New Roman" w:hAnsi="Times New Roman" w:eastAsia="宋体" w:cs="Times New Roman"/>
        </w:rPr>
      </w:pPr>
      <w:r>
        <w:rPr>
          <w:rFonts w:hint="default" w:ascii="宋体" w:hAnsi="宋体" w:eastAsia="宋体" w:cs="宋体"/>
          <w:b/>
          <w:color w:val="000000"/>
          <w:sz w:val="36"/>
        </w:rPr>
        <w:t>6、合同草案条款</w:t>
      </w:r>
    </w:p>
    <w:p w14:paraId="509C5F43">
      <w:pPr>
        <w:pBdr>
          <w:top w:val="none" w:color="000000" w:sz="0" w:space="0"/>
          <w:left w:val="none" w:color="000000" w:sz="0" w:space="0"/>
          <w:bottom w:val="none" w:color="000000" w:sz="0" w:space="0"/>
          <w:right w:val="none" w:color="000000" w:sz="0" w:space="0"/>
        </w:pBdr>
        <w:spacing w:before="0" w:after="0" w:line="85" w:lineRule="atLeast"/>
        <w:ind w:left="0" w:right="0" w:firstLine="482"/>
        <w:jc w:val="center"/>
        <w:rPr>
          <w:rFonts w:hint="default" w:ascii="Times New Roman" w:hAnsi="Times New Roman" w:eastAsia="宋体" w:cs="Times New Roman"/>
        </w:rPr>
      </w:pPr>
      <w:r>
        <w:rPr>
          <w:rFonts w:hint="default" w:ascii="宋体" w:hAnsi="宋体" w:eastAsia="宋体" w:cs="宋体"/>
          <w:b/>
          <w:color w:val="000000"/>
          <w:sz w:val="24"/>
        </w:rPr>
        <w:t>（以采购人与成交供应商最终签订版本为准）</w:t>
      </w:r>
    </w:p>
    <w:p w14:paraId="289A58D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xml:space="preserve">项目名称： </w:t>
      </w:r>
    </w:p>
    <w:p w14:paraId="34323CF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项目编号：</w:t>
      </w:r>
    </w:p>
    <w:p w14:paraId="16A30084">
      <w:pPr>
        <w:pBdr>
          <w:top w:val="none" w:color="000000" w:sz="0" w:space="0"/>
          <w:left w:val="none" w:color="000000" w:sz="0" w:space="0"/>
          <w:bottom w:val="none" w:color="000000" w:sz="0" w:space="0"/>
          <w:right w:val="none" w:color="000000" w:sz="0" w:space="0"/>
        </w:pBdr>
        <w:spacing w:before="210" w:after="120"/>
        <w:ind w:left="0" w:right="0" w:firstLine="0"/>
        <w:jc w:val="center"/>
        <w:rPr>
          <w:rFonts w:hint="default" w:ascii="Times New Roman" w:hAnsi="Times New Roman" w:eastAsia="宋体" w:cs="Times New Roman"/>
        </w:rPr>
      </w:pPr>
      <w:r>
        <w:rPr>
          <w:rFonts w:hint="default" w:ascii="宋体" w:hAnsi="宋体" w:eastAsia="宋体" w:cs="宋体"/>
          <w:color w:val="000000"/>
          <w:sz w:val="72"/>
        </w:rPr>
        <w:t>政</w:t>
      </w:r>
    </w:p>
    <w:p w14:paraId="02FABFC1">
      <w:pPr>
        <w:pBdr>
          <w:top w:val="none" w:color="000000" w:sz="0" w:space="0"/>
          <w:left w:val="none" w:color="000000" w:sz="0" w:space="0"/>
          <w:bottom w:val="none" w:color="000000" w:sz="0" w:space="0"/>
          <w:right w:val="none" w:color="000000" w:sz="0" w:space="0"/>
        </w:pBdr>
        <w:spacing w:before="210" w:after="120"/>
        <w:ind w:left="0" w:right="0" w:firstLine="0"/>
        <w:jc w:val="center"/>
        <w:rPr>
          <w:rFonts w:hint="default" w:ascii="Times New Roman" w:hAnsi="Times New Roman" w:eastAsia="宋体" w:cs="Times New Roman"/>
        </w:rPr>
      </w:pPr>
      <w:r>
        <w:rPr>
          <w:rFonts w:hint="default" w:ascii="宋体" w:hAnsi="宋体" w:eastAsia="宋体" w:cs="宋体"/>
          <w:color w:val="000000"/>
          <w:sz w:val="72"/>
        </w:rPr>
        <w:t>府</w:t>
      </w:r>
    </w:p>
    <w:p w14:paraId="7BB5800F">
      <w:pPr>
        <w:pBdr>
          <w:top w:val="none" w:color="000000" w:sz="0" w:space="0"/>
          <w:left w:val="none" w:color="000000" w:sz="0" w:space="0"/>
          <w:bottom w:val="none" w:color="000000" w:sz="0" w:space="0"/>
          <w:right w:val="none" w:color="000000" w:sz="0" w:space="0"/>
        </w:pBdr>
        <w:spacing w:before="210" w:after="120"/>
        <w:ind w:left="0" w:right="0" w:firstLine="0"/>
        <w:jc w:val="center"/>
        <w:rPr>
          <w:rFonts w:hint="default" w:ascii="Times New Roman" w:hAnsi="Times New Roman" w:eastAsia="宋体" w:cs="Times New Roman"/>
        </w:rPr>
      </w:pPr>
      <w:r>
        <w:rPr>
          <w:rFonts w:hint="default" w:ascii="宋体" w:hAnsi="宋体" w:eastAsia="宋体" w:cs="宋体"/>
          <w:color w:val="000000"/>
          <w:sz w:val="72"/>
        </w:rPr>
        <w:t>采</w:t>
      </w:r>
    </w:p>
    <w:p w14:paraId="4820AE46">
      <w:pPr>
        <w:pBdr>
          <w:top w:val="none" w:color="000000" w:sz="0" w:space="0"/>
          <w:left w:val="none" w:color="000000" w:sz="0" w:space="0"/>
          <w:bottom w:val="none" w:color="000000" w:sz="0" w:space="0"/>
          <w:right w:val="none" w:color="000000" w:sz="0" w:space="0"/>
        </w:pBdr>
        <w:spacing w:before="210" w:after="120"/>
        <w:ind w:left="0" w:right="0" w:firstLine="0"/>
        <w:jc w:val="center"/>
        <w:rPr>
          <w:rFonts w:hint="default" w:ascii="Times New Roman" w:hAnsi="Times New Roman" w:eastAsia="宋体" w:cs="Times New Roman"/>
        </w:rPr>
      </w:pPr>
      <w:r>
        <w:rPr>
          <w:rFonts w:hint="default" w:ascii="宋体" w:hAnsi="宋体" w:eastAsia="宋体" w:cs="宋体"/>
          <w:color w:val="000000"/>
          <w:sz w:val="72"/>
        </w:rPr>
        <w:t>购</w:t>
      </w:r>
    </w:p>
    <w:p w14:paraId="48AB7072">
      <w:pPr>
        <w:pBdr>
          <w:top w:val="none" w:color="000000" w:sz="0" w:space="0"/>
          <w:left w:val="none" w:color="000000" w:sz="0" w:space="0"/>
          <w:bottom w:val="none" w:color="000000" w:sz="0" w:space="0"/>
          <w:right w:val="none" w:color="000000" w:sz="0" w:space="0"/>
        </w:pBdr>
        <w:spacing w:before="210" w:after="120"/>
        <w:ind w:left="0" w:right="0" w:firstLine="0"/>
        <w:jc w:val="center"/>
        <w:rPr>
          <w:rFonts w:hint="default" w:ascii="Times New Roman" w:hAnsi="Times New Roman" w:eastAsia="宋体" w:cs="Times New Roman"/>
        </w:rPr>
      </w:pPr>
      <w:r>
        <w:rPr>
          <w:rFonts w:hint="default" w:ascii="宋体" w:hAnsi="宋体" w:eastAsia="宋体" w:cs="宋体"/>
          <w:color w:val="000000"/>
          <w:sz w:val="72"/>
        </w:rPr>
        <w:t>合</w:t>
      </w:r>
    </w:p>
    <w:p w14:paraId="66CBA402">
      <w:pPr>
        <w:pBdr>
          <w:top w:val="none" w:color="000000" w:sz="0" w:space="0"/>
          <w:left w:val="none" w:color="000000" w:sz="0" w:space="0"/>
          <w:bottom w:val="none" w:color="000000" w:sz="0" w:space="0"/>
          <w:right w:val="none" w:color="000000" w:sz="0" w:space="0"/>
        </w:pBdr>
        <w:spacing w:before="210" w:after="120"/>
        <w:ind w:left="0" w:right="0" w:firstLine="0"/>
        <w:jc w:val="center"/>
        <w:rPr>
          <w:rFonts w:hint="default" w:ascii="Times New Roman" w:hAnsi="Times New Roman" w:eastAsia="宋体" w:cs="Times New Roman"/>
        </w:rPr>
      </w:pPr>
      <w:r>
        <w:rPr>
          <w:rFonts w:hint="default" w:ascii="宋体" w:hAnsi="宋体" w:eastAsia="宋体" w:cs="宋体"/>
          <w:color w:val="000000"/>
          <w:sz w:val="72"/>
        </w:rPr>
        <w:t>同</w:t>
      </w:r>
    </w:p>
    <w:p w14:paraId="0CEED4AD">
      <w:pPr>
        <w:pBdr>
          <w:top w:val="none" w:color="000000" w:sz="0" w:space="0"/>
          <w:left w:val="none" w:color="000000" w:sz="0" w:space="0"/>
          <w:bottom w:val="none" w:color="000000" w:sz="0" w:space="0"/>
          <w:right w:val="none" w:color="000000" w:sz="0" w:space="0"/>
        </w:pBdr>
        <w:spacing w:before="0" w:after="0" w:line="85" w:lineRule="atLeast"/>
        <w:ind w:left="0" w:right="0" w:firstLine="360"/>
        <w:jc w:val="both"/>
        <w:rPr>
          <w:rFonts w:hint="default" w:ascii="Times New Roman" w:hAnsi="Times New Roman" w:eastAsia="宋体" w:cs="Times New Roman"/>
        </w:rPr>
      </w:pPr>
      <w:r>
        <w:rPr>
          <w:rFonts w:hint="default" w:ascii="宋体" w:hAnsi="宋体" w:eastAsia="宋体" w:cs="宋体"/>
          <w:color w:val="000000"/>
          <w:sz w:val="24"/>
        </w:rPr>
        <w:t> </w:t>
      </w:r>
    </w:p>
    <w:p w14:paraId="0D108ED5">
      <w:pPr>
        <w:pBdr>
          <w:top w:val="none" w:color="000000" w:sz="0" w:space="0"/>
          <w:left w:val="none" w:color="000000" w:sz="0" w:space="0"/>
          <w:bottom w:val="none" w:color="000000" w:sz="0" w:space="0"/>
          <w:right w:val="none" w:color="000000" w:sz="0" w:space="0"/>
        </w:pBdr>
        <w:spacing w:before="0" w:after="0" w:line="85" w:lineRule="atLeast"/>
        <w:ind w:left="0" w:right="0" w:firstLine="1320"/>
        <w:jc w:val="both"/>
        <w:rPr>
          <w:rFonts w:hint="eastAsia" w:ascii="Times New Roman" w:hAnsi="Times New Roman" w:eastAsia="宋体" w:cs="Times New Roman"/>
          <w:lang w:eastAsia="zh-CN"/>
        </w:rPr>
      </w:pPr>
      <w:r>
        <w:rPr>
          <w:rFonts w:hint="default" w:ascii="宋体" w:hAnsi="宋体" w:eastAsia="宋体" w:cs="宋体"/>
          <w:color w:val="000000"/>
          <w:sz w:val="24"/>
        </w:rPr>
        <w:t>采购人：</w:t>
      </w:r>
      <w:r>
        <w:rPr>
          <w:rFonts w:hint="eastAsia" w:ascii="宋体" w:hAnsi="宋体" w:eastAsia="宋体" w:cs="宋体"/>
          <w:color w:val="000000"/>
          <w:sz w:val="24"/>
          <w:lang w:eastAsia="zh-CN"/>
        </w:rPr>
        <w:t xml:space="preserve"> 徐州市铜山区财政局</w:t>
      </w:r>
    </w:p>
    <w:p w14:paraId="09AD5B9C">
      <w:pPr>
        <w:pBdr>
          <w:top w:val="none" w:color="000000" w:sz="0" w:space="0"/>
          <w:left w:val="none" w:color="000000" w:sz="0" w:space="0"/>
          <w:bottom w:val="none" w:color="000000" w:sz="0" w:space="0"/>
          <w:right w:val="none" w:color="000000" w:sz="0" w:space="0"/>
        </w:pBdr>
        <w:spacing w:before="0" w:after="0" w:line="85" w:lineRule="atLeast"/>
        <w:ind w:left="0" w:right="0" w:firstLine="1320"/>
        <w:jc w:val="both"/>
        <w:rPr>
          <w:rFonts w:hint="default" w:ascii="Times New Roman" w:hAnsi="Times New Roman" w:eastAsia="宋体" w:cs="Times New Roman"/>
        </w:rPr>
      </w:pPr>
      <w:r>
        <w:rPr>
          <w:rFonts w:hint="default" w:ascii="宋体" w:hAnsi="宋体" w:eastAsia="宋体" w:cs="宋体"/>
          <w:color w:val="000000"/>
          <w:sz w:val="24"/>
        </w:rPr>
        <w:t>成交供应商：</w:t>
      </w:r>
    </w:p>
    <w:p w14:paraId="0EDE1045">
      <w:pPr>
        <w:pBdr>
          <w:top w:val="none" w:color="000000" w:sz="0" w:space="0"/>
          <w:left w:val="none" w:color="000000" w:sz="0" w:space="0"/>
          <w:bottom w:val="none" w:color="000000" w:sz="0" w:space="0"/>
          <w:right w:val="none" w:color="000000" w:sz="0" w:space="0"/>
        </w:pBdr>
        <w:spacing w:before="0" w:after="0" w:line="85" w:lineRule="atLeast"/>
        <w:ind w:left="0" w:right="0" w:firstLine="1320"/>
        <w:jc w:val="both"/>
        <w:rPr>
          <w:rFonts w:hint="default" w:ascii="宋体" w:hAnsi="宋体" w:eastAsia="宋体" w:cs="宋体"/>
          <w:color w:val="000000"/>
          <w:sz w:val="24"/>
        </w:rPr>
      </w:pPr>
      <w:r>
        <w:rPr>
          <w:rFonts w:hint="default" w:ascii="宋体" w:hAnsi="宋体" w:eastAsia="宋体" w:cs="宋体"/>
          <w:color w:val="000000"/>
          <w:sz w:val="24"/>
        </w:rPr>
        <w:t>合同签订日期：</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年</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月</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日</w:t>
      </w:r>
    </w:p>
    <w:p w14:paraId="5FF01AAE">
      <w:pPr>
        <w:pStyle w:val="2"/>
        <w:rPr>
          <w:rFonts w:hint="default"/>
        </w:rPr>
      </w:pPr>
    </w:p>
    <w:p w14:paraId="6FD95C08">
      <w:pPr>
        <w:keepNext w:val="0"/>
        <w:keepLines w:val="0"/>
        <w:pageBreakBefore w:val="0"/>
        <w:widowControl w:val="0"/>
        <w:spacing w:line="360" w:lineRule="auto"/>
        <w:ind w:firstLine="482"/>
        <w:rPr>
          <w:rFonts w:hint="eastAsia" w:ascii="宋体" w:hAnsi="宋体" w:eastAsia="宋体" w:cs="宋体"/>
          <w:b/>
          <w:bCs/>
          <w:color w:val="000000"/>
          <w:sz w:val="24"/>
        </w:rPr>
      </w:pPr>
      <w:r>
        <w:rPr>
          <w:rFonts w:hint="eastAsia" w:ascii="宋体" w:hAnsi="宋体" w:eastAsia="宋体" w:cs="宋体"/>
          <w:b/>
          <w:bCs/>
          <w:color w:val="000000"/>
          <w:sz w:val="24"/>
        </w:rPr>
        <w:t>友情提醒：采购人与中标、成交供应商应当在中标、成交通知书发出之日起三十日内，按照采购文件确定的事项签订政府采购合同。</w:t>
      </w:r>
    </w:p>
    <w:p w14:paraId="2FBCC8B9">
      <w:pPr>
        <w:keepNext w:val="0"/>
        <w:keepLines w:val="0"/>
        <w:pageBreakBefore w:val="0"/>
        <w:widowControl w:val="0"/>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hint="default" w:ascii="Times New Roman" w:hAnsi="Times New Roman" w:eastAsia="宋体" w:cs="Times New Roman"/>
        </w:rPr>
      </w:pPr>
      <w:r>
        <w:rPr>
          <w:rFonts w:hint="eastAsia" w:ascii="宋体" w:hAnsi="宋体" w:eastAsia="宋体" w:cs="宋体"/>
          <w:b/>
          <w:bCs/>
          <w:color w:val="000000"/>
          <w:sz w:val="24"/>
        </w:rPr>
        <w:t>采购人应当自政府采购合同签订之日起2个工作日内，将政府采购合同在省级以上人民政府财政部门指定的媒体上公告，但政府采购合同中涉及国家秘密、商业秘密的内容除外。</w:t>
      </w:r>
      <w:r>
        <w:rPr>
          <w:rFonts w:hint="default" w:ascii="Times New Roman" w:hAnsi="Times New Roman" w:eastAsia="宋体" w:cs="Times New Roman"/>
        </w:rPr>
        <w:br w:type="page" w:clear="all"/>
      </w:r>
    </w:p>
    <w:p w14:paraId="0D064175">
      <w:pPr>
        <w:pBdr>
          <w:top w:val="none" w:color="000000" w:sz="0" w:space="0"/>
          <w:left w:val="none" w:color="000000" w:sz="0" w:space="0"/>
          <w:bottom w:val="none" w:color="000000" w:sz="0" w:space="0"/>
          <w:right w:val="none" w:color="000000" w:sz="0" w:space="0"/>
        </w:pBdr>
        <w:spacing w:before="210" w:after="120"/>
        <w:ind w:left="0" w:right="0" w:firstLine="0"/>
        <w:jc w:val="both"/>
        <w:rPr>
          <w:rFonts w:hint="default" w:ascii="Times New Roman" w:hAnsi="Times New Roman" w:eastAsia="Times New Roman" w:cs="Times New Roman"/>
          <w:color w:val="000000"/>
          <w:sz w:val="21"/>
        </w:rPr>
      </w:pPr>
      <w:r>
        <w:rPr>
          <w:rFonts w:hint="default" w:ascii="Times New Roman" w:hAnsi="Times New Roman" w:eastAsia="Times New Roman" w:cs="Times New Roman"/>
          <w:color w:val="000000"/>
          <w:sz w:val="21"/>
        </w:rPr>
        <w:t> </w:t>
      </w:r>
    </w:p>
    <w:p w14:paraId="7B30C7A8">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eastAsia="宋体"/>
          <w:lang w:eastAsia="zh-CN"/>
        </w:rPr>
      </w:pPr>
      <w:r>
        <w:rPr>
          <w:rFonts w:hint="eastAsia" w:ascii="宋体" w:hAnsi="宋体" w:eastAsia="宋体" w:cs="宋体"/>
          <w:color w:val="000000"/>
          <w:sz w:val="24"/>
          <w:szCs w:val="24"/>
        </w:rPr>
        <w:t>甲方：</w:t>
      </w:r>
      <w:r>
        <w:rPr>
          <w:rFonts w:hint="eastAsia" w:ascii="宋体" w:hAnsi="宋体" w:eastAsia="宋体" w:cs="宋体"/>
          <w:color w:val="000000"/>
          <w:sz w:val="24"/>
          <w:szCs w:val="24"/>
          <w:lang w:val="en-US" w:eastAsia="zh-CN"/>
        </w:rPr>
        <w:t xml:space="preserve"> </w:t>
      </w:r>
    </w:p>
    <w:p w14:paraId="2F9FD28F">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pPr>
      <w:r>
        <w:rPr>
          <w:rFonts w:hint="eastAsia" w:ascii="宋体" w:hAnsi="宋体" w:eastAsia="宋体" w:cs="宋体"/>
          <w:color w:val="000000"/>
          <w:sz w:val="24"/>
          <w:szCs w:val="24"/>
        </w:rPr>
        <w:t>乙方：</w:t>
      </w:r>
      <w:r>
        <w:rPr>
          <w:rFonts w:hint="eastAsia" w:ascii="宋体" w:hAnsi="宋体" w:eastAsia="宋体" w:cs="宋体"/>
          <w:color w:val="000000"/>
          <w:sz w:val="24"/>
          <w:szCs w:val="24"/>
          <w:u w:val="single"/>
        </w:rPr>
        <w:t xml:space="preserve">                 </w:t>
      </w:r>
    </w:p>
    <w:p w14:paraId="61CE4915">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eastAsia="宋体"/>
          <w:lang w:eastAsia="zh-CN"/>
        </w:rPr>
      </w:pPr>
      <w:r>
        <w:rPr>
          <w:rFonts w:hint="eastAsia" w:ascii="宋体" w:hAnsi="宋体" w:eastAsia="宋体" w:cs="宋体"/>
          <w:color w:val="000000"/>
          <w:sz w:val="24"/>
          <w:szCs w:val="24"/>
        </w:rPr>
        <w:t>项目编号：</w:t>
      </w:r>
      <w:r>
        <w:rPr>
          <w:rFonts w:hint="eastAsia" w:ascii="宋体" w:hAnsi="宋体" w:eastAsia="宋体" w:cs="宋体"/>
          <w:color w:val="000000"/>
          <w:sz w:val="24"/>
          <w:szCs w:val="24"/>
          <w:lang w:val="en-US" w:eastAsia="zh-CN"/>
        </w:rPr>
        <w:t xml:space="preserve"> </w:t>
      </w:r>
    </w:p>
    <w:p w14:paraId="20021938">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eastAsia="宋体"/>
          <w:lang w:eastAsia="zh-CN"/>
        </w:rPr>
      </w:pPr>
      <w:r>
        <w:rPr>
          <w:rFonts w:hint="eastAsia" w:ascii="宋体" w:hAnsi="宋体" w:eastAsia="宋体" w:cs="宋体"/>
          <w:color w:val="000000"/>
          <w:sz w:val="24"/>
          <w:szCs w:val="24"/>
        </w:rPr>
        <w:t>项目名称：</w:t>
      </w:r>
      <w:r>
        <w:rPr>
          <w:rFonts w:hint="eastAsia" w:ascii="宋体" w:hAnsi="宋体" w:eastAsia="宋体" w:cs="宋体"/>
          <w:color w:val="000000"/>
          <w:sz w:val="24"/>
          <w:szCs w:val="24"/>
          <w:lang w:val="en-US" w:eastAsia="zh-CN"/>
        </w:rPr>
        <w:t xml:space="preserve"> </w:t>
      </w:r>
    </w:p>
    <w:p w14:paraId="5FE2A606">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pPr>
      <w:r>
        <w:rPr>
          <w:rFonts w:hint="eastAsia" w:ascii="宋体" w:hAnsi="宋体" w:eastAsia="宋体" w:cs="宋体"/>
          <w:color w:val="000000"/>
          <w:sz w:val="24"/>
          <w:szCs w:val="24"/>
        </w:rPr>
        <w:t>签订地点：</w:t>
      </w:r>
    </w:p>
    <w:p w14:paraId="55C8258C">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0" w:afterAutospacing="0" w:line="360" w:lineRule="auto"/>
        <w:ind w:left="0" w:right="68" w:firstLine="471"/>
        <w:jc w:val="both"/>
      </w:pPr>
      <w:r>
        <w:rPr>
          <w:rFonts w:hint="eastAsia" w:ascii="宋体" w:hAnsi="宋体" w:eastAsia="宋体" w:cs="宋体"/>
          <w:color w:val="000000"/>
          <w:sz w:val="24"/>
          <w:szCs w:val="24"/>
        </w:rPr>
        <w:t>依据《中华人民共和国民法典》《中华人民共和国政府采购法》等有关法律法规，按照采购成交结果，本着公平、公正、诚信的原则，经甲、乙双方协商一致签订本合同。</w:t>
      </w:r>
    </w:p>
    <w:p w14:paraId="408C87AE">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80"/>
        <w:jc w:val="both"/>
      </w:pPr>
      <w:bookmarkStart w:id="25" w:name="_Toc9427"/>
      <w:r>
        <w:rPr>
          <w:rFonts w:hint="eastAsia" w:ascii="宋体" w:hAnsi="宋体" w:eastAsia="宋体" w:cs="宋体"/>
          <w:b/>
          <w:bCs/>
          <w:color w:val="000000"/>
          <w:sz w:val="24"/>
          <w:szCs w:val="24"/>
        </w:rPr>
        <w:t>第一条 服务内容及服务地点</w:t>
      </w:r>
      <w:bookmarkEnd w:id="25"/>
    </w:p>
    <w:p w14:paraId="27143A1E">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80"/>
        <w:jc w:val="both"/>
      </w:pPr>
      <w:r>
        <w:rPr>
          <w:rFonts w:hint="eastAsia" w:ascii="宋体" w:hAnsi="宋体" w:eastAsia="宋体" w:cs="宋体"/>
          <w:color w:val="000000"/>
          <w:sz w:val="24"/>
          <w:szCs w:val="24"/>
        </w:rPr>
        <w:t>1.服务产品及数量</w:t>
      </w:r>
    </w:p>
    <w:tbl>
      <w:tblPr>
        <w:tblStyle w:val="29"/>
        <w:tblW w:w="46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4382"/>
        <w:gridCol w:w="1589"/>
        <w:gridCol w:w="1860"/>
      </w:tblGrid>
      <w:tr w14:paraId="3A0DC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0" w:type="pct"/>
            <w:shd w:val="clear" w:color="000000" w:fill="FFFFFF"/>
            <w:noWrap/>
            <w:vAlign w:val="center"/>
          </w:tcPr>
          <w:p w14:paraId="59744632">
            <w:pPr>
              <w:jc w:val="center"/>
              <w:rPr>
                <w:rFonts w:hint="eastAsia" w:ascii="宋体" w:hAnsi="宋体" w:eastAsia="宋体" w:cs="宋体"/>
                <w:b/>
                <w:bCs/>
                <w:color w:val="000000"/>
                <w:sz w:val="24"/>
              </w:rPr>
            </w:pPr>
            <w:r>
              <w:rPr>
                <w:rFonts w:hint="eastAsia" w:ascii="宋体" w:hAnsi="宋体" w:eastAsia="宋体" w:cs="宋体"/>
                <w:b/>
                <w:bCs/>
                <w:color w:val="000000"/>
                <w:sz w:val="24"/>
              </w:rPr>
              <w:t>序号</w:t>
            </w:r>
          </w:p>
        </w:tc>
        <w:tc>
          <w:tcPr>
            <w:tcW w:w="2308" w:type="pct"/>
            <w:shd w:val="clear" w:color="000000" w:fill="FFFFFF"/>
            <w:noWrap/>
            <w:vAlign w:val="center"/>
          </w:tcPr>
          <w:p w14:paraId="3E6ECF85">
            <w:pPr>
              <w:jc w:val="center"/>
              <w:rPr>
                <w:rFonts w:hint="eastAsia" w:ascii="宋体" w:hAnsi="宋体" w:eastAsia="宋体" w:cs="宋体"/>
                <w:b/>
                <w:bCs/>
                <w:color w:val="000000"/>
                <w:sz w:val="24"/>
              </w:rPr>
            </w:pPr>
            <w:r>
              <w:rPr>
                <w:rFonts w:hint="eastAsia" w:ascii="宋体" w:hAnsi="宋体" w:eastAsia="宋体" w:cs="宋体"/>
                <w:b/>
                <w:bCs/>
                <w:color w:val="000000"/>
                <w:sz w:val="24"/>
              </w:rPr>
              <w:t>内容</w:t>
            </w:r>
          </w:p>
        </w:tc>
        <w:tc>
          <w:tcPr>
            <w:tcW w:w="837" w:type="pct"/>
            <w:shd w:val="clear" w:color="000000" w:fill="FFFFFF"/>
            <w:noWrap/>
            <w:vAlign w:val="center"/>
          </w:tcPr>
          <w:p w14:paraId="3FA8702C">
            <w:pPr>
              <w:jc w:val="center"/>
              <w:rPr>
                <w:rFonts w:hint="eastAsia" w:ascii="宋体" w:hAnsi="宋体" w:eastAsia="宋体" w:cs="宋体"/>
                <w:b/>
                <w:bCs/>
                <w:color w:val="000000"/>
                <w:sz w:val="24"/>
              </w:rPr>
            </w:pPr>
            <w:r>
              <w:rPr>
                <w:rFonts w:hint="eastAsia" w:ascii="宋体" w:hAnsi="宋体" w:eastAsia="宋体" w:cs="宋体"/>
                <w:b/>
                <w:bCs/>
                <w:color w:val="000000"/>
                <w:sz w:val="24"/>
              </w:rPr>
              <w:t>数量</w:t>
            </w:r>
          </w:p>
        </w:tc>
        <w:tc>
          <w:tcPr>
            <w:tcW w:w="979" w:type="pct"/>
            <w:shd w:val="clear" w:color="000000" w:fill="FFFFFF"/>
            <w:noWrap/>
            <w:vAlign w:val="center"/>
          </w:tcPr>
          <w:p w14:paraId="072AB1E6">
            <w:pPr>
              <w:jc w:val="center"/>
              <w:rPr>
                <w:rFonts w:hint="eastAsia" w:ascii="宋体" w:hAnsi="宋体" w:eastAsia="宋体" w:cs="宋体"/>
                <w:b/>
                <w:bCs/>
                <w:color w:val="000000"/>
                <w:sz w:val="24"/>
              </w:rPr>
            </w:pPr>
            <w:r>
              <w:rPr>
                <w:rFonts w:hint="eastAsia" w:ascii="宋体" w:hAnsi="宋体" w:eastAsia="宋体" w:cs="宋体"/>
                <w:b/>
                <w:bCs/>
                <w:color w:val="000000"/>
                <w:sz w:val="24"/>
              </w:rPr>
              <w:t>单位</w:t>
            </w:r>
          </w:p>
        </w:tc>
      </w:tr>
      <w:tr w14:paraId="11FD0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0" w:type="pct"/>
            <w:shd w:val="clear" w:color="000000" w:fill="FFFFFF"/>
            <w:noWrap w:val="0"/>
            <w:vAlign w:val="center"/>
          </w:tcPr>
          <w:p w14:paraId="745DA3B6">
            <w:pPr>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2308" w:type="pct"/>
            <w:shd w:val="clear" w:color="000000" w:fill="FFFFFF"/>
            <w:noWrap w:val="0"/>
            <w:vAlign w:val="center"/>
          </w:tcPr>
          <w:p w14:paraId="593D7F07">
            <w:pPr>
              <w:jc w:val="center"/>
              <w:rPr>
                <w:rFonts w:hint="eastAsia" w:ascii="宋体" w:hAnsi="宋体" w:eastAsia="宋体" w:cs="宋体"/>
                <w:color w:val="000000"/>
                <w:sz w:val="24"/>
              </w:rPr>
            </w:pPr>
            <w:r>
              <w:rPr>
                <w:rFonts w:hint="eastAsia" w:ascii="宋体" w:hAnsi="宋体" w:eastAsia="宋体" w:cs="宋体"/>
                <w:color w:val="000000"/>
                <w:sz w:val="24"/>
              </w:rPr>
              <w:t>成品油流通数据监管云平台系统</w:t>
            </w:r>
          </w:p>
        </w:tc>
        <w:tc>
          <w:tcPr>
            <w:tcW w:w="837" w:type="pct"/>
            <w:shd w:val="clear" w:color="000000" w:fill="FFFFFF"/>
            <w:noWrap w:val="0"/>
            <w:vAlign w:val="center"/>
          </w:tcPr>
          <w:p w14:paraId="382883E2">
            <w:pPr>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979" w:type="pct"/>
            <w:shd w:val="clear" w:color="000000" w:fill="FFFFFF"/>
            <w:noWrap w:val="0"/>
            <w:vAlign w:val="center"/>
          </w:tcPr>
          <w:p w14:paraId="074C7DD6">
            <w:pPr>
              <w:jc w:val="center"/>
              <w:rPr>
                <w:rFonts w:hint="eastAsia" w:ascii="宋体" w:hAnsi="宋体" w:eastAsia="宋体" w:cs="宋体"/>
                <w:color w:val="000000"/>
                <w:sz w:val="24"/>
              </w:rPr>
            </w:pPr>
            <w:r>
              <w:rPr>
                <w:rFonts w:hint="eastAsia" w:ascii="宋体" w:hAnsi="宋体" w:eastAsia="宋体" w:cs="宋体"/>
                <w:color w:val="000000"/>
                <w:sz w:val="24"/>
              </w:rPr>
              <w:t>套</w:t>
            </w:r>
          </w:p>
        </w:tc>
      </w:tr>
      <w:tr w14:paraId="1D0C4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0" w:type="pct"/>
            <w:shd w:val="clear" w:color="000000" w:fill="FFFFFF"/>
            <w:noWrap w:val="0"/>
            <w:vAlign w:val="center"/>
          </w:tcPr>
          <w:p w14:paraId="5B549486">
            <w:pPr>
              <w:jc w:val="center"/>
              <w:rPr>
                <w:rFonts w:hint="eastAsia" w:ascii="宋体" w:hAnsi="宋体" w:eastAsia="宋体" w:cs="宋体"/>
                <w:color w:val="000000"/>
                <w:sz w:val="24"/>
              </w:rPr>
            </w:pPr>
            <w:r>
              <w:rPr>
                <w:rFonts w:hint="eastAsia" w:ascii="宋体" w:hAnsi="宋体" w:eastAsia="宋体" w:cs="宋体"/>
                <w:color w:val="000000"/>
                <w:sz w:val="24"/>
              </w:rPr>
              <w:t>2</w:t>
            </w:r>
          </w:p>
        </w:tc>
        <w:tc>
          <w:tcPr>
            <w:tcW w:w="2308" w:type="pct"/>
            <w:shd w:val="clear" w:color="000000" w:fill="FFFFFF"/>
            <w:noWrap w:val="0"/>
            <w:vAlign w:val="center"/>
          </w:tcPr>
          <w:p w14:paraId="541A03C1">
            <w:pPr>
              <w:jc w:val="center"/>
              <w:rPr>
                <w:rFonts w:hint="eastAsia" w:ascii="宋体" w:hAnsi="宋体" w:eastAsia="宋体" w:cs="宋体"/>
                <w:color w:val="000000"/>
                <w:sz w:val="24"/>
              </w:rPr>
            </w:pPr>
            <w:r>
              <w:rPr>
                <w:rFonts w:hint="eastAsia" w:ascii="宋体" w:hAnsi="宋体" w:eastAsia="宋体" w:cs="宋体"/>
                <w:color w:val="000000"/>
                <w:sz w:val="24"/>
              </w:rPr>
              <w:t>加油机数据采集设备</w:t>
            </w:r>
          </w:p>
        </w:tc>
        <w:tc>
          <w:tcPr>
            <w:tcW w:w="837" w:type="pct"/>
            <w:shd w:val="clear" w:color="000000" w:fill="FFFFFF"/>
            <w:noWrap w:val="0"/>
            <w:vAlign w:val="center"/>
          </w:tcPr>
          <w:p w14:paraId="0EFC13AC">
            <w:pPr>
              <w:jc w:val="center"/>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190</w:t>
            </w:r>
          </w:p>
        </w:tc>
        <w:tc>
          <w:tcPr>
            <w:tcW w:w="979" w:type="pct"/>
            <w:shd w:val="clear" w:color="000000" w:fill="FFFFFF"/>
            <w:noWrap w:val="0"/>
            <w:vAlign w:val="center"/>
          </w:tcPr>
          <w:p w14:paraId="168F4580">
            <w:pPr>
              <w:jc w:val="center"/>
              <w:rPr>
                <w:rFonts w:hint="eastAsia" w:ascii="宋体" w:hAnsi="宋体" w:eastAsia="宋体" w:cs="宋体"/>
                <w:color w:val="000000"/>
                <w:sz w:val="24"/>
              </w:rPr>
            </w:pPr>
            <w:r>
              <w:rPr>
                <w:rFonts w:hint="eastAsia" w:ascii="宋体" w:hAnsi="宋体" w:eastAsia="宋体" w:cs="宋体"/>
                <w:color w:val="000000"/>
                <w:sz w:val="24"/>
              </w:rPr>
              <w:t>台</w:t>
            </w:r>
          </w:p>
        </w:tc>
      </w:tr>
      <w:tr w14:paraId="257B0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0" w:type="pct"/>
            <w:shd w:val="clear" w:color="000000" w:fill="FFFFFF"/>
            <w:noWrap w:val="0"/>
            <w:vAlign w:val="center"/>
          </w:tcPr>
          <w:p w14:paraId="360B7528">
            <w:pPr>
              <w:jc w:val="center"/>
              <w:rPr>
                <w:rFonts w:hint="eastAsia" w:ascii="宋体" w:hAnsi="宋体" w:eastAsia="宋体" w:cs="宋体"/>
                <w:color w:val="000000"/>
                <w:sz w:val="24"/>
              </w:rPr>
            </w:pPr>
            <w:r>
              <w:rPr>
                <w:rFonts w:hint="eastAsia" w:ascii="宋体" w:hAnsi="宋体" w:eastAsia="宋体" w:cs="宋体"/>
                <w:color w:val="000000"/>
                <w:sz w:val="24"/>
              </w:rPr>
              <w:t>3</w:t>
            </w:r>
          </w:p>
        </w:tc>
        <w:tc>
          <w:tcPr>
            <w:tcW w:w="2308" w:type="pct"/>
            <w:shd w:val="clear" w:color="000000" w:fill="FFFFFF"/>
            <w:noWrap w:val="0"/>
            <w:vAlign w:val="center"/>
          </w:tcPr>
          <w:p w14:paraId="377A2DE7">
            <w:pPr>
              <w:jc w:val="center"/>
              <w:rPr>
                <w:rFonts w:hint="eastAsia" w:ascii="宋体" w:hAnsi="宋体" w:eastAsia="宋体" w:cs="宋体"/>
                <w:color w:val="000000"/>
                <w:sz w:val="24"/>
              </w:rPr>
            </w:pPr>
            <w:r>
              <w:rPr>
                <w:rFonts w:hint="eastAsia" w:ascii="宋体" w:hAnsi="宋体" w:eastAsia="宋体" w:cs="宋体"/>
                <w:color w:val="000000"/>
                <w:sz w:val="24"/>
              </w:rPr>
              <w:t>4G/5G物联网卡</w:t>
            </w:r>
          </w:p>
        </w:tc>
        <w:tc>
          <w:tcPr>
            <w:tcW w:w="837" w:type="pct"/>
            <w:shd w:val="clear" w:color="000000" w:fill="FFFFFF"/>
            <w:noWrap w:val="0"/>
            <w:vAlign w:val="center"/>
          </w:tcPr>
          <w:p w14:paraId="5965020D">
            <w:pPr>
              <w:jc w:val="center"/>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190</w:t>
            </w:r>
          </w:p>
        </w:tc>
        <w:tc>
          <w:tcPr>
            <w:tcW w:w="979" w:type="pct"/>
            <w:shd w:val="clear" w:color="000000" w:fill="FFFFFF"/>
            <w:noWrap w:val="0"/>
            <w:vAlign w:val="center"/>
          </w:tcPr>
          <w:p w14:paraId="5831296E">
            <w:pPr>
              <w:jc w:val="center"/>
              <w:rPr>
                <w:rFonts w:hint="eastAsia" w:ascii="宋体" w:hAnsi="宋体" w:eastAsia="宋体" w:cs="宋体"/>
                <w:color w:val="000000"/>
                <w:sz w:val="24"/>
              </w:rPr>
            </w:pPr>
            <w:r>
              <w:rPr>
                <w:rFonts w:hint="eastAsia" w:ascii="宋体" w:hAnsi="宋体" w:eastAsia="宋体" w:cs="宋体"/>
                <w:color w:val="000000"/>
                <w:sz w:val="24"/>
              </w:rPr>
              <w:t>张/3年</w:t>
            </w:r>
          </w:p>
        </w:tc>
      </w:tr>
    </w:tbl>
    <w:p w14:paraId="16EEEF91">
      <w:pPr>
        <w:spacing w:before="156" w:line="360" w:lineRule="auto"/>
        <w:ind w:firstLine="480"/>
      </w:pPr>
      <w:r>
        <w:rPr>
          <w:rFonts w:hint="eastAsia" w:ascii="宋体" w:hAnsi="宋体" w:eastAsia="宋体" w:cs="宋体"/>
          <w:color w:val="000000"/>
          <w:sz w:val="24"/>
          <w:szCs w:val="24"/>
        </w:rPr>
        <w:t>2.服务内容：</w:t>
      </w:r>
      <w:r>
        <w:rPr>
          <w:rFonts w:hint="eastAsia" w:ascii="宋体" w:hAnsi="宋体" w:eastAsia="宋体" w:cs="宋体"/>
          <w:sz w:val="24"/>
        </w:rPr>
        <w:t>通过运用物联网、大数据等技术手段，将全区38座加油站、152台加油机和38个</w:t>
      </w:r>
      <w:r>
        <w:rPr>
          <w:rFonts w:hint="eastAsia" w:ascii="宋体" w:hAnsi="宋体" w:eastAsia="宋体" w:cs="宋体"/>
          <w:sz w:val="24"/>
          <w:lang w:eastAsia="zh-CN"/>
        </w:rPr>
        <w:t>液位仪采集器</w:t>
      </w:r>
      <w:r>
        <w:rPr>
          <w:rFonts w:hint="eastAsia" w:ascii="宋体" w:hAnsi="宋体" w:eastAsia="宋体" w:cs="宋体"/>
          <w:sz w:val="24"/>
        </w:rPr>
        <w:t>全部纳入远程实时监管，实现统一监管方式、统一监管方法（两统一），实时监控加油站税控数据、民生计量、油品价格等芯片级数据源（三实时），加强监管信息归集共享和关联整合。在防范税源流失、增加财政收入的同时，提升对成品油流通企业监管的数字化、精准化、智能化水平，进一步优化（一优化）营商环境，推动成品油市场健康发展目标，提高人民群众幸福感。</w:t>
      </w:r>
    </w:p>
    <w:p w14:paraId="502964CA">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3.服务地点：采购人指定地点。</w:t>
      </w:r>
    </w:p>
    <w:p w14:paraId="1B0C6990">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80"/>
        <w:jc w:val="both"/>
      </w:pPr>
      <w:bookmarkStart w:id="26" w:name="_Toc5614"/>
      <w:r>
        <w:rPr>
          <w:rFonts w:hint="eastAsia" w:ascii="宋体" w:hAnsi="宋体" w:eastAsia="宋体" w:cs="宋体"/>
          <w:b/>
          <w:bCs/>
          <w:color w:val="000000"/>
          <w:sz w:val="24"/>
          <w:szCs w:val="24"/>
        </w:rPr>
        <w:t>第二条 服务期限</w:t>
      </w:r>
      <w:bookmarkEnd w:id="26"/>
    </w:p>
    <w:p w14:paraId="390B6DDE">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服务期限3年。</w:t>
      </w:r>
    </w:p>
    <w:p w14:paraId="48352A9A">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自云平台服务系统验收合格交付使用之日起至36个月数据服务提供结束。自云平台服务系统验收合格交付使用之日起，免费维保期36个月。</w:t>
      </w:r>
    </w:p>
    <w:p w14:paraId="372B6946">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80"/>
        <w:jc w:val="both"/>
      </w:pPr>
      <w:r>
        <w:rPr>
          <w:rFonts w:hint="eastAsia" w:ascii="宋体" w:hAnsi="宋体" w:eastAsia="宋体" w:cs="宋体"/>
          <w:b/>
          <w:bCs/>
          <w:color w:val="000000"/>
          <w:sz w:val="24"/>
          <w:szCs w:val="24"/>
        </w:rPr>
        <w:t>第三条 技术要求</w:t>
      </w:r>
    </w:p>
    <w:p w14:paraId="4AB28571">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1.平台技术要求：</w:t>
      </w:r>
    </w:p>
    <w:p w14:paraId="5119267F">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cs="宋体"/>
          <w:sz w:val="24"/>
        </w:rPr>
        <w:t>通过物联网技术加密传输到云平台，进行数据的汇总、分析、展示、利用。实现实时监控各加油站的交易数据，基于各类交易数据分析，生成多维度的数据分析报告和报表，为市场监管、税务、商务等部门提供更加丰富的监管依据，营造公平竞争的市场环境，为智慧城市建设提供有力的技术支撑。软件平台应包括可视化大屏展示、PC管理平台、手机端查询平台等多场景应用平台。</w:t>
      </w:r>
    </w:p>
    <w:p w14:paraId="66D1949A">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80"/>
        <w:jc w:val="both"/>
      </w:pPr>
      <w:r>
        <w:rPr>
          <w:rFonts w:hint="eastAsia" w:ascii="宋体" w:hAnsi="宋体" w:eastAsia="宋体" w:cs="宋体"/>
          <w:color w:val="000000"/>
          <w:sz w:val="24"/>
          <w:szCs w:val="24"/>
        </w:rPr>
        <w:t>2.数据采集设备技术要求：</w:t>
      </w:r>
    </w:p>
    <w:p w14:paraId="5C166D2A">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cs="宋体"/>
          <w:sz w:val="24"/>
        </w:rPr>
        <w:t>要求内置嵌入式实时多任务操作系统，响应速度快，效率高，模块化设计，输入输出接口光耦隔离，采用防浪涌、防雷和EMC设计，集成度高，可靠性强，适用绝大部分加油机类型，支持有线、无线等多种传输模式，实现油机及油站相关设备的数据采集、存储、控制、报警及数据传输等综合功能。</w:t>
      </w:r>
    </w:p>
    <w:p w14:paraId="6C502497">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80"/>
        <w:jc w:val="both"/>
      </w:pPr>
      <w:r>
        <w:rPr>
          <w:rFonts w:hint="eastAsia" w:ascii="宋体" w:hAnsi="宋体" w:eastAsia="宋体" w:cs="宋体"/>
          <w:color w:val="000000"/>
          <w:sz w:val="24"/>
          <w:szCs w:val="24"/>
        </w:rPr>
        <w:t>3.</w:t>
      </w:r>
      <w:r>
        <w:rPr>
          <w:rFonts w:hint="eastAsia" w:ascii="宋体" w:hAnsi="宋体" w:cs="宋体"/>
          <w:sz w:val="24"/>
        </w:rPr>
        <w:t>4G/5G物联网卡无线传输服务。</w:t>
      </w:r>
    </w:p>
    <w:p w14:paraId="44F7E414">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80"/>
        <w:jc w:val="both"/>
      </w:pPr>
      <w:bookmarkStart w:id="27" w:name="_Toc15165"/>
      <w:r>
        <w:rPr>
          <w:rFonts w:hint="eastAsia" w:ascii="宋体" w:hAnsi="宋体" w:eastAsia="宋体" w:cs="宋体"/>
          <w:b/>
          <w:bCs/>
          <w:color w:val="000000"/>
          <w:sz w:val="24"/>
          <w:szCs w:val="24"/>
        </w:rPr>
        <w:t xml:space="preserve">第四条 </w:t>
      </w:r>
      <w:r>
        <w:rPr>
          <w:rFonts w:hint="eastAsia" w:ascii="宋体" w:hAnsi="宋体" w:eastAsia="宋体" w:cs="宋体"/>
          <w:b/>
          <w:bCs/>
          <w:color w:val="000000"/>
          <w:sz w:val="24"/>
          <w:szCs w:val="24"/>
          <w:lang w:val="en-US" w:eastAsia="zh-CN"/>
        </w:rPr>
        <w:t>履约</w:t>
      </w:r>
      <w:r>
        <w:rPr>
          <w:rFonts w:hint="eastAsia" w:ascii="宋体" w:hAnsi="宋体" w:eastAsia="宋体" w:cs="宋体"/>
          <w:b/>
          <w:bCs/>
          <w:color w:val="000000"/>
          <w:sz w:val="24"/>
          <w:szCs w:val="24"/>
        </w:rPr>
        <w:t>验收与交付要求</w:t>
      </w:r>
      <w:bookmarkEnd w:id="27"/>
    </w:p>
    <w:p w14:paraId="6FB1CAB7">
      <w:pPr>
        <w:spacing w:line="360" w:lineRule="auto"/>
        <w:ind w:firstLine="480"/>
        <w:rPr>
          <w:rFonts w:hint="eastAsia" w:ascii="宋体" w:hAnsi="宋体" w:eastAsia="宋体" w:cs="宋体"/>
          <w:sz w:val="24"/>
        </w:rPr>
      </w:pPr>
      <w:r>
        <w:rPr>
          <w:rFonts w:hint="eastAsia" w:ascii="宋体" w:hAnsi="宋体" w:eastAsia="宋体" w:cs="宋体"/>
          <w:sz w:val="24"/>
        </w:rPr>
        <w:t>（一）项目验收阶段：项目完工后，乙方向甲方递交申请验收材料之日起，于10个工作日内完成验收。根据项目竣工验收的相关要求，开展项目内部验收、专项验收等工作。</w:t>
      </w:r>
    </w:p>
    <w:p w14:paraId="4A5A45B6">
      <w:pPr>
        <w:spacing w:line="360" w:lineRule="auto"/>
        <w:ind w:firstLine="480"/>
        <w:rPr>
          <w:rFonts w:hint="eastAsia" w:ascii="宋体" w:hAnsi="宋体" w:eastAsia="宋体" w:cs="宋体"/>
          <w:sz w:val="24"/>
        </w:rPr>
      </w:pPr>
      <w:r>
        <w:rPr>
          <w:rFonts w:hint="eastAsia" w:ascii="宋体" w:hAnsi="宋体" w:eastAsia="宋体" w:cs="宋体"/>
          <w:sz w:val="24"/>
        </w:rPr>
        <w:t>（二）项目试运行阶段：通过对设备的功能性、安全性及信创适配性测试等验收标准后，进入项目试运行阶段，试运行期为1个月。本阶段主要完成项目试运行，修正项目各部分联调中出现的问题，修正软件bug。</w:t>
      </w:r>
    </w:p>
    <w:p w14:paraId="46209955">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ascii="宋体" w:hAnsi="宋体" w:eastAsia="宋体" w:cs="宋体"/>
          <w:sz w:val="24"/>
        </w:rPr>
      </w:pPr>
      <w:r>
        <w:rPr>
          <w:rFonts w:hint="eastAsia" w:ascii="宋体" w:hAnsi="宋体" w:eastAsia="宋体" w:cs="宋体"/>
          <w:sz w:val="24"/>
        </w:rPr>
        <w:t>（三）服务成果验收：验收标准根据国家、行业验收标准，以及合同约定验收方案对采购项目进行实质性验收。</w:t>
      </w:r>
    </w:p>
    <w:p w14:paraId="598438B3">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ascii="宋体" w:hAnsi="宋体" w:eastAsia="宋体" w:cs="宋体"/>
          <w:sz w:val="24"/>
          <w:lang w:val="en-US"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四</w:t>
      </w:r>
      <w:r>
        <w:rPr>
          <w:rFonts w:hint="eastAsia" w:ascii="宋体" w:hAnsi="宋体" w:eastAsia="宋体" w:cs="宋体"/>
          <w:sz w:val="24"/>
          <w:lang w:eastAsia="zh-CN"/>
        </w:rPr>
        <w:t>）</w:t>
      </w:r>
      <w:r>
        <w:rPr>
          <w:rFonts w:hint="eastAsia" w:ascii="宋体" w:hAnsi="宋体" w:eastAsia="宋体" w:cs="宋体"/>
          <w:sz w:val="24"/>
          <w:lang w:val="en-US" w:eastAsia="zh-CN"/>
        </w:rPr>
        <w:t>验收人：徐州市铜山区财政局；</w:t>
      </w:r>
    </w:p>
    <w:p w14:paraId="35DF33F9">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1024"/>
        <w:jc w:val="both"/>
        <w:rPr>
          <w:rFonts w:hint="eastAsia" w:ascii="宋体" w:hAnsi="宋体" w:eastAsia="宋体" w:cs="宋体"/>
          <w:sz w:val="24"/>
          <w:lang w:val="en-US" w:eastAsia="zh-CN"/>
        </w:rPr>
      </w:pPr>
      <w:r>
        <w:rPr>
          <w:rFonts w:hint="eastAsia" w:ascii="宋体" w:hAnsi="宋体" w:eastAsia="宋体" w:cs="宋体"/>
          <w:sz w:val="24"/>
          <w:lang w:val="en-US" w:eastAsia="zh-CN"/>
        </w:rPr>
        <w:t>验收时间：2026年10月31日前；</w:t>
      </w:r>
    </w:p>
    <w:p w14:paraId="491720BC">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1024"/>
        <w:jc w:val="both"/>
        <w:rPr>
          <w:rFonts w:hint="default" w:ascii="宋体" w:hAnsi="宋体" w:eastAsia="宋体" w:cs="宋体"/>
          <w:sz w:val="24"/>
          <w:lang w:val="en-US" w:eastAsia="zh-CN"/>
        </w:rPr>
      </w:pPr>
      <w:r>
        <w:rPr>
          <w:rFonts w:hint="eastAsia" w:ascii="宋体" w:hAnsi="宋体" w:eastAsia="宋体" w:cs="宋体"/>
          <w:sz w:val="24"/>
          <w:lang w:val="en-US" w:eastAsia="zh-CN"/>
        </w:rPr>
        <w:t>验收地点：徐州市铜山区财政局。</w:t>
      </w:r>
    </w:p>
    <w:p w14:paraId="1B747F7F">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80"/>
        <w:jc w:val="both"/>
      </w:pPr>
      <w:r>
        <w:rPr>
          <w:rFonts w:hint="eastAsia" w:ascii="宋体" w:hAnsi="宋体" w:eastAsia="宋体" w:cs="宋体"/>
          <w:b/>
          <w:bCs/>
          <w:color w:val="000000"/>
          <w:sz w:val="24"/>
          <w:szCs w:val="24"/>
        </w:rPr>
        <w:t>第五条 服务响应要求</w:t>
      </w:r>
    </w:p>
    <w:p w14:paraId="47460443">
      <w:pPr>
        <w:spacing w:line="360" w:lineRule="auto"/>
        <w:ind w:firstLine="480"/>
        <w:rPr>
          <w:rFonts w:hint="eastAsia" w:ascii="宋体" w:hAnsi="宋体" w:eastAsia="宋体" w:cs="宋体"/>
          <w:color w:val="000000"/>
          <w:sz w:val="24"/>
        </w:rPr>
      </w:pPr>
      <w:r>
        <w:rPr>
          <w:rFonts w:hint="eastAsia" w:ascii="宋体" w:hAnsi="宋体" w:eastAsia="宋体" w:cs="宋体"/>
          <w:sz w:val="24"/>
        </w:rPr>
        <w:t>1.乙方必须确保参与本项目的团队服务人员固定，乙方响应文件中拟派参与本项目的项目组成员，服务期内不得随意更换，因特殊原因确需更换的须以书面形式征得采购人同意。</w:t>
      </w:r>
    </w:p>
    <w:p w14:paraId="35044494">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sz w:val="24"/>
        </w:rPr>
        <w:t>服务期内乙方须</w:t>
      </w:r>
      <w:r>
        <w:rPr>
          <w:rFonts w:hint="eastAsia" w:ascii="宋体" w:hAnsi="宋体" w:eastAsia="宋体" w:cs="宋体"/>
          <w:color w:val="000000"/>
          <w:sz w:val="24"/>
        </w:rPr>
        <w:t>提供7*24*365天服务维护（即每周7个工作日，每天24小时，一年365天）技术支持服务，并免费提供系统升级服务。</w:t>
      </w:r>
    </w:p>
    <w:p w14:paraId="3EC29EA0">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rPr>
        <w:t>3.</w:t>
      </w:r>
      <w:r>
        <w:rPr>
          <w:rFonts w:hint="eastAsia" w:ascii="宋体" w:hAnsi="宋体" w:eastAsia="宋体" w:cs="宋体"/>
          <w:sz w:val="24"/>
        </w:rPr>
        <w:t>系统发生故障时，1小时内响应；如果确定不能通过远程方式解决，成交供应商应立即安排技术人员3小时内到达故障现场，非严重硬件故障要求2小时内恢复，保证系统能够正常运行；其他软硬件故障必须在24小时内恢复，保证系统正常运行。</w:t>
      </w:r>
    </w:p>
    <w:p w14:paraId="01665C52">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bookmarkStart w:id="28" w:name="_Toc24285"/>
      <w:r>
        <w:rPr>
          <w:rFonts w:hint="eastAsia" w:ascii="宋体" w:hAnsi="宋体" w:eastAsia="宋体" w:cs="宋体"/>
          <w:b/>
          <w:bCs/>
          <w:color w:val="000000"/>
          <w:sz w:val="24"/>
          <w:szCs w:val="24"/>
        </w:rPr>
        <w:t>第六条 合同总价款</w:t>
      </w:r>
      <w:bookmarkEnd w:id="28"/>
    </w:p>
    <w:p w14:paraId="062355FE">
      <w:pPr>
        <w:spacing w:line="360" w:lineRule="auto"/>
        <w:ind w:firstLine="480"/>
        <w:rPr>
          <w:rFonts w:hint="eastAsia" w:ascii="宋体" w:hAnsi="宋体" w:eastAsia="宋体" w:cs="宋体"/>
          <w:sz w:val="24"/>
        </w:rPr>
      </w:pPr>
      <w:bookmarkStart w:id="29" w:name="_Toc258"/>
      <w:r>
        <w:rPr>
          <w:rFonts w:hint="eastAsia" w:ascii="宋体" w:hAnsi="宋体" w:eastAsia="宋体" w:cs="宋体"/>
          <w:sz w:val="24"/>
        </w:rPr>
        <w:t xml:space="preserve">合同总金额：¥ </w:t>
      </w:r>
      <w:r>
        <w:rPr>
          <w:rFonts w:hint="eastAsia" w:ascii="宋体" w:hAnsi="宋体" w:eastAsia="宋体" w:cs="宋体"/>
          <w:sz w:val="24"/>
          <w:u w:val="single"/>
        </w:rPr>
        <w:t xml:space="preserve">      </w:t>
      </w:r>
      <w:r>
        <w:rPr>
          <w:rFonts w:hint="eastAsia" w:ascii="宋体" w:hAnsi="宋体" w:eastAsia="宋体" w:cs="宋体"/>
          <w:sz w:val="24"/>
        </w:rPr>
        <w:t>元（大写：</w:t>
      </w:r>
      <w:r>
        <w:rPr>
          <w:rFonts w:hint="eastAsia" w:ascii="宋体" w:hAnsi="宋体" w:eastAsia="宋体" w:cs="宋体"/>
          <w:sz w:val="24"/>
          <w:u w:val="single"/>
        </w:rPr>
        <w:t xml:space="preserve">            </w:t>
      </w:r>
      <w:r>
        <w:rPr>
          <w:rFonts w:hint="eastAsia" w:ascii="宋体" w:hAnsi="宋体" w:eastAsia="宋体" w:cs="宋体"/>
          <w:sz w:val="24"/>
        </w:rPr>
        <w:t>元）人民币。</w:t>
      </w:r>
    </w:p>
    <w:p w14:paraId="78FDF491">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80"/>
        <w:jc w:val="both"/>
        <w:rPr>
          <w:rFonts w:hint="eastAsia" w:ascii="宋体" w:hAnsi="宋体" w:eastAsia="宋体" w:cs="宋体"/>
          <w:sz w:val="24"/>
        </w:rPr>
      </w:pPr>
      <w:r>
        <w:rPr>
          <w:rFonts w:hint="eastAsia" w:ascii="宋体" w:hAnsi="宋体" w:eastAsia="宋体" w:cs="宋体"/>
          <w:sz w:val="24"/>
        </w:rPr>
        <w:t>本合同价款为固定总价，服务期内与本项目有关的一切责任和费用均由乙方自行承担，除另有约定外甲方不再支付成交价以外的任何费用。</w:t>
      </w:r>
    </w:p>
    <w:p w14:paraId="46EF354B">
      <w:pPr>
        <w:pStyle w:val="27"/>
        <w:keepNext w:val="0"/>
        <w:keepLines w:val="0"/>
        <w:pageBreakBefore w:val="0"/>
        <w:widowControl w:val="0"/>
        <w:numPr>
          <w:ilvl w:val="0"/>
          <w:numId w:val="13"/>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80"/>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付款方式</w:t>
      </w:r>
      <w:bookmarkEnd w:id="29"/>
    </w:p>
    <w:p w14:paraId="2FECCF88">
      <w:pPr>
        <w:pStyle w:val="2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0" w:firstLine="723"/>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经双方协商一致， 选择以下第（    ）种付款方式</w:t>
      </w:r>
    </w:p>
    <w:p w14:paraId="7206C956">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付款条件一：提交预付款保函的</w:t>
      </w:r>
    </w:p>
    <w:p w14:paraId="2298D2F4">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双方</w:t>
      </w:r>
      <w:r>
        <w:rPr>
          <w:rFonts w:hint="eastAsia" w:ascii="宋体" w:hAnsi="宋体" w:eastAsia="宋体" w:cs="宋体"/>
          <w:color w:val="000000"/>
          <w:sz w:val="24"/>
        </w:rPr>
        <w:t>签订</w:t>
      </w:r>
      <w:r>
        <w:rPr>
          <w:rFonts w:hint="eastAsia" w:ascii="宋体" w:hAnsi="宋体" w:eastAsia="宋体" w:cs="宋体"/>
          <w:color w:val="000000"/>
          <w:sz w:val="24"/>
          <w:lang w:val="en-US" w:eastAsia="zh-CN"/>
        </w:rPr>
        <w:t>合同</w:t>
      </w:r>
      <w:r>
        <w:rPr>
          <w:rFonts w:hint="eastAsia" w:ascii="宋体" w:hAnsi="宋体" w:eastAsia="宋体" w:cs="宋体"/>
          <w:color w:val="000000"/>
          <w:sz w:val="24"/>
        </w:rPr>
        <w:t>15个工作日</w:t>
      </w:r>
      <w:r>
        <w:rPr>
          <w:rFonts w:hint="eastAsia" w:ascii="宋体" w:hAnsi="宋体" w:eastAsia="宋体" w:cs="宋体"/>
          <w:color w:val="000000"/>
          <w:sz w:val="24"/>
          <w:lang w:val="en-US" w:eastAsia="zh-CN"/>
        </w:rPr>
        <w:t>并</w:t>
      </w:r>
      <w:r>
        <w:rPr>
          <w:rFonts w:hint="eastAsia" w:ascii="宋体" w:hAnsi="宋体" w:eastAsia="宋体" w:cs="宋体"/>
          <w:color w:val="000000"/>
          <w:sz w:val="24"/>
        </w:rPr>
        <w:t>具备实施条件后且乙方向甲方</w:t>
      </w:r>
      <w:r>
        <w:rPr>
          <w:rFonts w:hint="eastAsia" w:ascii="宋体" w:hAnsi="宋体" w:eastAsia="宋体" w:cs="宋体"/>
          <w:color w:val="000000"/>
          <w:sz w:val="24"/>
          <w:lang w:val="en-US" w:eastAsia="zh-CN"/>
        </w:rPr>
        <w:t>提供对应金额的有效发票后（或乙方</w:t>
      </w:r>
      <w:r>
        <w:rPr>
          <w:rFonts w:hint="eastAsia" w:ascii="宋体" w:hAnsi="宋体" w:eastAsia="宋体" w:cs="宋体"/>
          <w:color w:val="000000"/>
          <w:sz w:val="24"/>
        </w:rPr>
        <w:t>出具</w:t>
      </w:r>
      <w:r>
        <w:rPr>
          <w:rFonts w:hint="eastAsia" w:ascii="宋体" w:hAnsi="宋体" w:eastAsia="宋体" w:cs="宋体"/>
          <w:color w:val="000000"/>
          <w:sz w:val="24"/>
          <w:lang w:val="en-US" w:eastAsia="zh-CN"/>
        </w:rPr>
        <w:t>等额</w:t>
      </w:r>
      <w:r>
        <w:rPr>
          <w:rFonts w:hint="eastAsia" w:ascii="宋体" w:hAnsi="宋体" w:eastAsia="宋体" w:cs="宋体"/>
          <w:color w:val="000000"/>
          <w:sz w:val="24"/>
        </w:rPr>
        <w:t>预付款保函后</w:t>
      </w:r>
      <w:r>
        <w:rPr>
          <w:rFonts w:hint="eastAsia" w:ascii="宋体" w:hAnsi="宋体" w:eastAsia="宋体" w:cs="宋体"/>
          <w:color w:val="000000"/>
          <w:sz w:val="24"/>
          <w:lang w:val="en-US" w:eastAsia="zh-CN"/>
        </w:rPr>
        <w:t>）</w:t>
      </w:r>
      <w:r>
        <w:rPr>
          <w:rFonts w:hint="eastAsia" w:ascii="宋体" w:hAnsi="宋体" w:eastAsia="宋体" w:cs="宋体"/>
          <w:color w:val="000000"/>
          <w:sz w:val="24"/>
        </w:rPr>
        <w:t>，</w:t>
      </w:r>
      <w:r>
        <w:rPr>
          <w:rFonts w:hint="eastAsia" w:ascii="宋体" w:hAnsi="宋体" w:eastAsia="宋体" w:cs="宋体"/>
          <w:color w:val="000000"/>
          <w:sz w:val="24"/>
          <w:lang w:val="en-US" w:eastAsia="zh-CN"/>
        </w:rPr>
        <w:t>由发包人办理政府采购资金结算手续，经审核后支付给乙方，</w:t>
      </w:r>
      <w:r>
        <w:rPr>
          <w:rFonts w:hint="eastAsia" w:ascii="宋体" w:hAnsi="宋体" w:eastAsia="宋体" w:cs="宋体"/>
          <w:color w:val="000000"/>
          <w:sz w:val="24"/>
        </w:rPr>
        <w:t>支付合同价款的百分之四十（40%）</w:t>
      </w:r>
      <w:r>
        <w:rPr>
          <w:rFonts w:hint="eastAsia" w:ascii="宋体" w:hAnsi="宋体" w:eastAsia="宋体" w:cs="宋体"/>
          <w:color w:val="000000"/>
          <w:sz w:val="24"/>
          <w:lang w:val="en-US" w:eastAsia="zh-CN"/>
        </w:rPr>
        <w:t>即</w:t>
      </w:r>
      <w:r>
        <w:rPr>
          <w:rFonts w:hint="eastAsia" w:ascii="宋体" w:hAnsi="宋体" w:eastAsia="宋体" w:cs="宋体"/>
          <w:color w:val="000000"/>
          <w:sz w:val="24"/>
        </w:rPr>
        <w:t>¥</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w:t>
      </w:r>
      <w:r>
        <w:rPr>
          <w:rFonts w:hint="eastAsia" w:ascii="宋体" w:hAnsi="宋体" w:eastAsia="宋体" w:cs="宋体"/>
          <w:color w:val="000000"/>
          <w:sz w:val="24"/>
        </w:rPr>
        <w:t>大写：人民币</w:t>
      </w:r>
      <w:r>
        <w:rPr>
          <w:rFonts w:hint="eastAsia" w:ascii="宋体" w:hAnsi="宋体" w:eastAsia="宋体" w:cs="宋体"/>
          <w:color w:val="000000"/>
          <w:sz w:val="24"/>
          <w:u w:val="single"/>
        </w:rPr>
        <w:t>     </w:t>
      </w:r>
      <w:r>
        <w:rPr>
          <w:rFonts w:hint="eastAsia" w:ascii="宋体" w:hAnsi="宋体" w:eastAsia="宋体" w:cs="宋体"/>
          <w:color w:val="000000"/>
          <w:sz w:val="24"/>
        </w:rPr>
        <w:t>。</w:t>
      </w:r>
    </w:p>
    <w:p w14:paraId="128E59C1">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（2）平台服务系统安装调试完毕验收合格正常使用后</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val="en-US" w:eastAsia="zh-CN"/>
        </w:rPr>
        <w:t>90</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rPr>
        <w:t>个工作日</w:t>
      </w:r>
      <w:r>
        <w:rPr>
          <w:rFonts w:hint="eastAsia" w:ascii="宋体" w:hAnsi="宋体" w:eastAsia="宋体" w:cs="宋体"/>
          <w:color w:val="000000"/>
          <w:sz w:val="24"/>
          <w:lang w:val="en-US" w:eastAsia="zh-CN"/>
        </w:rPr>
        <w:t>后</w:t>
      </w:r>
      <w:r>
        <w:rPr>
          <w:rFonts w:hint="eastAsia" w:ascii="宋体" w:hAnsi="宋体" w:eastAsia="宋体" w:cs="宋体"/>
          <w:color w:val="000000"/>
          <w:sz w:val="24"/>
        </w:rPr>
        <w:t>支付剩下的</w:t>
      </w:r>
      <w:r>
        <w:rPr>
          <w:rFonts w:hint="eastAsia" w:ascii="宋体" w:hAnsi="宋体" w:eastAsia="宋体" w:cs="宋体"/>
          <w:color w:val="000000"/>
          <w:sz w:val="24"/>
          <w:lang w:val="en-US" w:eastAsia="zh-CN"/>
        </w:rPr>
        <w:t>百分之六十（</w:t>
      </w:r>
      <w:r>
        <w:rPr>
          <w:rFonts w:hint="eastAsia" w:ascii="宋体" w:hAnsi="宋体" w:eastAsia="宋体" w:cs="宋体"/>
          <w:b/>
          <w:bCs/>
          <w:color w:val="000000"/>
          <w:sz w:val="24"/>
          <w:u w:val="none"/>
        </w:rPr>
        <w:t>60%</w:t>
      </w:r>
      <w:r>
        <w:rPr>
          <w:rFonts w:hint="eastAsia" w:ascii="宋体" w:hAnsi="宋体" w:eastAsia="宋体" w:cs="宋体"/>
          <w:color w:val="000000"/>
          <w:sz w:val="24"/>
          <w:lang w:val="en-US" w:eastAsia="zh-CN"/>
        </w:rPr>
        <w:t>）</w:t>
      </w:r>
      <w:r>
        <w:rPr>
          <w:rFonts w:hint="eastAsia" w:ascii="宋体" w:hAnsi="宋体" w:eastAsia="宋体" w:cs="宋体"/>
          <w:b/>
          <w:bCs/>
          <w:color w:val="000000"/>
          <w:sz w:val="24"/>
          <w:u w:val="none"/>
        </w:rPr>
        <w:t xml:space="preserve"> </w:t>
      </w:r>
      <w:r>
        <w:rPr>
          <w:rFonts w:hint="eastAsia" w:ascii="宋体" w:hAnsi="宋体" w:eastAsia="宋体" w:cs="宋体"/>
          <w:b/>
          <w:bCs/>
          <w:color w:val="000000"/>
          <w:sz w:val="24"/>
          <w:u w:val="none"/>
          <w:lang w:eastAsia="zh-CN"/>
        </w:rPr>
        <w:t>，</w:t>
      </w:r>
      <w:r>
        <w:rPr>
          <w:rFonts w:hint="eastAsia" w:ascii="宋体" w:hAnsi="宋体" w:eastAsia="宋体" w:cs="宋体"/>
          <w:color w:val="000000"/>
          <w:sz w:val="24"/>
          <w:lang w:val="en-US" w:eastAsia="zh-CN"/>
        </w:rPr>
        <w:t>即</w:t>
      </w:r>
      <w:r>
        <w:rPr>
          <w:rFonts w:hint="eastAsia" w:ascii="宋体" w:hAnsi="宋体" w:eastAsia="宋体" w:cs="宋体"/>
          <w:color w:val="000000"/>
          <w:sz w:val="24"/>
        </w:rPr>
        <w:t>¥</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w:t>
      </w:r>
      <w:r>
        <w:rPr>
          <w:rFonts w:hint="eastAsia" w:ascii="宋体" w:hAnsi="宋体" w:eastAsia="宋体" w:cs="宋体"/>
          <w:color w:val="000000"/>
          <w:sz w:val="24"/>
        </w:rPr>
        <w:t>大写：人民币</w:t>
      </w:r>
      <w:r>
        <w:rPr>
          <w:rFonts w:hint="eastAsia" w:ascii="宋体" w:hAnsi="宋体" w:eastAsia="宋体" w:cs="宋体"/>
          <w:color w:val="000000"/>
          <w:sz w:val="24"/>
          <w:u w:val="single"/>
        </w:rPr>
        <w:t>     </w:t>
      </w:r>
      <w:r>
        <w:rPr>
          <w:rFonts w:hint="eastAsia" w:ascii="宋体" w:hAnsi="宋体" w:eastAsia="宋体" w:cs="宋体"/>
          <w:color w:val="000000"/>
          <w:sz w:val="24"/>
        </w:rPr>
        <w:t>。。</w:t>
      </w:r>
    </w:p>
    <w:p w14:paraId="46D3F81F">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付款条件二：不提交预付款保函的</w:t>
      </w:r>
    </w:p>
    <w:p w14:paraId="7E35079E">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双方</w:t>
      </w:r>
      <w:r>
        <w:rPr>
          <w:rFonts w:hint="eastAsia" w:ascii="宋体" w:hAnsi="宋体" w:eastAsia="宋体" w:cs="宋体"/>
          <w:color w:val="000000"/>
          <w:sz w:val="24"/>
        </w:rPr>
        <w:t>签订</w:t>
      </w:r>
      <w:r>
        <w:rPr>
          <w:rFonts w:hint="eastAsia" w:ascii="宋体" w:hAnsi="宋体" w:eastAsia="宋体" w:cs="宋体"/>
          <w:color w:val="000000"/>
          <w:sz w:val="24"/>
          <w:lang w:val="en-US" w:eastAsia="zh-CN"/>
        </w:rPr>
        <w:t>合同</w:t>
      </w:r>
      <w:r>
        <w:rPr>
          <w:rFonts w:hint="eastAsia" w:ascii="宋体" w:hAnsi="宋体" w:eastAsia="宋体" w:cs="宋体"/>
          <w:color w:val="000000"/>
          <w:sz w:val="24"/>
        </w:rPr>
        <w:t>15个工作日</w:t>
      </w:r>
      <w:r>
        <w:rPr>
          <w:rFonts w:hint="eastAsia" w:ascii="宋体" w:hAnsi="宋体" w:eastAsia="宋体" w:cs="宋体"/>
          <w:color w:val="000000"/>
          <w:sz w:val="24"/>
          <w:lang w:val="en-US" w:eastAsia="zh-CN"/>
        </w:rPr>
        <w:t>并</w:t>
      </w:r>
      <w:r>
        <w:rPr>
          <w:rFonts w:hint="eastAsia" w:ascii="宋体" w:hAnsi="宋体" w:eastAsia="宋体" w:cs="宋体"/>
          <w:color w:val="000000"/>
          <w:sz w:val="24"/>
        </w:rPr>
        <w:t>具备实施条件后且乙方向甲方</w:t>
      </w:r>
      <w:r>
        <w:rPr>
          <w:rFonts w:hint="eastAsia" w:ascii="宋体" w:hAnsi="宋体" w:eastAsia="宋体" w:cs="宋体"/>
          <w:color w:val="000000"/>
          <w:sz w:val="24"/>
          <w:lang w:val="en-US" w:eastAsia="zh-CN"/>
        </w:rPr>
        <w:t>提供对应金额的有效发票后</w:t>
      </w:r>
      <w:r>
        <w:rPr>
          <w:rFonts w:hint="eastAsia" w:ascii="宋体" w:hAnsi="宋体" w:eastAsia="宋体" w:cs="宋体"/>
          <w:color w:val="000000"/>
          <w:sz w:val="24"/>
        </w:rPr>
        <w:t>，</w:t>
      </w:r>
      <w:r>
        <w:rPr>
          <w:rFonts w:hint="eastAsia" w:ascii="宋体" w:hAnsi="宋体" w:eastAsia="宋体" w:cs="宋体"/>
          <w:color w:val="000000"/>
          <w:sz w:val="24"/>
          <w:lang w:val="en-US" w:eastAsia="zh-CN"/>
        </w:rPr>
        <w:t>由发包人办理政府采购资金结算手续，经审核后支付给乙方，</w:t>
      </w:r>
      <w:r>
        <w:rPr>
          <w:rFonts w:hint="eastAsia" w:ascii="宋体" w:hAnsi="宋体" w:eastAsia="宋体" w:cs="宋体"/>
          <w:color w:val="000000"/>
          <w:sz w:val="24"/>
        </w:rPr>
        <w:t>支付合同价款的百分之四十（40%）</w:t>
      </w:r>
      <w:r>
        <w:rPr>
          <w:rFonts w:hint="eastAsia" w:ascii="宋体" w:hAnsi="宋体" w:eastAsia="宋体" w:cs="宋体"/>
          <w:color w:val="000000"/>
          <w:sz w:val="24"/>
          <w:lang w:val="en-US" w:eastAsia="zh-CN"/>
        </w:rPr>
        <w:t>即</w:t>
      </w:r>
      <w:r>
        <w:rPr>
          <w:rFonts w:hint="eastAsia" w:ascii="宋体" w:hAnsi="宋体" w:eastAsia="宋体" w:cs="宋体"/>
          <w:color w:val="000000"/>
          <w:sz w:val="24"/>
        </w:rPr>
        <w:t>¥</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w:t>
      </w:r>
      <w:r>
        <w:rPr>
          <w:rFonts w:hint="eastAsia" w:ascii="宋体" w:hAnsi="宋体" w:eastAsia="宋体" w:cs="宋体"/>
          <w:color w:val="000000"/>
          <w:sz w:val="24"/>
        </w:rPr>
        <w:t>大写：人民币</w:t>
      </w:r>
      <w:r>
        <w:rPr>
          <w:rFonts w:hint="eastAsia" w:ascii="宋体" w:hAnsi="宋体" w:eastAsia="宋体" w:cs="宋体"/>
          <w:color w:val="000000"/>
          <w:sz w:val="24"/>
          <w:u w:val="single"/>
        </w:rPr>
        <w:t>     </w:t>
      </w:r>
      <w:r>
        <w:rPr>
          <w:rFonts w:hint="eastAsia" w:ascii="宋体" w:hAnsi="宋体" w:eastAsia="宋体" w:cs="宋体"/>
          <w:color w:val="000000"/>
          <w:sz w:val="24"/>
        </w:rPr>
        <w:t>。</w:t>
      </w:r>
    </w:p>
    <w:p w14:paraId="703AD0CA">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（2）平台服务系统安装调试完毕验收合格正常使用后</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val="en-US" w:eastAsia="zh-CN"/>
        </w:rPr>
        <w:t>90</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rPr>
        <w:t>个工作日内支付剩下的</w:t>
      </w:r>
      <w:r>
        <w:rPr>
          <w:rFonts w:hint="eastAsia" w:ascii="宋体" w:hAnsi="宋体" w:eastAsia="宋体" w:cs="宋体"/>
          <w:color w:val="000000"/>
          <w:sz w:val="24"/>
          <w:lang w:val="en-US" w:eastAsia="zh-CN"/>
        </w:rPr>
        <w:t>百分之六十（</w:t>
      </w:r>
      <w:r>
        <w:rPr>
          <w:rFonts w:hint="eastAsia" w:ascii="宋体" w:hAnsi="宋体" w:eastAsia="宋体" w:cs="宋体"/>
          <w:b/>
          <w:bCs/>
          <w:color w:val="000000"/>
          <w:sz w:val="24"/>
          <w:u w:val="none"/>
        </w:rPr>
        <w:t>60%</w:t>
      </w:r>
      <w:r>
        <w:rPr>
          <w:rFonts w:hint="eastAsia" w:ascii="宋体" w:hAnsi="宋体" w:eastAsia="宋体" w:cs="宋体"/>
          <w:color w:val="000000"/>
          <w:sz w:val="24"/>
          <w:lang w:val="en-US" w:eastAsia="zh-CN"/>
        </w:rPr>
        <w:t>）</w:t>
      </w:r>
      <w:r>
        <w:rPr>
          <w:rFonts w:hint="eastAsia" w:ascii="宋体" w:hAnsi="宋体" w:eastAsia="宋体" w:cs="宋体"/>
          <w:b/>
          <w:bCs/>
          <w:color w:val="000000"/>
          <w:sz w:val="24"/>
          <w:u w:val="none"/>
        </w:rPr>
        <w:t xml:space="preserve"> </w:t>
      </w:r>
      <w:r>
        <w:rPr>
          <w:rFonts w:hint="eastAsia" w:ascii="宋体" w:hAnsi="宋体" w:eastAsia="宋体" w:cs="宋体"/>
          <w:b/>
          <w:bCs/>
          <w:color w:val="000000"/>
          <w:sz w:val="24"/>
          <w:u w:val="none"/>
          <w:lang w:eastAsia="zh-CN"/>
        </w:rPr>
        <w:t>，</w:t>
      </w:r>
      <w:r>
        <w:rPr>
          <w:rFonts w:hint="eastAsia" w:ascii="宋体" w:hAnsi="宋体" w:eastAsia="宋体" w:cs="宋体"/>
          <w:color w:val="000000"/>
          <w:sz w:val="24"/>
        </w:rPr>
        <w:t>小写¥</w:t>
      </w:r>
      <w:r>
        <w:rPr>
          <w:rFonts w:hint="eastAsia" w:ascii="宋体" w:hAnsi="宋体" w:eastAsia="宋体" w:cs="宋体"/>
          <w:color w:val="000000"/>
          <w:sz w:val="24"/>
          <w:u w:val="single"/>
        </w:rPr>
        <w:t>    </w:t>
      </w:r>
      <w:r>
        <w:rPr>
          <w:rFonts w:hint="eastAsia" w:ascii="宋体" w:hAnsi="宋体" w:eastAsia="宋体" w:cs="宋体"/>
          <w:color w:val="000000"/>
          <w:sz w:val="24"/>
        </w:rPr>
        <w:t>，大写：人民币</w:t>
      </w:r>
      <w:r>
        <w:rPr>
          <w:rFonts w:hint="eastAsia" w:ascii="宋体" w:hAnsi="宋体" w:eastAsia="宋体" w:cs="宋体"/>
          <w:color w:val="000000"/>
          <w:sz w:val="24"/>
          <w:u w:val="single"/>
        </w:rPr>
        <w:t>     </w:t>
      </w:r>
      <w:r>
        <w:rPr>
          <w:rFonts w:hint="eastAsia" w:ascii="宋体" w:hAnsi="宋体" w:eastAsia="宋体" w:cs="宋体"/>
          <w:color w:val="000000"/>
          <w:sz w:val="24"/>
        </w:rPr>
        <w:t>。</w:t>
      </w:r>
    </w:p>
    <w:p w14:paraId="543FD08F">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46"/>
        <w:jc w:val="both"/>
      </w:pPr>
      <w:bookmarkStart w:id="30" w:name="_Toc2482"/>
      <w:r>
        <w:rPr>
          <w:rFonts w:hint="eastAsia" w:ascii="宋体" w:hAnsi="宋体" w:eastAsia="宋体" w:cs="宋体"/>
          <w:b/>
          <w:bCs/>
          <w:color w:val="000000"/>
          <w:sz w:val="24"/>
          <w:szCs w:val="24"/>
        </w:rPr>
        <w:t>第八条 甲乙双方的权利和义务</w:t>
      </w:r>
      <w:bookmarkEnd w:id="30"/>
    </w:p>
    <w:p w14:paraId="2475A39B">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1.甲方的责任及义务</w:t>
      </w:r>
    </w:p>
    <w:p w14:paraId="1B54B822">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（1）甲方应保护乙方的自有技术资料（除本项目成果外）。</w:t>
      </w:r>
    </w:p>
    <w:p w14:paraId="22D36125">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（2）甲方有权督促平台服务系统建设按计划实施，并对各阶段完成情况组织验收。</w:t>
      </w:r>
    </w:p>
    <w:p w14:paraId="1406CAF2">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2.乙方责任及义务：</w:t>
      </w:r>
    </w:p>
    <w:p w14:paraId="41337CE1">
      <w:pPr>
        <w:spacing w:line="312" w:lineRule="auto"/>
        <w:ind w:firstLine="480"/>
        <w:rPr>
          <w:rFonts w:hint="eastAsia" w:ascii="宋体" w:hAnsi="宋体" w:eastAsia="宋体" w:cs="宋体"/>
          <w:sz w:val="24"/>
        </w:rPr>
      </w:pPr>
      <w:r>
        <w:rPr>
          <w:rFonts w:hint="eastAsia" w:ascii="宋体" w:hAnsi="宋体" w:eastAsia="宋体" w:cs="宋体"/>
          <w:sz w:val="24"/>
        </w:rPr>
        <w:t>（1）乙方不得违反国家有关标准进行大数据平台建设。</w:t>
      </w:r>
    </w:p>
    <w:p w14:paraId="514E567C">
      <w:pPr>
        <w:spacing w:line="312" w:lineRule="auto"/>
        <w:ind w:firstLine="480"/>
        <w:rPr>
          <w:rFonts w:hint="eastAsia" w:ascii="宋体" w:hAnsi="宋体" w:eastAsia="宋体" w:cs="宋体"/>
          <w:sz w:val="24"/>
        </w:rPr>
      </w:pPr>
      <w:r>
        <w:rPr>
          <w:rFonts w:hint="eastAsia" w:ascii="宋体" w:hAnsi="宋体" w:eastAsia="宋体" w:cs="宋体"/>
          <w:sz w:val="24"/>
        </w:rPr>
        <w:t>（2）乙方应于</w:t>
      </w:r>
      <w:r>
        <w:rPr>
          <w:rFonts w:hint="eastAsia" w:ascii="宋体" w:hAnsi="宋体" w:eastAsia="宋体" w:cs="宋体"/>
          <w:bCs/>
          <w:sz w:val="24"/>
        </w:rPr>
        <w:t>合同生效之日起</w:t>
      </w:r>
      <w:r>
        <w:rPr>
          <w:rFonts w:hint="eastAsia" w:ascii="宋体" w:hAnsi="宋体" w:eastAsia="宋体" w:cs="宋体"/>
          <w:sz w:val="24"/>
        </w:rPr>
        <w:t>，安排相应人员开展平台服务系统推进计划的实施，作业期间须服从甲方的相关规定和安全管理制度。乙方自行负担项目服务期间其工作人员的食宿、通讯、差旅、交通水电、资料收集等一切费用，并对项目安全生产及其工作人员的安全负责，乙方承担项目服务期间的一切安全后果。</w:t>
      </w:r>
    </w:p>
    <w:p w14:paraId="74F63F3D">
      <w:pPr>
        <w:spacing w:line="312" w:lineRule="auto"/>
        <w:ind w:firstLine="480"/>
        <w:rPr>
          <w:rFonts w:hint="eastAsia" w:ascii="宋体" w:hAnsi="宋体" w:eastAsia="宋体" w:cs="宋体"/>
          <w:sz w:val="24"/>
        </w:rPr>
      </w:pPr>
      <w:r>
        <w:rPr>
          <w:rFonts w:hint="eastAsia" w:ascii="宋体" w:hAnsi="宋体" w:eastAsia="宋体" w:cs="宋体"/>
          <w:sz w:val="24"/>
        </w:rPr>
        <w:t>（3）乙方应按合同约定的技术规范、标准、规程及甲方提出的技术要求提供服务，及时提交质量合格的数据资料及分析报告，并对其真实性负责。</w:t>
      </w:r>
    </w:p>
    <w:p w14:paraId="01036FCE">
      <w:pPr>
        <w:spacing w:line="312" w:lineRule="auto"/>
        <w:ind w:firstLine="480"/>
        <w:rPr>
          <w:rFonts w:hint="eastAsia" w:ascii="宋体" w:hAnsi="宋体" w:eastAsia="宋体" w:cs="宋体"/>
          <w:sz w:val="24"/>
        </w:rPr>
      </w:pPr>
      <w:r>
        <w:rPr>
          <w:rFonts w:hint="eastAsia" w:ascii="宋体" w:hAnsi="宋体" w:eastAsia="宋体" w:cs="宋体"/>
          <w:sz w:val="24"/>
        </w:rPr>
        <w:t>（4）乙方交付资料及文件后，按规定参加有关验收，并对验收结论负责，对超出原定范围的内容做必要调整和补充。按合同规定的时点交付成果资料，并有义务向甲方进行资料文档的解释。及时解决因技术规程变化可能引起的有关问题。</w:t>
      </w:r>
    </w:p>
    <w:p w14:paraId="505840AB">
      <w:pPr>
        <w:spacing w:line="312" w:lineRule="auto"/>
        <w:ind w:firstLine="480"/>
        <w:rPr>
          <w:rFonts w:hint="eastAsia" w:ascii="宋体" w:hAnsi="宋体" w:eastAsia="宋体" w:cs="宋体"/>
          <w:sz w:val="24"/>
        </w:rPr>
      </w:pPr>
      <w:r>
        <w:rPr>
          <w:rFonts w:hint="eastAsia" w:ascii="宋体" w:hAnsi="宋体" w:eastAsia="宋体" w:cs="宋体"/>
          <w:sz w:val="24"/>
        </w:rPr>
        <w:t>（5）本项目所产生的原始数据、中间数据、成果数据产权及与本项目相关的图纸和技术资料均由甲方独享。乙方未经甲方书面允许，不得向第三方提供项目中的任何数据资料，如发生以上情况，甲方有权向乙方索赔并依法追究法律责任。</w:t>
      </w:r>
    </w:p>
    <w:p w14:paraId="2710B6FB">
      <w:pPr>
        <w:spacing w:line="312" w:lineRule="auto"/>
        <w:ind w:firstLine="480"/>
        <w:rPr>
          <w:rFonts w:hint="eastAsia" w:ascii="宋体" w:hAnsi="宋体" w:eastAsia="宋体" w:cs="宋体"/>
          <w:sz w:val="24"/>
        </w:rPr>
      </w:pPr>
      <w:r>
        <w:rPr>
          <w:rFonts w:hint="eastAsia" w:ascii="宋体" w:hAnsi="宋体" w:eastAsia="宋体" w:cs="宋体"/>
          <w:sz w:val="24"/>
        </w:rPr>
        <w:t>（6）乙方承担平台设计、部署、测试等全流程实施及项目技术设计论证、项目评审、第三方测评、测试、质检等全部相关费用。</w:t>
      </w:r>
    </w:p>
    <w:p w14:paraId="11C863C3">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sz w:val="24"/>
        </w:rPr>
        <w:t>（7）服务期内乙方免费提供系统升级服务。</w:t>
      </w:r>
    </w:p>
    <w:p w14:paraId="18869366">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80"/>
        <w:jc w:val="both"/>
      </w:pPr>
      <w:bookmarkStart w:id="31" w:name="_Toc29616"/>
      <w:r>
        <w:rPr>
          <w:rFonts w:hint="eastAsia" w:ascii="宋体" w:hAnsi="宋体" w:eastAsia="宋体" w:cs="宋体"/>
          <w:b/>
          <w:bCs/>
          <w:color w:val="000000"/>
          <w:sz w:val="24"/>
          <w:szCs w:val="24"/>
        </w:rPr>
        <w:t>第九条 安全保密要求</w:t>
      </w:r>
      <w:bookmarkEnd w:id="31"/>
    </w:p>
    <w:p w14:paraId="36CFDB1F">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1.项目实施中，乙方必须符合国家、江苏省、徐州市和</w:t>
      </w:r>
      <w:r>
        <w:rPr>
          <w:rFonts w:hint="eastAsia" w:ascii="宋体" w:hAnsi="宋体" w:eastAsia="宋体" w:cs="宋体"/>
          <w:color w:val="000000"/>
          <w:sz w:val="24"/>
          <w:szCs w:val="24"/>
          <w:lang w:eastAsia="zh-CN"/>
        </w:rPr>
        <w:t>铜山区</w:t>
      </w:r>
      <w:r>
        <w:rPr>
          <w:rFonts w:hint="eastAsia" w:ascii="宋体" w:hAnsi="宋体" w:eastAsia="宋体" w:cs="宋体"/>
          <w:color w:val="000000"/>
          <w:sz w:val="24"/>
          <w:szCs w:val="24"/>
        </w:rPr>
        <w:t>商务局系统安全相关管理规定，遵守数据资料保密要求。此约定不因项目的结束而终止，一直有效。</w:t>
      </w:r>
    </w:p>
    <w:p w14:paraId="2288EBDB">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2.乙方必须有完善的保密管理体系和有资质的保密人员。为本项目服务工作人员必须签署保密协议和关键岗位人员的岗位责任协议，不得泄露工作中接触到的需要保密的信息。</w:t>
      </w:r>
    </w:p>
    <w:p w14:paraId="40E01E85">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3.乙方提交成果数据后应承诺销毁所有过程数据和最终成果，不得用于其他项目。</w:t>
      </w:r>
    </w:p>
    <w:p w14:paraId="69798A42">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46"/>
        <w:jc w:val="both"/>
      </w:pPr>
      <w:bookmarkStart w:id="32" w:name="_Toc3892"/>
      <w:r>
        <w:rPr>
          <w:rFonts w:hint="eastAsia" w:ascii="宋体" w:hAnsi="宋体" w:eastAsia="宋体" w:cs="宋体"/>
          <w:b/>
          <w:bCs/>
          <w:color w:val="000000"/>
          <w:sz w:val="24"/>
          <w:szCs w:val="24"/>
        </w:rPr>
        <w:t>第十条 违约责任</w:t>
      </w:r>
      <w:bookmarkEnd w:id="32"/>
    </w:p>
    <w:p w14:paraId="797BB246">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1.平台服务系统交付期拖延的，合同有效期顺延。</w:t>
      </w:r>
    </w:p>
    <w:p w14:paraId="1149143C">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乙方因特殊原因逾期提交成果的，应在提交前与甲方协商，甲方仍有需求的，乙方应及时提交。如有逾期应按合同金额的每天千分之五的标准支付违约金，因乙方逾期提交成果致使甲方遭致损失的，乙方应承担甲方因此遭致的损失费用。</w:t>
      </w:r>
    </w:p>
    <w:p w14:paraId="1DCB9078">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46"/>
        <w:jc w:val="both"/>
      </w:pPr>
      <w:bookmarkStart w:id="33" w:name="_Toc25635"/>
      <w:r>
        <w:rPr>
          <w:rFonts w:hint="eastAsia" w:ascii="宋体" w:hAnsi="宋体" w:eastAsia="宋体" w:cs="宋体"/>
          <w:b/>
          <w:bCs/>
          <w:color w:val="000000"/>
          <w:sz w:val="24"/>
          <w:szCs w:val="24"/>
        </w:rPr>
        <w:t>第十一条 知识产权</w:t>
      </w:r>
      <w:bookmarkEnd w:id="33"/>
    </w:p>
    <w:p w14:paraId="1C8C03A2">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1.本合同项目成果以及由此产生的知识产权归甲方所有，包括但不限于著作权、专利申请权、专利权、非专利技术和其他智力成果的权利和权益。涉及乙方产品的知识产权归乙方所有。</w:t>
      </w:r>
    </w:p>
    <w:p w14:paraId="43CD934D">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2.乙方应保证甲方在使用本合同项下的服务产品或服务产品的一部分时，免受第三方提出的侵权其知识产权的索赔或诉讼；</w:t>
      </w:r>
    </w:p>
    <w:p w14:paraId="41C9A438">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drawing>
          <wp:inline distT="0" distB="0" distL="0" distR="0">
            <wp:extent cx="19050" cy="19050"/>
            <wp:effectExtent l="0" t="0" r="0" b="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9"/>
                    <a:stretch>
                      <a:fillRect/>
                    </a:stretch>
                  </pic:blipFill>
                  <pic:spPr>
                    <a:xfrm>
                      <a:off x="0" y="0"/>
                      <a:ext cx="19050" cy="19050"/>
                    </a:xfrm>
                    <a:prstGeom prst="rect">
                      <a:avLst/>
                    </a:prstGeom>
                    <a:noFill/>
                    <a:ln w="9525">
                      <a:noFill/>
                    </a:ln>
                  </pic:spPr>
                </pic:pic>
              </a:graphicData>
            </a:graphic>
          </wp:inline>
        </w:drawing>
      </w:r>
      <w:r>
        <w:rPr>
          <w:rFonts w:hint="eastAsia" w:ascii="宋体" w:hAnsi="宋体" w:eastAsia="宋体" w:cs="宋体"/>
          <w:color w:val="000000"/>
          <w:sz w:val="24"/>
          <w:szCs w:val="24"/>
        </w:rPr>
        <w:t>3.如果乙方所提供的服务产品，被第三方诉称侵权或任何其他权利，甲方以书面方式通知乙方，乙方应负责处理，并应以乙方的名义向起诉方提出抗辩。由此可能产生的一切法律责任和经济责任由乙方承担。由此产生的费用由乙方承担。</w:t>
      </w:r>
    </w:p>
    <w:p w14:paraId="727CBCA0">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46"/>
        <w:jc w:val="both"/>
      </w:pPr>
      <w:bookmarkStart w:id="34" w:name="_Toc4884"/>
      <w:r>
        <w:rPr>
          <w:rFonts w:hint="eastAsia" w:ascii="宋体" w:hAnsi="宋体" w:eastAsia="宋体" w:cs="宋体"/>
          <w:b/>
          <w:bCs/>
          <w:color w:val="000000"/>
          <w:sz w:val="24"/>
          <w:szCs w:val="24"/>
        </w:rPr>
        <w:t>第十二条 不可抗力</w:t>
      </w:r>
      <w:bookmarkEnd w:id="34"/>
    </w:p>
    <w:p w14:paraId="7EC3DBF0">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1.因不可抗力不能履行合同的，根据不可抗力的影响，部分或者全部免除责任。但合同一方延迟履行后发生不可抗力的，不能免除责任。</w:t>
      </w:r>
    </w:p>
    <w:p w14:paraId="0D0AB8D1">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2.合同一方因不可抗力不能履行合同的，应当及时通知对方，以减轻可能给对方造成的损失，并应当在合理期限内提供证明。</w:t>
      </w:r>
    </w:p>
    <w:p w14:paraId="4CA59B4E">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46"/>
        <w:jc w:val="both"/>
      </w:pPr>
      <w:bookmarkStart w:id="35" w:name="_Toc20597"/>
      <w:r>
        <w:rPr>
          <w:rFonts w:hint="eastAsia" w:ascii="宋体" w:hAnsi="宋体" w:eastAsia="宋体" w:cs="宋体"/>
          <w:b/>
          <w:bCs/>
          <w:color w:val="000000"/>
          <w:sz w:val="24"/>
          <w:szCs w:val="24"/>
        </w:rPr>
        <w:t>第十三条 争议解决</w:t>
      </w:r>
      <w:bookmarkEnd w:id="35"/>
    </w:p>
    <w:p w14:paraId="5CA2B657">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合同实施过程中与本合同有关的一切争议双方应友好协商解决。如经协商后仍不能达成协议时，双方约定可向甲方所在地的人民法院申请诉讼解决；在诉讼期间，本合同应继续执行。</w:t>
      </w:r>
    </w:p>
    <w:p w14:paraId="5E7A1D9C">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46"/>
        <w:jc w:val="both"/>
      </w:pPr>
      <w:bookmarkStart w:id="36" w:name="_Toc32611"/>
      <w:r>
        <w:rPr>
          <w:rFonts w:hint="eastAsia" w:ascii="宋体" w:hAnsi="宋体" w:eastAsia="宋体" w:cs="宋体"/>
          <w:b/>
          <w:bCs/>
          <w:color w:val="000000"/>
          <w:sz w:val="24"/>
          <w:szCs w:val="24"/>
        </w:rPr>
        <w:t>第十四条 合同生效</w:t>
      </w:r>
      <w:bookmarkEnd w:id="36"/>
    </w:p>
    <w:p w14:paraId="4FCB211D">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1.本合同经双方法定代表人或者其授权代表签字并加盖公章或合同专用章后生效。全部成果交接完毕且服务费结算完成后，本合同终止。</w:t>
      </w:r>
    </w:p>
    <w:p w14:paraId="10FFA17F">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2.本合同一式</w:t>
      </w:r>
      <w:r>
        <w:rPr>
          <w:rFonts w:hint="eastAsia" w:ascii="宋体" w:hAnsi="宋体" w:eastAsia="宋体" w:cs="宋体"/>
          <w:color w:val="000000"/>
          <w:sz w:val="24"/>
          <w:szCs w:val="24"/>
          <w:u w:val="single"/>
        </w:rPr>
        <w:t xml:space="preserve"> 六 </w:t>
      </w:r>
      <w:r>
        <w:rPr>
          <w:rFonts w:hint="eastAsia" w:ascii="宋体" w:hAnsi="宋体" w:eastAsia="宋体" w:cs="宋体"/>
          <w:color w:val="000000"/>
          <w:sz w:val="24"/>
          <w:szCs w:val="24"/>
        </w:rPr>
        <w:t>份，具有同等法律效力，甲方</w:t>
      </w:r>
      <w:r>
        <w:rPr>
          <w:rFonts w:hint="eastAsia" w:ascii="宋体" w:hAnsi="宋体" w:eastAsia="宋体" w:cs="宋体"/>
          <w:color w:val="000000"/>
          <w:sz w:val="24"/>
          <w:szCs w:val="24"/>
          <w:u w:val="single"/>
        </w:rPr>
        <w:t xml:space="preserve"> 二 </w:t>
      </w:r>
      <w:r>
        <w:rPr>
          <w:rFonts w:hint="eastAsia" w:ascii="宋体" w:hAnsi="宋体" w:eastAsia="宋体" w:cs="宋体"/>
          <w:color w:val="000000"/>
          <w:sz w:val="24"/>
          <w:szCs w:val="24"/>
        </w:rPr>
        <w:t>份，乙方</w:t>
      </w:r>
      <w:r>
        <w:rPr>
          <w:rFonts w:hint="eastAsia" w:ascii="宋体" w:hAnsi="宋体" w:eastAsia="宋体" w:cs="宋体"/>
          <w:color w:val="000000"/>
          <w:sz w:val="24"/>
          <w:szCs w:val="24"/>
          <w:u w:val="single"/>
        </w:rPr>
        <w:t xml:space="preserve"> 二 </w:t>
      </w:r>
      <w:r>
        <w:rPr>
          <w:rFonts w:hint="eastAsia" w:ascii="宋体" w:hAnsi="宋体" w:eastAsia="宋体" w:cs="宋体"/>
          <w:color w:val="000000"/>
          <w:sz w:val="24"/>
          <w:szCs w:val="24"/>
        </w:rPr>
        <w:t>份，采购代理机构</w:t>
      </w:r>
      <w:r>
        <w:rPr>
          <w:rFonts w:hint="eastAsia" w:ascii="宋体" w:hAnsi="宋体" w:eastAsia="宋体" w:cs="宋体"/>
          <w:color w:val="000000"/>
          <w:sz w:val="24"/>
          <w:szCs w:val="24"/>
          <w:u w:val="single"/>
        </w:rPr>
        <w:t xml:space="preserve"> 一 </w:t>
      </w:r>
      <w:r>
        <w:rPr>
          <w:rFonts w:hint="eastAsia" w:ascii="宋体" w:hAnsi="宋体" w:eastAsia="宋体" w:cs="宋体"/>
          <w:color w:val="000000"/>
          <w:sz w:val="24"/>
          <w:szCs w:val="24"/>
        </w:rPr>
        <w:t>份，财政局各</w:t>
      </w:r>
      <w:r>
        <w:rPr>
          <w:rFonts w:hint="eastAsia" w:ascii="宋体" w:hAnsi="宋体" w:eastAsia="宋体" w:cs="宋体"/>
          <w:color w:val="000000"/>
          <w:sz w:val="24"/>
          <w:szCs w:val="24"/>
          <w:u w:val="single"/>
        </w:rPr>
        <w:t xml:space="preserve"> 一 </w:t>
      </w:r>
      <w:r>
        <w:rPr>
          <w:rFonts w:hint="eastAsia" w:ascii="宋体" w:hAnsi="宋体" w:eastAsia="宋体" w:cs="宋体"/>
          <w:color w:val="000000"/>
          <w:sz w:val="24"/>
          <w:szCs w:val="24"/>
        </w:rPr>
        <w:t>份。均具有同等法律效力。</w:t>
      </w:r>
    </w:p>
    <w:p w14:paraId="35434733">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46"/>
        <w:jc w:val="both"/>
      </w:pPr>
      <w:bookmarkStart w:id="37" w:name="_Toc11354"/>
      <w:r>
        <w:rPr>
          <w:rFonts w:hint="eastAsia" w:ascii="宋体" w:hAnsi="宋体" w:eastAsia="宋体" w:cs="宋体"/>
          <w:b/>
          <w:bCs/>
          <w:color w:val="000000"/>
          <w:sz w:val="24"/>
          <w:szCs w:val="24"/>
        </w:rPr>
        <w:t>第十五条 附则</w:t>
      </w:r>
      <w:bookmarkEnd w:id="37"/>
    </w:p>
    <w:p w14:paraId="367CC763">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1.双方应诚实信用，严格按照招标文件要求和承诺履行合同，不向对方进行商业贿赂或者提供不正当利益。</w:t>
      </w:r>
    </w:p>
    <w:p w14:paraId="63FB92AE">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2.下列文件为本合同不可分割的组成部分，与本合同具有同等法律效力。</w:t>
      </w:r>
    </w:p>
    <w:p w14:paraId="48680AD1">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（1）中标（成交）通知书；</w:t>
      </w:r>
    </w:p>
    <w:p w14:paraId="27C96E35">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（2）采购文件；</w:t>
      </w:r>
    </w:p>
    <w:p w14:paraId="0E7BE19B">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（3）乙方成交的响应文件（包括相关承诺、声明、书面澄清等）；</w:t>
      </w:r>
    </w:p>
    <w:p w14:paraId="5908DF50">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本合同未尽事宜，甲乙双方本着友好协商的方式，并按《中华人民共和国政府采购法》及其他有关的法律法规的规定执行。协商结果以书面形式作为本合同的附件，与本合同具有同等效力。协商结果与本合同约定内容不一致的，以协商结果为准。</w:t>
      </w:r>
    </w:p>
    <w:p w14:paraId="428DDE0B">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t> </w:t>
      </w:r>
    </w:p>
    <w:p w14:paraId="52DBC077">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甲 方 ( 盖 章 ) ：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乙 方 ( 盖 章 ) ：</w:t>
      </w:r>
    </w:p>
    <w:p w14:paraId="42796BC3">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法定代表人或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法定代表人或</w:t>
      </w:r>
    </w:p>
    <w:p w14:paraId="07DA71CC">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授权代表（签字或盖章）：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授权代表（签字或盖章）：</w:t>
      </w:r>
    </w:p>
    <w:p w14:paraId="41CCFC6A">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开户银行：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开户银行：</w:t>
      </w:r>
    </w:p>
    <w:p w14:paraId="052A8DA3">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银行账号：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银行账号：</w:t>
      </w:r>
    </w:p>
    <w:p w14:paraId="6C238077">
      <w:pPr>
        <w:keepNext w:val="0"/>
        <w:keepLines w:val="0"/>
        <w:pageBreakBefore w:val="0"/>
        <w:widowControl/>
        <w:spacing w:line="360" w:lineRule="auto"/>
        <w:ind w:left="0" w:firstLine="480"/>
        <w:jc w:val="left"/>
        <w:outlineLvl w:val="9"/>
        <w:rPr>
          <w:rFonts w:hint="eastAsia" w:ascii="宋体" w:hAnsi="宋体" w:eastAsia="宋体" w:cs="宋体"/>
          <w:sz w:val="24"/>
          <w:szCs w:val="24"/>
          <w:highlight w:val="none"/>
        </w:rPr>
      </w:pPr>
    </w:p>
    <w:p w14:paraId="1E14ADA6">
      <w:pPr>
        <w:widowControl w:val="0"/>
        <w:rPr>
          <w:rFonts w:hint="default" w:ascii="Times New Roman" w:hAnsi="Times New Roman" w:eastAsia="宋体" w:cs="Times New Roman"/>
          <w:color w:val="000000"/>
          <w:sz w:val="24"/>
          <w:szCs w:val="24"/>
          <w:lang w:val="en-US" w:eastAsia="zh-CN" w:bidi="ar-SA"/>
        </w:rPr>
      </w:pPr>
    </w:p>
    <w:p w14:paraId="00FBAEEB">
      <w:pPr>
        <w:pBdr>
          <w:top w:val="none" w:color="000000" w:sz="0" w:space="0"/>
          <w:left w:val="none" w:color="000000" w:sz="0" w:space="0"/>
          <w:bottom w:val="none" w:color="000000" w:sz="0" w:space="0"/>
          <w:right w:val="none" w:color="000000" w:sz="0" w:space="0"/>
        </w:pBdr>
        <w:spacing w:before="210" w:after="120"/>
        <w:ind w:left="0" w:right="0" w:firstLine="0"/>
        <w:jc w:val="both"/>
        <w:rPr>
          <w:rFonts w:hint="default" w:ascii="Times New Roman" w:hAnsi="Times New Roman" w:eastAsia="宋体" w:cs="Times New Roman"/>
        </w:rPr>
      </w:pPr>
      <w:r>
        <w:rPr>
          <w:rFonts w:hint="default" w:ascii="Times New Roman" w:hAnsi="Times New Roman" w:eastAsia="Times New Roman" w:cs="Times New Roman"/>
          <w:color w:val="000000"/>
          <w:sz w:val="21"/>
        </w:rPr>
        <w:t> </w:t>
      </w:r>
    </w:p>
    <w:p w14:paraId="03F7D5A3">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Times New Roman" w:hAnsi="Times New Roman" w:eastAsia="宋体" w:cs="Times New Roman"/>
        </w:rPr>
        <w:br w:type="page" w:clear="all"/>
      </w:r>
    </w:p>
    <w:p w14:paraId="6F796533">
      <w:pPr>
        <w:pBdr>
          <w:top w:val="none" w:color="000000" w:sz="0" w:space="0"/>
          <w:left w:val="none" w:color="000000" w:sz="0" w:space="0"/>
          <w:bottom w:val="none" w:color="000000" w:sz="0" w:space="0"/>
          <w:right w:val="none" w:color="000000" w:sz="0" w:space="0"/>
        </w:pBdr>
        <w:spacing w:before="0" w:after="0" w:line="85" w:lineRule="atLeast"/>
        <w:ind w:left="0" w:right="0" w:firstLine="420"/>
        <w:jc w:val="center"/>
        <w:rPr>
          <w:rFonts w:hint="default" w:ascii="Times New Roman" w:hAnsi="Times New Roman" w:eastAsia="宋体" w:cs="Times New Roman"/>
        </w:rPr>
      </w:pPr>
      <w:r>
        <w:rPr>
          <w:rFonts w:hint="default" w:ascii="宋体" w:hAnsi="宋体" w:eastAsia="宋体" w:cs="宋体"/>
          <w:b/>
          <w:color w:val="000000"/>
          <w:sz w:val="36"/>
        </w:rPr>
        <w:t>7、承诺书</w:t>
      </w:r>
    </w:p>
    <w:p w14:paraId="04FEA6D4">
      <w:pPr>
        <w:pBdr>
          <w:top w:val="none" w:color="000000" w:sz="0" w:space="0"/>
          <w:left w:val="none" w:color="000000" w:sz="0" w:space="0"/>
          <w:bottom w:val="none" w:color="000000" w:sz="0" w:space="0"/>
          <w:right w:val="none" w:color="000000" w:sz="0" w:space="0"/>
        </w:pBdr>
        <w:spacing w:before="0" w:after="0" w:line="74" w:lineRule="atLeast"/>
        <w:ind w:left="0" w:right="0" w:firstLine="0"/>
        <w:rPr>
          <w:rFonts w:hint="default" w:ascii="Times New Roman" w:hAnsi="Times New Roman" w:eastAsia="宋体" w:cs="Times New Roman"/>
        </w:rPr>
      </w:pPr>
      <w:r>
        <w:rPr>
          <w:rFonts w:hint="default" w:ascii="宋体" w:hAnsi="宋体" w:eastAsia="宋体" w:cs="宋体"/>
          <w:color w:val="000000"/>
          <w:sz w:val="21"/>
        </w:rPr>
        <w:t>致</w:t>
      </w:r>
      <w:r>
        <w:rPr>
          <w:rFonts w:hint="eastAsia" w:ascii="宋体" w:hAnsi="宋体" w:eastAsia="宋体" w:cs="宋体"/>
          <w:color w:val="000000"/>
          <w:sz w:val="21"/>
          <w:u w:val="single"/>
          <w:lang w:eastAsia="zh-CN"/>
        </w:rPr>
        <w:t xml:space="preserve"> 徐州市铜山区财政局</w:t>
      </w:r>
      <w:r>
        <w:rPr>
          <w:rFonts w:hint="default" w:ascii="宋体" w:hAnsi="宋体" w:eastAsia="宋体" w:cs="宋体"/>
          <w:color w:val="000000"/>
          <w:sz w:val="21"/>
        </w:rPr>
        <w:t>：</w:t>
      </w:r>
    </w:p>
    <w:p w14:paraId="60BB3CB2">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Times New Roman" w:hAnsi="Times New Roman" w:eastAsia="宋体" w:cs="Times New Roman"/>
        </w:rPr>
      </w:pPr>
      <w:r>
        <w:rPr>
          <w:rFonts w:hint="default" w:ascii="宋体" w:hAnsi="宋体" w:eastAsia="宋体" w:cs="宋体"/>
          <w:color w:val="000000"/>
          <w:sz w:val="21"/>
        </w:rPr>
        <w:t>根据贵方《磋商文件》（项目编号：</w:t>
      </w:r>
      <w:r>
        <w:rPr>
          <w:rFonts w:hint="eastAsia" w:ascii="宋体" w:hAnsi="宋体" w:eastAsia="宋体" w:cs="宋体"/>
          <w:color w:val="000000"/>
          <w:sz w:val="21"/>
          <w:u w:val="single"/>
          <w:lang w:eastAsia="zh-CN"/>
        </w:rPr>
        <w:t>JSZC-320312-JSZH-C2026-0076</w:t>
      </w:r>
      <w:r>
        <w:rPr>
          <w:rFonts w:hint="default" w:ascii="宋体" w:hAnsi="宋体" w:eastAsia="宋体" w:cs="宋体"/>
          <w:color w:val="000000"/>
          <w:sz w:val="21"/>
        </w:rPr>
        <w:t>）要求，本供应商正式提交以下首次响应文件。</w:t>
      </w:r>
    </w:p>
    <w:p w14:paraId="55A731D3">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Times New Roman" w:hAnsi="Times New Roman" w:eastAsia="宋体" w:cs="Times New Roman"/>
        </w:rPr>
      </w:pPr>
      <w:r>
        <w:rPr>
          <w:rFonts w:hint="default" w:ascii="宋体" w:hAnsi="宋体" w:eastAsia="宋体" w:cs="宋体"/>
          <w:color w:val="000000"/>
          <w:sz w:val="21"/>
        </w:rPr>
        <w:t xml:space="preserve">（1）承诺书； </w:t>
      </w:r>
    </w:p>
    <w:p w14:paraId="4B0582C6">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Times New Roman" w:hAnsi="Times New Roman" w:eastAsia="宋体" w:cs="Times New Roman"/>
        </w:rPr>
      </w:pPr>
      <w:r>
        <w:rPr>
          <w:rFonts w:hint="default" w:ascii="宋体" w:hAnsi="宋体" w:eastAsia="宋体" w:cs="宋体"/>
          <w:color w:val="000000"/>
          <w:sz w:val="21"/>
        </w:rPr>
        <w:t xml:space="preserve">（2）磋商报价表； </w:t>
      </w:r>
    </w:p>
    <w:p w14:paraId="00595D48">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Times New Roman" w:hAnsi="Times New Roman" w:eastAsia="宋体" w:cs="Times New Roman"/>
        </w:rPr>
      </w:pPr>
      <w:r>
        <w:rPr>
          <w:rFonts w:hint="default" w:ascii="宋体" w:hAnsi="宋体" w:eastAsia="宋体" w:cs="宋体"/>
          <w:color w:val="000000"/>
          <w:sz w:val="21"/>
        </w:rPr>
        <w:t>（3）偏离表；</w:t>
      </w:r>
    </w:p>
    <w:p w14:paraId="71241DC4">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Times New Roman" w:hAnsi="Times New Roman" w:eastAsia="宋体" w:cs="Times New Roman"/>
        </w:rPr>
      </w:pPr>
      <w:r>
        <w:rPr>
          <w:rFonts w:hint="default" w:ascii="宋体" w:hAnsi="宋体" w:eastAsia="宋体" w:cs="宋体"/>
          <w:color w:val="000000"/>
          <w:sz w:val="21"/>
        </w:rPr>
        <w:t>（4）磋商文件要求提供的其他响应文件。</w:t>
      </w:r>
    </w:p>
    <w:p w14:paraId="44C7666D">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Times New Roman" w:hAnsi="Times New Roman" w:eastAsia="宋体" w:cs="Times New Roman"/>
        </w:rPr>
      </w:pPr>
      <w:r>
        <w:rPr>
          <w:rFonts w:hint="default" w:ascii="宋体" w:hAnsi="宋体" w:eastAsia="宋体" w:cs="宋体"/>
          <w:color w:val="000000"/>
          <w:sz w:val="21"/>
        </w:rPr>
        <w:t>我单位符合《中华人民共和国政府采购法》第二十二条的规定，符合本项目供应商资格要求。</w:t>
      </w:r>
    </w:p>
    <w:p w14:paraId="722C3E21">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Times New Roman" w:hAnsi="Times New Roman" w:eastAsia="宋体" w:cs="Times New Roman"/>
        </w:rPr>
      </w:pPr>
      <w:r>
        <w:rPr>
          <w:rFonts w:hint="default" w:ascii="宋体" w:hAnsi="宋体" w:eastAsia="宋体" w:cs="宋体"/>
          <w:color w:val="000000"/>
          <w:sz w:val="21"/>
        </w:rPr>
        <w:t>我单位按照磋商文件的要求编制响应文件，并对其提交的响应文件的真实性、合法性承担法律责任。</w:t>
      </w:r>
    </w:p>
    <w:p w14:paraId="3B06248E">
      <w:pPr>
        <w:pBdr>
          <w:top w:val="none" w:color="000000" w:sz="0" w:space="0"/>
          <w:left w:val="none" w:color="000000" w:sz="0" w:space="0"/>
          <w:bottom w:val="none" w:color="000000" w:sz="0" w:space="0"/>
          <w:right w:val="none" w:color="000000" w:sz="0" w:space="0"/>
        </w:pBdr>
        <w:spacing w:before="0" w:after="0" w:line="74" w:lineRule="atLeast"/>
        <w:ind w:left="0" w:right="0" w:firstLine="480"/>
        <w:rPr>
          <w:rFonts w:hint="default" w:ascii="Times New Roman" w:hAnsi="Times New Roman" w:eastAsia="宋体" w:cs="Times New Roman"/>
        </w:rPr>
      </w:pPr>
      <w:r>
        <w:rPr>
          <w:rFonts w:hint="default" w:ascii="宋体" w:hAnsi="宋体" w:eastAsia="宋体" w:cs="宋体"/>
          <w:color w:val="000000"/>
          <w:sz w:val="21"/>
        </w:rPr>
        <w:t xml:space="preserve">供应商兹宣布同意如下： </w:t>
      </w:r>
    </w:p>
    <w:p w14:paraId="31FA4ABD">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Times New Roman" w:hAnsi="Times New Roman" w:eastAsia="宋体" w:cs="Times New Roman"/>
        </w:rPr>
      </w:pPr>
      <w:r>
        <w:rPr>
          <w:rFonts w:hint="default" w:ascii="宋体" w:hAnsi="宋体" w:eastAsia="宋体" w:cs="宋体"/>
          <w:color w:val="000000"/>
          <w:sz w:val="21"/>
        </w:rPr>
        <w:t>一、完全承担根据《磋商文件》规定完成合同的责任和义务（如有偏离，将全部填写在偏离表中）。</w:t>
      </w:r>
    </w:p>
    <w:p w14:paraId="2CF477A7">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宋体" w:hAnsi="宋体" w:eastAsia="宋体" w:cs="宋体"/>
          <w:color w:val="000000"/>
          <w:sz w:val="21"/>
        </w:rPr>
      </w:pPr>
      <w:r>
        <w:rPr>
          <w:rFonts w:hint="default" w:ascii="宋体" w:hAnsi="宋体" w:eastAsia="宋体" w:cs="宋体"/>
          <w:color w:val="000000"/>
          <w:sz w:val="21"/>
        </w:rPr>
        <w:t>二、保证所提供的响应文件及所有材料的真实、合法、有效，并对其负责。</w:t>
      </w:r>
    </w:p>
    <w:p w14:paraId="7B318B91">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宋体" w:hAnsi="宋体" w:eastAsia="宋体" w:cs="宋体"/>
          <w:color w:val="000000"/>
          <w:sz w:val="21"/>
        </w:rPr>
      </w:pPr>
      <w:r>
        <w:rPr>
          <w:rFonts w:hint="default" w:ascii="宋体" w:hAnsi="宋体" w:eastAsia="宋体" w:cs="宋体"/>
          <w:color w:val="000000"/>
          <w:sz w:val="21"/>
        </w:rPr>
        <w:t>三、已详细审核竞争性磋商文件（含竞争性磋商文件的澄清或者修改），本供应商完全理解并同意放弃对这方面不明及误解的权利。</w:t>
      </w:r>
    </w:p>
    <w:p w14:paraId="486D5C08">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宋体" w:hAnsi="宋体" w:eastAsia="宋体" w:cs="宋体"/>
          <w:color w:val="000000"/>
          <w:sz w:val="21"/>
        </w:rPr>
      </w:pPr>
      <w:r>
        <w:rPr>
          <w:rFonts w:hint="default" w:ascii="宋体" w:hAnsi="宋体" w:eastAsia="宋体" w:cs="宋体"/>
          <w:color w:val="000000"/>
          <w:sz w:val="21"/>
        </w:rPr>
        <w:t>四、所供货物保证符合国家有关产品质量、性能和安全标准，无权利瑕疵。</w:t>
      </w:r>
    </w:p>
    <w:p w14:paraId="5785A510">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宋体" w:hAnsi="宋体" w:eastAsia="宋体" w:cs="宋体"/>
          <w:color w:val="000000"/>
          <w:sz w:val="21"/>
        </w:rPr>
      </w:pPr>
      <w:r>
        <w:rPr>
          <w:rFonts w:hint="default" w:ascii="宋体" w:hAnsi="宋体" w:eastAsia="宋体" w:cs="宋体"/>
          <w:color w:val="000000"/>
          <w:sz w:val="21"/>
        </w:rPr>
        <w:t>五、报价有效期为30个工作日。</w:t>
      </w:r>
    </w:p>
    <w:p w14:paraId="47F3DA71">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宋体" w:hAnsi="宋体" w:eastAsia="宋体" w:cs="宋体"/>
          <w:color w:val="000000"/>
          <w:sz w:val="21"/>
        </w:rPr>
      </w:pPr>
      <w:r>
        <w:rPr>
          <w:rFonts w:hint="default" w:ascii="宋体" w:hAnsi="宋体" w:eastAsia="宋体" w:cs="宋体"/>
          <w:color w:val="000000"/>
          <w:sz w:val="21"/>
        </w:rPr>
        <w:t>六、同意向贵方提供贵方可能要求的与本次磋商采购有关的任何证据或资料。</w:t>
      </w:r>
    </w:p>
    <w:p w14:paraId="31669AC0">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宋体" w:hAnsi="宋体" w:eastAsia="宋体" w:cs="宋体"/>
          <w:color w:val="000000"/>
          <w:sz w:val="21"/>
        </w:rPr>
      </w:pPr>
      <w:r>
        <w:rPr>
          <w:rFonts w:hint="default" w:ascii="宋体" w:hAnsi="宋体" w:eastAsia="宋体" w:cs="宋体"/>
          <w:color w:val="000000"/>
          <w:sz w:val="21"/>
        </w:rPr>
        <w:t>七、完全理解贵方不一定要接受最低的报价或收到的任何报价。</w:t>
      </w:r>
    </w:p>
    <w:p w14:paraId="1050D6B8">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宋体" w:hAnsi="宋体" w:eastAsia="宋体" w:cs="宋体"/>
          <w:color w:val="000000"/>
          <w:sz w:val="21"/>
        </w:rPr>
      </w:pPr>
      <w:r>
        <w:rPr>
          <w:rFonts w:hint="default" w:ascii="宋体" w:hAnsi="宋体" w:eastAsia="宋体" w:cs="宋体"/>
          <w:color w:val="000000"/>
          <w:sz w:val="21"/>
        </w:rPr>
        <w:t>八、采购人或采购代理机构有权将我单位本项目的《磋商报价表》和《分项价格表》予以公示，公示的方式由</w:t>
      </w:r>
      <w:r>
        <w:rPr>
          <w:rFonts w:hint="eastAsia" w:ascii="宋体" w:hAnsi="宋体" w:eastAsia="宋体" w:cs="宋体"/>
          <w:color w:val="000000"/>
          <w:sz w:val="21"/>
          <w:lang w:eastAsia="zh-CN"/>
        </w:rPr>
        <w:t>江苏智汇锡建工程项目管理有限公司</w:t>
      </w:r>
      <w:r>
        <w:rPr>
          <w:rFonts w:hint="default" w:ascii="宋体" w:hAnsi="宋体" w:eastAsia="宋体" w:cs="宋体"/>
          <w:color w:val="000000"/>
          <w:sz w:val="21"/>
        </w:rPr>
        <w:t>确定。</w:t>
      </w:r>
    </w:p>
    <w:p w14:paraId="27C46C06">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宋体" w:hAnsi="宋体" w:eastAsia="宋体" w:cs="宋体"/>
          <w:color w:val="000000"/>
          <w:sz w:val="21"/>
        </w:rPr>
      </w:pPr>
      <w:r>
        <w:rPr>
          <w:rFonts w:hint="default" w:ascii="宋体" w:hAnsi="宋体" w:eastAsia="宋体" w:cs="宋体"/>
          <w:color w:val="000000"/>
          <w:sz w:val="21"/>
        </w:rPr>
        <w:t>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 </w:t>
      </w:r>
    </w:p>
    <w:p w14:paraId="0935E802">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宋体" w:hAnsi="宋体" w:eastAsia="宋体" w:cs="宋体"/>
          <w:color w:val="000000"/>
          <w:sz w:val="21"/>
        </w:rPr>
      </w:pPr>
      <w:r>
        <w:rPr>
          <w:rFonts w:hint="default" w:ascii="宋体" w:hAnsi="宋体" w:eastAsia="宋体" w:cs="宋体"/>
          <w:color w:val="000000"/>
          <w:sz w:val="21"/>
        </w:rPr>
        <w:t>供应商（电子签章）：</w:t>
      </w:r>
    </w:p>
    <w:p w14:paraId="140971FF">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宋体" w:hAnsi="宋体" w:eastAsia="宋体" w:cs="宋体"/>
          <w:color w:val="000000"/>
          <w:sz w:val="21"/>
        </w:rPr>
      </w:pPr>
      <w:r>
        <w:rPr>
          <w:rFonts w:hint="default" w:ascii="宋体" w:hAnsi="宋体" w:eastAsia="宋体" w:cs="宋体"/>
          <w:color w:val="000000"/>
          <w:sz w:val="21"/>
        </w:rPr>
        <w:t>法定代表人（负责人)或授权代表（签字或盖章）：  </w:t>
      </w:r>
    </w:p>
    <w:p w14:paraId="54D36C79">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宋体" w:hAnsi="宋体" w:eastAsia="宋体" w:cs="宋体"/>
          <w:color w:val="000000"/>
          <w:sz w:val="21"/>
        </w:rPr>
      </w:pPr>
      <w:r>
        <w:rPr>
          <w:rFonts w:hint="default" w:ascii="宋体" w:hAnsi="宋体" w:eastAsia="宋体" w:cs="宋体"/>
          <w:color w:val="000000"/>
          <w:sz w:val="21"/>
        </w:rPr>
        <w:t>联系电话：</w:t>
      </w:r>
    </w:p>
    <w:p w14:paraId="56E99D72">
      <w:pPr>
        <w:pBdr>
          <w:top w:val="none" w:color="000000" w:sz="0" w:space="0"/>
          <w:left w:val="none" w:color="000000" w:sz="0" w:space="0"/>
          <w:bottom w:val="none" w:color="000000" w:sz="0" w:space="0"/>
          <w:right w:val="none" w:color="000000" w:sz="0" w:space="0"/>
        </w:pBdr>
        <w:spacing w:before="240" w:after="240" w:line="74" w:lineRule="atLeast"/>
        <w:ind w:left="0" w:right="0" w:firstLine="480"/>
        <w:rPr>
          <w:rFonts w:hint="default" w:ascii="宋体" w:hAnsi="宋体" w:eastAsia="宋体" w:cs="宋体"/>
          <w:color w:val="000000"/>
          <w:sz w:val="21"/>
        </w:rPr>
      </w:pPr>
      <w:r>
        <w:rPr>
          <w:rFonts w:hint="default" w:ascii="宋体" w:hAnsi="宋体" w:eastAsia="宋体" w:cs="宋体"/>
          <w:color w:val="000000"/>
          <w:sz w:val="21"/>
        </w:rPr>
        <w:t>日期：</w:t>
      </w:r>
    </w:p>
    <w:p w14:paraId="08525D21">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p>
    <w:p w14:paraId="7D41CD1A">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b/>
          <w:color w:val="000000"/>
          <w:sz w:val="36"/>
        </w:rPr>
        <w:t>8、授权委托书</w:t>
      </w:r>
    </w:p>
    <w:p w14:paraId="5F4A967B">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委托人（全称）：</w:t>
      </w:r>
    </w:p>
    <w:p w14:paraId="4A4FB6B2">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地址：</w:t>
      </w:r>
    </w:p>
    <w:p w14:paraId="3FD1E5BC">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法定代表人（负责人）：</w:t>
      </w:r>
    </w:p>
    <w:p w14:paraId="59C3B3B2">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统一社会信用代码：</w:t>
      </w:r>
    </w:p>
    <w:p w14:paraId="208BD5DA">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64FA0D93">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受托人：先生（女士）</w:t>
      </w:r>
    </w:p>
    <w:p w14:paraId="688F5205">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身份证号：</w:t>
      </w:r>
    </w:p>
    <w:p w14:paraId="077B03F7">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 </w:t>
      </w:r>
    </w:p>
    <w:p w14:paraId="370B31BB">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18F33A0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兹委托（</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）全权代表我企业（公司）参与</w:t>
      </w:r>
      <w:r>
        <w:rPr>
          <w:rFonts w:hint="eastAsia" w:ascii="宋体" w:hAnsi="宋体" w:eastAsia="宋体" w:cs="宋体"/>
          <w:color w:val="000000"/>
          <w:sz w:val="24"/>
          <w:lang w:eastAsia="zh-CN"/>
        </w:rPr>
        <w:t>铜山区成品油税控联网监管系统项目</w:t>
      </w:r>
      <w:r>
        <w:rPr>
          <w:rFonts w:hint="default" w:ascii="宋体" w:hAnsi="宋体" w:eastAsia="宋体" w:cs="宋体"/>
          <w:color w:val="000000"/>
          <w:sz w:val="24"/>
        </w:rPr>
        <w:t>[项目编号：</w:t>
      </w:r>
      <w:r>
        <w:rPr>
          <w:rFonts w:hint="eastAsia" w:ascii="宋体" w:hAnsi="宋体" w:eastAsia="宋体" w:cs="宋体"/>
          <w:color w:val="000000"/>
          <w:sz w:val="24"/>
          <w:lang w:eastAsia="zh-CN"/>
        </w:rPr>
        <w:t>JSZC-320312-JSZH-C2026-0076</w:t>
      </w:r>
      <w:r>
        <w:rPr>
          <w:rFonts w:hint="default" w:ascii="宋体" w:hAnsi="宋体" w:eastAsia="宋体" w:cs="宋体"/>
          <w:color w:val="000000"/>
          <w:sz w:val="24"/>
        </w:rPr>
        <w:t>]的磋商活动及签订合同。（   ）以我企业（公司）名义所为的行为及签署的文件，我企业（公司）均予以认可。有关法律责任均由我企业（公司）承担。（    ）无转委托权。委托期限自    年  月   日起至    年  月    日止。</w:t>
      </w:r>
    </w:p>
    <w:p w14:paraId="71C8130E">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3095175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default" w:ascii="Times New Roman" w:hAnsi="Times New Roman" w:eastAsia="宋体" w:cs="Times New Roman"/>
        </w:rPr>
      </w:pPr>
      <w:r>
        <w:rPr>
          <w:rFonts w:hint="eastAsia" w:ascii="宋体" w:hAnsi="宋体" w:eastAsia="宋体" w:cs="宋体"/>
          <w:color w:val="000000"/>
          <w:sz w:val="24"/>
          <w:lang w:val="en-US" w:eastAsia="zh-CN"/>
        </w:rPr>
        <w:t>供应商</w:t>
      </w:r>
      <w:r>
        <w:rPr>
          <w:rFonts w:hint="default" w:ascii="宋体" w:hAnsi="宋体" w:eastAsia="宋体" w:cs="宋体"/>
          <w:color w:val="000000"/>
          <w:sz w:val="24"/>
        </w:rPr>
        <w:t>（电子签章）：</w:t>
      </w:r>
    </w:p>
    <w:p w14:paraId="1B1DED41">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16D97FC1">
      <w:pPr>
        <w:pBdr>
          <w:top w:val="none" w:color="000000" w:sz="0" w:space="0"/>
          <w:left w:val="none" w:color="000000" w:sz="0" w:space="0"/>
          <w:bottom w:val="none" w:color="000000" w:sz="0" w:space="0"/>
          <w:right w:val="none" w:color="000000" w:sz="0" w:space="0"/>
        </w:pBdr>
        <w:spacing w:before="0" w:after="0" w:line="499" w:lineRule="atLeast"/>
        <w:ind w:left="0" w:right="0" w:firstLine="3561"/>
        <w:jc w:val="both"/>
        <w:rPr>
          <w:rFonts w:hint="default" w:ascii="Times New Roman" w:hAnsi="Times New Roman" w:eastAsia="宋体" w:cs="Times New Roman"/>
        </w:rPr>
      </w:pPr>
      <w:r>
        <w:rPr>
          <w:rFonts w:hint="default" w:ascii="宋体" w:hAnsi="宋体" w:eastAsia="宋体" w:cs="宋体"/>
          <w:color w:val="000000"/>
          <w:sz w:val="24"/>
        </w:rPr>
        <w:t>年</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月</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日</w:t>
      </w:r>
    </w:p>
    <w:p w14:paraId="1FF42DCE">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 </w:t>
      </w:r>
    </w:p>
    <w:p w14:paraId="7372BBF1">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 </w:t>
      </w:r>
    </w:p>
    <w:p w14:paraId="67843B62">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 </w:t>
      </w:r>
    </w:p>
    <w:p w14:paraId="2F3E315E">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 </w:t>
      </w:r>
    </w:p>
    <w:p w14:paraId="78CC2247">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 </w:t>
      </w:r>
    </w:p>
    <w:p w14:paraId="3AF84881">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 </w:t>
      </w:r>
    </w:p>
    <w:p w14:paraId="1972C1FF">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b/>
          <w:color w:val="000000"/>
          <w:sz w:val="24"/>
        </w:rPr>
        <w:t>（受托人身份证复印件附后)</w:t>
      </w:r>
    </w:p>
    <w:p w14:paraId="4D73990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imes New Roman" w:hAnsi="Times New Roman" w:eastAsia="宋体" w:cs="Times New Roman"/>
        </w:rPr>
      </w:pPr>
      <w:r>
        <w:rPr>
          <w:rFonts w:hint="default" w:ascii="Times New Roman" w:hAnsi="Times New Roman" w:eastAsia="宋体" w:cs="Times New Roman"/>
        </w:rPr>
        <w:br w:type="page" w:clear="all"/>
      </w:r>
    </w:p>
    <w:p w14:paraId="728A487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imes New Roman" w:hAnsi="Times New Roman" w:eastAsia="宋体" w:cs="Times New Roman"/>
        </w:rPr>
      </w:pPr>
      <w:r>
        <w:rPr>
          <w:rFonts w:hint="default" w:ascii="宋体" w:hAnsi="宋体" w:eastAsia="宋体" w:cs="宋体"/>
          <w:b/>
          <w:color w:val="000000"/>
          <w:sz w:val="36"/>
        </w:rPr>
        <w:t>9、</w:t>
      </w:r>
      <w:r>
        <w:rPr>
          <w:rFonts w:hint="default" w:ascii="宋体" w:hAnsi="宋体" w:eastAsia="宋体" w:cs="宋体"/>
          <w:b/>
          <w:color w:val="000000"/>
          <w:sz w:val="36"/>
          <w:u w:val="none"/>
        </w:rPr>
        <w:t>中小企业声明函</w:t>
      </w:r>
    </w:p>
    <w:p w14:paraId="3274989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Times New Roman" w:hAnsi="Times New Roman" w:eastAsia="宋体" w:cs="Times New Roman"/>
          <w:lang w:eastAsia="zh-CN"/>
        </w:rPr>
      </w:pPr>
      <w:r>
        <w:rPr>
          <w:rFonts w:hint="default" w:ascii="宋体" w:hAnsi="宋体" w:eastAsia="宋体" w:cs="宋体"/>
          <w:color w:val="000000"/>
          <w:sz w:val="24"/>
        </w:rPr>
        <w:t>项目编号：</w:t>
      </w:r>
      <w:r>
        <w:rPr>
          <w:rFonts w:hint="eastAsia" w:ascii="宋体" w:hAnsi="宋体" w:eastAsia="宋体" w:cs="宋体"/>
          <w:color w:val="000000"/>
          <w:sz w:val="24"/>
          <w:lang w:eastAsia="zh-CN"/>
        </w:rPr>
        <w:t>JSZC-320312-JSZH-C2026-0076</w:t>
      </w:r>
    </w:p>
    <w:p w14:paraId="0A2F1FD5">
      <w:pPr>
        <w:pBdr>
          <w:top w:val="none" w:color="000000" w:sz="0" w:space="0"/>
          <w:left w:val="none" w:color="000000" w:sz="0" w:space="0"/>
          <w:bottom w:val="none" w:color="000000" w:sz="0" w:space="0"/>
          <w:right w:val="none" w:color="000000" w:sz="0" w:space="0"/>
        </w:pBdr>
        <w:spacing w:before="0" w:after="0" w:line="479" w:lineRule="atLeast"/>
        <w:ind w:left="0" w:right="0" w:firstLine="504"/>
        <w:jc w:val="both"/>
        <w:rPr>
          <w:rFonts w:hint="default" w:ascii="Times New Roman" w:hAnsi="Times New Roman" w:eastAsia="宋体" w:cs="Times New Roman"/>
        </w:rPr>
      </w:pPr>
      <w:r>
        <w:rPr>
          <w:rFonts w:hint="default" w:ascii="宋体" w:hAnsi="宋体" w:eastAsia="宋体" w:cs="宋体"/>
          <w:color w:val="000000"/>
          <w:spacing w:val="6"/>
          <w:sz w:val="24"/>
        </w:rPr>
        <w:t>项目名称：</w:t>
      </w:r>
      <w:r>
        <w:rPr>
          <w:rFonts w:hint="eastAsia" w:ascii="宋体" w:hAnsi="宋体" w:eastAsia="宋体" w:cs="宋体"/>
          <w:color w:val="000000"/>
          <w:spacing w:val="6"/>
          <w:sz w:val="24"/>
          <w:lang w:eastAsia="zh-CN"/>
        </w:rPr>
        <w:t>铜山区成品油税控联网监管系统项目</w:t>
      </w:r>
      <w:r>
        <w:rPr>
          <w:rFonts w:hint="default" w:ascii="宋体" w:hAnsi="宋体" w:eastAsia="宋体" w:cs="宋体"/>
          <w:color w:val="000000"/>
          <w:spacing w:val="6"/>
          <w:sz w:val="24"/>
        </w:rPr>
        <w:t> </w:t>
      </w:r>
    </w:p>
    <w:p w14:paraId="5CBD001A">
      <w:pPr>
        <w:pBdr>
          <w:top w:val="none" w:color="000000" w:sz="0" w:space="0"/>
          <w:left w:val="none" w:color="000000" w:sz="0" w:space="0"/>
          <w:bottom w:val="none" w:color="000000" w:sz="0" w:space="0"/>
          <w:right w:val="none" w:color="000000" w:sz="0" w:space="0"/>
        </w:pBdr>
        <w:spacing w:before="0" w:after="0" w:line="479" w:lineRule="atLeast"/>
        <w:ind w:left="0" w:right="0" w:firstLine="504"/>
        <w:jc w:val="both"/>
        <w:rPr>
          <w:rFonts w:hint="eastAsia" w:ascii="Times New Roman" w:hAnsi="Times New Roman" w:eastAsia="宋体" w:cs="Times New Roman"/>
          <w:lang w:eastAsia="zh-CN"/>
        </w:rPr>
      </w:pPr>
      <w:r>
        <w:rPr>
          <w:rFonts w:hint="default" w:ascii="宋体" w:hAnsi="宋体" w:eastAsia="宋体" w:cs="宋体"/>
          <w:color w:val="000000"/>
          <w:spacing w:val="6"/>
          <w:sz w:val="24"/>
        </w:rPr>
        <w:t>项目编号：</w:t>
      </w:r>
      <w:r>
        <w:rPr>
          <w:rFonts w:hint="eastAsia" w:ascii="宋体" w:hAnsi="宋体" w:eastAsia="宋体" w:cs="宋体"/>
          <w:color w:val="000000"/>
          <w:spacing w:val="6"/>
          <w:sz w:val="24"/>
          <w:lang w:eastAsia="zh-CN"/>
        </w:rPr>
        <w:t>JSZC-320312-JSZH-C2026-0076</w:t>
      </w:r>
    </w:p>
    <w:p w14:paraId="364D37CE">
      <w:pPr>
        <w:pBdr>
          <w:top w:val="none" w:color="000000" w:sz="0" w:space="0"/>
          <w:left w:val="none" w:color="000000" w:sz="0" w:space="0"/>
          <w:bottom w:val="none" w:color="000000" w:sz="0" w:space="0"/>
          <w:right w:val="none" w:color="000000" w:sz="0" w:space="0"/>
        </w:pBdr>
        <w:spacing w:before="0" w:after="0" w:line="479" w:lineRule="atLeast"/>
        <w:ind w:left="0" w:right="0" w:firstLine="504"/>
        <w:jc w:val="both"/>
        <w:rPr>
          <w:rFonts w:hint="default" w:ascii="Times New Roman" w:hAnsi="Times New Roman" w:eastAsia="宋体" w:cs="Times New Roman"/>
        </w:rPr>
      </w:pPr>
      <w:r>
        <w:rPr>
          <w:rFonts w:hint="default" w:ascii="宋体" w:hAnsi="宋体" w:eastAsia="宋体" w:cs="宋体"/>
          <w:color w:val="000000"/>
          <w:spacing w:val="6"/>
          <w:sz w:val="24"/>
        </w:rPr>
        <w:t>本公司</w:t>
      </w:r>
      <w:r>
        <w:rPr>
          <w:rFonts w:hint="eastAsia" w:ascii="宋体" w:hAnsi="宋体" w:eastAsia="宋体" w:cs="宋体"/>
          <w:color w:val="000000"/>
          <w:spacing w:val="6"/>
          <w:sz w:val="24"/>
          <w:u w:val="single"/>
          <w:lang w:val="en-US" w:eastAsia="zh-CN"/>
        </w:rPr>
        <w:t xml:space="preserve">          </w:t>
      </w:r>
      <w:r>
        <w:rPr>
          <w:rFonts w:hint="default" w:ascii="宋体" w:hAnsi="宋体" w:eastAsia="宋体" w:cs="宋体"/>
          <w:color w:val="000000"/>
          <w:spacing w:val="6"/>
          <w:sz w:val="24"/>
        </w:rPr>
        <w:t>（联合体）郑重声明，根据《政府采购促进中小企业发展管理办法》（财库[2020]46号）的规定，本公司参加（</w:t>
      </w:r>
      <w:r>
        <w:rPr>
          <w:rFonts w:hint="eastAsia" w:ascii="宋体" w:hAnsi="宋体" w:eastAsia="宋体" w:cs="宋体"/>
          <w:color w:val="000000"/>
          <w:spacing w:val="6"/>
          <w:sz w:val="24"/>
          <w:u w:val="single"/>
          <w:lang w:val="en-US" w:eastAsia="zh-CN"/>
        </w:rPr>
        <w:t xml:space="preserve">  单位名称  </w:t>
      </w:r>
      <w:r>
        <w:rPr>
          <w:rFonts w:hint="default" w:ascii="宋体" w:hAnsi="宋体" w:eastAsia="宋体" w:cs="宋体"/>
          <w:color w:val="000000"/>
          <w:spacing w:val="6"/>
          <w:sz w:val="24"/>
        </w:rPr>
        <w:t>）的（</w:t>
      </w:r>
      <w:r>
        <w:rPr>
          <w:rFonts w:hint="eastAsia" w:ascii="宋体" w:hAnsi="宋体" w:eastAsia="宋体" w:cs="宋体"/>
          <w:color w:val="000000"/>
          <w:spacing w:val="6"/>
          <w:sz w:val="24"/>
          <w:u w:val="single"/>
          <w:lang w:val="en-US" w:eastAsia="zh-CN"/>
        </w:rPr>
        <w:t xml:space="preserve"> 项目名称 </w:t>
      </w:r>
      <w:r>
        <w:rPr>
          <w:rFonts w:hint="default" w:ascii="宋体" w:hAnsi="宋体" w:eastAsia="宋体" w:cs="宋体"/>
          <w:color w:val="000000"/>
          <w:spacing w:val="6"/>
          <w:sz w:val="24"/>
        </w:rPr>
        <w:t>）采购活动，服务全部由符合政策要求的中小企业承接。相关企业（含联合体中的中小企业、签订分包意向协议的中小企业）的具体情况如下：</w:t>
      </w:r>
    </w:p>
    <w:p w14:paraId="04384B3C">
      <w:pPr>
        <w:pBdr>
          <w:top w:val="none" w:color="000000" w:sz="0" w:space="0"/>
          <w:left w:val="none" w:color="000000" w:sz="0" w:space="0"/>
          <w:bottom w:val="none" w:color="000000" w:sz="0" w:space="0"/>
          <w:right w:val="none" w:color="000000" w:sz="0" w:space="0"/>
        </w:pBdr>
        <w:spacing w:before="0" w:after="0" w:line="479" w:lineRule="atLeast"/>
        <w:ind w:left="0" w:right="0" w:firstLine="504"/>
        <w:jc w:val="both"/>
        <w:rPr>
          <w:rFonts w:hint="eastAsia" w:ascii="宋体" w:hAnsi="宋体" w:eastAsia="宋体" w:cs="宋体"/>
          <w:color w:val="000000"/>
          <w:spacing w:val="6"/>
          <w:sz w:val="24"/>
          <w:lang w:eastAsia="zh-CN"/>
        </w:rPr>
      </w:pPr>
      <w:r>
        <w:rPr>
          <w:rFonts w:hint="default" w:ascii="宋体" w:hAnsi="宋体" w:eastAsia="宋体" w:cs="宋体"/>
          <w:color w:val="000000"/>
          <w:spacing w:val="6"/>
          <w:sz w:val="24"/>
        </w:rPr>
        <w:t>（</w:t>
      </w:r>
      <w:r>
        <w:rPr>
          <w:rFonts w:hint="eastAsia" w:ascii="宋体" w:hAnsi="宋体" w:eastAsia="宋体" w:cs="宋体"/>
          <w:color w:val="000000"/>
          <w:spacing w:val="6"/>
          <w:sz w:val="24"/>
          <w:u w:val="single"/>
          <w:lang w:eastAsia="zh-CN"/>
        </w:rPr>
        <w:t>铜山区成品油税控联网监管系统项目</w:t>
      </w:r>
      <w:r>
        <w:rPr>
          <w:rFonts w:hint="default" w:ascii="宋体" w:hAnsi="宋体" w:eastAsia="宋体" w:cs="宋体"/>
          <w:color w:val="000000"/>
          <w:spacing w:val="6"/>
          <w:sz w:val="24"/>
        </w:rPr>
        <w:t>），属于（</w:t>
      </w:r>
      <w:r>
        <w:rPr>
          <w:rFonts w:hint="eastAsia" w:ascii="宋体" w:hAnsi="宋体" w:eastAsia="宋体" w:cs="宋体"/>
          <w:color w:val="000000"/>
          <w:spacing w:val="6"/>
          <w:sz w:val="24"/>
          <w:u w:val="single"/>
          <w:lang w:val="en-US" w:eastAsia="zh-CN"/>
        </w:rPr>
        <w:t xml:space="preserve">      </w:t>
      </w:r>
      <w:r>
        <w:rPr>
          <w:rFonts w:hint="default" w:ascii="宋体" w:hAnsi="宋体" w:eastAsia="宋体" w:cs="宋体"/>
          <w:color w:val="000000"/>
          <w:spacing w:val="6"/>
          <w:sz w:val="24"/>
        </w:rPr>
        <w:t>）</w:t>
      </w:r>
      <w:r>
        <w:rPr>
          <w:rFonts w:hint="eastAsia" w:ascii="宋体" w:hAnsi="宋体" w:eastAsia="宋体" w:cs="宋体"/>
          <w:color w:val="000000"/>
          <w:spacing w:val="6"/>
          <w:sz w:val="24"/>
          <w:lang w:eastAsia="zh-CN"/>
        </w:rPr>
        <w:t>行业</w:t>
      </w:r>
      <w:r>
        <w:rPr>
          <w:rFonts w:hint="default" w:ascii="宋体" w:hAnsi="宋体" w:eastAsia="宋体" w:cs="宋体"/>
          <w:color w:val="000000"/>
          <w:spacing w:val="6"/>
          <w:sz w:val="24"/>
        </w:rPr>
        <w:t>；承建（承建）企业为（</w:t>
      </w:r>
      <w:r>
        <w:rPr>
          <w:rFonts w:hint="default" w:ascii="宋体" w:hAnsi="宋体" w:eastAsia="宋体" w:cs="宋体"/>
          <w:color w:val="000000"/>
          <w:spacing w:val="6"/>
          <w:sz w:val="24"/>
          <w:u w:val="single"/>
        </w:rPr>
        <w:t>企 业 名 称</w:t>
      </w:r>
      <w:r>
        <w:rPr>
          <w:rFonts w:hint="default" w:ascii="宋体" w:hAnsi="宋体" w:eastAsia="宋体" w:cs="宋体"/>
          <w:color w:val="000000"/>
          <w:spacing w:val="6"/>
          <w:sz w:val="24"/>
        </w:rPr>
        <w:t>），从业人员（</w:t>
      </w:r>
      <w:r>
        <w:rPr>
          <w:rFonts w:hint="default" w:ascii="宋体" w:hAnsi="宋体" w:eastAsia="宋体" w:cs="宋体"/>
          <w:color w:val="000000"/>
          <w:spacing w:val="6"/>
          <w:sz w:val="24"/>
          <w:u w:val="single"/>
        </w:rPr>
        <w:t>  </w:t>
      </w:r>
      <w:r>
        <w:rPr>
          <w:rFonts w:hint="default" w:ascii="宋体" w:hAnsi="宋体" w:eastAsia="宋体" w:cs="宋体"/>
          <w:color w:val="000000"/>
          <w:spacing w:val="6"/>
          <w:sz w:val="24"/>
        </w:rPr>
        <w:t>）人，营业收入为（</w:t>
      </w:r>
      <w:r>
        <w:rPr>
          <w:rFonts w:hint="default" w:ascii="宋体" w:hAnsi="宋体" w:eastAsia="宋体" w:cs="宋体"/>
          <w:color w:val="000000"/>
          <w:spacing w:val="6"/>
          <w:sz w:val="24"/>
          <w:u w:val="single"/>
        </w:rPr>
        <w:t>   </w:t>
      </w:r>
      <w:r>
        <w:rPr>
          <w:rFonts w:hint="default" w:ascii="宋体" w:hAnsi="宋体" w:eastAsia="宋体" w:cs="宋体"/>
          <w:color w:val="000000"/>
          <w:spacing w:val="6"/>
          <w:sz w:val="24"/>
        </w:rPr>
        <w:t>万元），资产总额为（</w:t>
      </w:r>
      <w:r>
        <w:rPr>
          <w:rFonts w:hint="default" w:ascii="宋体" w:hAnsi="宋体" w:eastAsia="宋体" w:cs="宋体"/>
          <w:color w:val="000000"/>
          <w:spacing w:val="6"/>
          <w:sz w:val="24"/>
          <w:u w:val="single"/>
        </w:rPr>
        <w:t> </w:t>
      </w:r>
      <w:r>
        <w:rPr>
          <w:rFonts w:hint="eastAsia" w:ascii="宋体" w:hAnsi="宋体" w:eastAsia="宋体" w:cs="宋体"/>
          <w:color w:val="000000"/>
          <w:spacing w:val="6"/>
          <w:sz w:val="24"/>
          <w:u w:val="single"/>
          <w:lang w:val="en-US" w:eastAsia="zh-CN"/>
        </w:rPr>
        <w:t xml:space="preserve">  </w:t>
      </w:r>
      <w:r>
        <w:rPr>
          <w:rFonts w:hint="default" w:ascii="宋体" w:hAnsi="宋体" w:eastAsia="宋体" w:cs="宋体"/>
          <w:color w:val="000000"/>
          <w:spacing w:val="6"/>
          <w:sz w:val="24"/>
          <w:u w:val="single"/>
        </w:rPr>
        <w:t> </w:t>
      </w:r>
      <w:r>
        <w:rPr>
          <w:rFonts w:hint="default" w:ascii="宋体" w:hAnsi="宋体" w:eastAsia="宋体" w:cs="宋体"/>
          <w:color w:val="000000"/>
          <w:spacing w:val="6"/>
          <w:sz w:val="24"/>
        </w:rPr>
        <w:t>万元），属于（□中型企业、□小型企业、□微型企业,请勾选！）</w:t>
      </w:r>
      <w:r>
        <w:rPr>
          <w:rFonts w:hint="eastAsia" w:ascii="宋体" w:hAnsi="宋体" w:eastAsia="宋体" w:cs="宋体"/>
          <w:color w:val="000000"/>
          <w:spacing w:val="6"/>
          <w:sz w:val="24"/>
          <w:lang w:eastAsia="zh-CN"/>
        </w:rPr>
        <w:t>。</w:t>
      </w:r>
    </w:p>
    <w:p w14:paraId="66A2A0B4">
      <w:pPr>
        <w:pBdr>
          <w:top w:val="none" w:color="000000" w:sz="0" w:space="0"/>
          <w:left w:val="none" w:color="000000" w:sz="0" w:space="0"/>
          <w:bottom w:val="none" w:color="000000" w:sz="0" w:space="0"/>
          <w:right w:val="none" w:color="000000" w:sz="0" w:space="0"/>
        </w:pBdr>
        <w:spacing w:before="0" w:after="0" w:line="479" w:lineRule="atLeast"/>
        <w:ind w:left="0" w:right="0" w:firstLine="504"/>
        <w:jc w:val="both"/>
        <w:rPr>
          <w:rFonts w:hint="default" w:ascii="宋体" w:hAnsi="宋体" w:eastAsia="宋体" w:cs="宋体"/>
          <w:color w:val="000000"/>
          <w:spacing w:val="6"/>
          <w:sz w:val="24"/>
        </w:rPr>
      </w:pPr>
      <w:r>
        <w:rPr>
          <w:rFonts w:hint="default" w:ascii="宋体" w:hAnsi="宋体" w:eastAsia="宋体" w:cs="宋体"/>
          <w:color w:val="000000"/>
          <w:spacing w:val="6"/>
          <w:sz w:val="24"/>
        </w:rPr>
        <w:t>…</w:t>
      </w:r>
    </w:p>
    <w:p w14:paraId="20BCEEF2">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rPr>
          <w:rFonts w:hint="default" w:ascii="Times New Roman" w:hAnsi="Times New Roman" w:eastAsia="宋体" w:cs="Times New Roman"/>
        </w:rPr>
      </w:pPr>
      <w:r>
        <w:rPr>
          <w:rFonts w:hint="default" w:ascii="宋体" w:hAnsi="宋体" w:eastAsia="宋体" w:cs="宋体"/>
          <w:b/>
          <w:color w:val="000000"/>
          <w:sz w:val="24"/>
        </w:rPr>
        <w:t>以上企业，不属于大企业的分支机构，不存在控股股东为大企业的情形，也不存在与大企业的负责人为同一人的情形。</w:t>
      </w:r>
    </w:p>
    <w:p w14:paraId="5199B053">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本企业对上述声明内容的真实性负责。如有虚假，将依法承担相应责任。</w:t>
      </w:r>
    </w:p>
    <w:p w14:paraId="3BEE79CC">
      <w:pPr>
        <w:pBdr>
          <w:top w:val="none" w:color="000000" w:sz="0" w:space="0"/>
          <w:left w:val="none" w:color="000000" w:sz="0" w:space="0"/>
          <w:bottom w:val="none" w:color="000000" w:sz="0" w:space="0"/>
          <w:right w:val="none" w:color="000000" w:sz="0" w:space="0"/>
        </w:pBdr>
        <w:spacing w:before="0" w:after="0" w:line="479" w:lineRule="atLeast"/>
        <w:ind w:left="0" w:right="0" w:firstLine="600"/>
        <w:rPr>
          <w:rFonts w:hint="default" w:ascii="Times New Roman" w:hAnsi="Times New Roman" w:eastAsia="宋体" w:cs="Times New Roman"/>
        </w:rPr>
      </w:pPr>
      <w:r>
        <w:rPr>
          <w:rFonts w:hint="default" w:ascii="宋体" w:hAnsi="宋体" w:eastAsia="宋体" w:cs="宋体"/>
          <w:color w:val="000000"/>
          <w:sz w:val="24"/>
        </w:rPr>
        <w:t> </w:t>
      </w:r>
    </w:p>
    <w:p w14:paraId="5B11480C">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供应商（电子签章）：</w:t>
      </w:r>
    </w:p>
    <w:p w14:paraId="13B8ED61">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日 期：</w:t>
      </w:r>
    </w:p>
    <w:p w14:paraId="2EF231C8">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rPr>
          <w:rFonts w:hint="default" w:ascii="Times New Roman" w:hAnsi="Times New Roman" w:eastAsia="宋体" w:cs="Times New Roman"/>
        </w:rPr>
      </w:pPr>
      <w:r>
        <w:rPr>
          <w:rFonts w:hint="default" w:ascii="宋体" w:hAnsi="宋体" w:eastAsia="宋体" w:cs="宋体"/>
          <w:b/>
          <w:color w:val="000000"/>
          <w:sz w:val="24"/>
        </w:rPr>
        <w:t>注：本项目采购项目属性为：</w:t>
      </w:r>
      <w:r>
        <w:rPr>
          <w:rFonts w:hint="eastAsia" w:ascii="宋体" w:hAnsi="宋体" w:eastAsia="宋体" w:cs="宋体"/>
          <w:b/>
          <w:color w:val="000000"/>
          <w:sz w:val="24"/>
          <w:lang w:eastAsia="zh-CN"/>
        </w:rPr>
        <w:t>其他</w:t>
      </w:r>
      <w:r>
        <w:rPr>
          <w:rFonts w:hint="eastAsia" w:ascii="宋体" w:hAnsi="宋体" w:eastAsia="宋体" w:cs="宋体"/>
          <w:b/>
          <w:color w:val="000000"/>
          <w:sz w:val="24"/>
          <w:lang w:val="en-US" w:eastAsia="zh-CN"/>
        </w:rPr>
        <w:t>未列明行业</w:t>
      </w:r>
      <w:r>
        <w:rPr>
          <w:rFonts w:hint="default" w:ascii="宋体" w:hAnsi="宋体" w:eastAsia="宋体" w:cs="宋体"/>
          <w:b/>
          <w:color w:val="000000"/>
          <w:sz w:val="24"/>
        </w:rPr>
        <w:t>。</w:t>
      </w:r>
    </w:p>
    <w:p w14:paraId="01BC8FB9">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rPr>
          <w:rFonts w:hint="default" w:ascii="Times New Roman" w:hAnsi="Times New Roman" w:eastAsia="宋体" w:cs="Times New Roman"/>
        </w:rPr>
      </w:pPr>
      <w:r>
        <w:rPr>
          <w:rFonts w:hint="default" w:ascii="宋体" w:hAnsi="宋体" w:eastAsia="宋体" w:cs="宋体"/>
          <w:b/>
          <w:color w:val="000000"/>
          <w:sz w:val="24"/>
        </w:rPr>
        <w:t>备注：从业人员、营业收入、资产总额填报上一年度数据，无上一年度数据的新成立企业可不填报。</w:t>
      </w:r>
    </w:p>
    <w:p w14:paraId="242A1971">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Times New Roman" w:hAnsi="Times New Roman" w:eastAsia="宋体" w:cs="Times New Roman"/>
        </w:rPr>
        <w:br w:type="page" w:clear="all"/>
      </w:r>
    </w:p>
    <w:p w14:paraId="445DD97B">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b/>
          <w:color w:val="000000"/>
          <w:sz w:val="36"/>
        </w:rPr>
        <w:t>10、供应商参加政府采购活动前3年内在经营活动中没有重大违法记录的书面声明</w:t>
      </w:r>
    </w:p>
    <w:p w14:paraId="73BB823E">
      <w:pPr>
        <w:keepNext w:val="0"/>
        <w:keepLines w:val="0"/>
        <w:pageBreakBefore w:val="0"/>
        <w:widowControl w:val="0"/>
        <w:pBdr>
          <w:top w:val="none" w:color="000000" w:sz="0" w:space="0"/>
          <w:left w:val="none" w:color="000000" w:sz="0" w:space="0"/>
          <w:bottom w:val="none" w:color="000000" w:sz="0" w:space="0"/>
          <w:right w:val="none" w:color="000000" w:sz="0" w:space="0"/>
        </w:pBdr>
        <w:spacing w:before="100" w:after="100" w:line="360" w:lineRule="auto"/>
        <w:ind w:left="0" w:right="0" w:firstLine="480"/>
        <w:rPr>
          <w:rFonts w:hint="default" w:ascii="Times New Roman" w:hAnsi="Times New Roman" w:eastAsia="宋体" w:cs="Times New Roman"/>
        </w:rPr>
      </w:pPr>
      <w:r>
        <w:rPr>
          <w:rFonts w:hint="default" w:ascii="宋体" w:hAnsi="宋体" w:eastAsia="宋体" w:cs="宋体"/>
          <w:color w:val="000000"/>
          <w:sz w:val="24"/>
        </w:rPr>
        <w:t>我单位在参加</w:t>
      </w:r>
      <w:r>
        <w:rPr>
          <w:rFonts w:hint="eastAsia" w:ascii="宋体" w:hAnsi="宋体" w:eastAsia="宋体" w:cs="宋体"/>
          <w:color w:val="000000"/>
          <w:sz w:val="24"/>
          <w:lang w:eastAsia="zh-CN"/>
        </w:rPr>
        <w:t>铜山区成品油税控联网监管系统项目</w:t>
      </w:r>
      <w:r>
        <w:rPr>
          <w:rFonts w:hint="default" w:ascii="宋体" w:hAnsi="宋体" w:eastAsia="宋体" w:cs="宋体"/>
          <w:color w:val="000000"/>
          <w:sz w:val="24"/>
        </w:rPr>
        <w:t>（项目编号：</w:t>
      </w:r>
      <w:r>
        <w:rPr>
          <w:rFonts w:hint="eastAsia" w:ascii="宋体" w:hAnsi="宋体" w:eastAsia="宋体" w:cs="宋体"/>
          <w:color w:val="000000"/>
          <w:sz w:val="24"/>
          <w:lang w:eastAsia="zh-CN"/>
        </w:rPr>
        <w:t>JSZC-320312-JSZH-C2026-0076</w:t>
      </w:r>
      <w:r>
        <w:rPr>
          <w:rFonts w:hint="default" w:ascii="宋体" w:hAnsi="宋体" w:eastAsia="宋体" w:cs="宋体"/>
          <w:color w:val="000000"/>
          <w:sz w:val="24"/>
        </w:rPr>
        <w:t>）政府采购活动前3年内在经营活动中没有重大违法记录。重大违法记录是指因违法经营受到刑事处罚或者责令停产停业、吊销许可证或者执照、较大数额罚款等行政处罚。</w:t>
      </w:r>
    </w:p>
    <w:p w14:paraId="3403494B">
      <w:pPr>
        <w:keepNext w:val="0"/>
        <w:keepLines w:val="0"/>
        <w:pageBreakBefore w:val="0"/>
        <w:widowControl w:val="0"/>
        <w:pBdr>
          <w:top w:val="none" w:color="000000" w:sz="0" w:space="0"/>
          <w:left w:val="none" w:color="000000" w:sz="0" w:space="0"/>
          <w:bottom w:val="none" w:color="000000" w:sz="0" w:space="0"/>
          <w:right w:val="none" w:color="000000" w:sz="0" w:space="0"/>
        </w:pBdr>
        <w:spacing w:before="100" w:after="100" w:line="360" w:lineRule="auto"/>
        <w:ind w:left="0" w:right="0" w:firstLine="480"/>
        <w:rPr>
          <w:rFonts w:hint="default" w:ascii="Times New Roman" w:hAnsi="Times New Roman" w:eastAsia="宋体" w:cs="Times New Roman"/>
        </w:rPr>
      </w:pPr>
      <w:r>
        <w:rPr>
          <w:rFonts w:hint="default" w:ascii="宋体" w:hAnsi="宋体" w:eastAsia="宋体" w:cs="宋体"/>
          <w:color w:val="000000"/>
          <w:sz w:val="24"/>
        </w:rPr>
        <w:t>我单位对上述声明的真实性负责。如有虚假，将依法承担相应责任。</w:t>
      </w:r>
    </w:p>
    <w:p w14:paraId="3137733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29"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790A5F4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29"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59C2889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29" w:firstLine="0"/>
        <w:jc w:val="both"/>
        <w:rPr>
          <w:rFonts w:hint="default" w:ascii="Times New Roman" w:hAnsi="Times New Roman" w:eastAsia="宋体" w:cs="Times New Roman"/>
        </w:rPr>
      </w:pPr>
      <w:r>
        <w:rPr>
          <w:rFonts w:hint="default" w:ascii="宋体" w:hAnsi="宋体" w:eastAsia="宋体" w:cs="宋体"/>
          <w:color w:val="000000"/>
          <w:sz w:val="24"/>
        </w:rPr>
        <w:t>                          供应商（电子签章）：</w:t>
      </w:r>
    </w:p>
    <w:p w14:paraId="75CE245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29" w:firstLine="0"/>
        <w:jc w:val="both"/>
        <w:rPr>
          <w:rFonts w:hint="default" w:ascii="Times New Roman" w:hAnsi="Times New Roman" w:eastAsia="宋体" w:cs="Times New Roman"/>
        </w:rPr>
      </w:pPr>
      <w:r>
        <w:rPr>
          <w:rFonts w:hint="default" w:ascii="宋体" w:hAnsi="宋体" w:eastAsia="宋体" w:cs="宋体"/>
          <w:color w:val="000000"/>
          <w:sz w:val="24"/>
        </w:rPr>
        <w:t>                          日期：</w:t>
      </w:r>
    </w:p>
    <w:p w14:paraId="02363749">
      <w:pPr>
        <w:pBdr>
          <w:top w:val="none" w:color="000000" w:sz="0" w:space="0"/>
          <w:left w:val="none" w:color="000000" w:sz="0" w:space="0"/>
          <w:bottom w:val="none" w:color="000000" w:sz="0" w:space="0"/>
          <w:right w:val="none" w:color="000000" w:sz="0" w:space="0"/>
        </w:pBdr>
        <w:spacing w:before="0" w:after="0" w:line="85" w:lineRule="atLeast"/>
        <w:ind w:left="239" w:right="0" w:firstLine="2640"/>
        <w:rPr>
          <w:rFonts w:hint="default" w:ascii="Times New Roman" w:hAnsi="Times New Roman" w:eastAsia="宋体" w:cs="Times New Roman"/>
        </w:rPr>
      </w:pPr>
      <w:r>
        <w:rPr>
          <w:rFonts w:hint="default" w:ascii="宋体" w:hAnsi="宋体" w:eastAsia="宋体" w:cs="宋体"/>
          <w:color w:val="000000"/>
          <w:sz w:val="24"/>
        </w:rPr>
        <w:t> </w:t>
      </w:r>
    </w:p>
    <w:p w14:paraId="290FEFD9">
      <w:pPr>
        <w:pBdr>
          <w:top w:val="none" w:color="000000" w:sz="0" w:space="0"/>
          <w:left w:val="none" w:color="000000" w:sz="0" w:space="0"/>
          <w:bottom w:val="none" w:color="000000" w:sz="0" w:space="0"/>
          <w:right w:val="none" w:color="000000" w:sz="0" w:space="0"/>
        </w:pBdr>
        <w:spacing w:before="100" w:after="100"/>
        <w:ind w:left="239" w:right="0" w:firstLine="2640"/>
        <w:rPr>
          <w:rFonts w:hint="default" w:ascii="Times New Roman" w:hAnsi="Times New Roman" w:eastAsia="宋体" w:cs="Times New Roman"/>
        </w:rPr>
      </w:pPr>
      <w:r>
        <w:rPr>
          <w:rFonts w:hint="default" w:ascii="宋体" w:hAnsi="宋体" w:eastAsia="宋体" w:cs="宋体"/>
          <w:color w:val="000000"/>
          <w:sz w:val="24"/>
        </w:rPr>
        <w:t> </w:t>
      </w:r>
    </w:p>
    <w:p w14:paraId="3AE3380B">
      <w:pPr>
        <w:pBdr>
          <w:top w:val="none" w:color="000000" w:sz="0" w:space="0"/>
          <w:left w:val="none" w:color="000000" w:sz="0" w:space="0"/>
          <w:bottom w:val="none" w:color="000000" w:sz="0" w:space="0"/>
          <w:right w:val="none" w:color="000000" w:sz="0" w:space="0"/>
        </w:pBdr>
        <w:spacing w:before="100" w:after="100"/>
        <w:ind w:left="239" w:right="0" w:firstLine="2640"/>
        <w:rPr>
          <w:rFonts w:hint="default" w:ascii="Times New Roman" w:hAnsi="Times New Roman" w:eastAsia="宋体" w:cs="Times New Roman"/>
        </w:rPr>
      </w:pPr>
      <w:r>
        <w:rPr>
          <w:rFonts w:hint="default" w:ascii="宋体" w:hAnsi="宋体" w:eastAsia="宋体" w:cs="宋体"/>
          <w:color w:val="000000"/>
          <w:sz w:val="24"/>
        </w:rPr>
        <w:t> </w:t>
      </w:r>
    </w:p>
    <w:p w14:paraId="177B0697">
      <w:pPr>
        <w:pBdr>
          <w:top w:val="none" w:color="000000" w:sz="0" w:space="0"/>
          <w:left w:val="none" w:color="000000" w:sz="0" w:space="0"/>
          <w:bottom w:val="none" w:color="000000" w:sz="0" w:space="0"/>
          <w:right w:val="none" w:color="000000" w:sz="0" w:space="0"/>
        </w:pBdr>
        <w:spacing w:before="100" w:after="100"/>
        <w:ind w:left="239" w:right="0" w:firstLine="2640"/>
        <w:rPr>
          <w:rFonts w:hint="default" w:ascii="Times New Roman" w:hAnsi="Times New Roman" w:eastAsia="宋体" w:cs="Times New Roman"/>
        </w:rPr>
      </w:pPr>
      <w:r>
        <w:rPr>
          <w:rFonts w:hint="default" w:ascii="宋体" w:hAnsi="宋体" w:eastAsia="宋体" w:cs="宋体"/>
          <w:color w:val="000000"/>
          <w:sz w:val="24"/>
        </w:rPr>
        <w:t> </w:t>
      </w:r>
    </w:p>
    <w:p w14:paraId="421E4A34">
      <w:pPr>
        <w:pBdr>
          <w:top w:val="none" w:color="000000" w:sz="0" w:space="0"/>
          <w:left w:val="none" w:color="000000" w:sz="0" w:space="0"/>
          <w:bottom w:val="none" w:color="000000" w:sz="0" w:space="0"/>
          <w:right w:val="none" w:color="000000" w:sz="0" w:space="0"/>
        </w:pBdr>
        <w:spacing w:before="100" w:after="100"/>
        <w:ind w:left="239" w:right="0" w:firstLine="2640"/>
        <w:rPr>
          <w:rFonts w:hint="default" w:ascii="Times New Roman" w:hAnsi="Times New Roman" w:eastAsia="宋体" w:cs="Times New Roman"/>
        </w:rPr>
      </w:pPr>
      <w:r>
        <w:rPr>
          <w:rFonts w:hint="default" w:ascii="宋体" w:hAnsi="宋体" w:eastAsia="宋体" w:cs="宋体"/>
          <w:color w:val="000000"/>
          <w:sz w:val="24"/>
        </w:rPr>
        <w:t> </w:t>
      </w:r>
    </w:p>
    <w:p w14:paraId="14E83705">
      <w:pPr>
        <w:pBdr>
          <w:top w:val="none" w:color="000000" w:sz="0" w:space="0"/>
          <w:left w:val="none" w:color="000000" w:sz="0" w:space="0"/>
          <w:bottom w:val="none" w:color="000000" w:sz="0" w:space="0"/>
          <w:right w:val="none" w:color="000000" w:sz="0" w:space="0"/>
        </w:pBdr>
        <w:spacing w:before="100" w:after="100"/>
        <w:ind w:left="239" w:right="0" w:firstLine="2640"/>
        <w:rPr>
          <w:rFonts w:hint="default" w:ascii="Times New Roman" w:hAnsi="Times New Roman" w:eastAsia="宋体" w:cs="Times New Roman"/>
        </w:rPr>
      </w:pPr>
      <w:r>
        <w:rPr>
          <w:rFonts w:hint="default" w:ascii="宋体" w:hAnsi="宋体" w:eastAsia="宋体" w:cs="宋体"/>
          <w:color w:val="000000"/>
          <w:sz w:val="24"/>
        </w:rPr>
        <w:t> </w:t>
      </w:r>
    </w:p>
    <w:p w14:paraId="767B922A">
      <w:pPr>
        <w:pBdr>
          <w:top w:val="none" w:color="000000" w:sz="0" w:space="0"/>
          <w:left w:val="none" w:color="000000" w:sz="0" w:space="0"/>
          <w:bottom w:val="none" w:color="000000" w:sz="0" w:space="0"/>
          <w:right w:val="none" w:color="000000" w:sz="0" w:space="0"/>
        </w:pBdr>
        <w:spacing w:before="100" w:after="100"/>
        <w:ind w:left="239" w:right="0" w:firstLine="2640"/>
        <w:rPr>
          <w:rFonts w:hint="default" w:ascii="Times New Roman" w:hAnsi="Times New Roman" w:eastAsia="宋体" w:cs="Times New Roman"/>
        </w:rPr>
      </w:pPr>
      <w:r>
        <w:rPr>
          <w:rFonts w:hint="default" w:ascii="宋体" w:hAnsi="宋体" w:eastAsia="宋体" w:cs="宋体"/>
          <w:color w:val="000000"/>
          <w:sz w:val="24"/>
        </w:rPr>
        <w:t> </w:t>
      </w:r>
    </w:p>
    <w:p w14:paraId="60125BE7">
      <w:pPr>
        <w:pBdr>
          <w:top w:val="none" w:color="000000" w:sz="0" w:space="0"/>
          <w:left w:val="none" w:color="000000" w:sz="0" w:space="0"/>
          <w:bottom w:val="none" w:color="000000" w:sz="0" w:space="0"/>
          <w:right w:val="none" w:color="000000" w:sz="0" w:space="0"/>
        </w:pBdr>
        <w:spacing w:before="100" w:after="100"/>
        <w:ind w:left="239" w:right="0" w:firstLine="2640"/>
        <w:rPr>
          <w:rFonts w:hint="default" w:ascii="Times New Roman" w:hAnsi="Times New Roman" w:eastAsia="宋体" w:cs="Times New Roman"/>
        </w:rPr>
      </w:pPr>
      <w:r>
        <w:rPr>
          <w:rFonts w:hint="default" w:ascii="宋体" w:hAnsi="宋体" w:eastAsia="宋体" w:cs="宋体"/>
          <w:color w:val="000000"/>
          <w:sz w:val="24"/>
        </w:rPr>
        <w:t> </w:t>
      </w:r>
    </w:p>
    <w:p w14:paraId="7DA89B5D">
      <w:pPr>
        <w:pBdr>
          <w:top w:val="none" w:color="000000" w:sz="0" w:space="0"/>
          <w:left w:val="none" w:color="000000" w:sz="0" w:space="0"/>
          <w:bottom w:val="none" w:color="000000" w:sz="0" w:space="0"/>
          <w:right w:val="none" w:color="000000" w:sz="0" w:space="0"/>
        </w:pBdr>
        <w:spacing w:before="0" w:after="0"/>
        <w:ind w:left="0" w:right="0" w:firstLine="0"/>
        <w:rPr>
          <w:rFonts w:hint="default" w:ascii="Times New Roman" w:hAnsi="Times New Roman" w:eastAsia="宋体" w:cs="Times New Roman"/>
        </w:rPr>
      </w:pPr>
      <w:r>
        <w:rPr>
          <w:rFonts w:hint="default" w:ascii="Times New Roman" w:hAnsi="Times New Roman" w:eastAsia="宋体" w:cs="Times New Roman"/>
        </w:rPr>
        <w:br w:type="page" w:clear="all"/>
      </w:r>
    </w:p>
    <w:p w14:paraId="3AB56385">
      <w:pPr>
        <w:pBdr>
          <w:top w:val="none" w:color="000000" w:sz="0" w:space="0"/>
          <w:left w:val="none" w:color="000000" w:sz="0" w:space="0"/>
          <w:bottom w:val="none" w:color="000000" w:sz="0" w:space="0"/>
          <w:right w:val="none" w:color="000000" w:sz="0" w:space="0"/>
        </w:pBdr>
        <w:spacing w:before="0" w:after="0" w:line="587" w:lineRule="atLeast"/>
        <w:ind w:left="0" w:right="0" w:firstLine="0"/>
        <w:jc w:val="center"/>
        <w:rPr>
          <w:rFonts w:hint="default" w:ascii="Times New Roman" w:hAnsi="Times New Roman" w:eastAsia="宋体" w:cs="Times New Roman"/>
        </w:rPr>
      </w:pPr>
      <w:r>
        <w:rPr>
          <w:rFonts w:hint="default" w:ascii="宋体" w:hAnsi="宋体" w:eastAsia="宋体" w:cs="宋体"/>
          <w:b/>
          <w:color w:val="000000"/>
          <w:sz w:val="36"/>
          <w:u w:val="none"/>
        </w:rPr>
        <w:t>11、残疾人福利性单位声明函</w:t>
      </w:r>
    </w:p>
    <w:p w14:paraId="3880E4AD">
      <w:pPr>
        <w:pBdr>
          <w:top w:val="none" w:color="000000" w:sz="0" w:space="0"/>
          <w:left w:val="none" w:color="000000" w:sz="0" w:space="0"/>
          <w:bottom w:val="none" w:color="000000" w:sz="0" w:space="0"/>
          <w:right w:val="none" w:color="000000" w:sz="0" w:space="0"/>
        </w:pBdr>
        <w:spacing w:before="240" w:after="240"/>
        <w:ind w:left="0" w:right="0" w:firstLine="0"/>
        <w:jc w:val="center"/>
        <w:rPr>
          <w:rFonts w:hint="default" w:ascii="Times New Roman" w:hAnsi="Times New Roman" w:eastAsia="宋体" w:cs="Times New Roman"/>
        </w:rPr>
      </w:pPr>
      <w:r>
        <w:rPr>
          <w:rFonts w:hint="default" w:ascii="宋体" w:hAnsi="宋体" w:eastAsia="宋体" w:cs="宋体"/>
          <w:b/>
          <w:color w:val="000000"/>
          <w:sz w:val="24"/>
        </w:rPr>
        <w:t>（注：如供应商不属于残疾人福利性单位，不需提供此声明函）</w:t>
      </w:r>
    </w:p>
    <w:p w14:paraId="57291EBF">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hint="eastAsia" w:ascii="Times New Roman" w:hAnsi="Times New Roman" w:eastAsia="宋体" w:cs="Times New Roman"/>
          <w:lang w:eastAsia="zh-CN"/>
        </w:rPr>
      </w:pPr>
      <w:r>
        <w:rPr>
          <w:rFonts w:hint="default" w:ascii="宋体" w:hAnsi="宋体" w:eastAsia="宋体" w:cs="宋体"/>
          <w:color w:val="000000"/>
          <w:sz w:val="24"/>
        </w:rPr>
        <w:t xml:space="preserve">项目编号： </w:t>
      </w:r>
      <w:r>
        <w:rPr>
          <w:rFonts w:hint="eastAsia" w:ascii="宋体" w:hAnsi="宋体" w:eastAsia="宋体" w:cs="宋体"/>
          <w:color w:val="000000"/>
          <w:sz w:val="24"/>
          <w:lang w:eastAsia="zh-CN"/>
        </w:rPr>
        <w:t>JSZC-320312-JSZH-C2026-0076</w:t>
      </w:r>
    </w:p>
    <w:p w14:paraId="05E3237F">
      <w:pPr>
        <w:pBdr>
          <w:top w:val="none" w:color="000000" w:sz="0" w:space="0"/>
          <w:left w:val="none" w:color="000000" w:sz="0" w:space="0"/>
          <w:bottom w:val="none" w:color="000000" w:sz="0" w:space="0"/>
          <w:right w:val="none" w:color="000000" w:sz="0" w:space="0"/>
        </w:pBdr>
        <w:spacing w:before="0" w:after="0" w:line="519" w:lineRule="atLeast"/>
        <w:ind w:left="0" w:right="0" w:firstLine="504"/>
        <w:jc w:val="both"/>
        <w:rPr>
          <w:rFonts w:hint="default" w:ascii="Times New Roman" w:hAnsi="Times New Roman" w:eastAsia="宋体" w:cs="Times New Roman"/>
        </w:rPr>
      </w:pPr>
      <w:r>
        <w:rPr>
          <w:rFonts w:hint="default" w:ascii="宋体" w:hAnsi="宋体" w:eastAsia="宋体" w:cs="宋体"/>
          <w:color w:val="000000"/>
          <w:spacing w:val="6"/>
          <w:sz w:val="24"/>
        </w:rPr>
        <w:t> </w:t>
      </w:r>
    </w:p>
    <w:p w14:paraId="782541BC">
      <w:pPr>
        <w:pBdr>
          <w:top w:val="none" w:color="000000" w:sz="0" w:space="0"/>
          <w:left w:val="none" w:color="000000" w:sz="0" w:space="0"/>
          <w:bottom w:val="none" w:color="000000" w:sz="0" w:space="0"/>
          <w:right w:val="none" w:color="000000" w:sz="0" w:space="0"/>
        </w:pBdr>
        <w:spacing w:before="0" w:after="0" w:line="519" w:lineRule="atLeast"/>
        <w:ind w:left="0" w:right="0" w:firstLine="504"/>
        <w:jc w:val="both"/>
        <w:rPr>
          <w:rFonts w:hint="default" w:ascii="Times New Roman" w:hAnsi="Times New Roman" w:eastAsia="宋体" w:cs="Times New Roman"/>
        </w:rPr>
      </w:pPr>
      <w:r>
        <w:rPr>
          <w:rFonts w:hint="default" w:ascii="宋体" w:hAnsi="宋体" w:eastAsia="宋体" w:cs="宋体"/>
          <w:color w:val="000000"/>
          <w:spacing w:val="6"/>
          <w:sz w:val="24"/>
        </w:rPr>
        <w:t>本单位郑重声明，根据《财政部 民政部 中国残疾人联合会关于促进残疾人就业政府采购政策的通知》（财库</w:t>
      </w:r>
      <w:r>
        <w:rPr>
          <w:rFonts w:hint="default" w:ascii="宋体" w:hAnsi="宋体" w:eastAsia="宋体" w:cs="宋体"/>
          <w:color w:val="000000"/>
          <w:sz w:val="24"/>
        </w:rPr>
        <w:t>〔2017〕141</w:t>
      </w:r>
      <w:r>
        <w:rPr>
          <w:rFonts w:hint="default" w:ascii="宋体" w:hAnsi="宋体" w:eastAsia="宋体" w:cs="宋体"/>
          <w:color w:val="000000"/>
          <w:spacing w:val="6"/>
          <w:sz w:val="24"/>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42638B62">
      <w:pPr>
        <w:pBdr>
          <w:top w:val="none" w:color="000000" w:sz="0" w:space="0"/>
          <w:left w:val="none" w:color="000000" w:sz="0" w:space="0"/>
          <w:bottom w:val="none" w:color="000000" w:sz="0" w:space="0"/>
          <w:right w:val="none" w:color="000000" w:sz="0" w:space="0"/>
        </w:pBdr>
        <w:spacing w:before="0" w:after="0" w:line="519" w:lineRule="atLeast"/>
        <w:ind w:left="0" w:right="0" w:firstLine="504"/>
        <w:jc w:val="both"/>
        <w:rPr>
          <w:rFonts w:hint="default" w:ascii="Times New Roman" w:hAnsi="Times New Roman" w:eastAsia="宋体" w:cs="Times New Roman"/>
        </w:rPr>
      </w:pPr>
      <w:r>
        <w:rPr>
          <w:rFonts w:hint="default" w:ascii="宋体" w:hAnsi="宋体" w:eastAsia="宋体" w:cs="宋体"/>
          <w:color w:val="000000"/>
          <w:spacing w:val="6"/>
          <w:sz w:val="24"/>
        </w:rPr>
        <w:t>本单位对上述声明的真实性负责。如有虚假，将依法承担相应责任。</w:t>
      </w:r>
    </w:p>
    <w:p w14:paraId="0C50C306">
      <w:pPr>
        <w:pBdr>
          <w:top w:val="none" w:color="000000" w:sz="0" w:space="0"/>
          <w:left w:val="none" w:color="000000" w:sz="0" w:space="0"/>
          <w:bottom w:val="none" w:color="000000" w:sz="0" w:space="0"/>
          <w:right w:val="none" w:color="000000" w:sz="0" w:space="0"/>
        </w:pBdr>
        <w:spacing w:before="0" w:after="0" w:line="519" w:lineRule="atLeast"/>
        <w:ind w:left="0" w:right="0" w:firstLine="504"/>
        <w:jc w:val="both"/>
        <w:rPr>
          <w:rFonts w:hint="default" w:ascii="Times New Roman" w:hAnsi="Times New Roman" w:eastAsia="宋体" w:cs="Times New Roman"/>
        </w:rPr>
      </w:pPr>
      <w:r>
        <w:rPr>
          <w:rFonts w:hint="default" w:ascii="宋体" w:hAnsi="宋体" w:eastAsia="宋体" w:cs="宋体"/>
          <w:color w:val="000000"/>
          <w:spacing w:val="6"/>
          <w:sz w:val="24"/>
        </w:rPr>
        <w:t> </w:t>
      </w:r>
    </w:p>
    <w:p w14:paraId="28DF29A7">
      <w:pPr>
        <w:pBdr>
          <w:top w:val="none" w:color="000000" w:sz="0" w:space="0"/>
          <w:left w:val="none" w:color="000000" w:sz="0" w:space="0"/>
          <w:bottom w:val="none" w:color="000000" w:sz="0" w:space="0"/>
          <w:right w:val="none" w:color="000000" w:sz="0" w:space="0"/>
        </w:pBdr>
        <w:spacing w:before="0" w:after="0" w:line="519" w:lineRule="atLeast"/>
        <w:ind w:left="0" w:right="0" w:firstLine="504"/>
        <w:jc w:val="both"/>
        <w:rPr>
          <w:rFonts w:hint="default" w:ascii="Times New Roman" w:hAnsi="Times New Roman" w:eastAsia="宋体" w:cs="Times New Roman"/>
        </w:rPr>
      </w:pPr>
      <w:r>
        <w:rPr>
          <w:rFonts w:hint="default" w:ascii="宋体" w:hAnsi="宋体" w:eastAsia="宋体" w:cs="宋体"/>
          <w:color w:val="000000"/>
          <w:spacing w:val="6"/>
          <w:sz w:val="24"/>
        </w:rPr>
        <w:t> </w:t>
      </w:r>
    </w:p>
    <w:p w14:paraId="2191CA74">
      <w:pPr>
        <w:pBdr>
          <w:top w:val="none" w:color="000000" w:sz="0" w:space="0"/>
          <w:left w:val="none" w:color="000000" w:sz="0" w:space="0"/>
          <w:bottom w:val="none" w:color="000000" w:sz="0" w:space="0"/>
          <w:right w:val="none" w:color="000000" w:sz="0" w:space="0"/>
        </w:pBdr>
        <w:spacing w:before="0" w:after="0" w:line="519" w:lineRule="atLeast"/>
        <w:ind w:left="0" w:right="1560" w:firstLine="504"/>
        <w:jc w:val="center"/>
        <w:rPr>
          <w:rFonts w:hint="default" w:ascii="Times New Roman" w:hAnsi="Times New Roman" w:eastAsia="宋体" w:cs="Times New Roman"/>
        </w:rPr>
      </w:pPr>
      <w:r>
        <w:rPr>
          <w:rFonts w:hint="default" w:ascii="宋体" w:hAnsi="宋体" w:eastAsia="宋体" w:cs="宋体"/>
          <w:color w:val="000000"/>
          <w:spacing w:val="6"/>
          <w:sz w:val="24"/>
        </w:rPr>
        <w:t>               </w:t>
      </w:r>
      <w:r>
        <w:rPr>
          <w:rFonts w:hint="eastAsia" w:ascii="宋体" w:hAnsi="宋体" w:eastAsia="宋体" w:cs="宋体"/>
          <w:color w:val="000000"/>
          <w:spacing w:val="6"/>
          <w:sz w:val="24"/>
          <w:lang w:val="en-US" w:eastAsia="zh-CN"/>
        </w:rPr>
        <w:t>供应商</w:t>
      </w:r>
      <w:r>
        <w:rPr>
          <w:rFonts w:hint="default" w:ascii="宋体" w:hAnsi="宋体" w:eastAsia="宋体" w:cs="宋体"/>
          <w:color w:val="000000"/>
          <w:spacing w:val="6"/>
          <w:sz w:val="24"/>
        </w:rPr>
        <w:t>（电子签章）：</w:t>
      </w:r>
    </w:p>
    <w:p w14:paraId="660C88F1">
      <w:pPr>
        <w:pBdr>
          <w:top w:val="none" w:color="000000" w:sz="0" w:space="0"/>
          <w:left w:val="none" w:color="000000" w:sz="0" w:space="0"/>
          <w:bottom w:val="none" w:color="000000" w:sz="0" w:space="0"/>
          <w:right w:val="none" w:color="000000" w:sz="0" w:space="0"/>
        </w:pBdr>
        <w:spacing w:before="0" w:after="0" w:line="519" w:lineRule="atLeast"/>
        <w:ind w:left="0" w:right="1560" w:firstLine="504"/>
        <w:jc w:val="center"/>
        <w:rPr>
          <w:rFonts w:hint="default" w:ascii="Times New Roman" w:hAnsi="Times New Roman" w:eastAsia="宋体" w:cs="Times New Roman"/>
        </w:rPr>
      </w:pPr>
      <w:r>
        <w:rPr>
          <w:rFonts w:hint="default" w:ascii="宋体" w:hAnsi="宋体" w:eastAsia="宋体" w:cs="宋体"/>
          <w:color w:val="000000"/>
          <w:spacing w:val="6"/>
          <w:sz w:val="24"/>
        </w:rPr>
        <w:t>       </w:t>
      </w:r>
      <w:r>
        <w:rPr>
          <w:rFonts w:hint="eastAsia" w:ascii="宋体" w:hAnsi="宋体" w:eastAsia="宋体" w:cs="宋体"/>
          <w:color w:val="000000"/>
          <w:spacing w:val="6"/>
          <w:sz w:val="24"/>
          <w:lang w:val="en-US" w:eastAsia="zh-CN"/>
        </w:rPr>
        <w:t xml:space="preserve">    </w:t>
      </w:r>
      <w:r>
        <w:rPr>
          <w:rFonts w:hint="default" w:ascii="宋体" w:hAnsi="宋体" w:eastAsia="宋体" w:cs="宋体"/>
          <w:color w:val="000000"/>
          <w:spacing w:val="6"/>
          <w:sz w:val="24"/>
        </w:rPr>
        <w:t>日期：</w:t>
      </w:r>
    </w:p>
    <w:p w14:paraId="46C35C54">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5D253385">
      <w:pPr>
        <w:pBdr>
          <w:top w:val="none" w:color="000000" w:sz="0" w:space="0"/>
          <w:left w:val="none" w:color="000000" w:sz="0" w:space="0"/>
          <w:bottom w:val="none" w:color="000000" w:sz="0" w:space="0"/>
          <w:right w:val="none" w:color="000000" w:sz="0" w:space="0"/>
        </w:pBdr>
        <w:spacing w:before="0" w:after="0" w:line="519" w:lineRule="atLeast"/>
        <w:ind w:left="0" w:right="0" w:firstLine="0"/>
        <w:rPr>
          <w:rFonts w:hint="default" w:ascii="Times New Roman" w:hAnsi="Times New Roman" w:eastAsia="宋体" w:cs="Times New Roman"/>
        </w:rPr>
      </w:pPr>
      <w:r>
        <w:rPr>
          <w:rFonts w:hint="default" w:ascii="宋体" w:hAnsi="宋体" w:eastAsia="宋体" w:cs="宋体"/>
          <w:color w:val="000000"/>
          <w:sz w:val="24"/>
        </w:rPr>
        <w:t>说明：</w:t>
      </w:r>
    </w:p>
    <w:p w14:paraId="531D74F4">
      <w:pPr>
        <w:pBdr>
          <w:top w:val="none" w:color="000000" w:sz="0" w:space="0"/>
          <w:left w:val="none" w:color="000000" w:sz="0" w:space="0"/>
          <w:bottom w:val="none" w:color="000000" w:sz="0" w:space="0"/>
          <w:right w:val="none" w:color="000000" w:sz="0" w:space="0"/>
        </w:pBdr>
        <w:spacing w:before="0" w:after="0" w:line="519"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中标、成交供应商为残疾人福利性单位的，采购人或者其委托的采购代理机构应当随中标、成交结果同时公告其《残疾人福利性单位声明函》，接受社会监督。</w:t>
      </w:r>
    </w:p>
    <w:p w14:paraId="4C320BDF">
      <w:pPr>
        <w:pBdr>
          <w:top w:val="none" w:color="000000" w:sz="0" w:space="0"/>
          <w:left w:val="none" w:color="000000" w:sz="0" w:space="0"/>
          <w:bottom w:val="none" w:color="000000" w:sz="0" w:space="0"/>
          <w:right w:val="none" w:color="000000" w:sz="0" w:space="0"/>
        </w:pBdr>
        <w:spacing w:before="0" w:after="0" w:line="519" w:lineRule="atLeast"/>
        <w:ind w:left="0" w:right="0" w:firstLine="480"/>
        <w:rPr>
          <w:rFonts w:hint="default" w:ascii="Times New Roman" w:hAnsi="Times New Roman" w:eastAsia="宋体" w:cs="Times New Roman"/>
        </w:rPr>
      </w:pPr>
      <w:r>
        <w:rPr>
          <w:rFonts w:hint="default" w:ascii="宋体" w:hAnsi="宋体" w:eastAsia="宋体" w:cs="宋体"/>
          <w:color w:val="000000"/>
          <w:sz w:val="24"/>
        </w:rPr>
        <w:t>供应商提供的《残疾人福利性单位声明函》与事实不符的，依照《政府采购法》第七十七条第一款的规定追究法律责任。</w:t>
      </w:r>
    </w:p>
    <w:p w14:paraId="355ED9F1">
      <w:pPr>
        <w:pBdr>
          <w:top w:val="none" w:color="000000" w:sz="0" w:space="0"/>
          <w:left w:val="none" w:color="000000" w:sz="0" w:space="0"/>
          <w:bottom w:val="none" w:color="000000" w:sz="0" w:space="0"/>
          <w:right w:val="none" w:color="000000" w:sz="0" w:space="0"/>
        </w:pBdr>
        <w:spacing w:before="0" w:after="0"/>
        <w:ind w:left="0" w:right="0" w:firstLine="600"/>
        <w:rPr>
          <w:rFonts w:hint="default" w:ascii="Times New Roman" w:hAnsi="Times New Roman" w:eastAsia="宋体" w:cs="Times New Roman"/>
        </w:rPr>
      </w:pPr>
      <w:r>
        <w:rPr>
          <w:rFonts w:hint="default" w:ascii="宋体" w:hAnsi="宋体" w:eastAsia="宋体" w:cs="宋体"/>
          <w:color w:val="000000"/>
          <w:sz w:val="30"/>
        </w:rPr>
        <w:t> </w:t>
      </w:r>
    </w:p>
    <w:p w14:paraId="0E1076D3">
      <w:pPr>
        <w:pBdr>
          <w:top w:val="none" w:color="000000" w:sz="0" w:space="0"/>
          <w:left w:val="none" w:color="000000" w:sz="0" w:space="0"/>
          <w:bottom w:val="none" w:color="000000" w:sz="0" w:space="0"/>
          <w:right w:val="none" w:color="000000" w:sz="0" w:space="0"/>
        </w:pBdr>
        <w:spacing w:before="0" w:after="0" w:line="587" w:lineRule="atLeast"/>
        <w:ind w:left="0" w:right="0" w:firstLine="0"/>
        <w:jc w:val="center"/>
        <w:rPr>
          <w:rFonts w:hint="default" w:ascii="Times New Roman" w:hAnsi="Times New Roman" w:eastAsia="宋体" w:cs="Times New Roman"/>
        </w:rPr>
      </w:pPr>
      <w:r>
        <w:rPr>
          <w:rFonts w:hint="default" w:ascii="Times New Roman" w:hAnsi="Times New Roman" w:eastAsia="宋体" w:cs="Times New Roman"/>
        </w:rPr>
        <w:br w:type="page" w:clear="all"/>
      </w:r>
    </w:p>
    <w:p w14:paraId="20A70DAD">
      <w:pPr>
        <w:pBdr>
          <w:top w:val="none" w:color="000000" w:sz="0" w:space="0"/>
          <w:left w:val="none" w:color="000000" w:sz="0" w:space="0"/>
          <w:bottom w:val="none" w:color="000000" w:sz="0" w:space="0"/>
          <w:right w:val="none" w:color="000000" w:sz="0" w:space="0"/>
        </w:pBdr>
        <w:spacing w:before="0" w:after="0" w:line="587" w:lineRule="atLeast"/>
        <w:ind w:left="0" w:right="0" w:firstLine="0"/>
        <w:jc w:val="center"/>
        <w:rPr>
          <w:rFonts w:hint="default" w:ascii="Times New Roman" w:hAnsi="Times New Roman" w:eastAsia="宋体" w:cs="Times New Roman"/>
        </w:rPr>
      </w:pPr>
      <w:r>
        <w:rPr>
          <w:rFonts w:hint="default" w:ascii="宋体" w:hAnsi="宋体" w:eastAsia="宋体" w:cs="宋体"/>
          <w:b/>
          <w:color w:val="000000"/>
          <w:sz w:val="36"/>
        </w:rPr>
        <w:t>12、具备履行合同所必需的设备和专业技术能力的书面声明（附证明材料）格式</w:t>
      </w:r>
    </w:p>
    <w:p w14:paraId="16B40FC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highlight w:val="white"/>
        </w:rPr>
        <w:t> </w:t>
      </w:r>
    </w:p>
    <w:p w14:paraId="6106AE2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highlight w:val="white"/>
        </w:rPr>
        <w:t>项目编号：</w:t>
      </w:r>
    </w:p>
    <w:p w14:paraId="7774D48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highlight w:val="white"/>
        </w:rPr>
        <w:t>项目名称：</w:t>
      </w:r>
    </w:p>
    <w:p w14:paraId="7BE9C8C1">
      <w:pPr>
        <w:pBdr>
          <w:top w:val="none" w:color="000000" w:sz="0" w:space="0"/>
          <w:left w:val="none" w:color="000000" w:sz="0" w:space="0"/>
          <w:bottom w:val="none" w:color="000000" w:sz="0" w:space="0"/>
          <w:right w:val="none" w:color="000000" w:sz="0" w:space="0"/>
        </w:pBdr>
        <w:spacing w:before="0" w:after="0" w:line="460" w:lineRule="atLeast"/>
        <w:ind w:left="0" w:right="0" w:firstLine="560"/>
        <w:jc w:val="both"/>
        <w:rPr>
          <w:rFonts w:hint="default" w:ascii="Times New Roman" w:hAnsi="Times New Roman" w:eastAsia="宋体" w:cs="Times New Roman"/>
        </w:rPr>
      </w:pPr>
      <w:r>
        <w:rPr>
          <w:rFonts w:hint="default" w:ascii="宋体" w:hAnsi="宋体" w:eastAsia="宋体" w:cs="宋体"/>
          <w:color w:val="000000"/>
          <w:sz w:val="24"/>
        </w:rPr>
        <w:t>供应商郑重声明：投标人具备履行合同（项目名称：</w:t>
      </w:r>
      <w:r>
        <w:rPr>
          <w:rFonts w:hint="eastAsia" w:ascii="宋体" w:hAnsi="宋体" w:eastAsia="宋体" w:cs="宋体"/>
          <w:color w:val="000000"/>
          <w:sz w:val="24"/>
          <w:lang w:eastAsia="zh-CN"/>
        </w:rPr>
        <w:t>铜山区成品油税控联网监管系统项目</w:t>
      </w:r>
      <w:r>
        <w:rPr>
          <w:rFonts w:hint="default" w:ascii="宋体" w:hAnsi="宋体" w:eastAsia="宋体" w:cs="宋体"/>
          <w:color w:val="000000"/>
          <w:sz w:val="24"/>
        </w:rPr>
        <w:t>，项目编号：</w:t>
      </w:r>
      <w:r>
        <w:rPr>
          <w:rFonts w:hint="eastAsia" w:ascii="宋体" w:hAnsi="宋体" w:eastAsia="宋体" w:cs="宋体"/>
          <w:color w:val="000000"/>
          <w:sz w:val="24"/>
          <w:lang w:eastAsia="zh-CN"/>
        </w:rPr>
        <w:t>JSZC-320312-JSZH-C2026-0076）</w:t>
      </w:r>
      <w:r>
        <w:rPr>
          <w:rFonts w:hint="default" w:ascii="宋体" w:hAnsi="宋体" w:eastAsia="宋体" w:cs="宋体"/>
          <w:color w:val="000000"/>
          <w:sz w:val="24"/>
        </w:rPr>
        <w:t>所必需的设备和专业技术能力， 具体为：</w:t>
      </w:r>
    </w:p>
    <w:p w14:paraId="47171D22">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设备：</w:t>
      </w:r>
    </w:p>
    <w:p w14:paraId="2AE5ECA2">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1、（证明材料扫描件附后）</w:t>
      </w:r>
    </w:p>
    <w:p w14:paraId="3E6A19DD">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2、（证明材料扫描件附后）</w:t>
      </w:r>
    </w:p>
    <w:p w14:paraId="1414A88E">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3、（证明材料扫描件附后）</w:t>
      </w:r>
    </w:p>
    <w:p w14:paraId="4231AE2A">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w:t>
      </w:r>
    </w:p>
    <w:p w14:paraId="67C7DFC0">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专业技术能力：</w:t>
      </w:r>
    </w:p>
    <w:p w14:paraId="254734C5">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1、（证明材料扫描件附后）</w:t>
      </w:r>
    </w:p>
    <w:p w14:paraId="1275EC0F">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2、（证明材料扫描件附后）</w:t>
      </w:r>
    </w:p>
    <w:p w14:paraId="27C5161D">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3、（证明材料扫描件附后）</w:t>
      </w:r>
    </w:p>
    <w:p w14:paraId="056CCBB5">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特此声明。</w:t>
      </w:r>
    </w:p>
    <w:p w14:paraId="35EC6856">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供应商对上述声明的真实性负责。如有虚假，将依法承担相应责任。</w:t>
      </w:r>
    </w:p>
    <w:p w14:paraId="23C1970B">
      <w:pPr>
        <w:pBdr>
          <w:top w:val="none" w:color="000000" w:sz="0" w:space="0"/>
          <w:left w:val="none" w:color="000000" w:sz="0" w:space="0"/>
          <w:bottom w:val="none" w:color="000000" w:sz="0" w:space="0"/>
          <w:right w:val="none" w:color="000000" w:sz="0" w:space="0"/>
        </w:pBdr>
        <w:spacing w:before="0" w:after="0" w:line="460" w:lineRule="atLeast"/>
        <w:ind w:left="0" w:right="29" w:firstLine="0"/>
        <w:jc w:val="right"/>
        <w:rPr>
          <w:rFonts w:hint="default" w:ascii="Times New Roman" w:hAnsi="Times New Roman" w:eastAsia="宋体" w:cs="Times New Roman"/>
        </w:rPr>
      </w:pPr>
      <w:r>
        <w:rPr>
          <w:rFonts w:hint="default" w:ascii="宋体" w:hAnsi="宋体" w:eastAsia="宋体" w:cs="宋体"/>
          <w:color w:val="000000"/>
          <w:sz w:val="24"/>
        </w:rPr>
        <w:t> </w:t>
      </w:r>
    </w:p>
    <w:p w14:paraId="7C051E62">
      <w:pPr>
        <w:pBdr>
          <w:top w:val="none" w:color="000000" w:sz="0" w:space="0"/>
          <w:left w:val="none" w:color="000000" w:sz="0" w:space="0"/>
          <w:bottom w:val="none" w:color="000000" w:sz="0" w:space="0"/>
          <w:right w:val="none" w:color="000000" w:sz="0" w:space="0"/>
        </w:pBdr>
        <w:spacing w:before="0" w:after="0" w:line="460" w:lineRule="atLeast"/>
        <w:ind w:left="0" w:right="29" w:firstLine="0"/>
        <w:jc w:val="center"/>
        <w:rPr>
          <w:rFonts w:hint="default" w:ascii="Times New Roman" w:hAnsi="Times New Roman" w:eastAsia="宋体" w:cs="Times New Roman"/>
        </w:rPr>
      </w:pPr>
      <w:r>
        <w:rPr>
          <w:rFonts w:hint="eastAsia" w:ascii="宋体" w:hAnsi="宋体" w:eastAsia="宋体" w:cs="宋体"/>
          <w:color w:val="000000"/>
          <w:sz w:val="24"/>
          <w:lang w:val="en-US" w:eastAsia="zh-CN"/>
        </w:rPr>
        <w:t>供应商</w:t>
      </w:r>
      <w:r>
        <w:rPr>
          <w:rFonts w:hint="default" w:ascii="宋体" w:hAnsi="宋体" w:eastAsia="宋体" w:cs="宋体"/>
          <w:color w:val="000000"/>
          <w:sz w:val="24"/>
        </w:rPr>
        <w:t>（电子签章）：</w:t>
      </w:r>
    </w:p>
    <w:p w14:paraId="0A34CED4">
      <w:pPr>
        <w:pBdr>
          <w:top w:val="none" w:color="000000" w:sz="0" w:space="0"/>
          <w:left w:val="none" w:color="000000" w:sz="0" w:space="0"/>
          <w:bottom w:val="none" w:color="000000" w:sz="0" w:space="0"/>
          <w:right w:val="none" w:color="000000" w:sz="0" w:space="0"/>
        </w:pBdr>
        <w:spacing w:before="0" w:after="0" w:line="460" w:lineRule="atLeast"/>
        <w:ind w:left="0" w:right="29" w:firstLine="0"/>
        <w:jc w:val="center"/>
        <w:rPr>
          <w:rFonts w:hint="default" w:ascii="Times New Roman" w:hAnsi="Times New Roman" w:eastAsia="宋体" w:cs="Times New Roman"/>
        </w:rPr>
      </w:pPr>
      <w:r>
        <w:rPr>
          <w:rFonts w:hint="default" w:ascii="宋体" w:hAnsi="宋体" w:eastAsia="宋体" w:cs="宋体"/>
          <w:color w:val="000000"/>
          <w:sz w:val="24"/>
        </w:rPr>
        <w:t>日期：</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年</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月</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日</w:t>
      </w:r>
    </w:p>
    <w:p w14:paraId="3E1A472F">
      <w:pPr>
        <w:pBdr>
          <w:top w:val="none" w:color="000000" w:sz="0" w:space="0"/>
          <w:left w:val="none" w:color="000000" w:sz="0" w:space="0"/>
          <w:bottom w:val="none" w:color="000000" w:sz="0" w:space="0"/>
          <w:right w:val="none" w:color="000000" w:sz="0" w:space="0"/>
        </w:pBdr>
        <w:spacing w:before="0" w:after="0" w:line="85" w:lineRule="atLeast"/>
        <w:ind w:left="0" w:right="0" w:firstLine="560"/>
        <w:jc w:val="both"/>
        <w:rPr>
          <w:rFonts w:hint="default" w:ascii="Times New Roman" w:hAnsi="Times New Roman" w:eastAsia="宋体" w:cs="Times New Roman"/>
        </w:rPr>
      </w:pPr>
      <w:r>
        <w:rPr>
          <w:rFonts w:hint="default" w:ascii="宋体" w:hAnsi="宋体" w:eastAsia="宋体" w:cs="宋体"/>
          <w:color w:val="000000"/>
          <w:sz w:val="24"/>
          <w:highlight w:val="white"/>
        </w:rPr>
        <w:t> </w:t>
      </w:r>
    </w:p>
    <w:p w14:paraId="1BE77F7C">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Times New Roman" w:hAnsi="Times New Roman" w:eastAsia="宋体" w:cs="Times New Roman"/>
        </w:rPr>
        <w:br w:type="page" w:clear="all"/>
      </w:r>
    </w:p>
    <w:p w14:paraId="1FC0B4BA">
      <w:pPr>
        <w:numPr>
          <w:ilvl w:val="0"/>
          <w:numId w:val="14"/>
        </w:num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宋体" w:hAnsi="宋体" w:eastAsia="宋体" w:cs="宋体"/>
          <w:b/>
          <w:color w:val="000000"/>
          <w:sz w:val="36"/>
        </w:rPr>
      </w:pPr>
      <w:r>
        <w:rPr>
          <w:rFonts w:hint="default" w:ascii="宋体" w:hAnsi="宋体" w:eastAsia="宋体" w:cs="宋体"/>
          <w:b/>
          <w:color w:val="000000"/>
          <w:sz w:val="36"/>
        </w:rPr>
        <w:t>项目人员配备表</w:t>
      </w:r>
    </w:p>
    <w:p w14:paraId="3534DE1E">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1200" w:right="0" w:hanging="1200"/>
        <w:jc w:val="both"/>
        <w:rPr>
          <w:rFonts w:hint="eastAsia" w:eastAsia="宋体"/>
          <w:lang w:eastAsia="zh-CN"/>
        </w:rPr>
      </w:pPr>
      <w:r>
        <w:rPr>
          <w:rFonts w:hint="eastAsia" w:ascii="宋体" w:hAnsi="宋体" w:eastAsia="宋体" w:cs="宋体"/>
          <w:color w:val="000000"/>
          <w:sz w:val="24"/>
          <w:szCs w:val="24"/>
        </w:rPr>
        <w:t>项目名称：</w:t>
      </w:r>
      <w:r>
        <w:rPr>
          <w:rFonts w:hint="eastAsia" w:ascii="宋体" w:hAnsi="宋体" w:eastAsia="宋体" w:cs="宋体"/>
          <w:color w:val="000000"/>
          <w:sz w:val="24"/>
          <w:szCs w:val="24"/>
          <w:lang w:val="en-US" w:eastAsia="zh-CN"/>
        </w:rPr>
        <w:t xml:space="preserve"> </w:t>
      </w:r>
    </w:p>
    <w:p w14:paraId="44487790">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1200" w:hanging="1200"/>
        <w:jc w:val="both"/>
        <w:rPr>
          <w:rFonts w:hint="eastAsia" w:eastAsia="宋体"/>
          <w:lang w:eastAsia="zh-CN"/>
        </w:rPr>
      </w:pPr>
      <w:r>
        <w:rPr>
          <w:rFonts w:hint="eastAsia" w:ascii="宋体" w:hAnsi="宋体" w:eastAsia="宋体" w:cs="宋体"/>
          <w:color w:val="000000"/>
          <w:sz w:val="24"/>
          <w:szCs w:val="24"/>
        </w:rPr>
        <w:t>项目编号：</w:t>
      </w:r>
      <w:r>
        <w:rPr>
          <w:rFonts w:hint="eastAsia" w:ascii="宋体" w:hAnsi="宋体" w:eastAsia="宋体" w:cs="宋体"/>
          <w:color w:val="000000"/>
          <w:sz w:val="24"/>
          <w:szCs w:val="24"/>
          <w:lang w:val="en-US" w:eastAsia="zh-CN"/>
        </w:rPr>
        <w:t xml:space="preserve"> </w:t>
      </w:r>
    </w:p>
    <w:p w14:paraId="5D8CF841">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color w:val="000000"/>
          <w:sz w:val="28"/>
          <w:szCs w:val="28"/>
        </w:rPr>
        <w:t>项目人员配备表</w:t>
      </w:r>
    </w:p>
    <w:tbl>
      <w:tblPr>
        <w:tblStyle w:val="2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855"/>
        <w:gridCol w:w="2577"/>
        <w:gridCol w:w="1715"/>
        <w:gridCol w:w="1716"/>
        <w:gridCol w:w="1717"/>
      </w:tblGrid>
      <w:tr w14:paraId="2FA74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34" w:hRule="atLeast"/>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BA7A67">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default" w:ascii="Times New Roman" w:hAnsi="Times New Roman" w:cs="Times New Roman"/>
                <w:color w:val="000000"/>
                <w:sz w:val="21"/>
                <w:szCs w:val="21"/>
              </w:rPr>
              <w:t>序号</w:t>
            </w:r>
          </w:p>
        </w:tc>
        <w:tc>
          <w:tcPr>
            <w:tcW w:w="25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724DF2">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default" w:ascii="Times New Roman" w:hAnsi="Times New Roman" w:cs="Times New Roman"/>
                <w:color w:val="000000"/>
                <w:sz w:val="21"/>
                <w:szCs w:val="21"/>
              </w:rPr>
              <w:t>人员类型</w:t>
            </w:r>
          </w:p>
        </w:tc>
        <w:tc>
          <w:tcPr>
            <w:tcW w:w="17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58FFC8">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default" w:ascii="Times New Roman" w:hAnsi="Times New Roman" w:cs="Times New Roman"/>
                <w:color w:val="000000"/>
                <w:sz w:val="21"/>
                <w:szCs w:val="21"/>
              </w:rPr>
              <w:t>姓名</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0BED3C">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default" w:ascii="Times New Roman" w:hAnsi="Times New Roman" w:cs="Times New Roman"/>
                <w:color w:val="000000"/>
                <w:sz w:val="21"/>
                <w:szCs w:val="21"/>
              </w:rPr>
              <w:t>职称</w:t>
            </w:r>
          </w:p>
        </w:tc>
        <w:tc>
          <w:tcPr>
            <w:tcW w:w="1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32DB10">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default" w:ascii="Times New Roman" w:hAnsi="Times New Roman" w:cs="Times New Roman"/>
                <w:color w:val="000000"/>
                <w:sz w:val="21"/>
                <w:szCs w:val="21"/>
              </w:rPr>
              <w:t>备注</w:t>
            </w:r>
          </w:p>
        </w:tc>
      </w:tr>
      <w:tr w14:paraId="73D10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884A71">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25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FBA581">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91DEFC">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18B688">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7F475">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6811C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B0C2B1">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25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F38BC8">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8644A4">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FEB237">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D95441">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24DBD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87BC97">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25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2B83B4">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008037">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305FE">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A23250">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04CA9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76E41C">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25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F0EB77">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4B749A">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5C3DA">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64D838">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2E361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811DAB">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25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3B8950">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121AFC">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961672">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4DD1F5">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78A32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7DB5BD">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25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3B023">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F671E2">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C4ACE6">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817FA5">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72127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959436">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25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1812C5">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3621A">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8E7331">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E145B8">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451A8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473E5D">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25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7A08E9">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89B50C">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FDC98">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5CC1F0">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277F9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1" w:hRule="atLeast"/>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157823">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25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75BA11">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698DC5">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6ECA96">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85991">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bl>
    <w:p w14:paraId="27E6F826">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0EF30905">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bookmarkStart w:id="38" w:name="OLE_LINK19"/>
      <w:r>
        <w:rPr>
          <w:rFonts w:hint="eastAsia" w:ascii="宋体" w:hAnsi="宋体" w:eastAsia="宋体" w:cs="宋体"/>
          <w:color w:val="000000"/>
          <w:sz w:val="24"/>
          <w:szCs w:val="24"/>
        </w:rPr>
        <w:t>注：</w:t>
      </w:r>
      <w:bookmarkEnd w:id="38"/>
    </w:p>
    <w:p w14:paraId="65788D82">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1.按照上表人员顺序提供相关职称证书原件扫描件及为其缴纳近3个月内任意1月（不含开标当月）社会保险的社保证明材料并加盖公章。</w:t>
      </w:r>
    </w:p>
    <w:p w14:paraId="42ED0C76">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2.表格不够可自行延长。</w:t>
      </w:r>
    </w:p>
    <w:p w14:paraId="3F9E16D9">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pPr>
      <w:bookmarkStart w:id="39" w:name="_Toc16464"/>
      <w:r>
        <w:t> </w:t>
      </w:r>
    </w:p>
    <w:p w14:paraId="43CF4580">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color w:val="000000"/>
          <w:sz w:val="24"/>
          <w:szCs w:val="24"/>
        </w:rPr>
        <w:t>         供应商：（电子签章）</w:t>
      </w:r>
    </w:p>
    <w:p w14:paraId="541F80F0">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200"/>
        <w:jc w:val="both"/>
      </w:pPr>
      <w:r>
        <w:t> </w:t>
      </w:r>
    </w:p>
    <w:p w14:paraId="5763124C">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hint="eastAsia" w:ascii="宋体" w:hAnsi="宋体" w:eastAsia="宋体" w:cs="宋体"/>
          <w:color w:val="000000"/>
          <w:sz w:val="24"/>
          <w:szCs w:val="24"/>
        </w:rPr>
        <w:t>                         日期： 年 月 日</w:t>
      </w:r>
      <w:bookmarkEnd w:id="39"/>
    </w:p>
    <w:p w14:paraId="20043BD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1519F6C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4E96DFC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50FC93B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73C7FDE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3C46769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3DB04C8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4EDF3BB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61A9394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271D33F8">
      <w:pPr>
        <w:numPr>
          <w:ilvl w:val="0"/>
          <w:numId w:val="14"/>
        </w:num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宋体" w:hAnsi="宋体" w:eastAsia="宋体" w:cs="宋体"/>
          <w:b/>
          <w:color w:val="000000"/>
          <w:sz w:val="36"/>
          <w:lang w:val="en-US" w:eastAsia="zh-CN"/>
        </w:rPr>
      </w:pPr>
      <w:r>
        <w:rPr>
          <w:rFonts w:hint="eastAsia" w:ascii="宋体" w:hAnsi="宋体" w:eastAsia="宋体" w:cs="宋体"/>
          <w:b/>
          <w:color w:val="000000"/>
          <w:sz w:val="36"/>
          <w:lang w:val="en-US" w:eastAsia="zh-CN"/>
        </w:rPr>
        <w:t>业绩一览表</w:t>
      </w:r>
    </w:p>
    <w:tbl>
      <w:tblPr>
        <w:tblStyle w:val="2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604"/>
        <w:gridCol w:w="1628"/>
        <w:gridCol w:w="1513"/>
        <w:gridCol w:w="1833"/>
        <w:gridCol w:w="1179"/>
        <w:gridCol w:w="1590"/>
      </w:tblGrid>
      <w:tr w14:paraId="68575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88133B">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b/>
                <w:bCs/>
                <w:color w:val="000000"/>
                <w:sz w:val="18"/>
                <w:szCs w:val="18"/>
              </w:rPr>
              <w:t>序号</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608B6D">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b/>
                <w:bCs/>
                <w:color w:val="000000"/>
                <w:sz w:val="18"/>
                <w:szCs w:val="18"/>
              </w:rPr>
              <w:t>项目名称</w:t>
            </w:r>
          </w:p>
        </w:tc>
        <w:tc>
          <w:tcPr>
            <w:tcW w:w="15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94C9CA">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b/>
                <w:bCs/>
                <w:color w:val="000000"/>
                <w:sz w:val="18"/>
                <w:szCs w:val="18"/>
              </w:rPr>
              <w:t>项目金额</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45E9BF">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b/>
                <w:bCs/>
                <w:color w:val="000000"/>
                <w:sz w:val="18"/>
                <w:szCs w:val="18"/>
              </w:rPr>
              <w:t>业主单位</w:t>
            </w: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5A478">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b/>
                <w:bCs/>
                <w:color w:val="000000"/>
                <w:sz w:val="18"/>
                <w:szCs w:val="18"/>
              </w:rPr>
              <w:t>合同日期</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54AB8F">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b/>
                <w:bCs/>
                <w:color w:val="000000"/>
                <w:sz w:val="18"/>
                <w:szCs w:val="18"/>
              </w:rPr>
              <w:t>合同内容</w:t>
            </w:r>
          </w:p>
        </w:tc>
      </w:tr>
      <w:tr w14:paraId="1F8AD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8"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BFFAF6">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b/>
                <w:bCs/>
                <w:color w:val="000000"/>
                <w:sz w:val="18"/>
                <w:szCs w:val="18"/>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58ACB3">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5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F4AF94">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DA186E">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92E929">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7E1CCB">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r>
      <w:tr w14:paraId="597E2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89723">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b/>
                <w:bCs/>
                <w:color w:val="000000"/>
                <w:sz w:val="18"/>
                <w:szCs w:val="18"/>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6C7121">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5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9C66F7">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060FA">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BEA7C6">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96B6DD">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r>
      <w:tr w14:paraId="1D6AB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85"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9D47F7">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b/>
                <w:bCs/>
                <w:color w:val="000000"/>
                <w:sz w:val="18"/>
                <w:szCs w:val="18"/>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687CD9">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5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4425BC">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234AFB">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F17E39">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BA2259">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r>
      <w:tr w14:paraId="1B98E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E60A3E">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b/>
                <w:bCs/>
                <w:color w:val="000000"/>
                <w:sz w:val="18"/>
                <w:szCs w:val="18"/>
              </w:rPr>
              <w:t>…</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3EF5AA">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5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EC1784">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8E981">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50EAF6">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1831C">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r>
      <w:tr w14:paraId="6AAAB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9"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06AE6A">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87C952">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5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B1A6D3">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3015DF">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6ADF96">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91D2B2">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r>
      <w:tr w14:paraId="761D4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B876BB">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9E899A">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5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42FCB">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D1EA64">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38FFB">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B9FDED">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r>
      <w:tr w14:paraId="741C0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2CEA0E">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D90CDA">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5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767A73">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316FA8">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AB28AE">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767286">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tc>
      </w:tr>
    </w:tbl>
    <w:p w14:paraId="6853EC9C">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0" w:afterAutospacing="0"/>
        <w:jc w:val="both"/>
      </w:pPr>
      <w:r>
        <w:rPr>
          <w:rFonts w:hint="eastAsia" w:ascii="宋体" w:hAnsi="宋体" w:eastAsia="宋体" w:cs="宋体"/>
          <w:color w:val="000000"/>
          <w:sz w:val="24"/>
          <w:szCs w:val="24"/>
        </w:rPr>
        <w:t>注：请将合同或证明资料复印件附至本表后。</w:t>
      </w:r>
    </w:p>
    <w:p w14:paraId="06CDF8CE">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t> </w:t>
      </w:r>
    </w:p>
    <w:p w14:paraId="0928C156">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t> </w:t>
      </w:r>
    </w:p>
    <w:p w14:paraId="43152202">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color w:val="000000"/>
          <w:sz w:val="24"/>
          <w:szCs w:val="24"/>
        </w:rPr>
        <w:t>         供应商：（电子签章）</w:t>
      </w:r>
    </w:p>
    <w:p w14:paraId="2E5F468A">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200"/>
        <w:jc w:val="both"/>
      </w:pPr>
      <w:r>
        <w:t> </w:t>
      </w:r>
    </w:p>
    <w:p w14:paraId="016B0129">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 xml:space="preserve">                         </w:t>
      </w:r>
      <w:bookmarkStart w:id="40" w:name="_Toc17568"/>
      <w:r>
        <w:rPr>
          <w:rFonts w:hint="eastAsia" w:ascii="宋体" w:hAnsi="宋体" w:eastAsia="宋体" w:cs="宋体"/>
          <w:color w:val="000000"/>
          <w:sz w:val="24"/>
          <w:szCs w:val="24"/>
        </w:rPr>
        <w:t>日期： 年 月 日</w:t>
      </w:r>
      <w:bookmarkEnd w:id="40"/>
    </w:p>
    <w:p w14:paraId="4824ED5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71D142A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0E76ED2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00837E7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1E4A1D8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4AB7E59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1C60394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5C20CCC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126610B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570BCA4B">
      <w:pPr>
        <w:pStyle w:val="2"/>
        <w:jc w:val="center"/>
        <w:rPr>
          <w:rFonts w:hint="eastAsia" w:ascii="宋体" w:hAnsi="宋体" w:eastAsia="宋体" w:cs="宋体"/>
          <w:b/>
          <w:color w:val="000000"/>
          <w:sz w:val="36"/>
          <w:lang w:val="en-US" w:eastAsia="zh-CN"/>
        </w:rPr>
      </w:pPr>
    </w:p>
    <w:p w14:paraId="1903935D">
      <w:pPr>
        <w:jc w:val="center"/>
        <w:rPr>
          <w:rFonts w:hint="eastAsia" w:ascii="宋体" w:hAnsi="宋体" w:eastAsia="宋体" w:cs="宋体"/>
          <w:b/>
          <w:color w:val="000000"/>
          <w:sz w:val="36"/>
          <w:lang w:val="en-US" w:eastAsia="zh-CN"/>
        </w:rPr>
      </w:pPr>
    </w:p>
    <w:p w14:paraId="1E2C27E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0E5E695B">
      <w:pPr>
        <w:pStyle w:val="2"/>
        <w:numPr>
          <w:ilvl w:val="0"/>
          <w:numId w:val="14"/>
        </w:numPr>
        <w:ind w:left="0" w:firstLine="0"/>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t>安全管理承诺书</w:t>
      </w:r>
    </w:p>
    <w:p w14:paraId="0881044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55567D69">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bCs/>
          <w:color w:val="000000"/>
          <w:sz w:val="28"/>
          <w:szCs w:val="28"/>
        </w:rPr>
      </w:pPr>
    </w:p>
    <w:p w14:paraId="5AFB2768">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bCs/>
          <w:color w:val="000000"/>
          <w:sz w:val="28"/>
          <w:szCs w:val="28"/>
        </w:rPr>
      </w:pPr>
    </w:p>
    <w:p w14:paraId="63BA417E">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bCs/>
          <w:color w:val="000000"/>
          <w:sz w:val="28"/>
          <w:szCs w:val="28"/>
        </w:rPr>
      </w:pPr>
    </w:p>
    <w:p w14:paraId="0F165EA1">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bCs/>
          <w:color w:val="000000"/>
          <w:sz w:val="28"/>
          <w:szCs w:val="28"/>
        </w:rPr>
      </w:pPr>
    </w:p>
    <w:p w14:paraId="0E26D423">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pPr>
      <w:r>
        <w:rPr>
          <w:rFonts w:hint="eastAsia" w:ascii="宋体" w:hAnsi="宋体" w:eastAsia="宋体" w:cs="宋体"/>
          <w:b/>
          <w:bCs/>
          <w:color w:val="000000"/>
          <w:sz w:val="28"/>
          <w:szCs w:val="28"/>
        </w:rPr>
        <w:t>格式自拟</w:t>
      </w:r>
    </w:p>
    <w:p w14:paraId="70038A5E">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0F4E2D3A">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3184374C">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68DEC235">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54294BCB">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3F126A8F">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6C70A0D5">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p w14:paraId="531255A7">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p w14:paraId="5680B89D">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p w14:paraId="4E975A6F">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3DD4DBE0">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630F6FF7">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505"/>
        <w:jc w:val="center"/>
      </w:pPr>
      <w:r>
        <w:rPr>
          <w:rFonts w:hint="eastAsia" w:ascii="宋体" w:hAnsi="宋体" w:eastAsia="宋体" w:cs="宋体"/>
          <w:color w:val="000000"/>
          <w:sz w:val="24"/>
          <w:szCs w:val="24"/>
        </w:rPr>
        <w:t>                 供应商（电子签章）：</w:t>
      </w:r>
    </w:p>
    <w:p w14:paraId="2E254AF3">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505"/>
        <w:jc w:val="center"/>
      </w:pPr>
      <w:r>
        <w:rPr>
          <w:rFonts w:hint="eastAsia" w:ascii="宋体" w:hAnsi="宋体" w:eastAsia="宋体" w:cs="宋体"/>
          <w:color w:val="000000"/>
          <w:sz w:val="24"/>
          <w:szCs w:val="24"/>
        </w:rPr>
        <w:t>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日  期：</w:t>
      </w:r>
    </w:p>
    <w:p w14:paraId="0EDABC4E">
      <w:pPr>
        <w:pStyle w:val="2"/>
        <w:jc w:val="center"/>
        <w:rPr>
          <w:rFonts w:hint="eastAsia" w:ascii="宋体" w:hAnsi="宋体" w:eastAsia="宋体" w:cs="宋体"/>
          <w:b/>
          <w:color w:val="000000"/>
          <w:sz w:val="36"/>
          <w:lang w:val="en-US" w:eastAsia="zh-CN"/>
        </w:rPr>
      </w:pPr>
    </w:p>
    <w:p w14:paraId="0EA1184B">
      <w:pPr>
        <w:jc w:val="center"/>
        <w:rPr>
          <w:rFonts w:hint="eastAsia" w:ascii="宋体" w:hAnsi="宋体" w:eastAsia="宋体" w:cs="宋体"/>
          <w:b/>
          <w:color w:val="000000"/>
          <w:sz w:val="36"/>
          <w:lang w:val="en-US" w:eastAsia="zh-CN"/>
        </w:rPr>
      </w:pPr>
    </w:p>
    <w:p w14:paraId="7AEA453E">
      <w:pPr>
        <w:pStyle w:val="2"/>
        <w:jc w:val="center"/>
        <w:rPr>
          <w:rFonts w:hint="eastAsia" w:ascii="宋体" w:hAnsi="宋体" w:eastAsia="宋体" w:cs="宋体"/>
          <w:b/>
          <w:color w:val="000000"/>
          <w:sz w:val="36"/>
          <w:lang w:val="en-US" w:eastAsia="zh-CN"/>
        </w:rPr>
      </w:pPr>
    </w:p>
    <w:p w14:paraId="7F873B7E">
      <w:pPr>
        <w:jc w:val="center"/>
        <w:rPr>
          <w:rFonts w:hint="eastAsia" w:ascii="宋体" w:hAnsi="宋体" w:eastAsia="宋体" w:cs="宋体"/>
          <w:b/>
          <w:color w:val="000000"/>
          <w:sz w:val="36"/>
          <w:lang w:val="en-US" w:eastAsia="zh-CN"/>
        </w:rPr>
      </w:pPr>
    </w:p>
    <w:p w14:paraId="14B0B5F4">
      <w:pPr>
        <w:pStyle w:val="2"/>
        <w:jc w:val="center"/>
        <w:rPr>
          <w:rFonts w:hint="eastAsia" w:ascii="宋体" w:hAnsi="宋体" w:eastAsia="宋体" w:cs="宋体"/>
          <w:b/>
          <w:color w:val="000000"/>
          <w:sz w:val="36"/>
          <w:lang w:val="en-US" w:eastAsia="zh-CN"/>
        </w:rPr>
      </w:pPr>
    </w:p>
    <w:p w14:paraId="7B8159CD">
      <w:pPr>
        <w:jc w:val="center"/>
        <w:rPr>
          <w:rFonts w:hint="eastAsia" w:ascii="宋体" w:hAnsi="宋体" w:eastAsia="宋体" w:cs="宋体"/>
          <w:b/>
          <w:color w:val="000000"/>
          <w:sz w:val="36"/>
          <w:lang w:val="en-US" w:eastAsia="zh-CN"/>
        </w:rPr>
      </w:pPr>
    </w:p>
    <w:p w14:paraId="1FD468A0">
      <w:pPr>
        <w:pStyle w:val="2"/>
        <w:jc w:val="center"/>
        <w:rPr>
          <w:rFonts w:hint="eastAsia" w:ascii="宋体" w:hAnsi="宋体" w:eastAsia="宋体" w:cs="宋体"/>
          <w:b/>
          <w:color w:val="000000"/>
          <w:sz w:val="36"/>
          <w:lang w:val="en-US" w:eastAsia="zh-CN"/>
        </w:rPr>
      </w:pPr>
    </w:p>
    <w:p w14:paraId="3DBAF632">
      <w:pPr>
        <w:jc w:val="center"/>
        <w:rPr>
          <w:rFonts w:hint="eastAsia" w:ascii="宋体" w:hAnsi="宋体" w:eastAsia="宋体" w:cs="宋体"/>
          <w:b/>
          <w:color w:val="000000"/>
          <w:sz w:val="36"/>
          <w:lang w:val="en-US" w:eastAsia="zh-CN"/>
        </w:rPr>
      </w:pPr>
    </w:p>
    <w:p w14:paraId="5B2D8A48">
      <w:pPr>
        <w:pStyle w:val="2"/>
        <w:jc w:val="center"/>
        <w:rPr>
          <w:rFonts w:hint="eastAsia" w:ascii="宋体" w:hAnsi="宋体" w:eastAsia="宋体" w:cs="宋体"/>
          <w:b/>
          <w:color w:val="000000"/>
          <w:sz w:val="36"/>
          <w:lang w:val="en-US" w:eastAsia="zh-CN"/>
        </w:rPr>
      </w:pPr>
    </w:p>
    <w:p w14:paraId="5CA58C0C">
      <w:pPr>
        <w:jc w:val="center"/>
        <w:rPr>
          <w:rFonts w:hint="eastAsia" w:ascii="宋体" w:hAnsi="宋体" w:eastAsia="宋体" w:cs="宋体"/>
          <w:b/>
          <w:color w:val="000000"/>
          <w:sz w:val="36"/>
          <w:lang w:val="en-US" w:eastAsia="zh-CN"/>
        </w:rPr>
      </w:pPr>
    </w:p>
    <w:p w14:paraId="35FA4AF3">
      <w:pPr>
        <w:pStyle w:val="2"/>
        <w:jc w:val="center"/>
        <w:rPr>
          <w:rFonts w:hint="eastAsia" w:ascii="宋体" w:hAnsi="宋体" w:eastAsia="宋体" w:cs="宋体"/>
          <w:b/>
          <w:color w:val="000000"/>
          <w:sz w:val="36"/>
          <w:lang w:val="en-US" w:eastAsia="zh-CN"/>
        </w:rPr>
      </w:pPr>
    </w:p>
    <w:p w14:paraId="0486AA5E">
      <w:pPr>
        <w:jc w:val="center"/>
        <w:rPr>
          <w:rFonts w:hint="eastAsia" w:ascii="宋体" w:hAnsi="宋体" w:eastAsia="宋体" w:cs="宋体"/>
          <w:b/>
          <w:color w:val="000000"/>
          <w:sz w:val="36"/>
          <w:lang w:val="en-US" w:eastAsia="zh-CN"/>
        </w:rPr>
      </w:pPr>
    </w:p>
    <w:p w14:paraId="151D9467">
      <w:pPr>
        <w:jc w:val="center"/>
        <w:rPr>
          <w:rFonts w:hint="eastAsia" w:ascii="宋体" w:hAnsi="宋体" w:eastAsia="宋体" w:cs="宋体"/>
          <w:b/>
          <w:color w:val="000000"/>
          <w:sz w:val="36"/>
          <w:lang w:val="en-US" w:eastAsia="zh-CN"/>
        </w:rPr>
      </w:pPr>
    </w:p>
    <w:p w14:paraId="76F968D0">
      <w:pPr>
        <w:keepNext w:val="0"/>
        <w:keepLines w:val="0"/>
        <w:pageBreakBefore w:val="0"/>
        <w:numPr>
          <w:ilvl w:val="0"/>
          <w:numId w:val="14"/>
        </w:numPr>
        <w:spacing w:beforeAutospacing="0" w:line="360" w:lineRule="auto"/>
        <w:ind w:left="0" w:firstLine="0"/>
        <w:jc w:val="center"/>
        <w:rPr>
          <w:rFonts w:hint="default" w:ascii="宋体" w:hAnsi="宋体" w:eastAsia="宋体" w:cs="宋体"/>
          <w:b/>
          <w:color w:val="000000"/>
          <w:sz w:val="36"/>
          <w:szCs w:val="28"/>
          <w:lang w:val="en-US" w:eastAsia="zh-CN" w:bidi="ar-SA"/>
        </w:rPr>
      </w:pPr>
      <w:r>
        <w:rPr>
          <w:rFonts w:hint="default" w:ascii="宋体" w:hAnsi="宋体" w:eastAsia="宋体" w:cs="宋体"/>
          <w:b/>
          <w:color w:val="000000"/>
          <w:sz w:val="36"/>
          <w:szCs w:val="28"/>
          <w:lang w:val="en-US" w:eastAsia="zh-CN" w:bidi="ar-SA"/>
        </w:rPr>
        <w:t>供应商相关承诺</w:t>
      </w:r>
    </w:p>
    <w:p w14:paraId="1DB7D5B9">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pPr>
      <w:r>
        <w:rPr>
          <w:rFonts w:hint="eastAsia" w:ascii="宋体" w:hAnsi="宋体" w:eastAsia="宋体" w:cs="宋体"/>
          <w:color w:val="000000"/>
          <w:sz w:val="24"/>
          <w:szCs w:val="24"/>
        </w:rPr>
        <w:t>项目名称：</w:t>
      </w:r>
    </w:p>
    <w:p w14:paraId="0E43B8BB">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项目编号：</w:t>
      </w:r>
    </w:p>
    <w:p w14:paraId="25013DD6">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t> </w:t>
      </w:r>
    </w:p>
    <w:p w14:paraId="2BCA08F1">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pPr>
      <w:r>
        <w:rPr>
          <w:rFonts w:hint="eastAsia" w:ascii="宋体" w:hAnsi="宋体" w:eastAsia="宋体" w:cs="宋体"/>
          <w:color w:val="000000"/>
          <w:sz w:val="24"/>
          <w:szCs w:val="24"/>
        </w:rPr>
        <w:t>我单位承诺：</w:t>
      </w:r>
    </w:p>
    <w:p w14:paraId="3F518B5B">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color w:val="000000"/>
          <w:sz w:val="24"/>
          <w:szCs w:val="24"/>
        </w:rPr>
      </w:pPr>
    </w:p>
    <w:p w14:paraId="4984CFA7">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firstLine="480"/>
        <w:jc w:val="both"/>
      </w:pPr>
      <w:r>
        <w:rPr>
          <w:rFonts w:hint="eastAsia" w:ascii="宋体" w:hAnsi="宋体" w:eastAsia="宋体" w:cs="宋体"/>
          <w:color w:val="000000"/>
          <w:sz w:val="24"/>
          <w:szCs w:val="24"/>
        </w:rPr>
        <w:t>如有参与同一合同项下政府采购活动的供应商与我单位存在负责人为同一人的情况或者存在直接控股、管理关系，我单位不再参加该同一合同项下的政府采购活动。</w:t>
      </w:r>
    </w:p>
    <w:p w14:paraId="3CE7AFC1">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pPr>
      <w:r>
        <w:rPr>
          <w:rFonts w:hint="eastAsia" w:ascii="宋体" w:hAnsi="宋体" w:eastAsia="宋体" w:cs="宋体"/>
          <w:color w:val="000000"/>
          <w:sz w:val="24"/>
          <w:szCs w:val="24"/>
        </w:rPr>
        <w:t>…</w:t>
      </w:r>
    </w:p>
    <w:p w14:paraId="6C2A9B77">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pPr>
      <w:r>
        <w:rPr>
          <w:rFonts w:hint="eastAsia" w:ascii="宋体" w:hAnsi="宋体" w:eastAsia="宋体" w:cs="宋体"/>
          <w:color w:val="000000"/>
          <w:sz w:val="24"/>
          <w:szCs w:val="24"/>
        </w:rPr>
        <w:t>我单位对上述承诺负责，并依法承担相应责任。</w:t>
      </w:r>
    </w:p>
    <w:p w14:paraId="6E32635E">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000"/>
        <w:jc w:val="both"/>
      </w:pPr>
      <w:r>
        <w:t> </w:t>
      </w:r>
    </w:p>
    <w:p w14:paraId="4109E34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line="360" w:lineRule="auto"/>
        <w:ind w:left="420" w:firstLine="480"/>
        <w:jc w:val="both"/>
      </w:pPr>
      <w:r>
        <w:t> </w:t>
      </w:r>
    </w:p>
    <w:p w14:paraId="1AC9D8D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line="360" w:lineRule="auto"/>
        <w:ind w:left="420" w:firstLine="480"/>
        <w:jc w:val="both"/>
      </w:pPr>
      <w:r>
        <w:t> </w:t>
      </w:r>
    </w:p>
    <w:p w14:paraId="35D8A54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line="360" w:lineRule="auto"/>
        <w:ind w:left="420" w:firstLine="480"/>
        <w:jc w:val="both"/>
      </w:pPr>
      <w:r>
        <w:t> </w:t>
      </w:r>
    </w:p>
    <w:p w14:paraId="0575705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line="360" w:lineRule="auto"/>
        <w:ind w:left="420" w:firstLine="480"/>
        <w:jc w:val="both"/>
      </w:pPr>
      <w:r>
        <w:t> </w:t>
      </w:r>
    </w:p>
    <w:p w14:paraId="3231C87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line="360" w:lineRule="auto"/>
        <w:ind w:left="420" w:firstLine="480"/>
        <w:jc w:val="both"/>
      </w:pPr>
      <w:r>
        <w:t> </w:t>
      </w:r>
    </w:p>
    <w:p w14:paraId="0F23745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line="360" w:lineRule="auto"/>
        <w:ind w:left="420" w:firstLine="480"/>
        <w:jc w:val="both"/>
      </w:pPr>
      <w:r>
        <w:t> </w:t>
      </w:r>
    </w:p>
    <w:p w14:paraId="090C2A9F">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120"/>
        <w:jc w:val="both"/>
      </w:pPr>
      <w:r>
        <w:rPr>
          <w:rFonts w:hint="eastAsia" w:ascii="宋体" w:hAnsi="宋体" w:eastAsia="宋体" w:cs="宋体"/>
          <w:color w:val="000000"/>
          <w:sz w:val="24"/>
          <w:szCs w:val="24"/>
        </w:rPr>
        <w:t xml:space="preserve">供应商（电子签章）： </w:t>
      </w:r>
    </w:p>
    <w:p w14:paraId="60680202">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120"/>
        <w:jc w:val="both"/>
      </w:pPr>
      <w:r>
        <w:rPr>
          <w:rFonts w:hint="eastAsia" w:ascii="宋体" w:hAnsi="宋体" w:eastAsia="宋体" w:cs="宋体"/>
          <w:color w:val="000000"/>
          <w:sz w:val="24"/>
          <w:szCs w:val="24"/>
        </w:rPr>
        <w:t>日期：   年  月  日</w:t>
      </w:r>
    </w:p>
    <w:p w14:paraId="3AE254F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6"/>
          <w:lang w:val="en-US" w:eastAsia="zh-CN"/>
        </w:rPr>
      </w:pPr>
    </w:p>
    <w:p w14:paraId="1C6D94AD">
      <w:pPr>
        <w:pStyle w:val="2"/>
        <w:jc w:val="center"/>
        <w:rPr>
          <w:rFonts w:hint="eastAsia" w:ascii="宋体" w:hAnsi="宋体" w:eastAsia="宋体" w:cs="宋体"/>
          <w:b/>
          <w:color w:val="000000"/>
          <w:sz w:val="36"/>
          <w:lang w:val="en-US" w:eastAsia="zh-CN"/>
        </w:rPr>
      </w:pPr>
    </w:p>
    <w:p w14:paraId="51357127">
      <w:pPr>
        <w:jc w:val="center"/>
        <w:rPr>
          <w:rFonts w:hint="eastAsia" w:ascii="宋体" w:hAnsi="宋体" w:eastAsia="宋体" w:cs="宋体"/>
          <w:b/>
          <w:color w:val="000000"/>
          <w:sz w:val="36"/>
          <w:lang w:val="en-US" w:eastAsia="zh-CN"/>
        </w:rPr>
      </w:pPr>
    </w:p>
    <w:p w14:paraId="3EF330D5">
      <w:pPr>
        <w:pStyle w:val="2"/>
        <w:jc w:val="center"/>
        <w:rPr>
          <w:rFonts w:hint="eastAsia" w:ascii="宋体" w:hAnsi="宋体" w:eastAsia="宋体" w:cs="宋体"/>
          <w:b/>
          <w:color w:val="000000"/>
          <w:sz w:val="36"/>
          <w:lang w:val="en-US" w:eastAsia="zh-CN"/>
        </w:rPr>
      </w:pPr>
    </w:p>
    <w:p w14:paraId="02142528">
      <w:pPr>
        <w:rPr>
          <w:rFonts w:hint="eastAsia" w:ascii="宋体" w:hAnsi="宋体" w:eastAsia="宋体" w:cs="宋体"/>
          <w:b/>
          <w:color w:val="000000"/>
          <w:sz w:val="36"/>
          <w:lang w:val="en-US" w:eastAsia="zh-CN"/>
        </w:rPr>
      </w:pPr>
    </w:p>
    <w:p w14:paraId="178074F5">
      <w:pPr>
        <w:pStyle w:val="2"/>
        <w:rPr>
          <w:rFonts w:hint="eastAsia" w:ascii="宋体" w:hAnsi="宋体" w:eastAsia="宋体" w:cs="宋体"/>
          <w:b/>
          <w:color w:val="000000"/>
          <w:sz w:val="36"/>
          <w:lang w:val="en-US" w:eastAsia="zh-CN"/>
        </w:rPr>
      </w:pPr>
    </w:p>
    <w:p w14:paraId="2BC09DA3">
      <w:pPr>
        <w:rPr>
          <w:rFonts w:hint="eastAsia"/>
          <w:lang w:val="en-US" w:eastAsia="zh-CN"/>
        </w:rPr>
      </w:pPr>
    </w:p>
    <w:p w14:paraId="179C8E10">
      <w:pPr>
        <w:jc w:val="both"/>
        <w:rPr>
          <w:rFonts w:hint="eastAsia" w:ascii="宋体" w:hAnsi="宋体" w:eastAsia="宋体" w:cs="宋体"/>
          <w:b/>
          <w:color w:val="000000"/>
          <w:sz w:val="36"/>
          <w:lang w:val="en-US" w:eastAsia="zh-CN"/>
        </w:rPr>
      </w:pPr>
    </w:p>
    <w:p w14:paraId="55518105">
      <w:pPr>
        <w:pStyle w:val="2"/>
        <w:numPr>
          <w:ilvl w:val="0"/>
          <w:numId w:val="14"/>
        </w:numPr>
        <w:ind w:left="0" w:firstLine="0"/>
        <w:jc w:val="center"/>
        <w:rPr>
          <w:rFonts w:hint="eastAsia" w:ascii="宋体" w:hAnsi="宋体" w:eastAsia="宋体" w:cs="宋体"/>
          <w:b/>
          <w:color w:val="000000"/>
          <w:sz w:val="36"/>
          <w:szCs w:val="28"/>
          <w:lang w:val="en-US" w:eastAsia="zh-CN" w:bidi="ar-SA"/>
        </w:rPr>
      </w:pPr>
      <w:r>
        <w:rPr>
          <w:rFonts w:hint="eastAsia" w:ascii="宋体" w:hAnsi="宋体" w:eastAsia="宋体" w:cs="宋体"/>
          <w:b/>
          <w:color w:val="000000"/>
          <w:sz w:val="36"/>
          <w:szCs w:val="28"/>
          <w:lang w:val="en-US" w:eastAsia="zh-CN" w:bidi="ar-SA"/>
        </w:rPr>
        <w:t>供应商书面说明</w:t>
      </w:r>
    </w:p>
    <w:p w14:paraId="1789BC46">
      <w:pPr>
        <w:rPr>
          <w:rFonts w:hint="eastAsia"/>
          <w:lang w:val="en-US" w:eastAsia="zh-CN"/>
        </w:rPr>
      </w:pPr>
    </w:p>
    <w:p w14:paraId="2BFB7D31">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eastAsia="宋体"/>
          <w:lang w:eastAsia="zh-CN"/>
        </w:rPr>
      </w:pPr>
      <w:r>
        <w:rPr>
          <w:rFonts w:hint="eastAsia" w:ascii="宋体" w:hAnsi="宋体" w:eastAsia="宋体" w:cs="宋体"/>
          <w:color w:val="000000"/>
          <w:sz w:val="24"/>
          <w:szCs w:val="24"/>
        </w:rPr>
        <w:t>项目名称：</w:t>
      </w:r>
      <w:r>
        <w:rPr>
          <w:rFonts w:hint="eastAsia" w:ascii="宋体" w:hAnsi="宋体" w:eastAsia="宋体" w:cs="宋体"/>
          <w:color w:val="000000"/>
          <w:sz w:val="24"/>
          <w:szCs w:val="24"/>
          <w:lang w:val="en-US" w:eastAsia="zh-CN"/>
        </w:rPr>
        <w:t xml:space="preserve"> </w:t>
      </w:r>
    </w:p>
    <w:p w14:paraId="7F8A09F4">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eastAsia="宋体"/>
          <w:lang w:eastAsia="zh-CN"/>
        </w:rPr>
      </w:pPr>
      <w:r>
        <w:rPr>
          <w:rFonts w:hint="eastAsia" w:ascii="宋体" w:hAnsi="宋体" w:eastAsia="宋体" w:cs="宋体"/>
          <w:color w:val="000000"/>
          <w:sz w:val="24"/>
          <w:szCs w:val="24"/>
        </w:rPr>
        <w:t>项目编号：</w:t>
      </w:r>
      <w:r>
        <w:rPr>
          <w:rFonts w:hint="eastAsia" w:ascii="宋体" w:hAnsi="宋体" w:eastAsia="宋体" w:cs="宋体"/>
          <w:color w:val="000000"/>
          <w:sz w:val="24"/>
          <w:szCs w:val="24"/>
          <w:lang w:val="en-US" w:eastAsia="zh-CN"/>
        </w:rPr>
        <w:t xml:space="preserve"> </w:t>
      </w:r>
    </w:p>
    <w:p w14:paraId="6E415FD6">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t> </w:t>
      </w:r>
    </w:p>
    <w:p w14:paraId="1FEC32D9">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我单位不是为本采购项目提供整体设计、规范编制或者项目管理、监理、检测等服务的供应商。</w:t>
      </w:r>
    </w:p>
    <w:p w14:paraId="305AF4C8">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特此声明。</w:t>
      </w:r>
    </w:p>
    <w:p w14:paraId="7C3D1DED">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我单位对上述声明的真实性负责。如有虚假，将依法承担相应责任。</w:t>
      </w:r>
    </w:p>
    <w:p w14:paraId="587262EC">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t> </w:t>
      </w:r>
    </w:p>
    <w:p w14:paraId="1006D803">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000"/>
        <w:jc w:val="both"/>
      </w:pPr>
      <w:r>
        <w:t> </w:t>
      </w:r>
    </w:p>
    <w:p w14:paraId="1DEB6B8A">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t> </w:t>
      </w:r>
    </w:p>
    <w:p w14:paraId="2EBE5D42">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t> </w:t>
      </w:r>
    </w:p>
    <w:p w14:paraId="1D05F69C">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t> </w:t>
      </w:r>
    </w:p>
    <w:p w14:paraId="27BC3BF1">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t> </w:t>
      </w:r>
    </w:p>
    <w:p w14:paraId="3C439365">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t> </w:t>
      </w:r>
    </w:p>
    <w:p w14:paraId="3C43D854">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t> </w:t>
      </w:r>
    </w:p>
    <w:p w14:paraId="0EE97F8C">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t> </w:t>
      </w:r>
    </w:p>
    <w:p w14:paraId="2C25E529">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t> </w:t>
      </w:r>
    </w:p>
    <w:p w14:paraId="2F2E5B04">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t> </w:t>
      </w:r>
    </w:p>
    <w:p w14:paraId="026F375D">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2880"/>
        <w:jc w:val="both"/>
      </w:pPr>
      <w:r>
        <w:rPr>
          <w:rFonts w:hint="eastAsia" w:ascii="宋体" w:hAnsi="宋体" w:eastAsia="宋体" w:cs="宋体"/>
          <w:color w:val="000000"/>
          <w:sz w:val="24"/>
          <w:szCs w:val="24"/>
        </w:rPr>
        <w:t>供应商（电子签章）：</w:t>
      </w:r>
    </w:p>
    <w:p w14:paraId="7FE17575">
      <w:pPr>
        <w:pStyle w:val="2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2880"/>
        <w:jc w:val="both"/>
      </w:pPr>
      <w:r>
        <w:rPr>
          <w:rFonts w:hint="eastAsia" w:ascii="宋体" w:hAnsi="宋体" w:eastAsia="宋体" w:cs="宋体"/>
          <w:color w:val="000000"/>
          <w:sz w:val="24"/>
          <w:szCs w:val="24"/>
        </w:rPr>
        <w:t>日期：   年  月  日</w:t>
      </w:r>
    </w:p>
    <w:p w14:paraId="1A115601">
      <w:pPr>
        <w:pStyle w:val="2"/>
        <w:rPr>
          <w:rFonts w:hint="eastAsia" w:ascii="宋体" w:hAnsi="宋体" w:eastAsia="宋体" w:cs="宋体"/>
          <w:b/>
          <w:color w:val="000000"/>
          <w:sz w:val="36"/>
          <w:lang w:val="en-US" w:eastAsia="zh-CN"/>
        </w:rPr>
      </w:pPr>
    </w:p>
    <w:p w14:paraId="43F8E188">
      <w:pPr>
        <w:rPr>
          <w:rFonts w:hint="eastAsia" w:ascii="宋体" w:hAnsi="宋体" w:eastAsia="宋体" w:cs="宋体"/>
          <w:b/>
          <w:color w:val="000000"/>
          <w:sz w:val="36"/>
          <w:lang w:val="en-US" w:eastAsia="zh-CN"/>
        </w:rPr>
      </w:pPr>
    </w:p>
    <w:p w14:paraId="78E2FB88">
      <w:pPr>
        <w:pStyle w:val="2"/>
        <w:rPr>
          <w:rFonts w:hint="eastAsia" w:ascii="宋体" w:hAnsi="宋体" w:eastAsia="宋体" w:cs="宋体"/>
          <w:b/>
          <w:color w:val="000000"/>
          <w:sz w:val="36"/>
          <w:lang w:val="en-US" w:eastAsia="zh-CN"/>
        </w:rPr>
      </w:pPr>
    </w:p>
    <w:p w14:paraId="446522B8">
      <w:pPr>
        <w:rPr>
          <w:rFonts w:hint="eastAsia" w:ascii="宋体" w:hAnsi="宋体" w:eastAsia="宋体" w:cs="宋体"/>
          <w:b/>
          <w:color w:val="000000"/>
          <w:sz w:val="36"/>
          <w:lang w:val="en-US" w:eastAsia="zh-CN"/>
        </w:rPr>
      </w:pPr>
    </w:p>
    <w:p w14:paraId="3ADDE465">
      <w:pPr>
        <w:pStyle w:val="2"/>
        <w:rPr>
          <w:rFonts w:hint="eastAsia" w:ascii="宋体" w:hAnsi="宋体" w:eastAsia="宋体" w:cs="宋体"/>
          <w:b/>
          <w:color w:val="000000"/>
          <w:sz w:val="36"/>
          <w:lang w:val="en-US" w:eastAsia="zh-CN"/>
        </w:rPr>
      </w:pPr>
    </w:p>
    <w:p w14:paraId="1BF878A1">
      <w:pPr>
        <w:rPr>
          <w:rFonts w:hint="eastAsia" w:ascii="宋体" w:hAnsi="宋体" w:eastAsia="宋体" w:cs="宋体"/>
          <w:b/>
          <w:color w:val="000000"/>
          <w:sz w:val="36"/>
          <w:lang w:val="en-US" w:eastAsia="zh-CN"/>
        </w:rPr>
      </w:pPr>
    </w:p>
    <w:p w14:paraId="53D49D27">
      <w:pPr>
        <w:pStyle w:val="2"/>
        <w:rPr>
          <w:rFonts w:hint="eastAsia" w:ascii="宋体" w:hAnsi="宋体" w:eastAsia="宋体" w:cs="宋体"/>
          <w:b/>
          <w:color w:val="000000"/>
          <w:sz w:val="36"/>
          <w:lang w:val="en-US" w:eastAsia="zh-CN"/>
        </w:rPr>
      </w:pPr>
    </w:p>
    <w:p w14:paraId="29D81D85">
      <w:pPr>
        <w:rPr>
          <w:rFonts w:hint="eastAsia" w:ascii="宋体" w:hAnsi="宋体" w:eastAsia="宋体" w:cs="宋体"/>
          <w:b/>
          <w:color w:val="000000"/>
          <w:sz w:val="36"/>
          <w:lang w:val="en-US" w:eastAsia="zh-CN"/>
        </w:rPr>
      </w:pPr>
    </w:p>
    <w:p w14:paraId="3CA083A7">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eastAsia" w:ascii="宋体" w:hAnsi="宋体" w:eastAsia="宋体" w:cs="宋体"/>
          <w:b/>
          <w:color w:val="000000"/>
          <w:sz w:val="36"/>
          <w:lang w:val="en-US" w:eastAsia="zh-CN"/>
        </w:rPr>
        <w:t>18、</w:t>
      </w:r>
      <w:r>
        <w:rPr>
          <w:rFonts w:hint="default" w:ascii="宋体" w:hAnsi="宋体" w:eastAsia="宋体" w:cs="宋体"/>
          <w:b/>
          <w:color w:val="000000"/>
          <w:sz w:val="36"/>
        </w:rPr>
        <w:t>预付款保函支付条款模板</w:t>
      </w:r>
    </w:p>
    <w:p w14:paraId="7592A08B">
      <w:pPr>
        <w:pBdr>
          <w:top w:val="none" w:color="000000" w:sz="0" w:space="0"/>
          <w:left w:val="none" w:color="000000" w:sz="0" w:space="0"/>
          <w:bottom w:val="none" w:color="000000" w:sz="0" w:space="0"/>
          <w:right w:val="none" w:color="000000" w:sz="0" w:space="0"/>
        </w:pBdr>
        <w:spacing w:before="210" w:after="120" w:line="85" w:lineRule="atLeast"/>
        <w:ind w:left="0" w:right="0" w:firstLine="0"/>
        <w:jc w:val="both"/>
        <w:rPr>
          <w:rFonts w:hint="default" w:ascii="Times New Roman" w:hAnsi="Times New Roman" w:eastAsia="宋体" w:cs="Times New Roman"/>
        </w:rPr>
      </w:pPr>
      <w:r>
        <w:rPr>
          <w:rFonts w:hint="default" w:ascii="宋体" w:hAnsi="宋体" w:eastAsia="宋体" w:cs="宋体"/>
          <w:color w:val="000000"/>
          <w:sz w:val="24"/>
        </w:rPr>
        <w:t> </w:t>
      </w:r>
    </w:p>
    <w:p w14:paraId="21AE7D8A">
      <w:pPr>
        <w:pBdr>
          <w:top w:val="none" w:color="000000" w:sz="0" w:space="0"/>
          <w:left w:val="none" w:color="000000" w:sz="0" w:space="0"/>
          <w:bottom w:val="none" w:color="000000" w:sz="0" w:space="0"/>
          <w:right w:val="none" w:color="000000" w:sz="0" w:space="0"/>
        </w:pBdr>
        <w:spacing w:before="210" w:after="12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付款条件一：提交预付款保函的</w:t>
      </w:r>
    </w:p>
    <w:p w14:paraId="509DC97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（1）合同签订且乙方向甲方出具预付款保函后个工作日内，甲方应支付合同价款的百分之</w:t>
      </w:r>
      <w:r>
        <w:rPr>
          <w:rFonts w:hint="default" w:ascii="宋体" w:hAnsi="宋体" w:eastAsia="宋体" w:cs="宋体"/>
          <w:color w:val="000000"/>
          <w:sz w:val="24"/>
          <w:u w:val="single"/>
        </w:rPr>
        <w:t> xx  </w:t>
      </w:r>
      <w:r>
        <w:rPr>
          <w:rFonts w:hint="default" w:ascii="宋体" w:hAnsi="宋体" w:eastAsia="宋体" w:cs="宋体"/>
          <w:color w:val="000000"/>
          <w:sz w:val="24"/>
        </w:rPr>
        <w:t>（</w:t>
      </w:r>
      <w:r>
        <w:rPr>
          <w:rFonts w:hint="default" w:ascii="宋体" w:hAnsi="宋体" w:eastAsia="宋体" w:cs="宋体"/>
          <w:color w:val="000000"/>
          <w:sz w:val="24"/>
          <w:u w:val="single"/>
        </w:rPr>
        <w:t> xx</w:t>
      </w:r>
      <w:r>
        <w:rPr>
          <w:rFonts w:hint="default" w:ascii="宋体" w:hAnsi="宋体" w:eastAsia="宋体" w:cs="宋体"/>
          <w:color w:val="000000"/>
          <w:sz w:val="24"/>
        </w:rPr>
        <w:t>%)小写¥大写：人民币。</w:t>
      </w:r>
    </w:p>
    <w:p w14:paraId="6009F664">
      <w:pPr>
        <w:pBdr>
          <w:top w:val="none" w:color="000000" w:sz="0" w:space="0"/>
          <w:left w:val="none" w:color="000000" w:sz="0" w:space="0"/>
          <w:bottom w:val="none" w:color="000000" w:sz="0" w:space="0"/>
          <w:right w:val="none" w:color="000000" w:sz="0" w:space="0"/>
        </w:pBdr>
        <w:spacing w:before="210" w:after="12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（2）验收合格后个工作日内，甲方应支付合同价款的百分之</w:t>
      </w:r>
      <w:r>
        <w:rPr>
          <w:rFonts w:hint="default" w:ascii="宋体" w:hAnsi="宋体" w:eastAsia="宋体" w:cs="宋体"/>
          <w:color w:val="000000"/>
          <w:sz w:val="24"/>
          <w:u w:val="single"/>
        </w:rPr>
        <w:t xml:space="preserve"> XX </w:t>
      </w:r>
      <w:r>
        <w:rPr>
          <w:rFonts w:hint="default" w:ascii="宋体" w:hAnsi="宋体" w:eastAsia="宋体" w:cs="宋体"/>
          <w:color w:val="000000"/>
          <w:sz w:val="24"/>
        </w:rPr>
        <w:t>（ %）小写￥大写：人民币。</w:t>
      </w:r>
    </w:p>
    <w:p w14:paraId="5FEDE7BE">
      <w:pPr>
        <w:pBdr>
          <w:top w:val="none" w:color="000000" w:sz="0" w:space="0"/>
          <w:left w:val="none" w:color="000000" w:sz="0" w:space="0"/>
          <w:bottom w:val="none" w:color="000000" w:sz="0" w:space="0"/>
          <w:right w:val="none" w:color="000000" w:sz="0" w:space="0"/>
        </w:pBdr>
        <w:spacing w:before="210" w:after="12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w:t>
      </w:r>
    </w:p>
    <w:p w14:paraId="5B94E67C">
      <w:pPr>
        <w:pBdr>
          <w:top w:val="none" w:color="000000" w:sz="0" w:space="0"/>
          <w:left w:val="none" w:color="000000" w:sz="0" w:space="0"/>
          <w:bottom w:val="none" w:color="000000" w:sz="0" w:space="0"/>
          <w:right w:val="none" w:color="000000" w:sz="0" w:space="0"/>
        </w:pBdr>
        <w:spacing w:before="210" w:after="12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付款条件二： 不提交预付款保函的</w:t>
      </w:r>
    </w:p>
    <w:p w14:paraId="799CBCEF">
      <w:pPr>
        <w:pBdr>
          <w:top w:val="none" w:color="000000" w:sz="0" w:space="0"/>
          <w:left w:val="none" w:color="000000" w:sz="0" w:space="0"/>
          <w:bottom w:val="none" w:color="000000" w:sz="0" w:space="0"/>
          <w:right w:val="none" w:color="000000" w:sz="0" w:space="0"/>
        </w:pBdr>
        <w:spacing w:before="210" w:after="12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（1）合同签订后个工作日内，甲方应支付合同价款的百分之</w:t>
      </w:r>
      <w:r>
        <w:rPr>
          <w:rFonts w:hint="default" w:ascii="宋体" w:hAnsi="宋体" w:eastAsia="宋体" w:cs="宋体"/>
          <w:color w:val="000000"/>
          <w:sz w:val="24"/>
          <w:u w:val="single"/>
        </w:rPr>
        <w:t>XX</w:t>
      </w:r>
      <w:r>
        <w:rPr>
          <w:rFonts w:hint="default" w:ascii="宋体" w:hAnsi="宋体" w:eastAsia="宋体" w:cs="宋体"/>
          <w:color w:val="000000"/>
          <w:sz w:val="24"/>
        </w:rPr>
        <w:t> （％）小写￥大写：人民币。</w:t>
      </w:r>
    </w:p>
    <w:p w14:paraId="5A8ADE2E">
      <w:pPr>
        <w:pBdr>
          <w:top w:val="none" w:color="000000" w:sz="0" w:space="0"/>
          <w:left w:val="none" w:color="000000" w:sz="0" w:space="0"/>
          <w:bottom w:val="none" w:color="000000" w:sz="0" w:space="0"/>
          <w:right w:val="none" w:color="000000" w:sz="0" w:space="0"/>
        </w:pBdr>
        <w:spacing w:before="210" w:after="12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（2）验收合格后个工作日内，甲方应支付合同价款的百分之</w:t>
      </w:r>
      <w:r>
        <w:rPr>
          <w:rFonts w:hint="default" w:ascii="宋体" w:hAnsi="宋体" w:eastAsia="宋体" w:cs="宋体"/>
          <w:color w:val="000000"/>
          <w:sz w:val="24"/>
          <w:u w:val="single"/>
        </w:rPr>
        <w:t>XX</w:t>
      </w:r>
      <w:r>
        <w:rPr>
          <w:rFonts w:hint="default" w:ascii="宋体" w:hAnsi="宋体" w:eastAsia="宋体" w:cs="宋体"/>
          <w:color w:val="000000"/>
          <w:sz w:val="24"/>
        </w:rPr>
        <w:t>（％）小写￥大写：人民币。</w:t>
      </w:r>
    </w:p>
    <w:p w14:paraId="5A70C815">
      <w:pPr>
        <w:pBdr>
          <w:top w:val="none" w:color="000000" w:sz="0" w:space="0"/>
          <w:left w:val="none" w:color="000000" w:sz="0" w:space="0"/>
          <w:bottom w:val="none" w:color="000000" w:sz="0" w:space="0"/>
          <w:right w:val="none" w:color="000000" w:sz="0" w:space="0"/>
        </w:pBdr>
        <w:spacing w:before="210" w:after="12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w:t>
      </w:r>
    </w:p>
    <w:p w14:paraId="1F1A27D8">
      <w:pPr>
        <w:pBdr>
          <w:top w:val="none" w:color="000000" w:sz="0" w:space="0"/>
          <w:left w:val="none" w:color="000000" w:sz="0" w:space="0"/>
          <w:bottom w:val="none" w:color="000000" w:sz="0" w:space="0"/>
          <w:right w:val="none" w:color="000000" w:sz="0" w:space="0"/>
        </w:pBdr>
        <w:spacing w:before="210" w:after="120" w:line="85"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w:t>
      </w:r>
    </w:p>
    <w:p w14:paraId="3B721BAC">
      <w:pPr>
        <w:pBdr>
          <w:top w:val="none" w:color="000000" w:sz="0" w:space="0"/>
          <w:left w:val="none" w:color="000000" w:sz="0" w:space="0"/>
          <w:bottom w:val="none" w:color="000000" w:sz="0" w:space="0"/>
          <w:right w:val="none" w:color="000000" w:sz="0" w:space="0"/>
        </w:pBdr>
        <w:spacing w:before="240" w:after="240"/>
        <w:ind w:left="420" w:right="33" w:firstLine="0"/>
        <w:rPr>
          <w:rFonts w:hint="default" w:ascii="Times New Roman" w:hAnsi="Times New Roman" w:eastAsia="宋体" w:cs="Times New Roman"/>
        </w:rPr>
      </w:pPr>
      <w:r>
        <w:rPr>
          <w:rFonts w:hint="default" w:ascii="宋体" w:hAnsi="宋体" w:eastAsia="宋体" w:cs="宋体"/>
          <w:color w:val="000000"/>
          <w:sz w:val="24"/>
        </w:rPr>
        <w:t>注：1、付款条件一中，出具预付款保函后支付的合同款应当与保函金额一致。</w:t>
      </w:r>
    </w:p>
    <w:p w14:paraId="5D8743E9">
      <w:pPr>
        <w:pBdr>
          <w:top w:val="none" w:color="000000" w:sz="0" w:space="0"/>
          <w:left w:val="none" w:color="000000" w:sz="0" w:space="0"/>
          <w:bottom w:val="none" w:color="000000" w:sz="0" w:space="0"/>
          <w:right w:val="none" w:color="000000" w:sz="0" w:space="0"/>
        </w:pBdr>
        <w:spacing w:before="240" w:after="240"/>
        <w:ind w:left="420" w:right="33" w:firstLine="0"/>
        <w:rPr>
          <w:rFonts w:hint="default" w:ascii="Times New Roman" w:hAnsi="Times New Roman" w:eastAsia="宋体" w:cs="Times New Roman"/>
        </w:rPr>
      </w:pPr>
      <w:r>
        <w:rPr>
          <w:rFonts w:hint="default" w:ascii="宋体" w:hAnsi="宋体" w:eastAsia="宋体" w:cs="宋体"/>
          <w:color w:val="000000"/>
          <w:sz w:val="24"/>
        </w:rPr>
        <w:t>2、付款条件二中，预付款比例设定应符合《关于做好政府采购支持企业发展有关事项的通知》（苏财购（2020)52号）要求。</w:t>
      </w:r>
    </w:p>
    <w:p w14:paraId="6522AF08">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Times New Roman" w:hAnsi="Times New Roman" w:eastAsia="宋体" w:cs="Times New Roman"/>
        </w:rPr>
      </w:pPr>
      <w:r>
        <w:rPr>
          <w:rFonts w:hint="default" w:ascii="Times New Roman" w:hAnsi="Times New Roman" w:eastAsia="宋体" w:cs="Times New Roman"/>
        </w:rPr>
        <w:br w:type="page" w:clear="all"/>
      </w:r>
    </w:p>
    <w:p w14:paraId="1D509301">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b/>
          <w:color w:val="000000"/>
          <w:sz w:val="36"/>
        </w:rPr>
        <w:t>1</w:t>
      </w:r>
      <w:r>
        <w:rPr>
          <w:rFonts w:hint="eastAsia" w:ascii="宋体" w:hAnsi="宋体" w:eastAsia="宋体" w:cs="宋体"/>
          <w:b/>
          <w:color w:val="000000"/>
          <w:sz w:val="36"/>
          <w:lang w:val="en-US" w:eastAsia="zh-CN"/>
        </w:rPr>
        <w:t>9</w:t>
      </w:r>
      <w:r>
        <w:rPr>
          <w:rFonts w:hint="default" w:ascii="宋体" w:hAnsi="宋体" w:eastAsia="宋体" w:cs="宋体"/>
          <w:b/>
          <w:color w:val="000000"/>
          <w:sz w:val="36"/>
        </w:rPr>
        <w:t>、代理服务收费标准</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37"/>
        <w:gridCol w:w="3545"/>
      </w:tblGrid>
      <w:tr w14:paraId="29D84E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5" w:hRule="atLeast"/>
        </w:trPr>
        <w:tc>
          <w:tcPr>
            <w:tcW w:w="533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652F9E">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b/>
                <w:color w:val="000000"/>
                <w:sz w:val="24"/>
              </w:rPr>
              <w:t>中标或者成交金额</w:t>
            </w:r>
          </w:p>
        </w:tc>
        <w:tc>
          <w:tcPr>
            <w:tcW w:w="3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DB1D95">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b/>
                <w:color w:val="000000"/>
                <w:sz w:val="24"/>
              </w:rPr>
              <w:t>费率</w:t>
            </w:r>
          </w:p>
        </w:tc>
      </w:tr>
      <w:tr w14:paraId="707F60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5" w:hRule="atLeast"/>
        </w:trPr>
        <w:tc>
          <w:tcPr>
            <w:tcW w:w="53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EE8C5D">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最低收费金额（每个委托项目）</w:t>
            </w:r>
          </w:p>
        </w:tc>
        <w:tc>
          <w:tcPr>
            <w:tcW w:w="3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7AE47B">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5000元</w:t>
            </w:r>
          </w:p>
        </w:tc>
      </w:tr>
      <w:tr w14:paraId="2E8305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5" w:hRule="atLeast"/>
        </w:trPr>
        <w:tc>
          <w:tcPr>
            <w:tcW w:w="53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738E12">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50万元以下（含50万元）</w:t>
            </w:r>
          </w:p>
        </w:tc>
        <w:tc>
          <w:tcPr>
            <w:tcW w:w="3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28A5FE">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1.6%</w:t>
            </w:r>
          </w:p>
        </w:tc>
      </w:tr>
      <w:tr w14:paraId="0E5E6C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5" w:hRule="atLeast"/>
        </w:trPr>
        <w:tc>
          <w:tcPr>
            <w:tcW w:w="53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186CF3">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50-400万元（含400万元）</w:t>
            </w:r>
          </w:p>
        </w:tc>
        <w:tc>
          <w:tcPr>
            <w:tcW w:w="3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6D2D30">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1.5%</w:t>
            </w:r>
          </w:p>
        </w:tc>
      </w:tr>
      <w:tr w14:paraId="57290B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5" w:hRule="atLeast"/>
        </w:trPr>
        <w:tc>
          <w:tcPr>
            <w:tcW w:w="53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491BC7">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400-1000万元（含1000万元）</w:t>
            </w:r>
          </w:p>
        </w:tc>
        <w:tc>
          <w:tcPr>
            <w:tcW w:w="3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85254B">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1.1%</w:t>
            </w:r>
          </w:p>
        </w:tc>
      </w:tr>
      <w:tr w14:paraId="73E4D0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5" w:hRule="atLeast"/>
        </w:trPr>
        <w:tc>
          <w:tcPr>
            <w:tcW w:w="53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0403C8">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1000-5000万元（含5000万元）</w:t>
            </w:r>
          </w:p>
        </w:tc>
        <w:tc>
          <w:tcPr>
            <w:tcW w:w="3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34100C">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0.8%</w:t>
            </w:r>
          </w:p>
        </w:tc>
      </w:tr>
      <w:tr w14:paraId="5A1852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5" w:hRule="atLeast"/>
        </w:trPr>
        <w:tc>
          <w:tcPr>
            <w:tcW w:w="53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0C7ED6">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5000-1亿元（含1亿元）</w:t>
            </w:r>
          </w:p>
        </w:tc>
        <w:tc>
          <w:tcPr>
            <w:tcW w:w="3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38BB9E">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0.25%</w:t>
            </w:r>
          </w:p>
        </w:tc>
      </w:tr>
      <w:tr w14:paraId="782C10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5" w:hRule="atLeast"/>
        </w:trPr>
        <w:tc>
          <w:tcPr>
            <w:tcW w:w="53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9BA54C">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1-10亿元（含10亿元）</w:t>
            </w:r>
          </w:p>
        </w:tc>
        <w:tc>
          <w:tcPr>
            <w:tcW w:w="3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70084F">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0.05%</w:t>
            </w:r>
          </w:p>
        </w:tc>
      </w:tr>
      <w:tr w14:paraId="76AFF7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5" w:hRule="atLeast"/>
        </w:trPr>
        <w:tc>
          <w:tcPr>
            <w:tcW w:w="53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7F2E43">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10-50亿元（含50亿元）</w:t>
            </w:r>
          </w:p>
        </w:tc>
        <w:tc>
          <w:tcPr>
            <w:tcW w:w="3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48FE22">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0.01%</w:t>
            </w:r>
          </w:p>
        </w:tc>
      </w:tr>
      <w:tr w14:paraId="46B32D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trPr>
        <w:tc>
          <w:tcPr>
            <w:tcW w:w="53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7B91AF">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50亿元以上</w:t>
            </w:r>
          </w:p>
        </w:tc>
        <w:tc>
          <w:tcPr>
            <w:tcW w:w="3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8228D7">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Times New Roman" w:hAnsi="Times New Roman" w:eastAsia="宋体" w:cs="Times New Roman"/>
              </w:rPr>
            </w:pPr>
            <w:r>
              <w:rPr>
                <w:rFonts w:hint="default" w:ascii="宋体" w:hAnsi="宋体" w:eastAsia="宋体" w:cs="宋体"/>
                <w:color w:val="000000"/>
                <w:sz w:val="24"/>
              </w:rPr>
              <w:t>0.005%</w:t>
            </w:r>
          </w:p>
        </w:tc>
      </w:tr>
    </w:tbl>
    <w:p w14:paraId="2998AE1E">
      <w:pPr>
        <w:pBdr>
          <w:top w:val="none" w:color="000000" w:sz="0" w:space="0"/>
          <w:left w:val="none" w:color="000000" w:sz="0" w:space="0"/>
          <w:bottom w:val="none" w:color="000000" w:sz="0" w:space="0"/>
          <w:right w:val="none" w:color="000000" w:sz="0" w:space="0"/>
        </w:pBdr>
        <w:spacing w:before="0" w:after="0" w:line="68" w:lineRule="atLeast"/>
        <w:ind w:left="0" w:right="0" w:firstLine="561"/>
        <w:jc w:val="both"/>
        <w:rPr>
          <w:rFonts w:hint="default" w:ascii="Times New Roman" w:hAnsi="Times New Roman" w:eastAsia="宋体" w:cs="Times New Roman"/>
        </w:rPr>
      </w:pPr>
      <w:r>
        <w:rPr>
          <w:rFonts w:hint="default" w:ascii="宋体" w:hAnsi="宋体" w:eastAsia="宋体" w:cs="宋体"/>
          <w:color w:val="000000"/>
          <w:sz w:val="24"/>
        </w:rPr>
        <w:t>说明：</w:t>
      </w:r>
    </w:p>
    <w:p w14:paraId="605617C0">
      <w:pPr>
        <w:pBdr>
          <w:top w:val="none" w:color="000000" w:sz="0" w:space="0"/>
          <w:left w:val="none" w:color="000000" w:sz="0" w:space="0"/>
          <w:bottom w:val="none" w:color="000000" w:sz="0" w:space="0"/>
          <w:right w:val="none" w:color="000000" w:sz="0" w:space="0"/>
        </w:pBdr>
        <w:spacing w:before="0" w:after="0" w:line="68" w:lineRule="atLeast"/>
        <w:ind w:left="0" w:right="0" w:firstLine="561"/>
        <w:jc w:val="both"/>
        <w:rPr>
          <w:rFonts w:hint="default" w:ascii="Times New Roman" w:hAnsi="Times New Roman" w:eastAsia="宋体" w:cs="Times New Roman"/>
        </w:rPr>
      </w:pPr>
      <w:r>
        <w:rPr>
          <w:rFonts w:hint="default" w:ascii="宋体" w:hAnsi="宋体" w:eastAsia="宋体" w:cs="宋体"/>
          <w:color w:val="000000"/>
          <w:sz w:val="24"/>
        </w:rPr>
        <w:t>1.按上表计算的收费为代理服务全过程的收费金额。各社会代理机构不再收取采购文件制作售卖费用。</w:t>
      </w:r>
    </w:p>
    <w:p w14:paraId="0CBB4DF3">
      <w:pPr>
        <w:pBdr>
          <w:top w:val="none" w:color="000000" w:sz="0" w:space="0"/>
          <w:left w:val="none" w:color="000000" w:sz="0" w:space="0"/>
          <w:bottom w:val="none" w:color="000000" w:sz="0" w:space="0"/>
          <w:right w:val="none" w:color="000000" w:sz="0" w:space="0"/>
        </w:pBdr>
        <w:spacing w:before="0" w:after="0" w:line="68" w:lineRule="atLeast"/>
        <w:ind w:left="0" w:right="0" w:firstLine="561"/>
        <w:jc w:val="both"/>
        <w:rPr>
          <w:rFonts w:hint="default" w:ascii="Times New Roman" w:hAnsi="Times New Roman" w:eastAsia="宋体" w:cs="Times New Roman"/>
        </w:rPr>
      </w:pPr>
      <w:r>
        <w:rPr>
          <w:rFonts w:hint="default" w:ascii="宋体" w:hAnsi="宋体" w:eastAsia="宋体" w:cs="宋体"/>
          <w:color w:val="000000"/>
          <w:sz w:val="24"/>
        </w:rPr>
        <w:t>2.代理服务费按差额定率累进法计算。</w:t>
      </w:r>
    </w:p>
    <w:p w14:paraId="5792AE6C">
      <w:pPr>
        <w:pBdr>
          <w:top w:val="none" w:color="000000" w:sz="0" w:space="0"/>
          <w:left w:val="none" w:color="000000" w:sz="0" w:space="0"/>
          <w:bottom w:val="none" w:color="000000" w:sz="0" w:space="0"/>
          <w:right w:val="none" w:color="000000" w:sz="0" w:space="0"/>
        </w:pBdr>
        <w:spacing w:before="0" w:after="0" w:line="68" w:lineRule="atLeast"/>
        <w:ind w:left="0" w:right="0" w:firstLine="561"/>
        <w:jc w:val="both"/>
        <w:rPr>
          <w:rFonts w:hint="default" w:ascii="Times New Roman" w:hAnsi="Times New Roman" w:eastAsia="宋体" w:cs="Times New Roman"/>
        </w:rPr>
      </w:pPr>
      <w:r>
        <w:rPr>
          <w:rFonts w:hint="default" w:ascii="宋体" w:hAnsi="宋体" w:eastAsia="宋体" w:cs="宋体"/>
          <w:color w:val="000000"/>
          <w:sz w:val="24"/>
        </w:rPr>
        <w:t>3.代理服务费基准金额（按差额定率累进法计算的）=中标金额（按差额定率累进法计算的） * 费率（%）。</w:t>
      </w:r>
    </w:p>
    <w:p w14:paraId="407CB16D">
      <w:pPr>
        <w:pBdr>
          <w:top w:val="none" w:color="000000" w:sz="0" w:space="0"/>
          <w:left w:val="none" w:color="000000" w:sz="0" w:space="0"/>
          <w:bottom w:val="none" w:color="000000" w:sz="0" w:space="0"/>
          <w:right w:val="none" w:color="000000" w:sz="0" w:space="0"/>
        </w:pBdr>
        <w:spacing w:before="0" w:after="0" w:line="68" w:lineRule="atLeast"/>
        <w:ind w:left="0" w:right="0" w:firstLine="561"/>
        <w:jc w:val="both"/>
        <w:rPr>
          <w:rFonts w:hint="default" w:ascii="Times New Roman" w:hAnsi="Times New Roman" w:eastAsia="宋体" w:cs="Times New Roman"/>
        </w:rPr>
      </w:pPr>
      <w:r>
        <w:rPr>
          <w:rFonts w:hint="default" w:ascii="宋体" w:hAnsi="宋体" w:eastAsia="宋体" w:cs="宋体"/>
          <w:color w:val="000000"/>
          <w:sz w:val="24"/>
        </w:rPr>
        <w:t>4.代理服务费应收取金额=代理服务费基准金额（按差额定率累进法计算的）的合计数。</w:t>
      </w:r>
    </w:p>
    <w:p w14:paraId="3F71239B">
      <w:pPr>
        <w:pBdr>
          <w:top w:val="none" w:color="000000" w:sz="0" w:space="0"/>
          <w:left w:val="none" w:color="000000" w:sz="0" w:space="0"/>
          <w:bottom w:val="none" w:color="000000" w:sz="0" w:space="0"/>
          <w:right w:val="none" w:color="000000" w:sz="0" w:space="0"/>
        </w:pBdr>
        <w:spacing w:before="0" w:after="0" w:line="68" w:lineRule="atLeast"/>
        <w:ind w:left="0" w:right="0" w:firstLine="561"/>
        <w:jc w:val="both"/>
        <w:rPr>
          <w:rFonts w:hint="default" w:ascii="Times New Roman" w:hAnsi="Times New Roman" w:eastAsia="宋体" w:cs="Times New Roman"/>
        </w:rPr>
      </w:pPr>
      <w:r>
        <w:rPr>
          <w:rFonts w:hint="default" w:ascii="宋体" w:hAnsi="宋体" w:eastAsia="宋体" w:cs="宋体"/>
          <w:color w:val="000000"/>
          <w:sz w:val="24"/>
        </w:rPr>
        <w:t>5.定点类等无金额或事先不能计算出价格总额的项目，按中标（成交）金额100万元计算。</w:t>
      </w:r>
    </w:p>
    <w:p w14:paraId="08725B56">
      <w:pPr>
        <w:pBdr>
          <w:top w:val="none" w:color="000000" w:sz="0" w:space="0"/>
          <w:left w:val="none" w:color="000000" w:sz="0" w:space="0"/>
          <w:bottom w:val="none" w:color="000000" w:sz="0" w:space="0"/>
          <w:right w:val="none" w:color="000000" w:sz="0" w:space="0"/>
        </w:pBdr>
        <w:spacing w:before="0" w:after="0" w:line="68" w:lineRule="atLeast"/>
        <w:ind w:left="0" w:right="0" w:firstLine="561"/>
        <w:jc w:val="both"/>
        <w:rPr>
          <w:rFonts w:hint="default" w:ascii="Times New Roman" w:hAnsi="Times New Roman" w:eastAsia="宋体" w:cs="Times New Roman"/>
        </w:rPr>
      </w:pPr>
      <w:r>
        <w:rPr>
          <w:rFonts w:hint="default" w:ascii="宋体" w:hAnsi="宋体" w:eastAsia="宋体" w:cs="宋体"/>
          <w:color w:val="000000"/>
          <w:sz w:val="24"/>
        </w:rPr>
        <w:t>6.有分包（分标段）的按一个项目计算。</w:t>
      </w:r>
    </w:p>
    <w:p w14:paraId="5980F1F2">
      <w:pPr>
        <w:pBdr>
          <w:top w:val="none" w:color="000000" w:sz="0" w:space="0"/>
          <w:left w:val="none" w:color="000000" w:sz="0" w:space="0"/>
          <w:bottom w:val="none" w:color="000000" w:sz="0" w:space="0"/>
          <w:right w:val="none" w:color="000000" w:sz="0" w:space="0"/>
        </w:pBdr>
        <w:spacing w:before="0" w:after="0" w:line="68" w:lineRule="atLeast"/>
        <w:ind w:left="0" w:right="0" w:firstLine="561"/>
        <w:jc w:val="both"/>
        <w:rPr>
          <w:rFonts w:hint="default" w:ascii="Times New Roman" w:hAnsi="Times New Roman" w:eastAsia="宋体" w:cs="Times New Roman"/>
        </w:rPr>
      </w:pPr>
      <w:r>
        <w:rPr>
          <w:rFonts w:hint="default" w:ascii="宋体" w:hAnsi="宋体" w:eastAsia="宋体" w:cs="宋体"/>
          <w:color w:val="000000"/>
          <w:sz w:val="24"/>
        </w:rPr>
        <w:t>7.以上价格为协会指导价，双方可根据项目难易程度和优质优价原则协商确定。</w:t>
      </w:r>
    </w:p>
    <w:p w14:paraId="333B851E">
      <w:pPr>
        <w:pBdr>
          <w:top w:val="none" w:color="000000" w:sz="0" w:space="0"/>
          <w:left w:val="none" w:color="000000" w:sz="0" w:space="0"/>
          <w:bottom w:val="none" w:color="000000" w:sz="0" w:space="0"/>
          <w:right w:val="none" w:color="000000" w:sz="0" w:space="0"/>
        </w:pBdr>
        <w:spacing w:before="0" w:after="0" w:line="68" w:lineRule="atLeast"/>
        <w:ind w:left="0" w:right="0" w:firstLine="561"/>
        <w:jc w:val="both"/>
        <w:rPr>
          <w:rFonts w:hint="default" w:ascii="Times New Roman" w:hAnsi="Times New Roman" w:eastAsia="宋体" w:cs="Times New Roman"/>
        </w:rPr>
      </w:pPr>
      <w:r>
        <w:rPr>
          <w:rFonts w:hint="default" w:ascii="宋体" w:hAnsi="宋体" w:eastAsia="宋体" w:cs="宋体"/>
          <w:color w:val="000000"/>
          <w:sz w:val="24"/>
        </w:rPr>
        <w:t>8.账户信息：</w:t>
      </w:r>
    </w:p>
    <w:p w14:paraId="536A9F4A">
      <w:pPr>
        <w:pBdr>
          <w:top w:val="none" w:color="000000" w:sz="0" w:space="0"/>
          <w:left w:val="none" w:color="000000" w:sz="0" w:space="0"/>
          <w:bottom w:val="none" w:color="000000" w:sz="0" w:space="0"/>
          <w:right w:val="none" w:color="000000" w:sz="0" w:space="0"/>
        </w:pBdr>
        <w:spacing w:before="0" w:after="0" w:line="68" w:lineRule="atLeast"/>
        <w:ind w:left="0" w:right="0" w:firstLine="561"/>
        <w:jc w:val="both"/>
        <w:rPr>
          <w:rFonts w:hint="default" w:ascii="Times New Roman" w:hAnsi="Times New Roman" w:eastAsia="宋体" w:cs="Times New Roman"/>
          <w:lang w:val="en-US" w:eastAsia="zh-CN"/>
        </w:rPr>
      </w:pPr>
      <w:r>
        <w:rPr>
          <w:rFonts w:hint="default" w:ascii="宋体" w:hAnsi="宋体" w:eastAsia="宋体" w:cs="宋体"/>
          <w:color w:val="000000"/>
          <w:sz w:val="24"/>
        </w:rPr>
        <w:t>收款人：</w:t>
      </w:r>
      <w:r>
        <w:rPr>
          <w:rFonts w:hint="eastAsia" w:ascii="宋体" w:hAnsi="宋体" w:eastAsia="宋体" w:cs="宋体"/>
          <w:color w:val="000000"/>
          <w:sz w:val="24"/>
          <w:lang w:eastAsia="zh-CN"/>
        </w:rPr>
        <w:t>江苏智汇锡建工程项目管理有限公司</w:t>
      </w:r>
      <w:r>
        <w:rPr>
          <w:rFonts w:hint="eastAsia" w:ascii="宋体" w:hAnsi="宋体" w:eastAsia="宋体" w:cs="宋体"/>
          <w:color w:val="000000"/>
          <w:sz w:val="24"/>
          <w:lang w:val="en-US" w:eastAsia="zh-CN"/>
        </w:rPr>
        <w:t>启明分公司</w:t>
      </w:r>
    </w:p>
    <w:p w14:paraId="1297B049">
      <w:pPr>
        <w:pBdr>
          <w:top w:val="none" w:color="000000" w:sz="0" w:space="0"/>
          <w:left w:val="none" w:color="000000" w:sz="0" w:space="0"/>
          <w:bottom w:val="none" w:color="000000" w:sz="0" w:space="0"/>
          <w:right w:val="none" w:color="000000" w:sz="0" w:space="0"/>
        </w:pBdr>
        <w:spacing w:before="0" w:after="0" w:line="68" w:lineRule="atLeast"/>
        <w:ind w:left="0" w:right="0" w:firstLine="561"/>
        <w:jc w:val="both"/>
        <w:rPr>
          <w:rFonts w:hint="eastAsia" w:ascii="Times New Roman" w:hAnsi="Times New Roman" w:eastAsia="宋体" w:cs="Times New Roman"/>
          <w:lang w:eastAsia="zh-CN"/>
        </w:rPr>
      </w:pPr>
      <w:r>
        <w:rPr>
          <w:rFonts w:hint="default" w:ascii="宋体" w:hAnsi="宋体" w:eastAsia="宋体" w:cs="宋体"/>
          <w:color w:val="000000"/>
          <w:sz w:val="24"/>
        </w:rPr>
        <w:t>开户银行：</w:t>
      </w:r>
      <w:r>
        <w:rPr>
          <w:rFonts w:hint="eastAsia" w:ascii="宋体" w:hAnsi="宋体" w:eastAsia="宋体" w:cs="宋体"/>
          <w:color w:val="000000"/>
          <w:sz w:val="24"/>
          <w:lang w:eastAsia="zh-CN"/>
        </w:rPr>
        <w:t>中国银行铜山支行</w:t>
      </w:r>
    </w:p>
    <w:p w14:paraId="5113472C">
      <w:pPr>
        <w:pBdr>
          <w:top w:val="none" w:color="000000" w:sz="0" w:space="0"/>
          <w:left w:val="none" w:color="000000" w:sz="0" w:space="0"/>
          <w:bottom w:val="none" w:color="000000" w:sz="0" w:space="0"/>
          <w:right w:val="none" w:color="000000" w:sz="0" w:space="0"/>
        </w:pBdr>
        <w:spacing w:before="0" w:after="0" w:line="68" w:lineRule="atLeast"/>
        <w:ind w:left="0" w:right="0" w:firstLine="561"/>
        <w:jc w:val="both"/>
        <w:rPr>
          <w:rFonts w:hint="default" w:ascii="Times New Roman" w:hAnsi="Times New Roman" w:eastAsia="宋体" w:cs="Times New Roman"/>
        </w:rPr>
      </w:pPr>
      <w:r>
        <w:rPr>
          <w:rFonts w:hint="default" w:ascii="宋体" w:hAnsi="宋体" w:eastAsia="宋体" w:cs="宋体"/>
          <w:color w:val="000000"/>
          <w:sz w:val="24"/>
        </w:rPr>
        <w:t>账号：</w:t>
      </w:r>
      <w:r>
        <w:rPr>
          <w:rFonts w:hint="eastAsia" w:ascii="宋体" w:hAnsi="宋体" w:eastAsia="宋体" w:cs="宋体"/>
          <w:color w:val="000000"/>
          <w:sz w:val="24"/>
          <w:lang w:eastAsia="zh-CN"/>
        </w:rPr>
        <w:t>459858206774</w:t>
      </w:r>
      <w:r>
        <w:rPr>
          <w:rFonts w:hint="default" w:ascii="Times New Roman" w:hAnsi="Times New Roman" w:eastAsia="Times New Roman" w:cs="Times New Roman"/>
          <w:color w:val="000000"/>
          <w:sz w:val="21"/>
        </w:rPr>
        <w:t> </w:t>
      </w:r>
    </w:p>
    <w:p w14:paraId="3EBC16D2">
      <w:pPr>
        <w:rPr>
          <w:rFonts w:hint="default" w:ascii="Times New Roman" w:hAnsi="Times New Roman" w:eastAsia="宋体" w:cs="Times New Roman"/>
        </w:rPr>
      </w:pPr>
    </w:p>
    <w:p w14:paraId="4A80EB82"/>
    <w:sectPr>
      <w:footerReference r:id="rId7" w:type="first"/>
      <w:headerReference r:id="rId5" w:type="default"/>
      <w:footerReference r:id="rId6" w:type="default"/>
      <w:pgSz w:w="11906" w:h="16838"/>
      <w:pgMar w:top="1383" w:right="1440" w:bottom="1383" w:left="144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楷体_GB2312">
    <w:altName w:val="宋体"/>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AE371">
    <w:pPr>
      <w:widowControl w:val="0"/>
      <w:tabs>
        <w:tab w:val="center" w:pos="7143"/>
        <w:tab w:val="right" w:pos="14287"/>
      </w:tabs>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4A7767">
                          <w:pPr>
                            <w:widowControl w:val="0"/>
                            <w:tabs>
                              <w:tab w:val="center" w:pos="7143"/>
                              <w:tab w:val="right" w:pos="14287"/>
                            </w:tabs>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1</w:t>
                          </w:r>
                          <w:r>
                            <w:rPr>
                              <w:rFonts w:hint="default" w:ascii="Times New Roman" w:hAnsi="Times New Roman" w:eastAsia="宋体" w:cs="Times New Roman"/>
                              <w:sz w:val="21"/>
                              <w:szCs w:val="24"/>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CpSmK/QwIAAH4EAAAOAAAAAAAAAAEAIAAAAB8BAABk&#10;cnMvZTJvRG9jLnhtbFBLBQYAAAAABgAGAFkBAADUBQAAAAA=&#10;">
              <v:fill on="f" focussize="0,0"/>
              <v:stroke on="f" weight="0.5pt"/>
              <v:imagedata o:title=""/>
              <o:lock v:ext="edit" aspectratio="f"/>
              <v:textbox inset="0mm,0mm,0mm,0mm" style="mso-fit-shape-to-text:t;">
                <w:txbxContent>
                  <w:p w14:paraId="024A7767">
                    <w:pPr>
                      <w:widowControl w:val="0"/>
                      <w:tabs>
                        <w:tab w:val="center" w:pos="7143"/>
                        <w:tab w:val="right" w:pos="14287"/>
                      </w:tabs>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1</w:t>
                    </w:r>
                    <w:r>
                      <w:rPr>
                        <w:rFonts w:hint="default" w:ascii="Times New Roman" w:hAnsi="Times New Roman" w:eastAsia="宋体" w:cs="Times New Roman"/>
                        <w:sz w:val="21"/>
                        <w:szCs w:val="24"/>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6006C">
    <w:pPr>
      <w:widowControl w:val="0"/>
      <w:tabs>
        <w:tab w:val="center" w:pos="7143"/>
        <w:tab w:val="right" w:pos="14287"/>
      </w:tabs>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AD2A4D">
                          <w:pPr>
                            <w:rPr>
                              <w:rFonts w:ascii="Times New Roman" w:hAnsi="Times New Roman" w:eastAsia="宋体" w:cs="Times New Roma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DOemEoQwIAAH4EAAAOAAAAAAAAAAEAIAAAAB8BAABk&#10;cnMvZTJvRG9jLnhtbFBLBQYAAAAABgAGAFkBAADUBQAAAAA=&#10;">
              <v:fill on="f" focussize="0,0"/>
              <v:stroke on="f" weight="0.5pt"/>
              <v:imagedata o:title=""/>
              <o:lock v:ext="edit" aspectratio="f"/>
              <v:textbox inset="0mm,0mm,0mm,0mm" style="mso-fit-shape-to-text:t;">
                <w:txbxContent>
                  <w:p w14:paraId="3BAD2A4D">
                    <w:pPr>
                      <w:rPr>
                        <w:rFonts w:ascii="Times New Roman" w:hAnsi="Times New Roman" w:eastAsia="宋体" w:cs="Times New Roma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int="default" w:ascii="Times New Roman" w:hAnsi="Times New Roman" w:eastAsia="宋体" w:cs="Times New Roman"/>
        <w:sz w:val="21"/>
        <w:szCs w:val="24"/>
        <w:lang w:val="en-US" w:eastAsia="zh-CN" w:bidi="ar-SA"/>
      </w:rPr>
      <w:id w:val="4958960"/>
      <w:lock w:val="sdtContentLocked"/>
    </w:sdtPr>
    <w:sdtEndPr>
      <w:rPr>
        <w:rFonts w:hint="default" w:ascii="Times New Roman" w:hAnsi="Times New Roman" w:eastAsia="宋体" w:cs="Times New Roman"/>
        <w:sz w:val="21"/>
        <w:szCs w:val="24"/>
        <w:lang w:val="en-US" w:eastAsia="zh-CN" w:bidi="ar-SA"/>
      </w:rPr>
    </w:sdtEndPr>
    <w:sdtContent>
      <w:p w14:paraId="780C4EC5">
        <w:pPr>
          <w:widowControl w:val="0"/>
          <w:tabs>
            <w:tab w:val="center" w:pos="4153"/>
            <w:tab w:val="right" w:pos="8306"/>
          </w:tabs>
          <w:ind w:firstLine="360"/>
          <w:jc w:val="cente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66</w:t>
        </w:r>
        <w:r>
          <w:rPr>
            <w:rFonts w:hint="default" w:ascii="Times New Roman" w:hAnsi="Times New Roman" w:eastAsia="宋体" w:cs="Times New Roman"/>
            <w:sz w:val="18"/>
            <w:szCs w:val="18"/>
            <w:lang w:val="zh-CN" w:eastAsia="zh-CN" w:bidi="ar-SA"/>
          </w:rPr>
          <w:fldChar w:fldCharType="end"/>
        </w:r>
      </w:p>
    </w:sdtContent>
  </w:sdt>
  <w:p w14:paraId="3DE3D1AC">
    <w:pPr>
      <w:widowControl w:val="0"/>
      <w:tabs>
        <w:tab w:val="center" w:pos="4153"/>
        <w:tab w:val="right" w:pos="8306"/>
      </w:tabs>
      <w:jc w:val="left"/>
      <w:rPr>
        <w:rFonts w:hint="default" w:ascii="Times New Roman" w:hAnsi="Times New Roman" w:eastAsia="宋体" w:cs="Times New Roman"/>
        <w:sz w:val="18"/>
        <w:szCs w:val="18"/>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08726">
    <w:pPr>
      <w:widowControl w:val="0"/>
      <w:tabs>
        <w:tab w:val="center" w:pos="4153"/>
        <w:tab w:val="right" w:pos="8306"/>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2C531DDB">
                          <w:pPr>
                            <w:widowControl w:val="0"/>
                            <w:tabs>
                              <w:tab w:val="center" w:pos="4153"/>
                              <w:tab w:val="right" w:pos="8306"/>
                            </w:tabs>
                            <w:jc w:val="left"/>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65</w:t>
                          </w:r>
                          <w:r>
                            <w:rPr>
                              <w:rFonts w:hint="eastAsia" w:ascii="Times New Roman" w:hAnsi="Times New Roman" w:eastAsia="宋体" w:cs="Times New Roman"/>
                              <w:sz w:val="18"/>
                              <w:szCs w:val="18"/>
                              <w:lang w:val="en-US" w:eastAsia="zh-CN" w:bidi="ar-SA"/>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H2k9uNYBAACxAwAADgAAAAAAAAABACAAAAAe&#10;AQAAZHJzL2Uyb0RvYy54bWxQSwUGAAAAAAYABgBZAQAAZgUAAAAA&#10;">
              <v:fill on="f" focussize="0,0"/>
              <v:stroke on="f" joinstyle="miter"/>
              <v:imagedata o:title=""/>
              <o:lock v:ext="edit" aspectratio="f"/>
              <v:textbox inset="0mm,0mm,0mm,0mm" style="mso-fit-shape-to-text:t;">
                <w:txbxContent>
                  <w:p w14:paraId="2C531DDB">
                    <w:pPr>
                      <w:widowControl w:val="0"/>
                      <w:tabs>
                        <w:tab w:val="center" w:pos="4153"/>
                        <w:tab w:val="right" w:pos="8306"/>
                      </w:tabs>
                      <w:jc w:val="left"/>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65</w:t>
                    </w:r>
                    <w:r>
                      <w:rPr>
                        <w:rFonts w:hint="eastAsia" w:ascii="Times New Roman" w:hAnsi="Times New Roman" w:eastAsia="宋体" w:cs="Times New Roman"/>
                        <w:sz w:val="18"/>
                        <w:szCs w:val="18"/>
                        <w:lang w:val="en-US" w:eastAsia="zh-CN" w:bidi="ar-S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9444B">
    <w:pPr>
      <w:rPr>
        <w:rFonts w:hint="default" w:ascii="Times New Roman" w:hAnsi="Times New Roman" w:eastAsia="宋体" w:cs="Times New Roman"/>
        <w:iCs/>
        <w:sz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chineseCounting"/>
      <w:suff w:val="nothing"/>
      <w:lvlText w:val="（%1）"/>
      <w:lvlJc w:val="left"/>
      <w:pPr>
        <w:ind w:left="0" w:firstLine="420"/>
      </w:pPr>
      <w:rPr>
        <w:rFonts w:hint="eastAsia"/>
        <w:b/>
        <w:bC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7"/>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decimal"/>
      <w:lvlText w:val="%1、"/>
      <w:lvlJc w:val="left"/>
      <w:pPr>
        <w:ind w:left="231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6">
    <w:nsid w:val="0248C179"/>
    <w:multiLevelType w:val="multilevel"/>
    <w:tmpl w:val="0248C179"/>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A8F537B"/>
    <w:multiLevelType w:val="multilevel"/>
    <w:tmpl w:val="2A8F537B"/>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4D4DC07F"/>
    <w:multiLevelType w:val="multilevel"/>
    <w:tmpl w:val="4D4DC07F"/>
    <w:lvl w:ilvl="0" w:tentative="0">
      <w:start w:val="1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chineseCounting"/>
      <w:suff w:val="nothing"/>
      <w:lvlText w:val="（%1）"/>
      <w:lvlJc w:val="left"/>
      <w:pPr>
        <w:ind w:left="0" w:firstLine="420"/>
      </w:pPr>
      <w:rPr>
        <w:rFonts w:hint="eastAsia"/>
        <w:b/>
        <w:bC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A241D34"/>
    <w:multiLevelType w:val="multilevel"/>
    <w:tmpl w:val="5A241D34"/>
    <w:lvl w:ilvl="0" w:tentative="0">
      <w:start w:val="2"/>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13">
    <w:nsid w:val="72183CF9"/>
    <w:multiLevelType w:val="multilevel"/>
    <w:tmpl w:val="72183CF9"/>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A5192"/>
    <w:rsid w:val="08AE6343"/>
    <w:rsid w:val="0ECA7307"/>
    <w:rsid w:val="0FF10785"/>
    <w:rsid w:val="11A976A8"/>
    <w:rsid w:val="15E2587E"/>
    <w:rsid w:val="266F196F"/>
    <w:rsid w:val="32BA750F"/>
    <w:rsid w:val="383218F5"/>
    <w:rsid w:val="408C449A"/>
    <w:rsid w:val="4B663938"/>
    <w:rsid w:val="571D114B"/>
    <w:rsid w:val="581F559B"/>
    <w:rsid w:val="58953AAF"/>
    <w:rsid w:val="5EFD7BFF"/>
    <w:rsid w:val="60A54AAB"/>
    <w:rsid w:val="65C854C3"/>
    <w:rsid w:val="6D7970A3"/>
    <w:rsid w:val="6D8343C6"/>
    <w:rsid w:val="71791D68"/>
    <w:rsid w:val="74476C5D"/>
    <w:rsid w:val="74D061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unhideWhenUsed/>
    <w:qFormat/>
    <w:uiPriority w:val="9"/>
    <w:pPr>
      <w:keepNext/>
      <w:keepLines/>
      <w:spacing w:before="80" w:after="40"/>
      <w:outlineLvl w:val="3"/>
    </w:pPr>
    <w:rPr>
      <w:rFonts w:cstheme="majorBidi"/>
      <w:color w:val="2E54A1" w:themeColor="accent1" w:themeShade="BF"/>
      <w:sz w:val="28"/>
      <w:szCs w:val="28"/>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qFormat/>
    <w:uiPriority w:val="0"/>
  </w:style>
  <w:style w:type="table" w:default="1" w:styleId="29">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1"/>
    <w:semiHidden/>
    <w:unhideWhenUsed/>
    <w:qFormat/>
    <w:uiPriority w:val="99"/>
    <w:pPr>
      <w:spacing w:after="0" w:line="240" w:lineRule="auto"/>
    </w:pPr>
    <w:rPr>
      <w:sz w:val="20"/>
    </w:rPr>
  </w:style>
  <w:style w:type="paragraph" w:styleId="17">
    <w:name w:val="footer"/>
    <w:basedOn w:val="1"/>
    <w:link w:val="54"/>
    <w:unhideWhenUsed/>
    <w:qFormat/>
    <w:uiPriority w:val="99"/>
    <w:pPr>
      <w:tabs>
        <w:tab w:val="center" w:pos="7143"/>
        <w:tab w:val="right" w:pos="14287"/>
      </w:tabs>
      <w:spacing w:after="0" w:line="240" w:lineRule="auto"/>
    </w:pPr>
  </w:style>
  <w:style w:type="paragraph" w:styleId="18">
    <w:name w:val="header"/>
    <w:basedOn w:val="1"/>
    <w:link w:val="52"/>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7"/>
    <w:qFormat/>
    <w:uiPriority w:val="11"/>
    <w:pPr>
      <w:spacing w:before="200" w:after="200"/>
    </w:pPr>
    <w:rPr>
      <w:sz w:val="24"/>
      <w:szCs w:val="24"/>
    </w:rPr>
  </w:style>
  <w:style w:type="paragraph" w:styleId="22">
    <w:name w:val="footnote text"/>
    <w:basedOn w:val="1"/>
    <w:link w:val="180"/>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Normal (Web)"/>
    <w:basedOn w:val="1"/>
    <w:qFormat/>
    <w:uiPriority w:val="0"/>
    <w:pPr>
      <w:spacing w:before="0" w:beforeAutospacing="1" w:after="0" w:afterAutospacing="1"/>
      <w:ind w:left="0" w:right="0"/>
      <w:jc w:val="left"/>
    </w:pPr>
    <w:rPr>
      <w:sz w:val="24"/>
      <w:lang w:val="en-US" w:eastAsia="zh-CN" w:bidi="ar"/>
    </w:r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basedOn w:val="31"/>
    <w:semiHidden/>
    <w:unhideWhenUsed/>
    <w:qFormat/>
    <w:uiPriority w:val="99"/>
    <w:rPr>
      <w:vertAlign w:val="superscript"/>
    </w:rPr>
  </w:style>
  <w:style w:type="character" w:styleId="33">
    <w:name w:val="Hyperlink"/>
    <w:unhideWhenUsed/>
    <w:qFormat/>
    <w:uiPriority w:val="99"/>
    <w:rPr>
      <w:color w:val="0026E5" w:themeColor="hyperlink"/>
      <w:u w:val="single"/>
      <w14:textFill>
        <w14:solidFill>
          <w14:schemeClr w14:val="hlink"/>
        </w14:solidFill>
      </w14:textFill>
    </w:rPr>
  </w:style>
  <w:style w:type="character" w:styleId="34">
    <w:name w:val="footnote reference"/>
    <w:basedOn w:val="31"/>
    <w:unhideWhenUsed/>
    <w:qFormat/>
    <w:uiPriority w:val="99"/>
    <w:rPr>
      <w:vertAlign w:val="superscript"/>
    </w:rPr>
  </w:style>
  <w:style w:type="character" w:customStyle="1" w:styleId="35">
    <w:name w:val="Heading 1 Char"/>
    <w:basedOn w:val="31"/>
    <w:link w:val="3"/>
    <w:qFormat/>
    <w:uiPriority w:val="9"/>
    <w:rPr>
      <w:rFonts w:ascii="Arial" w:hAnsi="Arial" w:eastAsia="Arial" w:cs="Arial"/>
      <w:sz w:val="40"/>
      <w:szCs w:val="40"/>
    </w:rPr>
  </w:style>
  <w:style w:type="character" w:customStyle="1" w:styleId="36">
    <w:name w:val="Heading 2 Char"/>
    <w:basedOn w:val="31"/>
    <w:link w:val="4"/>
    <w:qFormat/>
    <w:uiPriority w:val="9"/>
    <w:rPr>
      <w:rFonts w:ascii="Arial" w:hAnsi="Arial" w:eastAsia="Arial" w:cs="Arial"/>
      <w:sz w:val="34"/>
    </w:rPr>
  </w:style>
  <w:style w:type="character" w:customStyle="1" w:styleId="37">
    <w:name w:val="Heading 3 Char"/>
    <w:basedOn w:val="31"/>
    <w:link w:val="5"/>
    <w:qFormat/>
    <w:uiPriority w:val="9"/>
    <w:rPr>
      <w:rFonts w:ascii="Arial" w:hAnsi="Arial" w:eastAsia="Arial" w:cs="Arial"/>
      <w:sz w:val="30"/>
      <w:szCs w:val="30"/>
    </w:rPr>
  </w:style>
  <w:style w:type="character" w:customStyle="1" w:styleId="38">
    <w:name w:val="Heading 4 Char"/>
    <w:basedOn w:val="31"/>
    <w:qFormat/>
    <w:uiPriority w:val="9"/>
    <w:rPr>
      <w:rFonts w:ascii="Arial" w:hAnsi="Arial" w:eastAsia="Arial" w:cs="Arial"/>
      <w:b/>
      <w:bCs/>
      <w:sz w:val="26"/>
      <w:szCs w:val="26"/>
    </w:rPr>
  </w:style>
  <w:style w:type="character" w:customStyle="1" w:styleId="39">
    <w:name w:val="Heading 5 Char"/>
    <w:basedOn w:val="31"/>
    <w:link w:val="6"/>
    <w:qFormat/>
    <w:uiPriority w:val="9"/>
    <w:rPr>
      <w:rFonts w:ascii="Arial" w:hAnsi="Arial" w:eastAsia="Arial" w:cs="Arial"/>
      <w:b/>
      <w:bCs/>
      <w:sz w:val="24"/>
      <w:szCs w:val="24"/>
    </w:rPr>
  </w:style>
  <w:style w:type="character" w:customStyle="1" w:styleId="40">
    <w:name w:val="Heading 6 Char"/>
    <w:basedOn w:val="31"/>
    <w:link w:val="7"/>
    <w:qFormat/>
    <w:uiPriority w:val="9"/>
    <w:rPr>
      <w:rFonts w:ascii="Arial" w:hAnsi="Arial" w:eastAsia="Arial" w:cs="Arial"/>
      <w:b/>
      <w:bCs/>
      <w:sz w:val="22"/>
      <w:szCs w:val="22"/>
    </w:rPr>
  </w:style>
  <w:style w:type="character" w:customStyle="1" w:styleId="41">
    <w:name w:val="Heading 7 Char"/>
    <w:basedOn w:val="31"/>
    <w:link w:val="8"/>
    <w:qFormat/>
    <w:uiPriority w:val="9"/>
    <w:rPr>
      <w:rFonts w:ascii="Arial" w:hAnsi="Arial" w:eastAsia="Arial" w:cs="Arial"/>
      <w:b/>
      <w:bCs/>
      <w:i/>
      <w:iCs/>
      <w:sz w:val="22"/>
      <w:szCs w:val="22"/>
    </w:rPr>
  </w:style>
  <w:style w:type="character" w:customStyle="1" w:styleId="42">
    <w:name w:val="Heading 8 Char"/>
    <w:basedOn w:val="31"/>
    <w:link w:val="9"/>
    <w:qFormat/>
    <w:uiPriority w:val="9"/>
    <w:rPr>
      <w:rFonts w:ascii="Arial" w:hAnsi="Arial" w:eastAsia="Arial" w:cs="Arial"/>
      <w:i/>
      <w:iCs/>
      <w:sz w:val="22"/>
      <w:szCs w:val="22"/>
    </w:rPr>
  </w:style>
  <w:style w:type="character" w:customStyle="1" w:styleId="43">
    <w:name w:val="Heading 9 Char"/>
    <w:basedOn w:val="31"/>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basedOn w:val="31"/>
    <w:link w:val="28"/>
    <w:qFormat/>
    <w:uiPriority w:val="10"/>
    <w:rPr>
      <w:sz w:val="48"/>
      <w:szCs w:val="48"/>
    </w:rPr>
  </w:style>
  <w:style w:type="character" w:customStyle="1" w:styleId="47">
    <w:name w:val="Subtitle Char"/>
    <w:basedOn w:val="31"/>
    <w:link w:val="21"/>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basedOn w:val="31"/>
    <w:link w:val="18"/>
    <w:qFormat/>
    <w:uiPriority w:val="99"/>
  </w:style>
  <w:style w:type="character" w:customStyle="1" w:styleId="53">
    <w:name w:val="Footer Char"/>
    <w:basedOn w:val="31"/>
    <w:link w:val="17"/>
    <w:qFormat/>
    <w:uiPriority w:val="99"/>
  </w:style>
  <w:style w:type="character" w:customStyle="1" w:styleId="54">
    <w:name w:val="Caption Char"/>
    <w:link w:val="17"/>
    <w:qFormat/>
    <w:uiPriority w:val="99"/>
  </w:style>
  <w:style w:type="table" w:customStyle="1" w:styleId="55">
    <w:name w:val="Table Grid Light"/>
    <w:basedOn w:val="2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basedOn w:val="2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basedOn w:val="2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basedOn w:val="2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basedOn w:val="2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basedOn w:val="2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basedOn w:val="2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basedOn w:val="29"/>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3">
    <w:name w:val="Grid Table 1 Light - Accent 2"/>
    <w:basedOn w:val="29"/>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4">
    <w:name w:val="Grid Table 1 Light - Accent 3"/>
    <w:basedOn w:val="29"/>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65">
    <w:name w:val="Grid Table 1 Light - Accent 4"/>
    <w:basedOn w:val="29"/>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66">
    <w:name w:val="Grid Table 1 Light - Accent 5"/>
    <w:basedOn w:val="29"/>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67">
    <w:name w:val="Grid Table 1 Light - Accent 6"/>
    <w:basedOn w:val="29"/>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68">
    <w:name w:val="Grid Table 2"/>
    <w:basedOn w:val="2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basedOn w:val="29"/>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0">
    <w:name w:val="Grid Table 2 - Accent 2"/>
    <w:basedOn w:val="29"/>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1">
    <w:name w:val="Grid Table 2 - Accent 3"/>
    <w:basedOn w:val="29"/>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2">
    <w:name w:val="Grid Table 2 - Accent 4"/>
    <w:basedOn w:val="29"/>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3">
    <w:name w:val="Grid Table 2 - Accent 5"/>
    <w:basedOn w:val="29"/>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4">
    <w:name w:val="Grid Table 2 - Accent 6"/>
    <w:basedOn w:val="29"/>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75">
    <w:name w:val="Grid Table 3"/>
    <w:basedOn w:val="2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basedOn w:val="29"/>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7">
    <w:name w:val="Grid Table 3 - Accent 2"/>
    <w:basedOn w:val="29"/>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8">
    <w:name w:val="Grid Table 3 - Accent 3"/>
    <w:basedOn w:val="29"/>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9">
    <w:name w:val="Grid Table 3 - Accent 4"/>
    <w:basedOn w:val="29"/>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0">
    <w:name w:val="Grid Table 3 - Accent 5"/>
    <w:basedOn w:val="29"/>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1">
    <w:name w:val="Grid Table 3 - Accent 6"/>
    <w:basedOn w:val="29"/>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2">
    <w:name w:val="Grid Table 4"/>
    <w:basedOn w:val="2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basedOn w:val="29"/>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4">
    <w:name w:val="Grid Table 4 - Accent 2"/>
    <w:basedOn w:val="29"/>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5">
    <w:name w:val="Grid Table 4 - Accent 3"/>
    <w:basedOn w:val="29"/>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6">
    <w:name w:val="Grid Table 4 - Accent 4"/>
    <w:basedOn w:val="29"/>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7">
    <w:name w:val="Grid Table 4 - Accent 5"/>
    <w:basedOn w:val="29"/>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8">
    <w:name w:val="Grid Table 4 - Accent 6"/>
    <w:basedOn w:val="29"/>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9">
    <w:name w:val="Grid Table 5 Dark"/>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1">
    <w:name w:val="Grid Table 5 Dark - Accent 2"/>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2">
    <w:name w:val="Grid Table 5 Dark - Accent 3"/>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3">
    <w:name w:val="Grid Table 5 Dark- Accent 4"/>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4">
    <w:name w:val="Grid Table 5 Dark - Accent 5"/>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95">
    <w:name w:val="Grid Table 5 Dark - Accent 6"/>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96">
    <w:name w:val="Grid Table 6 Colorful"/>
    <w:basedOn w:val="2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basedOn w:val="29"/>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basedOn w:val="29"/>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basedOn w:val="29"/>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basedOn w:val="29"/>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basedOn w:val="29"/>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2">
    <w:name w:val="Grid Table 6 Colorful - Accent 6"/>
    <w:basedOn w:val="29"/>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3">
    <w:name w:val="Grid Table 7 Colorful"/>
    <w:basedOn w:val="2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basedOn w:val="29"/>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basedOn w:val="29"/>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basedOn w:val="29"/>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basedOn w:val="29"/>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basedOn w:val="29"/>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9">
    <w:name w:val="Grid Table 7 Colorful - Accent 6"/>
    <w:basedOn w:val="29"/>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0">
    <w:name w:val="List Table 1 Light"/>
    <w:basedOn w:val="2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basedOn w:val="29"/>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2">
    <w:name w:val="List Table 1 Light - Accent 2"/>
    <w:basedOn w:val="29"/>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3">
    <w:name w:val="List Table 1 Light - Accent 3"/>
    <w:basedOn w:val="29"/>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4">
    <w:name w:val="List Table 1 Light - Accent 4"/>
    <w:basedOn w:val="29"/>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15">
    <w:name w:val="List Table 1 Light - Accent 5"/>
    <w:basedOn w:val="29"/>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16">
    <w:name w:val="List Table 1 Light - Accent 6"/>
    <w:basedOn w:val="29"/>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17">
    <w:name w:val="List Table 2"/>
    <w:basedOn w:val="2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basedOn w:val="29"/>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19">
    <w:name w:val="List Table 2 - Accent 2"/>
    <w:basedOn w:val="29"/>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0">
    <w:name w:val="List Table 2 - Accent 3"/>
    <w:basedOn w:val="29"/>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1">
    <w:name w:val="List Table 2 - Accent 4"/>
    <w:basedOn w:val="29"/>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2">
    <w:name w:val="List Table 2 - Accent 5"/>
    <w:basedOn w:val="29"/>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3">
    <w:name w:val="List Table 2 - Accent 6"/>
    <w:basedOn w:val="29"/>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4">
    <w:name w:val="List Table 3"/>
    <w:basedOn w:val="2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basedOn w:val="29"/>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26">
    <w:name w:val="List Table 3 - Accent 2"/>
    <w:basedOn w:val="29"/>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27">
    <w:name w:val="List Table 3 - Accent 3"/>
    <w:basedOn w:val="29"/>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28">
    <w:name w:val="List Table 3 - Accent 4"/>
    <w:basedOn w:val="29"/>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29">
    <w:name w:val="List Table 3 - Accent 5"/>
    <w:basedOn w:val="29"/>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0">
    <w:name w:val="List Table 3 - Accent 6"/>
    <w:basedOn w:val="29"/>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1">
    <w:name w:val="List Table 4"/>
    <w:basedOn w:val="2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basedOn w:val="29"/>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3">
    <w:name w:val="List Table 4 - Accent 2"/>
    <w:basedOn w:val="29"/>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4">
    <w:name w:val="List Table 4 - Accent 3"/>
    <w:basedOn w:val="29"/>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5">
    <w:name w:val="List Table 4 - Accent 4"/>
    <w:basedOn w:val="29"/>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6">
    <w:name w:val="List Table 4 - Accent 5"/>
    <w:basedOn w:val="29"/>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7">
    <w:name w:val="List Table 4 - Accent 6"/>
    <w:basedOn w:val="29"/>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8">
    <w:name w:val="List Table 5 Dark"/>
    <w:basedOn w:val="2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basedOn w:val="29"/>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0">
    <w:name w:val="List Table 5 Dark - Accent 2"/>
    <w:basedOn w:val="29"/>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1">
    <w:name w:val="List Table 5 Dark - Accent 3"/>
    <w:basedOn w:val="29"/>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2">
    <w:name w:val="List Table 5 Dark - Accent 4"/>
    <w:basedOn w:val="29"/>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3">
    <w:name w:val="List Table 5 Dark - Accent 5"/>
    <w:basedOn w:val="29"/>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4">
    <w:name w:val="List Table 5 Dark - Accent 6"/>
    <w:basedOn w:val="29"/>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45">
    <w:name w:val="List Table 6 Colorful"/>
    <w:basedOn w:val="2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basedOn w:val="29"/>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47">
    <w:name w:val="List Table 6 Colorful - Accent 2"/>
    <w:basedOn w:val="29"/>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basedOn w:val="29"/>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basedOn w:val="29"/>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basedOn w:val="29"/>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basedOn w:val="29"/>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2">
    <w:name w:val="List Table 7 Colorful"/>
    <w:basedOn w:val="2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basedOn w:val="29"/>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4">
    <w:name w:val="List Table 7 Colorful - Accent 2"/>
    <w:basedOn w:val="29"/>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basedOn w:val="29"/>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basedOn w:val="29"/>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basedOn w:val="29"/>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basedOn w:val="29"/>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9">
    <w:name w:val="Lined - Accent"/>
    <w:basedOn w:val="2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basedOn w:val="29"/>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1">
    <w:name w:val="Lined - Accent 2"/>
    <w:basedOn w:val="29"/>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2">
    <w:name w:val="Lined - Accent 3"/>
    <w:basedOn w:val="29"/>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3">
    <w:name w:val="Lined - Accent 4"/>
    <w:basedOn w:val="29"/>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4">
    <w:name w:val="Lined - Accent 5"/>
    <w:basedOn w:val="29"/>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65">
    <w:name w:val="Lined - Accent 6"/>
    <w:basedOn w:val="29"/>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66">
    <w:name w:val="Bordered &amp; Lined - Accent"/>
    <w:basedOn w:val="2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basedOn w:val="29"/>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8">
    <w:name w:val="Bordered &amp; Lined - Accent 2"/>
    <w:basedOn w:val="29"/>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9">
    <w:name w:val="Bordered &amp; Lined - Accent 3"/>
    <w:basedOn w:val="29"/>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0">
    <w:name w:val="Bordered &amp; Lined - Accent 4"/>
    <w:basedOn w:val="29"/>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1">
    <w:name w:val="Bordered &amp; Lined - Accent 5"/>
    <w:basedOn w:val="29"/>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2">
    <w:name w:val="Bordered &amp; Lined - Accent 6"/>
    <w:basedOn w:val="29"/>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3">
    <w:name w:val="Bordered"/>
    <w:basedOn w:val="2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basedOn w:val="29"/>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75">
    <w:name w:val="Bordered - Accent 2"/>
    <w:basedOn w:val="29"/>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76">
    <w:name w:val="Bordered - Accent 3"/>
    <w:basedOn w:val="29"/>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77">
    <w:name w:val="Bordered - Accent 4"/>
    <w:basedOn w:val="29"/>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78">
    <w:name w:val="Bordered - Accent 5"/>
    <w:basedOn w:val="29"/>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79">
    <w:name w:val="Bordered - Accent 6"/>
    <w:basedOn w:val="29"/>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0">
    <w:name w:val="Footnote Text Char"/>
    <w:link w:val="22"/>
    <w:qFormat/>
    <w:uiPriority w:val="99"/>
    <w:rPr>
      <w:sz w:val="18"/>
    </w:rPr>
  </w:style>
  <w:style w:type="character" w:customStyle="1" w:styleId="181">
    <w:name w:val="Endnote Text Char"/>
    <w:link w:val="16"/>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8731</Words>
  <Characters>9338</Characters>
  <TotalTime>0</TotalTime>
  <ScaleCrop>false</ScaleCrop>
  <LinksUpToDate>false</LinksUpToDate>
  <CharactersWithSpaces>9420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2026-09-02T07:56:00Z</dcterms:created>
  <dc:creator>君莫问</dc:creator>
  <cp:lastModifiedBy>君莫问</cp:lastModifiedBy>
  <dcterms:modified xsi:type="dcterms:W3CDTF">2026-09-16T01:29:55Z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F9700879459740E79F86A6C4E4FE7092_13</vt:lpwstr>
  </property>
  <property fmtid="{D5CDD505-2E9C-101B-9397-08002B2CF9AE}" pid="4" name="KSOTemplateDocerSaveRecord">
    <vt:lpwstr>eyJoZGlkIjoiZDdjZTRiYmY4NWIzMTM1MDBhYjViZmE4ZmM2YjVhNmMiLCJ1c2VySWQiOiIyNzcyMTkyNjMifQ==</vt:lpwstr>
  </property>
</Properties>
</file>