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73F03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lang w:val="en-US" w:eastAsia="zh-CN"/>
        </w:rPr>
      </w:pPr>
      <w:r>
        <w:rPr>
          <w:rFonts w:hint="eastAsia" w:ascii="宋体" w:hAnsi="宋体" w:eastAsia="宋体" w:cs="宋体"/>
          <w:color w:val="auto"/>
          <w:kern w:val="0"/>
          <w:sz w:val="24"/>
          <w:szCs w:val="24"/>
          <w:lang w:val="en-US" w:eastAsia="zh-CN" w:bidi="ar"/>
        </w:rPr>
        <w:t>如有修改意见，请以书面形式并加盖公章、注明联系人、联系方式，于2026年09月29日17:00 之前送至我单位，逾期不受理（如邮寄，2026年09月29日17:00</w:t>
      </w:r>
    </w:p>
    <w:p w14:paraId="2E6D117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Calibri" w:hAnsi="Calibri" w:eastAsia="宋体" w:cs="Times New Roman"/>
          <w:color w:val="auto"/>
        </w:rPr>
      </w:pPr>
      <w:r>
        <w:rPr>
          <w:rFonts w:hint="eastAsia" w:ascii="宋体" w:hAnsi="宋体" w:eastAsia="宋体" w:cs="宋体"/>
          <w:color w:val="auto"/>
          <w:kern w:val="0"/>
          <w:sz w:val="24"/>
          <w:szCs w:val="24"/>
          <w:lang w:val="en-US" w:eastAsia="zh-CN" w:bidi="ar"/>
        </w:rPr>
        <w:t>之后到达本公司的邮件将不再受理）。</w:t>
      </w:r>
    </w:p>
    <w:p w14:paraId="758DC905">
      <w:pPr>
        <w:widowControl/>
        <w:spacing w:line="360" w:lineRule="auto"/>
        <w:jc w:val="center"/>
        <w:rPr>
          <w:rFonts w:hint="default" w:ascii="Times New Roman" w:hAnsi="Times New Roman" w:eastAsia="方正小标宋_GBK" w:cs="Times New Roman"/>
          <w:b w:val="0"/>
          <w:bCs/>
          <w:kern w:val="0"/>
          <w:sz w:val="42"/>
          <w:szCs w:val="42"/>
          <w:highlight w:val="none"/>
        </w:rPr>
        <w:sectPr>
          <w:pgSz w:w="11906" w:h="16838"/>
          <w:pgMar w:top="1440" w:right="1587" w:bottom="1440" w:left="1587" w:header="851" w:footer="992" w:gutter="0"/>
          <w:cols w:space="425" w:num="1"/>
          <w:docGrid w:type="lines" w:linePitch="312" w:charSpace="0"/>
        </w:sectPr>
      </w:pPr>
      <w:bookmarkStart w:id="0" w:name="_GoBack"/>
      <w:bookmarkEnd w:id="0"/>
    </w:p>
    <w:p w14:paraId="6644A424">
      <w:pPr>
        <w:widowControl/>
        <w:spacing w:line="360" w:lineRule="auto"/>
        <w:jc w:val="center"/>
        <w:rPr>
          <w:rFonts w:hint="default" w:ascii="Times New Roman" w:hAnsi="Times New Roman" w:eastAsia="方正小标宋_GBK" w:cs="Times New Roman"/>
          <w:b w:val="0"/>
          <w:bCs/>
          <w:kern w:val="0"/>
          <w:sz w:val="42"/>
          <w:szCs w:val="42"/>
          <w:highlight w:val="none"/>
        </w:rPr>
      </w:pPr>
      <w:r>
        <w:rPr>
          <w:rFonts w:hint="default" w:ascii="Times New Roman" w:hAnsi="Times New Roman" w:eastAsia="方正小标宋_GBK" w:cs="Times New Roman"/>
          <w:b w:val="0"/>
          <w:bCs/>
          <w:kern w:val="0"/>
          <w:sz w:val="42"/>
          <w:szCs w:val="42"/>
          <w:highlight w:val="none"/>
        </w:rPr>
        <w:t>项目</w:t>
      </w:r>
      <w:r>
        <w:rPr>
          <w:rFonts w:hint="default" w:ascii="Times New Roman" w:hAnsi="Times New Roman" w:eastAsia="方正小标宋_GBK" w:cs="Times New Roman"/>
          <w:b w:val="0"/>
          <w:bCs/>
          <w:kern w:val="0"/>
          <w:sz w:val="42"/>
          <w:szCs w:val="42"/>
          <w:highlight w:val="none"/>
          <w:lang w:eastAsia="zh-CN"/>
        </w:rPr>
        <w:t>采购需求</w:t>
      </w:r>
      <w:r>
        <w:rPr>
          <w:rFonts w:hint="default" w:ascii="Times New Roman" w:hAnsi="Times New Roman" w:eastAsia="方正小标宋_GBK" w:cs="Times New Roman"/>
          <w:b w:val="0"/>
          <w:bCs/>
          <w:kern w:val="0"/>
          <w:sz w:val="42"/>
          <w:szCs w:val="42"/>
          <w:highlight w:val="none"/>
        </w:rPr>
        <w:t>（</w:t>
      </w:r>
      <w:r>
        <w:rPr>
          <w:rFonts w:hint="default" w:ascii="Times New Roman" w:hAnsi="Times New Roman" w:eastAsia="方正小标宋_GBK" w:cs="Times New Roman"/>
          <w:b w:val="0"/>
          <w:bCs/>
          <w:kern w:val="0"/>
          <w:sz w:val="42"/>
          <w:szCs w:val="42"/>
          <w:highlight w:val="none"/>
          <w:lang w:val="en-US" w:eastAsia="zh-CN"/>
        </w:rPr>
        <w:t>2026</w:t>
      </w:r>
      <w:r>
        <w:rPr>
          <w:rFonts w:hint="default" w:ascii="Times New Roman" w:hAnsi="Times New Roman" w:eastAsia="方正小标宋_GBK" w:cs="Times New Roman"/>
          <w:b w:val="0"/>
          <w:bCs/>
          <w:kern w:val="0"/>
          <w:sz w:val="42"/>
          <w:szCs w:val="42"/>
          <w:highlight w:val="none"/>
        </w:rPr>
        <w:t>）</w:t>
      </w:r>
    </w:p>
    <w:p w14:paraId="463A87C5">
      <w:pPr>
        <w:widowControl/>
        <w:spacing w:line="360" w:lineRule="auto"/>
        <w:jc w:val="center"/>
        <w:rPr>
          <w:rFonts w:hint="default" w:ascii="Times New Roman" w:hAnsi="Times New Roman" w:eastAsia="方正仿宋_GBK" w:cs="Times New Roman"/>
          <w:b/>
          <w:kern w:val="0"/>
          <w:sz w:val="34"/>
          <w:szCs w:val="34"/>
          <w:highlight w:val="none"/>
        </w:rPr>
      </w:pPr>
    </w:p>
    <w:p w14:paraId="1E56EDE7">
      <w:pPr>
        <w:spacing w:beforeLines="0" w:afterLines="0" w:line="360" w:lineRule="auto"/>
        <w:ind w:firstLine="420"/>
        <w:rPr>
          <w:rFonts w:hint="default" w:ascii="Times New Roman" w:hAnsi="Times New Roman" w:eastAsia="方正黑体_GBK" w:cs="Times New Roman"/>
          <w:b w:val="0"/>
          <w:bCs w:val="0"/>
          <w:color w:val="auto"/>
          <w:sz w:val="34"/>
          <w:szCs w:val="34"/>
        </w:rPr>
      </w:pPr>
      <w:r>
        <w:rPr>
          <w:rFonts w:hint="default" w:ascii="Times New Roman" w:hAnsi="Times New Roman" w:eastAsia="方正黑体_GBK" w:cs="Times New Roman"/>
          <w:b w:val="0"/>
          <w:bCs w:val="0"/>
          <w:kern w:val="0"/>
          <w:sz w:val="34"/>
          <w:szCs w:val="34"/>
        </w:rPr>
        <w:t>一、</w:t>
      </w:r>
      <w:r>
        <w:rPr>
          <w:rFonts w:hint="default" w:ascii="Times New Roman" w:hAnsi="Times New Roman" w:eastAsia="方正黑体_GBK" w:cs="Times New Roman"/>
          <w:b w:val="0"/>
          <w:bCs w:val="0"/>
          <w:color w:val="auto"/>
          <w:sz w:val="34"/>
          <w:szCs w:val="34"/>
        </w:rPr>
        <w:t>项目概况</w:t>
      </w:r>
    </w:p>
    <w:p w14:paraId="53466E4D">
      <w:pPr>
        <w:spacing w:line="360" w:lineRule="auto"/>
        <w:ind w:firstLine="680" w:firstLineChars="200"/>
        <w:rPr>
          <w:rFonts w:hint="default" w:ascii="Times New Roman" w:hAnsi="Times New Roman" w:eastAsia="方正仿宋_GBK" w:cs="Times New Roman"/>
          <w:sz w:val="34"/>
          <w:szCs w:val="34"/>
        </w:rPr>
      </w:pPr>
      <w:r>
        <w:rPr>
          <w:rFonts w:hint="default" w:ascii="Times New Roman" w:hAnsi="Times New Roman" w:eastAsia="方正仿宋_GBK" w:cs="Times New Roman"/>
          <w:sz w:val="34"/>
          <w:szCs w:val="34"/>
        </w:rPr>
        <w:t>1.项目名称：</w:t>
      </w:r>
      <w:r>
        <w:rPr>
          <w:rStyle w:val="5"/>
          <w:rFonts w:hint="default" w:ascii="Times New Roman" w:hAnsi="Times New Roman" w:eastAsia="方正仿宋_GBK" w:cs="Times New Roman"/>
          <w:b w:val="0"/>
          <w:bCs w:val="0"/>
          <w:sz w:val="34"/>
          <w:lang w:eastAsia="zh-CN"/>
        </w:rPr>
        <w:t>沛县城市更新专项规划、片区策划和</w:t>
      </w:r>
      <w:r>
        <w:rPr>
          <w:rStyle w:val="5"/>
          <w:rFonts w:hint="default" w:ascii="Times New Roman" w:hAnsi="Times New Roman" w:eastAsia="方正仿宋_GBK" w:cs="Times New Roman"/>
          <w:b w:val="0"/>
          <w:bCs w:val="0"/>
          <w:sz w:val="34"/>
          <w:lang w:val="en-US" w:eastAsia="zh-CN"/>
        </w:rPr>
        <w:t>2026年度县城体检。</w:t>
      </w:r>
    </w:p>
    <w:p w14:paraId="5029F975">
      <w:pPr>
        <w:spacing w:line="360" w:lineRule="auto"/>
        <w:ind w:firstLine="680" w:firstLineChars="200"/>
        <w:rPr>
          <w:rFonts w:hint="default" w:ascii="Times New Roman" w:hAnsi="Times New Roman" w:eastAsia="方正仿宋_GBK" w:cs="Times New Roman"/>
          <w:sz w:val="34"/>
          <w:szCs w:val="34"/>
        </w:rPr>
      </w:pPr>
      <w:r>
        <w:rPr>
          <w:rFonts w:hint="default" w:ascii="Times New Roman" w:hAnsi="Times New Roman" w:eastAsia="方正仿宋_GBK" w:cs="Times New Roman"/>
          <w:sz w:val="34"/>
          <w:szCs w:val="34"/>
        </w:rPr>
        <w:t>2.项目预算</w:t>
      </w:r>
      <w:r>
        <w:rPr>
          <w:rFonts w:hint="default" w:ascii="Times New Roman" w:hAnsi="Times New Roman" w:eastAsia="方正仿宋_GBK" w:cs="Times New Roman"/>
          <w:sz w:val="34"/>
          <w:szCs w:val="34"/>
          <w:lang w:eastAsia="zh-CN"/>
        </w:rPr>
        <w:t>：</w:t>
      </w:r>
      <w:r>
        <w:rPr>
          <w:rStyle w:val="5"/>
          <w:rFonts w:hint="default" w:ascii="Times New Roman" w:hAnsi="Times New Roman" w:eastAsia="方正仿宋_GBK" w:cs="Times New Roman"/>
          <w:b w:val="0"/>
          <w:bCs w:val="0"/>
          <w:sz w:val="34"/>
          <w:lang w:eastAsia="zh-CN"/>
        </w:rPr>
        <w:t>本项目不接受超过</w:t>
      </w:r>
      <w:r>
        <w:rPr>
          <w:rStyle w:val="5"/>
          <w:rFonts w:hint="default" w:ascii="Times New Roman" w:hAnsi="Times New Roman" w:eastAsia="方正仿宋_GBK" w:cs="Times New Roman"/>
          <w:b w:val="0"/>
          <w:bCs w:val="0"/>
          <w:sz w:val="34"/>
          <w:lang w:val="en-US" w:eastAsia="zh-CN"/>
        </w:rPr>
        <w:t>230</w:t>
      </w:r>
      <w:r>
        <w:rPr>
          <w:rStyle w:val="5"/>
          <w:rFonts w:hint="default" w:ascii="Times New Roman" w:hAnsi="Times New Roman" w:eastAsia="方正仿宋_GBK" w:cs="Times New Roman"/>
          <w:b w:val="0"/>
          <w:bCs w:val="0"/>
          <w:sz w:val="34"/>
          <w:lang w:eastAsia="zh-CN"/>
        </w:rPr>
        <w:t>万元人民币（采购项目预算金额）的报价。（最后报价超过预算金额的为无效报价，按照无效响应处理。报价包括但不限于税金、劳务费、服务、供应商的利润等供应商所认为的与本项目相关的全部费用。采购人不再支付报价以外的任何费用。）</w:t>
      </w:r>
    </w:p>
    <w:p w14:paraId="7C8672D4">
      <w:pPr>
        <w:spacing w:line="360" w:lineRule="auto"/>
        <w:ind w:firstLine="680" w:firstLineChars="200"/>
        <w:rPr>
          <w:rFonts w:hint="default" w:ascii="Times New Roman" w:hAnsi="Times New Roman" w:eastAsia="方正仿宋_GBK" w:cs="Times New Roman"/>
          <w:sz w:val="34"/>
          <w:szCs w:val="34"/>
        </w:rPr>
      </w:pPr>
      <w:r>
        <w:rPr>
          <w:rFonts w:hint="default" w:ascii="Times New Roman" w:hAnsi="Times New Roman" w:eastAsia="方正仿宋_GBK" w:cs="Times New Roman"/>
          <w:sz w:val="34"/>
          <w:szCs w:val="34"/>
        </w:rPr>
        <w:t>3.质量标准：符合国家及省、市相关法律法规、政策文件和相关规划，</w:t>
      </w:r>
      <w:r>
        <w:rPr>
          <w:rFonts w:hint="default" w:ascii="Times New Roman" w:hAnsi="Times New Roman" w:eastAsia="方正仿宋_GBK" w:cs="Times New Roman"/>
          <w:sz w:val="34"/>
          <w:szCs w:val="34"/>
          <w:lang w:eastAsia="zh-CN"/>
        </w:rPr>
        <w:t>成果</w:t>
      </w:r>
      <w:r>
        <w:rPr>
          <w:rFonts w:hint="default" w:ascii="Times New Roman" w:hAnsi="Times New Roman" w:eastAsia="方正仿宋_GBK" w:cs="Times New Roman"/>
          <w:sz w:val="34"/>
          <w:szCs w:val="34"/>
        </w:rPr>
        <w:t>满足采购人要求</w:t>
      </w:r>
      <w:r>
        <w:rPr>
          <w:rFonts w:hint="default" w:ascii="Times New Roman" w:hAnsi="Times New Roman" w:eastAsia="方正仿宋_GBK" w:cs="Times New Roman"/>
          <w:sz w:val="34"/>
          <w:szCs w:val="34"/>
          <w:lang w:eastAsia="zh-CN"/>
        </w:rPr>
        <w:t>，并顺利通过论证审查。</w:t>
      </w:r>
    </w:p>
    <w:p w14:paraId="335E8AFC">
      <w:pPr>
        <w:spacing w:line="360" w:lineRule="auto"/>
        <w:ind w:firstLine="680" w:firstLineChars="200"/>
        <w:rPr>
          <w:rFonts w:hint="default" w:ascii="Times New Roman" w:hAnsi="Times New Roman" w:eastAsia="方正仿宋_GBK" w:cs="Times New Roman"/>
          <w:sz w:val="34"/>
          <w:szCs w:val="34"/>
          <w:lang w:val="en-US" w:eastAsia="zh-CN"/>
        </w:rPr>
      </w:pPr>
      <w:r>
        <w:rPr>
          <w:rFonts w:hint="default" w:ascii="Times New Roman" w:hAnsi="Times New Roman" w:eastAsia="方正仿宋_GBK" w:cs="Times New Roman"/>
          <w:sz w:val="34"/>
          <w:szCs w:val="34"/>
        </w:rPr>
        <w:t>4.项目期限：自合同签订之日起</w:t>
      </w:r>
      <w:r>
        <w:rPr>
          <w:rFonts w:hint="default" w:ascii="Times New Roman" w:hAnsi="Times New Roman" w:eastAsia="方正仿宋_GBK" w:cs="Times New Roman"/>
          <w:sz w:val="34"/>
          <w:szCs w:val="34"/>
          <w:lang w:val="en-US" w:eastAsia="zh-CN"/>
        </w:rPr>
        <w:t>180天。</w:t>
      </w:r>
    </w:p>
    <w:p w14:paraId="4470C52B">
      <w:pPr>
        <w:spacing w:line="360" w:lineRule="auto"/>
        <w:ind w:firstLine="680" w:firstLineChars="200"/>
        <w:rPr>
          <w:rFonts w:hint="default" w:ascii="Times New Roman" w:hAnsi="Times New Roman" w:eastAsia="方正仿宋_GBK" w:cs="Times New Roman"/>
          <w:sz w:val="34"/>
          <w:szCs w:val="34"/>
          <w:lang w:eastAsia="zh-CN"/>
        </w:rPr>
      </w:pPr>
      <w:r>
        <w:rPr>
          <w:rFonts w:hint="default" w:ascii="Times New Roman" w:hAnsi="Times New Roman" w:eastAsia="方正仿宋_GBK" w:cs="Times New Roman"/>
          <w:sz w:val="34"/>
          <w:szCs w:val="34"/>
        </w:rPr>
        <w:t>5.项目范围：本次规划严格衔接县域国土空间总体规划，全域覆盖县中心城区建成区，总面积约63.2平方公里</w:t>
      </w:r>
      <w:r>
        <w:rPr>
          <w:rFonts w:hint="eastAsia" w:ascii="Times New Roman" w:hAnsi="Times New Roman" w:eastAsia="方正仿宋_GBK" w:cs="Times New Roman"/>
          <w:sz w:val="34"/>
          <w:szCs w:val="34"/>
          <w:lang w:eastAsia="zh-CN"/>
        </w:rPr>
        <w:t>。</w:t>
      </w:r>
      <w:r>
        <w:rPr>
          <w:rFonts w:hint="default" w:ascii="Times New Roman" w:hAnsi="Times New Roman" w:eastAsia="方正仿宋_GBK" w:cs="Times New Roman"/>
          <w:sz w:val="34"/>
          <w:szCs w:val="34"/>
        </w:rPr>
        <w:t>在总面积控制的前提下，具体工作范围将根据实际需要进行适当调整</w:t>
      </w:r>
      <w:r>
        <w:rPr>
          <w:rFonts w:hint="eastAsia" w:ascii="Times New Roman" w:hAnsi="Times New Roman" w:eastAsia="方正仿宋_GBK" w:cs="Times New Roman"/>
          <w:sz w:val="34"/>
          <w:szCs w:val="34"/>
          <w:lang w:eastAsia="zh-CN"/>
        </w:rPr>
        <w:t>。</w:t>
      </w:r>
    </w:p>
    <w:p w14:paraId="21D8985D">
      <w:pPr>
        <w:spacing w:line="360" w:lineRule="auto"/>
        <w:ind w:firstLine="420"/>
        <w:rPr>
          <w:rFonts w:hint="default" w:ascii="Times New Roman" w:hAnsi="Times New Roman" w:eastAsia="方正黑体_GBK" w:cs="Times New Roman"/>
          <w:b w:val="0"/>
          <w:bCs/>
          <w:sz w:val="34"/>
          <w:szCs w:val="34"/>
        </w:rPr>
      </w:pPr>
      <w:r>
        <w:rPr>
          <w:rFonts w:hint="default" w:ascii="Times New Roman" w:hAnsi="Times New Roman" w:eastAsia="方正黑体_GBK" w:cs="Times New Roman"/>
          <w:b w:val="0"/>
          <w:bCs/>
          <w:sz w:val="34"/>
          <w:szCs w:val="34"/>
        </w:rPr>
        <w:t>二、项目背景</w:t>
      </w:r>
    </w:p>
    <w:p w14:paraId="08CB2C9A">
      <w:pPr>
        <w:spacing w:line="360" w:lineRule="auto"/>
        <w:ind w:firstLine="680" w:firstLineChars="200"/>
        <w:rPr>
          <w:rFonts w:hint="eastAsia" w:ascii="Times New Roman" w:hAnsi="Times New Roman" w:eastAsia="方正仿宋_GBK" w:cs="Times New Roman"/>
          <w:sz w:val="34"/>
          <w:szCs w:val="34"/>
          <w:lang w:eastAsia="zh-CN"/>
        </w:rPr>
      </w:pPr>
      <w:r>
        <w:rPr>
          <w:rFonts w:hint="default" w:ascii="Times New Roman" w:hAnsi="Times New Roman" w:eastAsia="方正仿宋_GBK" w:cs="Times New Roman"/>
          <w:sz w:val="34"/>
          <w:szCs w:val="34"/>
        </w:rPr>
        <w:t>实施城市更新行动，是党中央立足新时代新征程作出的重大战略决策，是我国城市发展模式从大规模增量建设向存量提质增效转型的核心举措，也是推进城市治理现代化、夯实中国式现代化城市建设根基的重要抓手，对全面提升城市功能品质、优化人居环境、增进民生福祉、推动经济社会高质量可持续发展具有重大且深远的战略意义。开展年度城市体检、编制城市更新专项规划与片区策划方案，是严格贯彻落实国家、省、市关于城市更新工作系列决策部署的法定要求和关键基础性工作，是构建科学闭环城市更新工作体系的核心环节</w:t>
      </w:r>
      <w:r>
        <w:rPr>
          <w:rFonts w:hint="eastAsia" w:ascii="Times New Roman" w:hAnsi="Times New Roman" w:eastAsia="方正仿宋_GBK" w:cs="Times New Roman"/>
          <w:sz w:val="34"/>
          <w:szCs w:val="34"/>
          <w:lang w:eastAsia="zh-CN"/>
        </w:rPr>
        <w:t>。</w:t>
      </w:r>
    </w:p>
    <w:p w14:paraId="4368AD4F">
      <w:pPr>
        <w:spacing w:line="360" w:lineRule="auto"/>
        <w:ind w:firstLine="420"/>
        <w:rPr>
          <w:rFonts w:hint="default" w:ascii="Times New Roman" w:hAnsi="Times New Roman" w:eastAsia="方正仿宋_GBK" w:cs="Times New Roman"/>
          <w:b/>
          <w:sz w:val="34"/>
          <w:szCs w:val="34"/>
        </w:rPr>
      </w:pPr>
      <w:r>
        <w:rPr>
          <w:rFonts w:hint="default" w:ascii="Times New Roman" w:hAnsi="Times New Roman" w:eastAsia="方正仿宋_GBK" w:cs="Times New Roman"/>
          <w:b/>
          <w:sz w:val="34"/>
          <w:szCs w:val="34"/>
        </w:rPr>
        <w:t>三、项目实施依据</w:t>
      </w:r>
    </w:p>
    <w:p w14:paraId="308F2F97">
      <w:pPr>
        <w:widowControl/>
        <w:spacing w:line="360" w:lineRule="auto"/>
        <w:ind w:firstLine="680" w:firstLineChars="200"/>
        <w:rPr>
          <w:rFonts w:hint="eastAsia" w:ascii="Times New Roman" w:hAnsi="Times New Roman" w:eastAsia="方正仿宋_GBK" w:cs="Times New Roman"/>
          <w:sz w:val="34"/>
          <w:szCs w:val="34"/>
          <w:lang w:eastAsia="zh-CN"/>
        </w:rPr>
      </w:pPr>
      <w:r>
        <w:rPr>
          <w:rFonts w:hint="default" w:ascii="Times New Roman" w:hAnsi="Times New Roman" w:eastAsia="方正仿宋_GBK" w:cs="Times New Roman"/>
          <w:sz w:val="34"/>
          <w:szCs w:val="34"/>
        </w:rPr>
        <w:t>1.《中华人民共和国国民经济和社会发展第十四个五年规划和2035年远景目标纲要》及党的二十大报告，2020-2025年</w:t>
      </w:r>
      <w:r>
        <w:rPr>
          <w:rFonts w:hint="eastAsia" w:ascii="Times New Roman" w:hAnsi="Times New Roman" w:eastAsia="方正仿宋_GBK" w:cs="Times New Roman"/>
          <w:sz w:val="34"/>
          <w:szCs w:val="34"/>
          <w:lang w:eastAsia="zh-CN"/>
        </w:rPr>
        <w:t>。</w:t>
      </w:r>
    </w:p>
    <w:p w14:paraId="5F8835F8">
      <w:pPr>
        <w:widowControl/>
        <w:spacing w:line="360" w:lineRule="auto"/>
        <w:ind w:firstLine="680" w:firstLineChars="200"/>
        <w:rPr>
          <w:rFonts w:hint="eastAsia" w:ascii="Times New Roman" w:hAnsi="Times New Roman" w:eastAsia="方正仿宋_GBK" w:cs="Times New Roman"/>
          <w:sz w:val="34"/>
          <w:szCs w:val="34"/>
          <w:lang w:val="en-US" w:eastAsia="zh-CN"/>
        </w:rPr>
      </w:pPr>
      <w:r>
        <w:rPr>
          <w:rFonts w:hint="eastAsia" w:ascii="Times New Roman" w:hAnsi="Times New Roman" w:eastAsia="方正仿宋_GBK" w:cs="Times New Roman"/>
          <w:sz w:val="34"/>
          <w:szCs w:val="34"/>
          <w:lang w:val="en-US" w:eastAsia="zh-CN"/>
        </w:rPr>
        <w:t>2</w:t>
      </w:r>
      <w:r>
        <w:rPr>
          <w:rFonts w:hint="default" w:ascii="Times New Roman" w:hAnsi="Times New Roman" w:eastAsia="方正仿宋_GBK" w:cs="Times New Roman"/>
          <w:sz w:val="34"/>
          <w:szCs w:val="34"/>
        </w:rPr>
        <w:t>.《江苏省关于实施城市更新行动的指导意见》，2022年</w:t>
      </w:r>
      <w:r>
        <w:rPr>
          <w:rFonts w:hint="eastAsia" w:ascii="Times New Roman" w:hAnsi="Times New Roman" w:eastAsia="方正仿宋_GBK" w:cs="Times New Roman"/>
          <w:sz w:val="34"/>
          <w:szCs w:val="34"/>
          <w:lang w:eastAsia="zh-CN"/>
        </w:rPr>
        <w:t>。</w:t>
      </w:r>
    </w:p>
    <w:p w14:paraId="2BF761B7">
      <w:pPr>
        <w:widowControl/>
        <w:spacing w:line="360" w:lineRule="auto"/>
        <w:ind w:firstLine="680" w:firstLineChars="200"/>
        <w:rPr>
          <w:rFonts w:hint="default" w:ascii="Times New Roman" w:hAnsi="Times New Roman" w:eastAsia="方正仿宋_GBK" w:cs="Times New Roman"/>
          <w:sz w:val="34"/>
          <w:szCs w:val="34"/>
        </w:rPr>
      </w:pPr>
      <w:r>
        <w:rPr>
          <w:rFonts w:hint="eastAsia" w:ascii="Times New Roman" w:hAnsi="Times New Roman" w:eastAsia="方正仿宋_GBK" w:cs="Times New Roman"/>
          <w:sz w:val="34"/>
          <w:szCs w:val="34"/>
          <w:lang w:val="en-US" w:eastAsia="zh-CN"/>
        </w:rPr>
        <w:t>3</w:t>
      </w:r>
      <w:r>
        <w:rPr>
          <w:rFonts w:hint="default" w:ascii="Times New Roman" w:hAnsi="Times New Roman" w:eastAsia="方正仿宋_GBK" w:cs="Times New Roman"/>
          <w:sz w:val="34"/>
          <w:szCs w:val="34"/>
        </w:rPr>
        <w:t>.住房和城乡建设部《关于扎实有序推进城市更新工作的通知》，2023年</w:t>
      </w:r>
    </w:p>
    <w:p w14:paraId="4D710A24">
      <w:pPr>
        <w:widowControl/>
        <w:spacing w:line="360" w:lineRule="auto"/>
        <w:ind w:firstLine="680" w:firstLineChars="200"/>
        <w:rPr>
          <w:rFonts w:hint="eastAsia" w:ascii="Times New Roman" w:hAnsi="Times New Roman" w:eastAsia="方正仿宋_GBK" w:cs="Times New Roman"/>
          <w:sz w:val="34"/>
          <w:szCs w:val="34"/>
          <w:lang w:val="en-US" w:eastAsia="zh-CN"/>
        </w:rPr>
      </w:pPr>
      <w:r>
        <w:rPr>
          <w:rFonts w:hint="eastAsia" w:ascii="Times New Roman" w:hAnsi="Times New Roman" w:eastAsia="方正仿宋_GBK" w:cs="Times New Roman"/>
          <w:sz w:val="34"/>
          <w:szCs w:val="34"/>
          <w:lang w:val="en-US" w:eastAsia="zh-CN"/>
        </w:rPr>
        <w:t>4</w:t>
      </w:r>
      <w:r>
        <w:rPr>
          <w:rFonts w:hint="default" w:ascii="Times New Roman" w:hAnsi="Times New Roman" w:eastAsia="方正仿宋_GBK" w:cs="Times New Roman"/>
          <w:sz w:val="34"/>
          <w:szCs w:val="34"/>
        </w:rPr>
        <w:t>.《江苏省关于支持城市更新行动的若干政策措施》，2024年</w:t>
      </w:r>
      <w:r>
        <w:rPr>
          <w:rFonts w:hint="eastAsia" w:ascii="Times New Roman" w:hAnsi="Times New Roman" w:eastAsia="方正仿宋_GBK" w:cs="Times New Roman"/>
          <w:sz w:val="34"/>
          <w:szCs w:val="34"/>
          <w:lang w:eastAsia="zh-CN"/>
        </w:rPr>
        <w:t>。</w:t>
      </w:r>
    </w:p>
    <w:p w14:paraId="0DC62260">
      <w:pPr>
        <w:widowControl/>
        <w:spacing w:line="360" w:lineRule="auto"/>
        <w:ind w:firstLine="680" w:firstLineChars="200"/>
        <w:rPr>
          <w:rFonts w:hint="eastAsia" w:ascii="Times New Roman" w:hAnsi="Times New Roman" w:eastAsia="方正仿宋_GBK" w:cs="Times New Roman"/>
          <w:sz w:val="34"/>
          <w:szCs w:val="34"/>
          <w:lang w:val="en-US" w:eastAsia="zh-CN"/>
        </w:rPr>
      </w:pPr>
      <w:r>
        <w:rPr>
          <w:rFonts w:hint="eastAsia" w:ascii="Times New Roman" w:hAnsi="Times New Roman" w:eastAsia="方正仿宋_GBK" w:cs="Times New Roman"/>
          <w:sz w:val="34"/>
          <w:szCs w:val="34"/>
          <w:lang w:val="en-US" w:eastAsia="zh-CN"/>
        </w:rPr>
        <w:t>5</w:t>
      </w:r>
      <w:r>
        <w:rPr>
          <w:rFonts w:hint="default" w:ascii="Times New Roman" w:hAnsi="Times New Roman" w:eastAsia="方正仿宋_GBK" w:cs="Times New Roman"/>
          <w:sz w:val="34"/>
          <w:szCs w:val="34"/>
        </w:rPr>
        <w:t>.中共中央办公厅、国务院办公厅印发《关于持续推进城市更新行动的意见》，2025年</w:t>
      </w:r>
      <w:r>
        <w:rPr>
          <w:rFonts w:hint="eastAsia" w:ascii="Times New Roman" w:hAnsi="Times New Roman" w:eastAsia="方正仿宋_GBK" w:cs="Times New Roman"/>
          <w:sz w:val="34"/>
          <w:szCs w:val="34"/>
          <w:lang w:eastAsia="zh-CN"/>
        </w:rPr>
        <w:t>。</w:t>
      </w:r>
    </w:p>
    <w:p w14:paraId="25F3922C">
      <w:pPr>
        <w:widowControl/>
        <w:spacing w:line="360" w:lineRule="auto"/>
        <w:ind w:firstLine="680" w:firstLineChars="200"/>
        <w:rPr>
          <w:rFonts w:hint="eastAsia" w:ascii="Times New Roman" w:hAnsi="Times New Roman" w:eastAsia="方正仿宋_GBK" w:cs="Times New Roman"/>
          <w:sz w:val="34"/>
          <w:szCs w:val="34"/>
          <w:lang w:val="en-US" w:eastAsia="zh-CN"/>
        </w:rPr>
      </w:pPr>
      <w:r>
        <w:rPr>
          <w:rFonts w:hint="eastAsia" w:ascii="Times New Roman" w:hAnsi="Times New Roman" w:eastAsia="方正仿宋_GBK" w:cs="Times New Roman"/>
          <w:sz w:val="34"/>
          <w:szCs w:val="34"/>
          <w:lang w:val="en-US" w:eastAsia="zh-CN"/>
        </w:rPr>
        <w:t>6</w:t>
      </w:r>
      <w:r>
        <w:rPr>
          <w:rFonts w:hint="default" w:ascii="Times New Roman" w:hAnsi="Times New Roman" w:eastAsia="方正仿宋_GBK" w:cs="Times New Roman"/>
          <w:sz w:val="34"/>
          <w:szCs w:val="34"/>
        </w:rPr>
        <w:t>.《徐州市城市更新管理办法》，2025年</w:t>
      </w:r>
      <w:r>
        <w:rPr>
          <w:rFonts w:hint="eastAsia" w:ascii="Times New Roman" w:hAnsi="Times New Roman" w:eastAsia="方正仿宋_GBK" w:cs="Times New Roman"/>
          <w:sz w:val="34"/>
          <w:szCs w:val="34"/>
          <w:lang w:eastAsia="zh-CN"/>
        </w:rPr>
        <w:t>。</w:t>
      </w:r>
    </w:p>
    <w:p w14:paraId="076B78BC">
      <w:pPr>
        <w:widowControl/>
        <w:spacing w:line="360" w:lineRule="auto"/>
        <w:ind w:firstLine="680" w:firstLineChars="200"/>
        <w:rPr>
          <w:rFonts w:hint="eastAsia" w:ascii="Times New Roman" w:hAnsi="Times New Roman" w:eastAsia="方正仿宋_GBK" w:cs="Times New Roman"/>
          <w:sz w:val="34"/>
          <w:szCs w:val="34"/>
          <w:lang w:eastAsia="zh-CN"/>
        </w:rPr>
      </w:pPr>
      <w:r>
        <w:rPr>
          <w:rFonts w:hint="eastAsia" w:ascii="Times New Roman" w:hAnsi="Times New Roman" w:eastAsia="方正仿宋_GBK" w:cs="Times New Roman"/>
          <w:sz w:val="34"/>
          <w:szCs w:val="34"/>
          <w:lang w:val="en-US" w:eastAsia="zh-CN"/>
        </w:rPr>
        <w:t>7</w:t>
      </w:r>
      <w:r>
        <w:rPr>
          <w:rFonts w:hint="default" w:ascii="Times New Roman" w:hAnsi="Times New Roman" w:eastAsia="方正仿宋_GBK" w:cs="Times New Roman"/>
          <w:sz w:val="34"/>
          <w:szCs w:val="34"/>
        </w:rPr>
        <w:t>.《</w:t>
      </w:r>
      <w:r>
        <w:rPr>
          <w:rFonts w:hint="eastAsia" w:ascii="Times New Roman" w:hAnsi="Times New Roman" w:eastAsia="方正仿宋_GBK" w:cs="Times New Roman"/>
          <w:sz w:val="34"/>
          <w:szCs w:val="34"/>
          <w:lang w:eastAsia="zh-CN"/>
        </w:rPr>
        <w:t>沛县</w:t>
      </w:r>
      <w:r>
        <w:rPr>
          <w:rFonts w:hint="default" w:ascii="Times New Roman" w:hAnsi="Times New Roman" w:eastAsia="方正仿宋_GBK" w:cs="Times New Roman"/>
          <w:sz w:val="34"/>
          <w:szCs w:val="34"/>
        </w:rPr>
        <w:t>国土空间总体规划（2021-2035年）》，2021-2035年</w:t>
      </w:r>
      <w:r>
        <w:rPr>
          <w:rFonts w:hint="eastAsia" w:ascii="Times New Roman" w:hAnsi="Times New Roman" w:eastAsia="方正仿宋_GBK" w:cs="Times New Roman"/>
          <w:sz w:val="34"/>
          <w:szCs w:val="34"/>
          <w:lang w:eastAsia="zh-CN"/>
        </w:rPr>
        <w:t>。</w:t>
      </w:r>
    </w:p>
    <w:p w14:paraId="4D955AE6">
      <w:pPr>
        <w:widowControl/>
        <w:spacing w:line="360" w:lineRule="auto"/>
        <w:ind w:firstLine="680" w:firstLineChars="200"/>
        <w:rPr>
          <w:rFonts w:hint="eastAsia" w:ascii="Times New Roman" w:hAnsi="Times New Roman" w:eastAsia="方正仿宋_GBK" w:cs="Times New Roman"/>
          <w:sz w:val="34"/>
          <w:szCs w:val="34"/>
          <w:lang w:val="en-US" w:eastAsia="zh-CN"/>
        </w:rPr>
      </w:pPr>
      <w:r>
        <w:rPr>
          <w:rFonts w:hint="eastAsia" w:ascii="Times New Roman" w:hAnsi="Times New Roman" w:eastAsia="方正仿宋_GBK" w:cs="Times New Roman"/>
          <w:sz w:val="34"/>
          <w:szCs w:val="34"/>
          <w:lang w:val="en-US" w:eastAsia="zh-CN"/>
        </w:rPr>
        <w:t>8.</w:t>
      </w:r>
      <w:r>
        <w:rPr>
          <w:rFonts w:hint="default" w:ascii="Times New Roman" w:hAnsi="Times New Roman" w:eastAsia="方正仿宋_GBK" w:cs="Times New Roman"/>
          <w:sz w:val="34"/>
          <w:szCs w:val="34"/>
        </w:rPr>
        <w:t>《</w:t>
      </w:r>
      <w:r>
        <w:rPr>
          <w:rFonts w:hint="eastAsia" w:ascii="Times New Roman" w:hAnsi="Times New Roman" w:eastAsia="方正仿宋_GBK" w:cs="Times New Roman"/>
          <w:sz w:val="34"/>
          <w:szCs w:val="34"/>
          <w:lang w:eastAsia="zh-CN"/>
        </w:rPr>
        <w:t>沛县国民经济和社会发展第十五个五年规划纲要</w:t>
      </w:r>
      <w:r>
        <w:rPr>
          <w:rFonts w:hint="default" w:ascii="Times New Roman" w:hAnsi="Times New Roman" w:eastAsia="方正仿宋_GBK" w:cs="Times New Roman"/>
          <w:sz w:val="34"/>
          <w:szCs w:val="34"/>
        </w:rPr>
        <w:t>》，202</w:t>
      </w:r>
      <w:r>
        <w:rPr>
          <w:rFonts w:hint="eastAsia" w:ascii="Times New Roman" w:hAnsi="Times New Roman" w:eastAsia="方正仿宋_GBK" w:cs="Times New Roman"/>
          <w:sz w:val="34"/>
          <w:szCs w:val="34"/>
          <w:lang w:val="en-US" w:eastAsia="zh-CN"/>
        </w:rPr>
        <w:t>6</w:t>
      </w:r>
      <w:r>
        <w:rPr>
          <w:rFonts w:hint="default" w:ascii="Times New Roman" w:hAnsi="Times New Roman" w:eastAsia="方正仿宋_GBK" w:cs="Times New Roman"/>
          <w:sz w:val="34"/>
          <w:szCs w:val="34"/>
        </w:rPr>
        <w:t>-203</w:t>
      </w:r>
      <w:r>
        <w:rPr>
          <w:rFonts w:hint="eastAsia" w:ascii="Times New Roman" w:hAnsi="Times New Roman" w:eastAsia="方正仿宋_GBK" w:cs="Times New Roman"/>
          <w:sz w:val="34"/>
          <w:szCs w:val="34"/>
          <w:lang w:val="en-US" w:eastAsia="zh-CN"/>
        </w:rPr>
        <w:t>0</w:t>
      </w:r>
      <w:r>
        <w:rPr>
          <w:rFonts w:hint="default" w:ascii="Times New Roman" w:hAnsi="Times New Roman" w:eastAsia="方正仿宋_GBK" w:cs="Times New Roman"/>
          <w:sz w:val="34"/>
          <w:szCs w:val="34"/>
        </w:rPr>
        <w:t>年</w:t>
      </w:r>
      <w:r>
        <w:rPr>
          <w:rFonts w:hint="eastAsia" w:ascii="Times New Roman" w:hAnsi="Times New Roman" w:eastAsia="方正仿宋_GBK" w:cs="Times New Roman"/>
          <w:sz w:val="34"/>
          <w:szCs w:val="34"/>
          <w:lang w:eastAsia="zh-CN"/>
        </w:rPr>
        <w:t>。</w:t>
      </w:r>
    </w:p>
    <w:p w14:paraId="27AAAB12">
      <w:pPr>
        <w:widowControl/>
        <w:spacing w:line="360" w:lineRule="auto"/>
        <w:ind w:firstLine="680" w:firstLineChars="200"/>
        <w:rPr>
          <w:rFonts w:hint="default" w:ascii="Times New Roman" w:hAnsi="Times New Roman" w:eastAsia="方正仿宋_GBK" w:cs="Times New Roman"/>
          <w:sz w:val="34"/>
          <w:szCs w:val="34"/>
        </w:rPr>
      </w:pPr>
      <w:r>
        <w:rPr>
          <w:rFonts w:hint="eastAsia" w:ascii="Times New Roman" w:hAnsi="Times New Roman" w:eastAsia="方正仿宋_GBK" w:cs="Times New Roman"/>
          <w:sz w:val="34"/>
          <w:szCs w:val="34"/>
          <w:lang w:val="en-US" w:eastAsia="zh-CN"/>
        </w:rPr>
        <w:t>9</w:t>
      </w:r>
      <w:r>
        <w:rPr>
          <w:rFonts w:hint="default" w:ascii="Times New Roman" w:hAnsi="Times New Roman" w:eastAsia="方正仿宋_GBK" w:cs="Times New Roman"/>
          <w:sz w:val="34"/>
          <w:szCs w:val="34"/>
        </w:rPr>
        <w:t>.国家、江苏省和徐州市其他法律法规和标准规范。</w:t>
      </w:r>
    </w:p>
    <w:p w14:paraId="6A71FDE6">
      <w:pPr>
        <w:widowControl/>
        <w:spacing w:line="360" w:lineRule="auto"/>
        <w:ind w:firstLine="680" w:firstLineChars="200"/>
        <w:rPr>
          <w:rFonts w:hint="eastAsia" w:ascii="方正黑体_GBK" w:hAnsi="方正黑体_GBK" w:eastAsia="方正黑体_GBK" w:cs="方正黑体_GBK"/>
          <w:b w:val="0"/>
          <w:bCs/>
          <w:sz w:val="34"/>
          <w:szCs w:val="34"/>
        </w:rPr>
      </w:pPr>
      <w:r>
        <w:rPr>
          <w:rFonts w:hint="eastAsia" w:ascii="方正黑体_GBK" w:hAnsi="方正黑体_GBK" w:eastAsia="方正黑体_GBK" w:cs="方正黑体_GBK"/>
          <w:b w:val="0"/>
          <w:bCs/>
          <w:sz w:val="34"/>
          <w:szCs w:val="34"/>
        </w:rPr>
        <w:t>四、项目具体内容</w:t>
      </w:r>
    </w:p>
    <w:p w14:paraId="0163451F">
      <w:pPr>
        <w:spacing w:line="360" w:lineRule="auto"/>
        <w:ind w:firstLine="480"/>
        <w:rPr>
          <w:rFonts w:hint="eastAsia" w:ascii="方正楷体_GBK" w:hAnsi="方正楷体_GBK" w:eastAsia="方正楷体_GBK" w:cs="方正楷体_GBK"/>
          <w:b w:val="0"/>
          <w:bCs/>
          <w:sz w:val="34"/>
          <w:szCs w:val="34"/>
        </w:rPr>
      </w:pPr>
      <w:r>
        <w:rPr>
          <w:rFonts w:hint="eastAsia" w:ascii="方正楷体_GBK" w:hAnsi="方正楷体_GBK" w:eastAsia="方正楷体_GBK" w:cs="方正楷体_GBK"/>
          <w:b w:val="0"/>
          <w:bCs/>
          <w:sz w:val="34"/>
          <w:szCs w:val="34"/>
        </w:rPr>
        <w:t>（一）沛县城市更新专项规划编制</w:t>
      </w:r>
    </w:p>
    <w:p w14:paraId="319CC3FE">
      <w:pPr>
        <w:spacing w:line="360" w:lineRule="auto"/>
        <w:ind w:firstLine="480"/>
        <w:rPr>
          <w:rFonts w:hint="default" w:ascii="Times New Roman" w:hAnsi="Times New Roman" w:eastAsia="方正仿宋_GBK" w:cs="Times New Roman"/>
          <w:b w:val="0"/>
          <w:bCs/>
          <w:sz w:val="34"/>
          <w:szCs w:val="34"/>
        </w:rPr>
      </w:pPr>
      <w:r>
        <w:rPr>
          <w:rFonts w:hint="default" w:ascii="Times New Roman" w:hAnsi="Times New Roman" w:eastAsia="方正仿宋_GBK" w:cs="Times New Roman"/>
          <w:b w:val="0"/>
          <w:bCs/>
          <w:sz w:val="34"/>
          <w:szCs w:val="34"/>
        </w:rPr>
        <w:t>立足沛县城市发展现状与国土空间总体规划管控要求，全面梳理中心城区城市建设、存量用地、建筑风貌、基础设施、生态环境、公共服务等现状基底，系统排查城市发展短板与存量资源潜力，统筹编制全域城市更新专项规划，明确未来城市更新总体布局、管控规则和实施体系。</w:t>
      </w:r>
    </w:p>
    <w:p w14:paraId="1B8B365B">
      <w:pPr>
        <w:spacing w:line="360" w:lineRule="auto"/>
        <w:ind w:firstLine="480"/>
        <w:rPr>
          <w:rFonts w:hint="default" w:ascii="Times New Roman" w:hAnsi="Times New Roman" w:eastAsia="方正仿宋_GBK" w:cs="Times New Roman"/>
          <w:b w:val="0"/>
          <w:bCs/>
          <w:sz w:val="34"/>
          <w:szCs w:val="34"/>
        </w:rPr>
      </w:pPr>
      <w:r>
        <w:rPr>
          <w:rFonts w:hint="default" w:ascii="Times New Roman" w:hAnsi="Times New Roman" w:eastAsia="方正仿宋_GBK" w:cs="Times New Roman"/>
          <w:b/>
          <w:bCs w:val="0"/>
          <w:sz w:val="34"/>
          <w:szCs w:val="34"/>
        </w:rPr>
        <w:t>1.现状基底研判：</w:t>
      </w:r>
      <w:r>
        <w:rPr>
          <w:rFonts w:hint="default" w:ascii="Times New Roman" w:hAnsi="Times New Roman" w:eastAsia="方正仿宋_GBK" w:cs="Times New Roman"/>
          <w:b w:val="0"/>
          <w:bCs/>
          <w:sz w:val="34"/>
          <w:szCs w:val="34"/>
        </w:rPr>
        <w:t>开展中心城区全覆盖现状调研，梳理存量建设用地、老旧小区、老旧厂区、老旧街区、城中村等更新资源底数，摸排市政设施、公共服务、生态绿化、交通体系、人居环境等存在的短板问题，结合城市发展定位，研判城市更新发展机遇与挑战。</w:t>
      </w:r>
    </w:p>
    <w:p w14:paraId="2D0C7E4A">
      <w:pPr>
        <w:spacing w:line="360" w:lineRule="auto"/>
        <w:ind w:firstLine="480"/>
        <w:rPr>
          <w:rFonts w:hint="default" w:ascii="Times New Roman" w:hAnsi="Times New Roman" w:eastAsia="方正仿宋_GBK" w:cs="Times New Roman"/>
          <w:b w:val="0"/>
          <w:bCs/>
          <w:sz w:val="34"/>
          <w:szCs w:val="34"/>
        </w:rPr>
      </w:pPr>
      <w:r>
        <w:rPr>
          <w:rFonts w:hint="default" w:ascii="Times New Roman" w:hAnsi="Times New Roman" w:eastAsia="方正仿宋_GBK" w:cs="Times New Roman"/>
          <w:b/>
          <w:bCs w:val="0"/>
          <w:sz w:val="34"/>
          <w:szCs w:val="34"/>
        </w:rPr>
        <w:t>2.总体定位与目标体系构建：</w:t>
      </w:r>
      <w:r>
        <w:rPr>
          <w:rFonts w:hint="default" w:ascii="Times New Roman" w:hAnsi="Times New Roman" w:eastAsia="方正仿宋_GBK" w:cs="Times New Roman"/>
          <w:b w:val="0"/>
          <w:bCs/>
          <w:sz w:val="34"/>
          <w:szCs w:val="34"/>
        </w:rPr>
        <w:t>结合沛县城市功能定位、产业布局、历史文化特色，确定城市更新总体定位、发展目标、阶段性发展指标，构建生态宜居、功能完善、风貌协调、治理高效的城市更新发展体系，明确更新工作总体思路与核心原则。</w:t>
      </w:r>
    </w:p>
    <w:p w14:paraId="58799469">
      <w:pPr>
        <w:spacing w:line="360" w:lineRule="auto"/>
        <w:ind w:firstLine="480"/>
        <w:rPr>
          <w:rFonts w:hint="default" w:ascii="Times New Roman" w:hAnsi="Times New Roman" w:eastAsia="方正仿宋_GBK" w:cs="Times New Roman"/>
          <w:b w:val="0"/>
          <w:bCs/>
          <w:sz w:val="34"/>
          <w:szCs w:val="34"/>
        </w:rPr>
      </w:pPr>
      <w:r>
        <w:rPr>
          <w:rFonts w:hint="default" w:ascii="Times New Roman" w:hAnsi="Times New Roman" w:eastAsia="方正仿宋_GBK" w:cs="Times New Roman"/>
          <w:b/>
          <w:bCs w:val="0"/>
          <w:sz w:val="34"/>
          <w:szCs w:val="34"/>
        </w:rPr>
        <w:t>3.更新分区与管控引导：</w:t>
      </w:r>
      <w:r>
        <w:rPr>
          <w:rFonts w:hint="default" w:ascii="Times New Roman" w:hAnsi="Times New Roman" w:eastAsia="方正仿宋_GBK" w:cs="Times New Roman"/>
          <w:b w:val="0"/>
          <w:bCs/>
          <w:sz w:val="34"/>
          <w:szCs w:val="34"/>
        </w:rPr>
        <w:t>结合国土空间总体规划功能分区，划分城市更新重点片区、一般更新片区、保留提升片区等不同管控单元，明确各片区更新导向、更新模式、管控要求，细化用地功能优化、建筑提质、设施完善、风貌整治、生态修复等管控细则。</w:t>
      </w:r>
    </w:p>
    <w:p w14:paraId="12FCA6B3">
      <w:pPr>
        <w:spacing w:line="360" w:lineRule="auto"/>
        <w:ind w:firstLine="480"/>
        <w:rPr>
          <w:rFonts w:hint="default" w:ascii="Times New Roman" w:hAnsi="Times New Roman" w:eastAsia="方正仿宋_GBK" w:cs="Times New Roman"/>
          <w:b w:val="0"/>
          <w:bCs/>
          <w:sz w:val="34"/>
          <w:szCs w:val="34"/>
        </w:rPr>
      </w:pPr>
      <w:r>
        <w:rPr>
          <w:rFonts w:hint="default" w:ascii="Times New Roman" w:hAnsi="Times New Roman" w:eastAsia="方正仿宋_GBK" w:cs="Times New Roman"/>
          <w:b/>
          <w:bCs w:val="0"/>
          <w:sz w:val="34"/>
          <w:szCs w:val="34"/>
        </w:rPr>
        <w:t>4.重点任务梳理：</w:t>
      </w:r>
      <w:r>
        <w:rPr>
          <w:rFonts w:hint="default" w:ascii="Times New Roman" w:hAnsi="Times New Roman" w:eastAsia="方正仿宋_GBK" w:cs="Times New Roman"/>
          <w:b w:val="0"/>
          <w:bCs/>
          <w:sz w:val="34"/>
          <w:szCs w:val="34"/>
        </w:rPr>
        <w:t>围绕老旧空间提质、基础设施补短板、公共服务升级、生态环境修复、历史文化传承、产业空间优化、城市风貌提升等方面，梳理城市更新重点任务，明确各项任务实施路径与推进方向。</w:t>
      </w:r>
    </w:p>
    <w:p w14:paraId="49554F2B">
      <w:pPr>
        <w:spacing w:line="360" w:lineRule="auto"/>
        <w:ind w:firstLine="480"/>
        <w:rPr>
          <w:rFonts w:hint="default" w:ascii="Times New Roman" w:hAnsi="Times New Roman" w:eastAsia="方正仿宋_GBK" w:cs="Times New Roman"/>
          <w:b w:val="0"/>
          <w:bCs/>
          <w:sz w:val="34"/>
          <w:szCs w:val="34"/>
        </w:rPr>
      </w:pPr>
      <w:r>
        <w:rPr>
          <w:rFonts w:hint="default" w:ascii="Times New Roman" w:hAnsi="Times New Roman" w:eastAsia="方正仿宋_GBK" w:cs="Times New Roman"/>
          <w:b/>
          <w:bCs w:val="0"/>
          <w:sz w:val="34"/>
          <w:szCs w:val="34"/>
        </w:rPr>
        <w:t>5.项目库与实施计划编制：</w:t>
      </w:r>
      <w:r>
        <w:rPr>
          <w:rFonts w:hint="default" w:ascii="Times New Roman" w:hAnsi="Times New Roman" w:eastAsia="方正仿宋_GBK" w:cs="Times New Roman"/>
          <w:b w:val="0"/>
          <w:bCs/>
          <w:sz w:val="34"/>
          <w:szCs w:val="34"/>
        </w:rPr>
        <w:t>结合城市发展需求与建设时序，筛选梳理近期、中期、远期城市更新重点项目，建立城市更新项目储备库，明确项目选址、建设内容、实施周期、责任方向，制定分年度实施计划，保障规划可落地、可实施。</w:t>
      </w:r>
    </w:p>
    <w:p w14:paraId="5369D81E">
      <w:pPr>
        <w:spacing w:line="360" w:lineRule="auto"/>
        <w:ind w:firstLine="480"/>
        <w:rPr>
          <w:rFonts w:hint="default" w:ascii="Times New Roman" w:hAnsi="Times New Roman" w:eastAsia="方正仿宋_GBK" w:cs="Times New Roman"/>
          <w:b w:val="0"/>
          <w:bCs/>
          <w:sz w:val="34"/>
          <w:szCs w:val="34"/>
        </w:rPr>
      </w:pPr>
      <w:r>
        <w:rPr>
          <w:rFonts w:hint="default" w:ascii="Times New Roman" w:hAnsi="Times New Roman" w:eastAsia="方正仿宋_GBK" w:cs="Times New Roman"/>
          <w:b/>
          <w:bCs w:val="0"/>
          <w:sz w:val="34"/>
          <w:szCs w:val="34"/>
        </w:rPr>
        <w:t>6.保障机制制定：</w:t>
      </w:r>
      <w:r>
        <w:rPr>
          <w:rFonts w:hint="default" w:ascii="Times New Roman" w:hAnsi="Times New Roman" w:eastAsia="方正仿宋_GBK" w:cs="Times New Roman"/>
          <w:b w:val="0"/>
          <w:bCs/>
          <w:sz w:val="34"/>
          <w:szCs w:val="34"/>
        </w:rPr>
        <w:t>结合沛县本地政策实际，制定规划落地实施的政策保障、资金保障、管理保障、监督考核机制，明确更新审批流程、主体权责、运营模式，为城市更新常态化推进提供制度支撑。</w:t>
      </w:r>
    </w:p>
    <w:p w14:paraId="038BC532">
      <w:pPr>
        <w:spacing w:line="360" w:lineRule="auto"/>
        <w:ind w:firstLine="480"/>
        <w:rPr>
          <w:rFonts w:hint="eastAsia" w:ascii="方正楷体_GBK" w:hAnsi="方正楷体_GBK" w:eastAsia="方正楷体_GBK" w:cs="方正楷体_GBK"/>
          <w:b w:val="0"/>
          <w:bCs/>
          <w:sz w:val="34"/>
          <w:szCs w:val="34"/>
        </w:rPr>
      </w:pPr>
      <w:r>
        <w:rPr>
          <w:rFonts w:hint="eastAsia" w:ascii="方正楷体_GBK" w:hAnsi="方正楷体_GBK" w:eastAsia="方正楷体_GBK" w:cs="方正楷体_GBK"/>
          <w:b w:val="0"/>
          <w:bCs/>
          <w:sz w:val="34"/>
          <w:szCs w:val="34"/>
        </w:rPr>
        <w:t>（二）重点片区城市更新片区策划</w:t>
      </w:r>
    </w:p>
    <w:p w14:paraId="2BD944C3">
      <w:pPr>
        <w:spacing w:line="360" w:lineRule="auto"/>
        <w:ind w:firstLine="480"/>
        <w:rPr>
          <w:rFonts w:hint="default" w:ascii="Times New Roman" w:hAnsi="Times New Roman" w:eastAsia="方正仿宋_GBK" w:cs="Times New Roman"/>
          <w:b w:val="0"/>
          <w:bCs/>
          <w:sz w:val="34"/>
          <w:szCs w:val="34"/>
        </w:rPr>
      </w:pPr>
      <w:r>
        <w:rPr>
          <w:rFonts w:hint="default" w:ascii="Times New Roman" w:hAnsi="Times New Roman" w:eastAsia="方正仿宋_GBK" w:cs="Times New Roman"/>
          <w:b w:val="0"/>
          <w:bCs/>
          <w:sz w:val="34"/>
          <w:szCs w:val="34"/>
        </w:rPr>
        <w:t>结合沛县城市发展重点、民生需求及更新潜力，选取中心城区核心重点片区开展精细化更新策划，聚焦片区现状痛点、功能短板、发展短板，打造标杆性更新片区，形成可复制、可推广的更新模式。</w:t>
      </w:r>
    </w:p>
    <w:p w14:paraId="620D7C3D">
      <w:pPr>
        <w:spacing w:line="360" w:lineRule="auto"/>
        <w:ind w:firstLine="480"/>
        <w:rPr>
          <w:rFonts w:hint="default" w:ascii="Times New Roman" w:hAnsi="Times New Roman" w:eastAsia="方正仿宋_GBK" w:cs="Times New Roman"/>
          <w:b w:val="0"/>
          <w:bCs/>
          <w:sz w:val="34"/>
          <w:szCs w:val="34"/>
        </w:rPr>
      </w:pPr>
      <w:r>
        <w:rPr>
          <w:rFonts w:hint="default" w:ascii="Times New Roman" w:hAnsi="Times New Roman" w:eastAsia="方正仿宋_GBK" w:cs="Times New Roman"/>
          <w:b/>
          <w:bCs w:val="0"/>
          <w:sz w:val="34"/>
          <w:szCs w:val="34"/>
        </w:rPr>
        <w:t>1.片区现状深度研判：</w:t>
      </w:r>
      <w:r>
        <w:rPr>
          <w:rFonts w:hint="default" w:ascii="Times New Roman" w:hAnsi="Times New Roman" w:eastAsia="方正仿宋_GBK" w:cs="Times New Roman"/>
          <w:b w:val="0"/>
          <w:bCs/>
          <w:sz w:val="34"/>
          <w:szCs w:val="34"/>
        </w:rPr>
        <w:t>针对选定重点片区，开展用地、建筑、人口、产业、交通、配套、风貌、民生诉求等全方位摸底调研，精准识别片区发展瓶颈、民生短板、资源优势，结合区域发展定位，明确片区更新核心诉求。</w:t>
      </w:r>
    </w:p>
    <w:p w14:paraId="3D50D9B0">
      <w:pPr>
        <w:spacing w:line="360" w:lineRule="auto"/>
        <w:ind w:firstLine="480"/>
        <w:rPr>
          <w:rFonts w:hint="default" w:ascii="Times New Roman" w:hAnsi="Times New Roman" w:eastAsia="方正仿宋_GBK" w:cs="Times New Roman"/>
          <w:b w:val="0"/>
          <w:bCs/>
          <w:sz w:val="34"/>
          <w:szCs w:val="34"/>
        </w:rPr>
      </w:pPr>
      <w:r>
        <w:rPr>
          <w:rFonts w:hint="default" w:ascii="Times New Roman" w:hAnsi="Times New Roman" w:eastAsia="方正仿宋_GBK" w:cs="Times New Roman"/>
          <w:b/>
          <w:bCs w:val="0"/>
          <w:sz w:val="34"/>
          <w:szCs w:val="34"/>
        </w:rPr>
        <w:t>2.片区更新定位与方案策划：</w:t>
      </w:r>
      <w:r>
        <w:rPr>
          <w:rFonts w:hint="default" w:ascii="Times New Roman" w:hAnsi="Times New Roman" w:eastAsia="方正仿宋_GBK" w:cs="Times New Roman"/>
          <w:b w:val="0"/>
          <w:bCs/>
          <w:sz w:val="34"/>
          <w:szCs w:val="34"/>
        </w:rPr>
        <w:t>立足片区区位优势和功能短板，确定片区更新总体定位、功能布局、发展主题，统筹开展空间布局优化、老旧空间改造、基础设施升级、公共服务增补、景观风貌提升、产业业态升级等专项策划，打造宜居、宜业、宜游的高品质城市片区。</w:t>
      </w:r>
    </w:p>
    <w:p w14:paraId="2DF1BB3B">
      <w:pPr>
        <w:spacing w:line="360" w:lineRule="auto"/>
        <w:ind w:firstLine="480"/>
        <w:rPr>
          <w:rFonts w:hint="default" w:ascii="Times New Roman" w:hAnsi="Times New Roman" w:eastAsia="方正仿宋_GBK" w:cs="Times New Roman"/>
          <w:b w:val="0"/>
          <w:bCs/>
          <w:sz w:val="34"/>
          <w:szCs w:val="34"/>
        </w:rPr>
      </w:pPr>
      <w:r>
        <w:rPr>
          <w:rFonts w:hint="default" w:ascii="Times New Roman" w:hAnsi="Times New Roman" w:eastAsia="方正仿宋_GBK" w:cs="Times New Roman"/>
          <w:b/>
          <w:bCs w:val="0"/>
          <w:sz w:val="34"/>
          <w:szCs w:val="34"/>
        </w:rPr>
        <w:t>3.细分单元管控与业态引导：</w:t>
      </w:r>
      <w:r>
        <w:rPr>
          <w:rFonts w:hint="default" w:ascii="Times New Roman" w:hAnsi="Times New Roman" w:eastAsia="方正仿宋_GBK" w:cs="Times New Roman"/>
          <w:b w:val="0"/>
          <w:bCs/>
          <w:sz w:val="34"/>
          <w:szCs w:val="34"/>
        </w:rPr>
        <w:t>将重点片区细化为若干更新单元，明确各单元更新方式、改造强度、用地管控、建筑风貌、业态布局等细化要求，区分拆除重建、微改造、整治提升等不同更新模式，实现精细化管控。</w:t>
      </w:r>
    </w:p>
    <w:p w14:paraId="52067810">
      <w:pPr>
        <w:spacing w:line="360" w:lineRule="auto"/>
        <w:ind w:firstLine="480"/>
        <w:rPr>
          <w:rFonts w:hint="default" w:ascii="Times New Roman" w:hAnsi="Times New Roman" w:eastAsia="方正仿宋_GBK" w:cs="Times New Roman"/>
          <w:b w:val="0"/>
          <w:bCs/>
          <w:sz w:val="34"/>
          <w:szCs w:val="34"/>
        </w:rPr>
      </w:pPr>
      <w:r>
        <w:rPr>
          <w:rFonts w:hint="default" w:ascii="Times New Roman" w:hAnsi="Times New Roman" w:eastAsia="方正仿宋_GBK" w:cs="Times New Roman"/>
          <w:b/>
          <w:bCs w:val="0"/>
          <w:sz w:val="34"/>
          <w:szCs w:val="34"/>
        </w:rPr>
        <w:t>4.实施路径与效益分析：</w:t>
      </w:r>
      <w:r>
        <w:rPr>
          <w:rFonts w:hint="default" w:ascii="Times New Roman" w:hAnsi="Times New Roman" w:eastAsia="方正仿宋_GBK" w:cs="Times New Roman"/>
          <w:b w:val="0"/>
          <w:bCs/>
          <w:sz w:val="34"/>
          <w:szCs w:val="34"/>
        </w:rPr>
        <w:t>制定片区更新分步实施计划，明确重点落地项目、建设时序、投资导向，同步开展社会效益、环境效益、民生效益分析，结合沛县实际探索多元化更新运营模式，保障片区更新可持续推进。</w:t>
      </w:r>
    </w:p>
    <w:p w14:paraId="419CFB3E">
      <w:pPr>
        <w:spacing w:line="360" w:lineRule="auto"/>
        <w:ind w:firstLine="480"/>
        <w:rPr>
          <w:rFonts w:hint="default" w:ascii="Times New Roman" w:hAnsi="Times New Roman" w:eastAsia="方正楷体_GBK" w:cs="Times New Roman"/>
          <w:b w:val="0"/>
          <w:bCs/>
          <w:sz w:val="34"/>
          <w:szCs w:val="34"/>
        </w:rPr>
      </w:pPr>
      <w:r>
        <w:rPr>
          <w:rFonts w:hint="default" w:ascii="Times New Roman" w:hAnsi="Times New Roman" w:eastAsia="方正楷体_GBK" w:cs="Times New Roman"/>
          <w:b w:val="0"/>
          <w:bCs/>
          <w:sz w:val="34"/>
          <w:szCs w:val="34"/>
        </w:rPr>
        <w:t>（三）2026年度沛县</w:t>
      </w:r>
      <w:r>
        <w:rPr>
          <w:rFonts w:hint="default" w:ascii="Times New Roman" w:hAnsi="Times New Roman" w:eastAsia="方正楷体_GBK" w:cs="Times New Roman"/>
          <w:b w:val="0"/>
          <w:bCs/>
          <w:sz w:val="34"/>
          <w:szCs w:val="34"/>
          <w:lang w:eastAsia="zh-CN"/>
        </w:rPr>
        <w:t>县城</w:t>
      </w:r>
      <w:r>
        <w:rPr>
          <w:rFonts w:hint="default" w:ascii="Times New Roman" w:hAnsi="Times New Roman" w:eastAsia="方正楷体_GBK" w:cs="Times New Roman"/>
          <w:b w:val="0"/>
          <w:bCs/>
          <w:sz w:val="34"/>
          <w:szCs w:val="34"/>
        </w:rPr>
        <w:t>体检工作</w:t>
      </w:r>
    </w:p>
    <w:p w14:paraId="5C844EA9">
      <w:pPr>
        <w:spacing w:line="360" w:lineRule="auto"/>
        <w:ind w:firstLine="480"/>
        <w:rPr>
          <w:rFonts w:hint="default" w:ascii="Times New Roman" w:hAnsi="Times New Roman" w:eastAsia="方正仿宋_GBK" w:cs="Times New Roman"/>
          <w:b w:val="0"/>
          <w:bCs/>
          <w:sz w:val="34"/>
          <w:szCs w:val="34"/>
        </w:rPr>
      </w:pPr>
      <w:r>
        <w:rPr>
          <w:rFonts w:hint="default" w:ascii="Times New Roman" w:hAnsi="Times New Roman" w:eastAsia="方正仿宋_GBK" w:cs="Times New Roman"/>
          <w:b w:val="0"/>
          <w:bCs/>
          <w:sz w:val="34"/>
          <w:szCs w:val="34"/>
        </w:rPr>
        <w:t>严格按照国家、省、市城市</w:t>
      </w:r>
      <w:r>
        <w:rPr>
          <w:rFonts w:hint="default" w:ascii="Times New Roman" w:hAnsi="Times New Roman" w:eastAsia="方正仿宋_GBK" w:cs="Times New Roman"/>
          <w:b w:val="0"/>
          <w:bCs/>
          <w:sz w:val="34"/>
          <w:szCs w:val="34"/>
          <w:lang w:eastAsia="zh-CN"/>
        </w:rPr>
        <w:t>（县城）</w:t>
      </w:r>
      <w:r>
        <w:rPr>
          <w:rFonts w:hint="default" w:ascii="Times New Roman" w:hAnsi="Times New Roman" w:eastAsia="方正仿宋_GBK" w:cs="Times New Roman"/>
          <w:b w:val="0"/>
          <w:bCs/>
          <w:sz w:val="34"/>
          <w:szCs w:val="34"/>
        </w:rPr>
        <w:t>体检工作标准及指标体系，结合沛县城市发展实际，开展2026年度县城建成区城市体检工作，全面排查城市发展问题，建立问题清单、整改清单、责任清单，形成“体检—诊断—整改—提升”闭环机制。</w:t>
      </w:r>
    </w:p>
    <w:p w14:paraId="731B138D">
      <w:pPr>
        <w:spacing w:line="360" w:lineRule="auto"/>
        <w:ind w:firstLine="480"/>
        <w:rPr>
          <w:rFonts w:hint="default" w:ascii="Times New Roman" w:hAnsi="Times New Roman" w:eastAsia="方正仿宋_GBK" w:cs="Times New Roman"/>
          <w:b w:val="0"/>
          <w:bCs/>
          <w:sz w:val="34"/>
          <w:szCs w:val="34"/>
        </w:rPr>
      </w:pPr>
      <w:r>
        <w:rPr>
          <w:rFonts w:hint="default" w:ascii="Times New Roman" w:hAnsi="Times New Roman" w:eastAsia="方正仿宋_GBK" w:cs="Times New Roman"/>
          <w:b/>
          <w:bCs w:val="0"/>
          <w:sz w:val="34"/>
          <w:szCs w:val="34"/>
        </w:rPr>
        <w:t>1.体检指标体系落地：</w:t>
      </w:r>
      <w:r>
        <w:rPr>
          <w:rFonts w:hint="default" w:ascii="Times New Roman" w:hAnsi="Times New Roman" w:eastAsia="方正仿宋_GBK" w:cs="Times New Roman"/>
          <w:b w:val="0"/>
          <w:bCs/>
          <w:sz w:val="34"/>
          <w:szCs w:val="34"/>
        </w:rPr>
        <w:t>对照省级城市</w:t>
      </w:r>
      <w:r>
        <w:rPr>
          <w:rFonts w:hint="eastAsia" w:ascii="Times New Roman" w:hAnsi="Times New Roman" w:eastAsia="方正仿宋_GBK" w:cs="Times New Roman"/>
          <w:b w:val="0"/>
          <w:bCs/>
          <w:sz w:val="34"/>
          <w:szCs w:val="34"/>
          <w:lang w:eastAsia="zh-CN"/>
        </w:rPr>
        <w:t>（县城）</w:t>
      </w:r>
      <w:r>
        <w:rPr>
          <w:rFonts w:hint="default" w:ascii="Times New Roman" w:hAnsi="Times New Roman" w:eastAsia="方正仿宋_GBK" w:cs="Times New Roman"/>
          <w:b w:val="0"/>
          <w:bCs/>
          <w:sz w:val="34"/>
          <w:szCs w:val="34"/>
        </w:rPr>
        <w:t>体检指标框架，结合沛县城市特色，构建包含生态宜居、健康舒适、安全韧性、交通便捷、风貌特色、整洁有序、多元包容、创新活力八大维度的体检指标体系，细化适配沛县的本地化指标。</w:t>
      </w:r>
    </w:p>
    <w:p w14:paraId="1FCFD5D7">
      <w:pPr>
        <w:spacing w:line="360" w:lineRule="auto"/>
        <w:ind w:firstLine="480"/>
        <w:rPr>
          <w:rFonts w:hint="default" w:ascii="Times New Roman" w:hAnsi="Times New Roman" w:eastAsia="方正仿宋_GBK" w:cs="Times New Roman"/>
          <w:b w:val="0"/>
          <w:bCs/>
          <w:sz w:val="34"/>
          <w:szCs w:val="34"/>
        </w:rPr>
      </w:pPr>
      <w:r>
        <w:rPr>
          <w:rFonts w:hint="default" w:ascii="Times New Roman" w:hAnsi="Times New Roman" w:eastAsia="方正仿宋_GBK" w:cs="Times New Roman"/>
          <w:b/>
          <w:bCs w:val="0"/>
          <w:sz w:val="34"/>
          <w:szCs w:val="34"/>
        </w:rPr>
        <w:t>2.数据采集与现状核查：</w:t>
      </w:r>
      <w:r>
        <w:rPr>
          <w:rFonts w:hint="default" w:ascii="Times New Roman" w:hAnsi="Times New Roman" w:eastAsia="方正仿宋_GBK" w:cs="Times New Roman"/>
          <w:b w:val="0"/>
          <w:bCs/>
          <w:sz w:val="34"/>
          <w:szCs w:val="34"/>
        </w:rPr>
        <w:t>通过部门数据收集、实地踏勘、问卷调研、大数据分析、座谈访谈等多种方式，全面采集年度城市建设、民生保障、生态环境、公共服务等相关数据，核查城市建成区现状建设情况，精准摸排城市发展短板与突出问题。</w:t>
      </w:r>
    </w:p>
    <w:p w14:paraId="41CB3853">
      <w:pPr>
        <w:spacing w:line="360" w:lineRule="auto"/>
        <w:ind w:firstLine="480"/>
        <w:rPr>
          <w:rFonts w:hint="default" w:ascii="Times New Roman" w:hAnsi="Times New Roman" w:eastAsia="方正仿宋_GBK" w:cs="Times New Roman"/>
          <w:b w:val="0"/>
          <w:bCs/>
          <w:sz w:val="34"/>
          <w:szCs w:val="34"/>
        </w:rPr>
      </w:pPr>
      <w:r>
        <w:rPr>
          <w:rFonts w:hint="default" w:ascii="Times New Roman" w:hAnsi="Times New Roman" w:eastAsia="方正仿宋_GBK" w:cs="Times New Roman"/>
          <w:b/>
          <w:bCs w:val="0"/>
          <w:sz w:val="34"/>
          <w:szCs w:val="34"/>
        </w:rPr>
        <w:t>3.问题诊断与短板分析：</w:t>
      </w:r>
      <w:r>
        <w:rPr>
          <w:rFonts w:hint="default" w:ascii="Times New Roman" w:hAnsi="Times New Roman" w:eastAsia="方正仿宋_GBK" w:cs="Times New Roman"/>
          <w:b w:val="0"/>
          <w:bCs/>
          <w:sz w:val="34"/>
          <w:szCs w:val="34"/>
        </w:rPr>
        <w:t>对照指标标准、规划要求、民生需求，对各项指标进行综合研判，精准诊断城市建设、管理、运营中的薄弱环节，梳理形成年度城市体检问题清单，分析问题成因、影响范围及整改难点。</w:t>
      </w:r>
    </w:p>
    <w:p w14:paraId="28165E62">
      <w:pPr>
        <w:spacing w:line="360" w:lineRule="auto"/>
        <w:ind w:firstLine="480"/>
        <w:rPr>
          <w:rFonts w:hint="default" w:ascii="Times New Roman" w:hAnsi="Times New Roman" w:eastAsia="方正仿宋_GBK" w:cs="Times New Roman"/>
          <w:b w:val="0"/>
          <w:bCs/>
          <w:sz w:val="34"/>
          <w:szCs w:val="34"/>
        </w:rPr>
      </w:pPr>
      <w:r>
        <w:rPr>
          <w:rFonts w:hint="default" w:ascii="Times New Roman" w:hAnsi="Times New Roman" w:eastAsia="方正仿宋_GBK" w:cs="Times New Roman"/>
          <w:b/>
          <w:bCs w:val="0"/>
          <w:sz w:val="34"/>
          <w:szCs w:val="34"/>
        </w:rPr>
        <w:t>4.整改方案与提升建议：</w:t>
      </w:r>
      <w:r>
        <w:rPr>
          <w:rFonts w:hint="default" w:ascii="Times New Roman" w:hAnsi="Times New Roman" w:eastAsia="方正仿宋_GBK" w:cs="Times New Roman"/>
          <w:b w:val="0"/>
          <w:bCs/>
          <w:sz w:val="34"/>
          <w:szCs w:val="34"/>
        </w:rPr>
        <w:t>针对排查出的各类问题，分类制定针对性整改措施、提升方案，明确整改重点、实施路径、时序安排，结合城市更新、基础设施建设、民生工程等工作，提出年度城市品质提升重点任务和项目建议。</w:t>
      </w:r>
    </w:p>
    <w:p w14:paraId="08709874">
      <w:pPr>
        <w:spacing w:line="360" w:lineRule="auto"/>
        <w:ind w:firstLine="480"/>
        <w:rPr>
          <w:rFonts w:hint="default" w:ascii="Times New Roman" w:hAnsi="Times New Roman" w:eastAsia="方正仿宋_GBK" w:cs="Times New Roman"/>
          <w:b w:val="0"/>
          <w:bCs/>
          <w:sz w:val="34"/>
          <w:szCs w:val="34"/>
        </w:rPr>
      </w:pPr>
      <w:r>
        <w:rPr>
          <w:rFonts w:hint="default" w:ascii="Times New Roman" w:hAnsi="Times New Roman" w:eastAsia="方正仿宋_GBK" w:cs="Times New Roman"/>
          <w:b/>
          <w:bCs w:val="0"/>
          <w:sz w:val="34"/>
          <w:szCs w:val="34"/>
        </w:rPr>
        <w:t>5.形成年度体检成果：</w:t>
      </w:r>
      <w:r>
        <w:rPr>
          <w:rFonts w:hint="default" w:ascii="Times New Roman" w:hAnsi="Times New Roman" w:eastAsia="方正仿宋_GBK" w:cs="Times New Roman"/>
          <w:b w:val="0"/>
          <w:bCs/>
          <w:sz w:val="34"/>
          <w:szCs w:val="34"/>
        </w:rPr>
        <w:t>编制2026年度沛县城市体检总报告、专项分析报告、问题整改清单、提升行动方案，完成数据入库、成果汇总，通过主管部门审核备案。</w:t>
      </w:r>
    </w:p>
    <w:p w14:paraId="341A23A2">
      <w:pPr>
        <w:widowControl/>
        <w:numPr>
          <w:ilvl w:val="0"/>
          <w:numId w:val="0"/>
        </w:numPr>
        <w:tabs>
          <w:tab w:val="left" w:pos="180"/>
        </w:tabs>
        <w:spacing w:after="120" w:line="360" w:lineRule="auto"/>
        <w:ind w:firstLine="680" w:firstLineChars="200"/>
        <w:rPr>
          <w:rFonts w:hint="eastAsia" w:ascii="方正黑体_GBK" w:hAnsi="方正黑体_GBK" w:eastAsia="方正黑体_GBK" w:cs="方正黑体_GBK"/>
          <w:b w:val="0"/>
          <w:bCs/>
          <w:sz w:val="34"/>
          <w:szCs w:val="34"/>
        </w:rPr>
      </w:pPr>
      <w:r>
        <w:rPr>
          <w:rFonts w:hint="eastAsia" w:ascii="方正黑体_GBK" w:hAnsi="方正黑体_GBK" w:eastAsia="方正黑体_GBK" w:cs="方正黑体_GBK"/>
          <w:b w:val="0"/>
          <w:bCs/>
          <w:sz w:val="34"/>
          <w:szCs w:val="34"/>
          <w:lang w:eastAsia="zh-CN"/>
        </w:rPr>
        <w:t>五、</w:t>
      </w:r>
      <w:r>
        <w:rPr>
          <w:rFonts w:hint="eastAsia" w:ascii="方正黑体_GBK" w:hAnsi="方正黑体_GBK" w:eastAsia="方正黑体_GBK" w:cs="方正黑体_GBK"/>
          <w:b w:val="0"/>
          <w:bCs/>
          <w:sz w:val="34"/>
          <w:szCs w:val="34"/>
        </w:rPr>
        <w:t>成果</w:t>
      </w:r>
      <w:r>
        <w:rPr>
          <w:rFonts w:hint="eastAsia" w:ascii="方正黑体_GBK" w:hAnsi="方正黑体_GBK" w:eastAsia="方正黑体_GBK" w:cs="方正黑体_GBK"/>
          <w:b w:val="0"/>
          <w:bCs/>
          <w:sz w:val="34"/>
          <w:szCs w:val="34"/>
          <w:lang w:eastAsia="zh-CN"/>
        </w:rPr>
        <w:t>交付</w:t>
      </w:r>
      <w:r>
        <w:rPr>
          <w:rFonts w:hint="eastAsia" w:ascii="方正黑体_GBK" w:hAnsi="方正黑体_GBK" w:eastAsia="方正黑体_GBK" w:cs="方正黑体_GBK"/>
          <w:b w:val="0"/>
          <w:bCs/>
          <w:sz w:val="34"/>
          <w:szCs w:val="34"/>
        </w:rPr>
        <w:t>要求</w:t>
      </w:r>
    </w:p>
    <w:p w14:paraId="3AC72306">
      <w:pPr>
        <w:pStyle w:val="4"/>
        <w:ind w:firstLine="480"/>
        <w:rPr>
          <w:rFonts w:hint="eastAsia" w:ascii="方正仿宋_GBK" w:hAnsi="方正仿宋_GBK" w:eastAsia="方正仿宋_GBK" w:cs="方正仿宋_GBK"/>
          <w:sz w:val="34"/>
          <w:szCs w:val="34"/>
        </w:rPr>
      </w:pPr>
      <w:r>
        <w:rPr>
          <w:rFonts w:hint="eastAsia" w:ascii="方正仿宋_GBK" w:hAnsi="方正仿宋_GBK" w:eastAsia="方正仿宋_GBK" w:cs="方正仿宋_GBK"/>
          <w:sz w:val="34"/>
          <w:szCs w:val="34"/>
        </w:rPr>
        <w:t>供应商需按采购人及行业规范要求，完成全套成果编制、修改、评审、报批工作，最终交付完整、规范、可落地的成果资料，具体交付内容如下：</w:t>
      </w:r>
    </w:p>
    <w:p w14:paraId="3CFF73FD">
      <w:pPr>
        <w:pStyle w:val="4"/>
        <w:ind w:firstLine="480"/>
        <w:rPr>
          <w:rFonts w:hint="eastAsia" w:ascii="方正仿宋_GBK" w:hAnsi="方正仿宋_GBK" w:eastAsia="方正仿宋_GBK" w:cs="方正仿宋_GBK"/>
          <w:sz w:val="34"/>
          <w:szCs w:val="34"/>
        </w:rPr>
      </w:pPr>
      <w:r>
        <w:rPr>
          <w:rFonts w:hint="eastAsia" w:ascii="方正仿宋_GBK" w:hAnsi="方正仿宋_GBK" w:eastAsia="方正仿宋_GBK" w:cs="方正仿宋_GBK"/>
          <w:b/>
          <w:bCs/>
          <w:sz w:val="34"/>
          <w:szCs w:val="34"/>
        </w:rPr>
        <w:t>1.文字报告成果：</w:t>
      </w:r>
      <w:r>
        <w:rPr>
          <w:rFonts w:hint="eastAsia" w:ascii="方正仿宋_GBK" w:hAnsi="方正仿宋_GBK" w:eastAsia="方正仿宋_GBK" w:cs="方正仿宋_GBK"/>
          <w:sz w:val="34"/>
          <w:szCs w:val="34"/>
        </w:rPr>
        <w:t>包含城市更新专项规划文本、说明书、图集；重点片区更新策划方案文本、图集、实施说明；2026年度城市体检总报告、专项报告、问题清单、整改方案等全套文字资料。</w:t>
      </w:r>
    </w:p>
    <w:p w14:paraId="76793253">
      <w:pPr>
        <w:pStyle w:val="4"/>
        <w:ind w:firstLine="480"/>
        <w:rPr>
          <w:rFonts w:hint="eastAsia" w:ascii="方正仿宋_GBK" w:hAnsi="方正仿宋_GBK" w:eastAsia="方正仿宋_GBK" w:cs="方正仿宋_GBK"/>
          <w:sz w:val="34"/>
          <w:szCs w:val="34"/>
        </w:rPr>
      </w:pPr>
      <w:r>
        <w:rPr>
          <w:rFonts w:hint="eastAsia" w:ascii="方正仿宋_GBK" w:hAnsi="方正仿宋_GBK" w:eastAsia="方正仿宋_GBK" w:cs="方正仿宋_GBK"/>
          <w:b/>
          <w:bCs/>
          <w:sz w:val="34"/>
          <w:szCs w:val="34"/>
        </w:rPr>
        <w:t>2.图纸成果：</w:t>
      </w:r>
      <w:r>
        <w:rPr>
          <w:rFonts w:hint="eastAsia" w:ascii="方正仿宋_GBK" w:hAnsi="方正仿宋_GBK" w:eastAsia="方正仿宋_GBK" w:cs="方正仿宋_GBK"/>
          <w:sz w:val="34"/>
          <w:szCs w:val="34"/>
        </w:rPr>
        <w:t>包含现状分析图、规划布局图、分区管控图、重点片区改造效果图、交通分析图、生态管控图、设施布局图等全套规范图纸，图纸分辨率、精度符合行业评审标准。</w:t>
      </w:r>
    </w:p>
    <w:p w14:paraId="7C719988">
      <w:pPr>
        <w:pStyle w:val="4"/>
        <w:ind w:firstLine="480"/>
        <w:rPr>
          <w:rFonts w:hint="eastAsia" w:ascii="方正仿宋_GBK" w:hAnsi="方正仿宋_GBK" w:eastAsia="方正仿宋_GBK" w:cs="方正仿宋_GBK"/>
          <w:sz w:val="34"/>
          <w:szCs w:val="34"/>
        </w:rPr>
      </w:pPr>
      <w:r>
        <w:rPr>
          <w:rFonts w:hint="eastAsia" w:ascii="方正仿宋_GBK" w:hAnsi="方正仿宋_GBK" w:eastAsia="方正仿宋_GBK" w:cs="方正仿宋_GBK"/>
          <w:b/>
          <w:bCs/>
          <w:sz w:val="34"/>
          <w:szCs w:val="34"/>
        </w:rPr>
        <w:t>3.数据成果：</w:t>
      </w:r>
      <w:r>
        <w:rPr>
          <w:rFonts w:hint="eastAsia" w:ascii="方正仿宋_GBK" w:hAnsi="方正仿宋_GBK" w:eastAsia="方正仿宋_GBK" w:cs="方正仿宋_GBK"/>
          <w:sz w:val="34"/>
          <w:szCs w:val="34"/>
        </w:rPr>
        <w:t>提交符合国土空间规划数据标准的矢量数据、体检指标数据库、项目库台账等电子数据，确保数据完整、精准、可对接主管部门信息平台。</w:t>
      </w:r>
    </w:p>
    <w:p w14:paraId="0DFD77D0">
      <w:pPr>
        <w:pStyle w:val="4"/>
        <w:ind w:firstLine="480"/>
        <w:rPr>
          <w:rFonts w:hint="eastAsia" w:ascii="方正仿宋_GBK" w:hAnsi="方正仿宋_GBK" w:eastAsia="方正仿宋_GBK" w:cs="方正仿宋_GBK"/>
          <w:sz w:val="34"/>
          <w:szCs w:val="34"/>
        </w:rPr>
      </w:pPr>
      <w:r>
        <w:rPr>
          <w:rFonts w:hint="eastAsia" w:ascii="方正仿宋_GBK" w:hAnsi="方正仿宋_GBK" w:eastAsia="方正仿宋_GBK" w:cs="方正仿宋_GBK"/>
          <w:b/>
          <w:bCs/>
          <w:sz w:val="34"/>
          <w:szCs w:val="34"/>
        </w:rPr>
        <w:t>4.交付份数：</w:t>
      </w:r>
      <w:r>
        <w:rPr>
          <w:rFonts w:hint="eastAsia" w:ascii="方正仿宋_GBK" w:hAnsi="方正仿宋_GBK" w:eastAsia="方正仿宋_GBK" w:cs="方正仿宋_GBK"/>
          <w:sz w:val="34"/>
          <w:szCs w:val="34"/>
        </w:rPr>
        <w:t>纸质成果每套完整资料</w:t>
      </w:r>
      <w:r>
        <w:rPr>
          <w:rFonts w:hint="eastAsia" w:ascii="方正仿宋_GBK" w:hAnsi="方正仿宋_GBK" w:eastAsia="方正仿宋_GBK" w:cs="方正仿宋_GBK"/>
          <w:sz w:val="34"/>
          <w:szCs w:val="34"/>
          <w:lang w:val="en-US" w:eastAsia="zh-CN"/>
        </w:rPr>
        <w:t>10</w:t>
      </w:r>
      <w:r>
        <w:rPr>
          <w:rFonts w:hint="eastAsia" w:ascii="方正仿宋_GBK" w:hAnsi="方正仿宋_GBK" w:eastAsia="方正仿宋_GBK" w:cs="方正仿宋_GBK"/>
          <w:sz w:val="34"/>
          <w:szCs w:val="34"/>
        </w:rPr>
        <w:t>套，高清电子成果（PDF、CAD、矢量数据、PPT汇报文件）全套交付，满足评审、报批、归档、公示使用需求。</w:t>
      </w:r>
    </w:p>
    <w:p w14:paraId="684751FF">
      <w:pPr>
        <w:pStyle w:val="4"/>
        <w:ind w:firstLine="480"/>
        <w:rPr>
          <w:rFonts w:hint="eastAsia" w:ascii="方正仿宋_GBK" w:hAnsi="方正仿宋_GBK" w:eastAsia="方正仿宋_GBK" w:cs="方正仿宋_GBK"/>
          <w:sz w:val="34"/>
          <w:szCs w:val="34"/>
        </w:rPr>
      </w:pPr>
      <w:r>
        <w:rPr>
          <w:rFonts w:hint="eastAsia" w:ascii="方正仿宋_GBK" w:hAnsi="方正仿宋_GBK" w:eastAsia="方正仿宋_GBK" w:cs="方正仿宋_GBK"/>
          <w:b/>
          <w:bCs/>
          <w:sz w:val="34"/>
          <w:szCs w:val="34"/>
        </w:rPr>
        <w:t>5.成果修改服务：</w:t>
      </w:r>
      <w:r>
        <w:rPr>
          <w:rFonts w:hint="eastAsia" w:ascii="方正仿宋_GBK" w:hAnsi="方正仿宋_GBK" w:eastAsia="方正仿宋_GBK" w:cs="方正仿宋_GBK"/>
          <w:sz w:val="34"/>
          <w:szCs w:val="34"/>
        </w:rPr>
        <w:t>全过程配合采购人、主管部门、评审专家开展成果修改、汇报答辩、公示答疑、报批完善等工作，直至成果全部通过审查备案。</w:t>
      </w:r>
    </w:p>
    <w:p w14:paraId="1D30A3AD">
      <w:pPr>
        <w:spacing w:line="360" w:lineRule="auto"/>
        <w:ind w:firstLine="680" w:firstLineChars="200"/>
        <w:jc w:val="both"/>
        <w:rPr>
          <w:rFonts w:hint="eastAsia" w:ascii="方正黑体_GBK" w:hAnsi="方正黑体_GBK" w:eastAsia="方正黑体_GBK" w:cs="方正黑体_GBK"/>
          <w:b w:val="0"/>
          <w:bCs/>
          <w:sz w:val="34"/>
          <w:szCs w:val="34"/>
        </w:rPr>
      </w:pPr>
      <w:r>
        <w:rPr>
          <w:rFonts w:hint="eastAsia" w:ascii="方正黑体_GBK" w:hAnsi="方正黑体_GBK" w:eastAsia="方正黑体_GBK" w:cs="方正黑体_GBK"/>
          <w:b w:val="0"/>
          <w:bCs/>
          <w:sz w:val="34"/>
          <w:szCs w:val="34"/>
        </w:rPr>
        <w:t>六、服务期限与进度要求</w:t>
      </w:r>
    </w:p>
    <w:p w14:paraId="0FC5B46F">
      <w:pPr>
        <w:spacing w:line="360" w:lineRule="auto"/>
        <w:ind w:firstLine="680" w:firstLineChars="200"/>
        <w:jc w:val="both"/>
        <w:rPr>
          <w:rFonts w:hint="default" w:ascii="Times New Roman" w:hAnsi="Times New Roman" w:eastAsia="方正仿宋_GBK" w:cs="Times New Roman"/>
          <w:b w:val="0"/>
          <w:bCs/>
          <w:sz w:val="34"/>
          <w:szCs w:val="34"/>
        </w:rPr>
      </w:pPr>
      <w:r>
        <w:rPr>
          <w:rFonts w:hint="default" w:ascii="Times New Roman" w:hAnsi="Times New Roman" w:eastAsia="方正仿宋_GBK" w:cs="Times New Roman"/>
          <w:b w:val="0"/>
          <w:bCs/>
          <w:sz w:val="34"/>
          <w:szCs w:val="34"/>
        </w:rPr>
        <w:t>本项目总服务周期为合同签订之日起180日历天，具体分阶段进度要求如下：</w:t>
      </w:r>
    </w:p>
    <w:p w14:paraId="4B90495D">
      <w:pPr>
        <w:spacing w:line="360" w:lineRule="auto"/>
        <w:ind w:firstLine="683" w:firstLineChars="200"/>
        <w:jc w:val="both"/>
        <w:rPr>
          <w:rFonts w:hint="default" w:ascii="Times New Roman" w:hAnsi="Times New Roman" w:eastAsia="方正仿宋_GBK" w:cs="Times New Roman"/>
          <w:b w:val="0"/>
          <w:bCs/>
          <w:sz w:val="34"/>
          <w:szCs w:val="34"/>
        </w:rPr>
      </w:pPr>
      <w:r>
        <w:rPr>
          <w:rFonts w:hint="default" w:ascii="Times New Roman" w:hAnsi="Times New Roman" w:eastAsia="方正仿宋_GBK" w:cs="Times New Roman"/>
          <w:b/>
          <w:bCs w:val="0"/>
          <w:sz w:val="34"/>
          <w:szCs w:val="34"/>
        </w:rPr>
        <w:t>1.现状调研与初稿阶段（60日历天）：</w:t>
      </w:r>
      <w:r>
        <w:rPr>
          <w:rFonts w:hint="default" w:ascii="Times New Roman" w:hAnsi="Times New Roman" w:eastAsia="方正仿宋_GBK" w:cs="Times New Roman"/>
          <w:b w:val="0"/>
          <w:bCs/>
          <w:sz w:val="34"/>
          <w:szCs w:val="34"/>
        </w:rPr>
        <w:t>完成全域现状调研、数据收集、民意调研，完成城市更新专项规划、片区策划、城市体检初步成果编制，提交采购人初审。</w:t>
      </w:r>
    </w:p>
    <w:p w14:paraId="2AD64378">
      <w:pPr>
        <w:spacing w:line="360" w:lineRule="auto"/>
        <w:ind w:firstLine="683" w:firstLineChars="200"/>
        <w:jc w:val="both"/>
        <w:rPr>
          <w:rFonts w:hint="default" w:ascii="Times New Roman" w:hAnsi="Times New Roman" w:eastAsia="方正仿宋_GBK" w:cs="Times New Roman"/>
          <w:b w:val="0"/>
          <w:bCs/>
          <w:sz w:val="34"/>
          <w:szCs w:val="34"/>
        </w:rPr>
      </w:pPr>
      <w:r>
        <w:rPr>
          <w:rFonts w:hint="default" w:ascii="Times New Roman" w:hAnsi="Times New Roman" w:eastAsia="方正仿宋_GBK" w:cs="Times New Roman"/>
          <w:b/>
          <w:bCs w:val="0"/>
          <w:sz w:val="34"/>
          <w:szCs w:val="34"/>
        </w:rPr>
        <w:t>2.成果完善与评审阶段（90日历天）：</w:t>
      </w:r>
      <w:r>
        <w:rPr>
          <w:rFonts w:hint="default" w:ascii="Times New Roman" w:hAnsi="Times New Roman" w:eastAsia="方正仿宋_GBK" w:cs="Times New Roman"/>
          <w:b w:val="0"/>
          <w:bCs/>
          <w:sz w:val="34"/>
          <w:szCs w:val="34"/>
        </w:rPr>
        <w:t>根据初审意见修改完善成果，组织专家评审、部门会商，完成成果公示，形成评审修改后的正式成果。</w:t>
      </w:r>
    </w:p>
    <w:p w14:paraId="3B298E85">
      <w:pPr>
        <w:spacing w:line="360" w:lineRule="auto"/>
        <w:ind w:firstLine="683" w:firstLineChars="200"/>
        <w:jc w:val="both"/>
        <w:rPr>
          <w:rFonts w:hint="default" w:ascii="Times New Roman" w:hAnsi="Times New Roman" w:eastAsia="方正仿宋_GBK" w:cs="Times New Roman"/>
          <w:b w:val="0"/>
          <w:bCs/>
          <w:sz w:val="34"/>
          <w:szCs w:val="34"/>
        </w:rPr>
      </w:pPr>
      <w:r>
        <w:rPr>
          <w:rFonts w:hint="default" w:ascii="Times New Roman" w:hAnsi="Times New Roman" w:eastAsia="方正仿宋_GBK" w:cs="Times New Roman"/>
          <w:b/>
          <w:bCs w:val="0"/>
          <w:sz w:val="34"/>
          <w:szCs w:val="34"/>
        </w:rPr>
        <w:t>3.报批归档阶段（180日历天内）：</w:t>
      </w:r>
      <w:r>
        <w:rPr>
          <w:rFonts w:hint="default" w:ascii="Times New Roman" w:hAnsi="Times New Roman" w:eastAsia="方正仿宋_GBK" w:cs="Times New Roman"/>
          <w:b w:val="0"/>
          <w:bCs/>
          <w:sz w:val="34"/>
          <w:szCs w:val="34"/>
        </w:rPr>
        <w:t>完成全部成果报批、备案、数据入库、资料归档工作，交付全套合格成果。</w:t>
      </w:r>
    </w:p>
    <w:p w14:paraId="6290E18A">
      <w:pPr>
        <w:spacing w:line="360" w:lineRule="auto"/>
        <w:ind w:firstLine="680" w:firstLineChars="200"/>
        <w:jc w:val="both"/>
        <w:rPr>
          <w:rFonts w:hint="eastAsia" w:ascii="方正仿宋_GBK" w:hAnsi="方正仿宋_GBK" w:eastAsia="方正仿宋_GBK" w:cs="方正仿宋_GBK"/>
          <w:b/>
          <w:sz w:val="34"/>
          <w:szCs w:val="34"/>
        </w:rPr>
      </w:pPr>
      <w:r>
        <w:rPr>
          <w:rFonts w:hint="default" w:ascii="Times New Roman" w:hAnsi="Times New Roman" w:eastAsia="方正仿宋_GBK" w:cs="Times New Roman"/>
          <w:b w:val="0"/>
          <w:bCs/>
          <w:sz w:val="34"/>
          <w:szCs w:val="34"/>
        </w:rPr>
        <w:t>服务期内，供应商需无条件配合采购人各项工作调整、汇报、检查、整改要求，确保项目按期保质完成。</w:t>
      </w:r>
    </w:p>
    <w:p w14:paraId="753CB639">
      <w:pPr>
        <w:spacing w:line="360" w:lineRule="auto"/>
        <w:ind w:firstLine="680" w:firstLineChars="200"/>
        <w:jc w:val="both"/>
        <w:rPr>
          <w:rFonts w:hint="eastAsia" w:ascii="方正黑体_GBK" w:hAnsi="方正黑体_GBK" w:eastAsia="方正黑体_GBK" w:cs="方正黑体_GBK"/>
          <w:b w:val="0"/>
          <w:bCs/>
          <w:sz w:val="34"/>
          <w:szCs w:val="34"/>
        </w:rPr>
      </w:pPr>
      <w:r>
        <w:rPr>
          <w:rFonts w:hint="eastAsia" w:ascii="方正黑体_GBK" w:hAnsi="方正黑体_GBK" w:eastAsia="方正黑体_GBK" w:cs="方正黑体_GBK"/>
          <w:b w:val="0"/>
          <w:bCs/>
          <w:sz w:val="34"/>
          <w:szCs w:val="34"/>
        </w:rPr>
        <w:t>七、人员与服务要求</w:t>
      </w:r>
    </w:p>
    <w:p w14:paraId="43D04B3E">
      <w:pPr>
        <w:spacing w:line="360" w:lineRule="auto"/>
        <w:ind w:firstLine="683" w:firstLineChars="200"/>
        <w:jc w:val="both"/>
        <w:rPr>
          <w:rFonts w:hint="default" w:ascii="Times New Roman" w:hAnsi="Times New Roman" w:eastAsia="方正仿宋_GBK" w:cs="Times New Roman"/>
          <w:b w:val="0"/>
          <w:bCs/>
          <w:sz w:val="34"/>
          <w:szCs w:val="34"/>
        </w:rPr>
      </w:pPr>
      <w:r>
        <w:rPr>
          <w:rFonts w:hint="default" w:ascii="Times New Roman" w:hAnsi="Times New Roman" w:eastAsia="方正仿宋_GBK" w:cs="Times New Roman"/>
          <w:b/>
          <w:bCs w:val="0"/>
          <w:sz w:val="34"/>
          <w:szCs w:val="34"/>
        </w:rPr>
        <w:t>1.团队配置要求：</w:t>
      </w:r>
      <w:r>
        <w:rPr>
          <w:rFonts w:hint="default" w:ascii="Times New Roman" w:hAnsi="Times New Roman" w:eastAsia="方正仿宋_GBK" w:cs="Times New Roman"/>
          <w:b w:val="0"/>
          <w:bCs/>
          <w:sz w:val="34"/>
          <w:szCs w:val="34"/>
        </w:rPr>
        <w:t>供应商需组建专业、稳定的项目服务团队，配备项目负责人、规划主创、专项技术人员等，团队人员需具备城乡规划、城市更新、国土空间规划、城市体检相关工作经验，能够熟练完成本项目各项编制、调研、落地指导工作。项目实施期间不得随意更换核心主创人员，确需更换的需提前征得采购人同意。</w:t>
      </w:r>
    </w:p>
    <w:p w14:paraId="44B9FD88">
      <w:pPr>
        <w:spacing w:line="360" w:lineRule="auto"/>
        <w:ind w:firstLine="683" w:firstLineChars="200"/>
        <w:jc w:val="both"/>
        <w:rPr>
          <w:rFonts w:hint="default" w:ascii="Times New Roman" w:hAnsi="Times New Roman" w:eastAsia="方正仿宋_GBK" w:cs="Times New Roman"/>
          <w:b w:val="0"/>
          <w:bCs/>
          <w:sz w:val="34"/>
          <w:szCs w:val="34"/>
        </w:rPr>
      </w:pPr>
      <w:r>
        <w:rPr>
          <w:rFonts w:hint="default" w:ascii="Times New Roman" w:hAnsi="Times New Roman" w:eastAsia="方正仿宋_GBK" w:cs="Times New Roman"/>
          <w:b/>
          <w:bCs w:val="0"/>
          <w:sz w:val="34"/>
          <w:szCs w:val="34"/>
        </w:rPr>
        <w:t>2.驻地服务要求：</w:t>
      </w:r>
      <w:r>
        <w:rPr>
          <w:rFonts w:hint="default" w:ascii="Times New Roman" w:hAnsi="Times New Roman" w:eastAsia="方正仿宋_GBK" w:cs="Times New Roman"/>
          <w:b w:val="0"/>
          <w:bCs/>
          <w:sz w:val="34"/>
          <w:szCs w:val="34"/>
        </w:rPr>
        <w:t>项目关键阶段（现状调研、评审汇报、成果整改、报批对接）需安排人员驻场服务，及时响应采购人工作需求，高效对接各主管部门，保障项目推进效率。</w:t>
      </w:r>
    </w:p>
    <w:p w14:paraId="7BDBC4AF">
      <w:pPr>
        <w:spacing w:line="360" w:lineRule="auto"/>
        <w:ind w:firstLine="683" w:firstLineChars="200"/>
        <w:jc w:val="both"/>
        <w:rPr>
          <w:rFonts w:hint="default" w:ascii="Times New Roman" w:hAnsi="Times New Roman" w:eastAsia="方正仿宋_GBK" w:cs="Times New Roman"/>
          <w:b w:val="0"/>
          <w:bCs/>
          <w:sz w:val="34"/>
          <w:szCs w:val="34"/>
        </w:rPr>
      </w:pPr>
      <w:r>
        <w:rPr>
          <w:rFonts w:hint="default" w:ascii="Times New Roman" w:hAnsi="Times New Roman" w:eastAsia="方正仿宋_GBK" w:cs="Times New Roman"/>
          <w:b/>
          <w:bCs w:val="0"/>
          <w:sz w:val="34"/>
          <w:szCs w:val="34"/>
        </w:rPr>
        <w:t>3.全程配合服务：</w:t>
      </w:r>
      <w:r>
        <w:rPr>
          <w:rFonts w:hint="default" w:ascii="Times New Roman" w:hAnsi="Times New Roman" w:eastAsia="方正仿宋_GBK" w:cs="Times New Roman"/>
          <w:b w:val="0"/>
          <w:bCs/>
          <w:sz w:val="34"/>
          <w:szCs w:val="34"/>
        </w:rPr>
        <w:t>无条件配合采购人完成项目汇报、答辩、公示、答疑、资料上报、督查整改等全部相关工作，服务范围覆盖项目全周期，直至成果完全落地归档。</w:t>
      </w:r>
    </w:p>
    <w:p w14:paraId="0AE14BED">
      <w:pPr>
        <w:spacing w:line="360" w:lineRule="auto"/>
        <w:ind w:firstLine="683" w:firstLineChars="200"/>
        <w:jc w:val="both"/>
        <w:rPr>
          <w:rFonts w:hint="default" w:ascii="Times New Roman" w:hAnsi="Times New Roman" w:eastAsia="方正仿宋_GBK" w:cs="Times New Roman"/>
          <w:b w:val="0"/>
          <w:bCs/>
          <w:sz w:val="34"/>
          <w:szCs w:val="34"/>
        </w:rPr>
      </w:pPr>
      <w:r>
        <w:rPr>
          <w:rFonts w:hint="default" w:ascii="Times New Roman" w:hAnsi="Times New Roman" w:eastAsia="方正仿宋_GBK" w:cs="Times New Roman"/>
          <w:b/>
          <w:bCs w:val="0"/>
          <w:sz w:val="34"/>
          <w:szCs w:val="34"/>
        </w:rPr>
        <w:t>4.保密要求：</w:t>
      </w:r>
      <w:r>
        <w:rPr>
          <w:rFonts w:hint="default" w:ascii="Times New Roman" w:hAnsi="Times New Roman" w:eastAsia="方正仿宋_GBK" w:cs="Times New Roman"/>
          <w:b w:val="0"/>
          <w:bCs/>
          <w:sz w:val="34"/>
          <w:szCs w:val="34"/>
        </w:rPr>
        <w:t>供应商对项目调研数据、城市现状数据、规划成果、涉密资料等严格保密，不得外泄、不得用于本项目以外其他用途，项目完成后需销毁临时涉密资料，承担相应保密责任。</w:t>
      </w:r>
    </w:p>
    <w:p w14:paraId="75D9696A">
      <w:pPr>
        <w:spacing w:line="360" w:lineRule="auto"/>
        <w:ind w:firstLine="680" w:firstLineChars="200"/>
        <w:jc w:val="both"/>
        <w:rPr>
          <w:rFonts w:hint="eastAsia" w:ascii="方正黑体_GBK" w:hAnsi="方正黑体_GBK" w:eastAsia="方正黑体_GBK" w:cs="方正黑体_GBK"/>
          <w:b w:val="0"/>
          <w:bCs/>
          <w:sz w:val="34"/>
          <w:szCs w:val="34"/>
        </w:rPr>
      </w:pPr>
      <w:r>
        <w:rPr>
          <w:rFonts w:hint="eastAsia" w:ascii="方正黑体_GBK" w:hAnsi="方正黑体_GBK" w:eastAsia="方正黑体_GBK" w:cs="方正黑体_GBK"/>
          <w:b w:val="0"/>
          <w:bCs/>
          <w:sz w:val="34"/>
          <w:szCs w:val="34"/>
        </w:rPr>
        <w:t>八、验收标准与方式</w:t>
      </w:r>
    </w:p>
    <w:p w14:paraId="47F327AC">
      <w:pPr>
        <w:spacing w:line="360" w:lineRule="auto"/>
        <w:ind w:firstLine="680" w:firstLineChars="200"/>
        <w:jc w:val="both"/>
        <w:rPr>
          <w:rFonts w:hint="default" w:ascii="Times New Roman" w:hAnsi="Times New Roman" w:eastAsia="方正仿宋_GBK" w:cs="Times New Roman"/>
          <w:b w:val="0"/>
          <w:bCs/>
          <w:sz w:val="34"/>
          <w:szCs w:val="34"/>
        </w:rPr>
      </w:pPr>
      <w:r>
        <w:rPr>
          <w:rFonts w:hint="default" w:ascii="Times New Roman" w:hAnsi="Times New Roman" w:eastAsia="方正仿宋_GBK" w:cs="Times New Roman"/>
          <w:b w:val="0"/>
          <w:bCs/>
          <w:sz w:val="34"/>
          <w:szCs w:val="34"/>
        </w:rPr>
        <w:t>1.验收标准：项目成果符合国家、省、市现行法律法规、技术规范、政策文件要求，完全响应本采购需求全部内容；通过采购人、相关主管部门及专家评审；成果资料完整、数据精准、图纸规范、方案可落地，顺利完成备案归档，即为验收合格。</w:t>
      </w:r>
    </w:p>
    <w:p w14:paraId="40124924">
      <w:pPr>
        <w:spacing w:line="360" w:lineRule="auto"/>
        <w:ind w:firstLine="680" w:firstLineChars="200"/>
        <w:jc w:val="both"/>
        <w:rPr>
          <w:rFonts w:hint="default" w:ascii="Times New Roman" w:hAnsi="Times New Roman" w:eastAsia="方正仿宋_GBK" w:cs="Times New Roman"/>
          <w:b w:val="0"/>
          <w:bCs/>
          <w:kern w:val="0"/>
          <w:sz w:val="34"/>
          <w:szCs w:val="34"/>
        </w:rPr>
      </w:pPr>
      <w:r>
        <w:rPr>
          <w:rFonts w:hint="default" w:ascii="Times New Roman" w:hAnsi="Times New Roman" w:eastAsia="方正仿宋_GBK" w:cs="Times New Roman"/>
          <w:b w:val="0"/>
          <w:bCs/>
          <w:sz w:val="34"/>
          <w:szCs w:val="34"/>
        </w:rPr>
        <w:t>2.验收方式：项目全部成果完成后，供应商提交验收申请及全套成果资料，采购人组织内部审核、专家复核、部门核验，结合成果评审、备案情况进行综合验收，出具验收意见</w:t>
      </w:r>
      <w:r>
        <w:rPr>
          <w:rFonts w:hint="default" w:ascii="Times New Roman" w:hAnsi="Times New Roman" w:eastAsia="方正仿宋_GBK" w:cs="Times New Roman"/>
          <w:b w:val="0"/>
          <w:bCs/>
          <w:kern w:val="0"/>
          <w:sz w:val="34"/>
          <w:szCs w:val="34"/>
        </w:rPr>
        <w:t>。</w:t>
      </w:r>
    </w:p>
    <w:p w14:paraId="06490536">
      <w:pPr>
        <w:spacing w:line="360" w:lineRule="auto"/>
        <w:ind w:firstLine="680" w:firstLineChars="200"/>
        <w:jc w:val="both"/>
        <w:rPr>
          <w:rFonts w:hint="eastAsia" w:ascii="方正黑体_GBK" w:hAnsi="方正黑体_GBK" w:eastAsia="方正黑体_GBK" w:cs="方正黑体_GBK"/>
          <w:b w:val="0"/>
          <w:bCs/>
          <w:kern w:val="0"/>
          <w:sz w:val="34"/>
          <w:szCs w:val="34"/>
        </w:rPr>
      </w:pPr>
      <w:r>
        <w:rPr>
          <w:rFonts w:hint="eastAsia" w:ascii="方正黑体_GBK" w:hAnsi="方正黑体_GBK" w:eastAsia="方正黑体_GBK" w:cs="方正黑体_GBK"/>
          <w:b w:val="0"/>
          <w:bCs/>
          <w:kern w:val="0"/>
          <w:sz w:val="34"/>
          <w:szCs w:val="34"/>
        </w:rPr>
        <w:t>九、其他要求</w:t>
      </w:r>
    </w:p>
    <w:p w14:paraId="1370C552">
      <w:pPr>
        <w:spacing w:line="360" w:lineRule="auto"/>
        <w:ind w:firstLine="680" w:firstLineChars="200"/>
        <w:jc w:val="both"/>
        <w:rPr>
          <w:rFonts w:hint="default" w:ascii="Times New Roman" w:hAnsi="Times New Roman" w:eastAsia="方正仿宋_GBK" w:cs="Times New Roman"/>
          <w:b w:val="0"/>
          <w:bCs/>
          <w:kern w:val="0"/>
          <w:sz w:val="34"/>
          <w:szCs w:val="34"/>
        </w:rPr>
      </w:pPr>
      <w:r>
        <w:rPr>
          <w:rFonts w:hint="default" w:ascii="Times New Roman" w:hAnsi="Times New Roman" w:eastAsia="方正仿宋_GBK" w:cs="Times New Roman"/>
          <w:b w:val="0"/>
          <w:bCs/>
          <w:kern w:val="0"/>
          <w:sz w:val="34"/>
          <w:szCs w:val="34"/>
        </w:rPr>
        <w:t>1.本项目所有成果知识产权归采购人所有，供应商不得擅自使用、传播、转让，未经采购人许可不得用于其他项目。</w:t>
      </w:r>
    </w:p>
    <w:p w14:paraId="64A84043">
      <w:pPr>
        <w:spacing w:line="360" w:lineRule="auto"/>
        <w:ind w:firstLine="680" w:firstLineChars="200"/>
        <w:jc w:val="both"/>
        <w:rPr>
          <w:rFonts w:hint="default" w:ascii="Times New Roman" w:hAnsi="Times New Roman" w:eastAsia="方正仿宋_GBK" w:cs="Times New Roman"/>
          <w:b w:val="0"/>
          <w:bCs/>
          <w:kern w:val="0"/>
          <w:sz w:val="34"/>
          <w:szCs w:val="34"/>
        </w:rPr>
      </w:pPr>
      <w:r>
        <w:rPr>
          <w:rFonts w:hint="default" w:ascii="Times New Roman" w:hAnsi="Times New Roman" w:eastAsia="方正仿宋_GBK" w:cs="Times New Roman"/>
          <w:b w:val="0"/>
          <w:bCs/>
          <w:kern w:val="0"/>
          <w:sz w:val="34"/>
          <w:szCs w:val="34"/>
        </w:rPr>
        <w:t>2.项目实施过程中产生的一切费用（调研费、差旅费、专家评审费、资料打印费、数据采购费、税费等）均包含在总报价内，采购人不另行支付任何费用。</w:t>
      </w:r>
    </w:p>
    <w:p w14:paraId="55810564">
      <w:pPr>
        <w:spacing w:line="360" w:lineRule="auto"/>
        <w:ind w:firstLine="680" w:firstLineChars="200"/>
        <w:jc w:val="both"/>
        <w:rPr>
          <w:rFonts w:hint="eastAsia" w:ascii="Times New Roman" w:hAnsi="Times New Roman" w:eastAsia="方正仿宋_GBK" w:cs="Times New Roman"/>
          <w:b w:val="0"/>
          <w:bCs/>
          <w:kern w:val="0"/>
          <w:sz w:val="34"/>
          <w:szCs w:val="34"/>
          <w:lang w:eastAsia="zh-CN"/>
        </w:rPr>
      </w:pPr>
      <w:r>
        <w:rPr>
          <w:rFonts w:hint="default" w:ascii="Times New Roman" w:hAnsi="Times New Roman" w:eastAsia="方正仿宋_GBK" w:cs="Times New Roman"/>
          <w:b w:val="0"/>
          <w:bCs/>
          <w:kern w:val="0"/>
          <w:sz w:val="34"/>
          <w:szCs w:val="34"/>
        </w:rPr>
        <w:t>3.供应商需主动对接各级主管部门，确保成果符合最新政策、规范及审批要求，因供应商编制问题导致成果无法通过评审、报批的，需无偿整改直至合格，并承担相应违约责任</w:t>
      </w:r>
      <w:r>
        <w:rPr>
          <w:rFonts w:hint="eastAsia" w:ascii="Times New Roman" w:hAnsi="Times New Roman" w:eastAsia="方正仿宋_GBK" w:cs="Times New Roman"/>
          <w:b w:val="0"/>
          <w:bCs/>
          <w:kern w:val="0"/>
          <w:sz w:val="34"/>
          <w:szCs w:val="34"/>
          <w:lang w:eastAsia="zh-CN"/>
        </w:rPr>
        <w:t>。</w:t>
      </w:r>
    </w:p>
    <w:p w14:paraId="1A9BD718">
      <w:pPr>
        <w:spacing w:line="360" w:lineRule="auto"/>
        <w:ind w:firstLine="680" w:firstLineChars="200"/>
        <w:jc w:val="both"/>
        <w:rPr>
          <w:rFonts w:hint="default" w:ascii="Times New Roman" w:hAnsi="Times New Roman" w:eastAsia="方正仿宋_GBK" w:cs="Times New Roman"/>
          <w:b w:val="0"/>
          <w:bCs/>
          <w:kern w:val="0"/>
          <w:sz w:val="34"/>
          <w:szCs w:val="34"/>
          <w:lang w:val="en-US" w:eastAsia="zh-CN"/>
        </w:rPr>
      </w:pPr>
      <w:r>
        <w:rPr>
          <w:rFonts w:hint="eastAsia" w:ascii="Times New Roman" w:hAnsi="Times New Roman" w:eastAsia="方正仿宋_GBK" w:cs="Times New Roman"/>
          <w:b w:val="0"/>
          <w:bCs/>
          <w:kern w:val="0"/>
          <w:sz w:val="34"/>
          <w:szCs w:val="34"/>
          <w:lang w:val="en-US" w:eastAsia="zh-CN"/>
        </w:rPr>
        <w:t>4.其他内容见磋商文件附件《拟签订的合同文本》。</w:t>
      </w:r>
    </w:p>
    <w:sectPr>
      <w:pgSz w:w="11906" w:h="16838"/>
      <w:pgMar w:top="1440" w:right="1587" w:bottom="144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embedRegular r:id="rId1" w:fontKey="{B6F0B768-9338-426A-A401-AAFD0AD79542}"/>
  </w:font>
  <w:font w:name="方正仿宋_GBK">
    <w:panose1 w:val="02000000000000000000"/>
    <w:charset w:val="86"/>
    <w:family w:val="auto"/>
    <w:pitch w:val="default"/>
    <w:sig w:usb0="A00002BF" w:usb1="38CF7CFA" w:usb2="00082016" w:usb3="00000000" w:csb0="00040001" w:csb1="00000000"/>
    <w:embedRegular r:id="rId2" w:fontKey="{D84D5204-6701-481D-BA0F-C98E9CCB108C}"/>
  </w:font>
  <w:font w:name="方正黑体_GBK">
    <w:altName w:val="微软雅黑"/>
    <w:panose1 w:val="03000509000000000000"/>
    <w:charset w:val="86"/>
    <w:family w:val="auto"/>
    <w:pitch w:val="default"/>
    <w:sig w:usb0="00000000" w:usb1="00000000" w:usb2="00000000" w:usb3="00000000" w:csb0="00040000" w:csb1="00000000"/>
    <w:embedRegular r:id="rId3" w:fontKey="{E4D79DD7-0BFE-4528-B886-7D1F9E7FE86B}"/>
  </w:font>
  <w:font w:name="方正楷体_GBK">
    <w:altName w:val="微软雅黑"/>
    <w:panose1 w:val="02000000000000000000"/>
    <w:charset w:val="86"/>
    <w:family w:val="auto"/>
    <w:pitch w:val="default"/>
    <w:sig w:usb0="00000000" w:usb1="00000000" w:usb2="00000000" w:usb3="00000000" w:csb0="00040000" w:csb1="00000000"/>
    <w:embedRegular r:id="rId4" w:fontKey="{82BD076B-E77D-465E-ABEF-EFFE7A094588}"/>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863F2B"/>
    <w:rsid w:val="00A61AA2"/>
    <w:rsid w:val="00BD0EAC"/>
    <w:rsid w:val="00EB40B3"/>
    <w:rsid w:val="01291861"/>
    <w:rsid w:val="012E67B2"/>
    <w:rsid w:val="012F4345"/>
    <w:rsid w:val="013E4DFF"/>
    <w:rsid w:val="01B52692"/>
    <w:rsid w:val="02C443D0"/>
    <w:rsid w:val="02E22596"/>
    <w:rsid w:val="03945FEA"/>
    <w:rsid w:val="04781CEA"/>
    <w:rsid w:val="04C1708E"/>
    <w:rsid w:val="050410BF"/>
    <w:rsid w:val="05114E09"/>
    <w:rsid w:val="0594649D"/>
    <w:rsid w:val="05AA3EBD"/>
    <w:rsid w:val="06A031B4"/>
    <w:rsid w:val="06A777B2"/>
    <w:rsid w:val="07141BF5"/>
    <w:rsid w:val="076C1017"/>
    <w:rsid w:val="07BE2A2D"/>
    <w:rsid w:val="09254168"/>
    <w:rsid w:val="098F3303"/>
    <w:rsid w:val="09964249"/>
    <w:rsid w:val="09D14632"/>
    <w:rsid w:val="09DA1168"/>
    <w:rsid w:val="0A325AA8"/>
    <w:rsid w:val="0A650353"/>
    <w:rsid w:val="0B4061BB"/>
    <w:rsid w:val="0B4B12BF"/>
    <w:rsid w:val="0BC313DC"/>
    <w:rsid w:val="0BCF1058"/>
    <w:rsid w:val="0BDC7B54"/>
    <w:rsid w:val="0BF36F48"/>
    <w:rsid w:val="0C3D42AE"/>
    <w:rsid w:val="0C630EB8"/>
    <w:rsid w:val="0C643461"/>
    <w:rsid w:val="0D4F1BA1"/>
    <w:rsid w:val="0D797A56"/>
    <w:rsid w:val="0DC21A10"/>
    <w:rsid w:val="0EF8186B"/>
    <w:rsid w:val="0F467EEC"/>
    <w:rsid w:val="0F7C57C3"/>
    <w:rsid w:val="0FA659E2"/>
    <w:rsid w:val="0FD36A35"/>
    <w:rsid w:val="0FDA4BE6"/>
    <w:rsid w:val="0FF71485"/>
    <w:rsid w:val="104F4986"/>
    <w:rsid w:val="10763167"/>
    <w:rsid w:val="10C22A05"/>
    <w:rsid w:val="10CF2EF6"/>
    <w:rsid w:val="10EC77D4"/>
    <w:rsid w:val="12161F47"/>
    <w:rsid w:val="12AD3920"/>
    <w:rsid w:val="13F05097"/>
    <w:rsid w:val="13F80D31"/>
    <w:rsid w:val="149E7759"/>
    <w:rsid w:val="15112FDD"/>
    <w:rsid w:val="151743BD"/>
    <w:rsid w:val="152469F9"/>
    <w:rsid w:val="15C40590"/>
    <w:rsid w:val="16621895"/>
    <w:rsid w:val="16D566CD"/>
    <w:rsid w:val="16E0789B"/>
    <w:rsid w:val="17512807"/>
    <w:rsid w:val="175626B2"/>
    <w:rsid w:val="178E4694"/>
    <w:rsid w:val="17AC18D5"/>
    <w:rsid w:val="17AD07FC"/>
    <w:rsid w:val="180524F4"/>
    <w:rsid w:val="182A7468"/>
    <w:rsid w:val="18522996"/>
    <w:rsid w:val="18C64DB1"/>
    <w:rsid w:val="196124BA"/>
    <w:rsid w:val="1A910913"/>
    <w:rsid w:val="1A943C98"/>
    <w:rsid w:val="1B404343"/>
    <w:rsid w:val="1B4D4D74"/>
    <w:rsid w:val="1B89072B"/>
    <w:rsid w:val="1BA9135A"/>
    <w:rsid w:val="1C193D38"/>
    <w:rsid w:val="1C264000"/>
    <w:rsid w:val="1C335100"/>
    <w:rsid w:val="1C6861C6"/>
    <w:rsid w:val="1CCD2FDE"/>
    <w:rsid w:val="1D0331E6"/>
    <w:rsid w:val="1D7E2602"/>
    <w:rsid w:val="1E553C45"/>
    <w:rsid w:val="1E714D5F"/>
    <w:rsid w:val="1ED44B2B"/>
    <w:rsid w:val="1EE537D9"/>
    <w:rsid w:val="1EFD345D"/>
    <w:rsid w:val="1EFF0E53"/>
    <w:rsid w:val="1F236C88"/>
    <w:rsid w:val="1F972487"/>
    <w:rsid w:val="1F9D353F"/>
    <w:rsid w:val="21054A44"/>
    <w:rsid w:val="21CB453C"/>
    <w:rsid w:val="21D97940"/>
    <w:rsid w:val="22012909"/>
    <w:rsid w:val="2221467F"/>
    <w:rsid w:val="22BC0A12"/>
    <w:rsid w:val="2322542B"/>
    <w:rsid w:val="23B60AD6"/>
    <w:rsid w:val="23BE5376"/>
    <w:rsid w:val="24341B52"/>
    <w:rsid w:val="24745A94"/>
    <w:rsid w:val="25C436F9"/>
    <w:rsid w:val="261C766E"/>
    <w:rsid w:val="26C4143E"/>
    <w:rsid w:val="26F72091"/>
    <w:rsid w:val="2713489E"/>
    <w:rsid w:val="28276EAC"/>
    <w:rsid w:val="2905192F"/>
    <w:rsid w:val="29593633"/>
    <w:rsid w:val="2A365FF7"/>
    <w:rsid w:val="2AE36AE5"/>
    <w:rsid w:val="2B592AAB"/>
    <w:rsid w:val="2BFC27C3"/>
    <w:rsid w:val="2C737E41"/>
    <w:rsid w:val="2C765C64"/>
    <w:rsid w:val="2C8C35BB"/>
    <w:rsid w:val="2CD50704"/>
    <w:rsid w:val="2CE8041D"/>
    <w:rsid w:val="2CFC5CB7"/>
    <w:rsid w:val="2D521033"/>
    <w:rsid w:val="2D5F38DB"/>
    <w:rsid w:val="2E8A2D15"/>
    <w:rsid w:val="2EDD5DBC"/>
    <w:rsid w:val="2FA51908"/>
    <w:rsid w:val="314814FF"/>
    <w:rsid w:val="31A246ED"/>
    <w:rsid w:val="328A0DA7"/>
    <w:rsid w:val="328A57A6"/>
    <w:rsid w:val="33346E18"/>
    <w:rsid w:val="333749E7"/>
    <w:rsid w:val="336740E0"/>
    <w:rsid w:val="33755746"/>
    <w:rsid w:val="347F32AD"/>
    <w:rsid w:val="349D48D4"/>
    <w:rsid w:val="34A555B2"/>
    <w:rsid w:val="34D0489B"/>
    <w:rsid w:val="35CD63F8"/>
    <w:rsid w:val="35DD3990"/>
    <w:rsid w:val="35E359B7"/>
    <w:rsid w:val="35F05CF6"/>
    <w:rsid w:val="36584C99"/>
    <w:rsid w:val="366D4992"/>
    <w:rsid w:val="367B6C8D"/>
    <w:rsid w:val="367D7E4D"/>
    <w:rsid w:val="36910CE3"/>
    <w:rsid w:val="37044097"/>
    <w:rsid w:val="37377112"/>
    <w:rsid w:val="377431F2"/>
    <w:rsid w:val="391C3612"/>
    <w:rsid w:val="39423D9E"/>
    <w:rsid w:val="397A54DE"/>
    <w:rsid w:val="39FF1130"/>
    <w:rsid w:val="3A1039CE"/>
    <w:rsid w:val="3AA233F6"/>
    <w:rsid w:val="3AD14DF2"/>
    <w:rsid w:val="3B2B31F8"/>
    <w:rsid w:val="3B7152B0"/>
    <w:rsid w:val="3BBE0D95"/>
    <w:rsid w:val="3BC150CC"/>
    <w:rsid w:val="3C023CE1"/>
    <w:rsid w:val="3C037ACE"/>
    <w:rsid w:val="3C10196B"/>
    <w:rsid w:val="3C192251"/>
    <w:rsid w:val="3C97446C"/>
    <w:rsid w:val="3DC347EC"/>
    <w:rsid w:val="3DDC5416"/>
    <w:rsid w:val="3DF75535"/>
    <w:rsid w:val="3E1B1D5D"/>
    <w:rsid w:val="3E5451E3"/>
    <w:rsid w:val="3ED0504E"/>
    <w:rsid w:val="3EE56506"/>
    <w:rsid w:val="3EEE2776"/>
    <w:rsid w:val="3F242D41"/>
    <w:rsid w:val="3F347297"/>
    <w:rsid w:val="3F5B7CAD"/>
    <w:rsid w:val="3F7957E6"/>
    <w:rsid w:val="3FA21A1D"/>
    <w:rsid w:val="3FC06B2B"/>
    <w:rsid w:val="3FC60EC8"/>
    <w:rsid w:val="40D90E42"/>
    <w:rsid w:val="40ED2448"/>
    <w:rsid w:val="40F644FE"/>
    <w:rsid w:val="41787FA2"/>
    <w:rsid w:val="430F79D9"/>
    <w:rsid w:val="4378043C"/>
    <w:rsid w:val="43AD7168"/>
    <w:rsid w:val="43B0646B"/>
    <w:rsid w:val="44B009EE"/>
    <w:rsid w:val="44BE70EB"/>
    <w:rsid w:val="44D55BDA"/>
    <w:rsid w:val="47212B93"/>
    <w:rsid w:val="473C043A"/>
    <w:rsid w:val="479107BF"/>
    <w:rsid w:val="47982B5E"/>
    <w:rsid w:val="48232869"/>
    <w:rsid w:val="4832780F"/>
    <w:rsid w:val="490B495F"/>
    <w:rsid w:val="499F189A"/>
    <w:rsid w:val="49AD18F7"/>
    <w:rsid w:val="4A746567"/>
    <w:rsid w:val="4AAF66D5"/>
    <w:rsid w:val="4ACB6B70"/>
    <w:rsid w:val="4AFD0805"/>
    <w:rsid w:val="4B174A3A"/>
    <w:rsid w:val="4BEA3664"/>
    <w:rsid w:val="4BF65229"/>
    <w:rsid w:val="4C583828"/>
    <w:rsid w:val="4C5B21C7"/>
    <w:rsid w:val="4C72369E"/>
    <w:rsid w:val="4D3857A8"/>
    <w:rsid w:val="4DE473BF"/>
    <w:rsid w:val="4E414893"/>
    <w:rsid w:val="4E947FD2"/>
    <w:rsid w:val="4EF006F5"/>
    <w:rsid w:val="4FE96C6A"/>
    <w:rsid w:val="4FF105A8"/>
    <w:rsid w:val="505A01B2"/>
    <w:rsid w:val="50993549"/>
    <w:rsid w:val="51673A20"/>
    <w:rsid w:val="51A12F7E"/>
    <w:rsid w:val="522C7B62"/>
    <w:rsid w:val="524A377D"/>
    <w:rsid w:val="52605962"/>
    <w:rsid w:val="53654B37"/>
    <w:rsid w:val="536950CE"/>
    <w:rsid w:val="53A75933"/>
    <w:rsid w:val="54657D55"/>
    <w:rsid w:val="54FE050A"/>
    <w:rsid w:val="554A291D"/>
    <w:rsid w:val="55B03DCD"/>
    <w:rsid w:val="55C34227"/>
    <w:rsid w:val="560E7408"/>
    <w:rsid w:val="56BB4167"/>
    <w:rsid w:val="56F70AF8"/>
    <w:rsid w:val="57184984"/>
    <w:rsid w:val="571F4665"/>
    <w:rsid w:val="577706F8"/>
    <w:rsid w:val="57B833D2"/>
    <w:rsid w:val="57FF57F9"/>
    <w:rsid w:val="58366F24"/>
    <w:rsid w:val="597441B2"/>
    <w:rsid w:val="5A2B17BC"/>
    <w:rsid w:val="5A7D3018"/>
    <w:rsid w:val="5B437FB0"/>
    <w:rsid w:val="5B9854EC"/>
    <w:rsid w:val="5BC139BF"/>
    <w:rsid w:val="5C026C7A"/>
    <w:rsid w:val="5D5D7F38"/>
    <w:rsid w:val="5E825F37"/>
    <w:rsid w:val="5F001E6C"/>
    <w:rsid w:val="5F1B6709"/>
    <w:rsid w:val="5F776305"/>
    <w:rsid w:val="601475E8"/>
    <w:rsid w:val="60E55547"/>
    <w:rsid w:val="618845E9"/>
    <w:rsid w:val="619F6618"/>
    <w:rsid w:val="623B2CB4"/>
    <w:rsid w:val="62525A8B"/>
    <w:rsid w:val="627A342A"/>
    <w:rsid w:val="62E86C09"/>
    <w:rsid w:val="62FD1A3D"/>
    <w:rsid w:val="6330206C"/>
    <w:rsid w:val="6373459E"/>
    <w:rsid w:val="637D3EA3"/>
    <w:rsid w:val="63AD6030"/>
    <w:rsid w:val="63C11EE9"/>
    <w:rsid w:val="645165EC"/>
    <w:rsid w:val="6456686F"/>
    <w:rsid w:val="64BB6A18"/>
    <w:rsid w:val="65034783"/>
    <w:rsid w:val="652838DD"/>
    <w:rsid w:val="65704C00"/>
    <w:rsid w:val="659E7A4B"/>
    <w:rsid w:val="65BC2641"/>
    <w:rsid w:val="661411E7"/>
    <w:rsid w:val="66593CB0"/>
    <w:rsid w:val="66636AB4"/>
    <w:rsid w:val="6679573D"/>
    <w:rsid w:val="668531C5"/>
    <w:rsid w:val="66853E8D"/>
    <w:rsid w:val="669F6455"/>
    <w:rsid w:val="67566138"/>
    <w:rsid w:val="676A24DC"/>
    <w:rsid w:val="67A878C3"/>
    <w:rsid w:val="67B40880"/>
    <w:rsid w:val="68091BD1"/>
    <w:rsid w:val="68342DD7"/>
    <w:rsid w:val="685A3F90"/>
    <w:rsid w:val="687A13CE"/>
    <w:rsid w:val="687B118F"/>
    <w:rsid w:val="688B1685"/>
    <w:rsid w:val="6897260A"/>
    <w:rsid w:val="68F624AA"/>
    <w:rsid w:val="690F750F"/>
    <w:rsid w:val="698B63B6"/>
    <w:rsid w:val="69E84456"/>
    <w:rsid w:val="6AF4632A"/>
    <w:rsid w:val="6AF95BD0"/>
    <w:rsid w:val="6B2727BC"/>
    <w:rsid w:val="6B774ED0"/>
    <w:rsid w:val="6BAA67F1"/>
    <w:rsid w:val="6C1937A0"/>
    <w:rsid w:val="6C7F0943"/>
    <w:rsid w:val="6CFB3AAE"/>
    <w:rsid w:val="6D9D22A0"/>
    <w:rsid w:val="6E2F5FB9"/>
    <w:rsid w:val="6E5B6EE1"/>
    <w:rsid w:val="6ED51BF3"/>
    <w:rsid w:val="6EF5755E"/>
    <w:rsid w:val="6F2E3A54"/>
    <w:rsid w:val="7063791E"/>
    <w:rsid w:val="71355683"/>
    <w:rsid w:val="71D355C7"/>
    <w:rsid w:val="721B6A04"/>
    <w:rsid w:val="73257116"/>
    <w:rsid w:val="73567411"/>
    <w:rsid w:val="73BF7CB3"/>
    <w:rsid w:val="742B0BB6"/>
    <w:rsid w:val="743D5D16"/>
    <w:rsid w:val="74D4098E"/>
    <w:rsid w:val="75174E3E"/>
    <w:rsid w:val="75357B66"/>
    <w:rsid w:val="75FD6EE3"/>
    <w:rsid w:val="762672C8"/>
    <w:rsid w:val="76414EB9"/>
    <w:rsid w:val="76F9487D"/>
    <w:rsid w:val="775C4394"/>
    <w:rsid w:val="78675066"/>
    <w:rsid w:val="78C47ADE"/>
    <w:rsid w:val="7A0B75B3"/>
    <w:rsid w:val="7A28077B"/>
    <w:rsid w:val="7A78199F"/>
    <w:rsid w:val="7B2234E4"/>
    <w:rsid w:val="7BD63824"/>
    <w:rsid w:val="7BDF6A58"/>
    <w:rsid w:val="7C073551"/>
    <w:rsid w:val="7C2F1BFB"/>
    <w:rsid w:val="7C8A69B2"/>
    <w:rsid w:val="7CBF18C8"/>
    <w:rsid w:val="7D8F11C3"/>
    <w:rsid w:val="7DAB5EB9"/>
    <w:rsid w:val="7E744548"/>
    <w:rsid w:val="7E9B7125"/>
    <w:rsid w:val="7EEC5BBB"/>
    <w:rsid w:val="7F4D5826"/>
    <w:rsid w:val="7F6002BF"/>
    <w:rsid w:val="7FAC04CF"/>
    <w:rsid w:val="7FF0167F"/>
    <w:rsid w:val="DFF36068"/>
    <w:rsid w:val="E7E9DE23"/>
    <w:rsid w:val="FEDBD5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正文21"/>
    <w:unhideWhenUsed/>
    <w:qFormat/>
    <w:uiPriority w:val="0"/>
    <w:pPr>
      <w:spacing w:beforeLines="0" w:afterLines="0" w:line="360" w:lineRule="auto"/>
      <w:ind w:firstLine="420"/>
    </w:pPr>
    <w:rPr>
      <w:rFonts w:hint="eastAsia" w:ascii="Times New Roman" w:hAnsi="Times New Roman" w:eastAsia="Times New Roman" w:cstheme="minorBidi"/>
      <w:sz w:val="24"/>
      <w:lang w:val="en-US" w:eastAsia="zh-CN" w:bidi="ar-SA"/>
    </w:rPr>
  </w:style>
  <w:style w:type="character" w:customStyle="1" w:styleId="5">
    <w:name w:val="NormalCharacter"/>
    <w:semiHidden/>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Kingsoft</Company>
  <Pages>11</Pages>
  <Words>4177</Words>
  <Characters>4312</Characters>
  <Lines>0</Lines>
  <Paragraphs>0</Paragraphs>
  <TotalTime>0</TotalTime>
  <ScaleCrop>false</ScaleCrop>
  <LinksUpToDate>false</LinksUpToDate>
  <CharactersWithSpaces>4312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ModifiedBy>Administrator</cp:lastModifiedBy>
  <dcterms:modified xsi:type="dcterms:W3CDTF">2026-09-23T04:21:08Z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B931C31DC80ED4DDD6ADA76AED5FCA9E_43</vt:lpwstr>
  </property>
  <property fmtid="{D5CDD505-2E9C-101B-9397-08002B2CF9AE}" pid="4" name="KSOTemplateDocerSaveRecord">
    <vt:lpwstr>eyJoZGlkIjoiNDEzOGYyYzU3YjMzOGU4OTg4ODMwZTU1OTczMDNhNTIiLCJ1c2VySWQiOiI3MjMzOTkxMjUifQ==</vt:lpwstr>
  </property>
</Properties>
</file>