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915"/>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915"/>
        <w:ind w:firstLine="0"/>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915"/>
        <w:rPr>
          <w:rFonts w:hint="eastAsia" w:ascii="宋体" w:hAnsi="宋体" w:eastAsia="宋体" w:cs="宋体"/>
          <w:b/>
          <w:color w:val="000000"/>
          <w:spacing w:val="76"/>
          <w:sz w:val="24"/>
          <w:highlight w:val="none"/>
        </w:rPr>
      </w:pPr>
      <w:r>
        <w:rPr>
          <w:rFonts w:hint="eastAsia" w:ascii="宋体" w:hAnsi="宋体" w:eastAsia="宋体" w:cs="宋体"/>
          <w:b/>
          <w:color w:val="000000"/>
          <w:spacing w:val="76"/>
          <w:sz w:val="24"/>
          <w:highlight w:val="none"/>
        </w:rPr>
      </w:r>
      <w:r/>
    </w:p>
    <w:p>
      <w:pPr>
        <w:pStyle w:val="832"/>
        <w:jc w:val="center"/>
        <w:rPr>
          <w:rFonts w:hint="eastAsia" w:ascii="宋体" w:hAnsi="宋体" w:eastAsia="宋体" w:cs="宋体"/>
          <w:b/>
          <w:color w:val="000000"/>
          <w:spacing w:val="76"/>
          <w:sz w:val="156"/>
          <w:highlight w:val="none"/>
        </w:rPr>
      </w:pPr>
      <w:r>
        <w:rPr>
          <w:rFonts w:hint="eastAsia" w:ascii="宋体" w:hAnsi="宋体" w:eastAsia="宋体" w:cs="宋体"/>
          <w:b/>
          <w:color w:val="000000"/>
          <w:spacing w:val="76"/>
          <w:sz w:val="156"/>
          <w:highlight w:val="none"/>
        </w:rPr>
        <w:t xml:space="preserve">招标文件</w:t>
      </w:r>
      <w:r>
        <w:rPr>
          <w:rFonts w:hint="eastAsia" w:ascii="宋体" w:hAnsi="宋体" w:eastAsia="宋体" w:cs="宋体"/>
          <w:b/>
          <w:color w:val="000000"/>
          <w:spacing w:val="76"/>
          <w:sz w:val="156"/>
          <w:highlight w:val="none"/>
        </w:rPr>
      </w:r>
      <w:r/>
    </w:p>
    <w:p>
      <w:pPr>
        <w:pStyle w:val="83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15"/>
        <w:ind w:left="0" w:firstLine="0"/>
        <w:jc w:val="center"/>
        <w:rPr>
          <w:rFonts w:hint="eastAsia" w:ascii="宋体" w:hAnsi="宋体" w:eastAsia="宋体" w:cs="宋体"/>
          <w:color w:val="c00000"/>
          <w:sz w:val="32"/>
          <w:highlight w:val="none"/>
          <w:lang w:eastAsia="zh-CN"/>
        </w:rPr>
      </w:pPr>
      <w:r>
        <w:rPr>
          <w:rFonts w:hint="eastAsia" w:ascii="宋体" w:hAnsi="宋体" w:eastAsia="宋体" w:cs="宋体"/>
          <w:color w:val="c00000"/>
          <w:sz w:val="32"/>
          <w:highlight w:val="none"/>
          <w:lang w:eastAsia="zh-CN"/>
        </w:rPr>
        <w:t xml:space="preserve">（</w:t>
      </w:r>
      <w:r>
        <w:rPr>
          <w:rFonts w:hint="eastAsia" w:ascii="宋体" w:hAnsi="宋体" w:eastAsia="宋体" w:cs="宋体"/>
          <w:color w:val="c00000"/>
          <w:sz w:val="32"/>
          <w:highlight w:val="none"/>
          <w:lang w:val="en-US" w:eastAsia="zh-CN"/>
        </w:rPr>
        <w:t xml:space="preserve">更正后，标红地方为更正内容</w:t>
      </w:r>
      <w:r>
        <w:rPr>
          <w:rFonts w:hint="eastAsia" w:ascii="宋体" w:hAnsi="宋体" w:eastAsia="宋体" w:cs="宋体"/>
          <w:color w:val="c00000"/>
          <w:sz w:val="32"/>
          <w:highlight w:val="none"/>
          <w:lang w:eastAsia="zh-CN"/>
        </w:rPr>
        <w:t xml:space="preserve">）</w:t>
      </w:r>
      <w:r>
        <w:rPr>
          <w:rFonts w:hint="eastAsia" w:ascii="宋体" w:hAnsi="宋体" w:eastAsia="宋体" w:cs="宋体"/>
          <w:color w:val="c00000"/>
          <w:sz w:val="32"/>
          <w:highlight w:val="none"/>
          <w:lang w:eastAsia="zh-CN"/>
        </w:rPr>
      </w:r>
      <w:r/>
    </w:p>
    <w:p>
      <w:pPr>
        <w:pStyle w:val="915"/>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32"/>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JSZC-320300-HWZX-G2026-0460</w:t>
      </w:r>
      <w:r>
        <w:rPr>
          <w:rFonts w:hint="eastAsia" w:ascii="宋体" w:hAnsi="宋体" w:eastAsia="宋体" w:cs="宋体"/>
          <w:color w:val="000000"/>
          <w:sz w:val="32"/>
          <w:szCs w:val="32"/>
          <w:highlight w:val="none"/>
          <w:lang w:eastAsia="zh-CN"/>
        </w:rPr>
      </w:r>
      <w:r/>
    </w:p>
    <w:p>
      <w:pPr>
        <w:pStyle w:val="832"/>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2"/>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徐州汉画像石艺术馆馆藏文物预防性保护项目</w:t>
      </w:r>
      <w:r>
        <w:rPr>
          <w:rFonts w:hint="eastAsia" w:ascii="宋体" w:hAnsi="宋体" w:eastAsia="宋体" w:cs="宋体"/>
          <w:color w:val="000000"/>
          <w:sz w:val="32"/>
          <w:szCs w:val="32"/>
          <w:highlight w:val="none"/>
          <w:lang w:eastAsia="zh-CN"/>
        </w:rPr>
      </w:r>
      <w:r/>
    </w:p>
    <w:p>
      <w:pPr>
        <w:pStyle w:val="832"/>
        <w:ind w:firstLine="96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2"/>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徐州博物馆（徐州汉画像石艺术馆）</w:t>
      </w:r>
      <w:r>
        <w:rPr>
          <w:rFonts w:hint="eastAsia" w:ascii="宋体" w:hAnsi="宋体" w:eastAsia="宋体" w:cs="宋体"/>
          <w:color w:val="000000"/>
          <w:sz w:val="32"/>
          <w:szCs w:val="32"/>
          <w:highlight w:val="none"/>
          <w:lang w:eastAsia="zh-CN"/>
        </w:rPr>
      </w:r>
      <w:r/>
    </w:p>
    <w:p>
      <w:pPr>
        <w:pStyle w:val="83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92"/>
        <w:ind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2"/>
        <w:rPr>
          <w:rFonts w:hint="eastAsia"/>
          <w:color w:val="000000"/>
          <w:highlight w:val="none"/>
        </w:rPr>
      </w:pPr>
      <w:r>
        <w:rPr>
          <w:rFonts w:hint="eastAsia"/>
          <w:color w:val="000000"/>
          <w:highlight w:val="none"/>
        </w:rPr>
      </w:r>
      <w:r/>
    </w:p>
    <w:p>
      <w:pPr>
        <w:pStyle w:val="832"/>
        <w:jc w:val="center"/>
        <w:rPr>
          <w:rFonts w:hint="eastAsia" w:ascii="宋体" w:hAnsi="宋体" w:eastAsia="宋体" w:cs="宋体"/>
          <w:color w:val="000000"/>
          <w:sz w:val="32"/>
          <w:szCs w:val="32"/>
          <w:highlight w:val="none"/>
        </w:rPr>
      </w:pPr>
      <w:r>
        <w:rPr>
          <w:rFonts w:hint="eastAsia" w:ascii="Times New Roman" w:hAnsi="Times New Roman" w:eastAsia="宋体"/>
          <w:color w:val="000000"/>
          <w:sz w:val="44"/>
          <w:highlight w:val="none"/>
          <w:lang w:eastAsia="zh-CN"/>
        </w:rPr>
        <mc:AlternateContent>
          <mc:Choice Requires="wpg">
            <w:drawing>
              <wp:inline xmlns:wp="http://schemas.openxmlformats.org/drawingml/2006/wordprocessingDrawing" distT="0" distB="0" distL="0" distR="0">
                <wp:extent cx="1511935" cy="103401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511935" cy="1034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32"/>
          <w:szCs w:val="32"/>
          <w:highlight w:val="none"/>
        </w:rPr>
      </w:r>
      <w:r/>
    </w:p>
    <w:p>
      <w:pPr>
        <w:pStyle w:val="923"/>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2"/>
        <w:ind w:right="-159" w:firstLine="2112"/>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2"/>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采购代理机构：江苏海外集团国际工程咨询有限公司</w:t>
      </w:r>
      <w:r>
        <w:rPr>
          <w:rFonts w:hint="eastAsia" w:ascii="宋体" w:hAnsi="宋体" w:eastAsia="宋体" w:cs="宋体"/>
          <w:color w:val="000000"/>
          <w:sz w:val="32"/>
          <w:szCs w:val="32"/>
          <w:highlight w:val="none"/>
        </w:rPr>
      </w:r>
      <w:r/>
    </w:p>
    <w:p>
      <w:pPr>
        <w:pStyle w:val="832"/>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二〇二</w:t>
      </w:r>
      <w:r>
        <w:rPr>
          <w:rFonts w:hint="eastAsia" w:ascii="宋体" w:hAnsi="宋体" w:eastAsia="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九</w:t>
      </w:r>
      <w:r>
        <w:rPr>
          <w:rFonts w:hint="eastAsia" w:ascii="宋体" w:hAnsi="宋体" w:eastAsia="宋体" w:cs="宋体"/>
          <w:bCs/>
          <w:color w:val="000000"/>
          <w:sz w:val="32"/>
          <w:szCs w:val="32"/>
          <w:highlight w:val="none"/>
        </w:rPr>
        <w:t xml:space="preserve">月</w:t>
      </w:r>
      <w:r>
        <w:rPr>
          <w:rFonts w:hint="eastAsia" w:ascii="宋体" w:hAnsi="宋体" w:eastAsia="宋体" w:cs="宋体"/>
          <w:color w:val="000000"/>
          <w:sz w:val="32"/>
          <w:szCs w:val="32"/>
          <w:highlight w:val="none"/>
        </w:rPr>
      </w:r>
      <w:r/>
    </w:p>
    <w:p>
      <w:pPr>
        <w:pStyle w:val="83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2"/>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rPr>
          <w:rFonts w:hint="eastAsia" w:ascii="宋体" w:hAnsi="宋体" w:eastAsia="宋体" w:cs="宋体"/>
          <w:color w:val="000000"/>
          <w:highlight w:val="none"/>
        </w:rPr>
      </w:r>
      <w:r/>
    </w:p>
    <w:p>
      <w:pPr>
        <w:pStyle w:val="832"/>
        <w:rPr>
          <w:rFonts w:ascii="宋体" w:hAnsi="宋体" w:cs="宋体"/>
          <w:b/>
          <w:color w:val="000000"/>
          <w:spacing w:val="76"/>
          <w:sz w:val="24"/>
          <w:highlight w:val="none"/>
        </w:rPr>
      </w:pPr>
      <w:r>
        <w:rPr>
          <w:rFonts w:ascii="宋体" w:hAnsi="宋体" w:cs="宋体"/>
          <w:b/>
          <w:color w:val="000000"/>
          <w:spacing w:val="76"/>
          <w:sz w:val="24"/>
          <w:highlight w:val="none"/>
        </w:rPr>
      </w:r>
      <w:r/>
    </w:p>
    <w:p>
      <w:pPr>
        <w:pStyle w:val="832"/>
        <w:jc w:val="center"/>
        <w:spacing w:line="519" w:lineRule="atLeast"/>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highlight w:val="none"/>
        </w:rPr>
      </w:r>
      <w:r/>
    </w:p>
    <w:p>
      <w:pPr>
        <w:pStyle w:val="832"/>
        <w:ind w:firstLine="210"/>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"http://jszfcg.jsczt.cn/jszc/onlyoffice/6.4.2-6/web-apps/apps/documenteditor/main/index.html?_dc=6.4.2-6&amp;lang=zh&amp;customer=ONLYOFFICE&amp;frameEditorId=iframePage&amp;parentOrigin</w:instrText>
      </w:r>
      <w:r>
        <w:rPr>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000000"/>
          <w:highlight w:val="none"/>
        </w:rPr>
        <w:fldChar w:fldCharType="separate"/>
      </w:r>
      <w:r>
        <w:rPr>
          <w:rStyle w:val="965"/>
          <w:rFonts w:hint="eastAsia" w:ascii="宋体" w:hAnsi="宋体" w:cs="宋体"/>
          <w:color w:val="000000"/>
          <w:sz w:val="30"/>
          <w:szCs w:val="30"/>
          <w:highlight w:val="none"/>
        </w:rPr>
        <w:t xml:space="preserve">第一章 投标邀请</w:t>
      </w:r>
      <w:r>
        <w:rPr>
          <w:rStyle w:val="965"/>
          <w:rFonts w:hint="eastAsia" w:ascii="宋体" w:hAnsi="宋体" w:cs="宋体"/>
          <w:color w:val="000000"/>
          <w:sz w:val="30"/>
          <w:szCs w:val="30"/>
          <w:highlight w:val="none"/>
        </w:rPr>
        <w:fldChar w:fldCharType="end"/>
      </w:r>
      <w:r>
        <w:rPr>
          <w:rFonts w:ascii="宋体" w:hAnsi="宋体" w:cs="宋体"/>
          <w:color w:val="000000"/>
          <w:sz w:val="30"/>
          <w:szCs w:val="30"/>
          <w:highlight w:val="none"/>
        </w:rPr>
      </w:r>
      <w:r/>
    </w:p>
    <w:p>
      <w:pPr>
        <w:pStyle w:val="832"/>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highlight w:val="none"/>
        </w:rPr>
      </w:r>
      <w:r/>
    </w:p>
    <w:p>
      <w:pPr>
        <w:pStyle w:val="832"/>
        <w:ind w:firstLine="210"/>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"http://jszfcg.jsczt.cn/jszc/onlyoffice/6.4.2-6/web-apps/apps/documenteditor/main/index.html?_dc=6.4.2-6&amp;lang=zh&amp;customer=ONLYOFFICE&amp;frameEditorId=iframePage&amp;parentOrigin</w:instrText>
      </w:r>
      <w:r>
        <w:rPr>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000000"/>
          <w:highlight w:val="none"/>
        </w:rPr>
        <w:fldChar w:fldCharType="separate"/>
      </w:r>
      <w:r>
        <w:rPr>
          <w:rStyle w:val="965"/>
          <w:rFonts w:hint="eastAsia" w:ascii="宋体" w:hAnsi="宋体" w:cs="宋体"/>
          <w:color w:val="000000"/>
          <w:sz w:val="30"/>
          <w:szCs w:val="30"/>
          <w:highlight w:val="none"/>
        </w:rPr>
        <w:t xml:space="preserve">第二章 投标人须知</w:t>
      </w:r>
      <w:r>
        <w:rPr>
          <w:rStyle w:val="965"/>
          <w:rFonts w:hint="eastAsia" w:ascii="宋体" w:hAnsi="宋体" w:cs="宋体"/>
          <w:color w:val="000000"/>
          <w:sz w:val="30"/>
          <w:szCs w:val="30"/>
          <w:highlight w:val="none"/>
        </w:rPr>
        <w:fldChar w:fldCharType="end"/>
      </w:r>
      <w:r>
        <w:rPr>
          <w:rFonts w:ascii="宋体" w:hAnsi="宋体" w:cs="宋体"/>
          <w:color w:val="000000"/>
          <w:sz w:val="30"/>
          <w:szCs w:val="30"/>
          <w:highlight w:val="none"/>
        </w:rPr>
      </w:r>
      <w:r/>
    </w:p>
    <w:p>
      <w:pPr>
        <w:pStyle w:val="832"/>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highlight w:val="none"/>
        </w:rPr>
      </w:r>
      <w:r/>
    </w:p>
    <w:p>
      <w:pPr>
        <w:pStyle w:val="832"/>
        <w:ind w:firstLine="210"/>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"http://jszfcg.jsczt.cn/jszc/onlyoffice/6.4.2-6/web-apps/apps/documenteditor/main/index.html?_dc=6.4.2-6&amp;lang=zh&amp;customer=ONLYOFFICE&amp;frameEditorId=iframePage&amp;parentOrigin</w:instrText>
      </w:r>
      <w:r>
        <w:rPr>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000000"/>
          <w:highlight w:val="none"/>
        </w:rPr>
        <w:fldChar w:fldCharType="separate"/>
      </w:r>
      <w:r>
        <w:rPr>
          <w:rStyle w:val="965"/>
          <w:rFonts w:hint="eastAsia" w:ascii="宋体" w:hAnsi="宋体" w:cs="宋体"/>
          <w:color w:val="000000"/>
          <w:sz w:val="30"/>
          <w:szCs w:val="30"/>
          <w:highlight w:val="none"/>
        </w:rPr>
        <w:t xml:space="preserve">第三章 投标资料表</w:t>
      </w:r>
      <w:r>
        <w:rPr>
          <w:rStyle w:val="965"/>
          <w:rFonts w:hint="eastAsia" w:ascii="宋体" w:hAnsi="宋体" w:cs="宋体"/>
          <w:color w:val="000000"/>
          <w:sz w:val="30"/>
          <w:szCs w:val="30"/>
          <w:highlight w:val="none"/>
        </w:rPr>
        <w:fldChar w:fldCharType="end"/>
      </w:r>
      <w:r>
        <w:rPr>
          <w:rFonts w:ascii="宋体" w:hAnsi="宋体" w:cs="宋体"/>
          <w:color w:val="000000"/>
          <w:sz w:val="30"/>
          <w:szCs w:val="30"/>
          <w:highlight w:val="none"/>
        </w:rPr>
      </w:r>
      <w:r/>
    </w:p>
    <w:p>
      <w:pPr>
        <w:pStyle w:val="832"/>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highlight w:val="none"/>
        </w:rPr>
      </w:r>
      <w:r/>
    </w:p>
    <w:p>
      <w:pPr>
        <w:pStyle w:val="832"/>
        <w:ind w:firstLine="210"/>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"http://jszfcg.jsczt.cn/jszc/onlyoffice/6.4.2-6/web-apps/apps/documenteditor/main/index.html?_dc=6.4.2-6&amp;lang=zh&amp;customer=ONLYOFFICE&amp;frameEditorId=iframePage&amp;parentOrigin</w:instrText>
      </w:r>
      <w:r>
        <w:rPr>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000000"/>
          <w:highlight w:val="none"/>
        </w:rPr>
        <w:fldChar w:fldCharType="separate"/>
      </w:r>
      <w:r>
        <w:rPr>
          <w:rStyle w:val="965"/>
          <w:rFonts w:hint="eastAsia" w:ascii="宋体" w:hAnsi="宋体" w:cs="宋体"/>
          <w:color w:val="000000"/>
          <w:sz w:val="30"/>
          <w:szCs w:val="30"/>
          <w:highlight w:val="none"/>
        </w:rPr>
        <w:t xml:space="preserve">第四章 评标标准</w:t>
      </w:r>
      <w:r>
        <w:rPr>
          <w:rStyle w:val="965"/>
          <w:rFonts w:hint="eastAsia" w:ascii="宋体" w:hAnsi="宋体" w:cs="宋体"/>
          <w:color w:val="000000"/>
          <w:sz w:val="30"/>
          <w:szCs w:val="30"/>
          <w:highlight w:val="none"/>
        </w:rPr>
        <w:fldChar w:fldCharType="end"/>
      </w:r>
      <w:r>
        <w:rPr>
          <w:rFonts w:ascii="宋体" w:hAnsi="宋体" w:cs="宋体"/>
          <w:color w:val="000000"/>
          <w:sz w:val="30"/>
          <w:szCs w:val="30"/>
          <w:highlight w:val="none"/>
        </w:rPr>
      </w:r>
      <w:r/>
    </w:p>
    <w:p>
      <w:pPr>
        <w:pStyle w:val="832"/>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highlight w:val="none"/>
        </w:rPr>
      </w:r>
      <w:r/>
    </w:p>
    <w:p>
      <w:pPr>
        <w:pStyle w:val="832"/>
        <w:ind w:firstLine="210"/>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"http://jszfcg.jsczt.cn/jszc/onlyoffice/6.4.2-6/web-apps/apps/documenteditor/main/index.html?_dc=6.4.2-6&amp;lang=zh&amp;customer=ONLYOFFICE&amp;frameEditorId=iframePage&amp;parentOrigin</w:instrText>
      </w:r>
      <w:r>
        <w:rPr>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000000"/>
          <w:highlight w:val="none"/>
        </w:rPr>
        <w:fldChar w:fldCharType="separate"/>
      </w:r>
      <w:r>
        <w:rPr>
          <w:rStyle w:val="965"/>
          <w:rFonts w:hint="eastAsia" w:ascii="宋体" w:hAnsi="宋体" w:cs="宋体"/>
          <w:color w:val="000000"/>
          <w:sz w:val="30"/>
          <w:szCs w:val="30"/>
          <w:highlight w:val="none"/>
        </w:rPr>
        <w:t xml:space="preserve">第五章 拟签订的合同文本</w:t>
      </w:r>
      <w:r>
        <w:rPr>
          <w:rStyle w:val="965"/>
          <w:rFonts w:hint="eastAsia" w:ascii="宋体" w:hAnsi="宋体" w:cs="宋体"/>
          <w:color w:val="000000"/>
          <w:sz w:val="30"/>
          <w:szCs w:val="30"/>
          <w:highlight w:val="none"/>
        </w:rPr>
        <w:fldChar w:fldCharType="end"/>
      </w:r>
      <w:r>
        <w:rPr>
          <w:rFonts w:ascii="宋体" w:hAnsi="宋体" w:cs="宋体"/>
          <w:color w:val="000000"/>
          <w:sz w:val="30"/>
          <w:szCs w:val="30"/>
          <w:highlight w:val="none"/>
        </w:rPr>
      </w:r>
      <w:r/>
    </w:p>
    <w:p>
      <w:pPr>
        <w:pStyle w:val="832"/>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highlight w:val="none"/>
        </w:rPr>
      </w:r>
      <w:r/>
    </w:p>
    <w:p>
      <w:pPr>
        <w:pStyle w:val="832"/>
        <w:ind w:firstLine="210"/>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"http://jszfcg.jsczt.cn/jszc/onlyoffice/6.4.2-6/web-apps/apps/documenteditor/main/index.html?_dc=6.4.2-6&amp;lang=zh&amp;customer=ONLYOFFICE&amp;frameEditorId=iframePage&amp;parentOrigin</w:instrText>
      </w:r>
      <w:r>
        <w:rPr>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000000"/>
          <w:highlight w:val="none"/>
        </w:rPr>
        <w:fldChar w:fldCharType="separate"/>
      </w:r>
      <w:r>
        <w:rPr>
          <w:rStyle w:val="965"/>
          <w:rFonts w:hint="eastAsia" w:ascii="宋体" w:hAnsi="宋体" w:cs="宋体"/>
          <w:color w:val="000000"/>
          <w:sz w:val="30"/>
          <w:szCs w:val="30"/>
          <w:highlight w:val="none"/>
        </w:rPr>
        <w:t xml:space="preserve">第六章 采购需求</w:t>
      </w:r>
      <w:r>
        <w:rPr>
          <w:rStyle w:val="965"/>
          <w:rFonts w:hint="eastAsia" w:ascii="宋体" w:hAnsi="宋体" w:cs="宋体"/>
          <w:color w:val="000000"/>
          <w:sz w:val="30"/>
          <w:szCs w:val="30"/>
          <w:highlight w:val="none"/>
        </w:rPr>
        <w:fldChar w:fldCharType="end"/>
      </w:r>
      <w:r>
        <w:rPr>
          <w:rFonts w:ascii="宋体" w:hAnsi="宋体" w:cs="宋体"/>
          <w:color w:val="000000"/>
          <w:sz w:val="30"/>
          <w:szCs w:val="30"/>
          <w:highlight w:val="none"/>
        </w:rPr>
      </w:r>
      <w:r/>
    </w:p>
    <w:p>
      <w:pPr>
        <w:pStyle w:val="832"/>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highlight w:val="none"/>
        </w:rPr>
      </w:r>
      <w:r/>
    </w:p>
    <w:p>
      <w:pPr>
        <w:pStyle w:val="832"/>
        <w:ind w:firstLine="210"/>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"http://jszfcg.jsczt.cn/jszc/onlyoffice/6.4.2-6/web-apps/apps/documenteditor/main/index.html?_dc=6.4.2-6&amp;lang=zh&amp;customer=ONLYOFFICE&amp;frameEditorId=iframePage&amp;parentOrigin</w:instrText>
      </w:r>
      <w:r>
        <w:rPr>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000000"/>
          <w:highlight w:val="none"/>
        </w:rPr>
        <w:fldChar w:fldCharType="separate"/>
      </w:r>
      <w:r>
        <w:rPr>
          <w:rStyle w:val="965"/>
          <w:rFonts w:hint="eastAsia" w:ascii="宋体" w:hAnsi="宋体" w:cs="宋体"/>
          <w:color w:val="000000"/>
          <w:sz w:val="30"/>
          <w:szCs w:val="30"/>
          <w:highlight w:val="none"/>
        </w:rPr>
        <w:t xml:space="preserve">第七章 投标文件相关格式</w:t>
      </w:r>
      <w:r>
        <w:rPr>
          <w:rStyle w:val="965"/>
          <w:rFonts w:hint="eastAsia" w:ascii="宋体" w:hAnsi="宋体" w:cs="宋体"/>
          <w:color w:val="000000"/>
          <w:sz w:val="30"/>
          <w:szCs w:val="30"/>
          <w:highlight w:val="none"/>
        </w:rPr>
        <w:fldChar w:fldCharType="end"/>
      </w:r>
      <w:r>
        <w:rPr>
          <w:rFonts w:ascii="宋体" w:hAnsi="宋体" w:cs="宋体"/>
          <w:color w:val="000000"/>
          <w:sz w:val="30"/>
          <w:szCs w:val="30"/>
          <w:highlight w:val="none"/>
        </w:rPr>
      </w:r>
      <w:r/>
    </w:p>
    <w:p>
      <w:pPr>
        <w:pStyle w:val="832"/>
        <w:jc w:val="center"/>
        <w:spacing w:line="51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832"/>
        <w:jc w:val="center"/>
        <w:spacing w:line="519" w:lineRule="atLeast"/>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44"/>
          <w:highlight w:val="none"/>
        </w:rPr>
      </w:r>
      <w:r/>
    </w:p>
    <w:p>
      <w:pPr>
        <w:pStyle w:val="832"/>
        <w:ind w:firstLine="600"/>
        <w:spacing w:line="360" w:lineRule="auto"/>
        <w:rPr>
          <w:rFonts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b/>
          <w:color w:val="000000"/>
          <w:sz w:val="28"/>
          <w:szCs w:val="28"/>
          <w:highlight w:val="none"/>
        </w:rPr>
      </w:r>
      <w:r/>
    </w:p>
    <w:p>
      <w:pPr>
        <w:pStyle w:val="832"/>
        <w:jc w:val="center"/>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ascii="宋体" w:hAnsi="宋体" w:cs="宋体"/>
          <w:b/>
          <w:color w:val="000000"/>
          <w:sz w:val="24"/>
          <w:highlight w:val="none"/>
        </w:rPr>
      </w:r>
      <w:r/>
    </w:p>
    <w:p>
      <w:pPr>
        <w:pStyle w:val="832"/>
        <w:jc w:val="center"/>
        <w:spacing w:line="360" w:lineRule="auto"/>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第一章 投标邀请</w:t>
      </w:r>
      <w:r>
        <w:rPr>
          <w:rFonts w:ascii="宋体" w:hAnsi="宋体" w:cs="宋体"/>
          <w:color w:val="000000"/>
          <w:sz w:val="30"/>
          <w:szCs w:val="30"/>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江苏海外集团国际工程咨询有限公司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徐州汉画像石艺术馆馆藏文物预防性保护</w:t>
      </w:r>
      <w:r>
        <w:rPr>
          <w:rFonts w:hint="eastAsia" w:ascii="宋体" w:hAnsi="宋体" w:cs="宋体"/>
          <w:color w:val="000000"/>
          <w:sz w:val="24"/>
          <w:highlight w:val="none"/>
        </w:rPr>
        <w:t xml:space="preserve">项目进行公开招标采购，现邀请符合相关条件的供应商投标。</w:t>
      </w:r>
      <w:r>
        <w:rPr>
          <w:rFonts w:ascii="宋体" w:hAnsi="宋体" w:cs="宋体"/>
          <w:color w:val="000000"/>
          <w:sz w:val="24"/>
          <w:highlight w:val="none"/>
        </w:rPr>
      </w:r>
      <w:r/>
    </w:p>
    <w:p>
      <w:pPr>
        <w:pStyle w:val="83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一、项目名称和项目编号</w:t>
      </w:r>
      <w:r>
        <w:rPr>
          <w:rFonts w:ascii="宋体" w:hAnsi="宋体" w:cs="宋体"/>
          <w:b/>
          <w:bCs/>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（一）项目名称：徐州汉画像石艺术馆馆藏文物预防性保护项目。</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（二）项目编号：JSZC-320300-HWZX-G2026-0460。</w:t>
      </w:r>
      <w:r>
        <w:rPr>
          <w:rFonts w:ascii="宋体" w:hAnsi="宋体" w:cs="宋体"/>
          <w:color w:val="000000"/>
          <w:sz w:val="24"/>
          <w:highlight w:val="none"/>
        </w:rPr>
      </w:r>
      <w:r/>
    </w:p>
    <w:p>
      <w:pPr>
        <w:pStyle w:val="83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二、对投标人的资格要求</w:t>
      </w:r>
      <w:r>
        <w:rPr>
          <w:rFonts w:ascii="宋体" w:hAnsi="宋体" w:cs="宋体"/>
          <w:b/>
          <w:bCs/>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详见本项目公开招标公告。</w:t>
      </w:r>
      <w:r>
        <w:rPr>
          <w:rFonts w:ascii="宋体" w:hAnsi="宋体" w:cs="宋体"/>
          <w:color w:val="000000"/>
          <w:sz w:val="24"/>
          <w:highlight w:val="none"/>
        </w:rPr>
      </w:r>
      <w:r/>
    </w:p>
    <w:p>
      <w:pPr>
        <w:pStyle w:val="83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（一）潜在投标人访问电子招标投标交易平台的网络地址和方法：</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潜在供应商访问“苏采云”系统的网络地址和方法：“苏采云”系统的网址：http</w:t>
      </w:r>
      <w:r>
        <w:rPr>
          <w:rFonts w:hint="eastAsia" w:ascii="宋体" w:hAnsi="宋体" w:cs="宋体"/>
          <w:color w:val="000000"/>
          <w:sz w:val="24"/>
          <w:highlight w:val="none"/>
          <w:lang w:val="en-US" w:eastAsia="zh-CN"/>
        </w:rPr>
        <w:t xml:space="preserve">s</w:t>
      </w:r>
      <w:r>
        <w:rPr>
          <w:rFonts w:hint="eastAsia" w:ascii="宋体" w:hAnsi="宋体" w:cs="宋体"/>
          <w:color w:val="000000"/>
          <w:sz w:val="24"/>
          <w:highlight w:val="none"/>
        </w:rPr>
        <w:t xml:space="preserve">://jszfcg.jsczt.cn/；或进入徐州政府采购网（网址：https://czj.xz.gov.cn/zfcg/index.html）--办事指南--供应商--供应商登录入口，点击“苏采云”进入系统。</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（二）采购代理机构将数据电文形式的招标文件加载至电子招标投标交易平台，供潜在投标人下载或者查阅。</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（三）售价：免费。</w:t>
      </w:r>
      <w:r>
        <w:rPr>
          <w:rFonts w:ascii="宋体" w:hAnsi="宋体" w:cs="宋体"/>
          <w:color w:val="000000"/>
          <w:sz w:val="24"/>
          <w:highlight w:val="none"/>
        </w:rPr>
      </w:r>
      <w:r/>
    </w:p>
    <w:p>
      <w:pPr>
        <w:pStyle w:val="83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四、投标有关信息</w:t>
      </w:r>
      <w:r>
        <w:rPr>
          <w:rFonts w:ascii="宋体" w:hAnsi="宋体" w:cs="宋体"/>
          <w:b/>
          <w:bCs/>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（一）投标截止时间：</w:t>
      </w:r>
      <w:r>
        <w:rPr>
          <w:rFonts w:hint="eastAsia" w:ascii="宋体" w:hAnsi="宋体" w:cs="宋体"/>
          <w:b/>
          <w:color w:val="000000"/>
          <w:sz w:val="24"/>
          <w:highlight w:val="none"/>
        </w:rPr>
        <w:t xml:space="preserve">2026年</w:t>
      </w:r>
      <w:r>
        <w:rPr>
          <w:rFonts w:hint="eastAsia" w:ascii="宋体" w:hAnsi="宋体" w:cs="宋体"/>
          <w:b/>
          <w:color w:val="000000"/>
          <w:sz w:val="24"/>
          <w:highlight w:val="none"/>
          <w:u w:val="single"/>
        </w:rPr>
        <w:t xml:space="preserve"> 9 </w:t>
      </w:r>
      <w:r>
        <w:rPr>
          <w:rFonts w:hint="eastAsia" w:ascii="宋体" w:hAnsi="宋体" w:cs="宋体"/>
          <w:b/>
          <w:color w:val="000000"/>
          <w:sz w:val="24"/>
          <w:highlight w:val="none"/>
        </w:rPr>
        <w:t xml:space="preserve">月</w:t>
      </w:r>
      <w:r>
        <w:rPr>
          <w:rFonts w:hint="eastAsia" w:ascii="宋体" w:hAnsi="宋体" w:cs="宋体"/>
          <w:b/>
          <w:color w:val="000000"/>
          <w:sz w:val="24"/>
          <w:highlight w:val="none"/>
          <w:u w:val="single"/>
        </w:rPr>
        <w:t xml:space="preserve"> 23 </w:t>
      </w:r>
      <w:r>
        <w:rPr>
          <w:rFonts w:hint="eastAsia" w:ascii="宋体" w:hAnsi="宋体" w:cs="宋体"/>
          <w:b/>
          <w:color w:val="000000"/>
          <w:sz w:val="24"/>
          <w:highlight w:val="none"/>
        </w:rPr>
        <w:t xml:space="preserve">日北京时间09</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30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（二）开标时间：</w:t>
      </w:r>
      <w:r>
        <w:rPr>
          <w:rFonts w:hint="eastAsia" w:ascii="宋体" w:hAnsi="宋体" w:cs="宋体"/>
          <w:b/>
          <w:color w:val="000000"/>
          <w:sz w:val="24"/>
          <w:highlight w:val="none"/>
        </w:rPr>
        <w:t xml:space="preserve">2026年</w:t>
      </w:r>
      <w:r>
        <w:rPr>
          <w:rFonts w:hint="eastAsia" w:ascii="宋体" w:hAnsi="宋体" w:cs="宋体"/>
          <w:b/>
          <w:color w:val="000000"/>
          <w:sz w:val="24"/>
          <w:highlight w:val="none"/>
          <w:u w:val="single"/>
        </w:rPr>
        <w:t xml:space="preserve"> 9 </w:t>
      </w:r>
      <w:r>
        <w:rPr>
          <w:rFonts w:hint="eastAsia" w:ascii="宋体" w:hAnsi="宋体" w:cs="宋体"/>
          <w:b/>
          <w:color w:val="000000"/>
          <w:sz w:val="24"/>
          <w:highlight w:val="none"/>
        </w:rPr>
        <w:t xml:space="preserve">月</w:t>
      </w:r>
      <w:r>
        <w:rPr>
          <w:rFonts w:hint="eastAsia" w:ascii="宋体" w:hAnsi="宋体" w:cs="宋体"/>
          <w:b/>
          <w:color w:val="000000"/>
          <w:sz w:val="24"/>
          <w:highlight w:val="none"/>
          <w:u w:val="single"/>
        </w:rPr>
        <w:t xml:space="preserve"> 23 </w:t>
      </w:r>
      <w:r>
        <w:rPr>
          <w:rFonts w:hint="eastAsia" w:ascii="宋体" w:hAnsi="宋体" w:cs="宋体"/>
          <w:b/>
          <w:color w:val="000000"/>
          <w:sz w:val="24"/>
          <w:highlight w:val="none"/>
        </w:rPr>
        <w:t xml:space="preserve">日北京时间09</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30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（三）开标地点：“苏采云”系统“开标大厅”或进入徐州政府采购网--办事指南--供应商--供应商登录入口，点击“苏采云”进入系统“开标大厅”。</w:t>
      </w:r>
      <w:r>
        <w:rPr>
          <w:rFonts w:ascii="宋体" w:hAnsi="宋体" w:cs="宋体"/>
          <w:color w:val="000000"/>
          <w:sz w:val="24"/>
          <w:highlight w:val="none"/>
        </w:rPr>
      </w:r>
      <w:r/>
    </w:p>
    <w:p>
      <w:pPr>
        <w:pStyle w:val="83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五、采购人</w:t>
      </w:r>
      <w:r>
        <w:rPr>
          <w:rFonts w:ascii="宋体" w:hAnsi="宋体" w:cs="宋体"/>
          <w:b/>
          <w:bCs/>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（一）名称：徐州博物馆（徐州汉画像石艺术馆）</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（二）地址：江苏省徐州市泉山区湖东路5号</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（三）采购项目联系人：仇文华</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（四）联系电话： </w:t>
      </w:r>
      <w:r>
        <w:rPr>
          <w:rFonts w:hint="eastAsia" w:ascii="宋体" w:hAnsi="宋体" w:cs="宋体"/>
          <w:color w:val="000000"/>
          <w:sz w:val="24"/>
          <w:highlight w:val="none"/>
          <w:lang w:val="en-US" w:eastAsia="zh-CN"/>
        </w:rPr>
        <w:t xml:space="preserve">19962735531</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3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六、采购代理机构</w:t>
      </w:r>
      <w:r>
        <w:rPr>
          <w:rFonts w:ascii="宋体" w:hAnsi="宋体" w:cs="宋体"/>
          <w:b/>
          <w:bCs/>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（一）名称：江苏海外集团国际工程咨询有限公司</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（二）地址：江苏省徐州市泉山区金山东路北侧徐州软件园C-11号楼1011室</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（三）采购项目联系人：李文宇、牛启宏</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（四）联系电话：0516-83999505</w:t>
      </w:r>
      <w:r>
        <w:rPr>
          <w:rFonts w:ascii="宋体" w:hAnsi="宋体" w:cs="宋体"/>
          <w:color w:val="000000"/>
          <w:sz w:val="24"/>
          <w:highlight w:val="none"/>
        </w:rPr>
      </w:r>
      <w:r/>
    </w:p>
    <w:p>
      <w:pPr>
        <w:pStyle w:val="832"/>
        <w:ind w:firstLine="300"/>
        <w:spacing w:line="519" w:lineRule="atLeast"/>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r>
      <w:r/>
    </w:p>
    <w:p>
      <w:pPr>
        <w:pStyle w:val="832"/>
        <w:ind w:firstLine="600"/>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832"/>
        <w:ind w:firstLine="600"/>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832"/>
        <w:jc w:val="center"/>
        <w:spacing w:line="720" w:lineRule="atLeast"/>
        <w:rPr>
          <w:rFonts w:ascii="宋体" w:hAnsi="宋体" w:cs="宋体"/>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000000"/>
          <w:sz w:val="30"/>
          <w:highlight w:val="none"/>
        </w:rPr>
      </w:r>
      <w:r/>
    </w:p>
    <w:p>
      <w:pPr>
        <w:pStyle w:val="832"/>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第二章 投标人须知</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一、总则</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（一）采购人。采购人即指依法进行政府采购的国家机关、事业单位和团体组织。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促进中小企业发展”等政府采购政策。</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（六）投标人的资格条件：</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投标人是指响应招标、参加投标竞争的法人、其他组织或者自然人。</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2.投标人授权代表系指法定代表人</w:t>
      </w:r>
      <w:r>
        <w:rPr>
          <w:rFonts w:hint="eastAsia" w:ascii="宋体" w:hAnsi="宋体" w:cs="宋体"/>
          <w:color w:val="000000"/>
          <w:sz w:val="24"/>
          <w:highlight w:val="none"/>
          <w:lang w:val="en-US" w:eastAsia="zh-CN"/>
        </w:rPr>
        <w:t xml:space="preserve">或者经</w:t>
      </w:r>
      <w:r>
        <w:rPr>
          <w:rFonts w:hint="eastAsia" w:ascii="宋体" w:hAnsi="宋体" w:cs="宋体"/>
          <w:color w:val="000000"/>
          <w:sz w:val="24"/>
          <w:highlight w:val="none"/>
        </w:rPr>
        <w:t xml:space="preserve">法</w:t>
      </w:r>
      <w:r>
        <w:rPr>
          <w:rFonts w:hint="eastAsia" w:ascii="宋体" w:hAnsi="宋体" w:cs="宋体"/>
          <w:color w:val="000000"/>
          <w:sz w:val="24"/>
          <w:highlight w:val="none"/>
          <w:lang w:val="en-US" w:eastAsia="zh-CN"/>
        </w:rPr>
        <w:t xml:space="preserve">定代表</w:t>
      </w:r>
      <w:r>
        <w:rPr>
          <w:rFonts w:hint="eastAsia" w:ascii="宋体" w:hAnsi="宋体" w:cs="宋体"/>
          <w:color w:val="000000"/>
          <w:sz w:val="24"/>
          <w:highlight w:val="none"/>
        </w:rPr>
        <w:t xml:space="preserve">人</w:t>
      </w:r>
      <w:r>
        <w:rPr>
          <w:rFonts w:hint="eastAsia" w:ascii="宋体" w:hAnsi="宋体" w:cs="宋体"/>
          <w:color w:val="000000"/>
          <w:sz w:val="24"/>
          <w:highlight w:val="none"/>
          <w:lang w:val="en-US" w:eastAsia="zh-CN"/>
        </w:rPr>
        <w:t xml:space="preserve">授权</w:t>
      </w:r>
      <w:r>
        <w:rPr>
          <w:rFonts w:hint="eastAsia" w:ascii="宋体" w:hAnsi="宋体" w:cs="宋体"/>
          <w:color w:val="000000"/>
          <w:sz w:val="24"/>
          <w:highlight w:val="none"/>
        </w:rPr>
        <w:t xml:space="preserve">的受托人。</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二、招标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（八）招标文件应包括以下内容：</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第一章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投标邀请；</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第二章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投标人须知；</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第三章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投标资料表；</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第四章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评标标准；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第五章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拟签订的合同文本；</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第六章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采购需求；</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第七章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投标文件相关格式。</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（九）招标文件澄清或者修改：</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2.现场考察以本文件第三章《投标资料表》中的要求为准。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3.开标前答疑会以本文件第三章《投标资料表》中的要求为准。</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（十二）投标文件的构成：</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1.投标文件的构成以本文件第三章《投标资料表》中的要求为准。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2.投标人应当提交的资格、资信证明文件，以本文件第三章《投标资料表》中的所提要求为准。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（十三）投标函和价格表、商务条件、交货和提供服务的时间：</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1.投标函和价格表的格式见本文件第七章《投标文件相关格式》中《投标函》和《开标一览表》。</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2.商务条件以本文件第三章《投标资料表》中的要求为准。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3.交货和提供服务的时间，以本文件第三章《投标资料表》中所提要求为准。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（十四）投标报价要求：</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1.投标人应按照招标文件的要求报出分项价格和总价。</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2.投标人应按照招标文件的要求进行报价，如投标人作出偏离，应在《偏离表》中列出。</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3.采购人不支付报价以外的任何费用。</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（十五）投标货币。以本文件第三章《投标资料表》中所提要求为准。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（十六）投标有效期：</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1.投标有效期为开标之日后90天。采购人可以要求</w:t>
      </w:r>
      <w:r>
        <w:rPr>
          <w:rFonts w:hint="eastAsia" w:ascii="宋体" w:hAnsi="宋体" w:cs="宋体"/>
          <w:color w:val="000000"/>
          <w:sz w:val="24"/>
          <w:highlight w:val="none"/>
          <w:lang w:val="en-US" w:eastAsia="zh-CN"/>
        </w:rPr>
        <w:t xml:space="preserve">延长投标有效期</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（十七）投标文件的编制要求和签署要求：</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投标人应由其法定代表人或法定代表人授权代表在规定的网上投标时间，凭 CA 证书登录“苏采云”系统在线编制投标文件（电子数据），并在投标截止时间之前上传投标文件。</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投标人应对 CA 证书妥善保管，如被他人盗用投标，</w:t>
      </w:r>
      <w:r>
        <w:rPr>
          <w:rFonts w:hint="eastAsia" w:ascii="宋体" w:hAnsi="宋体" w:cs="宋体"/>
          <w:color w:val="000000"/>
          <w:sz w:val="24"/>
          <w:highlight w:val="none"/>
          <w:lang w:val="en-US" w:eastAsia="zh-CN"/>
        </w:rPr>
        <w:t xml:space="preserve">由</w:t>
      </w:r>
      <w:r>
        <w:rPr>
          <w:rFonts w:hint="eastAsia" w:ascii="宋体" w:hAnsi="宋体" w:cs="宋体"/>
          <w:color w:val="000000"/>
          <w:sz w:val="24"/>
          <w:highlight w:val="none"/>
        </w:rPr>
        <w:t xml:space="preserve">此带来的</w:t>
      </w:r>
      <w:r>
        <w:rPr>
          <w:rFonts w:hint="eastAsia" w:ascii="宋体" w:hAnsi="宋体" w:cs="宋体"/>
          <w:color w:val="000000"/>
          <w:sz w:val="24"/>
          <w:highlight w:val="none"/>
          <w:lang w:val="en-US" w:eastAsia="zh-CN"/>
        </w:rPr>
        <w:t xml:space="preserve">后</w:t>
      </w:r>
      <w:r>
        <w:rPr>
          <w:rFonts w:hint="eastAsia" w:ascii="宋体" w:hAnsi="宋体" w:cs="宋体"/>
          <w:color w:val="000000"/>
          <w:sz w:val="24"/>
          <w:highlight w:val="none"/>
        </w:rPr>
        <w:t xml:space="preserve">果均由投标人自行承担。</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投标人应当对招标文件提出的要求和条件作出实质性响应，并在电子投标系统逐条应答。</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投标人应对要求提供的资格证明文件（如资质证书、资格证书）、技术资料（如白皮书、彩页、手册、检测报告等）扫描上传至投标系统。</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（十八）投标文件的盖章要求</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投标文件的盖章要求以招标文件第三章《投标资料表》中的要求为准。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（二十）凡在招标文件要求提交投标文件的截止时间之后送达的投标文件，均为无效投标文件，“苏采云”系统将自动拒收。各投标人应在规定时间内通过 CA 证书进行网上解密。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（二十二）本项目不允许分包。</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（二十四）有下列情形之一的，其投标无效。</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1.不同投标人的投标文件，由同一单位或者个人编制；</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2.不同投标人委托同一单位或者个人办理投标事宜；</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3.不同投标人的投标文件中，所载明的项目管理成员或联系人为同一人；</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4.不同投标人的投标文件，异常一致或者投标报价呈规律性差异；</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5.不同投标人的投标文件相互混装；</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7.电子投标文件未按规定期限投标的；</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8.电子投标文件未按招标文件要求签章的；</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9.投标人未在规定时间内解密电子投标文件的；</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10.投标文件未按招标文件规定的内容和要求填写的；没有在投标系统指定位置上传对应文件、材料的。</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11.投标文件未按招标文件要求签署、盖章的；</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12.不具备招标文件中规定的资格要求的；</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13.报价超过招标文件中规定的预算金额或者最高限价的；</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14.投标文件含有采购人不能接受的附加条件的；</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15.法律法规和招标文件规定的其他无效情形。</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四、开标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（二十五）开标：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1.所有投标单位凭 CA 证书在到达开标时间时，解密各自投标文件，由工作人员操作系统进行开标、并宣读各投标人的《开标一览表》。</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2.投标人不足3家的，不得开标。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3.开标过程由采购代理机构负责记录。</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5.投标人未参加开标的，视同认可开标结果。</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五、评标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（二十六）公开招标采购项目开标结束后，采购人者采购代理机构依法对投标人的资格进行审查。合格投标人不足3家的，不得评标。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1.评标工作由采购代理机构负责组织，并履行下列职责：</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（2）宣布评标纪律；</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（3）公布投标人名单，告知评审专家应当回避的情形；</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（4）组织评标委员会推选评标组长（采购人代表不得担任组长）；</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（5）在评标期间采取必要的通讯管理措施，保证评标活动不受外界干扰；</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（6）根据评标委员会的要求介绍政府采购相关政策法规、招标文件；</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（8）核对评标结果，对有《</w:t>
      </w:r>
      <w:r>
        <w:rPr>
          <w:color w:val="000000"/>
          <w:highlight w:val="none"/>
        </w:rPr>
        <w:fldChar w:fldCharType="begin"/>
      </w:r>
      <w:r>
        <w:rPr>
          <w:color w:val="000000"/>
          <w:highlight w:val="none"/>
        </w:rPr>
        <w:instrText xml:space="preserve"> HYPERLINK "http://www.caigou2003.com/" \o "http://www.caigou2003.com/" </w:instrText>
      </w:r>
      <w:r>
        <w:rPr>
          <w:color w:val="000000"/>
          <w:highlight w:val="none"/>
        </w:rPr>
        <w:fldChar w:fldCharType="separate"/>
      </w:r>
      <w:r>
        <w:rPr>
          <w:rStyle w:val="965"/>
          <w:rFonts w:hint="eastAsia" w:ascii="宋体" w:hAnsi="宋体" w:cs="宋体"/>
          <w:color w:val="000000"/>
          <w:sz w:val="24"/>
          <w:highlight w:val="none"/>
        </w:rPr>
        <w:t xml:space="preserve">政府采购</w:t>
      </w:r>
      <w:r>
        <w:rPr>
          <w:rStyle w:val="965"/>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（10）处理与评标有关的其他事项。</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2.评标委员会负责具体评标事务，并独立履行下列职责：</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（1）审查、评价投标文件是否符合招标文件的商务、技术等实质性要求；</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（2）要求投标人对投标文件有关事项作出澄清或者说明；</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（3）对投标文件进行比较和评价；</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（4）确定中标候选人名单，以及根据采购人委托直接确定中标人；</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（5）向采购人、采购代理机构或有关部门报告评标中发现的违法行为。</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（二十七）评标方法分为最低评标价法和综合评分法。</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（二十八）评标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1.评标工作程序：</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（1）投标文件初审。</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①资格性审查。</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②符合性审查。</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（2）澄清有关问题。</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（3）比较与评价。</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（4）推荐中标候选供应商名单。</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（5）编写评审报告（评标报告）。</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3.采用</w:t>
      </w:r>
      <w:r>
        <w:rPr>
          <w:color w:val="000000"/>
          <w:highlight w:val="none"/>
        </w:rPr>
        <w:fldChar w:fldCharType="begin"/>
      </w:r>
      <w:r>
        <w:rPr>
          <w:color w:val="000000"/>
          <w:highlight w:val="none"/>
        </w:rPr>
        <w:instrText xml:space="preserve"> HYPERLINK "http://lilun.caigou2003.com/recijiedu/2365668.html" \o "http://lilun.caigou2003.com/recijiedu/2365668.html" </w:instrText>
      </w:r>
      <w:r>
        <w:rPr>
          <w:color w:val="000000"/>
          <w:highlight w:val="none"/>
        </w:rPr>
        <w:fldChar w:fldCharType="separate"/>
      </w:r>
      <w:r>
        <w:rPr>
          <w:rStyle w:val="965"/>
          <w:rFonts w:hint="eastAsia" w:ascii="宋体" w:hAnsi="宋体" w:cs="宋体"/>
          <w:color w:val="000000"/>
          <w:sz w:val="24"/>
          <w:highlight w:val="none"/>
        </w:rPr>
        <w:t xml:space="preserve">最低评标价法</w:t>
      </w:r>
      <w:r>
        <w:rPr>
          <w:rStyle w:val="965"/>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w:t>
      </w:r>
      <w:r>
        <w:rPr>
          <w:color w:val="000000"/>
          <w:highlight w:val="none"/>
        </w:rPr>
        <w:fldChar w:fldCharType="begin"/>
      </w:r>
      <w:r>
        <w:rPr>
          <w:color w:val="000000"/>
          <w:highlight w:val="none"/>
        </w:rPr>
        <w:instrText xml:space="preserve"> HYPERLINK "http://lilun.caigou2003.com/recijiedu/2365667.html" \o "http://lilun.caigou2003.com/recijiedu/2365667.html" </w:instrText>
      </w:r>
      <w:r>
        <w:rPr>
          <w:color w:val="000000"/>
          <w:highlight w:val="none"/>
        </w:rPr>
        <w:fldChar w:fldCharType="separate"/>
      </w:r>
      <w:r>
        <w:rPr>
          <w:rStyle w:val="965"/>
          <w:rFonts w:hint="eastAsia" w:ascii="宋体" w:hAnsi="宋体" w:cs="宋体"/>
          <w:color w:val="000000"/>
          <w:sz w:val="24"/>
          <w:highlight w:val="none"/>
        </w:rPr>
        <w:t xml:space="preserve">综合评分法</w:t>
      </w:r>
      <w:r>
        <w:rPr>
          <w:rStyle w:val="965"/>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非单一产品采购项目，多家投标人提供的核心产品品牌相同的，按前两款规定处理。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（二十九）投标文件报价出现前后不一致的，按照下列规定修正：</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4.总价金额与按单价合计金额不一致的，以单价金额计算结果为准。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（三十）实施政府采购异常低价审查的有关要求：</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评审中出现下列情形之一的，评审（评标）委员会应当启动异常低价投标（响应）审查程序：</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投标（响应）报价低于全部通过符合性审查供应商投标（响应）报价平均值</w:t>
      </w:r>
      <w:r>
        <w:rPr>
          <w:rFonts w:hint="eastAsia" w:ascii="宋体" w:hAnsi="宋体" w:cs="宋体"/>
          <w:b/>
          <w:bCs/>
          <w:color w:val="000000"/>
          <w:sz w:val="24"/>
          <w:highlight w:val="none"/>
          <w:lang w:val="en-US" w:eastAsia="zh-CN"/>
        </w:rPr>
        <w:t xml:space="preserve">50</w:t>
      </w:r>
      <w:r>
        <w:rPr>
          <w:rFonts w:hint="eastAsia" w:ascii="宋体" w:hAnsi="宋体" w:cs="宋体"/>
          <w:b/>
          <w:bCs/>
          <w:color w:val="000000"/>
          <w:sz w:val="24"/>
          <w:highlight w:val="none"/>
        </w:rPr>
        <w:t xml:space="preserve">%的</w:t>
      </w:r>
      <w:r>
        <w:rPr>
          <w:rFonts w:hint="eastAsia" w:ascii="宋体" w:hAnsi="宋体" w:cs="宋体"/>
          <w:color w:val="000000"/>
          <w:sz w:val="24"/>
          <w:highlight w:val="none"/>
        </w:rPr>
        <w:t xml:space="preserve">，即投标（响应）报价&lt;全部通过符合性审查供应商投标（响应）报价平均值</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50</w:t>
      </w:r>
      <w:r>
        <w:rPr>
          <w:rFonts w:hint="eastAsia" w:ascii="宋体" w:hAnsi="宋体" w:cs="宋体"/>
          <w:b/>
          <w:bCs/>
          <w:color w:val="000000"/>
          <w:sz w:val="24"/>
          <w:highlight w:val="none"/>
        </w:rPr>
        <w:t xml:space="preserve">%；</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投标（响应）报价低于通过符合性审查的次低报价供应商投标（响应）报价</w:t>
      </w:r>
      <w:r>
        <w:rPr>
          <w:rFonts w:hint="eastAsia" w:ascii="宋体" w:hAnsi="宋体" w:cs="宋体"/>
          <w:b/>
          <w:bCs/>
          <w:color w:val="000000"/>
          <w:sz w:val="24"/>
          <w:highlight w:val="none"/>
          <w:lang w:val="en-US" w:eastAsia="zh-CN"/>
        </w:rPr>
        <w:t xml:space="preserve">50</w:t>
      </w:r>
      <w:r>
        <w:rPr>
          <w:rFonts w:hint="eastAsia" w:ascii="宋体" w:hAnsi="宋体" w:cs="宋体"/>
          <w:b/>
          <w:bCs/>
          <w:color w:val="000000"/>
          <w:sz w:val="24"/>
          <w:highlight w:val="none"/>
        </w:rPr>
        <w:t xml:space="preserve">%的</w:t>
      </w:r>
      <w:r>
        <w:rPr>
          <w:rFonts w:hint="eastAsia" w:ascii="宋体" w:hAnsi="宋体" w:cs="宋体"/>
          <w:color w:val="000000"/>
          <w:sz w:val="24"/>
          <w:highlight w:val="none"/>
        </w:rPr>
        <w:t xml:space="preserve">，即投标（响应）报价&lt;通过符合性审查的次低报价供应商投标（响应）报价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50</w:t>
      </w:r>
      <w:r>
        <w:rPr>
          <w:rFonts w:hint="eastAsia" w:ascii="宋体" w:hAnsi="宋体" w:cs="宋体"/>
          <w:b/>
          <w:bCs/>
          <w:color w:val="000000"/>
          <w:sz w:val="24"/>
          <w:highlight w:val="none"/>
        </w:rPr>
        <w:t xml:space="preserve">%；</w:t>
      </w:r>
      <w:r>
        <w:rPr>
          <w:rFonts w:ascii="宋体" w:hAnsi="宋体" w:cs="宋体"/>
          <w:color w:val="000000"/>
          <w:sz w:val="24"/>
          <w:highlight w:val="none"/>
        </w:rPr>
      </w:r>
      <w:r/>
    </w:p>
    <w:p>
      <w:pPr>
        <w:pStyle w:val="832"/>
        <w:ind w:firstLine="48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投标（响应）报价低于采购项目最高限价（未设定最高限价的采购项目，以采购项目预算金额作为最高限价）</w:t>
      </w:r>
      <w:r>
        <w:rPr>
          <w:rFonts w:hint="eastAsia" w:ascii="宋体" w:hAnsi="宋体" w:cs="宋体"/>
          <w:b/>
          <w:bCs/>
          <w:color w:val="000000"/>
          <w:sz w:val="24"/>
          <w:highlight w:val="none"/>
          <w:lang w:val="en-US" w:eastAsia="zh-CN"/>
        </w:rPr>
        <w:t xml:space="preserve">50</w:t>
      </w:r>
      <w:r>
        <w:rPr>
          <w:rFonts w:hint="eastAsia" w:ascii="宋体" w:hAnsi="宋体" w:cs="宋体"/>
          <w:b/>
          <w:bCs/>
          <w:color w:val="000000"/>
          <w:sz w:val="24"/>
          <w:highlight w:val="none"/>
        </w:rPr>
        <w:t xml:space="preserve">%的，</w:t>
      </w:r>
      <w:r>
        <w:rPr>
          <w:rFonts w:hint="eastAsia" w:ascii="宋体" w:hAnsi="宋体" w:cs="宋体"/>
          <w:color w:val="000000"/>
          <w:sz w:val="24"/>
          <w:highlight w:val="none"/>
        </w:rPr>
        <w:t xml:space="preserve">即投标（响应）报价&lt;采购项目最高限价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50</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评审（评标）委员会基于专业判断，认为供应商报价过低，有可能影响产品质量或者不能诚信履约的其他情形。</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相关法律法规对供应商报价有规定的，从其规定。</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highlight w:val="none"/>
        </w:rPr>
        <w:t xml:space="preserve">其中，属于第3项情形，供应商已随投标（响应）文件一并提交相关书面说明及必要的证明材料的，在评审现场可不再重复提交。</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ascii="宋体" w:hAnsi="宋体" w:cs="宋体"/>
          <w:color w:val="000000"/>
          <w:sz w:val="24"/>
          <w:highlight w:val="none"/>
        </w:rPr>
      </w:r>
      <w:r/>
    </w:p>
    <w:p>
      <w:pPr>
        <w:pStyle w:val="832"/>
        <w:ind w:firstLine="480"/>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（三十二）废标条款：</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出现下列情形之一的，应予废标。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1.符合专业条件的供应商或者对招标文件作实质响应的供应商不足三家的；</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2.出现影响采购公正的违法、违规行为的；</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3.投标人的报价均超过了采购预算，采购人不能支付的；</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4.因重大变故，采购任务取消的。</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六、定标</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（三十三）采购代理机构应当在评标结束后2个工作日内将评标报告送采购人。</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七、政府采购合同</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（三十六）签订政府采购合同（合同签订方式）：</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采购人不得向中标人提出任何不合理的要求作为签订合同的条件。</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2.中标人拒绝与采购人签订合同的，采购人可以按照评审报告推荐的中标候选人名单排序，确定下一个候选人为中标人，也可以重新开展政府采购活动。</w:t>
      </w:r>
      <w:r>
        <w:rPr>
          <w:rFonts w:ascii="宋体" w:hAnsi="宋体" w:cs="宋体"/>
          <w:color w:val="000000"/>
          <w:sz w:val="24"/>
          <w:highlight w:val="none"/>
        </w:rPr>
      </w:r>
      <w:r/>
    </w:p>
    <w:p>
      <w:pPr>
        <w:pStyle w:val="832"/>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w:t>
      </w:r>
      <w:r>
        <w:rPr>
          <w:rFonts w:hint="eastAsia"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（三十八）履约保证金：详见《第三章 投标资料表》。</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（三十九）腐败和欺诈行为：</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（1）腐败和欺诈行为的含义：</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（2）如果被推荐的中标人有腐败和欺诈行为，将取消其中标资格。</w:t>
      </w:r>
      <w:r>
        <w:rPr>
          <w:rFonts w:ascii="宋体" w:hAnsi="宋体" w:cs="宋体"/>
          <w:color w:val="000000"/>
          <w:sz w:val="24"/>
          <w:highlight w:val="none"/>
        </w:rPr>
      </w:r>
      <w:r/>
    </w:p>
    <w:p>
      <w:pPr>
        <w:pStyle w:val="832"/>
        <w:ind w:firstLine="480"/>
        <w:spacing w:line="360" w:lineRule="auto"/>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八、询问和质疑</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（四十）询问和质疑</w:t>
      </w:r>
      <w:r>
        <w:rPr>
          <w:rFonts w:ascii="宋体" w:hAnsi="宋体" w:cs="宋体"/>
          <w:color w:val="000000"/>
          <w:sz w:val="24"/>
          <w:highlight w:val="none"/>
        </w:rPr>
      </w:r>
      <w:r/>
    </w:p>
    <w:p>
      <w:pPr>
        <w:pStyle w:val="832"/>
        <w:ind w:firstLine="480"/>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个工作日内以书面形式向采购代理机构提出质疑。询问和质疑由采购代理机构依法处理。</w:t>
      </w:r>
      <w:r>
        <w:rPr>
          <w:rFonts w:hint="eastAsia" w:ascii="宋体" w:hAnsi="宋体" w:cs="宋体"/>
          <w:b/>
          <w:color w:val="000000"/>
          <w:sz w:val="24"/>
          <w:highlight w:val="none"/>
        </w:rPr>
        <w:t xml:space="preserve"> </w:t>
      </w:r>
      <w:r>
        <w:rPr>
          <w:rFonts w:ascii="宋体" w:hAnsi="宋体" w:cs="宋体"/>
          <w:b/>
          <w:color w:val="000000"/>
          <w:sz w:val="24"/>
          <w:highlight w:val="none"/>
        </w:rPr>
      </w:r>
      <w:r/>
    </w:p>
    <w:p>
      <w:pPr>
        <w:pStyle w:val="83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九、电子招标投标交易平台</w:t>
      </w:r>
      <w:r>
        <w:rPr>
          <w:rFonts w:ascii="宋体" w:hAnsi="宋体" w:cs="宋体"/>
          <w:color w:val="000000"/>
          <w:sz w:val="24"/>
          <w:highlight w:val="none"/>
        </w:rPr>
      </w:r>
      <w:r/>
    </w:p>
    <w:p>
      <w:pPr>
        <w:pStyle w:val="832"/>
        <w:ind w:firstLine="482"/>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（四十一）电子招标投标交易平台（即“苏采云”系统，网址：http</w:t>
      </w:r>
      <w:r>
        <w:rPr>
          <w:rFonts w:hint="eastAsia" w:ascii="宋体" w:hAnsi="宋体" w:cs="宋体"/>
          <w:color w:val="000000"/>
          <w:sz w:val="24"/>
          <w:highlight w:val="none"/>
          <w:lang w:val="en-US" w:eastAsia="zh-CN"/>
        </w:rPr>
        <w:t xml:space="preserve">s</w:t>
      </w:r>
      <w:r>
        <w:rPr>
          <w:rFonts w:hint="eastAsia" w:ascii="宋体" w:hAnsi="宋体" w:cs="宋体"/>
          <w:color w:val="000000"/>
          <w:sz w:val="24"/>
          <w:highlight w:val="none"/>
        </w:rPr>
        <w:t xml:space="preserve">://jszfcg.jsczt.cn/）相关要求是本招标文件的组成部分。</w:t>
      </w:r>
      <w:r>
        <w:rPr>
          <w:rFonts w:hint="eastAsia" w:ascii="宋体" w:hAnsi="宋体" w:cs="宋体"/>
          <w:color w:val="000000"/>
          <w:highlight w:val="none"/>
        </w:rPr>
        <w:br w:type="page" w:clear="all"/>
      </w:r>
      <w:r>
        <w:rPr>
          <w:rFonts w:ascii="宋体" w:hAnsi="宋体" w:cs="宋体"/>
          <w:color w:val="000000"/>
          <w:highlight w:val="none"/>
        </w:rPr>
      </w:r>
      <w:r/>
    </w:p>
    <w:p>
      <w:pPr>
        <w:pStyle w:val="832"/>
        <w:jc w:val="center"/>
        <w:spacing w:line="360" w:lineRule="auto"/>
        <w:rPr>
          <w:rFonts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第三章 投标资料表</w:t>
      </w:r>
      <w:r>
        <w:rPr>
          <w:rFonts w:ascii="宋体" w:hAnsi="宋体" w:cs="宋体"/>
          <w:color w:val="000000"/>
          <w:sz w:val="30"/>
          <w:szCs w:val="30"/>
          <w:highlight w:val="none"/>
        </w:rPr>
      </w:r>
      <w:r/>
    </w:p>
    <w:p>
      <w:pPr>
        <w:pStyle w:val="832"/>
        <w:ind w:firstLine="60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cs="宋体"/>
          <w:color w:val="000000"/>
          <w:sz w:val="24"/>
          <w:highlight w:val="none"/>
        </w:rPr>
      </w:r>
      <w:r/>
    </w:p>
    <w:tbl>
      <w:tblPr>
        <w:tblW w:w="52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条款项号</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内 容</w:t>
            </w:r>
            <w:r>
              <w:rPr>
                <w:rFonts w:ascii="宋体" w:hAnsi="宋体" w:eastAsia="宋体" w:cs="宋体"/>
                <w:color w:val="000000"/>
                <w:sz w:val="24"/>
                <w:szCs w:val="24"/>
                <w:highlight w:val="none"/>
                <w:lang w:val="en-US" w:eastAsia="zh-CN" w:bidi="ar-SA"/>
              </w:rPr>
            </w:r>
            <w:r/>
          </w:p>
        </w:tc>
      </w:tr>
      <w:tr>
        <w:trPr>
          <w:trHeight w:val="351"/>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一</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总则</w:t>
            </w:r>
            <w:r>
              <w:rPr>
                <w:rFonts w:ascii="宋体" w:hAnsi="宋体" w:eastAsia="宋体" w:cs="宋体"/>
                <w:color w:val="000000"/>
                <w:sz w:val="24"/>
                <w:szCs w:val="24"/>
                <w:highlight w:val="none"/>
                <w:lang w:val="en-US" w:eastAsia="zh-CN" w:bidi="ar-SA"/>
              </w:rPr>
            </w:r>
            <w:r/>
          </w:p>
        </w:tc>
      </w:tr>
      <w:tr>
        <w:trPr>
          <w:trHeight w:val="367"/>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本项目采购人：徐州博物馆（徐州汉画像石艺术馆）</w:t>
            </w:r>
            <w:r>
              <w:rPr>
                <w:rFonts w:ascii="宋体" w:hAnsi="宋体" w:eastAsia="宋体" w:cs="宋体"/>
                <w:color w:val="000000"/>
                <w:sz w:val="24"/>
                <w:szCs w:val="24"/>
                <w:highlight w:val="none"/>
                <w:lang w:val="en-US" w:eastAsia="zh-CN" w:bidi="ar-SA"/>
              </w:rPr>
            </w:r>
            <w:r/>
          </w:p>
        </w:tc>
      </w:tr>
      <w:tr>
        <w:trPr>
          <w:trHeight w:val="351"/>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本次采购采用的政府采购方式：公开招标</w:t>
            </w:r>
            <w:r>
              <w:rPr>
                <w:rFonts w:ascii="宋体" w:hAnsi="宋体" w:eastAsia="宋体" w:cs="宋体"/>
                <w:color w:val="000000"/>
                <w:sz w:val="24"/>
                <w:szCs w:val="24"/>
                <w:highlight w:val="none"/>
                <w:lang w:val="en-US" w:eastAsia="zh-CN" w:bidi="ar-SA"/>
              </w:rPr>
            </w:r>
            <w:r/>
          </w:p>
        </w:tc>
      </w:tr>
      <w:tr>
        <w:trPr>
          <w:trHeight w:val="351"/>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采购人确定的采购项目属性：货物</w:t>
            </w:r>
            <w:r>
              <w:rPr>
                <w:rFonts w:ascii="宋体" w:hAnsi="宋体" w:eastAsia="宋体" w:cs="宋体"/>
                <w:color w:val="000000"/>
                <w:sz w:val="24"/>
                <w:szCs w:val="24"/>
                <w:highlight w:val="none"/>
                <w:lang w:val="en-US" w:eastAsia="zh-CN" w:bidi="ar-SA"/>
              </w:rPr>
            </w:r>
            <w:r/>
          </w:p>
        </w:tc>
      </w:tr>
      <w:tr>
        <w:trPr>
          <w:trHeight w:val="385"/>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五</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本项目采购代理机构：江苏海外集团国际工程咨询有限公司</w:t>
            </w:r>
            <w:r>
              <w:rPr>
                <w:rFonts w:ascii="宋体" w:hAnsi="宋体" w:eastAsia="宋体" w:cs="宋体"/>
                <w:color w:val="000000"/>
                <w:sz w:val="24"/>
                <w:szCs w:val="24"/>
                <w:highlight w:val="none"/>
                <w:lang w:val="en-US" w:eastAsia="zh-CN" w:bidi="ar-SA"/>
              </w:rPr>
            </w:r>
            <w:r/>
          </w:p>
        </w:tc>
      </w:tr>
      <w:tr>
        <w:trPr>
          <w:trHeight w:val="508"/>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投标人的资格条件：</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一、符合《中华人民共和国政府采购法》第二十二条的规定；</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二、本项目属于专门面向中小微企业采购的项目。</w:t>
            </w:r>
            <w:r>
              <w:rPr>
                <w:rFonts w:ascii="宋体" w:hAnsi="宋体" w:eastAsia="宋体" w:cs="宋体"/>
                <w:b/>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同时明确相关事项如下：</w:t>
            </w:r>
            <w:r>
              <w:rPr>
                <w:rFonts w:ascii="宋体" w:hAnsi="宋体" w:eastAsia="宋体" w:cs="宋体"/>
                <w:b/>
                <w:bCs/>
                <w:color w:val="000000"/>
                <w:sz w:val="24"/>
                <w:szCs w:val="24"/>
                <w:highlight w:val="none"/>
                <w:lang w:val="en-US" w:eastAsia="zh-CN" w:bidi="ar-SA"/>
              </w:rPr>
            </w:r>
            <w:r/>
          </w:p>
          <w:p>
            <w:pPr>
              <w:pStyle w:val="832"/>
              <w:ind w:firstLine="280"/>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1.本项目不接受联合体参与采购活动。</w:t>
            </w:r>
            <w:r>
              <w:rPr>
                <w:rFonts w:ascii="宋体" w:hAnsi="宋体" w:eastAsia="宋体" w:cs="宋体"/>
                <w:color w:val="000000"/>
                <w:sz w:val="24"/>
                <w:szCs w:val="24"/>
                <w:highlight w:val="none"/>
                <w:lang w:val="en-US" w:eastAsia="zh-CN" w:bidi="ar-SA"/>
              </w:rPr>
            </w:r>
            <w:r/>
          </w:p>
          <w:p>
            <w:pPr>
              <w:pStyle w:val="832"/>
              <w:ind w:firstLine="280"/>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2.单位负责人为同一人或者存在直接控股、管理关系的不同供应商，不得参加同一合同项下的政府采购活动。</w:t>
            </w:r>
            <w:r>
              <w:rPr>
                <w:rFonts w:ascii="宋体" w:hAnsi="宋体" w:eastAsia="宋体" w:cs="宋体"/>
                <w:color w:val="000000"/>
                <w:sz w:val="24"/>
                <w:szCs w:val="24"/>
                <w:highlight w:val="none"/>
                <w:lang w:val="en-US" w:eastAsia="zh-CN" w:bidi="ar-SA"/>
              </w:rPr>
            </w:r>
            <w:r/>
          </w:p>
          <w:p>
            <w:pPr>
              <w:pStyle w:val="832"/>
              <w:ind w:firstLine="280"/>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3.为本采购项目提供整体设计、规范编制或者项目管理、监理、检测等服务的供应商，不得再参加本采购项目的采购活动。</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三、查询及使用供应商信用记录：</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（一）由采购人查询信用信息。</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（二）查询渠道包括：</w:t>
            </w:r>
            <w:r>
              <w:rPr>
                <w:rFonts w:ascii="宋体" w:hAnsi="宋体" w:eastAsia="宋体" w:cs="宋体"/>
                <w:color w:val="000000"/>
                <w:sz w:val="24"/>
                <w:szCs w:val="24"/>
                <w:highlight w:val="none"/>
                <w:lang w:val="en-US" w:eastAsia="zh-CN" w:bidi="ar-SA"/>
              </w:rPr>
            </w:r>
            <w:r/>
          </w:p>
          <w:p>
            <w:pPr>
              <w:pStyle w:val="832"/>
              <w:ind w:firstLine="280"/>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1.“信用中国”网（www.creditchina.gov.cn）；</w:t>
            </w:r>
            <w:r>
              <w:rPr>
                <w:rFonts w:ascii="宋体" w:hAnsi="宋体" w:eastAsia="宋体" w:cs="宋体"/>
                <w:color w:val="000000"/>
                <w:sz w:val="24"/>
                <w:szCs w:val="24"/>
                <w:highlight w:val="none"/>
                <w:lang w:val="en-US" w:eastAsia="zh-CN" w:bidi="ar-SA"/>
              </w:rPr>
            </w:r>
            <w:r/>
          </w:p>
          <w:p>
            <w:pPr>
              <w:pStyle w:val="832"/>
              <w:ind w:firstLine="280"/>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2.中国政府采购网（www.ccgp.gov.cn）；</w:t>
            </w:r>
            <w:r>
              <w:rPr>
                <w:rFonts w:ascii="宋体" w:hAnsi="宋体" w:eastAsia="宋体" w:cs="宋体"/>
                <w:color w:val="000000"/>
                <w:sz w:val="24"/>
                <w:szCs w:val="24"/>
                <w:highlight w:val="none"/>
                <w:lang w:val="en-US" w:eastAsia="zh-CN" w:bidi="ar-SA"/>
              </w:rPr>
            </w:r>
            <w:r/>
          </w:p>
          <w:p>
            <w:pPr>
              <w:pStyle w:val="832"/>
              <w:ind w:firstLine="280"/>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3.“信用江苏”网（http://credit.jiangsu.gov.cn）；</w:t>
            </w:r>
            <w:r>
              <w:rPr>
                <w:rFonts w:ascii="宋体" w:hAnsi="宋体" w:eastAsia="宋体" w:cs="宋体"/>
                <w:color w:val="000000"/>
                <w:sz w:val="24"/>
                <w:szCs w:val="24"/>
                <w:highlight w:val="none"/>
                <w:lang w:val="en-US" w:eastAsia="zh-CN" w:bidi="ar-SA"/>
              </w:rPr>
            </w:r>
            <w:r/>
          </w:p>
          <w:p>
            <w:pPr>
              <w:pStyle w:val="832"/>
              <w:ind w:firstLine="280"/>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4.“信用中国（江苏徐州）”（http://www.xuzhoucredit.gov.cn）；</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（三）截止时点（查询环节）：开标后资格审查结束前。</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（四）信用信息查询记录和证据留存的具体方式：网页截屏打印，与其他采购文件一并保存。</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（五）信用信息的使用规则：</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其投标无效。拒绝其参与政府采购活动。</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七</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招标代理服务费由采购人支付。按《招标代理服务收费标准》收取（见附件）。</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二</w:t>
            </w: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招标</w:t>
            </w:r>
            <w:r>
              <w:rPr>
                <w:rFonts w:ascii="宋体" w:hAnsi="宋体" w:eastAsia="宋体" w:cs="宋体"/>
                <w:b/>
                <w:bCs/>
                <w:color w:val="000000"/>
                <w:sz w:val="24"/>
                <w:szCs w:val="24"/>
                <w:highlight w:val="none"/>
                <w:lang w:val="en-US" w:eastAsia="zh-CN" w:bidi="ar-SA"/>
              </w:rPr>
            </w:r>
            <w:r/>
          </w:p>
        </w:tc>
      </w:tr>
      <w:tr>
        <w:trPr>
          <w:trHeight w:val="544"/>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九</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ind w:firstLine="480"/>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ascii="宋体" w:hAnsi="宋体" w:eastAsia="宋体" w:cs="宋体"/>
                <w:color w:val="000000"/>
                <w:sz w:val="24"/>
                <w:szCs w:val="24"/>
                <w:highlight w:val="none"/>
                <w:lang w:val="en-US" w:eastAsia="zh-CN" w:bidi="ar-SA"/>
              </w:rPr>
            </w:r>
            <w:r/>
          </w:p>
        </w:tc>
      </w:tr>
      <w:tr>
        <w:trPr>
          <w:trHeight w:val="351"/>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(九)2</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tabs>
                <w:tab w:val="left" w:pos="5760" w:leader="none"/>
              </w:tabs>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自行现场勘察。</w:t>
            </w:r>
            <w:r>
              <w:rPr>
                <w:rFonts w:ascii="宋体" w:hAnsi="宋体" w:eastAsia="宋体" w:cs="宋体"/>
                <w:color w:val="000000"/>
                <w:sz w:val="24"/>
                <w:szCs w:val="24"/>
                <w:highlight w:val="none"/>
                <w:lang w:val="en-US" w:eastAsia="zh-CN" w:bidi="ar-SA"/>
              </w:rPr>
            </w:r>
            <w:r/>
          </w:p>
        </w:tc>
      </w:tr>
      <w:tr>
        <w:trPr>
          <w:trHeight w:val="318"/>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(九)3</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不安排开标前答疑会。</w:t>
            </w:r>
            <w:r>
              <w:rPr>
                <w:rFonts w:ascii="宋体" w:hAnsi="宋体" w:eastAsia="宋体" w:cs="宋体"/>
                <w:color w:val="000000"/>
                <w:sz w:val="24"/>
                <w:szCs w:val="24"/>
                <w:highlight w:val="none"/>
                <w:lang w:val="en-US" w:eastAsia="zh-CN" w:bidi="ar-SA"/>
              </w:rPr>
            </w:r>
            <w:r/>
          </w:p>
        </w:tc>
      </w:tr>
      <w:tr>
        <w:trPr>
          <w:trHeight w:val="334"/>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三</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投标</w:t>
            </w:r>
            <w:r>
              <w:rPr>
                <w:rFonts w:ascii="宋体" w:hAnsi="宋体" w:eastAsia="宋体" w:cs="宋体"/>
                <w:color w:val="000000"/>
                <w:sz w:val="24"/>
                <w:szCs w:val="24"/>
                <w:highlight w:val="none"/>
                <w:lang w:val="en-US" w:eastAsia="zh-CN" w:bidi="ar-SA"/>
              </w:rPr>
            </w:r>
            <w:r/>
          </w:p>
        </w:tc>
      </w:tr>
      <w:tr>
        <w:trPr>
          <w:trHeight w:val="385"/>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(十一)</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投标文件的语言为中文</w:t>
            </w:r>
            <w:r>
              <w:rPr>
                <w:rFonts w:ascii="宋体" w:hAnsi="宋体" w:eastAsia="宋体" w:cs="宋体"/>
                <w:color w:val="000000"/>
                <w:sz w:val="24"/>
                <w:szCs w:val="24"/>
                <w:highlight w:val="none"/>
                <w:lang w:val="en-US" w:eastAsia="zh-CN" w:bidi="ar-SA"/>
              </w:rPr>
            </w:r>
            <w:r/>
          </w:p>
        </w:tc>
      </w:tr>
      <w:tr>
        <w:trPr>
          <w:trHeight w:val="472"/>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(十二)1</w:t>
            </w:r>
            <w:r>
              <w:rPr>
                <w:rFonts w:ascii="宋体" w:hAnsi="宋体" w:eastAsia="宋体" w:cs="宋体"/>
                <w:color w:val="000000"/>
                <w:sz w:val="24"/>
                <w:szCs w:val="24"/>
                <w:highlight w:val="none"/>
                <w:lang w:val="en-US" w:eastAsia="zh-CN" w:bidi="ar-SA"/>
              </w:rPr>
            </w:r>
            <w:r/>
          </w:p>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(十二)2</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线上投标文件编制要求：</w:t>
            </w:r>
            <w:r>
              <w:rPr>
                <w:rFonts w:ascii="宋体" w:hAnsi="宋体" w:eastAsia="宋体" w:cs="宋体"/>
                <w:b/>
                <w:color w:val="000000"/>
                <w:sz w:val="24"/>
                <w:szCs w:val="24"/>
                <w:highlight w:val="none"/>
                <w:lang w:val="en-US" w:eastAsia="zh-CN" w:bidi="ar-SA"/>
              </w:rPr>
            </w:r>
            <w:r/>
          </w:p>
          <w:p>
            <w:pPr>
              <w:pStyle w:val="832"/>
              <w:jc w:val="both"/>
              <w:widowControl w:val="off"/>
              <w:rPr>
                <w:rFonts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请按照以下要求（包括但不限于以下要求）制作：</w:t>
            </w:r>
            <w:r>
              <w:rPr>
                <w:rFonts w:ascii="宋体" w:hAnsi="宋体" w:eastAsia="宋体" w:cs="宋体"/>
                <w:b/>
                <w:color w:val="000000"/>
                <w:sz w:val="24"/>
                <w:szCs w:val="24"/>
                <w:highlight w:val="none"/>
                <w:lang w:val="en-US" w:eastAsia="zh-CN" w:bidi="ar-SA"/>
              </w:rPr>
            </w:r>
            <w:r/>
          </w:p>
          <w:p>
            <w:pPr>
              <w:pStyle w:val="832"/>
              <w:jc w:val="both"/>
              <w:widowControl w:val="off"/>
              <w:rPr>
                <w:rFonts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一、基本目录</w:t>
            </w:r>
            <w:r>
              <w:rPr>
                <w:rFonts w:ascii="宋体" w:hAnsi="宋体" w:eastAsia="宋体" w:cs="宋体"/>
                <w:b/>
                <w:color w:val="000000"/>
                <w:sz w:val="24"/>
                <w:szCs w:val="24"/>
                <w:highlight w:val="none"/>
                <w:lang w:val="en-US" w:eastAsia="zh-CN" w:bidi="ar-SA"/>
              </w:rPr>
            </w:r>
            <w:r/>
          </w:p>
          <w:p>
            <w:pPr>
              <w:pStyle w:val="832"/>
              <w:jc w:val="both"/>
              <w:widowControl w:val="off"/>
              <w:rPr>
                <w:rFonts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1.《开标一览表》（加盖电子签章，政府采购客户端工具输入报价自动生成）；</w:t>
            </w:r>
            <w:r>
              <w:rPr>
                <w:rFonts w:ascii="宋体" w:hAnsi="宋体" w:eastAsia="宋体" w:cs="宋体"/>
                <w:b/>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2.所投产品的环境标志产品认证证书原件的扫描件（如有）。</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注：</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（2）环境标志产品认证证书是否符合要求，采购人评标时查询中国政府采购网（www.ccgp.gov.cn）相关内容后确定。</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3.所投产品的节能产品认证证书原件的扫描件（如有）。</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注：</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（2）节能产品认证证书是否符合要求，采购人评标时查询中国政府采购网（www.ccgp.gov.cn）相关内容后确定。</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4.其它（包含但不限于本国产品的声明函等，如有）。</w:t>
            </w:r>
            <w:r>
              <w:rPr>
                <w:rFonts w:ascii="宋体" w:hAnsi="宋体" w:eastAsia="宋体" w:cs="宋体"/>
                <w:b/>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二、资格条件（必须提供，否则投标将被拒绝）</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（一）投标人合法有效的营业执照扫描件，或事业单位法人证书扫描件，或民办非企业单位登记证书扫描件；</w:t>
            </w:r>
            <w:r>
              <w:rPr>
                <w:rFonts w:ascii="宋体" w:hAnsi="宋体" w:eastAsia="宋体" w:cs="宋体"/>
                <w:color w:val="000000"/>
                <w:sz w:val="24"/>
                <w:szCs w:val="24"/>
                <w:highlight w:val="none"/>
                <w:lang w:val="en-US" w:eastAsia="zh-CN" w:bidi="ar-SA"/>
              </w:rPr>
            </w:r>
            <w:r/>
          </w:p>
          <w:p>
            <w:pPr>
              <w:pStyle w:val="832"/>
              <w:ind w:right="28"/>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（二）财务状况报告（即提供投标人的本项目开标时间（不含开标当月）前6个月内任何时间的</w:t>
            </w:r>
            <w:r>
              <w:rPr>
                <w:rFonts w:hint="eastAsia" w:ascii="宋体" w:hAnsi="宋体" w:eastAsia="宋体" w:cs="宋体"/>
                <w:b/>
                <w:color w:val="000000"/>
                <w:sz w:val="24"/>
                <w:szCs w:val="24"/>
                <w:highlight w:val="none"/>
                <w:lang w:val="en-US" w:eastAsia="zh-CN" w:bidi="ar-SA"/>
              </w:rPr>
              <w:t xml:space="preserve">资产负债表、利润表扫描件各一份</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或</w:t>
            </w:r>
            <w:r>
              <w:rPr>
                <w:rFonts w:hint="eastAsia" w:ascii="宋体" w:hAnsi="宋体" w:eastAsia="宋体" w:cs="宋体"/>
                <w:color w:val="000000"/>
                <w:sz w:val="24"/>
                <w:szCs w:val="24"/>
                <w:highlight w:val="none"/>
                <w:lang w:val="en-US" w:eastAsia="zh-CN" w:bidi="ar-SA"/>
              </w:rPr>
              <w:t xml:space="preserve">提供投标人2025年度</w:t>
            </w:r>
            <w:r>
              <w:rPr>
                <w:rFonts w:hint="eastAsia" w:ascii="宋体" w:hAnsi="宋体" w:eastAsia="宋体" w:cs="宋体"/>
                <w:b/>
                <w:bCs/>
                <w:color w:val="000000"/>
                <w:sz w:val="24"/>
                <w:szCs w:val="24"/>
                <w:highlight w:val="none"/>
                <w:lang w:val="en-US" w:eastAsia="zh-CN" w:bidi="ar-SA"/>
              </w:rPr>
              <w:t xml:space="preserve">经审计</w:t>
            </w:r>
            <w:r>
              <w:rPr>
                <w:rFonts w:hint="eastAsia" w:ascii="宋体" w:hAnsi="宋体" w:eastAsia="宋体" w:cs="宋体"/>
                <w:color w:val="000000"/>
                <w:sz w:val="24"/>
                <w:szCs w:val="24"/>
                <w:highlight w:val="none"/>
                <w:lang w:val="en-US" w:eastAsia="zh-CN" w:bidi="ar-SA"/>
              </w:rPr>
              <w:t xml:space="preserve">的财务报告扫描件一份；</w:t>
            </w:r>
            <w:r>
              <w:rPr>
                <w:rFonts w:hint="eastAsia" w:ascii="宋体" w:hAnsi="宋体" w:eastAsia="宋体" w:cs="宋体"/>
                <w:b/>
                <w:bCs/>
                <w:color w:val="000000"/>
                <w:sz w:val="24"/>
                <w:szCs w:val="24"/>
                <w:highlight w:val="none"/>
                <w:lang w:val="en-US" w:eastAsia="zh-CN" w:bidi="ar-SA"/>
              </w:rPr>
              <w:t xml:space="preserve">或</w:t>
            </w:r>
            <w:r>
              <w:rPr>
                <w:rFonts w:hint="eastAsia" w:ascii="宋体" w:hAnsi="宋体" w:eastAsia="宋体" w:cs="宋体"/>
                <w:color w:val="000000"/>
                <w:sz w:val="24"/>
                <w:szCs w:val="24"/>
                <w:highlight w:val="none"/>
                <w:lang w:val="en-US" w:eastAsia="zh-CN" w:bidi="ar-SA"/>
              </w:rPr>
              <w:t xml:space="preserve">财政部门认可的政府采购专业担保机构出具的有效的投标担保函扫描件一份；</w:t>
            </w:r>
            <w:r>
              <w:rPr>
                <w:rFonts w:hint="eastAsia" w:ascii="宋体" w:hAnsi="宋体" w:eastAsia="宋体" w:cs="宋体"/>
                <w:b/>
                <w:bCs/>
                <w:color w:val="000000"/>
                <w:sz w:val="24"/>
                <w:szCs w:val="24"/>
                <w:highlight w:val="none"/>
                <w:lang w:val="en-US" w:eastAsia="zh-CN" w:bidi="ar-SA"/>
              </w:rPr>
              <w:t xml:space="preserve">或</w:t>
            </w:r>
            <w:r>
              <w:rPr>
                <w:rFonts w:hint="eastAsia" w:ascii="宋体" w:hAnsi="宋体" w:eastAsia="宋体" w:cs="宋体"/>
                <w:color w:val="000000"/>
                <w:sz w:val="24"/>
                <w:szCs w:val="24"/>
                <w:highlight w:val="none"/>
                <w:lang w:val="en-US" w:eastAsia="zh-CN" w:bidi="ar-SA"/>
              </w:rPr>
              <w:t xml:space="preserve">投标人的本项目开标时间（不含开标当月）前6个月内银行出具的</w:t>
            </w:r>
            <w:r>
              <w:rPr>
                <w:rFonts w:hint="eastAsia" w:ascii="宋体" w:hAnsi="宋体" w:eastAsia="宋体" w:cs="宋体"/>
                <w:b/>
                <w:color w:val="000000"/>
                <w:sz w:val="24"/>
                <w:szCs w:val="24"/>
                <w:highlight w:val="none"/>
                <w:lang w:val="en-US" w:eastAsia="zh-CN" w:bidi="ar-SA"/>
              </w:rPr>
              <w:t xml:space="preserve">资信证明扫描件</w:t>
            </w:r>
            <w:r>
              <w:rPr>
                <w:rFonts w:hint="eastAsia" w:ascii="宋体" w:hAnsi="宋体" w:eastAsia="宋体" w:cs="宋体"/>
                <w:color w:val="000000"/>
                <w:sz w:val="24"/>
                <w:szCs w:val="24"/>
                <w:highlight w:val="none"/>
                <w:lang w:val="en-US" w:eastAsia="zh-CN" w:bidi="ar-SA"/>
              </w:rPr>
              <w:t xml:space="preserve">一份）；</w:t>
            </w:r>
            <w:r>
              <w:rPr>
                <w:rFonts w:ascii="宋体" w:hAnsi="宋体" w:eastAsia="宋体" w:cs="宋体"/>
                <w:color w:val="000000"/>
                <w:sz w:val="24"/>
                <w:szCs w:val="24"/>
                <w:highlight w:val="none"/>
                <w:lang w:val="en-US" w:eastAsia="zh-CN" w:bidi="ar-SA"/>
              </w:rPr>
            </w:r>
            <w:r/>
          </w:p>
          <w:p>
            <w:pPr>
              <w:pStyle w:val="832"/>
              <w:ind w:right="28"/>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（三）投标人的本项目开标时间（不含开标当月）前6个月内任何1个月的</w:t>
            </w:r>
            <w:r>
              <w:rPr>
                <w:rFonts w:hint="eastAsia" w:ascii="宋体" w:hAnsi="宋体" w:eastAsia="宋体" w:cs="宋体"/>
                <w:b/>
                <w:color w:val="000000"/>
                <w:sz w:val="24"/>
                <w:szCs w:val="24"/>
                <w:highlight w:val="none"/>
                <w:lang w:val="en-US" w:eastAsia="zh-CN" w:bidi="ar-SA"/>
              </w:rPr>
              <w:t xml:space="preserve">依法缴纳税收扫描件和社会保障资金扫描件</w:t>
            </w:r>
            <w:r>
              <w:rPr>
                <w:rFonts w:hint="eastAsia" w:ascii="宋体" w:hAnsi="宋体" w:eastAsia="宋体" w:cs="宋体"/>
                <w:color w:val="000000"/>
                <w:sz w:val="24"/>
                <w:szCs w:val="24"/>
                <w:highlight w:val="none"/>
                <w:lang w:val="en-US" w:eastAsia="zh-CN" w:bidi="ar-SA"/>
              </w:rPr>
              <w:t xml:space="preserve">的相关材料</w:t>
            </w:r>
            <w:r>
              <w:rPr>
                <w:rFonts w:hint="eastAsia" w:ascii="宋体" w:hAnsi="宋体" w:eastAsia="宋体" w:cs="宋体"/>
                <w:b/>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（依法免税或不需要缴纳社会保障资金的供应商,提供相应文件扫描件证明其依法免税或不需要缴纳社会保障资金)；</w:t>
            </w:r>
            <w:r>
              <w:rPr>
                <w:rFonts w:ascii="宋体" w:hAnsi="宋体" w:eastAsia="宋体" w:cs="宋体"/>
                <w:color w:val="000000"/>
                <w:sz w:val="24"/>
                <w:szCs w:val="24"/>
                <w:highlight w:val="none"/>
                <w:lang w:val="en-US" w:eastAsia="zh-CN" w:bidi="ar-SA"/>
              </w:rPr>
            </w:r>
            <w:r/>
          </w:p>
          <w:p>
            <w:pPr>
              <w:pStyle w:val="832"/>
              <w:ind w:right="28"/>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四）具备履行合同所必需的设备和专业技术能力的证明材料。即投标文件中提供《具备履行合同所必需的设备和专业技术能力的书面声明》（加盖电子签章，格式见招标文件第七章《投标文件相关格式》,所附证明材料可不加盖电子签章）；</w:t>
            </w:r>
            <w:r>
              <w:rPr>
                <w:rFonts w:ascii="宋体" w:hAnsi="宋体" w:eastAsia="宋体" w:cs="宋体"/>
                <w:b/>
                <w:bCs/>
                <w:color w:val="000000"/>
                <w:sz w:val="24"/>
                <w:szCs w:val="24"/>
                <w:highlight w:val="none"/>
                <w:lang w:val="en-US" w:eastAsia="zh-CN" w:bidi="ar-SA"/>
              </w:rPr>
            </w:r>
            <w:r/>
          </w:p>
          <w:p>
            <w:pPr>
              <w:pStyle w:val="832"/>
              <w:ind w:right="28"/>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（五）投标人参加政府采购活动前3年内在经营活动中没有重大违法记录的书面声明，加盖</w:t>
            </w:r>
            <w:r>
              <w:rPr>
                <w:rFonts w:hint="eastAsia" w:ascii="宋体" w:hAnsi="宋体" w:eastAsia="宋体" w:cs="宋体"/>
                <w:b/>
                <w:color w:val="000000"/>
                <w:sz w:val="24"/>
                <w:szCs w:val="24"/>
                <w:highlight w:val="none"/>
                <w:lang w:val="en-US" w:eastAsia="zh-CN" w:bidi="ar-SA"/>
              </w:rPr>
              <w:t xml:space="preserve">电子签章</w:t>
            </w:r>
            <w:r>
              <w:rPr>
                <w:rFonts w:hint="eastAsia" w:ascii="宋体" w:hAnsi="宋体" w:eastAsia="宋体" w:cs="宋体"/>
                <w:color w:val="000000"/>
                <w:sz w:val="24"/>
                <w:szCs w:val="24"/>
                <w:highlight w:val="none"/>
                <w:lang w:val="en-US" w:eastAsia="zh-CN" w:bidi="ar-SA"/>
              </w:rPr>
              <w:t xml:space="preserve">，格式见本文件第七章《投标文件相关格式》。</w:t>
            </w:r>
            <w:r>
              <w:rPr>
                <w:rFonts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（六）投标人提供的货物全部由符合政策要求的中小企业制造的，提供《中小企业声明函》（填写完整，加盖电子签章，格式见招标文件第七章《投标文件相关格式》，必须提供）。 </w:t>
            </w:r>
            <w:r>
              <w:rPr>
                <w:rFonts w:hint="eastAsia" w:ascii="宋体" w:hAnsi="宋体" w:eastAsia="宋体" w:cs="宋体"/>
                <w:b/>
                <w:bCs/>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《中小企业声明函》查询渠道参考工业和信息化部发布的中小企业规模自测小程序。中小企业规模自测小程序详见《中小企业声明函》。</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2.监狱企业制造的，提供省级以上监狱管理局、戒毒管理局（含新疆生产建设兵团）出具的属于监狱企业的证明文件原件的扫描件。</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注：具体以《财政部 司法部关于政府采购支持监狱企业发展有关问题的通知》（财库〔2014〕68号）的规定为准。</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3.享受政府采购支持政策的残疾人福利性单位制造的，提供《残疾人福利性单位声明函》（加盖电子签章，格式见招标文件第七章《投标文件相关格式》）。</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享受政府采购支持政策的残疾人福利性单位应当同时满足以下条件：</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（1）安置的残疾人占本单位在职职工人数的比例不低于25%（含25%），并且安置的残疾人人数不少于10人（含10人）；</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（2）依法与安置的每位残疾人签订了一年以上（含一年）的劳动合同或服务协议；</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具体以《三部门联合发布关于促进残疾人就业政府采购政策的通知》（财库〔2017〕141号）规定为准。</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1、投标人应对以上文件的合法性、真实性负责。</w:t>
            </w:r>
            <w:r>
              <w:rPr>
                <w:rFonts w:hint="eastAsia" w:ascii="宋体" w:hAnsi="宋体" w:eastAsia="宋体" w:cs="宋体"/>
                <w:color w:val="000000"/>
                <w:sz w:val="24"/>
                <w:szCs w:val="24"/>
                <w:highlight w:val="none"/>
                <w:lang w:val="en-US" w:eastAsia="zh-CN" w:bidi="ar-SA"/>
              </w:rPr>
            </w:r>
            <w:r/>
          </w:p>
          <w:p>
            <w:pPr>
              <w:pStyle w:val="832"/>
              <w:ind w:right="28"/>
              <w:jc w:val="both"/>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三、符合条件（必须提供，否则投标无效）</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(一)报价</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1.《报价符合性审查》。</w:t>
            </w:r>
            <w:r>
              <w:rPr>
                <w:rFonts w:hint="eastAsia" w:ascii="宋体" w:hAnsi="宋体" w:eastAsia="宋体" w:cs="宋体"/>
                <w:color w:val="000000"/>
                <w:sz w:val="24"/>
                <w:szCs w:val="24"/>
                <w:highlight w:val="none"/>
                <w:lang w:val="en-US" w:eastAsia="zh-CN" w:bidi="ar-SA"/>
              </w:rPr>
              <w:t xml:space="preserve">属于投标（响应）报价低于采购项目最高限价50%的，即投标（响应）报价&lt;采购项目最高限价×50%，供应商可随投标（响应）文件一并提交相关书面说明及必要的证明材料。</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2.《开标一览表》。</w:t>
            </w:r>
            <w:r>
              <w:rPr>
                <w:rFonts w:hint="eastAsia" w:ascii="宋体" w:hAnsi="宋体" w:eastAsia="宋体" w:cs="宋体"/>
                <w:color w:val="000000"/>
                <w:sz w:val="24"/>
                <w:szCs w:val="24"/>
                <w:highlight w:val="none"/>
                <w:lang w:val="en-US" w:eastAsia="zh-CN" w:bidi="ar-SA"/>
              </w:rPr>
              <w:t xml:space="preserve">政府采购客户端工具输入报价自动生成。</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3.《分项价格表》。</w:t>
            </w:r>
            <w:r>
              <w:rPr>
                <w:rFonts w:hint="eastAsia" w:ascii="宋体" w:hAnsi="宋体" w:eastAsia="宋体" w:cs="宋体"/>
                <w:bCs/>
                <w:color w:val="000000"/>
                <w:sz w:val="24"/>
                <w:szCs w:val="24"/>
                <w:highlight w:val="none"/>
                <w:lang w:val="en-US" w:eastAsia="zh-CN" w:bidi="ar-SA"/>
              </w:rPr>
              <w:t xml:space="preserve">要求加盖电子签章，格式见本文件第七章《投标文件相关格式》（必须提供，否则在符合性审查时按照投标无效处理）。</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（二）商务资信</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1.《投标函》。</w:t>
            </w:r>
            <w:r>
              <w:rPr>
                <w:rFonts w:hint="eastAsia" w:ascii="宋体" w:hAnsi="宋体" w:eastAsia="宋体" w:cs="宋体"/>
                <w:color w:val="000000"/>
                <w:sz w:val="24"/>
                <w:szCs w:val="24"/>
                <w:highlight w:val="none"/>
                <w:lang w:val="en-US" w:eastAsia="zh-CN" w:bidi="ar-SA"/>
              </w:rPr>
              <w:t xml:space="preserve">（加盖电子签章，格式见招标文件第七章《投标文件相关格式》。）</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color w:val="000000"/>
                <w:sz w:val="24"/>
                <w:szCs w:val="24"/>
                <w:highlight w:val="none"/>
                <w:lang w:val="en-US" w:eastAsia="zh-CN" w:bidi="ar-SA"/>
              </w:rPr>
              <w:t xml:space="preserve">《授权委托书》。</w:t>
            </w:r>
            <w:r>
              <w:rPr>
                <w:rFonts w:hint="eastAsia" w:ascii="宋体" w:hAnsi="宋体" w:eastAsia="宋体" w:cs="宋体"/>
                <w:bCs/>
                <w:color w:val="000000"/>
                <w:sz w:val="24"/>
                <w:szCs w:val="24"/>
                <w:highlight w:val="none"/>
                <w:lang w:val="en-US" w:eastAsia="zh-CN" w:bidi="ar-SA"/>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rFonts w:ascii="宋体" w:hAnsi="宋体" w:eastAsia="宋体" w:cs="宋体"/>
                <w:b/>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3.法律、法规和招标文件规定的其他投标无效情形。</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（三）技术响应</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《偏离表》</w:t>
            </w:r>
            <w:r>
              <w:rPr>
                <w:rFonts w:hint="eastAsia" w:ascii="宋体" w:hAnsi="宋体" w:eastAsia="宋体" w:cs="宋体"/>
                <w:color w:val="000000"/>
                <w:sz w:val="24"/>
                <w:szCs w:val="24"/>
                <w:highlight w:val="none"/>
                <w:lang w:val="en-US" w:eastAsia="zh-CN" w:bidi="ar-SA"/>
              </w:rPr>
              <w:t xml:space="preserve">（加盖电子签章，格式见招标文件第七章《投标文件相关格式》。）</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四、综合评审评分项</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（一）技术部分</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1.偏离表、所投产品的技术参数（含相关证明材料）</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2.实施方案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3.技术方案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4.培训方案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5.售后服务方案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6.评分细则中评分得分需提供的相关证明文件扫描件。</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lang w:val="en-US" w:eastAsia="zh-CN" w:bidi="ar-SA"/>
              </w:rPr>
              <w:t xml:space="preserve">商务部分</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1.类似业绩（要求见招标文件第四章《评标标准》中《评分细则》）；</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2.拟投入人员（要求见招标文件第四章《评标标准》中《评分细则》）；</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3.投标人其它证明文件及材料扫描件。</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五、其他部分</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（一）投标人《关于符合本国产品标准的声明函》（填写完整，加盖电子签章，格式见招标文件第七章《投标文件相关格式》）</w:t>
            </w:r>
            <w:r>
              <w:rPr>
                <w:rFonts w:hint="eastAsia" w:ascii="宋体" w:hAnsi="宋体" w:eastAsia="宋体" w:cs="宋体"/>
                <w:color w:val="000000"/>
                <w:sz w:val="24"/>
                <w:szCs w:val="24"/>
                <w:highlight w:val="none"/>
                <w:lang w:val="en-US" w:eastAsia="zh-CN" w:bidi="ar-SA"/>
              </w:rPr>
              <w:t xml:space="preserve">（请填写完整，如不填写完整或未按要求填写的，视为非本国产品）</w:t>
            </w:r>
            <w:r>
              <w:rPr>
                <w:rFonts w:hint="eastAsia" w:ascii="宋体" w:hAnsi="宋体" w:eastAsia="宋体" w:cs="宋体"/>
                <w:bCs/>
                <w:color w:val="000000"/>
                <w:sz w:val="24"/>
                <w:szCs w:val="24"/>
                <w:highlight w:val="none"/>
                <w:lang w:val="en-US" w:eastAsia="zh-CN" w:bidi="ar-SA"/>
              </w:rPr>
              <w:t xml:space="preserve">。</w:t>
            </w:r>
            <w:r>
              <w:rPr>
                <w:rFonts w:ascii="宋体" w:hAnsi="宋体" w:eastAsia="宋体" w:cs="宋体"/>
                <w:b/>
                <w:color w:val="000000"/>
                <w:sz w:val="24"/>
                <w:szCs w:val="24"/>
                <w:highlight w:val="none"/>
                <w:lang w:val="en-US" w:eastAsia="zh-CN" w:bidi="ar-SA"/>
              </w:rPr>
            </w:r>
            <w:r/>
          </w:p>
          <w:p>
            <w:pPr>
              <w:pStyle w:val="832"/>
              <w:jc w:val="both"/>
              <w:widowControl w:val="off"/>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（二）本国产品相关规则</w:t>
            </w:r>
            <w:r>
              <w:rPr>
                <w:rFonts w:hint="eastAsia" w:ascii="宋体" w:hAnsi="宋体" w:eastAsia="宋体" w:cs="宋体"/>
                <w:bCs/>
                <w:color w:val="000000"/>
                <w:sz w:val="24"/>
                <w:szCs w:val="24"/>
                <w:highlight w:val="none"/>
                <w:lang w:val="en-US" w:eastAsia="zh-CN" w:bidi="ar-SA"/>
              </w:rPr>
            </w:r>
            <w:r/>
          </w:p>
          <w:p>
            <w:pPr>
              <w:pStyle w:val="832"/>
              <w:jc w:val="both"/>
              <w:widowControl w:val="off"/>
              <w:rPr>
                <w:rFonts w:hint="eastAsia"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1.本国产品应当符合以下条件：</w:t>
            </w:r>
            <w:r>
              <w:rPr>
                <w:rFonts w:hint="eastAsia"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（1）在中国境内生产</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产品应当在中国境内生产，即在中华人民共和国关境内实现从原材料、组件到产品的属性改变。</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①为确保产品在运输或者储存期间保持某种状态而进行的操作；</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②为产品运输或者销售进行的包装或者展示；</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③在产品或者其包装上粘贴或者印刷品牌、标志、标识以及其他用于区别的标记；</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④简单的上漆、磨光和分装；</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⑤其他不属于属性改变的情形。</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（2）在中国境内生产的组件成本占比达到规定比例</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产品在中国境内生产的组件成本占比应当达到规定比例，计算公式为：</w:t>
            </w:r>
            <w:r>
              <w:rPr>
                <w:rFonts w:ascii="宋体" w:hAnsi="宋体" w:eastAsia="宋体" w:cs="宋体"/>
                <w:bCs/>
                <w:color w:val="000000"/>
                <w:sz w:val="24"/>
                <w:szCs w:val="24"/>
                <w:highlight w:val="none"/>
                <w:lang w:val="en-US" w:eastAsia="zh-CN" w:bidi="ar-SA"/>
              </w:rPr>
            </w:r>
            <w:r/>
          </w:p>
          <w:p>
            <w:pPr>
              <w:pStyle w:val="832"/>
              <w:jc w:val="center"/>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mc:AlternateContent>
                <mc:Choice Requires="wpg">
                  <w:drawing>
                    <wp:inline xmlns:wp="http://schemas.openxmlformats.org/drawingml/2006/wordprocessingDrawing" distT="0" distB="0" distL="0" distR="0">
                      <wp:extent cx="3276410" cy="49558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8" o:title=""/>
                    </v:shape>
                  </w:pict>
                </mc:Fallback>
              </mc:AlternateConten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（3）特定产品的关键组件、关键工序符合相关要求</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2.本国产品标准的适用范围</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3.对本国产品的支持政策</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具体以《国务院办公厅关于在政府采购中实施本国产品标准及相关政策的通知》（国办发〔2025〕34号）规定为准。</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注：中国境内生产的组件成本核算基本规则</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（1）产品的一级组件是指直接组成产品的组件。产品的二级组件是指直接组成产品一级组件的组件。一级组件不可分解的，视同二级组件。</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（2）二级组件在中国境内生产的，其全部成本计入中国境内生产的组件成本；二级组件不在中国境内生产的，其成本不计入中国境内生产的组件成本。</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（3）产品总成本和组件成本以相关会计核算数据、采购合同、进货记录等为基础进行计算。</w:t>
            </w:r>
            <w:r>
              <w:rPr>
                <w:rFonts w:ascii="宋体" w:hAnsi="宋体" w:eastAsia="宋体" w:cs="宋体"/>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zh-CN" w:bidi="ar-SA"/>
              </w:rPr>
              <w:t xml:space="preserve">（4）需要对成本核算规则予以进一步明确的其他有关事项，由财政部会同有关部门另行规定。</w:t>
            </w:r>
            <w:r>
              <w:rPr>
                <w:rFonts w:ascii="宋体" w:hAnsi="宋体" w:eastAsia="宋体" w:cs="宋体"/>
                <w:color w:val="000000"/>
                <w:sz w:val="24"/>
                <w:szCs w:val="24"/>
                <w:highlight w:val="none"/>
                <w:lang w:val="en-US" w:eastAsia="zh-CN" w:bidi="ar-SA"/>
              </w:rPr>
            </w:r>
            <w:r/>
          </w:p>
        </w:tc>
      </w:tr>
      <w:tr>
        <w:trPr>
          <w:trHeight w:val="90"/>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(十三)2</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商务条件见：</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一、本文件第四章《评标标准》中《评分细则》。</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二、本文件第三章《投标资料表》中(十二)1和(十二)2。</w:t>
            </w:r>
            <w:r>
              <w:rPr>
                <w:rFonts w:ascii="宋体" w:hAnsi="宋体" w:eastAsia="宋体" w:cs="宋体"/>
                <w:color w:val="000000"/>
                <w:sz w:val="24"/>
                <w:szCs w:val="24"/>
                <w:highlight w:val="none"/>
                <w:lang w:val="en-US" w:eastAsia="zh-CN" w:bidi="ar-SA"/>
              </w:rPr>
            </w:r>
            <w:r/>
          </w:p>
        </w:tc>
      </w:tr>
      <w:tr>
        <w:trPr>
          <w:trHeight w:val="669"/>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(十三)3</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交货和提供服务的时间：见本文件第五章 《拟签订的合同文本》及或本文件第六章《采购需求》。</w:t>
            </w:r>
            <w:r>
              <w:rPr>
                <w:rFonts w:ascii="宋体" w:hAnsi="宋体" w:eastAsia="宋体" w:cs="宋体"/>
                <w:color w:val="000000"/>
                <w:sz w:val="24"/>
                <w:szCs w:val="24"/>
                <w:highlight w:val="none"/>
                <w:lang w:val="en-US" w:eastAsia="zh-CN" w:bidi="ar-SA"/>
              </w:rPr>
            </w:r>
            <w:r/>
          </w:p>
        </w:tc>
      </w:tr>
      <w:tr>
        <w:trPr>
          <w:trHeight w:val="1325"/>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(十四)</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lef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本项目不接受超过人民币145.00万元（项目采购预算）的投标报价。</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投标报价包括产品价、税金、运费、安装调试、检验、保险、培训、售后服务、投标人的利润等全部费用，采购人不再支付报价以外的任何费用。</w:t>
            </w:r>
            <w:r>
              <w:rPr>
                <w:rFonts w:ascii="宋体" w:hAnsi="宋体" w:eastAsia="宋体" w:cs="宋体"/>
                <w:color w:val="000000"/>
                <w:sz w:val="24"/>
                <w:szCs w:val="24"/>
                <w:highlight w:val="none"/>
                <w:lang w:val="en-US" w:eastAsia="zh-CN" w:bidi="ar-SA"/>
              </w:rPr>
            </w:r>
            <w:r/>
          </w:p>
        </w:tc>
      </w:tr>
      <w:tr>
        <w:trPr>
          <w:trHeight w:val="347"/>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(十五)</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以人民币报价。</w:t>
            </w:r>
            <w:r>
              <w:rPr>
                <w:rFonts w:ascii="宋体" w:hAnsi="宋体" w:eastAsia="宋体" w:cs="宋体"/>
                <w:color w:val="000000"/>
                <w:sz w:val="24"/>
                <w:szCs w:val="24"/>
                <w:highlight w:val="none"/>
                <w:lang w:val="en-US" w:eastAsia="zh-CN" w:bidi="ar-SA"/>
              </w:rPr>
            </w:r>
            <w:r/>
          </w:p>
        </w:tc>
      </w:tr>
      <w:tr>
        <w:trPr>
          <w:trHeight w:val="90"/>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（十七）</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投标人须用政府采购客户端工具导入从“苏采云”系统下载的采购文件（后缀为</w:t>
            </w:r>
            <w:r>
              <w:rPr>
                <w:rFonts w:ascii="宋体" w:hAnsi="宋体" w:eastAsia="宋体" w:cs="宋体"/>
                <w:color w:val="000000"/>
                <w:sz w:val="24"/>
                <w:szCs w:val="24"/>
                <w:lang w:val="en-US" w:eastAsia="zh-CN" w:bidi="ar-SA"/>
              </w:rPr>
              <w:t xml:space="preserve">.kedt</w:t>
            </w:r>
            <w:r>
              <w:rPr>
                <w:rFonts w:hint="eastAsia" w:ascii="宋体" w:hAnsi="宋体" w:eastAsia="宋体" w:cs="宋体"/>
                <w:color w:val="000000"/>
                <w:sz w:val="24"/>
                <w:szCs w:val="24"/>
                <w:highlight w:val="none"/>
                <w:lang w:val="en-US" w:eastAsia="zh-CN" w:bidi="ar-SA"/>
              </w:rPr>
              <w:t xml:space="preserve">）。供应商操作手册及政府采购客户端工具可通过“苏采云”系统（网址：</w:t>
            </w:r>
            <w:r>
              <w:rPr>
                <w:color w:val="000000"/>
                <w:highlight w:val="none"/>
              </w:rPr>
              <w:fldChar w:fldCharType="begin"/>
            </w:r>
            <w:r>
              <w:rPr>
                <w:rFonts w:ascii="Times New Roman" w:hAnsi="Times New Roman" w:eastAsia="宋体" w:cs="Times New Roman"/>
                <w:color w:val="000000"/>
                <w:sz w:val="21"/>
                <w:szCs w:val="24"/>
                <w:highlight w:val="none"/>
                <w:lang w:val="en-US" w:eastAsia="zh-CN" w:bidi="ar-SA"/>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000000"/>
                <w:highlight w:val="none"/>
              </w:rPr>
              <w:fldChar w:fldCharType="separate"/>
            </w:r>
            <w:r>
              <w:rPr>
                <w:rStyle w:val="965"/>
                <w:rFonts w:hint="eastAsia" w:ascii="宋体" w:hAnsi="宋体" w:eastAsia="宋体" w:cs="宋体"/>
                <w:color w:val="000000"/>
                <w:sz w:val="24"/>
                <w:szCs w:val="24"/>
                <w:highlight w:val="none"/>
                <w:u w:val="none"/>
                <w:lang w:val="en-US" w:eastAsia="zh-CN" w:bidi="ar-SA"/>
              </w:rPr>
              <w:t xml:space="preserve">https://jszfcg.jsczt.cn/）--已报名项目--报名详情页面内相应链接进行下载；也可通过徐州政府采购网--业务工作--快速服务--下载专区，下载《江苏省政府采购管理交易系统（苏采云）供应商操作手册》及政府采购客户端工具。</w:t>
            </w:r>
            <w:r>
              <w:rPr>
                <w:rStyle w:val="965"/>
                <w:rFonts w:hint="eastAsia" w:ascii="宋体" w:hAnsi="宋体" w:cs="宋体"/>
                <w:color w:val="000000"/>
                <w:sz w:val="24"/>
                <w:highlight w:val="none"/>
              </w:rPr>
              <w:fldChar w:fldCharType="end"/>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投标人应当通过“苏采云”系统提交数据电文形式的投标文件（即电子投标）。</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特别说明：政府采购客户端工具需要导出加密的投标文件（后缀名为</w:t>
            </w:r>
            <w:r>
              <w:rPr>
                <w:rFonts w:hint="eastAsia" w:ascii="宋体" w:hAnsi="宋体" w:eastAsia="宋体" w:cs="宋体"/>
                <w:b/>
                <w:bCs/>
                <w:color w:val="000000"/>
                <w:sz w:val="24"/>
                <w:szCs w:val="24"/>
                <w:highlight w:val="none"/>
                <w:lang w:val="en-US" w:eastAsia="zh-CN" w:bidi="ar-SA"/>
              </w:rPr>
              <w:t xml:space="preserve">zip</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投标文件不得超过150MB</w:t>
            </w:r>
            <w:r>
              <w:rPr>
                <w:rFonts w:hint="eastAsia" w:ascii="宋体" w:hAnsi="宋体" w:eastAsia="宋体" w:cs="宋体"/>
                <w:color w:val="000000"/>
                <w:sz w:val="24"/>
                <w:szCs w:val="24"/>
                <w:highlight w:val="none"/>
                <w:lang w:val="en-US" w:eastAsia="zh-CN" w:bidi="ar-SA"/>
              </w:rPr>
              <w:t xml:space="preserve">名为</w:t>
            </w:r>
            <w:r>
              <w:rPr>
                <w:rFonts w:hint="eastAsia" w:ascii="宋体" w:hAnsi="宋体" w:eastAsia="宋体" w:cs="宋体"/>
                <w:b/>
                <w:bCs/>
                <w:color w:val="000000"/>
                <w:sz w:val="24"/>
                <w:szCs w:val="24"/>
                <w:highlight w:val="none"/>
                <w:lang w:val="en-US" w:eastAsia="zh-CN" w:bidi="ar-SA"/>
              </w:rPr>
              <w:t xml:space="preserve">“.kedt”</w:t>
            </w:r>
            <w:r>
              <w:rPr>
                <w:rFonts w:hint="eastAsia" w:ascii="宋体" w:hAnsi="宋体" w:eastAsia="宋体" w:cs="宋体"/>
                <w:color w:val="000000"/>
                <w:sz w:val="24"/>
                <w:szCs w:val="24"/>
                <w:highlight w:val="none"/>
                <w:lang w:val="en-US" w:eastAsia="zh-CN" w:bidi="ar-SA"/>
              </w:rPr>
              <w:t xml:space="preserve">）后，离线编制投标文件。采购文件（后缀名为</w:t>
            </w:r>
            <w:r>
              <w:rPr>
                <w:rFonts w:hint="eastAsia" w:ascii="宋体" w:hAnsi="宋体" w:eastAsia="宋体" w:cs="宋体"/>
                <w:b/>
                <w:bCs/>
                <w:color w:val="000000"/>
                <w:sz w:val="24"/>
                <w:szCs w:val="24"/>
                <w:highlight w:val="none"/>
                <w:lang w:val="en-US" w:eastAsia="zh-CN" w:bidi="ar-SA"/>
              </w:rPr>
              <w:t xml:space="preserve">“.kedt”）。</w:t>
            </w:r>
            <w:r>
              <w:rPr>
                <w:rFonts w:ascii="宋体" w:hAnsi="宋体" w:eastAsia="宋体" w:cs="宋体"/>
                <w:color w:val="000000"/>
                <w:sz w:val="24"/>
                <w:szCs w:val="24"/>
                <w:highlight w:val="none"/>
                <w:lang w:val="en-US" w:eastAsia="zh-CN" w:bidi="ar-SA"/>
              </w:rPr>
            </w:r>
            <w:r/>
          </w:p>
        </w:tc>
      </w:tr>
      <w:tr>
        <w:trPr>
          <w:trHeight w:val="90"/>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(十八)1</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ind w:firstLine="480"/>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见本文件第三章《投标资料表》中(十二)1和(十二)2</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(十九)</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投标文件的提交与接收：</w:t>
            </w: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1、投标文件提交与接收时间：2026年</w:t>
            </w:r>
            <w:r>
              <w:rPr>
                <w:rFonts w:hint="eastAsia" w:ascii="宋体" w:hAnsi="宋体" w:eastAsia="宋体" w:cs="宋体"/>
                <w:b/>
                <w:bCs/>
                <w:color w:val="000000"/>
                <w:sz w:val="24"/>
                <w:szCs w:val="24"/>
                <w:highlight w:val="none"/>
                <w:u w:val="single"/>
                <w:lang w:val="en-US" w:eastAsia="zh-CN" w:bidi="ar-SA"/>
              </w:rPr>
              <w:t xml:space="preserve"> 9 </w:t>
            </w:r>
            <w:r>
              <w:rPr>
                <w:rFonts w:hint="eastAsia" w:ascii="宋体" w:hAnsi="宋体" w:eastAsia="宋体" w:cs="宋体"/>
                <w:b/>
                <w:bCs/>
                <w:color w:val="000000"/>
                <w:sz w:val="24"/>
                <w:szCs w:val="24"/>
                <w:highlight w:val="none"/>
                <w:lang w:val="en-US" w:eastAsia="zh-CN" w:bidi="ar-SA"/>
              </w:rPr>
              <w:t xml:space="preserve">月</w:t>
            </w:r>
            <w:r>
              <w:rPr>
                <w:rFonts w:hint="eastAsia" w:ascii="宋体" w:hAnsi="宋体" w:eastAsia="宋体" w:cs="宋体"/>
                <w:b/>
                <w:bCs/>
                <w:color w:val="000000"/>
                <w:sz w:val="24"/>
                <w:szCs w:val="24"/>
                <w:highlight w:val="none"/>
                <w:u w:val="single"/>
                <w:lang w:val="en-US" w:eastAsia="zh-CN" w:bidi="ar-SA"/>
              </w:rPr>
              <w:t xml:space="preserve"> 23 </w:t>
            </w:r>
            <w:r>
              <w:rPr>
                <w:rFonts w:hint="eastAsia" w:ascii="宋体" w:hAnsi="宋体" w:eastAsia="宋体" w:cs="宋体"/>
                <w:b/>
                <w:bCs/>
                <w:color w:val="000000"/>
                <w:sz w:val="24"/>
                <w:szCs w:val="24"/>
                <w:highlight w:val="none"/>
                <w:lang w:val="en-US" w:eastAsia="zh-CN" w:bidi="ar-SA"/>
              </w:rPr>
              <w:t xml:space="preserve">日9：30（北京时间）前。</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2、投标文件提交与接收地点：</w:t>
            </w:r>
            <w:r>
              <w:rPr>
                <w:rFonts w:hint="eastAsia" w:ascii="宋体" w:hAnsi="宋体" w:eastAsia="宋体" w:cs="宋体"/>
                <w:color w:val="000000"/>
                <w:sz w:val="24"/>
                <w:szCs w:val="24"/>
                <w:highlight w:val="none"/>
                <w:lang w:val="en-US" w:eastAsia="zh-CN" w:bidi="ar-SA"/>
              </w:rPr>
              <w:t xml:space="preserve">投标人应当通过“苏采云”系统提交数据电文形式的投标文件（即电子投标），“苏采云”系统自动接收。</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vMerge w:val="restart"/>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（二十）</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电子投标文件应由其法定代表人或法定代表人授权代表在规定的网上投标时间内，</w:t>
            </w:r>
            <w:r>
              <w:rPr>
                <w:rFonts w:hint="eastAsia" w:ascii="宋体" w:hAnsi="宋体" w:eastAsia="宋体" w:cs="宋体"/>
                <w:b/>
                <w:color w:val="000000"/>
                <w:sz w:val="24"/>
                <w:szCs w:val="24"/>
                <w:highlight w:val="none"/>
                <w:lang w:val="en-US" w:eastAsia="zh-CN" w:bidi="ar-SA"/>
              </w:rPr>
              <w:t xml:space="preserve">凭 CA 证书登录“苏采云”系统在线编制投标文件（电子数据），并在投标截止时间前，上传投标文件，并于开标时凭CA锁进行解密。</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vMerge w:val="continue"/>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sz w:val="24"/>
                <w:szCs w:val="24"/>
                <w:highlight w:val="none"/>
                <w:lang w:val="en-US" w:eastAsia="zh-CN" w:bidi="ar-SA"/>
              </w:rPr>
              <w:t xml:space="preserve">开标时间后</w:t>
            </w:r>
            <w:r>
              <w:rPr>
                <w:rFonts w:hint="eastAsia" w:ascii="宋体" w:hAnsi="宋体" w:eastAsia="宋体" w:cs="宋体"/>
                <w:color w:val="000000"/>
                <w:sz w:val="24"/>
                <w:szCs w:val="24"/>
                <w:highlight w:val="none"/>
                <w:lang w:val="en-US" w:eastAsia="zh-CN" w:bidi="ar-SA"/>
              </w:rPr>
              <w:t xml:space="preserve">，通过“苏采云”系统（使用“CA数字证书”）解密。解密时限：进入解密环节后，</w:t>
            </w:r>
            <w:r>
              <w:rPr>
                <w:rFonts w:hint="eastAsia" w:ascii="宋体" w:hAnsi="宋体" w:eastAsia="宋体" w:cs="宋体"/>
                <w:b/>
                <w:bCs/>
                <w:color w:val="000000"/>
                <w:sz w:val="24"/>
                <w:szCs w:val="24"/>
                <w:highlight w:val="none"/>
                <w:lang w:val="en-US" w:eastAsia="zh-CN" w:bidi="ar-SA"/>
              </w:rPr>
              <w:t xml:space="preserve">30分钟内。</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“苏采云”系统生成开标记录并向社会公众公布，但依法应当保密的除外。</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vMerge w:val="continue"/>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“苏采云”系统生成开标记录并</w:t>
            </w:r>
            <w:r>
              <w:rPr>
                <w:rFonts w:hint="eastAsia" w:ascii="宋体" w:hAnsi="宋体" w:eastAsia="宋体" w:cs="宋体"/>
                <w:b/>
                <w:bCs/>
                <w:color w:val="000000"/>
                <w:sz w:val="24"/>
                <w:szCs w:val="24"/>
                <w:highlight w:val="none"/>
                <w:lang w:val="en-US" w:eastAsia="zh-CN" w:bidi="ar-SA"/>
              </w:rPr>
              <w:t xml:space="preserve">向社会公众公布后5分钟内</w:t>
            </w:r>
            <w:r>
              <w:rPr>
                <w:rFonts w:hint="eastAsia" w:ascii="宋体" w:hAnsi="宋体" w:eastAsia="宋体" w:cs="宋体"/>
                <w:color w:val="000000"/>
                <w:sz w:val="24"/>
                <w:szCs w:val="24"/>
                <w:highlight w:val="none"/>
                <w:lang w:val="en-US" w:eastAsia="zh-CN" w:bidi="ar-SA"/>
              </w:rPr>
              <w:t xml:space="preserve">，投标人通过“苏采云”系统（使用“CA数字证书”）</w:t>
            </w:r>
            <w:r>
              <w:rPr>
                <w:rFonts w:hint="eastAsia" w:ascii="宋体" w:hAnsi="宋体" w:eastAsia="宋体" w:cs="宋体"/>
                <w:b/>
                <w:bCs/>
                <w:color w:val="000000"/>
                <w:sz w:val="24"/>
                <w:szCs w:val="24"/>
                <w:highlight w:val="none"/>
                <w:lang w:val="en-US" w:eastAsia="zh-CN" w:bidi="ar-SA"/>
              </w:rPr>
              <w:t xml:space="preserve">确认开标过程</w:t>
            </w:r>
            <w:r>
              <w:rPr>
                <w:rFonts w:hint="eastAsia" w:ascii="宋体" w:hAnsi="宋体" w:eastAsia="宋体" w:cs="宋体"/>
                <w:color w:val="000000"/>
                <w:sz w:val="24"/>
                <w:szCs w:val="24"/>
                <w:highlight w:val="none"/>
                <w:lang w:val="en-US" w:eastAsia="zh-CN" w:bidi="ar-SA"/>
              </w:rPr>
              <w:t xml:space="preserve">。在以上时间内投标人没有确认的，视同该投标人认可开标结果。</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vMerge w:val="continue"/>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vMerge w:val="continue"/>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投标文件解密失败的补救方案：无。</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四</w:t>
            </w: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开标</w:t>
            </w:r>
            <w:r>
              <w:rPr>
                <w:rFonts w:ascii="宋体" w:hAnsi="宋体" w:eastAsia="宋体" w:cs="宋体"/>
                <w:b/>
                <w:bCs/>
                <w:color w:val="000000"/>
                <w:sz w:val="24"/>
                <w:szCs w:val="24"/>
                <w:highlight w:val="none"/>
                <w:lang w:val="en-US" w:eastAsia="zh-CN" w:bidi="ar-SA"/>
              </w:rPr>
            </w:r>
            <w:r/>
          </w:p>
        </w:tc>
      </w:tr>
      <w:tr>
        <w:trPr>
          <w:trHeight w:val="90"/>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(二十五)1</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center"/>
            <w:textDirection w:val="lrTb"/>
            <w:noWrap w:val="false"/>
          </w:tcPr>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开标时间及地点：</w:t>
            </w:r>
            <w:r>
              <w:rPr>
                <w:rFonts w:ascii="宋体" w:hAnsi="宋体" w:eastAsia="宋体" w:cs="宋体"/>
                <w:b/>
                <w:bCs/>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1、开标时间：</w:t>
            </w:r>
            <w:r>
              <w:rPr>
                <w:rFonts w:hint="eastAsia" w:ascii="宋体" w:hAnsi="宋体" w:eastAsia="宋体" w:cs="宋体"/>
                <w:b/>
                <w:color w:val="000000"/>
                <w:sz w:val="24"/>
                <w:szCs w:val="24"/>
                <w:highlight w:val="none"/>
                <w:lang w:val="en-US" w:eastAsia="zh-CN" w:bidi="ar-SA"/>
              </w:rPr>
              <w:t xml:space="preserve">2026年</w:t>
            </w:r>
            <w:r>
              <w:rPr>
                <w:rFonts w:hint="eastAsia" w:ascii="宋体" w:hAnsi="宋体" w:eastAsia="宋体" w:cs="宋体"/>
                <w:b/>
                <w:color w:val="000000"/>
                <w:sz w:val="24"/>
                <w:szCs w:val="24"/>
                <w:highlight w:val="none"/>
                <w:u w:val="single"/>
                <w:lang w:val="en-US" w:eastAsia="zh-CN" w:bidi="ar-SA"/>
              </w:rPr>
              <w:t xml:space="preserve"> 9 </w:t>
            </w:r>
            <w:r>
              <w:rPr>
                <w:rFonts w:hint="eastAsia" w:ascii="宋体" w:hAnsi="宋体" w:eastAsia="宋体" w:cs="宋体"/>
                <w:b/>
                <w:color w:val="000000"/>
                <w:sz w:val="24"/>
                <w:szCs w:val="24"/>
                <w:highlight w:val="none"/>
                <w:lang w:val="en-US" w:eastAsia="zh-CN" w:bidi="ar-SA"/>
              </w:rPr>
              <w:t xml:space="preserve">月</w:t>
            </w:r>
            <w:r>
              <w:rPr>
                <w:rFonts w:hint="eastAsia" w:ascii="宋体" w:hAnsi="宋体" w:eastAsia="宋体" w:cs="宋体"/>
                <w:b/>
                <w:color w:val="000000"/>
                <w:sz w:val="24"/>
                <w:szCs w:val="24"/>
                <w:highlight w:val="none"/>
                <w:u w:val="single"/>
                <w:lang w:val="en-US" w:eastAsia="zh-CN" w:bidi="ar-SA"/>
              </w:rPr>
              <w:t xml:space="preserve"> 23 </w:t>
            </w:r>
            <w:r>
              <w:rPr>
                <w:rFonts w:hint="eastAsia" w:ascii="宋体" w:hAnsi="宋体" w:eastAsia="宋体" w:cs="宋体"/>
                <w:b/>
                <w:color w:val="000000"/>
                <w:sz w:val="24"/>
                <w:szCs w:val="24"/>
                <w:highlight w:val="none"/>
                <w:lang w:val="en-US" w:eastAsia="zh-CN" w:bidi="ar-SA"/>
              </w:rPr>
              <w:t xml:space="preserve">日09：30（标准时间）</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2、开标地点：</w:t>
            </w:r>
            <w:r>
              <w:rPr>
                <w:rFonts w:hint="eastAsia" w:ascii="宋体" w:hAnsi="宋体" w:eastAsia="宋体" w:cs="宋体"/>
                <w:color w:val="000000"/>
                <w:sz w:val="24"/>
                <w:szCs w:val="24"/>
                <w:highlight w:val="none"/>
                <w:lang w:val="en-US" w:eastAsia="zh-CN" w:bidi="ar-SA"/>
              </w:rPr>
              <w:t xml:space="preserve">“苏采云”系统（网址： https://jszfcg.jsczt.cn/）“开标大厅”或进入徐州政府采购网（网址：https://czj.xz.gov.cn/zfcg/index.html）--办事指南--供应商--供应商登录入口，点击“苏采云”进入系统“开标大厅”。</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(二十五)1</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招标文件规定的需要宣布的内容：宣读投标人名称、投标价格。</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五</w:t>
            </w: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评标</w:t>
            </w:r>
            <w:r>
              <w:rPr>
                <w:rFonts w:ascii="宋体" w:hAnsi="宋体" w:eastAsia="宋体" w:cs="宋体"/>
                <w:b/>
                <w:bCs/>
                <w:color w:val="000000"/>
                <w:sz w:val="24"/>
                <w:szCs w:val="24"/>
                <w:highlight w:val="none"/>
                <w:lang w:val="en-US" w:eastAsia="zh-CN" w:bidi="ar-SA"/>
              </w:rPr>
            </w:r>
            <w:r/>
          </w:p>
        </w:tc>
      </w:tr>
      <w:tr>
        <w:trPr>
          <w:trHeight w:val="472"/>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(二十七)</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采用综合评分法。</w:t>
            </w:r>
            <w:r>
              <w:rPr>
                <w:rFonts w:ascii="宋体" w:hAnsi="宋体" w:eastAsia="宋体" w:cs="宋体"/>
                <w:color w:val="000000"/>
                <w:sz w:val="24"/>
                <w:szCs w:val="24"/>
                <w:highlight w:val="none"/>
                <w:lang w:val="en-US" w:eastAsia="zh-CN" w:bidi="ar-SA"/>
              </w:rPr>
            </w:r>
            <w:r/>
          </w:p>
        </w:tc>
      </w:tr>
      <w:tr>
        <w:trPr>
          <w:trHeight w:val="2280"/>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(二十八)</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一、推荐中标候选供应商名单。中标候选供应商数量应当根据采购需要确定，但必须按顺序排列中标候选供应商。</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二、采用综合评分法的，按评审后得分由高到低顺序排列。得分相同的，按投标报价由低到高顺序排列。得分且投标报价相同的，按项目实施方案得分顺序排列。</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三、采购人应当自收到评标报告之日起5个工作日内，在评标报告确定的中标候选人名单中按得分最高顺序确定一名中标人。</w:t>
            </w:r>
            <w:r>
              <w:rPr>
                <w:rFonts w:ascii="宋体" w:hAnsi="宋体" w:eastAsia="宋体" w:cs="宋体"/>
                <w:color w:val="000000"/>
                <w:sz w:val="24"/>
                <w:szCs w:val="24"/>
                <w:highlight w:val="none"/>
                <w:lang w:val="en-US" w:eastAsia="zh-CN" w:bidi="ar-SA"/>
              </w:rPr>
            </w:r>
            <w:r/>
          </w:p>
        </w:tc>
      </w:tr>
      <w:tr>
        <w:trPr>
          <w:trHeight w:val="3764"/>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（二十九）</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1.评标中需要投标人对投标文件澄清或者说明的，应当通过“苏采云”系统交换数据电文。在评标期间，请投标人保持在线。</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投标人的澄清、说明或者补正，应当采用通过“苏采云”系统提交，使用“CA数字证书”加盖电子签章。投标人没有在规定的回复时间内作出必要的澄清、说明或者补正，评标委员会将认为投标人拒绝作出必要的澄清、说明或者补正，并承担相应的后果和法律责任。</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color w:val="000000"/>
                <w:sz w:val="24"/>
                <w:szCs w:val="24"/>
                <w:highlight w:val="none"/>
                <w:lang w:val="en-US" w:eastAsia="zh-CN" w:bidi="ar-SA"/>
              </w:rPr>
            </w:r>
            <w:r/>
          </w:p>
        </w:tc>
      </w:tr>
      <w:tr>
        <w:trPr>
          <w:trHeight w:val="3455"/>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（三十）</w:t>
            </w: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Pr>
            <w:r/>
            <w:bookmarkStart w:id="0" w:name="OLE_LINK4"/>
            <w:r/>
            <w:bookmarkStart w:id="1" w:name="OLE_LINK7"/>
            <w:r>
              <w:rPr>
                <w:rFonts w:hint="eastAsia" w:ascii="宋体" w:hAnsi="宋体" w:eastAsia="宋体" w:cs="宋体"/>
                <w:color w:val="000000"/>
                <w:sz w:val="24"/>
                <w:szCs w:val="24"/>
                <w:highlight w:val="none"/>
                <w:lang w:val="en-US" w:eastAsia="zh-CN" w:bidi="ar-SA"/>
              </w:rPr>
              <w:t xml:space="preserve">启动异常低价投标（响应）审查后，评审委员会应当要求相关供应商在评标现场合理的时间内，通过“苏采云”系统提交，使用“CA数字证书”加盖电子签章，提供</w:t>
            </w:r>
            <w:r>
              <w:rPr>
                <w:rFonts w:hint="eastAsia" w:ascii="宋体" w:hAnsi="宋体" w:eastAsia="宋体" w:cs="宋体"/>
                <w:b/>
                <w:color w:val="000000"/>
                <w:sz w:val="24"/>
                <w:szCs w:val="24"/>
                <w:highlight w:val="none"/>
                <w:lang w:val="en-US" w:eastAsia="zh-CN" w:bidi="ar-SA"/>
              </w:rPr>
              <w:t xml:space="preserve">项目具体成本测算等与报价合理性相关的书面说明及相关证明材料</w:t>
            </w:r>
            <w:r>
              <w:rPr>
                <w:rFonts w:hint="eastAsia" w:ascii="宋体" w:hAnsi="宋体" w:eastAsia="宋体" w:cs="宋体"/>
                <w:color w:val="000000"/>
                <w:sz w:val="24"/>
                <w:szCs w:val="24"/>
                <w:highlight w:val="none"/>
                <w:lang w:val="en-US" w:eastAsia="zh-CN" w:bidi="ar-SA"/>
              </w:rPr>
              <w:t xml:space="preserve">，对投标（响应）价格作出解释，由评审委员会</w:t>
            </w:r>
            <w:r>
              <w:rPr>
                <w:rFonts w:hint="eastAsia" w:ascii="宋体" w:hAnsi="宋体" w:eastAsia="宋体" w:cs="宋体"/>
                <w:b/>
                <w:color w:val="000000"/>
                <w:sz w:val="24"/>
                <w:szCs w:val="24"/>
                <w:highlight w:val="none"/>
                <w:lang w:val="en-US" w:eastAsia="zh-CN" w:bidi="ar-SA"/>
              </w:rPr>
              <w:t xml:space="preserve">结合同类产品在主要电商平台的价格、该行业当地薪资水平等情况</w:t>
            </w:r>
            <w:r>
              <w:rPr>
                <w:rFonts w:hint="eastAsia" w:ascii="宋体" w:hAnsi="宋体" w:eastAsia="宋体" w:cs="宋体"/>
                <w:color w:val="000000"/>
                <w:sz w:val="24"/>
                <w:szCs w:val="24"/>
                <w:highlight w:val="none"/>
                <w:lang w:val="en-US" w:eastAsia="zh-CN" w:bidi="ar-SA"/>
              </w:rPr>
              <w:t xml:space="preserve">，依据专业经验对供应商报价合理性进行判断。投标（响应）供应商</w:t>
            </w:r>
            <w:r>
              <w:rPr>
                <w:rFonts w:hint="eastAsia" w:ascii="宋体" w:hAnsi="宋体" w:eastAsia="宋体" w:cs="宋体"/>
                <w:b/>
                <w:color w:val="000000"/>
                <w:sz w:val="24"/>
                <w:szCs w:val="24"/>
                <w:highlight w:val="none"/>
                <w:lang w:val="en-US" w:eastAsia="zh-CN" w:bidi="ar-SA"/>
              </w:rPr>
              <w:t xml:space="preserve">不提供书面说明、证明材料，或者提供的书面说明、证明材料不能证明其报价合理性的，评审委员会应当</w:t>
            </w:r>
            <w:r>
              <w:rPr>
                <w:rFonts w:ascii="宋体" w:hAnsi="宋体" w:eastAsia="宋体" w:cs="宋体"/>
                <w:b/>
                <w:color w:val="000000"/>
                <w:sz w:val="24"/>
                <w:szCs w:val="24"/>
                <w:highlight w:val="none"/>
                <w:lang w:val="en-US" w:eastAsia="zh-CN" w:bidi="ar-SA"/>
              </w:rPr>
              <w:t xml:space="preserve">将其作为无效投标（响应）处理</w:t>
            </w:r>
            <w:r>
              <w:rPr>
                <w:rFonts w:hint="eastAsia" w:ascii="宋体" w:hAnsi="宋体" w:eastAsia="宋体" w:cs="宋体"/>
                <w:b/>
                <w:color w:val="000000"/>
                <w:sz w:val="24"/>
                <w:szCs w:val="24"/>
                <w:highlight w:val="none"/>
                <w:lang w:val="en-US" w:eastAsia="zh-CN" w:bidi="ar-SA"/>
              </w:rPr>
              <w:t xml:space="preserve">。</w:t>
            </w:r>
            <w:bookmarkEnd w:id="0"/>
            <w:r/>
            <w:bookmarkEnd w:id="1"/>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bidi="ar-SA"/>
              </w:rPr>
              <w:t xml:space="preserve">特别说明：“苏采云”系统通过“江苏省政府采购一体化不见面开标大厅</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color w:val="000000"/>
                <w:sz w:val="24"/>
                <w:szCs w:val="24"/>
                <w:highlight w:val="none"/>
                <w:lang w:val="en-US" w:eastAsia="zh-CN" w:bidi="ar-SA"/>
              </w:rPr>
              <w:t xml:space="preserve">提醒投标人，投标人自行查看。投标人未及时查看或因自身原因导致未收到信息的，责任自负。</w:t>
            </w:r>
            <w:r>
              <w:rPr>
                <w:rFonts w:ascii="宋体" w:hAnsi="宋体" w:eastAsia="宋体" w:cs="宋体"/>
                <w:b/>
                <w:bCs/>
                <w:color w:val="000000"/>
                <w:sz w:val="24"/>
                <w:szCs w:val="24"/>
                <w:highlight w:val="none"/>
                <w:lang w:val="en-US" w:eastAsia="zh-CN" w:bidi="ar-SA"/>
              </w:rPr>
            </w:r>
            <w:r/>
          </w:p>
        </w:tc>
      </w:tr>
      <w:tr>
        <w:trPr>
          <w:trHeight w:val="378"/>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七</w:t>
            </w: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政府采购合同</w:t>
            </w:r>
            <w:r>
              <w:rPr>
                <w:rFonts w:ascii="宋体" w:hAnsi="宋体" w:eastAsia="宋体" w:cs="宋体"/>
                <w:b/>
                <w:bCs/>
                <w:color w:val="000000"/>
                <w:sz w:val="24"/>
                <w:szCs w:val="24"/>
                <w:highlight w:val="none"/>
                <w:lang w:val="en-US" w:eastAsia="zh-CN" w:bidi="ar-SA"/>
              </w:rPr>
            </w:r>
            <w:r/>
          </w:p>
        </w:tc>
      </w:tr>
      <w:tr>
        <w:trPr>
          <w:trHeight w:val="662"/>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(三十六)</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采购人与中标、中标人应当在中标、成交通知书发出之日起30日内，按照采购文件确定的事项签订政府采购合同。</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（三十八）</w:t>
            </w:r>
            <w:r>
              <w:rPr>
                <w:rFonts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7729" w:type="dxa"/>
            <w:vAlign w:val="center"/>
            <w:textDirection w:val="lrTb"/>
            <w:noWrap w:val="false"/>
          </w:tcPr>
          <w:p>
            <w:pPr>
              <w:pStyle w:val="832"/>
              <w:jc w:val="both"/>
              <w:widowControl w:val="off"/>
              <w:rPr>
                <w:rFonts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无</w:t>
            </w:r>
            <w:r>
              <w:rPr>
                <w:rFonts w:ascii="宋体" w:hAnsi="宋体" w:eastAsia="宋体" w:cs="宋体"/>
                <w:b/>
                <w:bCs/>
                <w:color w:val="000000"/>
                <w:sz w:val="24"/>
                <w:szCs w:val="24"/>
                <w:highlight w:val="none"/>
                <w:lang w:val="en-US" w:eastAsia="zh-CN" w:bidi="ar-SA"/>
              </w:rPr>
            </w:r>
            <w:r/>
          </w:p>
        </w:tc>
      </w:tr>
      <w:tr>
        <w:trPr>
          <w:trHeight w:val="2175"/>
        </w:trPr>
        <w:tc>
          <w:tcPr>
            <w:tcMar>
              <w:left w:w="108" w:type="dxa"/>
              <w:top w:w="0" w:type="dxa"/>
              <w:right w:w="108" w:type="dxa"/>
              <w:bottom w:w="0" w:type="dxa"/>
            </w:tcMar>
            <w:tcW w:w="1225"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(四十)</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对政府采购活动事项有疑问的，向采购代理机构提出询问；供应商认为采购文件、采购过程和中标、成交结果使自己的权益受到损害的，可以在知道或者应知其权益受到损害之日起7个工作日内，以书面形式向采购代理机构提出质疑。询问和质疑由采购代理机构依法处理。供应商对同一采购程序环节的质疑应在质疑期内一次性提出。</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质疑接收人：李文宇      联系电话：0516-83999505</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地址：徐州市泉山区金山东路北侧徐州软件园C-11号楼1011室</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vMerge w:val="restart"/>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附加说明</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采购人可要求中标人提供可编辑版</w:t>
            </w:r>
            <w:r>
              <w:rPr>
                <w:rFonts w:hint="eastAsia" w:ascii="宋体" w:hAnsi="宋体" w:eastAsia="宋体" w:cs="宋体"/>
                <w:color w:val="000000"/>
                <w:sz w:val="24"/>
                <w:szCs w:val="24"/>
                <w:highlight w:val="none"/>
                <w:lang w:val="en-US" w:eastAsia="zh-CN" w:bidi="ar-SA"/>
              </w:rPr>
              <w:t xml:space="preserve">《开标一览表》和《分项价格表》的数据文件，</w:t>
            </w:r>
            <w:r>
              <w:rPr>
                <w:rFonts w:ascii="宋体" w:hAnsi="宋体" w:eastAsia="宋体" w:cs="宋体"/>
                <w:color w:val="000000"/>
                <w:sz w:val="24"/>
                <w:szCs w:val="24"/>
                <w:lang w:val="en-US" w:eastAsia="zh-CN" w:bidi="ar-SA"/>
              </w:rPr>
              <w:t xml:space="preserve">供签订合同使用</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邮箱：jocxz02@jocite.com</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vMerge w:val="continue"/>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1.评标中需要投标人对投标文件澄清或者说明的，应当通过“苏采云”系统交换数据电文。在评标期间，请投标人保持在线。</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1225" w:type="dxa"/>
            <w:vAlign w:val="top"/>
            <w:vMerge w:val="continue"/>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729"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4.招标文件中如需“授权代表签字或盖章”，供应商可打印成文档。签字或盖章后再扫描上传，最后再电子签章。</w:t>
            </w:r>
            <w:r>
              <w:rPr>
                <w:rFonts w:ascii="宋体" w:hAnsi="宋体" w:eastAsia="宋体" w:cs="宋体"/>
                <w:color w:val="000000"/>
                <w:sz w:val="24"/>
                <w:szCs w:val="24"/>
                <w:highlight w:val="none"/>
                <w:lang w:val="en-US" w:eastAsia="zh-CN" w:bidi="ar-SA"/>
              </w:rPr>
            </w:r>
            <w:r/>
          </w:p>
        </w:tc>
      </w:tr>
    </w:tbl>
    <w:p>
      <w:pPr>
        <w:pStyle w:val="832"/>
        <w:ind w:firstLine="600"/>
        <w:spacing w:line="23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832"/>
        <w:ind w:firstLine="60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24"/>
          <w:highlight w:val="none"/>
        </w:rPr>
      </w:r>
      <w:r/>
    </w:p>
    <w:p>
      <w:pPr>
        <w:pStyle w:val="832"/>
        <w:ind w:firstLine="60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本章附件：招标代理服务收费标准</w:t>
      </w:r>
      <w:r>
        <w:rPr>
          <w:rFonts w:ascii="宋体" w:hAnsi="宋体" w:cs="宋体"/>
          <w:b/>
          <w:bCs/>
          <w:color w:val="000000"/>
          <w:sz w:val="24"/>
          <w:highlight w:val="none"/>
        </w:rPr>
      </w:r>
      <w:r/>
    </w:p>
    <w:tbl>
      <w:tblPr>
        <w:tblW w:w="500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中标或者成交金额</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费率</w:t>
            </w:r>
            <w:r>
              <w:rPr>
                <w:rFonts w:ascii="宋体" w:hAnsi="宋体" w:eastAsia="宋体" w:cs="宋体"/>
                <w:color w:val="000000"/>
                <w:sz w:val="24"/>
                <w:szCs w:val="24"/>
                <w:highlight w:val="none"/>
                <w:lang w:val="en-US" w:eastAsia="zh-CN" w:bidi="ar-SA"/>
              </w:rPr>
            </w:r>
            <w:r/>
          </w:p>
        </w:tc>
      </w:tr>
      <w:tr>
        <w:trPr>
          <w:trHeight w:val="544"/>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最低收费金额(每个委托项目)</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5000元</w:t>
            </w:r>
            <w:r>
              <w:rPr>
                <w:rFonts w:ascii="宋体" w:hAnsi="宋体" w:eastAsia="宋体" w:cs="宋体"/>
                <w:color w:val="000000"/>
                <w:sz w:val="24"/>
                <w:szCs w:val="24"/>
                <w:highlight w:val="none"/>
                <w:lang w:val="en-US" w:eastAsia="zh-CN" w:bidi="ar-SA"/>
              </w:rPr>
            </w:r>
            <w:r/>
          </w:p>
        </w:tc>
      </w:tr>
      <w:tr>
        <w:trPr>
          <w:trHeight w:val="544"/>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50万元以下(含50万元)</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1.6%</w:t>
            </w:r>
            <w:r>
              <w:rPr>
                <w:rFonts w:ascii="宋体" w:hAnsi="宋体" w:eastAsia="宋体" w:cs="宋体"/>
                <w:color w:val="000000"/>
                <w:sz w:val="24"/>
                <w:szCs w:val="24"/>
                <w:highlight w:val="none"/>
                <w:lang w:val="en-US" w:eastAsia="zh-CN" w:bidi="ar-SA"/>
              </w:rPr>
            </w:r>
            <w:r/>
          </w:p>
        </w:tc>
      </w:tr>
      <w:tr>
        <w:trPr>
          <w:trHeight w:val="544"/>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50-400万元(含400万元)</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1.5%</w:t>
            </w:r>
            <w:r>
              <w:rPr>
                <w:rFonts w:ascii="宋体" w:hAnsi="宋体" w:eastAsia="宋体" w:cs="宋体"/>
                <w:color w:val="000000"/>
                <w:sz w:val="24"/>
                <w:szCs w:val="24"/>
                <w:highlight w:val="none"/>
                <w:lang w:val="en-US" w:eastAsia="zh-CN" w:bidi="ar-SA"/>
              </w:rPr>
            </w:r>
            <w:r/>
          </w:p>
        </w:tc>
      </w:tr>
      <w:tr>
        <w:trPr>
          <w:trHeight w:val="544"/>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400-1000万元(含1000万元)</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1.1%</w:t>
            </w:r>
            <w:r>
              <w:rPr>
                <w:rFonts w:ascii="宋体" w:hAnsi="宋体" w:eastAsia="宋体" w:cs="宋体"/>
                <w:color w:val="000000"/>
                <w:sz w:val="24"/>
                <w:szCs w:val="24"/>
                <w:highlight w:val="none"/>
                <w:lang w:val="en-US" w:eastAsia="zh-CN" w:bidi="ar-SA"/>
              </w:rPr>
            </w:r>
            <w:r/>
          </w:p>
        </w:tc>
      </w:tr>
      <w:tr>
        <w:trPr>
          <w:trHeight w:val="544"/>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1000-5000万元(含5000万元)</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0.8%</w:t>
            </w:r>
            <w:r>
              <w:rPr>
                <w:rFonts w:ascii="宋体" w:hAnsi="宋体" w:eastAsia="宋体" w:cs="宋体"/>
                <w:color w:val="000000"/>
                <w:sz w:val="24"/>
                <w:szCs w:val="24"/>
                <w:highlight w:val="none"/>
                <w:lang w:val="en-US" w:eastAsia="zh-CN" w:bidi="ar-SA"/>
              </w:rPr>
            </w:r>
            <w:r/>
          </w:p>
        </w:tc>
      </w:tr>
      <w:tr>
        <w:trPr>
          <w:trHeight w:val="544"/>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5000-1亿元(含1亿元)</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0.25%</w:t>
            </w:r>
            <w:r>
              <w:rPr>
                <w:rFonts w:ascii="宋体" w:hAnsi="宋体" w:eastAsia="宋体" w:cs="宋体"/>
                <w:color w:val="000000"/>
                <w:sz w:val="24"/>
                <w:szCs w:val="24"/>
                <w:highlight w:val="none"/>
                <w:lang w:val="en-US" w:eastAsia="zh-CN" w:bidi="ar-SA"/>
              </w:rPr>
            </w:r>
            <w:r/>
          </w:p>
        </w:tc>
      </w:tr>
      <w:tr>
        <w:trPr>
          <w:trHeight w:val="544"/>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1-10亿元(含10亿元)</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0.05%</w:t>
            </w:r>
            <w:r>
              <w:rPr>
                <w:rFonts w:ascii="宋体" w:hAnsi="宋体" w:eastAsia="宋体" w:cs="宋体"/>
                <w:color w:val="000000"/>
                <w:sz w:val="24"/>
                <w:szCs w:val="24"/>
                <w:highlight w:val="none"/>
                <w:lang w:val="en-US" w:eastAsia="zh-CN" w:bidi="ar-SA"/>
              </w:rPr>
            </w:r>
            <w:r/>
          </w:p>
        </w:tc>
      </w:tr>
      <w:tr>
        <w:trPr>
          <w:trHeight w:val="505"/>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10-50亿元(含50亿元)</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0.01%</w:t>
            </w:r>
            <w:r>
              <w:rPr>
                <w:rFonts w:ascii="宋体" w:hAnsi="宋体" w:eastAsia="宋体" w:cs="宋体"/>
                <w:color w:val="000000"/>
                <w:sz w:val="24"/>
                <w:szCs w:val="24"/>
                <w:highlight w:val="none"/>
                <w:lang w:val="en-US" w:eastAsia="zh-CN" w:bidi="ar-SA"/>
              </w:rPr>
            </w:r>
            <w:r/>
          </w:p>
        </w:tc>
      </w:tr>
      <w:tr>
        <w:trPr>
          <w:trHeight w:val="514"/>
        </w:trPr>
        <w:tc>
          <w:tcPr>
            <w:tcMar>
              <w:left w:w="108" w:type="dxa"/>
              <w:top w:w="0" w:type="dxa"/>
              <w:right w:w="108" w:type="dxa"/>
              <w:bottom w:w="0" w:type="dxa"/>
            </w:tcMar>
            <w:tcW w:w="306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50亿元以上</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93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0.005%</w:t>
            </w:r>
            <w:r>
              <w:rPr>
                <w:rFonts w:ascii="宋体" w:hAnsi="宋体" w:eastAsia="宋体" w:cs="宋体"/>
                <w:color w:val="000000"/>
                <w:sz w:val="24"/>
                <w:szCs w:val="24"/>
                <w:highlight w:val="none"/>
                <w:lang w:val="en-US" w:eastAsia="zh-CN" w:bidi="ar-SA"/>
              </w:rPr>
            </w:r>
            <w:r/>
          </w:p>
        </w:tc>
      </w:tr>
    </w:tbl>
    <w:p>
      <w:pPr>
        <w:pStyle w:val="832"/>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ascii="宋体" w:hAnsi="宋体" w:cs="宋体"/>
          <w:color w:val="000000"/>
          <w:sz w:val="24"/>
          <w:highlight w:val="none"/>
        </w:rPr>
      </w:r>
      <w:r/>
    </w:p>
    <w:p>
      <w:pPr>
        <w:pStyle w:val="832"/>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ascii="宋体" w:hAnsi="宋体" w:cs="宋体"/>
          <w:color w:val="000000"/>
          <w:sz w:val="24"/>
          <w:highlight w:val="none"/>
        </w:rPr>
      </w:r>
      <w:r/>
    </w:p>
    <w:p>
      <w:pPr>
        <w:pStyle w:val="832"/>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rPr>
          <w:rFonts w:ascii="宋体" w:hAnsi="宋体" w:cs="宋体"/>
          <w:color w:val="000000"/>
          <w:sz w:val="24"/>
          <w:highlight w:val="none"/>
        </w:rPr>
      </w:r>
      <w:r/>
    </w:p>
    <w:p>
      <w:pPr>
        <w:pStyle w:val="832"/>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ascii="宋体" w:hAnsi="宋体" w:cs="宋体"/>
          <w:color w:val="000000"/>
          <w:sz w:val="24"/>
          <w:highlight w:val="none"/>
        </w:rPr>
      </w:r>
      <w:r/>
    </w:p>
    <w:p>
      <w:pPr>
        <w:pStyle w:val="832"/>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4、代理服务费应收取金额=代理服务费基准金额（按差额定率累进法计算的）的合计数*80%。</w:t>
      </w:r>
      <w:r>
        <w:rPr>
          <w:rFonts w:ascii="宋体" w:hAnsi="宋体" w:cs="宋体"/>
          <w:color w:val="000000"/>
          <w:sz w:val="24"/>
          <w:highlight w:val="none"/>
        </w:rPr>
      </w:r>
      <w:r/>
    </w:p>
    <w:p>
      <w:pPr>
        <w:pStyle w:val="832"/>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rPr>
          <w:rFonts w:ascii="宋体" w:hAnsi="宋体" w:cs="宋体"/>
          <w:color w:val="000000"/>
          <w:sz w:val="24"/>
          <w:highlight w:val="none"/>
        </w:rPr>
      </w:r>
      <w:r/>
    </w:p>
    <w:p>
      <w:pPr>
        <w:pStyle w:val="832"/>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6、有分包（分标段）项目按采购包收费。</w:t>
      </w:r>
      <w:r>
        <w:rPr>
          <w:rFonts w:ascii="宋体" w:hAnsi="宋体" w:cs="宋体"/>
          <w:color w:val="000000"/>
          <w:sz w:val="24"/>
          <w:highlight w:val="none"/>
        </w:rPr>
      </w:r>
      <w:r/>
    </w:p>
    <w:p>
      <w:pPr>
        <w:pStyle w:val="832"/>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7、上该表为自行约定的代理服务费标准。</w:t>
      </w:r>
      <w:r>
        <w:rPr>
          <w:rFonts w:ascii="宋体" w:hAnsi="宋体" w:cs="宋体"/>
          <w:color w:val="000000"/>
          <w:sz w:val="24"/>
          <w:highlight w:val="none"/>
        </w:rPr>
      </w:r>
      <w:r/>
    </w:p>
    <w:p>
      <w:pPr>
        <w:pStyle w:val="832"/>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8、本项目代理服务费由采购人支付。</w:t>
      </w:r>
      <w:r>
        <w:rPr>
          <w:rFonts w:ascii="宋体" w:hAnsi="宋体" w:cs="宋体"/>
          <w:bCs/>
          <w:color w:val="000000"/>
          <w:sz w:val="24"/>
          <w:highlight w:val="none"/>
        </w:rPr>
      </w:r>
      <w:r/>
    </w:p>
    <w:p>
      <w:pPr>
        <w:pStyle w:val="832"/>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9、账户信息：</w:t>
      </w:r>
      <w:r>
        <w:rPr>
          <w:rFonts w:ascii="宋体" w:hAnsi="宋体" w:cs="宋体"/>
          <w:bCs/>
          <w:color w:val="000000"/>
          <w:sz w:val="24"/>
          <w:highlight w:val="none"/>
        </w:rPr>
      </w:r>
      <w:r/>
    </w:p>
    <w:p>
      <w:pPr>
        <w:pStyle w:val="832"/>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账户名：江苏海外集团国际工程咨询有限公司徐州分公司</w:t>
      </w:r>
      <w:r>
        <w:rPr>
          <w:rFonts w:ascii="宋体" w:hAnsi="宋体" w:cs="宋体"/>
          <w:bCs/>
          <w:color w:val="000000"/>
          <w:sz w:val="24"/>
          <w:highlight w:val="none"/>
        </w:rPr>
      </w:r>
      <w:r/>
    </w:p>
    <w:p>
      <w:pPr>
        <w:pStyle w:val="832"/>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开户银行：上海浦东发展银行股份有限公司徐州分行</w:t>
      </w:r>
      <w:r>
        <w:rPr>
          <w:rFonts w:ascii="宋体" w:hAnsi="宋体" w:cs="宋体"/>
          <w:bCs/>
          <w:color w:val="000000"/>
          <w:sz w:val="24"/>
          <w:highlight w:val="none"/>
        </w:rPr>
      </w:r>
      <w:r/>
    </w:p>
    <w:p>
      <w:pPr>
        <w:pStyle w:val="832"/>
        <w:spacing w:line="440" w:lineRule="exact"/>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账号：11110154740005866</w:t>
      </w:r>
      <w:r>
        <w:rPr>
          <w:rFonts w:ascii="宋体" w:hAnsi="宋体" w:cs="宋体"/>
          <w:bCs/>
          <w:color w:val="000000"/>
          <w:sz w:val="24"/>
          <w:highlight w:val="none"/>
        </w:rPr>
      </w:r>
      <w:r/>
    </w:p>
    <w:p>
      <w:pPr>
        <w:pStyle w:val="832"/>
        <w:spacing w:line="400" w:lineRule="exact"/>
        <w:rPr>
          <w:rFonts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28"/>
          <w:szCs w:val="28"/>
          <w:highlight w:val="none"/>
        </w:rPr>
      </w:r>
      <w:r/>
    </w:p>
    <w:p>
      <w:pPr>
        <w:pStyle w:val="832"/>
        <w:numPr>
          <w:ilvl w:val="0"/>
          <w:numId w:val="2"/>
        </w:numPr>
        <w:jc w:val="center"/>
        <w:spacing w:line="360" w:lineRule="auto"/>
        <w:rPr>
          <w:rFonts w:ascii="宋体" w:hAnsi="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highlight w:val="none"/>
        </w:rPr>
        <w:t xml:space="preserve">评标标准</w:t>
      </w:r>
      <w:r>
        <w:rPr>
          <w:rFonts w:ascii="宋体" w:hAnsi="宋体" w:cs="宋体"/>
          <w:b/>
          <w:color w:val="000000"/>
          <w:sz w:val="32"/>
          <w:szCs w:val="32"/>
          <w:highlight w:val="none"/>
        </w:rPr>
      </w:r>
      <w:r/>
    </w:p>
    <w:tbl>
      <w:tblPr>
        <w:tblW w:w="87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474"/>
      </w:tblGrid>
      <w:tr>
        <w:trPr>
          <w:trHeight w:val="247"/>
        </w:trPr>
        <w:tc>
          <w:tcPr>
            <w:tcW w:w="1304"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评分内容</w:t>
            </w:r>
            <w:r>
              <w:rPr>
                <w:rFonts w:ascii="宋体" w:hAnsi="宋体" w:eastAsia="宋体" w:cs="宋体"/>
                <w:b/>
                <w:bCs/>
                <w:color w:val="000000"/>
                <w:sz w:val="24"/>
                <w:szCs w:val="24"/>
                <w:highlight w:val="none"/>
                <w:lang w:val="en-US" w:eastAsia="zh-CN" w:bidi="ar-SA"/>
              </w:rPr>
            </w:r>
            <w:r/>
          </w:p>
        </w:tc>
        <w:tc>
          <w:tcPr>
            <w:tcW w:w="7474"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评分标准</w:t>
            </w:r>
            <w:r>
              <w:rPr>
                <w:rFonts w:ascii="宋体" w:hAnsi="宋体" w:eastAsia="宋体" w:cs="宋体"/>
                <w:b/>
                <w:bCs/>
                <w:color w:val="000000"/>
                <w:sz w:val="24"/>
                <w:szCs w:val="24"/>
                <w:highlight w:val="none"/>
                <w:lang w:val="en-US" w:eastAsia="zh-CN" w:bidi="ar-SA"/>
              </w:rPr>
            </w:r>
            <w:r/>
          </w:p>
        </w:tc>
      </w:tr>
      <w:tr>
        <w:trPr>
          <w:trHeight w:val="3632"/>
        </w:trPr>
        <w:tc>
          <w:tcPr>
            <w:tcW w:w="130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投标报价（30分）</w:t>
            </w:r>
            <w:r>
              <w:rPr>
                <w:rFonts w:ascii="宋体" w:hAnsi="宋体" w:eastAsia="宋体" w:cs="宋体"/>
                <w:color w:val="000000"/>
                <w:sz w:val="24"/>
                <w:szCs w:val="24"/>
                <w:highlight w:val="none"/>
                <w:lang w:val="en-US" w:eastAsia="zh-CN" w:bidi="ar-SA"/>
              </w:rPr>
            </w:r>
            <w:r/>
          </w:p>
        </w:tc>
        <w:tc>
          <w:tcPr>
            <w:tcW w:w="7474"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各投标人价格得分=最低报价（投标人的最低评审价格）÷各投标人评审价格×30</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注：1、政府采购活动中既有本国产品又有非本国产品参与竞争的，依法对本国产品给予价格评审优惠，对本国产品的报价给予20%的价格扣除，用扣除后的价格参与评审。</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该投标人的评审价格=《开标一览表》中的“总价”*（100%-20%）</w:t>
            </w:r>
            <w:r>
              <w:rPr>
                <w:rFonts w:ascii="宋体" w:hAnsi="宋体" w:eastAsia="宋体" w:cs="宋体"/>
                <w:color w:val="000000"/>
                <w:sz w:val="24"/>
                <w:szCs w:val="24"/>
                <w:highlight w:val="none"/>
                <w:lang w:val="en-US" w:eastAsia="zh-CN" w:bidi="ar-SA"/>
              </w:rPr>
            </w:r>
            <w:r/>
          </w:p>
        </w:tc>
      </w:tr>
      <w:tr>
        <w:trPr>
          <w:trHeight w:val="945"/>
        </w:trPr>
        <w:tc>
          <w:tcPr>
            <w:tcW w:w="130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类似业绩（4分）</w:t>
            </w:r>
            <w:r>
              <w:rPr>
                <w:rFonts w:ascii="宋体" w:hAnsi="宋体" w:eastAsia="宋体" w:cs="宋体"/>
                <w:color w:val="000000"/>
                <w:sz w:val="24"/>
                <w:szCs w:val="24"/>
                <w:highlight w:val="none"/>
                <w:lang w:val="en-US" w:eastAsia="zh-CN" w:bidi="ar-SA"/>
              </w:rPr>
            </w:r>
            <w:r/>
          </w:p>
        </w:tc>
        <w:tc>
          <w:tcPr>
            <w:tcW w:w="7474"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投标人自2023年1月1日（含）至今承担过类似项目的业绩，并通过了采购人或者主管部门验收的，每提供一份业绩得2分，最多得4分。</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注：须同时提供合同扫描件、中标（成交）通知书扫描件、</w:t>
            </w:r>
            <w:r>
              <w:rPr>
                <w:rFonts w:ascii="宋体" w:hAnsi="宋体" w:eastAsia="宋体" w:cs="宋体"/>
                <w:color w:val="000000"/>
                <w:sz w:val="24"/>
                <w:szCs w:val="24"/>
                <w:highlight w:val="none"/>
                <w:lang w:val="en-US" w:eastAsia="zh-CN" w:bidi="ar-SA"/>
              </w:rPr>
              <w:t xml:space="preserve">采购人或主管部门出具的</w:t>
            </w:r>
            <w:r>
              <w:rPr>
                <w:rFonts w:hint="eastAsia" w:ascii="宋体" w:hAnsi="宋体" w:eastAsia="宋体" w:cs="宋体"/>
                <w:color w:val="000000"/>
                <w:sz w:val="24"/>
                <w:szCs w:val="24"/>
                <w:highlight w:val="none"/>
                <w:lang w:val="en-US" w:eastAsia="zh-CN" w:bidi="ar-SA"/>
              </w:rPr>
              <w:t xml:space="preserve">验收证明。所有材料须加盖公章，否则不得分。</w:t>
            </w:r>
            <w:r>
              <w:rPr>
                <w:rFonts w:ascii="宋体" w:hAnsi="宋体" w:eastAsia="宋体" w:cs="宋体"/>
                <w:color w:val="000000"/>
                <w:sz w:val="24"/>
                <w:szCs w:val="24"/>
                <w:highlight w:val="none"/>
                <w:lang w:val="en-US" w:eastAsia="zh-CN" w:bidi="ar-SA"/>
              </w:rPr>
            </w:r>
            <w:r/>
          </w:p>
        </w:tc>
      </w:tr>
      <w:tr>
        <w:trPr>
          <w:trHeight w:val="1710"/>
        </w:trPr>
        <w:tc>
          <w:tcPr>
            <w:tcW w:w="130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拟投入人员（8分）</w:t>
            </w:r>
            <w:r>
              <w:rPr>
                <w:rFonts w:ascii="宋体" w:hAnsi="宋体" w:eastAsia="宋体" w:cs="宋体"/>
                <w:color w:val="000000"/>
                <w:sz w:val="24"/>
                <w:szCs w:val="24"/>
                <w:highlight w:val="none"/>
                <w:lang w:val="en-US" w:eastAsia="zh-CN" w:bidi="ar-SA"/>
              </w:rPr>
            </w:r>
            <w:r/>
          </w:p>
        </w:tc>
        <w:tc>
          <w:tcPr>
            <w:tcW w:w="7474"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拟投入本项目的团队人员：</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（1）具有文物博物专业中级或以上职称证书，每有一人得2分，最多得4分；</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（2）具有安全防范工程师、物联网技术工程师证书的，每提供一种证书得2分，最多得4分；</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注:1）须提供人员相应证书和投标人为其缴纳的投标截止日期前3个月内任意1个月社保证明材料。2）资料不齐全或未提供不得分。3）同一人员不同证书不重复得分。</w:t>
            </w:r>
            <w:r>
              <w:rPr>
                <w:rFonts w:ascii="宋体" w:hAnsi="宋体" w:eastAsia="宋体" w:cs="宋体"/>
                <w:color w:val="000000"/>
                <w:sz w:val="24"/>
                <w:szCs w:val="24"/>
                <w:highlight w:val="none"/>
                <w:lang w:val="en-US" w:eastAsia="zh-CN" w:bidi="ar-SA"/>
              </w:rPr>
            </w:r>
            <w:r/>
          </w:p>
        </w:tc>
      </w:tr>
      <w:tr>
        <w:trPr>
          <w:trHeight w:val="1710"/>
        </w:trPr>
        <w:tc>
          <w:tcPr>
            <w:tcW w:w="130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技术参数（31分）</w:t>
            </w:r>
            <w:r>
              <w:rPr>
                <w:rFonts w:ascii="宋体" w:hAnsi="宋体" w:eastAsia="宋体" w:cs="宋体"/>
                <w:color w:val="000000"/>
                <w:sz w:val="24"/>
                <w:szCs w:val="24"/>
                <w:highlight w:val="none"/>
                <w:lang w:val="en-US" w:eastAsia="zh-CN" w:bidi="ar-SA"/>
              </w:rPr>
            </w:r>
            <w:r/>
          </w:p>
        </w:tc>
        <w:tc>
          <w:tcPr>
            <w:tcW w:w="7474"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完全符合招标文件要求没有负偏离得31分；与招标文件要求有负偏离的，按以下原则扣分，但不构成废标。</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（1）标（▲）项技术参数每有一项负偏离扣3分，共8项，总扣分不超过24分；</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（2）其他技术参数每有一项负偏离扣0.06分，总扣分不超过7分。</w:t>
            </w:r>
            <w:r>
              <w:rPr>
                <w:rFonts w:ascii="宋体" w:hAnsi="宋体" w:eastAsia="宋体" w:cs="宋体"/>
                <w:color w:val="000000"/>
                <w:sz w:val="24"/>
                <w:szCs w:val="24"/>
                <w:highlight w:val="none"/>
                <w:lang w:val="en-US" w:eastAsia="zh-CN" w:bidi="ar-SA"/>
              </w:rPr>
            </w:r>
            <w:r/>
          </w:p>
        </w:tc>
      </w:tr>
      <w:tr>
        <w:trPr>
          <w:trHeight w:val="2116"/>
        </w:trPr>
        <w:tc>
          <w:tcPr>
            <w:tcW w:w="130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实施方案（10分）</w:t>
            </w:r>
            <w:r>
              <w:rPr>
                <w:rFonts w:ascii="宋体" w:hAnsi="宋体" w:eastAsia="宋体" w:cs="宋体"/>
                <w:color w:val="000000"/>
                <w:sz w:val="24"/>
                <w:szCs w:val="24"/>
                <w:highlight w:val="none"/>
                <w:lang w:val="en-US" w:eastAsia="zh-CN" w:bidi="ar-SA"/>
              </w:rPr>
            </w:r>
            <w:r/>
          </w:p>
        </w:tc>
        <w:tc>
          <w:tcPr>
            <w:tcW w:w="7474"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根据投标人针对本项目制定的实施方案进行评分，方案内容包括但不仅限于：①项目进度计划；②项目团队；③供货方案；④质量保障方案；⑤安装调试方案等。</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所提供方案内容完整详细、涵盖上述情形的得10分，每缺少一项内容扣2分，每项中每有一处存在内容缺陷的扣1分，扣完为止。</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rPr>
                <w:rFonts w:ascii="宋体" w:hAnsi="宋体" w:eastAsia="宋体" w:cs="宋体"/>
                <w:color w:val="000000"/>
                <w:sz w:val="24"/>
                <w:szCs w:val="24"/>
                <w:highlight w:val="none"/>
                <w:lang w:val="en-US" w:eastAsia="zh-CN" w:bidi="ar-SA"/>
              </w:rPr>
            </w:r>
            <w:r/>
          </w:p>
        </w:tc>
      </w:tr>
      <w:tr>
        <w:trPr>
          <w:trHeight w:val="2116"/>
        </w:trPr>
        <w:tc>
          <w:tcPr>
            <w:tcW w:w="130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技术方案（8分）</w:t>
            </w:r>
            <w:r>
              <w:rPr>
                <w:rFonts w:ascii="宋体" w:hAnsi="宋体" w:eastAsia="宋体" w:cs="宋体"/>
                <w:color w:val="000000"/>
                <w:sz w:val="24"/>
                <w:szCs w:val="24"/>
                <w:highlight w:val="none"/>
                <w:lang w:val="en-US" w:eastAsia="zh-CN" w:bidi="ar-SA"/>
              </w:rPr>
            </w:r>
            <w:r/>
          </w:p>
        </w:tc>
        <w:tc>
          <w:tcPr>
            <w:tcW w:w="7474"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根据投标人针对本项目制定的技术方案进行评分，方案内容包括但不限于：①项目需求分析；②产品技术路线；③产品生产工艺；④产品结构图及效果图等。</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所提供方案内容完整详细、涵盖上述情形的得8分，每缺少一项内容扣2分，每项中每有一处存在内容缺陷的扣1分，扣完为止。</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rPr>
                <w:rFonts w:ascii="宋体" w:hAnsi="宋体" w:eastAsia="宋体" w:cs="宋体"/>
                <w:color w:val="000000"/>
                <w:sz w:val="24"/>
                <w:szCs w:val="24"/>
                <w:highlight w:val="none"/>
                <w:lang w:val="en-US" w:eastAsia="zh-CN" w:bidi="ar-SA"/>
              </w:rPr>
            </w:r>
            <w:r/>
          </w:p>
        </w:tc>
      </w:tr>
      <w:tr>
        <w:trPr>
          <w:trHeight w:val="710"/>
        </w:trPr>
        <w:tc>
          <w:tcPr>
            <w:tcW w:w="130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培训方案（3分）</w:t>
            </w:r>
            <w:r>
              <w:rPr>
                <w:rFonts w:ascii="宋体" w:hAnsi="宋体" w:eastAsia="宋体" w:cs="宋体"/>
                <w:color w:val="000000"/>
                <w:sz w:val="24"/>
                <w:szCs w:val="24"/>
                <w:highlight w:val="none"/>
                <w:lang w:val="en-US" w:eastAsia="zh-CN" w:bidi="ar-SA"/>
              </w:rPr>
            </w:r>
            <w:r/>
          </w:p>
        </w:tc>
        <w:tc>
          <w:tcPr>
            <w:tcW w:w="7474"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根据投标人提供的培训方案进行评审，包括但不限于：①培训目标；②培训内容与材料；③培训方式与时间等。</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所提供方案内容完整详细、涵盖上述情形的得3分，每缺少一项内容扣1分，每项中每有一处存在内容缺陷的扣0.5分，扣完为止。</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rPr>
                <w:rFonts w:ascii="宋体" w:hAnsi="宋体" w:eastAsia="宋体" w:cs="宋体"/>
                <w:color w:val="000000"/>
                <w:sz w:val="24"/>
                <w:szCs w:val="24"/>
                <w:highlight w:val="none"/>
                <w:lang w:val="en-US" w:eastAsia="zh-CN" w:bidi="ar-SA"/>
              </w:rPr>
            </w:r>
            <w:r/>
          </w:p>
        </w:tc>
      </w:tr>
      <w:tr>
        <w:trPr>
          <w:trHeight w:val="1179"/>
        </w:trPr>
        <w:tc>
          <w:tcPr>
            <w:tcW w:w="130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售后服务方案（</w:t>
            </w:r>
            <w:r>
              <w:rPr>
                <w:rFonts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tc>
        <w:tc>
          <w:tcPr>
            <w:tcW w:w="7474" w:type="dxa"/>
            <w:vAlign w:val="center"/>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投标人针对本项目提供售后服务方案，方案内容包含但不限于：①服务内容承诺；②售后服务人员及售后服务响应机制情况等。</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所提供方案内容完整详细、涵盖上述情形的得</w:t>
            </w:r>
            <w:r>
              <w:rPr>
                <w:rFonts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分，每缺少一项内容扣</w:t>
            </w:r>
            <w:r>
              <w:rPr>
                <w:rFonts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分，每项中每有一处存在内容缺陷的扣1</w:t>
            </w:r>
            <w:r>
              <w:rPr>
                <w:rFonts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分，扣完为止。</w:t>
            </w:r>
            <w:r>
              <w:rPr>
                <w:rFonts w:ascii="宋体" w:hAnsi="宋体" w:eastAsia="宋体" w:cs="宋体"/>
                <w:color w:val="000000"/>
                <w:sz w:val="24"/>
                <w:szCs w:val="24"/>
                <w:highlight w:val="none"/>
                <w:lang w:val="en-US" w:eastAsia="zh-CN" w:bidi="ar-SA"/>
              </w:rPr>
            </w:r>
            <w:r/>
          </w:p>
          <w:p>
            <w:pPr>
              <w:pStyle w:val="832"/>
              <w:jc w:val="both"/>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rPr>
                <w:rFonts w:ascii="宋体" w:hAnsi="宋体" w:eastAsia="宋体" w:cs="宋体"/>
                <w:color w:val="000000"/>
                <w:sz w:val="24"/>
                <w:szCs w:val="24"/>
                <w:highlight w:val="none"/>
                <w:lang w:val="en-US" w:eastAsia="zh-CN" w:bidi="ar-SA"/>
              </w:rPr>
            </w:r>
            <w:r/>
          </w:p>
        </w:tc>
      </w:tr>
    </w:tbl>
    <w:p>
      <w:pPr>
        <w:pStyle w:val="832"/>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w:t xml:space="preserve">本章说明：本项目采用综合评分法，结果保留2位小数</w:t>
      </w:r>
      <w:r>
        <w:rPr>
          <w:rFonts w:ascii="宋体" w:hAnsi="宋体" w:cs="宋体"/>
          <w:color w:val="000000"/>
          <w:sz w:val="24"/>
          <w:highlight w:val="none"/>
        </w:rPr>
      </w:r>
      <w:r/>
    </w:p>
    <w:p>
      <w:pPr>
        <w:pStyle w:val="83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拟签订的合同文本</w:t>
      </w:r>
      <w:r>
        <w:rPr>
          <w:rFonts w:ascii="宋体" w:hAnsi="宋体" w:cs="宋体"/>
          <w:b/>
          <w:bCs/>
          <w:color w:val="000000"/>
          <w:sz w:val="32"/>
          <w:szCs w:val="32"/>
          <w:highlight w:val="none"/>
        </w:rPr>
      </w:r>
      <w:r/>
    </w:p>
    <w:p>
      <w:pPr>
        <w:pStyle w:val="832"/>
        <w:rPr>
          <w:rFonts w:ascii="宋体" w:hAnsi="宋体" w:cs="宋体"/>
          <w:b/>
          <w:color w:val="000000"/>
          <w:sz w:val="52"/>
          <w:szCs w:val="36"/>
          <w:highlight w:val="none"/>
        </w:rPr>
      </w:pPr>
      <w:r>
        <w:rPr>
          <w:rFonts w:ascii="宋体" w:hAnsi="宋体" w:cs="宋体"/>
          <w:b/>
          <w:color w:val="000000"/>
          <w:sz w:val="52"/>
          <w:szCs w:val="36"/>
          <w:highlight w:val="none"/>
        </w:rPr>
      </w:r>
      <w:r/>
    </w:p>
    <w:p>
      <w:pPr>
        <w:pStyle w:val="832"/>
        <w:jc w:val="center"/>
        <w:rPr>
          <w:rFonts w:ascii="宋体" w:hAnsi="宋体" w:cs="宋体"/>
          <w:b/>
          <w:color w:val="000000"/>
          <w:sz w:val="72"/>
          <w:szCs w:val="72"/>
          <w:highlight w:val="none"/>
        </w:rPr>
      </w:pPr>
      <w:r>
        <w:rPr>
          <w:rFonts w:hint="eastAsia" w:ascii="宋体" w:hAnsi="宋体" w:cs="宋体"/>
          <w:b/>
          <w:color w:val="000000"/>
          <w:sz w:val="72"/>
          <w:szCs w:val="72"/>
          <w:highlight w:val="none"/>
        </w:rPr>
        <w:t xml:space="preserve">政 府 采 购 合 同</w:t>
      </w:r>
      <w:r>
        <w:rPr>
          <w:rFonts w:ascii="宋体" w:hAnsi="宋体" w:cs="宋体"/>
          <w:b/>
          <w:color w:val="000000"/>
          <w:sz w:val="72"/>
          <w:szCs w:val="72"/>
          <w:highlight w:val="none"/>
        </w:rPr>
      </w:r>
      <w:r/>
    </w:p>
    <w:p>
      <w:pPr>
        <w:pStyle w:val="832"/>
        <w:jc w:val="left"/>
        <w:rPr>
          <w:rFonts w:ascii="宋体" w:hAnsi="宋体" w:cs="宋体"/>
          <w:b/>
          <w:color w:val="000000"/>
          <w:sz w:val="36"/>
          <w:szCs w:val="36"/>
          <w:highlight w:val="none"/>
        </w:rPr>
      </w:pPr>
      <w:r>
        <w:rPr>
          <w:rFonts w:ascii="宋体" w:hAnsi="宋体" w:cs="宋体"/>
          <w:b/>
          <w:color w:val="000000"/>
          <w:sz w:val="36"/>
          <w:szCs w:val="36"/>
          <w:highlight w:val="none"/>
        </w:rPr>
      </w:r>
      <w:r/>
    </w:p>
    <w:p>
      <w:pPr>
        <w:pStyle w:val="832"/>
        <w:jc w:val="left"/>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832"/>
        <w:jc w:val="left"/>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项目编号：JSZC-320300-HWZX-G2026-0460</w:t>
      </w:r>
      <w:r>
        <w:rPr>
          <w:rFonts w:ascii="宋体" w:hAnsi="宋体" w:cs="宋体"/>
          <w:b/>
          <w:color w:val="000000"/>
          <w:sz w:val="30"/>
          <w:szCs w:val="30"/>
          <w:highlight w:val="none"/>
        </w:rPr>
      </w:r>
      <w:r/>
    </w:p>
    <w:p>
      <w:pPr>
        <w:pStyle w:val="832"/>
        <w:jc w:val="left"/>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832"/>
        <w:jc w:val="left"/>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项目名称：徐州汉画像石艺术馆馆藏文物预防性保护项目</w:t>
      </w:r>
      <w:r>
        <w:rPr>
          <w:rFonts w:ascii="宋体" w:hAnsi="宋体" w:cs="宋体"/>
          <w:b/>
          <w:color w:val="000000"/>
          <w:sz w:val="30"/>
          <w:szCs w:val="30"/>
          <w:highlight w:val="none"/>
        </w:rPr>
      </w:r>
      <w:r/>
    </w:p>
    <w:p>
      <w:pPr>
        <w:pStyle w:val="832"/>
        <w:jc w:val="left"/>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832"/>
        <w:jc w:val="left"/>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采购单位：徐州博物馆（徐州汉画像石艺术馆）</w:t>
      </w:r>
      <w:r>
        <w:rPr>
          <w:rFonts w:ascii="宋体" w:hAnsi="宋体" w:cs="宋体"/>
          <w:b/>
          <w:color w:val="000000"/>
          <w:sz w:val="30"/>
          <w:szCs w:val="30"/>
          <w:highlight w:val="none"/>
        </w:rPr>
      </w:r>
      <w:r/>
    </w:p>
    <w:p>
      <w:pPr>
        <w:pStyle w:val="832"/>
        <w:jc w:val="left"/>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832"/>
        <w:jc w:val="left"/>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中标供应商（乙方）：</w:t>
      </w:r>
      <w:r>
        <w:rPr>
          <w:rFonts w:ascii="宋体" w:hAnsi="宋体" w:cs="宋体"/>
          <w:b/>
          <w:color w:val="000000"/>
          <w:sz w:val="30"/>
          <w:szCs w:val="30"/>
          <w:highlight w:val="none"/>
        </w:rPr>
      </w:r>
      <w:r/>
    </w:p>
    <w:p>
      <w:pPr>
        <w:pStyle w:val="832"/>
        <w:jc w:val="left"/>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832"/>
        <w:jc w:val="left"/>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签订日期：    年  月  日</w:t>
      </w:r>
      <w:r>
        <w:rPr>
          <w:rFonts w:ascii="宋体" w:hAnsi="宋体" w:cs="宋体"/>
          <w:b/>
          <w:color w:val="000000"/>
          <w:sz w:val="30"/>
          <w:szCs w:val="30"/>
          <w:highlight w:val="none"/>
        </w:rPr>
      </w:r>
      <w:r/>
    </w:p>
    <w:p>
      <w:pPr>
        <w:pStyle w:val="832"/>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923"/>
        <w:ind w:left="0" w:right="0"/>
        <w:spacing w:after="0" w:line="360" w:lineRule="auto"/>
        <w:rPr>
          <w:rFonts w:ascii="宋体" w:hAnsi="宋体" w:cs="宋体"/>
          <w:b/>
          <w:color w:val="000000"/>
          <w:sz w:val="24"/>
          <w:highlight w:val="none"/>
        </w:rPr>
      </w:pPr>
      <w:r>
        <w:rPr>
          <w:rFonts w:ascii="宋体" w:hAnsi="宋体" w:cs="宋体"/>
          <w:b/>
          <w:color w:val="000000"/>
          <w:sz w:val="24"/>
          <w:highlight w:val="none"/>
        </w:rPr>
      </w:r>
      <w:r/>
    </w:p>
    <w:p>
      <w:pPr>
        <w:pStyle w:val="923"/>
        <w:ind w:left="0" w:right="0"/>
        <w:spacing w:after="0" w:line="360" w:lineRule="auto"/>
        <w:rPr>
          <w:rFonts w:ascii="宋体" w:hAnsi="宋体" w:cs="宋体"/>
          <w:b/>
          <w:color w:val="000000"/>
          <w:sz w:val="24"/>
          <w:highlight w:val="none"/>
        </w:rPr>
      </w:pPr>
      <w:r>
        <w:rPr>
          <w:rFonts w:hint="eastAsia" w:ascii="宋体" w:hAnsi="宋体" w:cs="宋体"/>
          <w:b/>
          <w:color w:val="000000"/>
          <w:sz w:val="24"/>
          <w:highlight w:val="none"/>
        </w:rPr>
        <w:t xml:space="preserve">友情提醒：采购人与中标、成交供应商应当在中标、成交通知书发出之日起三十日内，按照采购文件确定的事项签订政府采购合同。</w:t>
      </w:r>
      <w:r>
        <w:rPr>
          <w:rFonts w:ascii="宋体" w:hAnsi="宋体" w:cs="宋体"/>
          <w:b/>
          <w:color w:val="000000"/>
          <w:sz w:val="24"/>
          <w:highlight w:val="none"/>
        </w:rPr>
      </w:r>
      <w:r/>
    </w:p>
    <w:p>
      <w:pPr>
        <w:pStyle w:val="923"/>
        <w:ind w:left="0" w:right="0"/>
        <w:spacing w:after="0" w:line="360" w:lineRule="auto"/>
        <w:rPr>
          <w:rFonts w:ascii="宋体" w:hAnsi="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cs="宋体"/>
          <w:b/>
          <w:color w:val="000000"/>
          <w:sz w:val="24"/>
          <w:highlight w:val="none"/>
        </w:rPr>
      </w:r>
      <w:r/>
    </w:p>
    <w:p>
      <w:pPr>
        <w:pStyle w:val="832"/>
        <w:ind w:firstLine="420"/>
        <w:jc w:val="center"/>
        <w:spacing w:line="520" w:lineRule="exact"/>
        <w:rPr>
          <w:rFonts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rPr>
          <w:rFonts w:ascii="宋体" w:hAnsi="宋体" w:cs="宋体"/>
          <w:color w:val="000000"/>
          <w:sz w:val="32"/>
          <w:szCs w:val="32"/>
          <w:highlight w:val="none"/>
        </w:rPr>
      </w:r>
      <w:r/>
    </w:p>
    <w:p>
      <w:pPr>
        <w:pStyle w:val="832"/>
        <w:ind w:firstLine="600"/>
        <w:jc w:val="center"/>
        <w:spacing w:line="520" w:lineRule="exact"/>
        <w:rPr>
          <w:rFonts w:ascii="宋体" w:hAnsi="宋体" w:cs="宋体"/>
          <w:color w:val="000000"/>
          <w:sz w:val="24"/>
          <w:highlight w:val="none"/>
        </w:rPr>
      </w:pPr>
      <w:r>
        <w:rPr>
          <w:rFonts w:ascii="宋体" w:hAnsi="宋体" w:cs="宋体"/>
          <w:color w:val="000000"/>
          <w:sz w:val="24"/>
          <w:highlight w:val="none"/>
        </w:rPr>
      </w:r>
      <w:r/>
    </w:p>
    <w:p>
      <w:pPr>
        <w:pStyle w:val="832"/>
        <w:ind w:firstLine="600"/>
        <w:jc w:val="center"/>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目 录</w:t>
      </w:r>
      <w:r>
        <w:rPr>
          <w:rFonts w:ascii="宋体" w:hAnsi="宋体" w:cs="宋体"/>
          <w:color w:val="000000"/>
          <w:sz w:val="28"/>
          <w:szCs w:val="28"/>
          <w:highlight w:val="none"/>
        </w:rPr>
      </w:r>
      <w:r/>
    </w:p>
    <w:p>
      <w:pPr>
        <w:pStyle w:val="832"/>
        <w:ind w:firstLine="600"/>
        <w:spacing w:line="520" w:lineRule="exact"/>
        <w:rPr>
          <w:rFonts w:ascii="宋体" w:hAnsi="宋体" w:cs="宋体"/>
          <w:color w:val="000000"/>
          <w:sz w:val="24"/>
          <w:highlight w:val="none"/>
        </w:rPr>
      </w:pP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第一条    定义</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第二条    合同范围</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第三条    价格</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第四条    支付</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第五条    交货</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第六条    包装和标记</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第七条    技术资料</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第八条    安装</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第九条    验收</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第十一条  索赔</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第十二条  不可抗力</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第十三条  合同的终止</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第十四条  争议的解决</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第十五条  适用法律</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第十六条  权利保证</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第十七条  保密</w:t>
      </w:r>
      <w:r>
        <w:rPr>
          <w:rFonts w:ascii="宋体" w:hAnsi="宋体" w:cs="宋体"/>
          <w:color w:val="000000"/>
          <w:sz w:val="24"/>
          <w:highlight w:val="none"/>
        </w:rPr>
      </w:r>
      <w:r/>
    </w:p>
    <w:p>
      <w:pPr>
        <w:pStyle w:val="832"/>
        <w:ind w:firstLine="600"/>
        <w:rPr>
          <w:rFonts w:ascii="宋体" w:hAnsi="宋体" w:cs="宋体"/>
          <w:color w:val="000000"/>
          <w:sz w:val="24"/>
          <w:highlight w:val="none"/>
        </w:rPr>
      </w:pPr>
      <w:r>
        <w:rPr>
          <w:rFonts w:hint="eastAsia" w:ascii="宋体" w:hAnsi="宋体" w:cs="宋体"/>
          <w:color w:val="000000"/>
          <w:sz w:val="24"/>
          <w:highlight w:val="none"/>
        </w:rPr>
        <w:t xml:space="preserve">第十八条  合同生效及其他</w:t>
      </w:r>
      <w:r>
        <w:rPr>
          <w:rFonts w:ascii="宋体" w:hAnsi="宋体" w:cs="宋体"/>
          <w:color w:val="000000"/>
          <w:sz w:val="24"/>
          <w:highlight w:val="none"/>
        </w:rPr>
      </w:r>
      <w:r/>
    </w:p>
    <w:p>
      <w:pPr>
        <w:pStyle w:val="832"/>
        <w:spacing w:line="520" w:lineRule="exact"/>
        <w:rPr>
          <w:rFonts w:ascii="宋体" w:hAnsi="宋体" w:cs="宋体"/>
          <w:color w:val="000000"/>
          <w:sz w:val="24"/>
          <w:highlight w:val="none"/>
        </w:rPr>
      </w:pPr>
      <w:r>
        <w:rPr>
          <w:rFonts w:ascii="宋体" w:hAnsi="宋体" w:cs="宋体"/>
          <w:color w:val="000000"/>
          <w:sz w:val="24"/>
          <w:highlight w:val="none"/>
        </w:rPr>
      </w:r>
      <w:r/>
    </w:p>
    <w:p>
      <w:pPr>
        <w:pStyle w:val="832"/>
        <w:jc w:val="center"/>
        <w:spacing w:line="360" w:lineRule="auto"/>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30"/>
          <w:szCs w:val="30"/>
          <w:highlight w:val="none"/>
        </w:rPr>
        <w:t xml:space="preserve">合同通用条款</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第一条  定义</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除本合同上下文中另有规定外，下列各词语定义如下： </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1.1“买方”见《合同专用条款》。</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1.2“卖方”见《合同专用条款》。</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1.3“工作现场”见《合同专用条款》。</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1.4“合同标的”见合同附件4。</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1.5“技术资料”是指与合同标的的安装、试运行、验收、操作以及维修有关的技术指标、规格、图纸和文件。</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1.6“技术培训”是指在合同标的的安装、试运行、验收、操作、维修以及其他方面卖方给予买方的培训。</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1.7“安装”是指有关合同标的、备件和材料的安装工作。</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1.8“试运行”是指为验明合同标的的技术性能，在安装完毕后对合同标的进行的测试。</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1.10“合同货币”见《合同专用条款》。</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1.11“合同价格”见合同附件4。</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1.12“合同生效日”见《合同协议书》（合同附件1）第5 条。</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1.13“日”是指日历天数。</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1.14“月”是指日历月数。</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1.15“采购需求” 见合同附件6。</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第二条 合同范围</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2.1买方同意从卖方购买、卖方同意向买方出售和提供的合同标的以及相关售后服务、技术培训和技术资料。</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2.2数量：见招标文件第六章《采购需求》中“三、数量要求”。</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第三条 价格</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3.1 合同总价见《合同专用条款》。</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3.2 合同总价是固定价格。</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第四条 支付（采购资金的支付方式、时间、条件）</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4.1买方应按照《合同专用条款》的规定进行支付。如果卖方未能按照《合同专用条款》的要求提交支付文件，由此产生的所有责任和发生的所有费用，均由卖方承担。</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4.2卖方有义务根据合同的规定向买方支付违约金和/或赔偿金时，买方有权从任何一笔应付款中予以扣除。</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第五条 交货（货物、服务提供的时间、地点、方式）</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5.1交货期限、批次和交货条件见《合同专用条款》。</w:t>
      </w:r>
      <w:r>
        <w:rPr>
          <w:rFonts w:ascii="宋体" w:hAnsi="宋体" w:cs="宋体"/>
          <w:color w:val="000000"/>
          <w:sz w:val="24"/>
          <w:highlight w:val="none"/>
        </w:rPr>
      </w:r>
      <w:r/>
    </w:p>
    <w:p>
      <w:pPr>
        <w:pStyle w:val="832"/>
        <w:ind w:firstLine="480"/>
        <w:rPr>
          <w:rFonts w:ascii="宋体" w:hAnsi="宋体" w:cs="宋体"/>
          <w:strike/>
          <w:color w:val="000000"/>
          <w:sz w:val="24"/>
          <w:highlight w:val="none"/>
        </w:rPr>
      </w:pPr>
      <w:r>
        <w:rPr>
          <w:rFonts w:hint="eastAsia" w:ascii="宋体" w:hAnsi="宋体" w:cs="宋体"/>
          <w:color w:val="000000"/>
          <w:sz w:val="24"/>
          <w:highlight w:val="none"/>
        </w:rPr>
        <w:t xml:space="preserve">5.2交货地点见《合同专用条款》。</w:t>
      </w:r>
      <w:r>
        <w:rPr>
          <w:rFonts w:ascii="宋体" w:hAnsi="宋体" w:cs="宋体"/>
          <w:strike/>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5.3在《合同专用条款》规定的期限内，卖方应将合同号、合同标的的名称、数量、金额、包装件数以及交货的时间以书面方式通知买方。</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5.4卖方应按下列规定交付合同标的：</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5.4.1卖方负责将合同标的送至《合同专用条款》规定的交货地点。</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5.4.2买方出具的收据日期是合同标的的实际交货日期。</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5.5如果卖方未能按照合同规定的交货期限交货，卖方应按《合同专用条款》的规定支付违约金或提供其他救济。</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第六条 包装与标记</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6.1除非合同中另有规定，合同标的应保持产品制造企业原包装完好。</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6.2在合同标的的每件包装中都应附有下列单据： </w:t>
      </w:r>
      <w:r>
        <w:rPr>
          <w:rFonts w:ascii="宋体" w:hAnsi="宋体" w:cs="宋体"/>
          <w:color w:val="000000"/>
          <w:sz w:val="24"/>
          <w:highlight w:val="none"/>
        </w:rPr>
      </w:r>
      <w:r/>
    </w:p>
    <w:p>
      <w:pPr>
        <w:pStyle w:val="832"/>
        <w:ind w:firstLine="480"/>
        <w:rPr>
          <w:rFonts w:ascii="宋体" w:hAnsi="宋体" w:cs="宋体"/>
          <w:strike/>
          <w:color w:val="000000"/>
          <w:sz w:val="24"/>
          <w:highlight w:val="none"/>
        </w:rPr>
      </w:pPr>
      <w:r>
        <w:rPr>
          <w:rFonts w:hint="eastAsia" w:ascii="宋体" w:hAnsi="宋体" w:cs="宋体"/>
          <w:color w:val="000000"/>
          <w:sz w:val="24"/>
          <w:highlight w:val="none"/>
        </w:rPr>
        <w:t xml:space="preserve">A. 装箱明细单； </w:t>
      </w:r>
      <w:r>
        <w:rPr>
          <w:rFonts w:ascii="宋体" w:hAnsi="宋体" w:cs="宋体"/>
          <w:strike/>
          <w:color w:val="000000"/>
          <w:sz w:val="24"/>
          <w:highlight w:val="none"/>
        </w:rPr>
      </w:r>
      <w:r/>
    </w:p>
    <w:p>
      <w:pPr>
        <w:pStyle w:val="832"/>
        <w:ind w:firstLine="480"/>
        <w:rPr>
          <w:rFonts w:ascii="宋体" w:hAnsi="宋体" w:cs="宋体"/>
          <w:strike/>
          <w:color w:val="000000"/>
          <w:sz w:val="24"/>
          <w:highlight w:val="none"/>
        </w:rPr>
      </w:pPr>
      <w:r>
        <w:rPr>
          <w:rFonts w:hint="eastAsia" w:ascii="宋体" w:hAnsi="宋体" w:cs="宋体"/>
          <w:color w:val="000000"/>
          <w:sz w:val="24"/>
          <w:highlight w:val="none"/>
        </w:rPr>
        <w:t xml:space="preserve">B. 质量合格证； </w:t>
      </w:r>
      <w:r>
        <w:rPr>
          <w:rFonts w:ascii="宋体" w:hAnsi="宋体" w:cs="宋体"/>
          <w:strike/>
          <w:color w:val="000000"/>
          <w:sz w:val="24"/>
          <w:highlight w:val="none"/>
        </w:rPr>
      </w:r>
      <w:r/>
    </w:p>
    <w:p>
      <w:pPr>
        <w:pStyle w:val="832"/>
        <w:ind w:firstLine="480"/>
        <w:rPr>
          <w:rFonts w:ascii="宋体" w:hAnsi="宋体" w:cs="宋体"/>
          <w:strike/>
          <w:color w:val="000000"/>
          <w:sz w:val="24"/>
          <w:highlight w:val="none"/>
        </w:rPr>
      </w:pPr>
      <w:r>
        <w:rPr>
          <w:rFonts w:hint="eastAsia" w:ascii="宋体" w:hAnsi="宋体" w:cs="宋体"/>
          <w:color w:val="000000"/>
          <w:sz w:val="24"/>
          <w:highlight w:val="none"/>
        </w:rPr>
        <w:t xml:space="preserve">C. 技术资料。</w:t>
      </w:r>
      <w:r>
        <w:rPr>
          <w:rFonts w:ascii="宋体" w:hAnsi="宋体" w:cs="宋体"/>
          <w:strike/>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第七条 技术资料</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7.1 技术资料交付的期限和方式见《合同专用条款》。</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第八条 安装</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8.1 合同标的的安装期限见《合同专用条款》。</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8.2 项目实施方案见合同附件7。</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第九条 验收</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9.1合同标的的试运行、验收见《合同专用条款》。</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9.2如果合同附件2 所规定的所有技术性能在验收中都已经达到，双方应在验收合格后5 日内签署验收书。</w:t>
      </w:r>
      <w:r>
        <w:rPr>
          <w:rFonts w:ascii="宋体" w:hAnsi="宋体" w:cs="宋体"/>
          <w:color w:val="000000"/>
          <w:sz w:val="24"/>
          <w:highlight w:val="none"/>
        </w:rPr>
      </w:r>
      <w:r/>
    </w:p>
    <w:p>
      <w:pPr>
        <w:pStyle w:val="832"/>
        <w:ind w:firstLine="540"/>
        <w:rPr>
          <w:rFonts w:ascii="宋体" w:hAnsi="宋体" w:cs="宋体"/>
          <w:color w:val="000000"/>
          <w:sz w:val="24"/>
          <w:highlight w:val="none"/>
        </w:rPr>
      </w:pPr>
      <w:r>
        <w:rPr>
          <w:rFonts w:hint="eastAsia" w:ascii="宋体" w:hAnsi="宋体" w:cs="宋体"/>
          <w:color w:val="000000"/>
          <w:sz w:val="24"/>
          <w:highlight w:val="none"/>
        </w:rPr>
        <w:t xml:space="preserve">9.3验收标准（验收要求、验收标准和程序）：见合同附件5。</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10.1售后服务和技术培训见合同附件3。</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第十一条 索赔</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11.1如果合同标的在安装、试运行和验收中卖方未能履行其在本合同项下承担的义务，买方有权向卖方提出索赔并寻求《合同专用条款》中规定的救济方式，救济方式包括：</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A. 卖方替换不符合合同规定的合同标的。</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B. 按质量低劣的程度、买方受损害的程度及损失的数额对合同标的进行降价。</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C. 拒收合同标的。</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D. 赔偿由卖方违约引起的其他损失。</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第十二条 不可抗力</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第十三条 合同的终止</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A. 卖方在合同规定的交货期限后未能按《合同专用条款》中规定的最终期限交付合同标的和/或技术资料； </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B. 合同标的未能达到合同附件2 规定的技术性能； </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C. 卖方未能履行合同项下任何其它义务，并且在收到买方违约通知后未能按《合同专用条款》中规定的期限对其违约行为作出补救。</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13.2如果一方破产或发生资不抵债的情况,合同另一方有权在任何时候发出书面通知终止合同。此种情况下合同的终止不妨碍或影响行使任何可能的其它救济手段。</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13.3如果买方认定卖方在投标或执行合同中有腐败或欺诈行为,买方有权在任何时候发出书面通知终止合同。</w:t>
      </w:r>
      <w:r>
        <w:rPr>
          <w:rFonts w:ascii="宋体" w:hAnsi="宋体" w:cs="宋体"/>
          <w:color w:val="000000"/>
          <w:sz w:val="24"/>
          <w:highlight w:val="none"/>
        </w:rPr>
      </w:r>
      <w:r/>
    </w:p>
    <w:p>
      <w:pPr>
        <w:pStyle w:val="832"/>
        <w:ind w:left="1" w:firstLine="537"/>
        <w:rPr>
          <w:rFonts w:ascii="宋体" w:hAnsi="宋体" w:cs="宋体"/>
          <w:color w:val="000000"/>
          <w:sz w:val="24"/>
          <w:highlight w:val="none"/>
        </w:rPr>
      </w:pPr>
      <w:r>
        <w:rPr>
          <w:rFonts w:hint="eastAsia" w:ascii="宋体" w:hAnsi="宋体" w:cs="宋体"/>
          <w:color w:val="000000"/>
          <w:sz w:val="24"/>
          <w:highlight w:val="none"/>
        </w:rPr>
        <w:t xml:space="preserve">A.“腐败行为”系指在招标、采购和合同执行等过程中，为谋求利益、影响相关人员而提供、给予、接受或索取任何有价物的行为。</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B.“欺诈行为”系指为了影响招标、采购和合同执行等过程而隐瞒事实，从而给买方造成损害的行为，其中包括投标人之间的串通行为。</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13.4 在买方全部或部分终止合同的情况下，卖方应按《合同专用条款》的规定对买方给予补偿。</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第十四条 争议的解决</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14.1 因执行本合同所发生的或者与本合同有关的一切争议由合同双方通过友好协商解决，如果不能协商一致，按《合同专用条款》规定的方式解决。</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第十五条 适用法律</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15.1 本合同的执行和争议的解决适用中华人民共和国的法律并按中华人民共和国的法律进行解释。</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第十六条  权利保证</w:t>
      </w:r>
      <w:r>
        <w:rPr>
          <w:rFonts w:ascii="宋体" w:hAnsi="宋体" w:cs="宋体"/>
          <w:color w:val="000000"/>
          <w:sz w:val="24"/>
          <w:highlight w:val="none"/>
        </w:rPr>
      </w:r>
      <w:r/>
    </w:p>
    <w:p>
      <w:pPr>
        <w:pStyle w:val="832"/>
        <w:ind w:firstLine="480"/>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16.1卖方应保证买方在使用合同标的时不受第三方提出侵犯其专利权、版权、商标权或其他权利的起诉。一旦出现侵权，卖方承担全部责任。</w:t>
      </w:r>
      <w:r>
        <w:rPr>
          <w:rFonts w:ascii="宋体" w:hAnsi="宋体" w:cs="宋体"/>
          <w:color w:val="000000"/>
          <w:sz w:val="24"/>
          <w:highlight w:val="none"/>
        </w:rPr>
      </w:r>
      <w:r/>
    </w:p>
    <w:p>
      <w:pPr>
        <w:pStyle w:val="832"/>
        <w:ind w:firstLine="480"/>
        <w:spacing w:line="320" w:lineRule="exact"/>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第十七条  保密 </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17.2上述秘密，卖方只能用于本合同，而且只能由卖方相应的人员使用；没有必要接触的卖方人员，不得接触。</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17.3卖方应当采取适当有效的方式保护所获取的上述秘密。</w:t>
      </w:r>
      <w:r>
        <w:rPr>
          <w:rFonts w:ascii="宋体" w:hAnsi="宋体" w:cs="宋体"/>
          <w:color w:val="000000"/>
          <w:sz w:val="24"/>
          <w:highlight w:val="none"/>
        </w:rPr>
      </w:r>
      <w:r/>
    </w:p>
    <w:p>
      <w:pPr>
        <w:pStyle w:val="832"/>
        <w:ind w:firstLine="480"/>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ascii="宋体" w:hAnsi="宋体" w:cs="宋体"/>
          <w:color w:val="000000"/>
          <w:sz w:val="24"/>
          <w:highlight w:val="none"/>
        </w:rPr>
      </w:r>
      <w:r/>
    </w:p>
    <w:p>
      <w:pPr>
        <w:pStyle w:val="832"/>
        <w:ind w:firstLine="480"/>
        <w:spacing w:line="320" w:lineRule="exact"/>
        <w:rPr>
          <w:rFonts w:ascii="宋体" w:hAnsi="宋体" w:cs="宋体"/>
          <w:color w:val="000000"/>
          <w:sz w:val="24"/>
          <w:highlight w:val="none"/>
        </w:rPr>
      </w:pPr>
      <w:r>
        <w:rPr>
          <w:rFonts w:ascii="宋体" w:hAnsi="宋体" w:cs="宋体"/>
          <w:color w:val="000000"/>
          <w:sz w:val="24"/>
          <w:highlight w:val="none"/>
        </w:rPr>
      </w:r>
      <w:r/>
    </w:p>
    <w:p>
      <w:pPr>
        <w:pStyle w:val="832"/>
        <w:ind w:firstLine="480"/>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第十八条 合同生效及其他</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18.1 本合同在合同协议书（合同附件1）规定的条件全部满足后生效。</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18.2合同项下全部权利义务履行完毕后，本合同自动失效。合同履行期满后，合同项下任何尚未了结的债权和债务不受合同履行期的影响，债务人仍应向债权人履行其义务。</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18.3 合同双方各自承担与本合同有关的应负税费。</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18.4合同双方除非《合同专用条款》另有规定，所有合同文件及相关的修订和合同双方之间的书面联络，应使用中文书就并按中文解释。</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18.5对本合同的任何补充、增添或修改以书面方式进行。</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18.6没有另一方的事先书面同意，合同任何一方不得将合同项下的任何权利和义务转让给第三方。</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18.8合同条款中的标题和边注仅供参考使用，不应视为合同的一部分，也不影响本文的解释。</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18.9合同构成买方和卖方之间就合同主要内容方面的完整协议，并且取代合同签订前所有关于这方面的通讯、协商、协议(不论是书面的，还是口头的)。</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18.11合同双方之间的一切联络往来应以书面形式按《合同专用条款》中规定的通讯地址发往合同另一方。有关重要事项的传真应及时用挂号信或快件确认。</w:t>
      </w:r>
      <w:r>
        <w:rPr>
          <w:rFonts w:ascii="宋体" w:hAnsi="宋体" w:cs="宋体"/>
          <w:color w:val="000000"/>
          <w:sz w:val="24"/>
          <w:highlight w:val="none"/>
        </w:rPr>
      </w:r>
      <w:r/>
    </w:p>
    <w:p>
      <w:pPr>
        <w:pStyle w:val="832"/>
        <w:ind w:firstLine="600"/>
        <w:jc w:val="center"/>
        <w:rPr>
          <w:rFonts w:ascii="宋体" w:hAnsi="宋体" w:cs="宋体"/>
          <w:color w:val="000000"/>
          <w:sz w:val="30"/>
          <w:szCs w:val="30"/>
          <w:highlight w:val="none"/>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30"/>
          <w:szCs w:val="30"/>
          <w:highlight w:val="none"/>
        </w:rPr>
      </w:r>
      <w:r/>
    </w:p>
    <w:p>
      <w:pPr>
        <w:pStyle w:val="832"/>
        <w:ind w:firstLine="600"/>
        <w:jc w:val="center"/>
        <w:spacing w:line="360" w:lineRule="auto"/>
        <w:rPr>
          <w:rFonts w:ascii="宋体" w:hAnsi="宋体" w:cs="宋体"/>
          <w:color w:val="000000"/>
          <w:sz w:val="30"/>
          <w:szCs w:val="30"/>
          <w:highlight w:val="none"/>
        </w:rPr>
      </w:pPr>
      <w:r>
        <w:rPr>
          <w:rFonts w:hint="eastAsia" w:ascii="宋体" w:hAnsi="宋体" w:cs="宋体"/>
          <w:color w:val="000000"/>
          <w:sz w:val="30"/>
          <w:szCs w:val="30"/>
          <w:highlight w:val="none"/>
        </w:rPr>
        <w:t xml:space="preserve">合同专用条款</w:t>
      </w:r>
      <w:r>
        <w:rPr>
          <w:rFonts w:ascii="宋体" w:hAnsi="宋体" w:cs="宋体"/>
          <w:color w:val="000000"/>
          <w:sz w:val="30"/>
          <w:szCs w:val="30"/>
          <w:highlight w:val="none"/>
        </w:rPr>
      </w:r>
      <w:r/>
    </w:p>
    <w:p>
      <w:pPr>
        <w:pStyle w:val="832"/>
        <w:jc w:val="center"/>
        <w:rPr>
          <w:rFonts w:ascii="宋体" w:hAnsi="宋体" w:cs="宋体"/>
          <w:color w:val="000000"/>
          <w:sz w:val="24"/>
          <w:highlight w:val="none"/>
        </w:rPr>
      </w:pPr>
      <w:r>
        <w:rPr>
          <w:rFonts w:ascii="宋体" w:hAnsi="宋体" w:cs="宋体"/>
          <w:color w:val="000000"/>
          <w:sz w:val="24"/>
          <w:highlight w:val="none"/>
        </w:rPr>
      </w:r>
      <w:r/>
    </w:p>
    <w:p>
      <w:pPr>
        <w:pStyle w:val="832"/>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徐州博物馆（徐州汉画像石艺术馆） </w:t>
      </w:r>
      <w:r>
        <w:rPr>
          <w:rFonts w:ascii="宋体" w:hAnsi="宋体" w:cs="宋体"/>
          <w:color w:val="000000"/>
          <w:sz w:val="24"/>
          <w:highlight w:val="none"/>
        </w:rPr>
      </w:r>
      <w:r/>
    </w:p>
    <w:p>
      <w:pPr>
        <w:pStyle w:val="832"/>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乙方（卖方）：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ascii="宋体" w:hAnsi="宋体" w:cs="宋体"/>
          <w:color w:val="000000"/>
          <w:sz w:val="24"/>
          <w:highlight w:val="none"/>
        </w:rPr>
      </w:r>
      <w:r/>
    </w:p>
    <w:p>
      <w:pPr>
        <w:pStyle w:val="832"/>
        <w:ind w:firstLine="480"/>
        <w:rPr>
          <w:rFonts w:ascii="宋体" w:hAnsi="宋体" w:cs="宋体"/>
          <w:color w:val="000000"/>
          <w:sz w:val="24"/>
          <w:highlight w:val="none"/>
        </w:rPr>
      </w:pPr>
      <w:r>
        <w:rPr>
          <w:rFonts w:hint="eastAsia" w:ascii="宋体" w:hAnsi="宋体" w:cs="宋体"/>
          <w:color w:val="000000"/>
          <w:sz w:val="24"/>
          <w:highlight w:val="none"/>
        </w:rPr>
        <w:t xml:space="preserve">《合同专用条款》中的条款项号是与《合同通用条款》中的条款项号对应的，其增加的内容和条款，是对《合同通用条款》的补充、修改和完善，如果有矛盾的话，以《合同专用条款》为准。</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Pr>
      <w:r>
        <w:rPr>
          <w:rFonts w:hint="eastAsia" w:ascii="宋体" w:hAnsi="宋体" w:cs="宋体"/>
          <w:bCs/>
          <w:color w:val="000000"/>
          <w:sz w:val="24"/>
          <w:highlight w:val="none"/>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宋体" w:hAnsi="宋体" w:cs="宋体"/>
          <w:color w:val="000000"/>
          <w:sz w:val="24"/>
          <w:highlight w:val="none"/>
        </w:rPr>
        <w:t xml:space="preserve">的权利、义务，确保合同双方共同执行。</w:t>
      </w:r>
      <w:r>
        <w:rPr>
          <w:rFonts w:ascii="宋体" w:hAnsi="宋体" w:cs="宋体"/>
          <w:color w:val="000000"/>
          <w:sz w:val="24"/>
          <w:highlight w:val="none"/>
        </w:rPr>
      </w:r>
      <w:r/>
    </w:p>
    <w:p>
      <w:pPr>
        <w:pStyle w:val="832"/>
        <w:numPr>
          <w:ilvl w:val="0"/>
          <w:numId w:val="1"/>
        </w:numPr>
        <w:spacing w:line="360" w:lineRule="exact"/>
        <w:rPr>
          <w:rStyle w:val="972"/>
          <w:rFonts w:ascii="宋体" w:hAnsi="宋体" w:cs="宋体"/>
          <w:b/>
          <w:color w:val="000000"/>
          <w:sz w:val="24"/>
          <w:highlight w:val="none"/>
        </w:rPr>
      </w:pPr>
      <w:r>
        <w:rPr>
          <w:rFonts w:hint="eastAsia" w:ascii="宋体" w:hAnsi="宋体" w:cs="宋体"/>
          <w:b/>
          <w:color w:val="000000"/>
          <w:sz w:val="24"/>
          <w:highlight w:val="none"/>
        </w:rPr>
        <w:t xml:space="preserve">合同标的</w:t>
      </w:r>
      <w:r>
        <w:rPr>
          <w:rStyle w:val="972"/>
          <w:rFonts w:ascii="宋体" w:hAnsi="宋体" w:cs="宋体"/>
          <w:b/>
          <w:color w:val="000000"/>
          <w:sz w:val="24"/>
          <w:highlight w:val="none"/>
        </w:rPr>
      </w:r>
      <w:r/>
    </w:p>
    <w:p>
      <w:pPr>
        <w:pStyle w:val="832"/>
        <w:ind w:left="426"/>
        <w:spacing w:line="360" w:lineRule="exact"/>
        <w:rPr>
          <w:rStyle w:val="972"/>
          <w:rFonts w:ascii="宋体" w:hAnsi="宋体" w:cs="宋体"/>
          <w:color w:val="000000"/>
          <w:sz w:val="24"/>
          <w:highlight w:val="none"/>
        </w:rPr>
      </w:pPr>
      <w:r>
        <w:rPr>
          <w:rStyle w:val="972"/>
          <w:rFonts w:hint="eastAsia" w:ascii="宋体" w:hAnsi="宋体" w:cs="宋体"/>
          <w:color w:val="000000"/>
          <w:sz w:val="24"/>
          <w:highlight w:val="none"/>
        </w:rPr>
        <w:t xml:space="preserve">1.1产品名称、型号、规格、数量及价款</w:t>
      </w:r>
      <w:r>
        <w:rPr>
          <w:rStyle w:val="972"/>
          <w:rFonts w:ascii="宋体" w:hAnsi="宋体" w:cs="宋体"/>
          <w:color w:val="000000"/>
          <w:sz w:val="24"/>
          <w:highlight w:val="none"/>
        </w:rPr>
      </w:r>
      <w:r/>
    </w:p>
    <w:tbl>
      <w:tblPr>
        <w:tblW w:w="8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产品名称</w:t>
            </w:r>
            <w:r>
              <w:rPr>
                <w:rFonts w:ascii="宋体" w:hAnsi="宋体" w:eastAsia="宋体" w:cs="宋体"/>
                <w:color w:val="000000"/>
                <w:sz w:val="24"/>
                <w:szCs w:val="24"/>
                <w:highlight w:val="none"/>
                <w:lang w:val="en-US" w:eastAsia="zh-CN" w:bidi="ar-SA"/>
              </w:rPr>
            </w:r>
            <w:r/>
          </w:p>
        </w:tc>
        <w:tc>
          <w:tcPr>
            <w:tcW w:w="1273"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型号</w:t>
            </w:r>
            <w:r>
              <w:rPr>
                <w:rFonts w:ascii="宋体" w:hAnsi="宋体" w:eastAsia="宋体" w:cs="宋体"/>
                <w:color w:val="000000"/>
                <w:sz w:val="24"/>
                <w:szCs w:val="24"/>
                <w:highlight w:val="none"/>
                <w:lang w:val="en-US" w:eastAsia="zh-CN" w:bidi="ar-SA"/>
              </w:rPr>
            </w:r>
            <w:r/>
          </w:p>
        </w:tc>
        <w:tc>
          <w:tcPr>
            <w:tcW w:w="1101"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单价（元）</w:t>
            </w:r>
            <w:r>
              <w:rPr>
                <w:rFonts w:ascii="宋体" w:hAnsi="宋体" w:eastAsia="宋体" w:cs="宋体"/>
                <w:color w:val="000000"/>
                <w:sz w:val="24"/>
                <w:szCs w:val="24"/>
                <w:highlight w:val="none"/>
                <w:lang w:val="en-US" w:eastAsia="zh-CN" w:bidi="ar-SA"/>
              </w:rPr>
            </w:r>
            <w:r/>
          </w:p>
        </w:tc>
        <w:tc>
          <w:tcPr>
            <w:tcW w:w="1088"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单位</w:t>
            </w:r>
            <w:r>
              <w:rPr>
                <w:rFonts w:ascii="宋体" w:hAnsi="宋体" w:eastAsia="宋体" w:cs="宋体"/>
                <w:color w:val="000000"/>
                <w:sz w:val="24"/>
                <w:szCs w:val="24"/>
                <w:highlight w:val="none"/>
                <w:lang w:val="en-US" w:eastAsia="zh-CN" w:bidi="ar"/>
              </w:rPr>
            </w:r>
            <w:r/>
          </w:p>
        </w:tc>
        <w:tc>
          <w:tcPr>
            <w:tcW w:w="918"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数量</w:t>
            </w:r>
            <w:r>
              <w:rPr>
                <w:rFonts w:ascii="宋体" w:hAnsi="宋体" w:eastAsia="宋体" w:cs="宋体"/>
                <w:color w:val="000000"/>
                <w:sz w:val="24"/>
                <w:szCs w:val="24"/>
                <w:highlight w:val="none"/>
                <w:lang w:val="en-US" w:eastAsia="zh-CN" w:bidi="ar-SA"/>
              </w:rPr>
            </w:r>
            <w:r/>
          </w:p>
        </w:tc>
        <w:tc>
          <w:tcPr>
            <w:tcW w:w="1075"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金额（元）</w:t>
            </w:r>
            <w:r>
              <w:rPr>
                <w:rFonts w:ascii="宋体" w:hAnsi="宋体" w:eastAsia="宋体" w:cs="宋体"/>
                <w:color w:val="000000"/>
                <w:sz w:val="24"/>
                <w:szCs w:val="24"/>
                <w:highlight w:val="none"/>
                <w:lang w:val="en-US" w:eastAsia="zh-CN" w:bidi="ar-SA"/>
              </w:rPr>
            </w:r>
            <w:r/>
          </w:p>
        </w:tc>
        <w:tc>
          <w:tcPr>
            <w:tcW w:w="1380"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备注</w:t>
            </w:r>
            <w:r>
              <w:rPr>
                <w:rFonts w:ascii="宋体" w:hAnsi="宋体" w:eastAsia="宋体" w:cs="宋体"/>
                <w:color w:val="000000"/>
                <w:sz w:val="24"/>
                <w:szCs w:val="24"/>
                <w:highlight w:val="none"/>
                <w:lang w:val="en-US" w:eastAsia="zh-CN" w:bidi="ar"/>
              </w:rPr>
            </w:r>
            <w:r/>
          </w:p>
        </w:tc>
      </w:tr>
      <w:tr>
        <w:trPr>
          <w:trHeight w:val="567" w:hRule="exact"/>
        </w:trPr>
        <w:tc>
          <w:tcPr>
            <w:tcW w:w="1843"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273"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101"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088"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918"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075"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380"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r>
      <w:tr>
        <w:trPr>
          <w:trHeight w:val="567" w:hRule="exact"/>
        </w:trPr>
        <w:tc>
          <w:tcPr>
            <w:tcW w:w="1843"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273"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101"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088"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918"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075"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380"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r>
      <w:tr>
        <w:trPr>
          <w:trHeight w:val="567" w:hRule="exact"/>
        </w:trPr>
        <w:tc>
          <w:tcPr>
            <w:tcW w:w="1843"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r>
            <w:r/>
          </w:p>
        </w:tc>
        <w:tc>
          <w:tcPr>
            <w:tcW w:w="1273"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101"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088"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918"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075"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380"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r>
      <w:tr>
        <w:trPr>
          <w:trHeight w:val="537"/>
        </w:trPr>
        <w:tc>
          <w:tcPr>
            <w:gridSpan w:val="7"/>
            <w:tcW w:w="8678" w:type="dxa"/>
            <w:vAlign w:val="center"/>
            <w:textDirection w:val="lrTb"/>
            <w:noWrap w:val="false"/>
          </w:tcPr>
          <w:p>
            <w:pPr>
              <w:pStyle w:val="832"/>
              <w:jc w:val="lef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合计（大写）：人民币</w:t>
            </w:r>
            <w:r>
              <w:rPr>
                <w:rFonts w:hint="eastAsia" w:ascii="宋体" w:hAnsi="宋体" w:eastAsia="宋体" w:cs="宋体"/>
                <w:b/>
                <w:color w:val="000000"/>
                <w:sz w:val="24"/>
                <w:szCs w:val="24"/>
                <w:highlight w:val="none"/>
                <w:u w:val="single"/>
                <w:lang w:val="en-US" w:eastAsia="zh-CN" w:bidi="ar"/>
              </w:rPr>
              <w:t xml:space="preserve">       </w:t>
            </w:r>
            <w:r>
              <w:rPr>
                <w:rFonts w:hint="eastAsia" w:ascii="宋体" w:hAnsi="宋体" w:eastAsia="宋体" w:cs="宋体"/>
                <w:b/>
                <w:color w:val="000000"/>
                <w:sz w:val="24"/>
                <w:szCs w:val="24"/>
                <w:highlight w:val="none"/>
                <w:lang w:val="en-US" w:eastAsia="zh-CN" w:bidi="ar"/>
              </w:rPr>
              <w:t xml:space="preserve">元整 </w:t>
            </w:r>
            <w:r>
              <w:rPr>
                <w:rFonts w:hint="eastAsia" w:ascii="宋体" w:hAnsi="宋体" w:eastAsia="宋体" w:cs="宋体"/>
                <w:b/>
                <w:color w:val="000000"/>
                <w:sz w:val="24"/>
                <w:szCs w:val="24"/>
                <w:highlight w:val="none"/>
                <w:u w:val="single"/>
                <w:lang w:val="en-US" w:eastAsia="zh-CN" w:bidi="ar"/>
              </w:rPr>
              <w:t xml:space="preserve">       </w:t>
            </w:r>
            <w:r>
              <w:rPr>
                <w:rFonts w:hint="eastAsia" w:ascii="宋体" w:hAnsi="宋体" w:eastAsia="宋体" w:cs="宋体"/>
                <w:b/>
                <w:color w:val="000000"/>
                <w:sz w:val="24"/>
                <w:szCs w:val="24"/>
                <w:highlight w:val="none"/>
                <w:lang w:val="en-US" w:eastAsia="zh-CN" w:bidi="ar"/>
              </w:rPr>
              <w:t xml:space="preserve">（含税含运费）</w:t>
            </w:r>
            <w:r>
              <w:rPr>
                <w:rFonts w:ascii="宋体" w:hAnsi="宋体" w:eastAsia="宋体" w:cs="宋体"/>
                <w:color w:val="000000"/>
                <w:sz w:val="24"/>
                <w:szCs w:val="24"/>
                <w:highlight w:val="none"/>
                <w:lang w:val="en-US" w:eastAsia="zh-CN" w:bidi="ar"/>
              </w:rPr>
            </w:r>
            <w:r/>
          </w:p>
        </w:tc>
      </w:tr>
    </w:tbl>
    <w:p>
      <w:pPr>
        <w:pStyle w:val="832"/>
        <w:rPr>
          <w:rFonts w:ascii="宋体" w:hAnsi="宋体" w:cs="宋体"/>
          <w:color w:val="000000"/>
          <w:sz w:val="24"/>
          <w:highlight w:val="none"/>
        </w:rPr>
      </w:pPr>
      <w:r>
        <w:rPr>
          <w:rFonts w:ascii="宋体" w:hAnsi="宋体" w:cs="宋体"/>
          <w:color w:val="000000"/>
          <w:sz w:val="24"/>
          <w:highlight w:val="none"/>
        </w:rPr>
      </w:r>
      <w:r/>
    </w:p>
    <w:p>
      <w:pPr>
        <w:pStyle w:val="832"/>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1.2乙方应向甲方提供加盖印章的有效营业执照、产品合格证、使用说明书，进口产品的还应提供进口报关单、商检合格证等。</w:t>
      </w:r>
      <w:r>
        <w:rPr>
          <w:rFonts w:ascii="宋体" w:hAnsi="宋体" w:cs="宋体"/>
          <w:color w:val="000000"/>
          <w:sz w:val="24"/>
          <w:highlight w:val="none"/>
        </w:rPr>
      </w:r>
      <w:r/>
    </w:p>
    <w:p>
      <w:pPr>
        <w:pStyle w:val="11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rFonts w:ascii="宋体" w:hAnsi="宋体" w:cs="宋体"/>
          <w:color w:val="000000"/>
          <w:sz w:val="24"/>
          <w:highlight w:val="none"/>
        </w:rPr>
      </w:r>
      <w:r/>
    </w:p>
    <w:p>
      <w:pPr>
        <w:pStyle w:val="11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本项目所有设备应包含所有有关互连所需的相关配件，保证其能正常运行，甲方不再为此另行支付任何费用。</w:t>
      </w:r>
      <w:r>
        <w:rPr>
          <w:rFonts w:ascii="宋体" w:hAnsi="宋体" w:cs="宋体"/>
          <w:color w:val="000000"/>
          <w:sz w:val="24"/>
          <w:highlight w:val="none"/>
        </w:rPr>
      </w:r>
      <w:r/>
    </w:p>
    <w:p>
      <w:pPr>
        <w:pStyle w:val="83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2.交货方法、交货期限、到货地点及风险转移</w:t>
      </w:r>
      <w:r>
        <w:rPr>
          <w:rFonts w:ascii="宋体" w:hAnsi="宋体" w:cs="宋体"/>
          <w:b/>
          <w:color w:val="000000"/>
          <w:sz w:val="24"/>
          <w:highlight w:val="none"/>
        </w:rPr>
      </w:r>
      <w:r/>
    </w:p>
    <w:p>
      <w:pPr>
        <w:pStyle w:val="1175"/>
        <w:ind w:left="0"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2.1交货期：自本合同签订生效之日起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日内送达甲方指定地点，并安装调试完毕并投入使用。</w:t>
      </w:r>
      <w:r>
        <w:rPr>
          <w:rFonts w:ascii="宋体" w:hAnsi="宋体" w:cs="宋体"/>
          <w:bCs/>
          <w:color w:val="000000"/>
          <w:sz w:val="24"/>
          <w:highlight w:val="none"/>
        </w:rPr>
      </w:r>
      <w:r/>
    </w:p>
    <w:p>
      <w:pPr>
        <w:pStyle w:val="832"/>
        <w:ind w:firstLine="420"/>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2.2</w:t>
      </w:r>
      <w:r>
        <w:rPr>
          <w:rFonts w:hint="eastAsia" w:ascii="宋体" w:hAnsi="宋体" w:cs="宋体"/>
          <w:color w:val="000000"/>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ascii="宋体" w:hAnsi="宋体" w:cs="宋体"/>
          <w:color w:val="000000"/>
          <w:sz w:val="24"/>
          <w:highlight w:val="none"/>
        </w:rPr>
      </w:r>
      <w:r/>
    </w:p>
    <w:p>
      <w:pPr>
        <w:pStyle w:val="832"/>
        <w:ind w:firstLine="420"/>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2.3</w:t>
      </w:r>
      <w:r>
        <w:rPr>
          <w:rFonts w:hint="eastAsia" w:ascii="宋体" w:hAnsi="宋体" w:cs="宋体"/>
          <w:color w:val="000000"/>
          <w:sz w:val="24"/>
          <w:highlight w:val="none"/>
        </w:rPr>
        <w:t xml:space="preserve">甲方指定的到货地点：</w:t>
      </w:r>
      <w:r>
        <w:rPr>
          <w:rFonts w:hint="eastAsia" w:ascii="宋体" w:hAnsi="宋体" w:cs="宋体"/>
          <w:color w:val="000000"/>
          <w:sz w:val="24"/>
          <w:highlight w:val="none"/>
          <w:u w:val="single"/>
        </w:rPr>
        <w:t xml:space="preserve">徐州博物馆（徐州汉画像石艺术馆）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32"/>
        <w:ind w:firstLine="420"/>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2.4</w:t>
      </w:r>
      <w:r>
        <w:rPr>
          <w:rFonts w:hint="eastAsia" w:ascii="宋体" w:hAnsi="宋体" w:cs="宋体"/>
          <w:color w:val="000000"/>
          <w:sz w:val="24"/>
          <w:highlight w:val="none"/>
        </w:rPr>
        <w:t xml:space="preserve">在乙方将货物交付甲方指定的交货地点和人员前，货物的毁损、灭失风险完全由乙方承担。</w:t>
      </w:r>
      <w:r>
        <w:rPr>
          <w:rFonts w:ascii="宋体" w:hAnsi="宋体" w:cs="宋体"/>
          <w:color w:val="000000"/>
          <w:sz w:val="24"/>
          <w:highlight w:val="none"/>
        </w:rPr>
      </w:r>
      <w:r/>
    </w:p>
    <w:p>
      <w:pPr>
        <w:pStyle w:val="832"/>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3. 货物包装及质量保证</w:t>
      </w:r>
      <w:r>
        <w:rPr>
          <w:rFonts w:ascii="宋体" w:hAnsi="宋体" w:cs="宋体"/>
          <w:color w:val="000000"/>
          <w:sz w:val="24"/>
          <w:highlight w:val="none"/>
        </w:rPr>
      </w:r>
      <w:r/>
    </w:p>
    <w:p>
      <w:pPr>
        <w:pStyle w:val="83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3.3乙方应保证本合同货物和服务或其任何一部分享有合法专利权、版权、商标权和工业设计权等知识产权，或经第三方合法授权。一旦出现侵权，由乙方负全部责任。</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乙方保证提供的设备在正确安装、正常使用和保养条件下，具有良好性能。货物验收后，在质量保证期内，乙方对由于涉及、工艺或者材料的缺陷所发生的任何不足或故障承担责任，所产生的费用和损失由乙方承担。</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3.5乙方保证所提供设备的技术规格符合甲方采购需求，符合国家有关部门最新颁布的标准及规范。</w:t>
      </w:r>
      <w:r>
        <w:rPr>
          <w:rFonts w:ascii="宋体" w:hAnsi="宋体" w:cs="宋体"/>
          <w:color w:val="000000"/>
          <w:sz w:val="24"/>
          <w:highlight w:val="none"/>
        </w:rPr>
      </w:r>
      <w:r/>
    </w:p>
    <w:p>
      <w:pPr>
        <w:pStyle w:val="83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4.交货物验收、异议</w:t>
      </w:r>
      <w:r>
        <w:rPr>
          <w:rFonts w:ascii="宋体" w:hAnsi="宋体" w:cs="宋体"/>
          <w:b/>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4.1货物到达甲方指定到货地点后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日内，甲、乙双方共同进行验收、测试。</w:t>
      </w:r>
      <w:r>
        <w:rPr>
          <w:rFonts w:ascii="宋体" w:hAnsi="宋体" w:cs="宋体"/>
          <w:color w:val="000000"/>
          <w:sz w:val="24"/>
          <w:highlight w:val="none"/>
        </w:rPr>
      </w:r>
      <w:r/>
    </w:p>
    <w:p>
      <w:pPr>
        <w:pStyle w:val="832"/>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4.2验收标准:（1）货物外形、包装完好；（2）数量无误；（3）货物符合合同要求及标准，产品说明书对货物有质量说明的，也应符合该质量说明；</w:t>
      </w:r>
      <w:r>
        <w:rPr>
          <w:rFonts w:ascii="宋体" w:hAnsi="宋体" w:cs="宋体"/>
          <w:bCs/>
          <w:color w:val="000000"/>
          <w:sz w:val="24"/>
          <w:highlight w:val="none"/>
        </w:rPr>
      </w:r>
      <w:r/>
    </w:p>
    <w:p>
      <w:pPr>
        <w:pStyle w:val="832"/>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4.3 乙方交付设备时须将设备的装箱清单、用户手册、原厂保修卡、随机资料及配给、随机工具等交付甲方；乙方未完整交付本款规定单证和工具等的，视为未按照合同约定交货，乙方负责补齐，并视为逾期交货，由乙方承担相关违约责任。</w:t>
      </w:r>
      <w:r>
        <w:rPr>
          <w:rFonts w:ascii="宋体" w:hAnsi="宋体" w:cs="宋体"/>
          <w:bCs/>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4.</w:t>
      </w:r>
      <w:r>
        <w:rPr>
          <w:rFonts w:hint="eastAsia" w:ascii="宋体" w:hAnsi="宋体" w:cs="宋体"/>
          <w:color w:val="000000"/>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4.</w:t>
      </w:r>
      <w:r>
        <w:rPr>
          <w:rFonts w:hint="eastAsia" w:ascii="宋体" w:hAnsi="宋体" w:cs="宋体"/>
          <w:color w:val="000000"/>
          <w:sz w:val="24"/>
          <w:highlight w:val="none"/>
        </w:rPr>
        <w:t xml:space="preserve">5如甲方未按规定期限提出书面异议的，视为所交货物符合合同规定，但货物存在隐蔽瑕疵或者对质量保证期另有规定的除外。</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4.</w:t>
      </w:r>
      <w:r>
        <w:rPr>
          <w:rFonts w:hint="eastAsia" w:ascii="宋体" w:hAnsi="宋体" w:cs="宋体"/>
          <w:color w:val="000000"/>
          <w:sz w:val="24"/>
          <w:highlight w:val="none"/>
        </w:rPr>
        <w:t xml:space="preserve">6乙方在接到甲方书面异议后，应在三日内提出处理意见，否则，即视为默认甲方提出的异议和处理意见，乙方应照此执行。</w:t>
      </w:r>
      <w:r>
        <w:rPr>
          <w:rFonts w:ascii="宋体" w:hAnsi="宋体" w:cs="宋体"/>
          <w:color w:val="000000"/>
          <w:sz w:val="24"/>
          <w:highlight w:val="none"/>
        </w:rPr>
      </w:r>
      <w:r/>
    </w:p>
    <w:p>
      <w:pPr>
        <w:pStyle w:val="1176"/>
        <w:ind w:left="480"/>
        <w:spacing w:before="0" w:beforeAutospacing="0" w:after="0" w:afterAutospacing="0" w:line="360" w:lineRule="auto"/>
        <w:rPr>
          <w:b/>
          <w:color w:val="000000"/>
          <w:szCs w:val="24"/>
          <w:highlight w:val="none"/>
        </w:rPr>
      </w:pPr>
      <w:r>
        <w:rPr>
          <w:rFonts w:hint="eastAsia"/>
          <w:b/>
          <w:color w:val="000000"/>
          <w:szCs w:val="24"/>
          <w:highlight w:val="none"/>
        </w:rPr>
        <w:t xml:space="preserve">5. 安装、调试与验收</w:t>
      </w:r>
      <w:r>
        <w:rPr>
          <w:b/>
          <w:color w:val="000000"/>
          <w:szCs w:val="24"/>
          <w:highlight w:val="none"/>
        </w:rPr>
      </w:r>
      <w:r/>
    </w:p>
    <w:p>
      <w:pPr>
        <w:pStyle w:val="832"/>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5.</w:t>
      </w:r>
      <w:r>
        <w:rPr>
          <w:rFonts w:hint="eastAsia" w:ascii="宋体" w:hAnsi="宋体" w:cs="宋体"/>
          <w:color w:val="000000"/>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ascii="宋体" w:hAnsi="宋体" w:cs="宋体"/>
          <w:color w:val="000000"/>
          <w:sz w:val="24"/>
          <w:highlight w:val="none"/>
        </w:rPr>
      </w:r>
      <w:r/>
    </w:p>
    <w:p>
      <w:pPr>
        <w:pStyle w:val="11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5.2乙方提供设备安装和维修所需的专用工具和辅助材料。</w:t>
      </w:r>
      <w:r>
        <w:rPr>
          <w:rFonts w:ascii="宋体" w:hAnsi="宋体" w:cs="宋体"/>
          <w:color w:val="000000"/>
          <w:sz w:val="24"/>
          <w:highlight w:val="none"/>
        </w:rPr>
      </w:r>
      <w:r/>
    </w:p>
    <w:p>
      <w:pPr>
        <w:pStyle w:val="11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rPr>
          <w:rFonts w:ascii="宋体" w:hAnsi="宋体" w:cs="宋体"/>
          <w:color w:val="000000"/>
          <w:sz w:val="24"/>
          <w:highlight w:val="none"/>
        </w:rPr>
      </w:r>
      <w:r/>
    </w:p>
    <w:p>
      <w:pPr>
        <w:pStyle w:val="832"/>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乙方免费提供全套技术资料（产品使用手册、维修说明书、操作说明书等），如技术资料不全，甲方有权不支付货款。</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乙方所供设备如验收不合格，根据甲方的要求，乙方必须无条件换货或退货，由此引起的一切损失由乙方承担。</w:t>
      </w:r>
      <w:r>
        <w:rPr>
          <w:rFonts w:ascii="宋体" w:hAnsi="宋体" w:cs="宋体"/>
          <w:color w:val="000000"/>
          <w:sz w:val="24"/>
          <w:highlight w:val="none"/>
        </w:rPr>
      </w:r>
      <w:r/>
    </w:p>
    <w:p>
      <w:pPr>
        <w:pStyle w:val="832"/>
        <w:ind w:firstLine="482"/>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6.付款方式</w:t>
      </w:r>
      <w:r>
        <w:rPr>
          <w:rFonts w:hint="eastAsia" w:ascii="宋体" w:hAnsi="宋体" w:cs="宋体"/>
          <w:color w:val="000000"/>
          <w:sz w:val="24"/>
          <w:highlight w:val="none"/>
        </w:rPr>
        <w:t xml:space="preserve">（采购资金的支付方式、时间、条件）</w:t>
      </w:r>
      <w:r>
        <w:rPr>
          <w:rFonts w:ascii="宋体" w:hAnsi="宋体" w:cs="宋体"/>
          <w:color w:val="000000"/>
          <w:sz w:val="24"/>
          <w:highlight w:val="none"/>
        </w:rPr>
      </w:r>
      <w:r/>
    </w:p>
    <w:p>
      <w:pPr>
        <w:pStyle w:val="832"/>
        <w:ind w:firstLine="56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6.1本合同总金额为人民币大写金额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ascii="宋体" w:hAnsi="宋体" w:cs="宋体"/>
          <w:b/>
          <w:bCs/>
          <w:color w:val="000000"/>
          <w:sz w:val="24"/>
          <w:highlight w:val="none"/>
        </w:rPr>
      </w:r>
      <w:r/>
    </w:p>
    <w:p>
      <w:pPr>
        <w:pStyle w:val="832"/>
        <w:ind w:firstLine="56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rPr>
          <w:rFonts w:ascii="宋体" w:hAnsi="宋体" w:cs="宋体"/>
          <w:color w:val="000000"/>
          <w:sz w:val="24"/>
          <w:highlight w:val="none"/>
        </w:rPr>
      </w:r>
      <w:r/>
    </w:p>
    <w:p>
      <w:pPr>
        <w:pStyle w:val="1177"/>
        <w:ind w:firstLine="568"/>
        <w:spacing w:line="360" w:lineRule="auto"/>
        <w:rPr>
          <w:rFonts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rPr>
          <w:rFonts w:hAnsi="宋体" w:cs="宋体"/>
          <w:b/>
          <w:bCs/>
          <w:color w:val="000000"/>
          <w:sz w:val="24"/>
          <w:szCs w:val="24"/>
          <w:highlight w:val="none"/>
        </w:rPr>
      </w:r>
      <w:r/>
    </w:p>
    <w:p>
      <w:pPr>
        <w:pStyle w:val="1177"/>
        <w:ind w:firstLine="565"/>
        <w:spacing w:line="360" w:lineRule="auto"/>
        <w:rPr>
          <w:rFonts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四十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4</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rPr>
          <w:rFonts w:hAnsi="宋体" w:cs="宋体"/>
          <w:bCs/>
          <w:color w:val="000000"/>
          <w:sz w:val="24"/>
          <w:szCs w:val="24"/>
          <w:highlight w:val="none"/>
        </w:rPr>
      </w:r>
      <w:r/>
    </w:p>
    <w:p>
      <w:pPr>
        <w:pStyle w:val="1177"/>
        <w:ind w:firstLine="56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六</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6</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w:t>
      </w:r>
      <w:bookmarkStart w:id="2"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2"/>
      <w:r>
        <w:rPr>
          <w:rFonts w:hAnsi="宋体" w:cs="宋体"/>
          <w:color w:val="000000"/>
          <w:sz w:val="24"/>
          <w:szCs w:val="24"/>
          <w:highlight w:val="none"/>
        </w:rPr>
      </w:r>
      <w:r/>
    </w:p>
    <w:p>
      <w:pPr>
        <w:pStyle w:val="832"/>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rPr>
          <w:rFonts w:ascii="宋体" w:hAnsi="宋体" w:cs="宋体"/>
          <w:color w:val="000000"/>
          <w:sz w:val="24"/>
          <w:highlight w:val="none"/>
        </w:rPr>
      </w:r>
      <w:r/>
    </w:p>
    <w:p>
      <w:pPr>
        <w:pStyle w:val="832"/>
        <w:ind w:firstLine="56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rPr>
          <w:rFonts w:ascii="宋体" w:hAnsi="宋体" w:cs="宋体"/>
          <w:bCs/>
          <w:color w:val="000000"/>
          <w:sz w:val="24"/>
          <w:highlight w:val="none"/>
        </w:rPr>
      </w:r>
      <w:r/>
    </w:p>
    <w:p>
      <w:pPr>
        <w:pStyle w:val="832"/>
        <w:ind w:firstLine="565"/>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rPr>
          <w:rFonts w:ascii="宋体" w:hAnsi="宋体" w:cs="宋体"/>
          <w:b/>
          <w:color w:val="000000"/>
          <w:sz w:val="24"/>
          <w:highlight w:val="none"/>
        </w:rPr>
      </w:r>
      <w:r/>
    </w:p>
    <w:p>
      <w:pPr>
        <w:pStyle w:val="1177"/>
        <w:ind w:firstLine="565"/>
        <w:keepLines w:val="0"/>
        <w:keepNext w:val="0"/>
        <w:pageBreakBefore w:val="0"/>
        <w:spacing w:line="360" w:lineRule="auto"/>
        <w:widowControl w:val="off"/>
        <w:rPr>
          <w:rFonts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四</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4</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3" w:name="OLE_LINK9"/>
      <w:r>
        <w:rPr>
          <w:rFonts w:hint="eastAsia" w:hAnsi="宋体" w:cs="宋体"/>
          <w:color w:val="000000"/>
          <w:sz w:val="24"/>
          <w:szCs w:val="24"/>
          <w:highlight w:val="none"/>
        </w:rPr>
        <w:t xml:space="preserve">等额发票</w:t>
      </w:r>
      <w:bookmarkEnd w:id="3"/>
      <w:r>
        <w:rPr>
          <w:rFonts w:hint="eastAsia" w:hAnsi="宋体" w:cs="宋体"/>
          <w:color w:val="000000"/>
          <w:sz w:val="24"/>
          <w:szCs w:val="24"/>
          <w:highlight w:val="none"/>
        </w:rPr>
        <w:t xml:space="preserve">后10个工作日内办理财政资金申请手续，将资金支付到合同约定的乙方账户。</w:t>
      </w:r>
      <w:r>
        <w:rPr>
          <w:rFonts w:hAnsi="宋体" w:cs="宋体"/>
          <w:bCs/>
          <w:color w:val="000000"/>
          <w:sz w:val="24"/>
          <w:szCs w:val="24"/>
          <w:highlight w:val="none"/>
        </w:rPr>
      </w:r>
      <w:r/>
    </w:p>
    <w:p>
      <w:pPr>
        <w:pStyle w:val="1178"/>
        <w:ind w:firstLine="606"/>
        <w:keepLines w:val="0"/>
        <w:keepNext w:val="0"/>
        <w:pageBreakBefore w:val="0"/>
        <w:spacing w:line="360" w:lineRule="auto"/>
        <w:widowControl w:val="off"/>
        <w:rPr>
          <w:rFonts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六</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6</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rFonts w:hAnsi="宋体" w:cs="宋体"/>
          <w:color w:val="000000"/>
          <w:sz w:val="24"/>
          <w:szCs w:val="24"/>
          <w:highlight w:val="none"/>
        </w:rPr>
      </w:r>
      <w:r/>
    </w:p>
    <w:p>
      <w:pPr>
        <w:pStyle w:val="832"/>
        <w:ind w:firstLine="482"/>
        <w:jc w:val="left"/>
        <w:keepLines w:val="0"/>
        <w:keepNext w:val="0"/>
        <w:pageBreakBefore w:val="0"/>
        <w:spacing w:line="360" w:lineRule="auto"/>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付款方式三：乙方明确表示无需预付款的</w:t>
      </w:r>
      <w:r>
        <w:rPr>
          <w:rFonts w:hint="eastAsia" w:ascii="宋体" w:hAnsi="宋体" w:cs="宋体"/>
          <w:color w:val="000000"/>
          <w:sz w:val="24"/>
          <w:highlight w:val="none"/>
        </w:rPr>
        <w:t xml:space="preserve">（注：此条符合苏财购〔2020〕52号文件要求）</w:t>
      </w:r>
      <w:r>
        <w:rPr>
          <w:rFonts w:ascii="宋体" w:hAnsi="宋体" w:cs="宋体"/>
          <w:b/>
          <w:bCs/>
          <w:color w:val="000000"/>
          <w:sz w:val="24"/>
          <w:highlight w:val="none"/>
        </w:rPr>
      </w:r>
      <w:r/>
    </w:p>
    <w:p>
      <w:pPr>
        <w:pStyle w:val="1178"/>
        <w:ind w:firstLine="606"/>
        <w:keepLines w:val="0"/>
        <w:keepNext w:val="0"/>
        <w:pageBreakBefore w:val="0"/>
        <w:spacing w:line="360" w:lineRule="auto"/>
        <w:widowControl w:val="off"/>
        <w:rPr>
          <w:rFonts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100%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w:t>
      </w:r>
      <w:bookmarkStart w:id="4" w:name="_GoBack"/>
      <w:r/>
      <w:bookmarkEnd w:id="4"/>
      <w:r>
        <w:rPr>
          <w:rFonts w:hint="eastAsia" w:hAnsi="宋体" w:cs="宋体"/>
          <w:color w:val="000000"/>
          <w:sz w:val="24"/>
          <w:szCs w:val="24"/>
          <w:highlight w:val="none"/>
        </w:rPr>
        <w:t xml:space="preserve">理财政资金申请手续，将资金支付到合同约定的乙方账户。</w:t>
      </w:r>
      <w:r>
        <w:rPr>
          <w:rFonts w:hAnsi="宋体" w:cs="宋体"/>
          <w:color w:val="000000"/>
          <w:sz w:val="24"/>
          <w:szCs w:val="24"/>
          <w:highlight w:val="none"/>
        </w:rPr>
      </w:r>
      <w:r/>
    </w:p>
    <w:p>
      <w:pPr>
        <w:pStyle w:val="832"/>
        <w:ind w:firstLine="56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rPr>
          <w:rFonts w:ascii="宋体" w:hAnsi="宋体" w:cs="宋体"/>
          <w:color w:val="000000"/>
          <w:sz w:val="24"/>
          <w:highlight w:val="none"/>
        </w:rPr>
      </w:r>
      <w:r/>
    </w:p>
    <w:p>
      <w:pPr>
        <w:pStyle w:val="832"/>
        <w:ind w:firstLine="560"/>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rPr>
          <w:rFonts w:ascii="宋体" w:hAnsi="宋体" w:cs="宋体"/>
          <w:bCs/>
          <w:color w:val="000000"/>
          <w:sz w:val="24"/>
          <w:highlight w:val="none"/>
        </w:rPr>
      </w:r>
      <w:r/>
    </w:p>
    <w:p>
      <w:pPr>
        <w:pStyle w:val="832"/>
        <w:ind w:firstLine="482"/>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6.2 履约保证金退还的方式、时间、条件和不予退还的情形：无。</w:t>
      </w:r>
      <w:r>
        <w:rPr>
          <w:rFonts w:ascii="宋体" w:hAnsi="宋体" w:cs="宋体"/>
          <w:color w:val="000000"/>
          <w:sz w:val="24"/>
          <w:highlight w:val="none"/>
        </w:rPr>
      </w:r>
      <w:r/>
    </w:p>
    <w:p>
      <w:pPr>
        <w:pStyle w:val="832"/>
        <w:ind w:firstLine="482"/>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6.3 合同约定的乙方账户：</w:t>
      </w:r>
      <w:r>
        <w:rPr>
          <w:rFonts w:ascii="宋体" w:hAnsi="宋体" w:cs="宋体"/>
          <w:color w:val="000000"/>
          <w:sz w:val="24"/>
          <w:highlight w:val="none"/>
        </w:rPr>
      </w:r>
      <w:r/>
    </w:p>
    <w:p>
      <w:pPr>
        <w:pStyle w:val="832"/>
        <w:ind w:firstLine="482"/>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开户银行：</w:t>
      </w:r>
      <w:r>
        <w:rPr>
          <w:rFonts w:ascii="宋体" w:hAnsi="宋体" w:cs="宋体"/>
          <w:color w:val="000000"/>
          <w:sz w:val="24"/>
          <w:highlight w:val="none"/>
        </w:rPr>
      </w:r>
      <w:r/>
    </w:p>
    <w:p>
      <w:pPr>
        <w:pStyle w:val="1179"/>
        <w:ind w:firstLine="482"/>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银行帐号：</w:t>
      </w:r>
      <w:r>
        <w:rPr>
          <w:rFonts w:hint="eastAsia" w:ascii="宋体" w:hAnsi="宋体" w:eastAsia="宋体" w:cs="宋体"/>
          <w:bCs/>
          <w:color w:val="000000"/>
          <w:spacing w:val="0"/>
          <w:sz w:val="24"/>
          <w:szCs w:val="24"/>
          <w:highlight w:val="none"/>
        </w:rPr>
      </w:r>
      <w:r/>
    </w:p>
    <w:p>
      <w:pPr>
        <w:pStyle w:val="1179"/>
        <w:ind w:firstLine="482"/>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7.质量保证期及售后服务</w:t>
      </w:r>
      <w:r>
        <w:rPr>
          <w:rFonts w:hint="eastAsia" w:ascii="宋体" w:hAnsi="宋体" w:eastAsia="宋体" w:cs="宋体"/>
          <w:bCs/>
          <w:color w:val="000000"/>
          <w:spacing w:val="0"/>
          <w:sz w:val="24"/>
          <w:szCs w:val="24"/>
          <w:highlight w:val="none"/>
        </w:rPr>
      </w:r>
      <w:r/>
    </w:p>
    <w:p>
      <w:pPr>
        <w:pStyle w:val="1179"/>
        <w:ind w:firstLine="482"/>
        <w:spacing w:before="0" w:after="0" w:line="360" w:lineRule="auto"/>
        <w:shd w:val="clear" w:color="auto" w:fill="auto"/>
        <w:tabs>
          <w:tab w:val="left" w:pos="1009" w:leader="none"/>
        </w:tabs>
        <w:rPr>
          <w:rFonts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w:t>
      </w:r>
      <w:r>
        <w:rPr>
          <w:rFonts w:ascii="宋体" w:hAnsi="宋体" w:eastAsia="宋体" w:cs="宋体"/>
          <w:bCs/>
          <w:color w:val="000000"/>
          <w:spacing w:val="0"/>
          <w:sz w:val="24"/>
          <w:szCs w:val="24"/>
          <w:highlight w:val="none"/>
        </w:rPr>
      </w:r>
      <w:r/>
    </w:p>
    <w:p>
      <w:pPr>
        <w:pStyle w:val="1179"/>
        <w:ind w:firstLine="520"/>
        <w:spacing w:before="0" w:after="0" w:line="360" w:lineRule="auto"/>
        <w:shd w:val="clear" w:color="auto" w:fill="auto"/>
        <w:tabs>
          <w:tab w:val="left" w:pos="1008"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bidi="zh-CN"/>
        </w:rPr>
        <w:t xml:space="preserve">7.2质保期间如属产品质量引起的配件损坏，一切维修换件保养费用和备品备件，均由乙方免费提供和更换；</w:t>
      </w:r>
      <w:r>
        <w:rPr>
          <w:rFonts w:ascii="宋体" w:hAnsi="宋体" w:eastAsia="宋体" w:cs="宋体"/>
          <w:color w:val="000000"/>
          <w:sz w:val="24"/>
          <w:szCs w:val="24"/>
          <w:highlight w:val="none"/>
        </w:rPr>
      </w:r>
      <w:r/>
    </w:p>
    <w:p>
      <w:pPr>
        <w:pStyle w:val="1179"/>
        <w:ind w:firstLine="520"/>
        <w:spacing w:before="0" w:after="0" w:line="360" w:lineRule="auto"/>
        <w:shd w:val="clear" w:color="auto" w:fill="auto"/>
        <w:tabs>
          <w:tab w:val="left" w:pos="1028"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zh-CN"/>
        </w:rPr>
        <w:t xml:space="preserve">7.3</w:t>
      </w:r>
      <w:r>
        <w:rPr>
          <w:rFonts w:hint="eastAsia" w:ascii="宋体" w:hAnsi="宋体" w:eastAsia="宋体" w:cs="宋体"/>
          <w:color w:val="000000"/>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rFonts w:ascii="宋体" w:hAnsi="宋体" w:eastAsia="宋体" w:cs="宋体"/>
          <w:color w:val="000000"/>
          <w:sz w:val="24"/>
          <w:szCs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7.4如设备发生故障，乙方在接到甲方报修电话后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小时内予以响应，</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小时内到达现场解决问题。故障不能现场排除的，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日内提供备用</w:t>
      </w:r>
      <w:r>
        <w:rPr>
          <w:rFonts w:hint="eastAsia" w:ascii="宋体" w:hAnsi="宋体" w:cs="宋体"/>
          <w:color w:val="000000"/>
          <w:sz w:val="24"/>
          <w:highlight w:val="none"/>
          <w:lang w:val="en-US" w:eastAsia="zh-CN"/>
        </w:rPr>
        <w:t xml:space="preserve">设备</w:t>
      </w:r>
      <w:r>
        <w:rPr>
          <w:rFonts w:hint="eastAsia" w:ascii="宋体" w:hAnsi="宋体" w:cs="宋体"/>
          <w:color w:val="000000"/>
          <w:sz w:val="24"/>
          <w:highlight w:val="none"/>
        </w:rPr>
        <w:t xml:space="preserve">，否则甲方可自行采取必要的措施，由此产生的风险和费用由乙方承担。如有特殊情况，乙方应立即电话通知甲方不能响应的原因，在获得甲方同意后，才可推迟响应时间。</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无论在质保期内还是质保期外，乙方必须上门维修，乙方工程师来甲方维修本设备，必须事先与甲方取得联系，并与甲方共同完成维修工作。乙方未尽到维修质保义务的，甲方可以委托第三方维修，甲方有权向乙方追偿。</w:t>
      </w:r>
      <w:r>
        <w:rPr>
          <w:rFonts w:ascii="宋体" w:hAnsi="宋体" w:cs="宋体"/>
          <w:color w:val="000000"/>
          <w:sz w:val="24"/>
          <w:highlight w:val="none"/>
        </w:rPr>
      </w:r>
      <w:r/>
    </w:p>
    <w:p>
      <w:pPr>
        <w:pStyle w:val="83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8. 技术培训</w:t>
      </w:r>
      <w:r>
        <w:rPr>
          <w:rFonts w:ascii="宋体" w:hAnsi="宋体" w:cs="宋体"/>
          <w:b/>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8.1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ascii="宋体" w:hAnsi="宋体" w:cs="宋体"/>
          <w:color w:val="000000"/>
          <w:sz w:val="24"/>
          <w:highlight w:val="none"/>
        </w:rPr>
      </w:r>
      <w:r/>
    </w:p>
    <w:p>
      <w:pPr>
        <w:pStyle w:val="83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9．知识产权 </w:t>
      </w:r>
      <w:r>
        <w:rPr>
          <w:rFonts w:ascii="宋体" w:hAnsi="宋体" w:cs="宋体"/>
          <w:b/>
          <w:color w:val="000000"/>
          <w:sz w:val="24"/>
          <w:highlight w:val="none"/>
        </w:rPr>
      </w:r>
      <w:r/>
    </w:p>
    <w:p>
      <w:pPr>
        <w:pStyle w:val="11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rFonts w:ascii="宋体" w:hAnsi="宋体" w:cs="宋体"/>
          <w:color w:val="000000"/>
          <w:sz w:val="24"/>
          <w:highlight w:val="none"/>
        </w:rPr>
      </w:r>
      <w:r/>
    </w:p>
    <w:p>
      <w:pPr>
        <w:pStyle w:val="11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9.2本合同价包含所有应向所有权人支付的专利权、商标权或其它知识产权的一切相关费用。</w:t>
      </w:r>
      <w:r>
        <w:rPr>
          <w:rFonts w:ascii="宋体" w:hAnsi="宋体" w:cs="宋体"/>
          <w:color w:val="000000"/>
          <w:sz w:val="24"/>
          <w:highlight w:val="none"/>
        </w:rPr>
      </w:r>
      <w:r/>
    </w:p>
    <w:p>
      <w:pPr>
        <w:pStyle w:val="11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乙方需对所有成果、产品的知识产权负有瑕疵担保责任，因使用未被授权使用的技术、组件、系统软件、通用软件等知识产权问题引起的纠纷所产生的所有责任及费用由乙方自行承担。</w:t>
      </w:r>
      <w:r>
        <w:rPr>
          <w:rFonts w:ascii="宋体" w:hAnsi="宋体" w:cs="宋体"/>
          <w:color w:val="000000"/>
          <w:sz w:val="24"/>
          <w:highlight w:val="none"/>
        </w:rPr>
      </w:r>
      <w:r/>
    </w:p>
    <w:p>
      <w:pPr>
        <w:pStyle w:val="832"/>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10.违约责任</w:t>
      </w:r>
      <w:r>
        <w:rPr>
          <w:rFonts w:ascii="宋体" w:hAnsi="宋体" w:cs="宋体"/>
          <w:b/>
          <w:bCs/>
          <w:color w:val="000000"/>
          <w:sz w:val="24"/>
          <w:highlight w:val="none"/>
        </w:rPr>
      </w:r>
      <w:r/>
    </w:p>
    <w:p>
      <w:pPr>
        <w:pStyle w:val="83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10.1乙方的违约责任：</w:t>
      </w:r>
      <w:r>
        <w:rPr>
          <w:rFonts w:ascii="宋体" w:hAnsi="宋体" w:cs="宋体"/>
          <w:b/>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ascii="宋体" w:hAnsi="宋体" w:cs="宋体"/>
          <w:color w:val="000000"/>
          <w:sz w:val="24"/>
          <w:highlight w:val="none"/>
        </w:rPr>
      </w:r>
      <w:r/>
    </w:p>
    <w:p>
      <w:pPr>
        <w:pStyle w:val="832"/>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w:t>
      </w:r>
      <w:r>
        <w:rPr>
          <w:rFonts w:hint="eastAsia" w:ascii="宋体" w:hAnsi="宋体" w:cs="宋体"/>
          <w:color w:val="000000"/>
          <w:sz w:val="24"/>
          <w:highlight w:val="none"/>
          <w:lang w:val="en-US" w:eastAsia="zh-CN"/>
        </w:rPr>
        <w:t xml:space="preserve">上述要求</w:t>
      </w:r>
      <w:r>
        <w:rPr>
          <w:rFonts w:hint="eastAsia" w:ascii="宋体" w:hAnsi="宋体" w:cs="宋体"/>
          <w:color w:val="000000"/>
          <w:sz w:val="24"/>
          <w:highlight w:val="none"/>
        </w:rPr>
        <w:t xml:space="preserve">承担逾期交货违约责任；甲方不再需要的，乙方应当在接到通知后合同即解除，并按合同总金额的</w:t>
      </w:r>
      <w:r>
        <w:rPr>
          <w:rFonts w:hint="eastAsia" w:ascii="宋体" w:hAnsi="宋体" w:cs="宋体"/>
          <w:color w:val="000000"/>
          <w:sz w:val="24"/>
          <w:highlight w:val="none"/>
          <w:u w:val="single"/>
        </w:rPr>
        <w:t xml:space="preserve">百分之十</w:t>
      </w:r>
      <w:r>
        <w:rPr>
          <w:rFonts w:hint="eastAsia" w:ascii="宋体" w:hAnsi="宋体" w:cs="宋体"/>
          <w:color w:val="000000"/>
          <w:sz w:val="24"/>
          <w:highlight w:val="none"/>
        </w:rPr>
        <w:t xml:space="preserve">向甲方支付违约金，并赔偿因此造成的损失。</w:t>
      </w:r>
      <w:r>
        <w:rPr>
          <w:rFonts w:ascii="宋体" w:hAnsi="宋体" w:cs="宋体"/>
          <w:color w:val="000000"/>
          <w:sz w:val="24"/>
          <w:highlight w:val="none"/>
        </w:rPr>
      </w:r>
      <w:r/>
    </w:p>
    <w:p>
      <w:pPr>
        <w:pStyle w:val="832"/>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ascii="宋体" w:hAnsi="宋体" w:cs="宋体"/>
          <w:color w:val="000000"/>
          <w:sz w:val="24"/>
          <w:highlight w:val="none"/>
        </w:rPr>
      </w:r>
      <w:r/>
    </w:p>
    <w:p>
      <w:pPr>
        <w:pStyle w:val="832"/>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ascii="宋体" w:hAnsi="宋体" w:cs="宋体"/>
          <w:color w:val="000000"/>
          <w:sz w:val="24"/>
          <w:highlight w:val="none"/>
        </w:rPr>
      </w:r>
      <w:r/>
    </w:p>
    <w:p>
      <w:pPr>
        <w:pStyle w:val="832"/>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rFonts w:ascii="宋体" w:hAnsi="宋体" w:cs="宋体"/>
          <w:color w:val="000000"/>
          <w:sz w:val="24"/>
          <w:highlight w:val="none"/>
        </w:rPr>
      </w:r>
      <w:r/>
    </w:p>
    <w:p>
      <w:pPr>
        <w:pStyle w:val="832"/>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rFonts w:ascii="宋体" w:hAnsi="宋体" w:cs="宋体"/>
          <w:color w:val="000000"/>
          <w:sz w:val="24"/>
          <w:highlight w:val="none"/>
        </w:rPr>
      </w:r>
      <w:r/>
    </w:p>
    <w:p>
      <w:pPr>
        <w:pStyle w:val="832"/>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10.2甲方违约责任：</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10.2.1非乙方供货质量问题，甲方中途不得退货，否则甲方应按合同总额的</w:t>
      </w:r>
      <w:r>
        <w:rPr>
          <w:rFonts w:hint="eastAsia" w:ascii="宋体" w:hAnsi="宋体" w:cs="宋体"/>
          <w:color w:val="000000"/>
          <w:sz w:val="24"/>
          <w:highlight w:val="none"/>
          <w:u w:val="single"/>
        </w:rPr>
        <w:t xml:space="preserve">百分之十</w:t>
      </w:r>
      <w:r>
        <w:rPr>
          <w:rFonts w:hint="eastAsia" w:ascii="宋体" w:hAnsi="宋体" w:cs="宋体"/>
          <w:color w:val="000000"/>
          <w:sz w:val="24"/>
          <w:highlight w:val="none"/>
        </w:rPr>
        <w:t xml:space="preserve">向乙方支付违约金。</w:t>
      </w:r>
      <w:r>
        <w:rPr>
          <w:rFonts w:ascii="宋体" w:hAnsi="宋体" w:cs="宋体"/>
          <w:color w:val="000000"/>
          <w:sz w:val="24"/>
          <w:highlight w:val="none"/>
        </w:rPr>
      </w:r>
      <w:r/>
    </w:p>
    <w:p>
      <w:pPr>
        <w:pStyle w:val="83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11.不可抗力</w:t>
      </w:r>
      <w:r>
        <w:rPr>
          <w:rFonts w:ascii="宋体" w:hAnsi="宋体" w:cs="宋体"/>
          <w:b/>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ascii="宋体" w:hAnsi="宋体" w:cs="宋体"/>
          <w:color w:val="000000"/>
          <w:sz w:val="24"/>
          <w:highlight w:val="none"/>
        </w:rPr>
      </w:r>
      <w:r/>
    </w:p>
    <w:p>
      <w:pPr>
        <w:pStyle w:val="1176"/>
        <w:ind w:firstLine="472"/>
        <w:spacing w:before="0" w:beforeAutospacing="0" w:after="0" w:afterAutospacing="0" w:line="360" w:lineRule="auto"/>
        <w:rPr>
          <w:b/>
          <w:color w:val="000000"/>
          <w:highlight w:val="none"/>
        </w:rPr>
      </w:pPr>
      <w:r>
        <w:rPr>
          <w:rFonts w:hint="eastAsia"/>
          <w:b/>
          <w:bCs/>
          <w:color w:val="000000"/>
          <w:highlight w:val="none"/>
        </w:rPr>
        <w:t xml:space="preserve">12.</w:t>
      </w:r>
      <w:r>
        <w:rPr>
          <w:rFonts w:hint="eastAsia"/>
          <w:b/>
          <w:color w:val="000000"/>
          <w:highlight w:val="none"/>
        </w:rPr>
        <w:t xml:space="preserve">争议解决方法</w:t>
      </w:r>
      <w:r>
        <w:rPr>
          <w:b/>
          <w:color w:val="000000"/>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甲、乙双方因履行本合同发生争议时，应友好协商；协商不成时，向甲方所在地人民法院提出诉讼。</w:t>
      </w:r>
      <w:r>
        <w:rPr>
          <w:rFonts w:ascii="宋体" w:hAnsi="宋体" w:cs="宋体"/>
          <w:color w:val="000000"/>
          <w:sz w:val="24"/>
          <w:highlight w:val="none"/>
        </w:rPr>
      </w:r>
      <w:r/>
    </w:p>
    <w:p>
      <w:pPr>
        <w:pStyle w:val="83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13.其它</w:t>
      </w:r>
      <w:r>
        <w:rPr>
          <w:rFonts w:ascii="宋体" w:hAnsi="宋体" w:cs="宋体"/>
          <w:b/>
          <w:bCs/>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rFonts w:ascii="宋体" w:hAnsi="宋体" w:cs="宋体"/>
          <w:color w:val="000000"/>
          <w:sz w:val="24"/>
          <w:highlight w:val="none"/>
        </w:rPr>
      </w:r>
      <w:r/>
    </w:p>
    <w:p>
      <w:pPr>
        <w:pStyle w:val="8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13.2本合同壹式</w:t>
      </w:r>
      <w:r>
        <w:rPr>
          <w:rFonts w:hint="eastAsia" w:ascii="宋体" w:hAnsi="宋体" w:cs="宋体"/>
          <w:color w:val="000000"/>
          <w:sz w:val="24"/>
          <w:highlight w:val="none"/>
          <w:u w:val="single"/>
        </w:rPr>
        <w:t xml:space="preserve">4</w:t>
      </w:r>
      <w:r>
        <w:rPr>
          <w:rFonts w:hint="eastAsia" w:ascii="宋体" w:hAnsi="宋体" w:cs="宋体"/>
          <w:color w:val="000000"/>
          <w:sz w:val="24"/>
          <w:highlight w:val="none"/>
        </w:rPr>
        <w:t xml:space="preserve">份，甲方执</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rPr>
        <w:t xml:space="preserve">份，乙方执</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份，备案1份。</w:t>
      </w:r>
      <w:r>
        <w:rPr>
          <w:rFonts w:ascii="宋体" w:hAnsi="宋体" w:cs="宋体"/>
          <w:color w:val="000000"/>
          <w:sz w:val="24"/>
          <w:highlight w:val="none"/>
        </w:rPr>
      </w:r>
      <w:r/>
    </w:p>
    <w:p>
      <w:pPr>
        <w:pStyle w:val="832"/>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  14.合同附件</w:t>
      </w:r>
      <w:r>
        <w:rPr>
          <w:rFonts w:ascii="宋体" w:hAnsi="宋体" w:cs="宋体"/>
          <w:b/>
          <w:bCs/>
          <w:color w:val="000000"/>
          <w:sz w:val="24"/>
          <w:highlight w:val="none"/>
        </w:rPr>
      </w:r>
      <w:r/>
    </w:p>
    <w:p>
      <w:pPr>
        <w:pStyle w:val="8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（下页为合同签署页）</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Pr>
      <w:r>
        <w:rPr>
          <w:rFonts w:ascii="宋体" w:hAnsi="宋体" w:cs="宋体"/>
          <w:color w:val="000000"/>
          <w:sz w:val="24"/>
          <w:highlight w:val="none"/>
        </w:rPr>
      </w:r>
      <w:r/>
    </w:p>
    <w:p>
      <w:pPr>
        <w:pStyle w:val="8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  方：徐州博物馆（徐州汉画像石艺术馆）  乙 方：</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法定代表人：                         </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委托代理人：                         委托代理人: </w:t>
      </w:r>
      <w:r>
        <w:rPr>
          <w:rFonts w:ascii="宋体" w:hAnsi="宋体" w:cs="宋体"/>
          <w:color w:val="000000"/>
          <w:sz w:val="24"/>
          <w:highlight w:val="none"/>
        </w:rPr>
      </w:r>
      <w:r/>
    </w:p>
    <w:p>
      <w:pPr>
        <w:pStyle w:val="832"/>
        <w:ind w:left="6000" w:hanging="6000"/>
        <w:jc w:val="left"/>
        <w:spacing w:line="360" w:lineRule="auto"/>
        <w:tabs>
          <w:tab w:val="left" w:pos="4671" w:leader="none"/>
        </w:tabs>
        <w:rPr>
          <w:rFonts w:ascii="宋体" w:hAnsi="宋体" w:cs="宋体"/>
          <w:color w:val="000000"/>
          <w:sz w:val="24"/>
          <w:highlight w:val="none"/>
        </w:rPr>
      </w:pPr>
      <w:r>
        <w:rPr>
          <w:rFonts w:hint="eastAsia" w:ascii="宋体" w:hAnsi="宋体" w:cs="宋体"/>
          <w:color w:val="000000"/>
          <w:sz w:val="24"/>
          <w:highlight w:val="none"/>
        </w:rPr>
        <w:t xml:space="preserve">地址：                               地址： </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  话：                             电 话：</w:t>
      </w:r>
      <w:r>
        <w:rPr>
          <w:rFonts w:ascii="宋体" w:hAnsi="宋体" w:cs="宋体"/>
          <w:color w:val="000000"/>
          <w:sz w:val="24"/>
          <w:highlight w:val="none"/>
        </w:rPr>
      </w:r>
      <w:r/>
    </w:p>
    <w:p>
      <w:pPr>
        <w:pStyle w:val="832"/>
        <w:ind w:left="4556" w:hanging="31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开 户 行：</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账 号：  </w:t>
      </w:r>
      <w:r>
        <w:rPr>
          <w:rFonts w:ascii="宋体" w:hAnsi="宋体" w:cs="宋体"/>
          <w:color w:val="000000"/>
          <w:sz w:val="24"/>
          <w:highlight w:val="none"/>
        </w:rPr>
      </w:r>
      <w:r/>
    </w:p>
    <w:p>
      <w:pPr>
        <w:pStyle w:val="8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签订日期：                           签订日期： </w:t>
      </w:r>
      <w:r>
        <w:rPr>
          <w:rFonts w:ascii="宋体" w:hAnsi="宋体" w:cs="宋体"/>
          <w:color w:val="000000"/>
          <w:sz w:val="24"/>
          <w:highlight w:val="none"/>
        </w:rPr>
      </w:r>
      <w:r/>
    </w:p>
    <w:p>
      <w:pPr>
        <w:pStyle w:val="832"/>
        <w:ind w:firstLine="600"/>
        <w:jc w:val="center"/>
        <w:spacing w:line="360"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32"/>
        <w:ind w:firstLine="600"/>
        <w:jc w:val="center"/>
        <w:spacing w:line="360"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32"/>
        <w:ind w:firstLine="600"/>
        <w:jc w:val="center"/>
        <w:spacing w:line="360"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32"/>
        <w:ind w:firstLine="600"/>
        <w:jc w:val="center"/>
        <w:spacing w:line="360"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32"/>
        <w:ind w:firstLine="600"/>
        <w:jc w:val="center"/>
        <w:spacing w:line="360"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32"/>
        <w:ind w:firstLine="600"/>
        <w:jc w:val="center"/>
        <w:spacing w:line="360" w:lineRule="auto"/>
        <w:widowControl/>
        <w:rPr>
          <w:rFonts w:ascii="宋体" w:hAnsi="宋体" w:cs="宋体"/>
          <w:color w:val="000000"/>
          <w:sz w:val="24"/>
          <w:highlight w:val="none"/>
        </w:rPr>
      </w:pPr>
      <w:r>
        <w:rPr>
          <w:rFonts w:hint="eastAsia" w:ascii="宋体" w:hAnsi="宋体" w:cs="宋体"/>
          <w:b/>
          <w:bCs/>
          <w:color w:val="000000"/>
          <w:sz w:val="32"/>
          <w:szCs w:val="32"/>
          <w:highlight w:val="none"/>
        </w:rPr>
        <w:t xml:space="preserve">合同附件</w:t>
      </w:r>
      <w:r>
        <w:rPr>
          <w:rFonts w:ascii="宋体" w:hAnsi="宋体" w:cs="宋体"/>
          <w:color w:val="000000"/>
          <w:sz w:val="24"/>
          <w:highlight w:val="none"/>
        </w:rPr>
      </w:r>
      <w:r/>
    </w:p>
    <w:p>
      <w:pPr>
        <w:pStyle w:val="832"/>
        <w:ind w:firstLine="560"/>
        <w:jc w:val="center"/>
        <w:spacing w:line="360" w:lineRule="auto"/>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目 录</w:t>
      </w:r>
      <w:r>
        <w:rPr>
          <w:rFonts w:ascii="宋体" w:hAnsi="宋体" w:cs="宋体"/>
          <w:color w:val="000000"/>
          <w:sz w:val="28"/>
          <w:szCs w:val="28"/>
          <w:highlight w:val="none"/>
        </w:rPr>
      </w:r>
      <w:r/>
    </w:p>
    <w:p>
      <w:pPr>
        <w:pStyle w:val="83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合同附件1：合同协议书</w:t>
      </w:r>
      <w:r>
        <w:rPr>
          <w:rFonts w:ascii="宋体" w:hAnsi="宋体" w:cs="宋体"/>
          <w:color w:val="000000"/>
          <w:sz w:val="24"/>
          <w:highlight w:val="none"/>
        </w:rPr>
      </w:r>
      <w:r/>
    </w:p>
    <w:p>
      <w:pPr>
        <w:pStyle w:val="83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合同附件2：技术规格和技术性能(要求见招标文件第六章《采购需求》；合同见卖方投标文件中《技术规格说明》。)</w:t>
      </w:r>
      <w:r>
        <w:rPr>
          <w:rFonts w:ascii="宋体" w:hAnsi="宋体" w:cs="宋体"/>
          <w:color w:val="000000"/>
          <w:sz w:val="24"/>
          <w:highlight w:val="none"/>
        </w:rPr>
      </w:r>
      <w:r/>
    </w:p>
    <w:p>
      <w:pPr>
        <w:pStyle w:val="83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合同附件3：售后服务(要求见招标文件第六章《采购需求》；合同见卖方投标文件中《售后服务方案》。)</w:t>
      </w:r>
      <w:r>
        <w:rPr>
          <w:rFonts w:ascii="宋体" w:hAnsi="宋体" w:cs="宋体"/>
          <w:color w:val="000000"/>
          <w:sz w:val="24"/>
          <w:highlight w:val="none"/>
        </w:rPr>
      </w:r>
      <w:r/>
    </w:p>
    <w:p>
      <w:pPr>
        <w:pStyle w:val="83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合同附件4：供货范围和价格清单(要求见招标文件第七章《投标文件相关格式》中《开标一览表》和《分项价格表》；合同见卖方投标文件中《开标一览表》和《分项价格表》。)</w:t>
      </w:r>
      <w:r>
        <w:rPr>
          <w:rFonts w:ascii="宋体" w:hAnsi="宋体" w:cs="宋体"/>
          <w:color w:val="000000"/>
          <w:sz w:val="24"/>
          <w:highlight w:val="none"/>
        </w:rPr>
      </w:r>
      <w:r/>
    </w:p>
    <w:p>
      <w:pPr>
        <w:pStyle w:val="83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合同附件5：验收标准（验收要求、验收标准和程序）</w:t>
      </w:r>
      <w:r>
        <w:rPr>
          <w:rFonts w:ascii="宋体" w:hAnsi="宋体" w:cs="宋体"/>
          <w:color w:val="000000"/>
          <w:sz w:val="24"/>
          <w:highlight w:val="none"/>
        </w:rPr>
      </w:r>
      <w:r/>
    </w:p>
    <w:p>
      <w:pPr>
        <w:pStyle w:val="83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合同附件6：采购需求(见招标文件第六章《采购需求》。)</w:t>
      </w:r>
      <w:r>
        <w:rPr>
          <w:rFonts w:ascii="宋体" w:hAnsi="宋体" w:cs="宋体"/>
          <w:color w:val="000000"/>
          <w:sz w:val="24"/>
          <w:highlight w:val="none"/>
        </w:rPr>
      </w:r>
      <w:r/>
    </w:p>
    <w:p>
      <w:pPr>
        <w:pStyle w:val="832"/>
        <w:ind w:firstLine="600"/>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32"/>
        <w:ind w:firstLine="600"/>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32"/>
        <w:ind w:firstLine="600"/>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32"/>
        <w:ind w:firstLine="600"/>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32"/>
        <w:ind w:firstLine="600"/>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32"/>
        <w:ind w:firstLine="600"/>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32"/>
        <w:ind w:firstLine="600"/>
        <w:jc w:val="center"/>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32"/>
        <w:ind w:firstLine="600"/>
        <w:jc w:val="center"/>
        <w:spacing w:line="400" w:lineRule="exact"/>
        <w:widowControl/>
        <w:rPr>
          <w:rFonts w:ascii="宋体" w:hAnsi="宋体" w:cs="宋体"/>
          <w:color w:val="000000"/>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24"/>
          <w:highlight w:val="none"/>
        </w:rPr>
      </w:r>
      <w:r/>
    </w:p>
    <w:p>
      <w:pPr>
        <w:pStyle w:val="83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合同附件1：</w:t>
      </w:r>
      <w:r>
        <w:rPr>
          <w:rFonts w:ascii="宋体" w:hAnsi="宋体" w:cs="宋体"/>
          <w:b/>
          <w:bCs/>
          <w:color w:val="000000"/>
          <w:sz w:val="24"/>
          <w:highlight w:val="none"/>
        </w:rPr>
      </w:r>
      <w:r/>
    </w:p>
    <w:p>
      <w:pPr>
        <w:pStyle w:val="83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合同协议书</w:t>
      </w:r>
      <w:r>
        <w:rPr>
          <w:rFonts w:ascii="宋体" w:hAnsi="宋体" w:cs="宋体"/>
          <w:b/>
          <w:bCs/>
          <w:color w:val="000000"/>
          <w:sz w:val="32"/>
          <w:szCs w:val="32"/>
          <w:highlight w:val="none"/>
        </w:rPr>
      </w:r>
      <w:r/>
    </w:p>
    <w:p>
      <w:pPr>
        <w:pStyle w:val="832"/>
        <w:jc w:val="righ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合同编号:____________ </w:t>
      </w:r>
      <w:r>
        <w:rPr>
          <w:rFonts w:ascii="宋体" w:hAnsi="宋体" w:cs="宋体"/>
          <w:color w:val="000000"/>
          <w:sz w:val="24"/>
          <w:highlight w:val="none"/>
        </w:rPr>
      </w:r>
      <w:r/>
    </w:p>
    <w:p>
      <w:pPr>
        <w:pStyle w:val="832"/>
        <w:jc w:val="righ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签字日期:____________ </w:t>
      </w:r>
      <w:r>
        <w:rPr>
          <w:rFonts w:ascii="宋体" w:hAnsi="宋体" w:cs="宋体"/>
          <w:color w:val="000000"/>
          <w:sz w:val="24"/>
          <w:highlight w:val="none"/>
        </w:rPr>
      </w:r>
      <w:r/>
    </w:p>
    <w:p>
      <w:pPr>
        <w:pStyle w:val="832"/>
        <w:jc w:val="righ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签字地点:____________ </w:t>
      </w:r>
      <w:r>
        <w:rPr>
          <w:rFonts w:ascii="宋体" w:hAnsi="宋体" w:cs="宋体"/>
          <w:color w:val="000000"/>
          <w:sz w:val="24"/>
          <w:highlight w:val="none"/>
        </w:rPr>
      </w:r>
      <w:r/>
    </w:p>
    <w:p>
      <w:pPr>
        <w:pStyle w:val="832"/>
        <w:ind w:firstLine="480"/>
        <w:spacing w:line="360" w:lineRule="exact"/>
        <w:rPr>
          <w:rFonts w:ascii="宋体" w:hAnsi="宋体" w:cs="宋体"/>
          <w:color w:val="000000"/>
          <w:sz w:val="24"/>
          <w:highlight w:val="none"/>
        </w:rPr>
      </w:pPr>
      <w:r>
        <w:rPr>
          <w:rFonts w:hint="eastAsia" w:ascii="宋体" w:hAnsi="宋体" w:cs="宋体"/>
          <w:color w:val="000000"/>
          <w:sz w:val="24"/>
          <w:highlight w:val="none"/>
          <w:u w:val="single"/>
        </w:rPr>
        <w:t xml:space="preserve">徐州博物馆（徐州汉画像石艺术馆）</w:t>
      </w:r>
      <w:r>
        <w:rPr>
          <w:rFonts w:hint="eastAsia" w:ascii="宋体" w:hAnsi="宋体" w:cs="宋体"/>
          <w:color w:val="000000"/>
          <w:sz w:val="24"/>
          <w:highlight w:val="none"/>
        </w:rPr>
        <w:t xml:space="preserve">（买方名称）（以下简称“买方”）已接受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（卖方名称）（以下简称“卖方”）对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）的投标。买方和卖方共同达成如下协议。</w:t>
      </w:r>
      <w:r>
        <w:rPr>
          <w:rFonts w:ascii="宋体" w:hAnsi="宋体" w:cs="宋体"/>
          <w:color w:val="000000"/>
          <w:sz w:val="24"/>
          <w:highlight w:val="none"/>
        </w:rPr>
      </w:r>
      <w:r/>
    </w:p>
    <w:p>
      <w:pPr>
        <w:pStyle w:val="832"/>
        <w:numPr>
          <w:ilvl w:val="0"/>
          <w:numId w:val="3"/>
        </w:numPr>
        <w:ind w:left="-360" w:firstLine="72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本合同协议书中的词语和术语的含义与合同条款中定义的相同。</w:t>
      </w:r>
      <w:r>
        <w:rPr>
          <w:rFonts w:ascii="宋体" w:hAnsi="宋体" w:cs="宋体"/>
          <w:color w:val="000000"/>
          <w:sz w:val="24"/>
          <w:highlight w:val="none"/>
        </w:rPr>
      </w:r>
      <w:r/>
    </w:p>
    <w:p>
      <w:pPr>
        <w:pStyle w:val="832"/>
        <w:ind w:firstLine="36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 以下文件应构成买方和卖方之间达成的合同，若各文件之间存在含糊不清或互相冲突之处，优先顺序应按下列文件顺序解释。</w:t>
      </w: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 合同协议书</w:t>
      </w: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 成交通知书</w:t>
      </w: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 合同专用条款</w:t>
      </w: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(4) 合同通用条款</w:t>
      </w: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(5) 除合同附件1外的合同附件</w:t>
      </w: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(6) 其他文件</w:t>
      </w:r>
      <w:r>
        <w:rPr>
          <w:rFonts w:ascii="宋体" w:hAnsi="宋体" w:cs="宋体"/>
          <w:color w:val="000000"/>
          <w:sz w:val="24"/>
          <w:highlight w:val="none"/>
        </w:rPr>
      </w:r>
      <w:r/>
    </w:p>
    <w:p>
      <w:pPr>
        <w:pStyle w:val="832"/>
        <w:ind w:firstLine="54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 考虑到买方将按照本合同向卖方支付合同价款，卖方在此保证全部按照合同的规定向买方提供合同标的、技术资料、售后服务及技术培训。</w:t>
      </w:r>
      <w:r>
        <w:rPr>
          <w:rFonts w:ascii="宋体" w:hAnsi="宋体" w:cs="宋体"/>
          <w:color w:val="000000"/>
          <w:sz w:val="24"/>
          <w:highlight w:val="none"/>
        </w:rPr>
      </w:r>
      <w:r/>
    </w:p>
    <w:p>
      <w:pPr>
        <w:pStyle w:val="832"/>
        <w:ind w:firstLine="54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4. 考虑到卖方将按合同规定提供合同标的、技术资料、售后服务及技术培训，买方在此保证按照合同规定的时间和方式向卖方支付合同价款。</w:t>
      </w:r>
      <w:r>
        <w:rPr>
          <w:rFonts w:ascii="宋体" w:hAnsi="宋体" w:cs="宋体"/>
          <w:color w:val="000000"/>
          <w:sz w:val="24"/>
          <w:highlight w:val="none"/>
        </w:rPr>
      </w:r>
      <w:r/>
    </w:p>
    <w:p>
      <w:pPr>
        <w:pStyle w:val="832"/>
        <w:ind w:firstLine="54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5. 本合同在下列条件全部满足后生效，生效日期以下列条件全部满足的最晚日期为准： </w:t>
      </w:r>
      <w:r>
        <w:rPr>
          <w:rFonts w:ascii="宋体" w:hAnsi="宋体" w:cs="宋体"/>
          <w:color w:val="000000"/>
          <w:sz w:val="24"/>
          <w:highlight w:val="none"/>
        </w:rPr>
      </w:r>
      <w:r/>
    </w:p>
    <w:p>
      <w:pPr>
        <w:pStyle w:val="832"/>
        <w:ind w:firstLine="480"/>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（1）双方加盖公章或合同专用章； </w:t>
      </w:r>
      <w:r>
        <w:rPr>
          <w:rFonts w:ascii="宋体" w:hAnsi="宋体" w:cs="宋体"/>
          <w:color w:val="000000"/>
          <w:sz w:val="24"/>
          <w:highlight w:val="none"/>
        </w:rPr>
      </w:r>
      <w:r/>
    </w:p>
    <w:p>
      <w:pPr>
        <w:pStyle w:val="832"/>
        <w:ind w:firstLine="480"/>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（2）甲方收到乙方交纳的人民币_</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_元的履约保证金，以支票、汇票、本票、电汇或者金融机构、担保机构出具的保函等非现金形式缴纳。履约保证金在中标供应商按合同履约完成、试运行后无质量问题后无息退还。</w:t>
      </w:r>
      <w:r>
        <w:rPr>
          <w:rFonts w:ascii="宋体" w:hAnsi="宋体" w:cs="宋体"/>
          <w:color w:val="000000"/>
          <w:sz w:val="24"/>
          <w:highlight w:val="none"/>
        </w:rPr>
      </w:r>
      <w:r/>
    </w:p>
    <w:p>
      <w:pPr>
        <w:pStyle w:val="832"/>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6. 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份，具有同等法律效力，买方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份，卖方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w:t>
      </w:r>
      <w:r>
        <w:rPr>
          <w:rFonts w:ascii="宋体" w:hAnsi="宋体" w:cs="宋体"/>
          <w:color w:val="000000"/>
          <w:sz w:val="24"/>
          <w:highlight w:val="none"/>
        </w:rPr>
      </w:r>
      <w:r/>
    </w:p>
    <w:p>
      <w:pPr>
        <w:pStyle w:val="832"/>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7.本合同其他未尽事宜及与采购文件有矛盾之处，以采购文件[项目编号：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]为准。</w:t>
      </w:r>
      <w:r>
        <w:rPr>
          <w:rFonts w:ascii="宋体" w:hAnsi="宋体" w:cs="宋体"/>
          <w:color w:val="000000"/>
          <w:sz w:val="24"/>
          <w:highlight w:val="none"/>
        </w:rPr>
      </w:r>
      <w:r/>
    </w:p>
    <w:p>
      <w:pPr>
        <w:pStyle w:val="832"/>
        <w:ind w:firstLine="36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买方和卖方由其正式授权代表于上述所写日期和地点签订本合同。</w:t>
      </w: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买方（签章）：____________________________________  </w:t>
      </w: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法定代表人或授权代表(签名)： ____________________ </w:t>
      </w:r>
      <w:r>
        <w:rPr>
          <w:rFonts w:ascii="宋体" w:hAnsi="宋体" w:cs="宋体"/>
          <w:color w:val="000000"/>
          <w:sz w:val="24"/>
          <w:highlight w:val="none"/>
        </w:rPr>
      </w:r>
      <w:r/>
    </w:p>
    <w:p>
      <w:pPr>
        <w:pStyle w:val="83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卖方（签章）： ____________________________________ </w:t>
      </w:r>
      <w:r>
        <w:rPr>
          <w:rFonts w:ascii="宋体" w:hAnsi="宋体" w:cs="宋体"/>
          <w:color w:val="000000"/>
          <w:sz w:val="24"/>
          <w:highlight w:val="none"/>
        </w:rPr>
      </w:r>
      <w:r/>
    </w:p>
    <w:p>
      <w:pPr>
        <w:pStyle w:val="832"/>
        <w:spacing w:line="360" w:lineRule="exact"/>
        <w:rPr>
          <w:rFonts w:ascii="仿宋_GB2312" w:hAnsi="宋体" w:eastAsia="仿宋_GB2312"/>
          <w:b/>
          <w:color w:val="000000"/>
          <w:sz w:val="30"/>
          <w:szCs w:val="32"/>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w:t xml:space="preserve">法定代表人或授权代表(签名)： ____________________ </w:t>
      </w:r>
      <w:r>
        <w:rPr>
          <w:rFonts w:ascii="仿宋_GB2312" w:hAnsi="宋体" w:eastAsia="仿宋_GB2312"/>
          <w:b/>
          <w:color w:val="000000"/>
          <w:sz w:val="30"/>
          <w:szCs w:val="32"/>
          <w:highlight w:val="none"/>
        </w:rPr>
      </w:r>
      <w:r/>
    </w:p>
    <w:p>
      <w:pPr>
        <w:pStyle w:val="832"/>
        <w:jc w:val="center"/>
        <w:spacing w:line="360" w:lineRule="auto"/>
        <w:rPr>
          <w:rStyle w:val="1139"/>
          <w:rFonts w:ascii="宋体" w:hAnsi="宋体" w:cs="宋体"/>
          <w:b/>
          <w:bCs/>
          <w:color w:val="000000"/>
          <w:sz w:val="32"/>
          <w:szCs w:val="32"/>
          <w:highlight w:val="none"/>
        </w:rPr>
      </w:pPr>
      <w:r>
        <w:rPr>
          <w:rFonts w:hint="eastAsia" w:ascii="宋体" w:hAnsi="宋体" w:cs="宋体"/>
          <w:b/>
          <w:color w:val="000000"/>
          <w:sz w:val="32"/>
          <w:szCs w:val="32"/>
          <w:highlight w:val="none"/>
        </w:rPr>
        <w:t xml:space="preserve">第六章 采购需求</w:t>
      </w:r>
      <w:bookmarkStart w:id="5" w:name="_Toc324452802"/>
      <w:r/>
      <w:bookmarkEnd w:id="5"/>
      <w:r/>
      <w:bookmarkStart w:id="6" w:name="_Toc322457054"/>
      <w:r/>
      <w:bookmarkEnd w:id="6"/>
      <w:r>
        <w:rPr>
          <w:rStyle w:val="1139"/>
          <w:rFonts w:ascii="宋体" w:hAnsi="宋体" w:cs="宋体"/>
          <w:b/>
          <w:bCs/>
          <w:color w:val="000000"/>
          <w:sz w:val="32"/>
          <w:szCs w:val="32"/>
          <w:highlight w:val="none"/>
        </w:rPr>
      </w:r>
      <w:r/>
    </w:p>
    <w:p>
      <w:pPr>
        <w:pStyle w:val="1166"/>
        <w:jc w:val="left"/>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一、本项目属于专门面向中小微企业采购的项目，本项目采购的为非进口产品。</w:t>
      </w:r>
      <w:r>
        <w:rPr>
          <w:rFonts w:ascii="宋体" w:hAnsi="宋体" w:eastAsia="宋体" w:cs="宋体"/>
          <w:b/>
          <w:bCs/>
          <w:color w:val="000000"/>
          <w:sz w:val="24"/>
          <w:highlight w:val="none"/>
        </w:rPr>
      </w:r>
      <w:r/>
    </w:p>
    <w:p>
      <w:pPr>
        <w:pStyle w:val="1166"/>
        <w:jc w:val="left"/>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二、本项目不接受超过人民币145.00万元（采购项目预算金额）的投标报价。</w:t>
      </w:r>
      <w:r>
        <w:rPr>
          <w:rFonts w:ascii="宋体" w:hAnsi="宋体" w:eastAsia="宋体" w:cs="宋体"/>
          <w:b/>
          <w:bCs/>
          <w:color w:val="000000"/>
          <w:sz w:val="24"/>
          <w:highlight w:val="none"/>
        </w:rPr>
      </w:r>
      <w:r/>
    </w:p>
    <w:p>
      <w:pPr>
        <w:pStyle w:val="1166"/>
        <w:jc w:val="left"/>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三、项目说明</w:t>
      </w:r>
      <w:r>
        <w:rPr>
          <w:rFonts w:ascii="宋体" w:hAnsi="宋体" w:eastAsia="宋体" w:cs="宋体"/>
          <w:b/>
          <w:bCs/>
          <w:color w:val="000000"/>
          <w:sz w:val="24"/>
          <w:highlight w:val="none"/>
        </w:rPr>
      </w:r>
      <w:r/>
    </w:p>
    <w:p>
      <w:pPr>
        <w:pStyle w:val="1166"/>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1、采购人：徐州博物馆（徐州汉画像石艺术馆）。</w:t>
      </w:r>
      <w:r>
        <w:rPr>
          <w:rFonts w:ascii="宋体" w:hAnsi="宋体" w:eastAsia="宋体" w:cs="宋体"/>
          <w:color w:val="000000"/>
          <w:sz w:val="24"/>
          <w:highlight w:val="none"/>
        </w:rPr>
      </w:r>
      <w:r/>
    </w:p>
    <w:p>
      <w:pPr>
        <w:pStyle w:val="1166"/>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2、项目名称：徐州汉画像石艺术馆馆藏文物预防性保护项目。</w:t>
      </w:r>
      <w:r>
        <w:rPr>
          <w:rFonts w:ascii="宋体" w:hAnsi="宋体" w:eastAsia="宋体" w:cs="宋体"/>
          <w:color w:val="000000"/>
          <w:sz w:val="24"/>
          <w:highlight w:val="none"/>
        </w:rPr>
      </w:r>
      <w:r/>
    </w:p>
    <w:p>
      <w:pPr>
        <w:pStyle w:val="1166"/>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3、采购包划分：本项目共分为1个采购包。</w:t>
      </w:r>
      <w:r>
        <w:rPr>
          <w:rFonts w:ascii="宋体" w:hAnsi="宋体" w:eastAsia="宋体" w:cs="宋体"/>
          <w:color w:val="000000"/>
          <w:sz w:val="24"/>
          <w:highlight w:val="none"/>
        </w:rPr>
      </w:r>
      <w:r/>
    </w:p>
    <w:p>
      <w:pPr>
        <w:pStyle w:val="8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4、项目概况：为进一步完善徐州汉画像石艺术馆馆藏文物预防性保护能力，为珍贵文物配置柜架等藏展装置，全面提升徐州汉画像石艺术馆馆藏珍贵文物的预防性保护能力。</w:t>
      </w:r>
      <w:r>
        <w:rPr>
          <w:rFonts w:ascii="宋体" w:hAnsi="宋体" w:cs="宋体"/>
          <w:color w:val="000000"/>
          <w:sz w:val="24"/>
          <w:highlight w:val="none"/>
        </w:rPr>
      </w:r>
      <w:r/>
    </w:p>
    <w:p>
      <w:pPr>
        <w:pStyle w:val="83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四、配置及技术参数要求（加“▲”为次重要技术参数，其余为一般响应指标</w:t>
      </w:r>
      <w:r>
        <w:rPr>
          <w:rFonts w:hint="eastAsia" w:ascii="宋体" w:hAnsi="宋体" w:cs="宋体"/>
          <w:b/>
          <w:color w:val="000000"/>
          <w:sz w:val="24"/>
          <w:highlight w:val="none"/>
          <w:lang w:eastAsia="zh-CN"/>
        </w:rPr>
        <w:t xml:space="preserve">，未按招标文件要求提供证明材料的视为不满足</w:t>
      </w:r>
      <w:r>
        <w:rPr>
          <w:rFonts w:hint="eastAsia" w:ascii="宋体" w:hAnsi="宋体" w:cs="宋体"/>
          <w:b/>
          <w:color w:val="000000"/>
          <w:sz w:val="24"/>
          <w:highlight w:val="none"/>
        </w:rPr>
        <w:t xml:space="preserve">）：</w:t>
      </w:r>
      <w:r>
        <w:rPr>
          <w:rFonts w:ascii="宋体" w:hAnsi="宋体" w:cs="宋体"/>
          <w:b/>
          <w:color w:val="000000"/>
          <w:sz w:val="24"/>
          <w:highlight w:val="none"/>
        </w:rPr>
      </w:r>
      <w:r/>
    </w:p>
    <w:tbl>
      <w:tblPr>
        <w:tblW w:w="86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1756"/>
        <w:gridCol w:w="844"/>
        <w:gridCol w:w="750"/>
        <w:gridCol w:w="4645"/>
      </w:tblGrid>
      <w:tr>
        <w:trPr>
          <w:trHeight w:val="583"/>
        </w:trPr>
        <w:tc>
          <w:tcPr>
            <w:tcW w:w="642"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产品名称</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技术参数</w:t>
            </w:r>
            <w:r>
              <w:rPr>
                <w:rFonts w:ascii="宋体" w:hAnsi="宋体" w:eastAsia="宋体" w:cs="宋体"/>
                <w:color w:val="000000"/>
                <w:sz w:val="24"/>
                <w:szCs w:val="24"/>
                <w:highlight w:val="none"/>
                <w:lang w:val="en-US" w:eastAsia="zh-CN" w:bidi="ar-SA"/>
              </w:rPr>
            </w:r>
            <w:r/>
          </w:p>
        </w:tc>
      </w:tr>
      <w:tr>
        <w:trPr>
          <w:trHeight w:val="296"/>
        </w:trPr>
        <w:tc>
          <w:tcPr>
            <w:gridSpan w:val="5"/>
            <w:tcW w:w="8637" w:type="dxa"/>
            <w:vAlign w:val="center"/>
            <w:textDirection w:val="lrTb"/>
            <w:noWrap w:val="false"/>
          </w:tcPr>
          <w:p>
            <w:pPr>
              <w:pStyle w:val="832"/>
              <w:jc w:val="left"/>
              <w:widowControl/>
              <w:rPr>
                <w:rFonts w:hint="eastAsia" w:ascii="宋体" w:hAnsi="宋体" w:eastAsia="宋体" w:cs="宋体"/>
                <w:b/>
                <w:bCs/>
                <w:color w:val="000000"/>
                <w:sz w:val="24"/>
                <w:szCs w:val="24"/>
                <w:highlight w:val="none"/>
                <w:lang w:val="en-US" w:eastAsia="zh-CN" w:bidi="ar-SA"/>
              </w:rPr>
            </w:pPr>
            <w:r/>
            <w:bookmarkStart w:id="7" w:name="_Toc177658963"/>
            <w:r>
              <w:rPr>
                <w:rFonts w:hint="eastAsia" w:ascii="宋体" w:hAnsi="宋体" w:eastAsia="宋体" w:cs="宋体"/>
                <w:b/>
                <w:bCs/>
                <w:color w:val="000000"/>
                <w:sz w:val="24"/>
                <w:szCs w:val="24"/>
                <w:highlight w:val="none"/>
                <w:lang w:val="en-US" w:eastAsia="zh-CN" w:bidi="ar-SA"/>
              </w:rPr>
              <w:t xml:space="preserve">一、文物储藏柜架</w:t>
            </w:r>
            <w:r>
              <w:rPr>
                <w:rFonts w:hint="eastAsia" w:ascii="宋体" w:hAnsi="宋体" w:eastAsia="宋体" w:cs="宋体"/>
                <w:b/>
                <w:bCs/>
                <w:color w:val="000000"/>
                <w:sz w:val="24"/>
                <w:szCs w:val="24"/>
                <w:highlight w:val="none"/>
                <w:lang w:val="en-US" w:eastAsia="zh-CN" w:bidi="ar-SA"/>
              </w:rPr>
            </w:r>
            <w:r/>
          </w:p>
        </w:tc>
      </w:tr>
      <w:tr>
        <w:trPr>
          <w:trHeight w:val="296"/>
        </w:trPr>
        <w:tc>
          <w:tcPr>
            <w:gridSpan w:val="5"/>
            <w:tcW w:w="8637" w:type="dxa"/>
            <w:vAlign w:val="center"/>
            <w:textDirection w:val="lrTb"/>
            <w:noWrap w:val="false"/>
          </w:tcPr>
          <w:p>
            <w:pPr>
              <w:pStyle w:val="832"/>
              <w:jc w:val="left"/>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lang w:val="en-US" w:eastAsia="zh-CN" w:bidi="ar"/>
              </w:rPr>
              <w:t xml:space="preserve">重型横梁式文物储藏柜</w:t>
            </w:r>
            <w:r>
              <w:rPr>
                <w:rFonts w:hint="eastAsia" w:ascii="宋体" w:hAnsi="宋体" w:eastAsia="宋体" w:cs="宋体"/>
                <w:b/>
                <w:bCs/>
                <w:color w:val="000000"/>
                <w:sz w:val="24"/>
                <w:szCs w:val="24"/>
                <w:highlight w:val="none"/>
                <w:lang w:val="en-US" w:eastAsia="zh-CN" w:bidi="ar-SA"/>
              </w:rPr>
              <w:t xml:space="preserve">（需要根据文物尺寸，为每件文物制作木质托盘。）</w:t>
            </w:r>
            <w:r>
              <w:rPr>
                <w:rFonts w:ascii="宋体" w:hAnsi="宋体" w:eastAsia="宋体" w:cs="宋体"/>
                <w:b/>
                <w:bCs/>
                <w:color w:val="000000"/>
                <w:sz w:val="24"/>
                <w:szCs w:val="24"/>
                <w:highlight w:val="none"/>
                <w:lang w:val="en-US" w:eastAsia="zh-CN" w:bidi="ar-SA"/>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重型横梁式文物储藏柜</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规格：2000*1000*2500</w:t>
            </w:r>
            <w:r>
              <w:rPr>
                <w:rFonts w:hint="eastAsia" w:ascii="宋体" w:hAnsi="宋体" w:eastAsia="宋体" w:cs="宋体"/>
                <w:color w:val="000000"/>
                <w:sz w:val="24"/>
                <w:szCs w:val="24"/>
                <w:highlight w:val="none"/>
                <w:lang w:val="en-US" w:eastAsia="zh-CN" w:bidi="ar-SA"/>
              </w:rPr>
              <w:t xml:space="preserve">（±2mm）</w:t>
            </w:r>
            <w:r>
              <w:rPr>
                <w:rFonts w:ascii="宋体" w:hAnsi="宋体" w:eastAsia="宋体" w:cs="宋体"/>
                <w:color w:val="000000"/>
                <w:sz w:val="24"/>
                <w:szCs w:val="24"/>
                <w:highlight w:val="none"/>
                <w:lang w:val="en-US" w:eastAsia="zh-CN" w:bidi="ar-SA"/>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重型横梁式文物储藏柜</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规格：2000*1000*2400</w:t>
            </w:r>
            <w:r>
              <w:rPr>
                <w:rFonts w:hint="eastAsia" w:ascii="宋体" w:hAnsi="宋体" w:eastAsia="宋体" w:cs="宋体"/>
                <w:color w:val="000000"/>
                <w:sz w:val="24"/>
                <w:szCs w:val="24"/>
                <w:highlight w:val="none"/>
                <w:lang w:val="en-US" w:eastAsia="zh-CN" w:bidi="ar-SA"/>
              </w:rPr>
              <w:t xml:space="preserve">（±2mm）</w:t>
            </w:r>
            <w:r>
              <w:rPr>
                <w:rFonts w:ascii="宋体" w:hAnsi="宋体" w:eastAsia="宋体" w:cs="宋体"/>
                <w:color w:val="000000"/>
                <w:sz w:val="24"/>
                <w:szCs w:val="24"/>
                <w:highlight w:val="none"/>
                <w:lang w:val="en-US" w:eastAsia="zh-CN" w:bidi="ar-SA"/>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重型横梁式文物储藏柜</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规格：2500*1000*2500</w:t>
            </w:r>
            <w:r>
              <w:rPr>
                <w:rFonts w:hint="eastAsia" w:ascii="宋体" w:hAnsi="宋体" w:eastAsia="宋体" w:cs="宋体"/>
                <w:color w:val="000000"/>
                <w:sz w:val="24"/>
                <w:szCs w:val="24"/>
                <w:highlight w:val="none"/>
                <w:lang w:val="en-US" w:eastAsia="zh-CN" w:bidi="ar-SA"/>
              </w:rPr>
              <w:t xml:space="preserve">（±2mm）</w:t>
            </w:r>
            <w:r>
              <w:rPr>
                <w:rFonts w:ascii="宋体" w:hAnsi="宋体" w:eastAsia="宋体" w:cs="宋体"/>
                <w:color w:val="000000"/>
                <w:sz w:val="24"/>
                <w:szCs w:val="24"/>
                <w:highlight w:val="none"/>
                <w:lang w:val="en-US" w:eastAsia="zh-CN" w:bidi="ar-SA"/>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重型横梁式文物储藏柜</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规格：2000*1300*2500</w:t>
            </w:r>
            <w:r>
              <w:rPr>
                <w:rFonts w:hint="eastAsia" w:ascii="宋体" w:hAnsi="宋体" w:eastAsia="宋体" w:cs="宋体"/>
                <w:color w:val="000000"/>
                <w:sz w:val="24"/>
                <w:szCs w:val="24"/>
                <w:highlight w:val="none"/>
                <w:lang w:val="en-US" w:eastAsia="zh-CN" w:bidi="ar-SA"/>
              </w:rPr>
              <w:t xml:space="preserve">（±2mm）</w:t>
            </w:r>
            <w:r>
              <w:rPr>
                <w:rFonts w:ascii="宋体" w:hAnsi="宋体" w:eastAsia="宋体" w:cs="宋体"/>
                <w:color w:val="000000"/>
                <w:sz w:val="24"/>
                <w:szCs w:val="24"/>
                <w:highlight w:val="none"/>
                <w:lang w:val="en-US" w:eastAsia="zh-CN" w:bidi="ar-SA"/>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5</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重型横梁式文物储藏柜</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台</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规格：5200*600*2400</w:t>
            </w:r>
            <w:r>
              <w:rPr>
                <w:rFonts w:hint="eastAsia" w:ascii="宋体" w:hAnsi="宋体" w:eastAsia="宋体" w:cs="宋体"/>
                <w:color w:val="000000"/>
                <w:sz w:val="24"/>
                <w:szCs w:val="24"/>
                <w:highlight w:val="none"/>
                <w:lang w:val="en-US" w:eastAsia="zh-CN" w:bidi="ar-SA"/>
              </w:rPr>
              <w:t xml:space="preserve">（±2mm）</w:t>
            </w:r>
            <w:r>
              <w:rPr>
                <w:rFonts w:ascii="宋体" w:hAnsi="宋体" w:eastAsia="宋体" w:cs="宋体"/>
                <w:color w:val="000000"/>
                <w:sz w:val="24"/>
                <w:szCs w:val="24"/>
                <w:highlight w:val="none"/>
                <w:lang w:val="en-US" w:eastAsia="zh-CN" w:bidi="ar-SA"/>
              </w:rPr>
            </w:r>
            <w:r/>
          </w:p>
        </w:tc>
      </w:tr>
      <w:tr>
        <w:trPr>
          <w:trHeight w:val="9478"/>
        </w:trPr>
        <w:tc>
          <w:tcPr>
            <w:gridSpan w:val="5"/>
            <w:tcW w:w="8637"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1.结构：</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体结构由底座、立柱、厚避方管承重梁、横梁连接扣件、搁物板、护板、立柱拉杆、矩形顶板及不锈联结配件组装而成，模块化生产及拆装。现场组装后，形成不少于4层搁物平台。可根据需要配套定制画像石托盘。</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2.性能：</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（1）各部件安装牢固可靠、间隙均匀、无松动现象。</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各部件采用冷轧钢板模具冲压成形,具有较强的互换性和通用性。柜体稳定可靠，每层标准均匀承重达到800Kg以上，架体、立柱无变形，架体无倾斜现象，经48小时承重试验后，搁物板最大挠度不超过1mm，卸载后无任何裂纹及变形，残余变形量＜0.1mm。</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（3）架体外观颜色搭配符合博物馆整体风格，简洁厚重、美观大方。护板采用冷轧钢板压折成型，以增加结构强度，边缘做R5度角处理，满足人体工学，防止直角直边对工作人员的意外损伤。</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（4）重型横梁式文物储藏柜具有较好的漆膜耐霉菌性能，依据GB/T 1741-2020《漆膜耐霉菌性测定法》要求检测，耐霉菌性等级达到0级。（投标文件中提供第三方专业检测机构出具的封面具有 CMA 标识的有效检测报告,并同时提供报告出具时检测机构对应且处于有效期内的CMA资质认定证书和具备报告所涉依据标准的法定检测能力证明材料）</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（5）重型横梁式文物储藏柜的平行度、搁板左右倾斜角、搁板挠度符合GB/T 28200-2011《钢制储物柜（架）技术要求及试验方法》标准要求。（投标文件中提供第三方专业检测机构出具的封面具有 CMA 标识的有效检测报告,并同时提供报告出具时检测机构对应且处于有效期内的CMA资质认定证书和具备报告所涉依据标准的法定检测能力证明材料）</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3.材料：采用冷轧钢板，底框δ≥4.0，立柱δ≥2.5，承重梁δ≥3.0，扣件δ≥3.0，挂件δ≥2.5，立柱拉杆δ≥3.0，矩形顶板δ≥1.0。</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4.工艺：</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产品表面磷化处理工艺处理及质量水平符合国家标准规定要求。零件在涂覆前均进行清洗、除锈、脱脂、防锈、表调、磷化等工序，涂层厚度为60—70um，光泽度为60—70%，硬度为＞0.4；冲击强度为＞4N/M，附着力不低于2级。</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（2）所用焊件牢固，焊痕光滑、平整。各零件、组合件表面应光滑、平整、无尖角、突起，无裂痕伤痕。</w:t>
            </w:r>
            <w:r>
              <w:rPr>
                <w:rFonts w:ascii="宋体" w:hAnsi="宋体" w:eastAsia="宋体" w:cs="宋体"/>
                <w:color w:val="000000"/>
                <w:sz w:val="24"/>
                <w:szCs w:val="24"/>
                <w:highlight w:val="none"/>
                <w:lang w:val="en-US" w:eastAsia="zh-CN" w:bidi="ar-SA"/>
              </w:rPr>
            </w:r>
            <w:r/>
          </w:p>
        </w:tc>
      </w:tr>
      <w:tr>
        <w:trPr>
          <w:trHeight w:val="296"/>
        </w:trPr>
        <w:tc>
          <w:tcPr>
            <w:gridSpan w:val="5"/>
            <w:tcW w:w="8637"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（二）多功能文物储藏柜</w:t>
            </w:r>
            <w:r>
              <w:rPr>
                <w:rFonts w:hint="eastAsia" w:ascii="宋体" w:hAnsi="宋体" w:eastAsia="宋体" w:cs="宋体"/>
                <w:b/>
                <w:bCs/>
                <w:color w:val="000000"/>
                <w:sz w:val="24"/>
                <w:szCs w:val="24"/>
                <w:highlight w:val="none"/>
                <w:lang w:val="en-US" w:eastAsia="zh-CN" w:bidi="ar-SA"/>
              </w:rPr>
              <w:t xml:space="preserve">（需要根据文物尺寸，为每件文物制作木质托盘。）</w:t>
            </w:r>
            <w:r>
              <w:rPr>
                <w:rFonts w:ascii="宋体" w:hAnsi="宋体" w:eastAsia="宋体" w:cs="宋体"/>
                <w:color w:val="000000"/>
                <w:sz w:val="24"/>
                <w:szCs w:val="24"/>
                <w:highlight w:val="none"/>
                <w:lang w:val="en-US" w:eastAsia="zh-CN" w:bidi="ar"/>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多功能文物储藏柜</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c00000"/>
                <w:sz w:val="24"/>
                <w:szCs w:val="24"/>
                <w:highlight w:val="none"/>
                <w:lang w:val="en-US" w:eastAsia="zh-CN" w:bidi="ar-SA"/>
              </w:rPr>
            </w:pPr>
            <w:r>
              <w:rPr>
                <w:rFonts w:hint="eastAsia" w:ascii="宋体" w:hAnsi="宋体" w:eastAsia="宋体" w:cs="宋体"/>
                <w:color w:val="c00000"/>
                <w:sz w:val="24"/>
                <w:szCs w:val="24"/>
                <w:highlight w:val="none"/>
                <w:lang w:val="en-US" w:eastAsia="zh-CN" w:bidi="ar-SA"/>
              </w:rPr>
              <w:t xml:space="preserve">规格：1200*800*2200（±2mm）</w:t>
            </w:r>
            <w:r>
              <w:rPr>
                <w:rFonts w:ascii="宋体" w:hAnsi="宋体" w:eastAsia="宋体" w:cs="宋体"/>
                <w:color w:val="c00000"/>
                <w:sz w:val="24"/>
                <w:szCs w:val="24"/>
                <w:highlight w:val="none"/>
                <w:lang w:val="en-US" w:eastAsia="zh-CN" w:bidi="ar-SA"/>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多功能文物储藏柜</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5</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c00000"/>
                <w:sz w:val="24"/>
                <w:szCs w:val="24"/>
                <w:highlight w:val="none"/>
                <w:lang w:val="en-US" w:eastAsia="zh-CN" w:bidi="ar-SA"/>
              </w:rPr>
            </w:pPr>
            <w:r>
              <w:rPr>
                <w:rFonts w:hint="eastAsia" w:ascii="宋体" w:hAnsi="宋体" w:eastAsia="宋体" w:cs="宋体"/>
                <w:color w:val="c00000"/>
                <w:sz w:val="24"/>
                <w:szCs w:val="24"/>
                <w:highlight w:val="none"/>
                <w:lang w:val="en-US" w:eastAsia="zh-CN" w:bidi="ar-SA"/>
              </w:rPr>
              <w:t xml:space="preserve">规格：1200*1000*2200（±2mm）</w:t>
            </w:r>
            <w:r>
              <w:rPr>
                <w:rFonts w:ascii="宋体" w:hAnsi="宋体" w:eastAsia="宋体" w:cs="宋体"/>
                <w:color w:val="c00000"/>
                <w:sz w:val="24"/>
                <w:szCs w:val="24"/>
                <w:highlight w:val="none"/>
                <w:lang w:val="en-US" w:eastAsia="zh-CN" w:bidi="ar-SA"/>
              </w:rPr>
            </w:r>
            <w:r/>
          </w:p>
        </w:tc>
      </w:tr>
      <w:tr>
        <w:trPr>
          <w:trHeight w:val="1731"/>
        </w:trPr>
        <w:tc>
          <w:tcPr>
            <w:gridSpan w:val="5"/>
            <w:tcW w:w="8637" w:type="dxa"/>
            <w:vAlign w:val="center"/>
            <w:textDirection w:val="lrTb"/>
            <w:noWrap w:val="false"/>
          </w:tcPr>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结构：主体结构由底座、立柱、挂板、搁物板、护板、门板、中（侧）封板矩形顶板及不锈联结配件组装而成，模块化生产及拆装。现场组装后，形成不少于5层搁物平台，垂直方向高度可以根据文物大小进行调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2.性能：</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（1）各部件安装要求牢固可靠、间隙均匀、无松动现象，确保同列同层搁物板均在一个水平面上；</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（2）架体外观颜色搭配符合博物馆整体风格，要求简洁厚重、美观大方。护板采用冷轧钢板压折成型，边缘做圆角处理，满足人体工学，防止直角直边对工作人员的意外损伤；</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（3）正护板上标准安装钢制或者亚克力目录标签框，以实现对当列文物存储信息的检索与查询。</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（4）多功能文物储藏柜，均布载荷强度试验、集中载荷强度试验符合GB/T 28200-2011《钢制储物柜（架）技术要求及试验方法》标准要求。（投标文件中提供第三方专业检测机构出具的封面具有 CMA 标识的有效检测报告,并同时提供报告出具时检测机构对应且处于有效期内的CMA资质认定证书和具备报告所涉依据标准的法定检测能力证明材料）</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3.材料：采用冷轧钢板，底框δ≥2.0，立柱δ≥1.5，挂板δ≥1.5，搁物板δ≥1.2，矩形顶板δ≥1.0，中（侧）封板δ≥1.0，静电喷涂环保塑粉，确保文物储藏柜的环保性达标；</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4.工艺：</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产品表面磷化处理工艺处理及质量水平符合相关国家标准规定要求。零件在涂覆前均应进行清洗、除锈、脱脂、防锈、表调、磷化等工序，涂层厚度为60—70um，光泽度为60—70%，硬度为＞0.4；冲击强度为＞4N/M，附着力不低于2级；</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（2）所用焊件牢固，焊痕光滑、平整。各零件、组合件表面应光滑、平整、无尖角、突起，无裂痕伤痕。</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5.文物保存环境监测</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项目实施实际需要，确保储藏柜内文物保存环境满足文物保护要求，为其中4台多功能文物储藏柜配置无线环境监测终端，配置要求：为1台多功能文物储藏柜配置1台无线温湿度监测终端，为1台多功能文物储藏柜配置1台无线二氧化碳监测终端，为1台多功能文物储藏柜配置1台无线甲醛监测终端，为1台多功能文物储藏柜配置1台无线挥发性有机化合物（VOC）监测终端，并配置环境监测系统软件1套，具体要求如下：</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（▲）（1）无线温湿度监测终端要求：温度测量范围：-5～50℃；测量精度：±0.3℃；湿度测量范围：10～90%RH；测量精度：±2%RH；安全性能：为确保文物安全，采用安全设计，具有防爆性能。（</w:t>
            </w:r>
            <w:r>
              <w:rPr>
                <w:rFonts w:hint="eastAsia" w:ascii="宋体" w:hAnsi="宋体" w:eastAsia="宋体" w:cs="宋体"/>
                <w:color w:val="000000"/>
                <w:sz w:val="24"/>
                <w:szCs w:val="24"/>
                <w:highlight w:val="none"/>
                <w:lang w:val="en-US" w:eastAsia="zh-CN" w:bidi="ar-SA"/>
              </w:rPr>
              <w:t xml:space="preserve">投标文件中</w:t>
            </w:r>
            <w:r>
              <w:rPr>
                <w:rFonts w:hint="eastAsia" w:ascii="宋体" w:hAnsi="宋体" w:eastAsia="宋体" w:cs="宋体"/>
                <w:color w:val="000000"/>
                <w:sz w:val="24"/>
                <w:szCs w:val="24"/>
                <w:highlight w:val="none"/>
                <w:lang w:val="en-US" w:eastAsia="zh-CN" w:bidi="ar"/>
              </w:rPr>
              <w:t xml:space="preserve">提供防爆检测机构出具的防爆合格证扫描件）</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（▲）（2）无线二氧化碳监测终端要求：二氧化碳测量范围：0～5000ppm；精度：±（60ppm±3%示值）；安全性能：采用安全设计，具有防爆功能；（</w:t>
            </w:r>
            <w:r>
              <w:rPr>
                <w:rFonts w:hint="eastAsia" w:ascii="宋体" w:hAnsi="宋体" w:eastAsia="宋体" w:cs="宋体"/>
                <w:color w:val="000000"/>
                <w:sz w:val="24"/>
                <w:szCs w:val="24"/>
                <w:highlight w:val="none"/>
                <w:lang w:val="en-US" w:eastAsia="zh-CN" w:bidi="ar-SA"/>
              </w:rPr>
              <w:t xml:space="preserve">投标文件中</w:t>
            </w:r>
            <w:r>
              <w:rPr>
                <w:rFonts w:hint="eastAsia" w:ascii="宋体" w:hAnsi="宋体" w:eastAsia="宋体" w:cs="宋体"/>
                <w:color w:val="000000"/>
                <w:sz w:val="24"/>
                <w:szCs w:val="24"/>
                <w:highlight w:val="none"/>
                <w:lang w:val="en-US" w:eastAsia="zh-CN" w:bidi="ar"/>
              </w:rPr>
              <w:t xml:space="preserve">提供防爆检测机构出具的防爆合格证扫描件）</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（▲）（3）无线甲醛监测终端要求：测量范围：0～10ppm；测量精度：0.02ppm±4%示值；安全性能：采用安全设计，具有防爆功能；（</w:t>
            </w:r>
            <w:r>
              <w:rPr>
                <w:rFonts w:hint="eastAsia" w:ascii="宋体" w:hAnsi="宋体" w:eastAsia="宋体" w:cs="宋体"/>
                <w:color w:val="000000"/>
                <w:sz w:val="24"/>
                <w:szCs w:val="24"/>
                <w:highlight w:val="none"/>
                <w:lang w:val="en-US" w:eastAsia="zh-CN" w:bidi="ar-SA"/>
              </w:rPr>
              <w:t xml:space="preserve">投标文件中</w:t>
            </w:r>
            <w:r>
              <w:rPr>
                <w:rFonts w:hint="eastAsia" w:ascii="宋体" w:hAnsi="宋体" w:eastAsia="宋体" w:cs="宋体"/>
                <w:color w:val="000000"/>
                <w:sz w:val="24"/>
                <w:szCs w:val="24"/>
                <w:highlight w:val="none"/>
                <w:lang w:val="en-US" w:eastAsia="zh-CN" w:bidi="ar"/>
              </w:rPr>
              <w:t xml:space="preserve">提供防爆检测机构出具的防爆合格证扫描件）</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（▲）（4）无线挥发性有机化合物（VOC）监测终端要求：测量范围0～10ppm（异丁烯）；精度：±（0.1ppm+8%×示值）；安全性能：采用安全设计，具有防爆功能。（</w:t>
            </w:r>
            <w:r>
              <w:rPr>
                <w:rFonts w:hint="eastAsia" w:ascii="宋体" w:hAnsi="宋体" w:eastAsia="宋体" w:cs="宋体"/>
                <w:color w:val="000000"/>
                <w:sz w:val="24"/>
                <w:szCs w:val="24"/>
                <w:highlight w:val="none"/>
                <w:lang w:val="en-US" w:eastAsia="zh-CN" w:bidi="ar-SA"/>
              </w:rPr>
              <w:t xml:space="preserve">投标文件中</w:t>
            </w:r>
            <w:r>
              <w:rPr>
                <w:rFonts w:hint="eastAsia" w:ascii="宋体" w:hAnsi="宋体" w:eastAsia="宋体" w:cs="宋体"/>
                <w:color w:val="000000"/>
                <w:sz w:val="24"/>
                <w:szCs w:val="24"/>
                <w:highlight w:val="none"/>
                <w:lang w:val="en-US" w:eastAsia="zh-CN" w:bidi="ar"/>
              </w:rPr>
              <w:t xml:space="preserve">提供防爆检测机构出具的防爆合格证扫描件）</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环境监测软件系统要求：具有监测点位和参数设置、专业数据分析、列表或图示化显示、实时报警、历史数据查询等功能。软件系统安全可靠，需符合《信息安全等级保护管理办法》二级（或以上）测评要求。（</w:t>
            </w:r>
            <w:r>
              <w:rPr>
                <w:rFonts w:hint="eastAsia" w:ascii="宋体" w:hAnsi="宋体" w:eastAsia="宋体" w:cs="宋体"/>
                <w:color w:val="000000"/>
                <w:sz w:val="24"/>
                <w:szCs w:val="24"/>
                <w:highlight w:val="none"/>
                <w:lang w:val="en-US" w:eastAsia="zh-CN" w:bidi="ar-SA"/>
              </w:rPr>
              <w:t xml:space="preserve">投标文件中</w:t>
            </w:r>
            <w:r>
              <w:rPr>
                <w:rFonts w:hint="eastAsia" w:ascii="宋体" w:hAnsi="宋体" w:eastAsia="宋体" w:cs="宋体"/>
                <w:color w:val="000000"/>
                <w:sz w:val="24"/>
                <w:szCs w:val="24"/>
                <w:highlight w:val="none"/>
                <w:lang w:val="en-US" w:eastAsia="zh-CN" w:bidi="ar"/>
              </w:rPr>
              <w:t xml:space="preserve">提供信息安全等级保护管理部门出具的安全等级保护测评结果通知书，要求级别为2级或以上）</w:t>
            </w:r>
            <w:r>
              <w:rPr>
                <w:rFonts w:ascii="宋体" w:hAnsi="宋体" w:eastAsia="宋体" w:cs="宋体"/>
                <w:color w:val="000000"/>
                <w:sz w:val="24"/>
                <w:szCs w:val="24"/>
                <w:highlight w:val="none"/>
                <w:lang w:val="en-US" w:eastAsia="zh-CN" w:bidi="ar"/>
              </w:rPr>
            </w:r>
            <w:r/>
          </w:p>
        </w:tc>
      </w:tr>
      <w:tr>
        <w:trPr>
          <w:trHeight w:val="296"/>
        </w:trPr>
        <w:tc>
          <w:tcPr>
            <w:gridSpan w:val="5"/>
            <w:tcW w:w="8637"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（三）画像石储藏台</w:t>
            </w:r>
            <w:r>
              <w:rPr>
                <w:rFonts w:hint="eastAsia" w:ascii="宋体" w:hAnsi="宋体" w:eastAsia="宋体" w:cs="宋体"/>
                <w:b/>
                <w:bCs/>
                <w:color w:val="000000"/>
                <w:sz w:val="24"/>
                <w:szCs w:val="24"/>
                <w:highlight w:val="none"/>
                <w:lang w:val="en-US" w:eastAsia="zh-CN" w:bidi="ar-SA"/>
              </w:rPr>
              <w:t xml:space="preserve">（需要根据文物尺寸，为每件文物制作木质托盘。）</w:t>
            </w:r>
            <w:r>
              <w:rPr>
                <w:rFonts w:ascii="宋体" w:hAnsi="宋体" w:eastAsia="宋体" w:cs="宋体"/>
                <w:color w:val="000000"/>
                <w:sz w:val="24"/>
                <w:szCs w:val="24"/>
                <w:highlight w:val="none"/>
                <w:lang w:val="en-US" w:eastAsia="zh-CN" w:bidi="ar"/>
              </w:rPr>
            </w:r>
            <w:r/>
          </w:p>
        </w:tc>
      </w:tr>
      <w:tr>
        <w:trPr>
          <w:trHeight w:val="296"/>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画像石储藏台</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center"/>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规格：7000*1000mm（±2mm）</w:t>
            </w:r>
            <w:r>
              <w:rPr>
                <w:rFonts w:hint="eastAsia" w:ascii="宋体" w:hAnsi="宋体" w:eastAsia="宋体" w:cs="宋体"/>
                <w:color w:val="c00000"/>
                <w:sz w:val="24"/>
                <w:szCs w:val="24"/>
                <w:highlight w:val="none"/>
                <w:lang w:val="en-US" w:eastAsia="zh-CN" w:bidi="ar"/>
              </w:rPr>
            </w:r>
            <w:r/>
          </w:p>
        </w:tc>
      </w:tr>
      <w:tr>
        <w:trPr>
          <w:trHeight w:val="296"/>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画像石储藏台</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center"/>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规格：3800*1000mm（±2mm）</w:t>
            </w:r>
            <w:r>
              <w:rPr>
                <w:rFonts w:hint="eastAsia" w:ascii="宋体" w:hAnsi="宋体" w:eastAsia="宋体" w:cs="宋体"/>
                <w:color w:val="c00000"/>
                <w:sz w:val="24"/>
                <w:szCs w:val="24"/>
                <w:highlight w:val="none"/>
                <w:lang w:val="en-US" w:eastAsia="zh-CN" w:bidi="ar"/>
              </w:rPr>
            </w:r>
            <w:r/>
          </w:p>
        </w:tc>
      </w:tr>
      <w:tr>
        <w:trPr>
          <w:trHeight w:val="296"/>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画像石储藏台</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center"/>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规格：2800*1000mm（±2mm）</w:t>
            </w:r>
            <w:r>
              <w:rPr>
                <w:rFonts w:hint="eastAsia" w:ascii="宋体" w:hAnsi="宋体" w:eastAsia="宋体" w:cs="宋体"/>
                <w:color w:val="c00000"/>
                <w:sz w:val="24"/>
                <w:szCs w:val="24"/>
                <w:highlight w:val="none"/>
                <w:lang w:val="en-US" w:eastAsia="zh-CN" w:bidi="ar"/>
              </w:rPr>
            </w:r>
            <w:r/>
          </w:p>
        </w:tc>
      </w:tr>
      <w:tr>
        <w:trPr>
          <w:trHeight w:val="296"/>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画像石储藏台</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center"/>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规格：1500*1000mm（±2mm）</w:t>
            </w:r>
            <w:r>
              <w:rPr>
                <w:rFonts w:hint="eastAsia" w:ascii="宋体" w:hAnsi="宋体" w:eastAsia="宋体" w:cs="宋体"/>
                <w:color w:val="c00000"/>
                <w:sz w:val="24"/>
                <w:szCs w:val="24"/>
                <w:highlight w:val="none"/>
                <w:lang w:val="en-US" w:eastAsia="zh-CN" w:bidi="ar"/>
              </w:rPr>
            </w:r>
            <w:r/>
          </w:p>
        </w:tc>
      </w:tr>
      <w:tr>
        <w:trPr>
          <w:trHeight w:val="6035"/>
        </w:trPr>
        <w:tc>
          <w:tcPr>
            <w:gridSpan w:val="5"/>
            <w:tcW w:w="8637"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1.材料：采用冷轧钢板，支撑框架采用10#槽钢焊接。</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结构：整体不少于两层，高度根据画像石现场定制，包含画像石固定架。采用底座+框架梁式结构，碑刻架安装可调节限位撑挡，用于固定存放石刻，防止存放物内倾，顶端安装横向限位阻挡，防止存放物外倾，高度和宽度均可以调节。</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3.工艺：</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（1）所有钣金件、机加工件加工后均打磨毛刺，无裂痕及伤痕。高强度的结构设计和特殊的喷粉表面处理工艺，确保柜体坚固耐用。</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（2）所有焊接件均焊接牢固，外表光滑平整。</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产品的全部钣金件均经过严格的酸洗、除锈、磷化等工序处理。表面喷涂粉末材料采用具有环保性质的树脂粉末，相关技术性能符合规范要求，喷涂无死角。经此表面处理的零件耐环境腐蚀性强、涂层牢固、美观大方。</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（4）所有标准件及紧固件均经氧化或镀锌处理。</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4.性能：安全性高，可用于石刻文物展示和存储。</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5.技术标准：</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（1）标准成型后，外形尺寸的极限偏差为±2mm，间隙均匀并在1～2mm之间。</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（2）底梁平直，直线度不大于0.5mm／m，全长不大于2mm。</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（3）架体横梁垂直度偏差小于2mm，达到横平竖直。</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（4）各零件、组合件表面光滑、平整，没有尖角、突起。</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（5）所有焊接件焊接牢固，焊痕打磨光滑平整。</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（6）喷塑表面色泽一致，塑面均匀光滑，无划伤。</w:t>
            </w:r>
            <w:r>
              <w:rPr>
                <w:rFonts w:ascii="宋体" w:hAnsi="宋体" w:eastAsia="宋体" w:cs="宋体"/>
                <w:color w:val="000000"/>
                <w:sz w:val="24"/>
                <w:szCs w:val="24"/>
                <w:highlight w:val="none"/>
                <w:lang w:val="en-US" w:eastAsia="zh-CN" w:bidi="ar"/>
              </w:rPr>
            </w:r>
            <w:r/>
          </w:p>
        </w:tc>
      </w:tr>
      <w:tr>
        <w:trPr>
          <w:trHeight w:val="296"/>
        </w:trPr>
        <w:tc>
          <w:tcPr>
            <w:gridSpan w:val="5"/>
            <w:tcW w:w="8637"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（四）移动式画像石储藏架</w:t>
            </w:r>
            <w:r>
              <w:rPr>
                <w:rFonts w:hint="eastAsia" w:ascii="宋体" w:hAnsi="宋体" w:eastAsia="宋体" w:cs="宋体"/>
                <w:b/>
                <w:bCs/>
                <w:color w:val="000000"/>
                <w:sz w:val="24"/>
                <w:szCs w:val="24"/>
                <w:highlight w:val="none"/>
                <w:lang w:val="en-US" w:eastAsia="zh-CN" w:bidi="ar-SA"/>
              </w:rPr>
              <w:t xml:space="preserve">（需要根据文物尺寸，为每件文物制作木质托盘。）</w:t>
            </w:r>
            <w:r>
              <w:rPr>
                <w:rFonts w:ascii="宋体" w:hAnsi="宋体" w:eastAsia="宋体" w:cs="宋体"/>
                <w:color w:val="000000"/>
                <w:sz w:val="24"/>
                <w:szCs w:val="24"/>
                <w:highlight w:val="none"/>
                <w:lang w:val="en-US" w:eastAsia="zh-CN" w:bidi="ar"/>
              </w:rPr>
            </w:r>
            <w:r/>
          </w:p>
        </w:tc>
      </w:tr>
      <w:tr>
        <w:trPr>
          <w:trHeight w:val="12060"/>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移动式画像石储藏架（单侧）</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5</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c00000"/>
                <w:sz w:val="24"/>
                <w:szCs w:val="24"/>
                <w:highlight w:val="none"/>
                <w:lang w:val="en-US" w:eastAsia="zh-CN" w:bidi="ar-SA"/>
              </w:rPr>
            </w:pPr>
            <w:r>
              <w:rPr>
                <w:rFonts w:hint="eastAsia" w:ascii="宋体" w:hAnsi="宋体" w:eastAsia="宋体" w:cs="宋体"/>
                <w:color w:val="c00000"/>
                <w:sz w:val="24"/>
                <w:szCs w:val="24"/>
                <w:highlight w:val="none"/>
                <w:lang w:val="en-US" w:eastAsia="zh-CN" w:bidi="ar"/>
              </w:rPr>
              <w:t xml:space="preserve">1.规格：1500*1000*1500mm（±2mm）</w:t>
            </w:r>
            <w:r>
              <w:rPr>
                <w:rFonts w:hint="eastAsia" w:ascii="宋体" w:hAnsi="宋体" w:eastAsia="宋体" w:cs="宋体"/>
                <w:color w:val="c00000"/>
                <w:sz w:val="24"/>
                <w:szCs w:val="24"/>
                <w:highlight w:val="none"/>
                <w:lang w:val="en-US" w:eastAsia="zh-CN" w:bidi="ar-SA"/>
              </w:rPr>
              <w:t xml:space="preserve">；</w:t>
            </w:r>
            <w:r>
              <w:rPr>
                <w:rFonts w:ascii="宋体" w:hAnsi="宋体" w:eastAsia="宋体" w:cs="宋体"/>
                <w:color w:val="c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2.工艺参数：</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（1）功能要求：安全性，用于汉画像石摆放、展厅展示，空间转换可自行移动。实际摆放物自重比不低于2倍。</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艺参数：整体采用底盘+框架梁式结构；（移动式画像石储藏架设计手摇增大扭矩装置，减速比不低于1：10，应对摆放超重画像石时可以灵活动转。）底盘采用不低于20*50*4mm扁管框架+（≥10mm）钢板焊接成型。底盘四角安装≥1.5吨MC尼龙万向轮+可调节支撑脚；支撑框架采用10#槽钢焊接，储物垫板采用≥3mm防滑花纹钢板。安装可调节限位撑挡，用于固定存放物，防止存放物内倾。</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3.技术标准：</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（1）标准成型后，外形尺寸的极限偏差为±2mm，间隙均匀并在1～2mm之间。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（2）脚轮转动灵活、平稳、没有失灵现象。</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（3）底梁平直，直线度不大于0.5mm／m，全长不大于2mm。</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（4）架体横梁垂直度偏差小于2mm，达到横平竖直。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（5）各零件、组合件表面光滑、平整，没有尖角、突起。</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（6）所有焊接件焊接牢固，焊痕打磨光滑平整。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（7）喷塑表面色泽一致，塑面均匀光滑，无划伤。</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4.工艺特点：</w:t>
            </w:r>
            <w:r>
              <w:rPr>
                <w:rFonts w:ascii="宋体" w:hAnsi="宋体" w:eastAsia="宋体" w:cs="宋体"/>
                <w:color w:val="000000"/>
                <w:sz w:val="24"/>
                <w:szCs w:val="24"/>
                <w:highlight w:val="none"/>
                <w:lang w:val="en-US" w:eastAsia="zh-CN" w:bidi="ar-SA"/>
              </w:rPr>
            </w:r>
            <w:r/>
          </w:p>
          <w:p>
            <w:pPr>
              <w:pStyle w:val="832"/>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（1）所有钣金件、机加工件加工后均打磨毛刺，无裂痕及伤痕。高强度的结构设计和特殊的喷粉表面处理工艺，确保柜体坚固耐用。</w:t>
            </w:r>
            <w:r>
              <w:rPr>
                <w:rFonts w:hint="eastAsia"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（2）所有焊接件均焊接牢固，外表光滑平整。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（3）产品的全部钣金件均应经过严格的酸洗、除锈、磷化等工序处理。</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（4）所有标准件及紧固件均经氧化或镀锌处理。</w:t>
            </w:r>
            <w:r>
              <w:rPr>
                <w:rFonts w:ascii="宋体" w:hAnsi="宋体" w:eastAsia="宋体" w:cs="宋体"/>
                <w:color w:val="000000"/>
                <w:sz w:val="24"/>
                <w:szCs w:val="24"/>
                <w:highlight w:val="none"/>
                <w:lang w:val="en-US" w:eastAsia="zh-CN" w:bidi="ar-SA"/>
              </w:rPr>
            </w:r>
            <w:r/>
          </w:p>
        </w:tc>
      </w:tr>
      <w:tr>
        <w:trPr>
          <w:trHeight w:val="12060"/>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移动式画像石储藏架（双侧）</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17</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c00000"/>
                <w:sz w:val="24"/>
                <w:szCs w:val="24"/>
                <w:highlight w:val="none"/>
                <w:lang w:val="en-US" w:eastAsia="zh-CN" w:bidi="ar-SA"/>
              </w:rPr>
            </w:pPr>
            <w:r>
              <w:rPr>
                <w:rFonts w:hint="eastAsia" w:ascii="宋体" w:hAnsi="宋体" w:eastAsia="宋体" w:cs="宋体"/>
                <w:color w:val="c00000"/>
                <w:sz w:val="24"/>
                <w:szCs w:val="24"/>
                <w:highlight w:val="none"/>
                <w:lang w:val="en-US" w:eastAsia="zh-CN" w:bidi="ar"/>
              </w:rPr>
              <w:t xml:space="preserve">1.规格：1000*1000*1200mm（±2mm）</w:t>
            </w:r>
            <w:r>
              <w:rPr>
                <w:rFonts w:hint="eastAsia" w:ascii="宋体" w:hAnsi="宋体" w:eastAsia="宋体" w:cs="宋体"/>
                <w:color w:val="c00000"/>
                <w:sz w:val="24"/>
                <w:szCs w:val="24"/>
                <w:highlight w:val="none"/>
                <w:lang w:val="en-US" w:eastAsia="zh-CN" w:bidi="ar-SA"/>
              </w:rPr>
              <w:t xml:space="preserve">；</w:t>
            </w:r>
            <w:r>
              <w:rPr>
                <w:rFonts w:ascii="宋体" w:hAnsi="宋体" w:eastAsia="宋体" w:cs="宋体"/>
                <w:color w:val="c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2.工艺参数：</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（1）功能要求：安全性，用于汉画像石摆放、展厅展示，空间转换可自行移动。实际摆放物自重比不低于2倍。</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艺参数：整体采用底盘+框架梁式结构；（移动式画像石储藏架设计手摇增大扭矩装置，减速比不低于1：10，应对摆放超重画像石时可以灵活动转。）底盘采用不低于20*50*4mm扁管框架+（≥10mm）钢板焊接成型。底盘四角安装≥1.5吨MC尼龙万向轮+可调节支撑脚；支撑框架采用10#槽钢焊接，储物垫板采用≥3mm防滑花纹钢板。安装可调节限位撑挡，用于固定存放物，防止存放物内倾。</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3.技术标准：</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（1）标准成型后，外形尺寸的极限偏差为±2mm，间隙均匀并在1～2mm之间。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（2）脚轮转动灵活、平稳、没有失灵现象。</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（3）底梁平直，直线度不大于0.5mm／m，全长不大于2mm。</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（4）架体横梁垂直度偏差小于2mm，达到横平竖直。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（5）各零件、组合件表面光滑、平整，没有尖角、突起。</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（6）所有焊接件焊接牢固，焊痕打磨光滑平整。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（7）喷塑表面色泽一致，塑面均匀光滑，无划伤。</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4.工艺特点：</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（1）所有钣金件、机加工件加工后均打磨毛刺，无裂痕及伤痕。高强度的结构设计和特殊的喷粉表面处理工艺，确保柜体坚固耐用</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（2）所有焊接件均焊接牢固，外表光滑平整。</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（3）产品的全部钣金件均应经过严格的酸洗、除锈、磷化等工序处理。</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（4）所有标准件及紧固件均经氧化或镀锌处理。</w:t>
            </w:r>
            <w:r>
              <w:rPr>
                <w:rFonts w:ascii="宋体" w:hAnsi="宋体" w:eastAsia="宋体" w:cs="宋体"/>
                <w:color w:val="000000"/>
                <w:sz w:val="24"/>
                <w:szCs w:val="24"/>
                <w:highlight w:val="none"/>
                <w:lang w:val="en-US" w:eastAsia="zh-CN" w:bidi="ar-SA"/>
              </w:rPr>
            </w:r>
            <w:r/>
          </w:p>
        </w:tc>
      </w:tr>
      <w:tr>
        <w:trPr>
          <w:trHeight w:val="296"/>
        </w:trPr>
        <w:tc>
          <w:tcPr>
            <w:gridSpan w:val="5"/>
            <w:tcW w:w="8637"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（五）密集型画像石储藏架</w:t>
            </w:r>
            <w:r>
              <w:rPr>
                <w:rFonts w:ascii="宋体" w:hAnsi="宋体" w:eastAsia="宋体" w:cs="宋体"/>
                <w:color w:val="000000"/>
                <w:sz w:val="24"/>
                <w:szCs w:val="24"/>
                <w:highlight w:val="none"/>
                <w:lang w:val="en-US" w:eastAsia="zh-CN" w:bidi="ar"/>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密集型画像石储藏架</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列</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5</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1.规格：4960*800*2400mm（±2mm）</w:t>
            </w:r>
            <w:r>
              <w:rPr>
                <w:rFonts w:hint="eastAsia" w:ascii="宋体" w:hAnsi="宋体" w:eastAsia="宋体" w:cs="宋体"/>
                <w:color w:val="c00000"/>
                <w:sz w:val="24"/>
                <w:szCs w:val="24"/>
                <w:highlight w:val="none"/>
                <w:lang w:val="en-US" w:eastAsia="zh-CN" w:bidi="ar"/>
              </w:rPr>
            </w:r>
            <w:r/>
          </w:p>
          <w:p>
            <w:pPr>
              <w:pStyle w:val="832"/>
              <w:jc w:val="left"/>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2.≥三层，一列≥9个木质托板</w:t>
            </w:r>
            <w:r>
              <w:rPr>
                <w:rFonts w:hint="eastAsia" w:ascii="宋体" w:hAnsi="宋体" w:eastAsia="宋体" w:cs="宋体"/>
                <w:color w:val="c00000"/>
                <w:sz w:val="24"/>
                <w:szCs w:val="24"/>
                <w:highlight w:val="none"/>
                <w:lang w:val="en-US" w:eastAsia="zh-CN" w:bidi="ar"/>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密集型画像石储藏架</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列</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1.规格：4960*800*2400mm（±2mm）</w:t>
            </w:r>
            <w:r>
              <w:rPr>
                <w:rFonts w:hint="eastAsia" w:ascii="宋体" w:hAnsi="宋体" w:eastAsia="宋体" w:cs="宋体"/>
                <w:color w:val="c00000"/>
                <w:sz w:val="24"/>
                <w:szCs w:val="24"/>
                <w:highlight w:val="none"/>
                <w:lang w:val="en-US" w:eastAsia="zh-CN" w:bidi="ar"/>
              </w:rPr>
            </w:r>
            <w:r/>
          </w:p>
          <w:p>
            <w:pPr>
              <w:pStyle w:val="832"/>
              <w:jc w:val="left"/>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2.≥三层，一列≥15个木质托板</w:t>
            </w:r>
            <w:r>
              <w:rPr>
                <w:rFonts w:hint="eastAsia" w:ascii="宋体" w:hAnsi="宋体" w:eastAsia="宋体" w:cs="宋体"/>
                <w:color w:val="c00000"/>
                <w:sz w:val="24"/>
                <w:szCs w:val="24"/>
                <w:highlight w:val="none"/>
                <w:lang w:val="en-US" w:eastAsia="zh-CN" w:bidi="ar"/>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密集型画像石储藏架</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列</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1.规格：4960*1200*2400mm（±2mm）</w:t>
            </w:r>
            <w:r>
              <w:rPr>
                <w:rFonts w:hint="eastAsia" w:ascii="宋体" w:hAnsi="宋体" w:eastAsia="宋体" w:cs="宋体"/>
                <w:color w:val="c00000"/>
                <w:sz w:val="24"/>
                <w:szCs w:val="24"/>
                <w:highlight w:val="none"/>
                <w:lang w:val="en-US" w:eastAsia="zh-CN" w:bidi="ar"/>
              </w:rPr>
            </w:r>
            <w:r/>
          </w:p>
          <w:p>
            <w:pPr>
              <w:pStyle w:val="832"/>
              <w:jc w:val="left"/>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2.≥三层，一列≥9个木质托板</w:t>
            </w:r>
            <w:r>
              <w:rPr>
                <w:rFonts w:hint="eastAsia" w:ascii="宋体" w:hAnsi="宋体" w:eastAsia="宋体" w:cs="宋体"/>
                <w:color w:val="c00000"/>
                <w:sz w:val="24"/>
                <w:szCs w:val="24"/>
                <w:highlight w:val="none"/>
                <w:lang w:val="en-US" w:eastAsia="zh-CN" w:bidi="ar"/>
              </w:rPr>
            </w:r>
            <w:r/>
          </w:p>
        </w:tc>
      </w:tr>
      <w:tr>
        <w:trPr>
          <w:trHeight w:val="583"/>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密集型画像石储藏架</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列</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1.规格：4960*800*2400mm（±2mm）</w:t>
            </w:r>
            <w:r>
              <w:rPr>
                <w:rFonts w:hint="eastAsia" w:ascii="宋体" w:hAnsi="宋体" w:eastAsia="宋体" w:cs="宋体"/>
                <w:color w:val="c00000"/>
                <w:sz w:val="24"/>
                <w:szCs w:val="24"/>
                <w:highlight w:val="none"/>
                <w:lang w:val="en-US" w:eastAsia="zh-CN" w:bidi="ar"/>
              </w:rPr>
            </w:r>
            <w:r/>
          </w:p>
          <w:p>
            <w:pPr>
              <w:pStyle w:val="832"/>
              <w:jc w:val="left"/>
              <w:widowControl/>
              <w:rPr>
                <w:rFonts w:hint="eastAsia" w:ascii="宋体" w:hAnsi="宋体" w:eastAsia="宋体" w:cs="宋体"/>
                <w:color w:val="c00000"/>
                <w:sz w:val="24"/>
                <w:szCs w:val="24"/>
                <w:highlight w:val="none"/>
                <w:lang w:val="en-US" w:eastAsia="zh-CN" w:bidi="ar"/>
              </w:rPr>
            </w:pPr>
            <w:r>
              <w:rPr>
                <w:rFonts w:hint="eastAsia" w:ascii="宋体" w:hAnsi="宋体" w:eastAsia="宋体" w:cs="宋体"/>
                <w:color w:val="c00000"/>
                <w:sz w:val="24"/>
                <w:szCs w:val="24"/>
                <w:highlight w:val="none"/>
                <w:lang w:val="en-US" w:eastAsia="zh-CN" w:bidi="ar"/>
              </w:rPr>
              <w:t xml:space="preserve">2.≥三层，一列≥18个木质托板</w:t>
            </w:r>
            <w:r>
              <w:rPr>
                <w:rFonts w:hint="eastAsia" w:ascii="宋体" w:hAnsi="宋体" w:eastAsia="宋体" w:cs="宋体"/>
                <w:color w:val="c00000"/>
                <w:sz w:val="24"/>
                <w:szCs w:val="24"/>
                <w:highlight w:val="none"/>
                <w:lang w:val="en-US" w:eastAsia="zh-CN" w:bidi="ar"/>
              </w:rPr>
            </w:r>
            <w:r/>
          </w:p>
        </w:tc>
      </w:tr>
      <w:tr>
        <w:trPr>
          <w:trHeight w:val="8044"/>
        </w:trPr>
        <w:tc>
          <w:tcPr>
            <w:gridSpan w:val="5"/>
            <w:tcW w:w="8637" w:type="dxa"/>
            <w:vAlign w:val="center"/>
            <w:textDirection w:val="lrTb"/>
            <w:noWrap w:val="false"/>
          </w:tcPr>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结构：主体结构由底盘、立柱、传动装置、导轨、搁物板、护板、立柱拉杆、矩形顶板及不锈联结配件组装而成，模块化生产及拆装。现场组装后，形成不少于3层搁物平台，垂直方向高度可以根据文物大小进行调整。可根据需要配套定制画像石托盘。</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2.性能：</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（1）各部件安装要求牢固可靠、间隙均匀、无松动现象.</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各部件采用冷轧钢板模具冲压成形,具有较强的互换性和通用性。柜体稳定可靠，每层标准均匀承重需达到800Kg以上，架体、立柱无变形，架体无倾斜现象，经48小时承重试验后，搁物板最大挠度不能超过1mm，卸载后不能有任何裂纹及变形，残余变形量＜0.1mm。</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采用中轴带双轴的传动方式，传动比不低于1：5。折叠铝合金把手，传动机构配合精密度高，定位可靠，传动轻便灵活，摇力轻，运行平稳性能符合国家标准。列与列之间接触面均有缓冲及密封装置，具有良好的防震、防尘、防鼠、防光、防潮、防火功能。</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（4）架体外观颜色搭配符合博物馆整体风格，要求简洁厚重、美观大方。护板采用冷轧钢板压折成型，以增加结构强度，满足人体工学，防止直角直边对工作人员的意外损伤。</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材料：采用冷轧钢板，底盘δ≥4.0，导轨盒δ≥3.0（304不锈钢），导轨实心方钢≥25*25，承重梁δ≥3.0,立柱δ≥2.5，扣件δ≥3.0，搁物板δ≥1.5，挂件δ≥2.5，立柱拉杆δ≥3.0，矩形顶板δ≥1.0。静电喷涂采用环保塑粉，确保文物储藏柜的环保性达标。</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4.工艺：</w:t>
            </w:r>
            <w:r>
              <w:rPr>
                <w:rFonts w:ascii="宋体" w:hAnsi="宋体" w:eastAsia="宋体" w:cs="宋体"/>
                <w:color w:val="000000"/>
                <w:sz w:val="24"/>
                <w:szCs w:val="24"/>
                <w:highlight w:val="none"/>
                <w:lang w:val="en-US" w:eastAsia="zh-CN" w:bidi="ar-SA"/>
              </w:rPr>
            </w:r>
            <w:r/>
          </w:p>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产品表面磷化处理工艺处理及质量水平符合国家标准规定要求。零件在涂覆前均应进行清洗、除锈、脱脂、防锈、表调、磷化等工序，涂层厚度为60—70um，光泽度为60—70%，硬度为＞0.4；冲击强度为＞4N/M，附着力不低于2级。</w:t>
            </w:r>
            <w:r>
              <w:rPr>
                <w:rFonts w:ascii="宋体" w:hAnsi="宋体" w:eastAsia="宋体" w:cs="宋体"/>
                <w:color w:val="000000"/>
                <w:sz w:val="24"/>
                <w:szCs w:val="24"/>
                <w:highlight w:val="none"/>
                <w:lang w:val="en-US" w:eastAsia="zh-CN" w:bidi="ar-SA"/>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SA"/>
              </w:rPr>
              <w:t xml:space="preserve">（2）所用焊件牢固，焊痕光滑、平整。各零件、组合件表面应光滑、平整、无尖角、突起，无裂痕伤痕。</w:t>
            </w:r>
            <w:r>
              <w:rPr>
                <w:rFonts w:ascii="宋体" w:hAnsi="宋体" w:eastAsia="宋体" w:cs="宋体"/>
                <w:color w:val="000000"/>
                <w:sz w:val="24"/>
                <w:szCs w:val="24"/>
                <w:highlight w:val="none"/>
                <w:lang w:val="en-US" w:eastAsia="zh-CN" w:bidi="ar"/>
              </w:rPr>
            </w:r>
            <w:r/>
          </w:p>
        </w:tc>
      </w:tr>
      <w:tr>
        <w:trPr>
          <w:trHeight w:val="296"/>
        </w:trPr>
        <w:tc>
          <w:tcPr>
            <w:gridSpan w:val="5"/>
            <w:tcW w:w="8637" w:type="dxa"/>
            <w:vAlign w:val="center"/>
            <w:textDirection w:val="lrTb"/>
            <w:noWrap w:val="false"/>
          </w:tcPr>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六、其他设备</w:t>
            </w:r>
            <w:r>
              <w:rPr>
                <w:rFonts w:ascii="宋体" w:hAnsi="宋体" w:eastAsia="宋体" w:cs="宋体"/>
                <w:color w:val="000000"/>
                <w:sz w:val="24"/>
                <w:szCs w:val="24"/>
                <w:highlight w:val="none"/>
                <w:lang w:val="en-US" w:eastAsia="zh-CN" w:bidi="ar-SA"/>
              </w:rPr>
            </w:r>
            <w:r/>
          </w:p>
        </w:tc>
      </w:tr>
      <w:tr>
        <w:trPr>
          <w:trHeight w:val="2017"/>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库房登高梯</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个</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1.规格：700*500*1600mm</w:t>
            </w:r>
            <w:r>
              <w:rPr>
                <w:rFonts w:hint="eastAsia" w:ascii="宋体" w:hAnsi="宋体" w:eastAsia="宋体" w:cs="宋体"/>
                <w:color w:val="000000"/>
                <w:sz w:val="24"/>
                <w:szCs w:val="24"/>
                <w:highlight w:val="none"/>
                <w:lang w:val="en-US" w:eastAsia="zh-CN" w:bidi="ar-SA"/>
              </w:rPr>
              <w:t xml:space="preserve">（±2mm）；</w:t>
            </w:r>
            <w:r>
              <w:rPr>
                <w:rFonts w:ascii="宋体" w:hAnsi="宋体" w:eastAsia="宋体" w:cs="宋体"/>
                <w:color w:val="000000"/>
                <w:sz w:val="24"/>
                <w:szCs w:val="24"/>
                <w:highlight w:val="none"/>
                <w:lang w:val="en-US" w:eastAsia="zh-CN" w:bidi="ar-SA"/>
              </w:rPr>
            </w:r>
            <w:r/>
          </w:p>
          <w:p>
            <w:pPr>
              <w:pStyle w:val="836"/>
              <w:jc w:val="left"/>
              <w:widowControl w:val="off"/>
              <w:rPr>
                <w:rFonts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2.结构：框架整体焊接结构，有扶手。踏板加装塑胶防滑垫，或软毡,下带万向轮，移动方便，并保证稳定性；当人踩踏上去之后，登高梯底部万向轮自动缩进，稳当可靠；</w:t>
            </w:r>
            <w:r>
              <w:rPr>
                <w:rFonts w:ascii="宋体" w:hAnsi="宋体" w:eastAsia="宋体" w:cs="宋体"/>
                <w:color w:val="000000"/>
                <w:sz w:val="24"/>
                <w:szCs w:val="24"/>
                <w:highlight w:val="none"/>
                <w:lang w:val="zh-CN" w:eastAsia="zh-CN" w:bidi="ar-SA"/>
              </w:rPr>
            </w:r>
            <w:r/>
          </w:p>
          <w:p>
            <w:pPr>
              <w:pStyle w:val="836"/>
              <w:jc w:val="left"/>
              <w:widowControl w:val="off"/>
              <w:rPr>
                <w:rFonts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3.材料：钢制，表面喷塑。</w:t>
            </w:r>
            <w:r>
              <w:rPr>
                <w:rFonts w:ascii="宋体" w:hAnsi="宋体" w:eastAsia="宋体" w:cs="宋体"/>
                <w:color w:val="000000"/>
                <w:sz w:val="24"/>
                <w:szCs w:val="24"/>
                <w:highlight w:val="none"/>
                <w:lang w:val="zh-CN" w:eastAsia="zh-CN" w:bidi="ar-SA"/>
              </w:rPr>
            </w:r>
            <w:r/>
          </w:p>
        </w:tc>
      </w:tr>
      <w:tr>
        <w:trPr>
          <w:trHeight w:val="2592"/>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文物手推车（单层）</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辆</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1.规格：1000*600*1000mm</w:t>
            </w:r>
            <w:r>
              <w:rPr>
                <w:rFonts w:hint="eastAsia" w:ascii="宋体" w:hAnsi="宋体" w:eastAsia="宋体" w:cs="宋体"/>
                <w:color w:val="000000"/>
                <w:sz w:val="24"/>
                <w:szCs w:val="24"/>
                <w:highlight w:val="none"/>
                <w:lang w:val="en-US" w:eastAsia="zh-CN" w:bidi="ar-SA"/>
              </w:rPr>
              <w:t xml:space="preserve">（±2mm）</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2.文物搬运专用；</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3.箱体式结构，有推手，可加四周护板，底部四万向轮，单支承重≥80kg；</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4.万向轮下带弹簧，当有重物放置，起到减震解压作用；</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5.所用焊件牢固，焊痕光滑、平整。各零件、组合件表面光滑、平整、无尖角、突起，无裂痕伤痕。</w:t>
            </w:r>
            <w:r>
              <w:rPr>
                <w:rFonts w:ascii="宋体" w:hAnsi="宋体" w:eastAsia="宋体" w:cs="宋体"/>
                <w:color w:val="000000"/>
                <w:sz w:val="24"/>
                <w:szCs w:val="24"/>
                <w:highlight w:val="none"/>
                <w:lang w:val="en-US" w:eastAsia="zh-CN" w:bidi="ar-SA"/>
              </w:rPr>
            </w:r>
            <w:r/>
          </w:p>
        </w:tc>
      </w:tr>
      <w:tr>
        <w:trPr>
          <w:trHeight w:val="2592"/>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文物手推车（双层）</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辆</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1.规格：1000*600*1000mm</w:t>
            </w:r>
            <w:r>
              <w:rPr>
                <w:rFonts w:hint="eastAsia" w:ascii="宋体" w:hAnsi="宋体" w:eastAsia="宋体" w:cs="宋体"/>
                <w:color w:val="000000"/>
                <w:sz w:val="24"/>
                <w:szCs w:val="24"/>
                <w:highlight w:val="none"/>
                <w:lang w:val="en-US" w:eastAsia="zh-CN" w:bidi="ar-SA"/>
              </w:rPr>
              <w:t xml:space="preserve">（±2mm）</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2.文物搬运专用；</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3.箱体式结构，有推手，可加四周护板，底部四万向轮，单支承重≥80kg；</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4.万向轮下带弹簧，当有重物放置，起到减震解压作用；</w:t>
            </w:r>
            <w:r>
              <w:rPr>
                <w:rFonts w:ascii="宋体" w:hAnsi="宋体" w:eastAsia="宋体" w:cs="宋体"/>
                <w:color w:val="000000"/>
                <w:sz w:val="24"/>
                <w:szCs w:val="24"/>
                <w:highlight w:val="none"/>
                <w:lang w:val="en-US" w:eastAsia="zh-CN" w:bidi="ar"/>
              </w:rPr>
            </w:r>
            <w:r/>
          </w:p>
          <w:p>
            <w:pPr>
              <w:pStyle w:val="832"/>
              <w:jc w:val="lef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5.所用焊件牢固，焊痕光滑、平整。各零件、组合件表面光滑、平整、无尖角、突起，无裂痕伤痕。</w:t>
            </w:r>
            <w:r>
              <w:rPr>
                <w:rFonts w:ascii="宋体" w:hAnsi="宋体" w:eastAsia="宋体" w:cs="宋体"/>
                <w:color w:val="000000"/>
                <w:sz w:val="24"/>
                <w:szCs w:val="24"/>
                <w:highlight w:val="none"/>
                <w:lang w:val="en-US" w:eastAsia="zh-CN" w:bidi="ar-SA"/>
              </w:rPr>
            </w:r>
            <w:r/>
          </w:p>
        </w:tc>
      </w:tr>
      <w:tr>
        <w:trPr>
          <w:trHeight w:val="296"/>
        </w:trPr>
        <w:tc>
          <w:tcPr>
            <w:gridSpan w:val="5"/>
            <w:tcW w:w="8637" w:type="dxa"/>
            <w:vAlign w:val="center"/>
            <w:textDirection w:val="lrTb"/>
            <w:noWrap w:val="false"/>
          </w:tcPr>
          <w:p>
            <w:pPr>
              <w:pStyle w:val="832"/>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七、库房安全门</w:t>
            </w:r>
            <w:r>
              <w:rPr>
                <w:rFonts w:ascii="宋体" w:hAnsi="宋体" w:eastAsia="宋体" w:cs="宋体"/>
                <w:color w:val="000000"/>
                <w:sz w:val="24"/>
                <w:szCs w:val="24"/>
                <w:highlight w:val="none"/>
                <w:lang w:val="en-US" w:eastAsia="zh-CN" w:bidi="ar-SA"/>
              </w:rPr>
            </w:r>
            <w:r/>
          </w:p>
        </w:tc>
      </w:tr>
      <w:tr>
        <w:trPr>
          <w:trHeight w:val="6905"/>
        </w:trPr>
        <w:tc>
          <w:tcPr>
            <w:tcW w:w="642"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SA"/>
              </w:rPr>
            </w:r>
            <w:r/>
          </w:p>
        </w:tc>
        <w:tc>
          <w:tcPr>
            <w:tcW w:w="1756"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库房防盗门</w:t>
            </w:r>
            <w:r>
              <w:rPr>
                <w:rFonts w:ascii="宋体" w:hAnsi="宋体" w:eastAsia="宋体" w:cs="宋体"/>
                <w:color w:val="000000"/>
                <w:sz w:val="24"/>
                <w:szCs w:val="24"/>
                <w:highlight w:val="none"/>
                <w:lang w:val="en-US" w:eastAsia="zh-CN" w:bidi="ar-SA"/>
              </w:rPr>
            </w:r>
            <w:r/>
          </w:p>
        </w:tc>
        <w:tc>
          <w:tcPr>
            <w:tcW w:w="844"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套</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832"/>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SA"/>
              </w:rPr>
            </w:r>
            <w:r/>
          </w:p>
        </w:tc>
        <w:tc>
          <w:tcPr>
            <w:tcW w:w="4645" w:type="dxa"/>
            <w:vAlign w:val="center"/>
            <w:textDirection w:val="lrTb"/>
            <w:noWrap w:val="false"/>
          </w:tcPr>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1.规格：2000*2100mm</w:t>
            </w:r>
            <w:r>
              <w:rPr>
                <w:rFonts w:hint="eastAsia" w:ascii="宋体" w:hAnsi="宋体" w:eastAsia="宋体" w:cs="宋体"/>
                <w:color w:val="000000"/>
                <w:sz w:val="24"/>
                <w:szCs w:val="24"/>
                <w:highlight w:val="none"/>
                <w:lang w:val="en-US" w:eastAsia="zh-CN" w:bidi="ar-SA"/>
              </w:rPr>
              <w:t xml:space="preserve">（±2mm）</w:t>
            </w:r>
            <w:r>
              <w:rPr>
                <w:rFonts w:hint="eastAsia" w:ascii="宋体" w:hAnsi="宋体" w:eastAsia="宋体" w:cs="宋体"/>
                <w:color w:val="000000"/>
                <w:sz w:val="24"/>
                <w:szCs w:val="24"/>
                <w:highlight w:val="none"/>
                <w:lang w:val="en-US" w:eastAsia="zh-CN" w:bidi="ar"/>
              </w:rPr>
              <w:t xml:space="preserve">，钢制防盗门；</w:t>
            </w:r>
            <w:r>
              <w:rPr>
                <w:rFonts w:ascii="宋体" w:hAnsi="宋体" w:eastAsia="宋体" w:cs="宋体"/>
                <w:color w:val="000000"/>
                <w:sz w:val="24"/>
                <w:szCs w:val="24"/>
                <w:highlight w:val="none"/>
                <w:lang w:val="en-US" w:eastAsia="zh-CN" w:bidi="ar"/>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2.门框用钢板厚度应不小于1.5mm；</w:t>
            </w:r>
            <w:r>
              <w:rPr>
                <w:rFonts w:ascii="宋体" w:hAnsi="宋体" w:eastAsia="宋体" w:cs="宋体"/>
                <w:color w:val="000000"/>
                <w:sz w:val="24"/>
                <w:szCs w:val="24"/>
                <w:highlight w:val="none"/>
                <w:lang w:val="en-US" w:eastAsia="zh-CN" w:bidi="ar-SA"/>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3.门扇用钢板厚度应不小于0.8mm。</w:t>
            </w:r>
            <w:r>
              <w:rPr>
                <w:rFonts w:ascii="宋体" w:hAnsi="宋体" w:eastAsia="宋体" w:cs="宋体"/>
                <w:color w:val="000000"/>
                <w:sz w:val="24"/>
                <w:szCs w:val="24"/>
                <w:highlight w:val="none"/>
                <w:lang w:val="en-US" w:eastAsia="zh-CN" w:bidi="ar-SA"/>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4.钢门框上锁孔与锁舌（栓）的最大配合间隙应不大于5mm。</w:t>
            </w:r>
            <w:r>
              <w:rPr>
                <w:rFonts w:ascii="宋体" w:hAnsi="宋体" w:eastAsia="宋体" w:cs="宋体"/>
                <w:color w:val="000000"/>
                <w:sz w:val="24"/>
                <w:szCs w:val="24"/>
                <w:highlight w:val="none"/>
                <w:lang w:val="en-US" w:eastAsia="zh-CN" w:bidi="ar-SA"/>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5.门扇与门框的搭接宽度不应小于8mm，门扇与门框配合活动间隙应不大于6mm。</w:t>
            </w:r>
            <w:r>
              <w:rPr>
                <w:rFonts w:ascii="宋体" w:hAnsi="宋体" w:eastAsia="宋体" w:cs="宋体"/>
                <w:color w:val="000000"/>
                <w:sz w:val="24"/>
                <w:szCs w:val="24"/>
                <w:highlight w:val="none"/>
                <w:lang w:val="en-US" w:eastAsia="zh-CN" w:bidi="ar-SA"/>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6.门扇与门框铰链边贴合面间隙不大于4mm，门的开启边在关门状态与门框贴合面间隙应不大于5mm。</w:t>
            </w:r>
            <w:r>
              <w:rPr>
                <w:rFonts w:ascii="宋体" w:hAnsi="宋体" w:eastAsia="宋体" w:cs="宋体"/>
                <w:color w:val="000000"/>
                <w:sz w:val="24"/>
                <w:szCs w:val="24"/>
                <w:highlight w:val="none"/>
                <w:lang w:val="en-US" w:eastAsia="zh-CN" w:bidi="ar-SA"/>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7.门框槽口对角线尺寸之差应不大于7mm。</w:t>
            </w:r>
            <w:r>
              <w:rPr>
                <w:rFonts w:ascii="宋体" w:hAnsi="宋体" w:eastAsia="宋体" w:cs="宋体"/>
                <w:color w:val="000000"/>
                <w:sz w:val="24"/>
                <w:szCs w:val="24"/>
                <w:highlight w:val="none"/>
                <w:lang w:val="en-US" w:eastAsia="zh-CN" w:bidi="ar-SA"/>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8.门铰应能支持住门体重量，门在开启90度过程中，门体不产生倾斜、门铰链铀线不产生大于4mm的位移。</w:t>
            </w:r>
            <w:r>
              <w:rPr>
                <w:rFonts w:ascii="宋体" w:hAnsi="宋体" w:eastAsia="宋体" w:cs="宋体"/>
                <w:color w:val="000000"/>
                <w:sz w:val="24"/>
                <w:szCs w:val="24"/>
                <w:highlight w:val="none"/>
                <w:lang w:val="en-US" w:eastAsia="zh-CN" w:bidi="ar-SA"/>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9.门铰链应转动灵活，门框与门扇之间不产生大于12mm的位移。</w:t>
            </w:r>
            <w:r>
              <w:rPr>
                <w:rFonts w:ascii="宋体" w:hAnsi="宋体" w:eastAsia="宋体" w:cs="宋体"/>
                <w:color w:val="000000"/>
                <w:sz w:val="24"/>
                <w:szCs w:val="24"/>
                <w:highlight w:val="none"/>
                <w:lang w:val="en-US" w:eastAsia="zh-CN" w:bidi="ar-SA"/>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10.橡胶密封条封密严。</w:t>
            </w:r>
            <w:r>
              <w:rPr>
                <w:rFonts w:ascii="宋体" w:hAnsi="宋体" w:eastAsia="宋体" w:cs="宋体"/>
                <w:color w:val="000000"/>
                <w:sz w:val="24"/>
                <w:szCs w:val="24"/>
                <w:highlight w:val="none"/>
                <w:lang w:val="en-US" w:eastAsia="zh-CN" w:bidi="ar-SA"/>
              </w:rPr>
            </w:r>
            <w:r/>
          </w:p>
          <w:p>
            <w:pPr>
              <w:pStyle w:val="1137"/>
              <w:numPr>
                <w:ilvl w:val="1"/>
                <w:numId w:val="0"/>
              </w:numPr>
              <w:ind w:left="0" w:firstLine="0"/>
              <w:jc w:val="lef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SA"/>
              </w:rPr>
              <w:t xml:space="preserve">11.金属门表面漆膜应均匀，色泽一致，不得有明显的流挂、脱落、露底等缺陷。电镀层色泽均匀，镀层无脱落。漆膜经耐湿热试验后，应不低于2级。</w:t>
            </w:r>
            <w:bookmarkEnd w:id="7"/>
            <w:r>
              <w:rPr>
                <w:rFonts w:ascii="宋体" w:hAnsi="宋体" w:eastAsia="宋体" w:cs="宋体"/>
                <w:color w:val="000000"/>
                <w:sz w:val="24"/>
                <w:szCs w:val="24"/>
                <w:highlight w:val="none"/>
                <w:lang w:val="en-US" w:eastAsia="zh-CN" w:bidi="ar"/>
              </w:rPr>
            </w:r>
            <w:r/>
          </w:p>
        </w:tc>
      </w:tr>
    </w:tbl>
    <w:p>
      <w:pPr>
        <w:pStyle w:val="832"/>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ascii="宋体" w:hAnsi="宋体" w:cs="宋体"/>
          <w:b/>
          <w:bCs/>
          <w:color w:val="000000"/>
          <w:sz w:val="24"/>
          <w:highlight w:val="none"/>
        </w:rPr>
      </w:r>
      <w:r/>
    </w:p>
    <w:p>
      <w:pPr>
        <w:pStyle w:val="83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五、项目实施要求：</w:t>
      </w:r>
      <w:r>
        <w:rPr>
          <w:rFonts w:ascii="宋体" w:hAnsi="宋体" w:cs="宋体"/>
          <w:b/>
          <w:bCs/>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1、投标人所投产品应明确所投产品的品牌、型号、规格及一些必须说明的技术参数，以及设备配置清单，并提供详细的技术参数及性能说明书。</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3、投标人必须承诺招标文件中提出的全部技术规格与要求，如果以其中某些条款不响应时，应在文件中逐条列出，未列出的视同响应。</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本项目要求投标人在充分理解功能的基础上选用符合招标文件要求的设备，投标文件中编写详细的深化方案，提供详细的设备清单。该清单中所列项目必须能够构成完整的可正常运行并满足本招标要求的系统。</w:t>
      </w:r>
      <w:r>
        <w:rPr>
          <w:rFonts w:ascii="宋体" w:hAnsi="宋体" w:cs="宋体"/>
          <w:color w:val="000000"/>
          <w:sz w:val="24"/>
          <w:highlight w:val="none"/>
        </w:rPr>
      </w:r>
      <w:r/>
    </w:p>
    <w:p>
      <w:pPr>
        <w:pStyle w:val="83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5、交付时间：合同生效后，160日历天内完成交付并安装调试完毕并投入使用。</w:t>
      </w:r>
      <w:r>
        <w:rPr>
          <w:rFonts w:ascii="宋体" w:hAnsi="宋体" w:cs="宋体"/>
          <w:b/>
          <w:bCs/>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说明：本“交付时间”为不允许偏离的实质性要求和条件，如有偏离，在符合性审查时按照响应无效处理。</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7、验收时需提供全部的技术资料（产品中/英文说明书、中文操作手册和产品合格证书）。</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9、投标人安装调试时采取必要的安全措施，如有意外或事故发生，由中标人（合同卖方）负全部责任。</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10、投标人应指派专人全面负责项目的管理、项目协调、项目控制、质量监督等各项管理工作。</w:t>
      </w:r>
      <w:r>
        <w:rPr>
          <w:rFonts w:ascii="宋体" w:hAnsi="宋体" w:cs="宋体"/>
          <w:color w:val="000000"/>
          <w:sz w:val="24"/>
          <w:highlight w:val="none"/>
        </w:rPr>
      </w:r>
      <w:r/>
    </w:p>
    <w:p>
      <w:pPr>
        <w:pStyle w:val="83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七、验收标准</w:t>
      </w:r>
      <w:r>
        <w:rPr>
          <w:rFonts w:ascii="宋体" w:hAnsi="宋体" w:cs="宋体"/>
          <w:b/>
          <w:bCs/>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1、验收依据：相关国家标准、行业标准。</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2、验收的时间、方式、程序要求：见招标文件第五章《拟签订的合同文本》。</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rPr>
          <w:rFonts w:ascii="宋体" w:hAnsi="宋体" w:cs="宋体"/>
          <w:color w:val="000000"/>
          <w:sz w:val="24"/>
          <w:highlight w:val="none"/>
        </w:rPr>
      </w:r>
      <w:r/>
    </w:p>
    <w:p>
      <w:pPr>
        <w:pStyle w:val="83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八、售后服务要求</w:t>
      </w:r>
      <w:r>
        <w:rPr>
          <w:rFonts w:ascii="宋体" w:hAnsi="宋体" w:cs="宋体"/>
          <w:b/>
          <w:bCs/>
          <w:color w:val="000000"/>
          <w:sz w:val="24"/>
          <w:highlight w:val="none"/>
        </w:rPr>
      </w:r>
      <w:r/>
    </w:p>
    <w:p>
      <w:pPr>
        <w:pStyle w:val="83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1、质保期要求：提供原厂不少于</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年免费质保（自最终验收合格之日起，开始进入质保期）。</w:t>
      </w:r>
      <w:r>
        <w:rPr>
          <w:rFonts w:ascii="宋体" w:hAnsi="宋体" w:cs="宋体"/>
          <w:b/>
          <w:bCs/>
          <w:color w:val="000000"/>
          <w:sz w:val="24"/>
          <w:highlight w:val="none"/>
        </w:rPr>
      </w:r>
      <w:r/>
    </w:p>
    <w:p>
      <w:pPr>
        <w:pStyle w:val="832"/>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说明：本“1、质保期要求”为不允许偏离的实质性要求和条件，如有偏离，在符合性审查时按照响应无效处理。</w:t>
      </w:r>
      <w:r>
        <w:rPr>
          <w:rFonts w:ascii="宋体" w:hAnsi="宋体" w:cs="宋体"/>
          <w:b/>
          <w:bCs/>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质保期内提供7×24小时服务，对采购人所提出的维修要求做出实质性响应，并提供应急策略；严格按照招标文件要求及时供货，并向采购人提供及时的完善的售前、售中、售后服务。保修期外维修仅收取成本费、不额外收取人工费。在质保期内，对采购人所提出的维修要求做出实质性响应，并提供应急策略；严格按照招标文件要求及时供货，并向采购人提供及时的完善的售前、售中、售后服务。</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3、硬件服务要求：</w:t>
      </w:r>
      <w:r>
        <w:rPr>
          <w:rFonts w:ascii="宋体" w:hAnsi="宋体" w:cs="宋体"/>
          <w:color w:val="000000"/>
          <w:sz w:val="24"/>
          <w:highlight w:val="none"/>
        </w:rPr>
      </w:r>
      <w:r/>
    </w:p>
    <w:p>
      <w:pPr>
        <w:pStyle w:val="83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w:t>
      </w:r>
      <w:r>
        <w:rPr>
          <w:rFonts w:ascii="宋体" w:hAnsi="宋体" w:cs="宋体"/>
          <w:color w:val="000000"/>
          <w:sz w:val="24"/>
          <w:highlight w:val="none"/>
        </w:rPr>
      </w:r>
      <w:r/>
    </w:p>
    <w:p>
      <w:pPr>
        <w:pStyle w:val="83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九、其他要求：见招标文件第五章《拟签订的合同文本》。</w:t>
      </w:r>
      <w:r>
        <w:rPr>
          <w:rFonts w:ascii="宋体" w:hAnsi="宋体" w:cs="宋体"/>
          <w:b/>
          <w:color w:val="000000"/>
          <w:sz w:val="24"/>
          <w:highlight w:val="none"/>
        </w:rPr>
      </w:r>
      <w:r/>
    </w:p>
    <w:p>
      <w:pPr>
        <w:pStyle w:val="832"/>
        <w:rPr>
          <w:rFonts w:ascii="宋体" w:hAnsi="宋体" w:cs="宋体"/>
          <w:b/>
          <w:color w:val="000000"/>
          <w:sz w:val="30"/>
          <w:highlight w:val="none"/>
        </w:rPr>
      </w:pPr>
      <w:r>
        <w:rPr>
          <w:rFonts w:hint="eastAsia" w:ascii="宋体" w:hAnsi="宋体" w:cs="宋体"/>
          <w:b/>
          <w:color w:val="000000"/>
          <w:sz w:val="30"/>
          <w:highlight w:val="none"/>
        </w:rPr>
        <w:br w:type="page" w:clear="all"/>
      </w:r>
      <w:r>
        <w:rPr>
          <w:rFonts w:ascii="宋体" w:hAnsi="宋体" w:cs="宋体"/>
          <w:b/>
          <w:color w:val="000000"/>
          <w:sz w:val="30"/>
          <w:highlight w:val="none"/>
        </w:rPr>
      </w:r>
      <w:r/>
    </w:p>
    <w:p>
      <w:pPr>
        <w:pStyle w:val="832"/>
        <w:jc w:val="center"/>
        <w:spacing w:line="360" w:lineRule="auto"/>
        <w:rPr>
          <w:rFonts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第七章 投标文件相关格式</w:t>
      </w:r>
      <w:r>
        <w:rPr>
          <w:rFonts w:ascii="宋体" w:hAnsi="宋体" w:cs="宋体"/>
          <w:color w:val="000000"/>
          <w:sz w:val="32"/>
          <w:highlight w:val="none"/>
        </w:rPr>
      </w:r>
      <w:r/>
    </w:p>
    <w:p>
      <w:pPr>
        <w:pStyle w:val="832"/>
        <w:ind w:firstLine="640"/>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一、投标函格式</w:t>
      </w:r>
      <w:r>
        <w:rPr>
          <w:rFonts w:ascii="宋体" w:hAnsi="宋体" w:cs="宋体"/>
          <w:b/>
          <w:bCs/>
          <w:color w:val="000000"/>
          <w:sz w:val="32"/>
          <w:szCs w:val="32"/>
          <w:highlight w:val="none"/>
        </w:rPr>
      </w:r>
      <w:r/>
    </w:p>
    <w:p>
      <w:pPr>
        <w:pStyle w:val="832"/>
        <w:spacing w:line="4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徐州博物馆（徐州汉画像石艺术馆）</w:t>
      </w:r>
      <w:r>
        <w:rPr>
          <w:rFonts w:ascii="宋体" w:hAnsi="宋体" w:cs="宋体"/>
          <w:color w:val="000000"/>
          <w:sz w:val="24"/>
          <w:highlight w:val="none"/>
        </w:rPr>
      </w:r>
      <w:r/>
    </w:p>
    <w:p>
      <w:pPr>
        <w:pStyle w:val="832"/>
        <w:ind w:firstLine="600"/>
        <w:spacing w:line="4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rPr>
          <w:rFonts w:ascii="宋体" w:hAnsi="宋体" w:cs="宋体"/>
          <w:color w:val="000000"/>
          <w:sz w:val="24"/>
          <w:highlight w:val="none"/>
        </w:rPr>
      </w:r>
      <w:r/>
    </w:p>
    <w:p>
      <w:pPr>
        <w:pStyle w:val="832"/>
        <w:ind w:firstLine="600"/>
        <w:spacing w:line="4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据此函，投标人承诺并同意如下： </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投标人唯一投标报价见《开标一览表》。</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投标人将按招标文件的规定履行合同责任和义务。</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投标有效期为开标之日后90天。</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投标人同意按照招标文件规定支付招标代理服务费。</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 采购人有权对投标人投标文件的真实性进行核实，如投标人不能在采购人规定的时间内向采购人提供有效的证明文件，将被采购人视为放弃中标资格。</w:t>
      </w:r>
      <w:r>
        <w:rPr>
          <w:rFonts w:ascii="宋体" w:hAnsi="宋体" w:cs="宋体"/>
          <w:color w:val="000000"/>
          <w:sz w:val="24"/>
          <w:highlight w:val="none"/>
        </w:rPr>
      </w:r>
      <w:r/>
    </w:p>
    <w:p>
      <w:pPr>
        <w:pStyle w:val="832"/>
        <w:ind w:firstLine="48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 与本投标有关的一切正式往来信函请寄：</w:t>
      </w:r>
      <w:r>
        <w:rPr>
          <w:rFonts w:ascii="宋体" w:hAnsi="宋体" w:cs="宋体"/>
          <w:color w:val="000000"/>
          <w:sz w:val="24"/>
          <w:highlight w:val="none"/>
        </w:rPr>
      </w:r>
      <w:r/>
    </w:p>
    <w:p>
      <w:pPr>
        <w:pStyle w:val="832"/>
        <w:ind w:firstLine="1200"/>
        <w:spacing w:line="4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rPr>
          <w:rFonts w:ascii="宋体" w:hAnsi="宋体" w:cs="宋体"/>
          <w:color w:val="000000"/>
          <w:sz w:val="24"/>
          <w:highlight w:val="none"/>
        </w:rPr>
      </w:r>
      <w:r/>
    </w:p>
    <w:p>
      <w:pPr>
        <w:pStyle w:val="832"/>
        <w:ind w:firstLine="1200"/>
        <w:spacing w:line="4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 </w:t>
      </w:r>
      <w:r>
        <w:rPr>
          <w:rFonts w:ascii="宋体" w:hAnsi="宋体" w:cs="宋体"/>
          <w:color w:val="000000"/>
          <w:sz w:val="24"/>
          <w:highlight w:val="none"/>
        </w:rPr>
      </w:r>
      <w:r/>
    </w:p>
    <w:p>
      <w:pPr>
        <w:pStyle w:val="832"/>
        <w:ind w:firstLine="1200"/>
        <w:spacing w:line="46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传真： </w:t>
      </w:r>
      <w:r>
        <w:rPr>
          <w:rFonts w:ascii="宋体" w:hAnsi="宋体" w:cs="宋体"/>
          <w:color w:val="000000"/>
          <w:sz w:val="24"/>
          <w:highlight w:val="none"/>
        </w:rPr>
      </w:r>
      <w:r/>
    </w:p>
    <w:p>
      <w:pPr>
        <w:pStyle w:val="832"/>
        <w:ind w:firstLine="336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832"/>
        <w:ind w:firstLine="3360"/>
        <w:spacing w:line="44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2"/>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hint="eastAsia" w:ascii="宋体" w:hAnsi="宋体" w:cs="宋体"/>
          <w:b/>
          <w:bCs/>
          <w:color w:val="000000"/>
          <w:sz w:val="32"/>
          <w:szCs w:val="32"/>
          <w:highlight w:val="none"/>
        </w:rPr>
        <w:t xml:space="preserve">二、开标一览表格式</w:t>
      </w:r>
      <w:r>
        <w:rPr>
          <w:rFonts w:ascii="宋体" w:hAnsi="宋体" w:cs="宋体"/>
          <w:b/>
          <w:bCs/>
          <w:color w:val="000000"/>
          <w:sz w:val="32"/>
          <w:szCs w:val="32"/>
          <w:highlight w:val="none"/>
        </w:rPr>
      </w:r>
      <w:r/>
    </w:p>
    <w:p>
      <w:pPr>
        <w:pStyle w:val="832"/>
        <w:ind w:firstLine="480"/>
        <w:jc w:val="center"/>
        <w:spacing w:line="360" w:lineRule="auto"/>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32"/>
        <w:ind w:firstLine="480"/>
        <w:jc w:val="center"/>
        <w:spacing w:line="360" w:lineRule="auto"/>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32"/>
        <w:ind w:firstLine="480"/>
        <w:jc w:val="center"/>
        <w:spacing w:line="360" w:lineRule="auto"/>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32"/>
        <w:jc w:val="center"/>
        <w:spacing w:line="360" w:lineRule="auto"/>
        <w:widowControl/>
        <w:rPr>
          <w:rFonts w:ascii="宋体" w:hAnsi="宋体"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highlight w:val="none"/>
          <w:u w:val="single"/>
        </w:rPr>
        <w:t xml:space="preserve">政府采购客户端工具输入报价自动生成</w:t>
      </w:r>
      <w:r>
        <w:rPr>
          <w:rFonts w:ascii="宋体" w:hAnsi="宋体" w:cs="仿宋"/>
          <w:color w:val="000000"/>
          <w:sz w:val="24"/>
          <w:highlight w:val="none"/>
        </w:rPr>
      </w:r>
      <w:r/>
    </w:p>
    <w:p>
      <w:pPr>
        <w:pStyle w:val="832"/>
        <w:ind w:firstLine="600"/>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highlight w:val="none"/>
        </w:rPr>
      </w:r>
      <w:r/>
    </w:p>
    <w:p>
      <w:pPr>
        <w:pStyle w:val="832"/>
        <w:ind w:firstLine="600"/>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三、分项价格表格式</w:t>
      </w:r>
      <w:r>
        <w:rPr>
          <w:rFonts w:ascii="宋体" w:hAnsi="宋体" w:cs="宋体"/>
          <w:b/>
          <w:bCs/>
          <w:color w:val="000000"/>
          <w:sz w:val="32"/>
          <w:szCs w:val="32"/>
          <w:highlight w:val="none"/>
        </w:rPr>
      </w:r>
      <w:r/>
    </w:p>
    <w:p>
      <w:pPr>
        <w:pStyle w:val="832"/>
        <w:ind w:firstLine="600"/>
        <w:spacing w:line="479" w:lineRule="atLeast"/>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r>
      <w:r/>
    </w:p>
    <w:p>
      <w:pPr>
        <w:pStyle w:val="8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ascii="宋体" w:hAnsi="宋体" w:cs="宋体"/>
          <w:color w:val="000000"/>
          <w:sz w:val="24"/>
          <w:highlight w:val="none"/>
        </w:rPr>
      </w:r>
      <w:r/>
    </w:p>
    <w:p>
      <w:pPr>
        <w:pStyle w:val="832"/>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p>
      <w:pPr>
        <w:pStyle w:val="832"/>
        <w:jc w:val="right"/>
        <w:rPr>
          <w:rFonts w:ascii="宋体" w:hAnsi="宋体" w:cs="宋体"/>
          <w:color w:val="000000"/>
          <w:sz w:val="24"/>
          <w:highlight w:val="none"/>
        </w:rPr>
      </w:pPr>
      <w:r>
        <w:rPr>
          <w:rFonts w:hint="eastAsia" w:ascii="宋体" w:hAnsi="宋体" w:cs="宋体"/>
          <w:color w:val="000000"/>
          <w:sz w:val="24"/>
          <w:highlight w:val="none"/>
        </w:rPr>
        <w:t xml:space="preserve">          　 货币单位：人民币元</w:t>
      </w:r>
      <w:r>
        <w:rPr>
          <w:rFonts w:ascii="宋体" w:hAnsi="宋体" w:cs="宋体"/>
          <w:color w:val="000000"/>
          <w:sz w:val="24"/>
          <w:highlight w:val="none"/>
        </w:rPr>
      </w:r>
      <w:r/>
    </w:p>
    <w:p>
      <w:pPr>
        <w:pStyle w:val="832"/>
        <w:ind w:firstLine="3120"/>
        <w:rPr>
          <w:rFonts w:ascii="宋体" w:hAnsi="宋体" w:cs="宋体"/>
          <w:color w:val="000000"/>
          <w:sz w:val="24"/>
          <w:highlight w:val="none"/>
        </w:rPr>
      </w:pPr>
      <w:r>
        <w:rPr>
          <w:rFonts w:ascii="宋体" w:hAnsi="宋体" w:cs="宋体"/>
          <w:color w:val="000000"/>
          <w:sz w:val="24"/>
          <w:highlight w:val="none"/>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tcMar>
              <w:left w:w="15" w:type="dxa"/>
              <w:top w:w="15" w:type="dxa"/>
              <w:right w:w="15" w:type="dxa"/>
              <w:bottom w:w="0" w:type="dxa"/>
            </w:tcMar>
            <w:tcW w:w="505"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序号</w:t>
            </w:r>
            <w:r>
              <w:rPr>
                <w:rFonts w:ascii="宋体" w:hAnsi="宋体" w:eastAsia="宋体" w:cs="宋体"/>
                <w:b/>
                <w:bCs/>
                <w:color w:val="000000"/>
                <w:sz w:val="24"/>
                <w:szCs w:val="24"/>
                <w:highlight w:val="none"/>
                <w:lang w:val="en-US" w:eastAsia="zh-CN" w:bidi="ar-SA"/>
              </w:rPr>
            </w:r>
            <w:r/>
          </w:p>
        </w:tc>
        <w:tc>
          <w:tcPr>
            <w:tcMar>
              <w:left w:w="15" w:type="dxa"/>
              <w:top w:w="15" w:type="dxa"/>
              <w:right w:w="15" w:type="dxa"/>
              <w:bottom w:w="0" w:type="dxa"/>
            </w:tcMar>
            <w:tcW w:w="975"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rPr>
                <w:rFonts w:ascii="宋体" w:hAnsi="宋体" w:eastAsia="宋体" w:cs="宋体"/>
                <w:b/>
                <w:bCs/>
                <w:color w:val="000000"/>
                <w:sz w:val="24"/>
                <w:szCs w:val="24"/>
                <w:highlight w:val="none"/>
                <w:lang w:val="en-US" w:eastAsia="zh-CN" w:bidi="ar-SA"/>
              </w:rPr>
            </w:r>
            <w:r/>
          </w:p>
        </w:tc>
        <w:tc>
          <w:tcPr>
            <w:tcMar>
              <w:left w:w="15" w:type="dxa"/>
              <w:top w:w="15" w:type="dxa"/>
              <w:right w:w="15" w:type="dxa"/>
              <w:bottom w:w="0" w:type="dxa"/>
            </w:tcMar>
            <w:tcW w:w="1005"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品牌、规格、型号</w:t>
            </w:r>
            <w:r>
              <w:rPr>
                <w:rFonts w:ascii="宋体" w:hAnsi="宋体" w:eastAsia="宋体" w:cs="宋体"/>
                <w:b/>
                <w:bCs/>
                <w:color w:val="000000"/>
                <w:sz w:val="24"/>
                <w:szCs w:val="24"/>
                <w:highlight w:val="none"/>
                <w:lang w:val="en-US" w:eastAsia="zh-CN" w:bidi="ar-SA"/>
              </w:rPr>
            </w:r>
            <w:r/>
          </w:p>
        </w:tc>
        <w:tc>
          <w:tcPr>
            <w:tcMar>
              <w:left w:w="15" w:type="dxa"/>
              <w:top w:w="15" w:type="dxa"/>
              <w:right w:w="15" w:type="dxa"/>
              <w:bottom w:w="0" w:type="dxa"/>
            </w:tcMar>
            <w:tcW w:w="1346"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产品制造企业名称（全称）</w:t>
            </w:r>
            <w:r>
              <w:rPr>
                <w:rFonts w:ascii="宋体" w:hAnsi="宋体" w:eastAsia="宋体" w:cs="宋体"/>
                <w:b/>
                <w:bCs/>
                <w:color w:val="000000"/>
                <w:sz w:val="24"/>
                <w:szCs w:val="24"/>
                <w:highlight w:val="none"/>
                <w:lang w:val="en-US" w:eastAsia="zh-CN" w:bidi="ar-SA"/>
              </w:rPr>
            </w:r>
            <w:r/>
          </w:p>
        </w:tc>
        <w:tc>
          <w:tcPr>
            <w:tcMar>
              <w:left w:w="15" w:type="dxa"/>
              <w:top w:w="15" w:type="dxa"/>
              <w:right w:w="15" w:type="dxa"/>
              <w:bottom w:w="0" w:type="dxa"/>
            </w:tcMar>
            <w:tcW w:w="1999"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产品制造企业的划分（大型、中型、小型、微型、监狱企业、享受政府采购支持政策的残疾人福利性单位）</w:t>
            </w:r>
            <w:r>
              <w:rPr>
                <w:rFonts w:ascii="宋体" w:hAnsi="宋体" w:eastAsia="宋体" w:cs="宋体"/>
                <w:b/>
                <w:bCs/>
                <w:color w:val="000000"/>
                <w:sz w:val="24"/>
                <w:szCs w:val="24"/>
                <w:highlight w:val="none"/>
                <w:lang w:val="en-US" w:eastAsia="zh-CN" w:bidi="ar-SA"/>
              </w:rPr>
            </w:r>
            <w:r/>
          </w:p>
        </w:tc>
        <w:tc>
          <w:tcPr>
            <w:tcMar>
              <w:left w:w="15" w:type="dxa"/>
              <w:top w:w="15" w:type="dxa"/>
              <w:right w:w="15" w:type="dxa"/>
              <w:bottom w:w="0" w:type="dxa"/>
            </w:tcMar>
            <w:tcW w:w="750"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数量</w:t>
            </w:r>
            <w:r>
              <w:rPr>
                <w:rFonts w:ascii="宋体" w:hAnsi="宋体" w:eastAsia="宋体" w:cs="宋体"/>
                <w:b/>
                <w:bCs/>
                <w:color w:val="000000"/>
                <w:sz w:val="24"/>
                <w:szCs w:val="24"/>
                <w:highlight w:val="none"/>
                <w:lang w:val="en-US" w:eastAsia="zh-CN" w:bidi="ar-SA"/>
              </w:rPr>
            </w:r>
            <w:r/>
          </w:p>
        </w:tc>
        <w:tc>
          <w:tcPr>
            <w:tcMar>
              <w:left w:w="15" w:type="dxa"/>
              <w:top w:w="15" w:type="dxa"/>
              <w:right w:w="15" w:type="dxa"/>
              <w:bottom w:w="0" w:type="dxa"/>
            </w:tcMar>
            <w:tcW w:w="862"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数量单位</w:t>
            </w:r>
            <w:r>
              <w:rPr>
                <w:rFonts w:ascii="宋体" w:hAnsi="宋体" w:eastAsia="宋体" w:cs="宋体"/>
                <w:b/>
                <w:bCs/>
                <w:color w:val="000000"/>
                <w:sz w:val="24"/>
                <w:szCs w:val="24"/>
                <w:highlight w:val="none"/>
                <w:lang w:val="en-US" w:eastAsia="zh-CN" w:bidi="ar-SA"/>
              </w:rPr>
            </w:r>
            <w:r/>
          </w:p>
        </w:tc>
        <w:tc>
          <w:tcPr>
            <w:tcMar>
              <w:left w:w="15" w:type="dxa"/>
              <w:top w:w="15" w:type="dxa"/>
              <w:right w:w="15" w:type="dxa"/>
              <w:bottom w:w="0" w:type="dxa"/>
            </w:tcMar>
            <w:tcW w:w="807"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单价</w:t>
            </w:r>
            <w:r>
              <w:rPr>
                <w:rFonts w:ascii="宋体" w:hAnsi="宋体" w:eastAsia="宋体" w:cs="宋体"/>
                <w:b/>
                <w:bCs/>
                <w:color w:val="000000"/>
                <w:sz w:val="24"/>
                <w:szCs w:val="24"/>
                <w:highlight w:val="none"/>
                <w:lang w:val="en-US" w:eastAsia="zh-CN" w:bidi="ar-SA"/>
              </w:rPr>
            </w:r>
            <w:r/>
          </w:p>
        </w:tc>
        <w:tc>
          <w:tcPr>
            <w:tcW w:w="806"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总价</w:t>
            </w:r>
            <w:r>
              <w:rPr>
                <w:rFonts w:ascii="宋体" w:hAnsi="宋体" w:eastAsia="宋体" w:cs="宋体"/>
                <w:b/>
                <w:bCs/>
                <w:color w:val="000000"/>
                <w:sz w:val="24"/>
                <w:szCs w:val="24"/>
                <w:highlight w:val="none"/>
                <w:lang w:val="en-US" w:eastAsia="zh-CN" w:bidi="ar-SA"/>
              </w:rPr>
            </w:r>
            <w:r/>
          </w:p>
        </w:tc>
        <w:tc>
          <w:tcPr>
            <w:tcMar>
              <w:left w:w="15" w:type="dxa"/>
              <w:top w:w="15" w:type="dxa"/>
              <w:right w:w="15" w:type="dxa"/>
              <w:bottom w:w="0" w:type="dxa"/>
            </w:tcMar>
            <w:tcW w:w="784" w:type="dxa"/>
            <w:vAlign w:val="center"/>
            <w:textDirection w:val="lrTb"/>
            <w:noWrap w:val="false"/>
          </w:tcPr>
          <w:p>
            <w:pPr>
              <w:pStyle w:val="832"/>
              <w:jc w:val="center"/>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w:t>
            </w:r>
            <w:r>
              <w:rPr>
                <w:rFonts w:ascii="宋体" w:hAnsi="宋体" w:eastAsia="宋体" w:cs="宋体"/>
                <w:b/>
                <w:bCs/>
                <w:color w:val="000000"/>
                <w:sz w:val="24"/>
                <w:szCs w:val="24"/>
                <w:highlight w:val="none"/>
                <w:lang w:val="en-US" w:eastAsia="zh-CN" w:bidi="ar-SA"/>
              </w:rPr>
            </w:r>
            <w:r/>
          </w:p>
        </w:tc>
      </w:tr>
      <w:tr>
        <w:trPr>
          <w:trHeight w:val="300"/>
        </w:trPr>
        <w:tc>
          <w:tcPr>
            <w:tcMar>
              <w:left w:w="15" w:type="dxa"/>
              <w:top w:w="15" w:type="dxa"/>
              <w:right w:w="15" w:type="dxa"/>
              <w:bottom w:w="0" w:type="dxa"/>
            </w:tcMar>
            <w:tcW w:w="5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7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0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34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999"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50"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62"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07"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84"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214"/>
        </w:trPr>
        <w:tc>
          <w:tcPr>
            <w:tcMar>
              <w:left w:w="15" w:type="dxa"/>
              <w:top w:w="15" w:type="dxa"/>
              <w:right w:w="15" w:type="dxa"/>
              <w:bottom w:w="0" w:type="dxa"/>
            </w:tcMar>
            <w:tcW w:w="5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7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0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34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999"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50"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62"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07"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84"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214"/>
        </w:trPr>
        <w:tc>
          <w:tcPr>
            <w:tcMar>
              <w:left w:w="15" w:type="dxa"/>
              <w:top w:w="15" w:type="dxa"/>
              <w:right w:w="15" w:type="dxa"/>
              <w:bottom w:w="0" w:type="dxa"/>
            </w:tcMar>
            <w:tcW w:w="5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7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0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34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999"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50"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62"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07"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84"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322"/>
        </w:trPr>
        <w:tc>
          <w:tcPr>
            <w:tcMar>
              <w:left w:w="15" w:type="dxa"/>
              <w:top w:w="15" w:type="dxa"/>
              <w:right w:w="15" w:type="dxa"/>
              <w:bottom w:w="0" w:type="dxa"/>
            </w:tcMar>
            <w:tcW w:w="5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7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0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34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999"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50"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62"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07"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84"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285"/>
        </w:trPr>
        <w:tc>
          <w:tcPr>
            <w:tcMar>
              <w:left w:w="15" w:type="dxa"/>
              <w:top w:w="15" w:type="dxa"/>
              <w:right w:w="15" w:type="dxa"/>
              <w:bottom w:w="0" w:type="dxa"/>
            </w:tcMar>
            <w:tcW w:w="5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7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0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34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999"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50"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62"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07"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84"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285"/>
        </w:trPr>
        <w:tc>
          <w:tcPr>
            <w:tcMar>
              <w:left w:w="15" w:type="dxa"/>
              <w:top w:w="15" w:type="dxa"/>
              <w:right w:w="15" w:type="dxa"/>
              <w:bottom w:w="0" w:type="dxa"/>
            </w:tcMar>
            <w:tcW w:w="5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97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005"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34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999"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50"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62"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807"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6"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784"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总价合计（即《开标一览表》中的“总价”）</w:t>
            </w:r>
            <w:r>
              <w:rPr>
                <w:rFonts w:ascii="宋体" w:hAnsi="宋体" w:eastAsia="宋体" w:cs="宋体"/>
                <w:color w:val="000000"/>
                <w:sz w:val="24"/>
                <w:szCs w:val="24"/>
                <w:highlight w:val="none"/>
                <w:lang w:val="en-US" w:eastAsia="zh-CN" w:bidi="ar-SA"/>
              </w:rPr>
            </w:r>
            <w:r/>
          </w:p>
        </w:tc>
        <w:tc>
          <w:tcPr>
            <w:gridSpan w:val="6"/>
            <w:tcW w:w="6008" w:type="dxa"/>
            <w:vAlign w:val="top"/>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pStyle w:val="832"/>
        <w:rPr>
          <w:rFonts w:ascii="宋体" w:hAnsi="宋体" w:cs="宋体"/>
          <w:color w:val="000000"/>
          <w:sz w:val="24"/>
          <w:highlight w:val="none"/>
        </w:rPr>
      </w:pPr>
      <w:r>
        <w:rPr>
          <w:rFonts w:ascii="宋体" w:hAnsi="宋体" w:cs="宋体"/>
          <w:color w:val="000000"/>
          <w:sz w:val="24"/>
          <w:highlight w:val="none"/>
        </w:rPr>
      </w:r>
      <w:r/>
    </w:p>
    <w:p>
      <w:pPr>
        <w:pStyle w:val="832"/>
        <w:ind w:firstLine="364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832"/>
        <w:ind w:firstLine="36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2"/>
        <w:rPr>
          <w:rFonts w:ascii="宋体" w:hAnsi="宋体" w:cs="宋体"/>
          <w:color w:val="000000"/>
          <w:sz w:val="24"/>
          <w:highlight w:val="none"/>
        </w:rPr>
      </w:pPr>
      <w:r>
        <w:rPr>
          <w:rFonts w:ascii="宋体" w:hAnsi="宋体" w:cs="宋体"/>
          <w:color w:val="000000"/>
          <w:sz w:val="24"/>
          <w:highlight w:val="none"/>
        </w:rPr>
      </w:r>
      <w:r/>
    </w:p>
    <w:p>
      <w:pPr>
        <w:pStyle w:val="832"/>
        <w:ind w:firstLine="560"/>
        <w:jc w:val="left"/>
        <w:widowControl/>
        <w:rPr>
          <w:rFonts w:ascii="宋体" w:hAnsi="宋体" w:cs="宋体"/>
          <w:color w:val="000000"/>
          <w:sz w:val="24"/>
          <w:highlight w:val="none"/>
        </w:rPr>
      </w:pPr>
      <w:r>
        <w:rPr>
          <w:rFonts w:ascii="宋体" w:hAnsi="宋体" w:cs="宋体"/>
          <w:color w:val="000000"/>
          <w:sz w:val="24"/>
          <w:highlight w:val="none"/>
        </w:rPr>
      </w:r>
      <w:r/>
    </w:p>
    <w:p>
      <w:pPr>
        <w:pStyle w:val="832"/>
        <w:jc w:val="left"/>
        <w:widowControl/>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832"/>
        <w:jc w:val="left"/>
        <w:widowControl/>
        <w:rPr>
          <w:rFonts w:ascii="宋体" w:hAnsi="宋体" w:cs="宋体"/>
          <w:color w:val="000000"/>
          <w:sz w:val="24"/>
          <w:highlight w:val="none"/>
        </w:rPr>
      </w:pPr>
      <w:r>
        <w:rPr>
          <w:rFonts w:hint="eastAsia" w:ascii="宋体" w:hAnsi="宋体" w:cs="宋体"/>
          <w:color w:val="000000"/>
          <w:sz w:val="24"/>
          <w:highlight w:val="none"/>
        </w:rPr>
        <w:t xml:space="preserve">1、如果不提供详细分项报价将视为没有实质性响应招标文件。</w:t>
      </w:r>
      <w:r>
        <w:rPr>
          <w:rFonts w:ascii="宋体" w:hAnsi="宋体" w:cs="宋体"/>
          <w:color w:val="000000"/>
          <w:sz w:val="24"/>
          <w:highlight w:val="none"/>
        </w:rPr>
      </w:r>
      <w:r/>
    </w:p>
    <w:p>
      <w:pPr>
        <w:pStyle w:val="832"/>
        <w:jc w:val="left"/>
        <w:widowControl/>
        <w:rPr>
          <w:rFonts w:ascii="宋体" w:hAnsi="宋体" w:cs="宋体"/>
          <w:color w:val="000000"/>
          <w:sz w:val="24"/>
          <w:highlight w:val="none"/>
        </w:rPr>
      </w:pPr>
      <w:r>
        <w:rPr>
          <w:rFonts w:hint="eastAsia" w:ascii="宋体" w:hAnsi="宋体" w:cs="宋体"/>
          <w:color w:val="000000"/>
          <w:sz w:val="24"/>
          <w:highlight w:val="none"/>
        </w:rPr>
        <w:t xml:space="preserve">2、投标人对以上数据的真实性负责。</w:t>
      </w:r>
      <w:r>
        <w:rPr>
          <w:rFonts w:ascii="宋体" w:hAnsi="宋体" w:cs="宋体"/>
          <w:color w:val="000000"/>
          <w:sz w:val="24"/>
          <w:highlight w:val="none"/>
        </w:rPr>
      </w:r>
      <w:r/>
    </w:p>
    <w:p>
      <w:pPr>
        <w:pStyle w:val="832"/>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采购人或采购代理机构有权将以上内容进行公示。</w:t>
      </w:r>
      <w:r>
        <w:rPr>
          <w:rFonts w:ascii="宋体" w:hAnsi="宋体" w:cs="宋体"/>
          <w:b/>
          <w:bCs/>
          <w:color w:val="000000"/>
          <w:sz w:val="24"/>
          <w:highlight w:val="none"/>
        </w:rPr>
      </w:r>
      <w:r/>
    </w:p>
    <w:p>
      <w:pPr>
        <w:pStyle w:val="832"/>
        <w:ind w:firstLine="560"/>
        <w:jc w:val="center"/>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ascii="宋体" w:hAnsi="宋体" w:cs="宋体"/>
          <w:color w:val="000000"/>
          <w:highlight w:val="none"/>
        </w:rPr>
      </w:r>
      <w:r/>
    </w:p>
    <w:p>
      <w:pPr>
        <w:pStyle w:val="832"/>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四、偏离表格式</w:t>
      </w:r>
      <w:r>
        <w:rPr>
          <w:rFonts w:ascii="宋体" w:hAnsi="宋体" w:cs="宋体"/>
          <w:b/>
          <w:bCs/>
          <w:color w:val="000000"/>
          <w:sz w:val="32"/>
          <w:szCs w:val="32"/>
          <w:highlight w:val="none"/>
        </w:rPr>
      </w:r>
      <w:r/>
    </w:p>
    <w:p>
      <w:pPr>
        <w:pStyle w:val="83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ascii="宋体" w:hAnsi="宋体" w:cs="宋体"/>
          <w:color w:val="000000"/>
          <w:sz w:val="24"/>
          <w:highlight w:val="none"/>
        </w:rPr>
      </w:r>
      <w:r/>
    </w:p>
    <w:p>
      <w:pPr>
        <w:pStyle w:val="83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bl>
      <w:tblPr>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序号</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偏离内容</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招标文件的要求</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投标文件中的内容</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（正/负/无）偏离</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center"/>
            <w:textDirection w:val="lrTb"/>
            <w:noWrap w:val="false"/>
          </w:tcPr>
          <w:p>
            <w:pPr>
              <w:pStyle w:val="832"/>
              <w:jc w:val="center"/>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说明</w:t>
            </w:r>
            <w:r>
              <w:rPr>
                <w:rFonts w:ascii="宋体" w:hAnsi="宋体" w:eastAsia="宋体" w:cs="宋体"/>
                <w:color w:val="000000"/>
                <w:sz w:val="24"/>
                <w:szCs w:val="24"/>
                <w:highlight w:val="none"/>
                <w:lang w:val="en-US" w:eastAsia="zh-CN" w:bidi="ar-SA"/>
              </w:rPr>
            </w:r>
            <w:r/>
          </w:p>
        </w:tc>
      </w:tr>
      <w:tr>
        <w:trPr>
          <w:trHeight w:val="794"/>
        </w:trPr>
        <w:tc>
          <w:tcPr>
            <w:tcMar>
              <w:left w:w="108" w:type="dxa"/>
              <w:top w:w="0" w:type="dxa"/>
              <w:right w:w="108" w:type="dxa"/>
              <w:bottom w:w="0" w:type="dxa"/>
            </w:tcMar>
            <w:tcW w:w="84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r>
      <w:tr>
        <w:trPr>
          <w:trHeight w:val="794"/>
        </w:trPr>
        <w:tc>
          <w:tcPr>
            <w:tcMar>
              <w:left w:w="108" w:type="dxa"/>
              <w:top w:w="0" w:type="dxa"/>
              <w:right w:w="108" w:type="dxa"/>
              <w:bottom w:w="0" w:type="dxa"/>
            </w:tcMar>
            <w:tcW w:w="84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r>
      <w:tr>
        <w:trPr>
          <w:trHeight w:val="794"/>
        </w:trPr>
        <w:tc>
          <w:tcPr>
            <w:tcMar>
              <w:left w:w="108" w:type="dxa"/>
              <w:top w:w="0" w:type="dxa"/>
              <w:right w:w="108" w:type="dxa"/>
              <w:bottom w:w="0" w:type="dxa"/>
            </w:tcMar>
            <w:tcW w:w="84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r>
      <w:tr>
        <w:trPr>
          <w:trHeight w:val="794"/>
        </w:trPr>
        <w:tc>
          <w:tcPr>
            <w:tcMar>
              <w:left w:w="108" w:type="dxa"/>
              <w:top w:w="0" w:type="dxa"/>
              <w:right w:w="108" w:type="dxa"/>
              <w:bottom w:w="0" w:type="dxa"/>
            </w:tcMar>
            <w:tcW w:w="84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r>
      <w:tr>
        <w:trPr>
          <w:trHeight w:val="794"/>
        </w:trPr>
        <w:tc>
          <w:tcPr>
            <w:tcMar>
              <w:left w:w="108" w:type="dxa"/>
              <w:top w:w="0" w:type="dxa"/>
              <w:right w:w="108" w:type="dxa"/>
              <w:bottom w:w="0" w:type="dxa"/>
            </w:tcMar>
            <w:tcW w:w="84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r>
      <w:tr>
        <w:trPr>
          <w:trHeight w:val="794"/>
        </w:trPr>
        <w:tc>
          <w:tcPr>
            <w:tcMar>
              <w:left w:w="108" w:type="dxa"/>
              <w:top w:w="0" w:type="dxa"/>
              <w:right w:w="108" w:type="dxa"/>
              <w:bottom w:w="0" w:type="dxa"/>
            </w:tcMar>
            <w:tcW w:w="84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tc>
      </w:tr>
      <w:tr>
        <w:trPr>
          <w:trHeight w:val="794"/>
        </w:trPr>
        <w:tc>
          <w:tcPr>
            <w:tcMar>
              <w:left w:w="108" w:type="dxa"/>
              <w:top w:w="0" w:type="dxa"/>
              <w:right w:w="108" w:type="dxa"/>
              <w:bottom w:w="0" w:type="dxa"/>
            </w:tcMar>
            <w:tcW w:w="84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r>
      <w:tr>
        <w:trPr>
          <w:trHeight w:val="794"/>
        </w:trPr>
        <w:tc>
          <w:tcPr>
            <w:tcMar>
              <w:left w:w="108" w:type="dxa"/>
              <w:top w:w="0" w:type="dxa"/>
              <w:right w:w="108" w:type="dxa"/>
              <w:bottom w:w="0" w:type="dxa"/>
            </w:tcMar>
            <w:tcW w:w="84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r>
      <w:tr>
        <w:trPr>
          <w:trHeight w:val="794"/>
        </w:trPr>
        <w:tc>
          <w:tcPr>
            <w:tcMar>
              <w:left w:w="108" w:type="dxa"/>
              <w:top w:w="0" w:type="dxa"/>
              <w:right w:w="108" w:type="dxa"/>
              <w:bottom w:w="0" w:type="dxa"/>
            </w:tcMar>
            <w:tcW w:w="84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14"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0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81"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380"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597" w:type="dxa"/>
            <w:vAlign w:val="top"/>
            <w:textDirection w:val="lrTb"/>
            <w:noWrap w:val="false"/>
          </w:tcPr>
          <w:p>
            <w:pPr>
              <w:pStyle w:val="832"/>
              <w:jc w:val="both"/>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r>
            <w:r/>
          </w:p>
        </w:tc>
      </w:tr>
    </w:tbl>
    <w:p>
      <w:pPr>
        <w:pStyle w:val="832"/>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rPr>
          <w:rFonts w:ascii="宋体" w:hAnsi="宋体" w:cs="宋体"/>
          <w:color w:val="000000"/>
          <w:sz w:val="24"/>
          <w:highlight w:val="none"/>
        </w:rPr>
      </w:r>
      <w:r/>
    </w:p>
    <w:p>
      <w:pPr>
        <w:pStyle w:val="832"/>
        <w:ind w:firstLine="2850"/>
        <w:spacing w:line="71"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32"/>
        <w:spacing w:line="71"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832"/>
        <w:ind w:firstLine="3900"/>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32"/>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32"/>
        <w:ind w:firstLine="600"/>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832"/>
        <w:jc w:val="center"/>
        <w:spacing w:line="479" w:lineRule="atLeast"/>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highlight w:val="none"/>
        </w:rPr>
      </w:r>
      <w:r/>
    </w:p>
    <w:p>
      <w:pPr>
        <w:pStyle w:val="832"/>
        <w:jc w:val="center"/>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五、授权委托书格式</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委托人：</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地址：</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法定代表人：</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统一社会信用代码：</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受托人：        性别：男（女）</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年龄：  岁      民族：  族</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身份证号：</w:t>
      </w:r>
      <w:r>
        <w:rPr>
          <w:rFonts w:ascii="宋体" w:hAnsi="宋体" w:cs="宋体"/>
          <w:color w:val="000000"/>
          <w:sz w:val="28"/>
          <w:szCs w:val="28"/>
          <w:highlight w:val="none"/>
        </w:rPr>
      </w:r>
      <w:r/>
    </w:p>
    <w:p>
      <w:pPr>
        <w:pStyle w:val="832"/>
        <w:ind w:firstLine="6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兹委托（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）全权代表我企业（公司）参与（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）的招、投标活动及签订合同。（</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）无转委托权。</w:t>
      </w:r>
      <w:r>
        <w:rPr>
          <w:rFonts w:ascii="宋体" w:hAnsi="宋体" w:cs="宋体"/>
          <w:color w:val="000000"/>
          <w:sz w:val="28"/>
          <w:szCs w:val="28"/>
          <w:highlight w:val="none"/>
        </w:rPr>
      </w:r>
      <w:r/>
    </w:p>
    <w:p>
      <w:pPr>
        <w:pStyle w:val="832"/>
        <w:ind w:firstLine="6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委托期限自</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日起至</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日止。</w:t>
      </w:r>
      <w:r>
        <w:rPr>
          <w:rFonts w:ascii="宋体" w:hAnsi="宋体" w:cs="宋体"/>
          <w:color w:val="000000"/>
          <w:sz w:val="28"/>
          <w:szCs w:val="28"/>
          <w:highlight w:val="none"/>
        </w:rPr>
      </w:r>
      <w:r/>
    </w:p>
    <w:p>
      <w:pPr>
        <w:pStyle w:val="832"/>
        <w:ind w:firstLine="63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特此授权委托。</w:t>
      </w:r>
      <w:r>
        <w:rPr>
          <w:rFonts w:ascii="宋体" w:hAnsi="宋体" w:cs="宋体"/>
          <w:color w:val="000000"/>
          <w:sz w:val="28"/>
          <w:szCs w:val="28"/>
          <w:highlight w:val="none"/>
        </w:rPr>
      </w:r>
      <w:r/>
    </w:p>
    <w:p>
      <w:pPr>
        <w:pStyle w:val="832"/>
        <w:ind w:firstLine="6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r>
      <w:r/>
    </w:p>
    <w:p>
      <w:pPr>
        <w:pStyle w:val="832"/>
        <w:ind w:firstLine="6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委托人（电子签章）：</w:t>
      </w:r>
      <w:r>
        <w:rPr>
          <w:rFonts w:ascii="宋体" w:hAnsi="宋体" w:cs="宋体"/>
          <w:color w:val="000000"/>
          <w:sz w:val="28"/>
          <w:szCs w:val="28"/>
          <w:highlight w:val="none"/>
        </w:rPr>
      </w:r>
      <w:r/>
    </w:p>
    <w:p>
      <w:pPr>
        <w:pStyle w:val="832"/>
        <w:ind w:firstLine="600"/>
        <w:spacing w:line="360" w:lineRule="auto"/>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法定代表人（签字或盖章）： </w:t>
      </w:r>
      <w:r>
        <w:rPr>
          <w:rFonts w:ascii="宋体" w:hAnsi="宋体" w:cs="宋体"/>
          <w:b/>
          <w:bCs/>
          <w:color w:val="000000"/>
          <w:sz w:val="28"/>
          <w:szCs w:val="28"/>
          <w:highlight w:val="none"/>
        </w:rPr>
      </w:r>
      <w:r/>
    </w:p>
    <w:p>
      <w:pPr>
        <w:pStyle w:val="832"/>
        <w:ind w:firstLine="6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受托人（签字或盖章）：</w:t>
      </w:r>
      <w:r>
        <w:rPr>
          <w:rFonts w:ascii="宋体" w:hAnsi="宋体" w:cs="宋体"/>
          <w:color w:val="000000"/>
          <w:sz w:val="28"/>
          <w:szCs w:val="28"/>
          <w:highlight w:val="none"/>
        </w:rPr>
      </w:r>
      <w:r/>
    </w:p>
    <w:p>
      <w:pPr>
        <w:pStyle w:val="923"/>
        <w:ind w:left="0" w:firstLine="602"/>
        <w:spacing w:line="360" w:lineRule="auto"/>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受托人联系方式：                   邮箱：</w:t>
      </w:r>
      <w:r>
        <w:rPr>
          <w:rFonts w:ascii="宋体" w:hAnsi="宋体" w:cs="宋体"/>
          <w:color w:val="000000"/>
          <w:sz w:val="28"/>
          <w:szCs w:val="28"/>
          <w:highlight w:val="none"/>
        </w:rPr>
      </w:r>
      <w:r/>
    </w:p>
    <w:p>
      <w:pPr>
        <w:pStyle w:val="832"/>
        <w:ind w:right="600" w:firstLine="6150"/>
        <w:spacing w:line="360" w:lineRule="auto"/>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  月  日 </w:t>
      </w:r>
      <w:r>
        <w:rPr>
          <w:rFonts w:ascii="宋体" w:hAnsi="宋体" w:cs="宋体"/>
          <w:b/>
          <w:bCs/>
          <w:color w:val="000000"/>
          <w:sz w:val="28"/>
          <w:szCs w:val="28"/>
          <w:highlight w:val="none"/>
        </w:rPr>
      </w:r>
      <w:r/>
    </w:p>
    <w:p>
      <w:pPr>
        <w:pStyle w:val="832"/>
        <w:spacing w:line="360" w:lineRule="auto"/>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(有效的受托人身份证扫描件附后)</w:t>
      </w:r>
      <w:r>
        <w:rPr>
          <w:rFonts w:ascii="宋体" w:hAnsi="宋体" w:cs="宋体"/>
          <w:b/>
          <w:bCs/>
          <w:color w:val="000000"/>
          <w:sz w:val="28"/>
          <w:szCs w:val="28"/>
          <w:highlight w:val="none"/>
        </w:rPr>
      </w:r>
      <w:r/>
    </w:p>
    <w:p>
      <w:pPr>
        <w:pStyle w:val="832"/>
        <w:jc w:val="center"/>
        <w:spacing w:before="100" w:after="100"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28"/>
          <w:szCs w:val="28"/>
          <w:highlight w:val="none"/>
        </w:rPr>
      </w:r>
      <w:r/>
    </w:p>
    <w:p>
      <w:pPr>
        <w:pStyle w:val="832"/>
        <w:ind w:firstLine="600"/>
        <w:jc w:val="center"/>
        <w:spacing w:before="100" w:after="100"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六、中小企业声明函格式</w:t>
      </w:r>
      <w:r>
        <w:rPr>
          <w:rFonts w:ascii="宋体" w:hAnsi="宋体" w:cs="宋体"/>
          <w:b/>
          <w:bCs/>
          <w:color w:val="000000"/>
          <w:sz w:val="32"/>
          <w:szCs w:val="32"/>
          <w:highlight w:val="none"/>
        </w:rPr>
      </w:r>
      <w:r/>
    </w:p>
    <w:p>
      <w:pPr>
        <w:pStyle w:val="832"/>
        <w:spacing w:before="100" w:after="100"/>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项目编号：</w:t>
      </w:r>
      <w:r>
        <w:rPr>
          <w:rFonts w:ascii="宋体" w:hAnsi="宋体" w:cs="宋体"/>
          <w:color w:val="000000"/>
          <w:sz w:val="28"/>
          <w:szCs w:val="28"/>
          <w:highlight w:val="none"/>
        </w:rPr>
      </w:r>
      <w:r/>
    </w:p>
    <w:p>
      <w:pPr>
        <w:pStyle w:val="832"/>
        <w:spacing w:before="100" w:after="100"/>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项目名称：</w:t>
      </w:r>
      <w:r>
        <w:rPr>
          <w:rFonts w:ascii="宋体" w:hAnsi="宋体" w:cs="宋体"/>
          <w:color w:val="000000"/>
          <w:sz w:val="28"/>
          <w:szCs w:val="28"/>
          <w:highlight w:val="none"/>
        </w:rPr>
      </w:r>
      <w:r/>
    </w:p>
    <w:p>
      <w:pPr>
        <w:pStyle w:val="832"/>
        <w:ind w:firstLine="480"/>
        <w:rPr>
          <w:rFonts w:ascii="宋体" w:hAnsi="宋体" w:cs="宋体"/>
          <w:color w:val="000000"/>
          <w:sz w:val="28"/>
          <w:szCs w:val="28"/>
          <w:highlight w:val="none"/>
        </w:rPr>
      </w:pPr>
      <w:r>
        <w:rPr>
          <w:rFonts w:hint="eastAsia" w:ascii="宋体" w:hAnsi="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cs="宋体"/>
          <w:color w:val="000000"/>
          <w:sz w:val="28"/>
          <w:szCs w:val="28"/>
          <w:highlight w:val="none"/>
          <w:u w:val="single"/>
        </w:rPr>
        <w:t xml:space="preserve">徐州博物馆（徐州汉画像石艺术馆）</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rPr>
        <w:t xml:space="preserve">徐州汉画像石艺术馆馆藏文物预防性保护项目</w:t>
      </w:r>
      <w:r>
        <w:rPr>
          <w:rFonts w:hint="eastAsia" w:ascii="宋体" w:hAnsi="宋体" w:cs="宋体"/>
          <w:color w:val="000000"/>
          <w:sz w:val="28"/>
          <w:szCs w:val="28"/>
          <w:highlight w:val="none"/>
        </w:rPr>
        <w:t xml:space="preserve">）采购活动，提供的货物全部由符合政策要求的中小企业制造。相关企业的具体情况如下：</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重型横梁式文物储藏柜</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多功能文物储藏柜</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u w:val="single"/>
        </w:rPr>
        <w:t xml:space="preserve">画像石储藏台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hint="eastAsia" w:ascii="宋体" w:hAnsi="宋体" w:cs="宋体"/>
          <w:color w:val="000000"/>
          <w:sz w:val="28"/>
          <w:szCs w:val="28"/>
          <w:highlight w:val="none"/>
          <w:u w:val="single"/>
        </w:rPr>
        <w:t xml:space="preserve">移动式画像石储藏架</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5.（</w:t>
      </w:r>
      <w:r>
        <w:rPr>
          <w:rFonts w:hint="eastAsia" w:ascii="宋体" w:hAnsi="宋体" w:cs="宋体"/>
          <w:color w:val="000000"/>
          <w:sz w:val="28"/>
          <w:szCs w:val="28"/>
          <w:highlight w:val="none"/>
          <w:u w:val="single"/>
        </w:rPr>
        <w:t xml:space="preserve">密集型画像石储藏架</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6.（</w:t>
      </w:r>
      <w:r>
        <w:rPr>
          <w:rFonts w:hint="eastAsia" w:ascii="宋体" w:hAnsi="宋体" w:cs="宋体"/>
          <w:color w:val="000000"/>
          <w:sz w:val="28"/>
          <w:szCs w:val="28"/>
          <w:highlight w:val="none"/>
          <w:u w:val="single"/>
        </w:rPr>
        <w:t xml:space="preserve">库房登高梯</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7.（</w:t>
      </w:r>
      <w:r>
        <w:rPr>
          <w:rFonts w:hint="eastAsia" w:ascii="宋体" w:hAnsi="宋体" w:cs="宋体"/>
          <w:color w:val="000000"/>
          <w:sz w:val="28"/>
          <w:szCs w:val="28"/>
          <w:highlight w:val="none"/>
          <w:u w:val="single"/>
        </w:rPr>
        <w:t xml:space="preserve">文物手推车（单层）</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8.（</w:t>
      </w:r>
      <w:r>
        <w:rPr>
          <w:rFonts w:hint="eastAsia" w:ascii="宋体" w:hAnsi="宋体" w:cs="宋体"/>
          <w:color w:val="000000"/>
          <w:sz w:val="28"/>
          <w:szCs w:val="28"/>
          <w:highlight w:val="none"/>
          <w:u w:val="single"/>
        </w:rPr>
        <w:t xml:space="preserve">文物手推车（双层）</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9.（</w:t>
      </w:r>
      <w:r>
        <w:rPr>
          <w:rFonts w:hint="eastAsia" w:ascii="宋体" w:hAnsi="宋体" w:cs="宋体"/>
          <w:color w:val="000000"/>
          <w:sz w:val="28"/>
          <w:szCs w:val="28"/>
          <w:highlight w:val="none"/>
          <w:u w:val="single"/>
        </w:rPr>
        <w:t xml:space="preserve">库房防盗门</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922"/>
        <w:ind w:left="0"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rFonts w:ascii="宋体" w:hAnsi="宋体" w:cs="宋体"/>
          <w:color w:val="000000"/>
          <w:sz w:val="28"/>
          <w:szCs w:val="28"/>
          <w:highlight w:val="none"/>
        </w:rPr>
      </w:r>
      <w:r/>
    </w:p>
    <w:p>
      <w:pPr>
        <w:pStyle w:val="832"/>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rFonts w:ascii="宋体" w:hAnsi="宋体" w:cs="宋体"/>
          <w:color w:val="000000"/>
          <w:sz w:val="28"/>
          <w:szCs w:val="28"/>
          <w:highlight w:val="none"/>
        </w:rPr>
      </w:r>
      <w:r/>
    </w:p>
    <w:p>
      <w:pPr>
        <w:pStyle w:val="922"/>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922"/>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企业名称（电子签章）：</w:t>
      </w:r>
      <w:r>
        <w:rPr>
          <w:rFonts w:ascii="宋体" w:hAnsi="宋体" w:cs="宋体"/>
          <w:b/>
          <w:bCs/>
          <w:color w:val="000000"/>
          <w:sz w:val="28"/>
          <w:szCs w:val="28"/>
          <w:highlight w:val="none"/>
        </w:rPr>
      </w:r>
      <w:r/>
    </w:p>
    <w:p>
      <w:pPr>
        <w:pStyle w:val="922"/>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日期：  年  月  日</w:t>
      </w:r>
      <w:r>
        <w:rPr>
          <w:rFonts w:ascii="宋体" w:hAnsi="宋体" w:cs="宋体"/>
          <w:b/>
          <w:bCs/>
          <w:color w:val="000000"/>
          <w:sz w:val="28"/>
          <w:szCs w:val="28"/>
          <w:highlight w:val="none"/>
        </w:rPr>
      </w:r>
      <w:r/>
    </w:p>
    <w:p>
      <w:pPr>
        <w:pStyle w:val="922"/>
        <w:ind w:left="0"/>
        <w:jc w:val="left"/>
        <w:spacing w:after="0"/>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922"/>
        <w:ind w:left="0"/>
        <w:jc w:val="left"/>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p>
      <w:pPr>
        <w:pStyle w:val="922"/>
        <w:ind w:left="0"/>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b/>
          <w:bCs/>
          <w:color w:val="000000"/>
          <w:sz w:val="24"/>
          <w:highlight w:val="none"/>
        </w:rPr>
      </w:r>
      <w:r/>
    </w:p>
    <w:p>
      <w:pPr>
        <w:pStyle w:val="922"/>
        <w:ind w:left="0"/>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2、从业人员、营业收入、资产总额填报供应商上一年度数据，无上一年度数据的新成立企业可不填报。</w:t>
      </w:r>
      <w:r>
        <w:rPr>
          <w:rFonts w:ascii="宋体" w:hAnsi="宋体" w:cs="宋体"/>
          <w:b/>
          <w:bCs/>
          <w:color w:val="000000"/>
          <w:sz w:val="24"/>
          <w:highlight w:val="none"/>
        </w:rPr>
      </w:r>
      <w:r/>
    </w:p>
    <w:p>
      <w:pPr>
        <w:pStyle w:val="922"/>
        <w:ind w:left="0"/>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3、中标、成交供应商为小型、微型企业的，采购人或者其委托的采购代理机构有权随中标、成交结果同时公告其《中小企业声明函》，接受社会监督。</w:t>
      </w:r>
      <w:r>
        <w:rPr>
          <w:rFonts w:ascii="宋体" w:hAnsi="宋体" w:cs="宋体"/>
          <w:b/>
          <w:bCs/>
          <w:color w:val="000000"/>
          <w:sz w:val="24"/>
          <w:highlight w:val="none"/>
        </w:rPr>
      </w:r>
      <w:r/>
    </w:p>
    <w:p>
      <w:pPr>
        <w:pStyle w:val="922"/>
        <w:ind w:left="0"/>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4、执行江苏省财政厅关于进一步加大政府采购支持中小企业力度的通知（苏财购〔2022〕45号）的规定。</w:t>
      </w:r>
      <w:r>
        <w:rPr>
          <w:rFonts w:ascii="宋体" w:hAnsi="宋体" w:cs="宋体"/>
          <w:b/>
          <w:bCs/>
          <w:color w:val="000000"/>
          <w:sz w:val="24"/>
          <w:highlight w:val="none"/>
        </w:rPr>
      </w:r>
      <w:r/>
    </w:p>
    <w:p>
      <w:pPr>
        <w:pStyle w:val="922"/>
        <w:ind w:left="0"/>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5、供应商提供的《中小企业声明函》与事实不符的，依照《中华人民共和国政府采购法》第七十七条第一款的规定追究法律责任。</w:t>
      </w:r>
      <w:r>
        <w:rPr>
          <w:rFonts w:ascii="宋体" w:hAnsi="宋体" w:cs="宋体"/>
          <w:b/>
          <w:bCs/>
          <w:color w:val="000000"/>
          <w:sz w:val="24"/>
          <w:highlight w:val="none"/>
        </w:rPr>
      </w:r>
      <w:r/>
    </w:p>
    <w:p>
      <w:pPr>
        <w:pStyle w:val="832"/>
        <w:jc w:val="left"/>
        <w:widowControl/>
        <w:rPr>
          <w:rFonts w:ascii="宋体" w:hAnsi="宋体" w:cs="宋体"/>
          <w:color w:val="000000"/>
          <w:sz w:val="24"/>
          <w:highlight w:val="none"/>
        </w:rPr>
      </w:pPr>
      <w:r>
        <w:rPr>
          <w:rFonts w:hint="eastAsia" w:ascii="宋体" w:hAnsi="宋体" w:cs="宋体"/>
          <w:color w:val="000000"/>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ascii="宋体" w:hAnsi="宋体" w:cs="宋体"/>
          <w:color w:val="000000"/>
          <w:sz w:val="24"/>
          <w:highlight w:val="none"/>
        </w:rPr>
      </w:r>
      <w:r/>
    </w:p>
    <w:p>
      <w:pPr>
        <w:pStyle w:val="915"/>
        <w:jc w:val="center"/>
        <w:rPr>
          <w:rFonts w:ascii="宋体" w:hAnsi="宋体" w:cs="宋体"/>
          <w:color w:val="000000"/>
          <w:sz w:val="24"/>
          <w:highlight w:val="none"/>
        </w:rPr>
      </w:pPr>
      <w:r>
        <w:rPr>
          <w:rFonts w:ascii="宋体" w:hAnsi="宋体" w:cs="宋体"/>
          <w:color w:val="000000"/>
          <w:sz w:val="24"/>
          <w:highlight w:val="none"/>
        </w:rPr>
        <mc:AlternateContent>
          <mc:Choice Requires="wpg">
            <w:drawing>
              <wp:inline xmlns:wp="http://schemas.openxmlformats.org/drawingml/2006/wordprocessingDrawing" distT="0" distB="0" distL="0" distR="0">
                <wp:extent cx="1581455" cy="24098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58145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4.5pt;height:189.8pt;mso-wrap-distance-left:0.0pt;mso-wrap-distance-top:0.0pt;mso-wrap-distance-right:0.0pt;mso-wrap-distance-bottom:0.0pt;" stroked="f">
                <v:path textboxrect="0,0,0,0"/>
                <v:imagedata r:id="rId19" o:title=""/>
              </v:shape>
            </w:pict>
          </mc:Fallback>
        </mc:AlternateContent>
      </w:r>
      <w:r>
        <w:rPr>
          <w:rFonts w:ascii="宋体" w:hAnsi="宋体" w:cs="宋体"/>
          <w:color w:val="000000"/>
          <w:sz w:val="24"/>
          <w:highlight w:val="none"/>
        </w:rPr>
      </w:r>
      <w:r/>
    </w:p>
    <w:p>
      <w:pPr>
        <w:pStyle w:val="832"/>
        <w:ind w:firstLine="600"/>
        <w:jc w:val="center"/>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ascii="宋体" w:hAnsi="宋体" w:cs="宋体"/>
          <w:color w:val="000000"/>
          <w:highlight w:val="none"/>
        </w:rPr>
      </w:r>
      <w:r/>
    </w:p>
    <w:p>
      <w:pPr>
        <w:pStyle w:val="832"/>
        <w:ind w:firstLine="600"/>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七、残疾人福利性单位声明函格式</w:t>
      </w:r>
      <w:r>
        <w:rPr>
          <w:rFonts w:ascii="宋体" w:hAnsi="宋体" w:cs="宋体"/>
          <w:b/>
          <w:bCs/>
          <w:color w:val="000000"/>
          <w:sz w:val="32"/>
          <w:szCs w:val="32"/>
          <w:highlight w:val="none"/>
        </w:rPr>
      </w:r>
      <w:r/>
    </w:p>
    <w:p>
      <w:pPr>
        <w:pStyle w:val="832"/>
        <w:spacing w:line="479" w:lineRule="atLeast"/>
        <w:rPr>
          <w:rFonts w:ascii="宋体" w:hAnsi="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项目编号：</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项目名称：</w:t>
      </w:r>
      <w:r>
        <w:rPr>
          <w:rFonts w:ascii="宋体" w:hAnsi="宋体" w:cs="宋体"/>
          <w:color w:val="000000"/>
          <w:sz w:val="28"/>
          <w:szCs w:val="28"/>
          <w:highlight w:val="none"/>
        </w:rPr>
      </w:r>
      <w:r/>
    </w:p>
    <w:p>
      <w:pPr>
        <w:pStyle w:val="832"/>
        <w:ind w:firstLine="624"/>
        <w:spacing w:line="360" w:lineRule="auto"/>
        <w:rPr>
          <w:rFonts w:ascii="宋体" w:hAnsi="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8"/>
          <w:szCs w:val="28"/>
          <w:highlight w:val="none"/>
        </w:rPr>
      </w:r>
      <w:r/>
    </w:p>
    <w:p>
      <w:pPr>
        <w:pStyle w:val="832"/>
        <w:ind w:firstLine="624"/>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000000"/>
          <w:sz w:val="28"/>
          <w:szCs w:val="28"/>
          <w:highlight w:val="none"/>
        </w:rPr>
        <w:t xml:space="preserve">〔2017〕 141</w:t>
      </w:r>
      <w:r>
        <w:rPr>
          <w:rFonts w:hint="eastAsia" w:ascii="宋体" w:hAnsi="宋体" w:cs="宋体"/>
          <w:color w:val="000000"/>
          <w:spacing w:val="6"/>
          <w:sz w:val="28"/>
          <w:szCs w:val="28"/>
          <w:highlight w:val="none"/>
        </w:rPr>
        <w:t xml:space="preserve">号）的规定，本单位为符合条件的残疾人福利性单位，且本单位参加</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单位的</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8"/>
          <w:szCs w:val="28"/>
          <w:highlight w:val="none"/>
        </w:rPr>
      </w:r>
      <w:r/>
    </w:p>
    <w:p>
      <w:pPr>
        <w:pStyle w:val="832"/>
        <w:ind w:firstLine="624"/>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本单位对上述声明的真实性负责。如有虚假，将依法承担相应责任。</w:t>
      </w:r>
      <w:r>
        <w:rPr>
          <w:rFonts w:ascii="宋体" w:hAnsi="宋体" w:cs="宋体"/>
          <w:color w:val="000000"/>
          <w:sz w:val="28"/>
          <w:szCs w:val="28"/>
          <w:highlight w:val="none"/>
        </w:rPr>
      </w:r>
      <w:r/>
    </w:p>
    <w:p>
      <w:pPr>
        <w:pStyle w:val="832"/>
        <w:ind w:firstLine="624"/>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rPr>
          <w:rFonts w:ascii="宋体" w:hAnsi="宋体" w:cs="宋体"/>
          <w:color w:val="000000"/>
          <w:sz w:val="28"/>
          <w:szCs w:val="28"/>
          <w:highlight w:val="none"/>
        </w:rPr>
      </w:r>
      <w:r/>
    </w:p>
    <w:p>
      <w:pPr>
        <w:pStyle w:val="832"/>
        <w:ind w:firstLine="624"/>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w:t>
      </w:r>
      <w:r>
        <w:rPr>
          <w:rFonts w:ascii="宋体" w:hAnsi="宋体" w:cs="宋体"/>
          <w:color w:val="000000"/>
          <w:sz w:val="28"/>
          <w:szCs w:val="28"/>
          <w:highlight w:val="none"/>
        </w:rPr>
      </w:r>
      <w:r/>
    </w:p>
    <w:p>
      <w:pPr>
        <w:pStyle w:val="832"/>
        <w:ind w:firstLine="45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日期： 年 月 日</w:t>
      </w:r>
      <w:r>
        <w:rPr>
          <w:rFonts w:ascii="宋体" w:hAnsi="宋体" w:cs="宋体"/>
          <w:color w:val="000000"/>
          <w:sz w:val="28"/>
          <w:szCs w:val="28"/>
          <w:highlight w:val="none"/>
        </w:rPr>
      </w:r>
      <w:r/>
    </w:p>
    <w:p>
      <w:pPr>
        <w:pStyle w:val="832"/>
        <w:ind w:firstLine="4500"/>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832"/>
        <w:ind w:firstLine="600"/>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832"/>
        <w:rPr>
          <w:rFonts w:hint="eastAsia" w:ascii="宋体" w:hAnsi="宋体" w:cs="宋体"/>
          <w:b/>
          <w:sz w:val="36"/>
          <w:szCs w:val="36"/>
          <w:highlight w:val="none"/>
        </w:rPr>
      </w:pPr>
      <w:r>
        <w:rPr>
          <w:rFonts w:hint="eastAsia" w:ascii="宋体" w:hAnsi="宋体" w:cs="宋体"/>
          <w:b/>
          <w:sz w:val="36"/>
          <w:szCs w:val="36"/>
          <w:highlight w:val="none"/>
        </w:rPr>
        <w:br w:type="page" w:clear="all"/>
      </w:r>
      <w:r>
        <w:rPr>
          <w:rFonts w:hint="eastAsia" w:ascii="宋体" w:hAnsi="宋体" w:cs="宋体"/>
          <w:b/>
          <w:sz w:val="36"/>
          <w:szCs w:val="36"/>
          <w:highlight w:val="none"/>
        </w:rPr>
      </w:r>
      <w:r/>
    </w:p>
    <w:p>
      <w:pPr>
        <w:pStyle w:val="832"/>
        <w:jc w:val="center"/>
        <w:spacing w:line="588" w:lineRule="exact"/>
        <w:rPr>
          <w:rFonts w:ascii="宋体" w:hAnsi="宋体" w:cs="宋体"/>
          <w:b/>
          <w:color w:val="c00000"/>
          <w:sz w:val="36"/>
          <w:szCs w:val="36"/>
          <w:highlight w:val="none"/>
        </w:rPr>
      </w:pPr>
      <w:r>
        <w:rPr>
          <w:rFonts w:hint="eastAsia" w:ascii="宋体" w:hAnsi="宋体" w:cs="宋体"/>
          <w:b/>
          <w:bCs/>
          <w:color w:val="c00000"/>
          <w:sz w:val="32"/>
          <w:szCs w:val="32"/>
          <w:highlight w:val="none"/>
        </w:rPr>
        <w:t xml:space="preserve">八、</w:t>
      </w:r>
      <w:r>
        <w:rPr>
          <w:rFonts w:hint="eastAsia" w:ascii="宋体" w:hAnsi="宋体" w:cs="宋体"/>
          <w:b/>
          <w:color w:val="c00000"/>
          <w:sz w:val="36"/>
          <w:szCs w:val="36"/>
          <w:highlight w:val="none"/>
        </w:rPr>
        <w:t xml:space="preserve">具备履行合同所必需的设备和专业技术能力的书面声明</w:t>
      </w:r>
      <w:r>
        <w:rPr>
          <w:rFonts w:ascii="宋体" w:hAnsi="宋体" w:cs="宋体"/>
          <w:b/>
          <w:color w:val="c00000"/>
          <w:sz w:val="36"/>
          <w:szCs w:val="36"/>
          <w:highlight w:val="none"/>
        </w:rPr>
      </w:r>
      <w:r/>
    </w:p>
    <w:p>
      <w:pPr>
        <w:pStyle w:val="832"/>
        <w:rPr>
          <w:rFonts w:ascii="仿宋" w:hAnsi="仿宋" w:eastAsia="仿宋"/>
          <w:color w:val="c00000"/>
          <w:sz w:val="24"/>
          <w:highlight w:val="none"/>
        </w:rPr>
      </w:pPr>
      <w:r>
        <w:rPr>
          <w:rFonts w:ascii="仿宋" w:hAnsi="仿宋" w:eastAsia="仿宋"/>
          <w:color w:val="c00000"/>
          <w:sz w:val="24"/>
          <w:highlight w:val="none"/>
        </w:rPr>
      </w:r>
      <w:r/>
    </w:p>
    <w:p>
      <w:pPr>
        <w:pStyle w:val="832"/>
        <w:spacing w:line="360" w:lineRule="auto"/>
        <w:rPr>
          <w:rFonts w:hint="eastAsia" w:ascii="宋体" w:hAnsi="宋体" w:eastAsia="宋体" w:cs="宋体"/>
          <w:color w:val="c00000"/>
          <w:sz w:val="28"/>
          <w:szCs w:val="28"/>
          <w:highlight w:val="none"/>
          <w:u w:val="single"/>
          <w:lang w:eastAsia="zh-CN"/>
        </w:rPr>
      </w:pPr>
      <w:r>
        <w:rPr>
          <w:rFonts w:hint="eastAsia" w:ascii="宋体" w:hAnsi="宋体" w:cs="宋体"/>
          <w:color w:val="c00000"/>
          <w:sz w:val="28"/>
          <w:szCs w:val="28"/>
          <w:highlight w:val="none"/>
        </w:rPr>
        <w:t xml:space="preserve">项目名称：</w:t>
      </w:r>
      <w:r>
        <w:rPr>
          <w:rFonts w:hint="eastAsia" w:ascii="宋体" w:hAnsi="宋体" w:cs="宋体"/>
          <w:color w:val="c00000"/>
          <w:sz w:val="28"/>
          <w:szCs w:val="28"/>
          <w:highlight w:val="none"/>
          <w:u w:val="single"/>
          <w:lang w:eastAsia="zh-CN"/>
        </w:rPr>
        <w:t xml:space="preserve">徐州汉画像石艺术馆馆藏文物预防性保护项目</w:t>
      </w:r>
      <w:r>
        <w:rPr>
          <w:rFonts w:hint="eastAsia" w:ascii="宋体" w:hAnsi="宋体" w:eastAsia="宋体" w:cs="宋体"/>
          <w:color w:val="c00000"/>
          <w:sz w:val="28"/>
          <w:szCs w:val="28"/>
          <w:highlight w:val="none"/>
          <w:u w:val="single"/>
          <w:lang w:eastAsia="zh-CN"/>
        </w:rPr>
      </w:r>
      <w:r/>
    </w:p>
    <w:p>
      <w:pPr>
        <w:pStyle w:val="832"/>
        <w:spacing w:line="360" w:lineRule="auto"/>
        <w:rPr>
          <w:rFonts w:ascii="宋体" w:hAnsi="宋体" w:cs="宋体"/>
          <w:color w:val="c00000"/>
          <w:sz w:val="28"/>
          <w:szCs w:val="28"/>
          <w:highlight w:val="none"/>
          <w:u w:val="single"/>
        </w:rPr>
      </w:pPr>
      <w:r>
        <w:rPr>
          <w:rFonts w:hint="eastAsia" w:ascii="宋体" w:hAnsi="宋体" w:cs="宋体"/>
          <w:color w:val="c00000"/>
          <w:sz w:val="28"/>
          <w:szCs w:val="28"/>
          <w:highlight w:val="none"/>
        </w:rPr>
        <w:t xml:space="preserve">项目编号：</w:t>
      </w:r>
      <w:r>
        <w:rPr>
          <w:rFonts w:hint="eastAsia" w:ascii="宋体" w:hAnsi="宋体" w:cs="宋体"/>
          <w:color w:val="c00000"/>
          <w:sz w:val="28"/>
          <w:szCs w:val="28"/>
          <w:highlight w:val="none"/>
          <w:u w:val="single"/>
          <w:lang w:eastAsia="zh-CN"/>
        </w:rPr>
        <w:t xml:space="preserve">JSZC-320300-HWZX-G2026-0460</w:t>
      </w:r>
      <w:r>
        <w:rPr>
          <w:rFonts w:hint="eastAsia" w:ascii="宋体" w:hAnsi="宋体" w:cs="宋体"/>
          <w:color w:val="c00000"/>
          <w:sz w:val="28"/>
          <w:szCs w:val="28"/>
          <w:highlight w:val="none"/>
          <w:u w:val="single"/>
        </w:rPr>
        <w:t xml:space="preserve"> </w:t>
      </w:r>
      <w:r>
        <w:rPr>
          <w:rFonts w:ascii="宋体" w:hAnsi="宋体" w:cs="宋体"/>
          <w:color w:val="c00000"/>
          <w:sz w:val="28"/>
          <w:szCs w:val="28"/>
          <w:highlight w:val="none"/>
          <w:u w:val="single"/>
        </w:rPr>
      </w:r>
      <w:r/>
    </w:p>
    <w:p>
      <w:pPr>
        <w:pStyle w:val="832"/>
        <w:ind w:firstLine="480"/>
        <w:jc w:val="left"/>
        <w:spacing w:line="360" w:lineRule="auto"/>
        <w:widowControl/>
        <w:rPr>
          <w:rFonts w:ascii="宋体" w:hAnsi="宋体" w:cs="宋体"/>
          <w:color w:val="c00000"/>
          <w:sz w:val="28"/>
          <w:szCs w:val="28"/>
          <w:highlight w:val="none"/>
        </w:rPr>
      </w:pPr>
      <w:r>
        <w:rPr>
          <w:rFonts w:ascii="宋体" w:hAnsi="宋体" w:cs="宋体"/>
          <w:color w:val="c00000"/>
          <w:sz w:val="28"/>
          <w:szCs w:val="28"/>
          <w:highlight w:val="none"/>
        </w:rPr>
      </w:r>
      <w:r/>
    </w:p>
    <w:p>
      <w:pPr>
        <w:pStyle w:val="832"/>
        <w:spacing w:line="360" w:lineRule="auto"/>
        <w:rPr>
          <w:rFonts w:ascii="宋体" w:hAnsi="宋体" w:cs="宋体"/>
          <w:color w:val="c00000"/>
          <w:sz w:val="28"/>
          <w:szCs w:val="28"/>
          <w:highlight w:val="none"/>
        </w:rPr>
      </w:pPr>
      <w:r>
        <w:rPr>
          <w:rFonts w:hint="eastAsia" w:ascii="宋体" w:hAnsi="宋体" w:cs="宋体"/>
          <w:color w:val="c00000"/>
          <w:sz w:val="28"/>
          <w:szCs w:val="28"/>
          <w:highlight w:val="none"/>
        </w:rPr>
        <w:t xml:space="preserve">供应商郑重声明：供应商具备履行合同（项目名称：</w:t>
      </w:r>
      <w:r>
        <w:rPr>
          <w:rFonts w:hint="eastAsia" w:ascii="宋体" w:hAnsi="宋体" w:cs="宋体"/>
          <w:color w:val="c00000"/>
          <w:sz w:val="28"/>
          <w:szCs w:val="28"/>
          <w:highlight w:val="none"/>
          <w:u w:val="single"/>
          <w:lang w:eastAsia="zh-CN"/>
        </w:rPr>
        <w:t xml:space="preserve">徐州汉画像石艺术馆馆藏文物预防性保护项目</w:t>
      </w:r>
      <w:r>
        <w:rPr>
          <w:rFonts w:hint="eastAsia" w:ascii="宋体" w:hAnsi="宋体" w:cs="宋体"/>
          <w:color w:val="c00000"/>
          <w:sz w:val="28"/>
          <w:szCs w:val="28"/>
          <w:highlight w:val="none"/>
        </w:rPr>
        <w:t xml:space="preserve">，项目编号：</w:t>
      </w:r>
      <w:r>
        <w:rPr>
          <w:rFonts w:hint="eastAsia" w:ascii="宋体" w:hAnsi="宋体" w:cs="宋体"/>
          <w:color w:val="c00000"/>
          <w:sz w:val="28"/>
          <w:szCs w:val="28"/>
          <w:highlight w:val="none"/>
          <w:u w:val="single"/>
          <w:lang w:eastAsia="zh-CN"/>
        </w:rPr>
        <w:t xml:space="preserve">JSZC-320300-HWZX-G2026-0460</w:t>
      </w:r>
      <w:r>
        <w:rPr>
          <w:rFonts w:hint="eastAsia" w:ascii="宋体" w:hAnsi="宋体" w:cs="宋体"/>
          <w:color w:val="c00000"/>
          <w:sz w:val="28"/>
          <w:szCs w:val="28"/>
          <w:highlight w:val="none"/>
        </w:rPr>
        <w:t xml:space="preserve">）所必需的设备和专业技术能力。</w:t>
      </w:r>
      <w:r>
        <w:rPr>
          <w:rFonts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rPr>
          <w:rFonts w:hint="eastAsia" w:ascii="宋体" w:hAnsi="宋体" w:cs="宋体"/>
          <w:color w:val="c00000"/>
          <w:sz w:val="28"/>
          <w:szCs w:val="28"/>
          <w:highlight w:val="none"/>
        </w:rPr>
        <w:t xml:space="preserve">设备：</w:t>
      </w:r>
      <w:r>
        <w:rPr>
          <w:rFonts w:hint="eastAsia"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bookmarkStart w:id="8" w:name="_Toc2655_WPSOffice_Level1"/>
      <w:r>
        <w:rPr>
          <w:rFonts w:hint="eastAsia" w:ascii="宋体" w:hAnsi="宋体" w:cs="宋体"/>
          <w:color w:val="c00000"/>
          <w:sz w:val="28"/>
          <w:szCs w:val="28"/>
          <w:highlight w:val="none"/>
        </w:rPr>
        <w:t xml:space="preserve">1.</w:t>
      </w:r>
      <w:r>
        <w:rPr>
          <w:rFonts w:hint="eastAsia" w:ascii="宋体" w:hAnsi="宋体" w:cs="宋体"/>
          <w:color w:val="c00000"/>
          <w:sz w:val="28"/>
          <w:szCs w:val="28"/>
          <w:highlight w:val="none"/>
          <w:u w:val="single"/>
        </w:rPr>
        <w:t xml:space="preserve">                        </w:t>
      </w:r>
      <w:r>
        <w:rPr>
          <w:rFonts w:hint="eastAsia" w:ascii="宋体" w:hAnsi="宋体" w:cs="宋体"/>
          <w:color w:val="c00000"/>
          <w:sz w:val="28"/>
          <w:szCs w:val="28"/>
          <w:highlight w:val="none"/>
        </w:rPr>
        <w:t xml:space="preserve"> （证明材料原件的扫描件附后）</w:t>
      </w:r>
      <w:bookmarkEnd w:id="8"/>
      <w:r>
        <w:rPr>
          <w:rFonts w:hint="eastAsia"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bookmarkStart w:id="9" w:name="_Toc29695_WPSOffice_Level1"/>
      <w:r>
        <w:rPr>
          <w:rFonts w:hint="eastAsia" w:ascii="宋体" w:hAnsi="宋体" w:cs="宋体"/>
          <w:color w:val="c00000"/>
          <w:sz w:val="28"/>
          <w:szCs w:val="28"/>
          <w:highlight w:val="none"/>
        </w:rPr>
        <w:t xml:space="preserve">2.</w:t>
      </w:r>
      <w:r>
        <w:rPr>
          <w:rFonts w:hint="eastAsia" w:ascii="宋体" w:hAnsi="宋体" w:cs="宋体"/>
          <w:color w:val="c00000"/>
          <w:sz w:val="28"/>
          <w:szCs w:val="28"/>
          <w:highlight w:val="none"/>
          <w:u w:val="single"/>
        </w:rPr>
        <w:t xml:space="preserve">                        </w:t>
      </w:r>
      <w:r>
        <w:rPr>
          <w:rFonts w:hint="eastAsia" w:ascii="宋体" w:hAnsi="宋体" w:cs="宋体"/>
          <w:color w:val="c00000"/>
          <w:sz w:val="28"/>
          <w:szCs w:val="28"/>
          <w:highlight w:val="none"/>
        </w:rPr>
        <w:t xml:space="preserve"> （证明材料原件的扫描件附后）</w:t>
      </w:r>
      <w:bookmarkEnd w:id="9"/>
      <w:r>
        <w:rPr>
          <w:rFonts w:hint="eastAsia"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bookmarkStart w:id="10" w:name="_Toc7628_WPSOffice_Level1"/>
      <w:r>
        <w:rPr>
          <w:rFonts w:hint="eastAsia" w:ascii="宋体" w:hAnsi="宋体" w:cs="宋体"/>
          <w:color w:val="c00000"/>
          <w:sz w:val="28"/>
          <w:szCs w:val="28"/>
          <w:highlight w:val="none"/>
        </w:rPr>
        <w:t xml:space="preserve">3.</w:t>
      </w:r>
      <w:r>
        <w:rPr>
          <w:rFonts w:hint="eastAsia" w:ascii="宋体" w:hAnsi="宋体" w:cs="宋体"/>
          <w:color w:val="c00000"/>
          <w:sz w:val="28"/>
          <w:szCs w:val="28"/>
          <w:highlight w:val="none"/>
          <w:u w:val="single"/>
        </w:rPr>
        <w:t xml:space="preserve">                        </w:t>
      </w:r>
      <w:r>
        <w:rPr>
          <w:rFonts w:hint="eastAsia" w:ascii="宋体" w:hAnsi="宋体" w:cs="宋体"/>
          <w:color w:val="c00000"/>
          <w:sz w:val="28"/>
          <w:szCs w:val="28"/>
          <w:highlight w:val="none"/>
        </w:rPr>
        <w:t xml:space="preserve"> （证明材料原件的扫描件附后）</w:t>
      </w:r>
      <w:bookmarkEnd w:id="10"/>
      <w:r>
        <w:rPr>
          <w:rFonts w:hint="eastAsia"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rPr>
          <w:rFonts w:hint="eastAsia" w:ascii="宋体" w:hAnsi="宋体" w:cs="宋体"/>
          <w:color w:val="c00000"/>
          <w:sz w:val="28"/>
          <w:szCs w:val="28"/>
          <w:highlight w:val="none"/>
        </w:rPr>
        <w:t xml:space="preserve">…………</w:t>
      </w:r>
      <w:r>
        <w:rPr>
          <w:rFonts w:hint="eastAsia"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rPr>
          <w:rFonts w:hint="eastAsia" w:ascii="宋体" w:hAnsi="宋体" w:cs="宋体"/>
          <w:color w:val="c00000"/>
          <w:sz w:val="28"/>
          <w:szCs w:val="28"/>
          <w:highlight w:val="none"/>
        </w:rPr>
        <w:t xml:space="preserve">专业技术能力：</w:t>
      </w:r>
      <w:r>
        <w:rPr>
          <w:rFonts w:hint="eastAsia"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rPr>
          <w:rFonts w:hint="eastAsia" w:ascii="宋体" w:hAnsi="宋体" w:cs="宋体"/>
          <w:color w:val="c00000"/>
          <w:sz w:val="28"/>
          <w:szCs w:val="28"/>
          <w:highlight w:val="none"/>
        </w:rPr>
        <w:t xml:space="preserve">1.</w:t>
      </w:r>
      <w:r>
        <w:rPr>
          <w:rFonts w:hint="eastAsia" w:ascii="宋体" w:hAnsi="宋体" w:cs="宋体"/>
          <w:color w:val="c00000"/>
          <w:sz w:val="28"/>
          <w:szCs w:val="28"/>
          <w:highlight w:val="none"/>
          <w:u w:val="single"/>
        </w:rPr>
        <w:t xml:space="preserve">                        </w:t>
      </w:r>
      <w:r>
        <w:rPr>
          <w:rFonts w:hint="eastAsia" w:ascii="宋体" w:hAnsi="宋体" w:cs="宋体"/>
          <w:color w:val="c00000"/>
          <w:sz w:val="28"/>
          <w:szCs w:val="28"/>
          <w:highlight w:val="none"/>
        </w:rPr>
        <w:t xml:space="preserve"> （证明材料原件的扫描件附后）</w:t>
      </w:r>
      <w:r>
        <w:rPr>
          <w:rFonts w:hint="eastAsia"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rPr>
          <w:rFonts w:hint="eastAsia" w:ascii="宋体" w:hAnsi="宋体" w:cs="宋体"/>
          <w:color w:val="c00000"/>
          <w:sz w:val="28"/>
          <w:szCs w:val="28"/>
          <w:highlight w:val="none"/>
        </w:rPr>
        <w:t xml:space="preserve">2.</w:t>
      </w:r>
      <w:r>
        <w:rPr>
          <w:rFonts w:hint="eastAsia" w:ascii="宋体" w:hAnsi="宋体" w:cs="宋体"/>
          <w:color w:val="c00000"/>
          <w:sz w:val="28"/>
          <w:szCs w:val="28"/>
          <w:highlight w:val="none"/>
          <w:u w:val="single"/>
        </w:rPr>
        <w:t xml:space="preserve">                        </w:t>
      </w:r>
      <w:r>
        <w:rPr>
          <w:rFonts w:hint="eastAsia" w:ascii="宋体" w:hAnsi="宋体" w:cs="宋体"/>
          <w:color w:val="c00000"/>
          <w:sz w:val="28"/>
          <w:szCs w:val="28"/>
          <w:highlight w:val="none"/>
        </w:rPr>
        <w:t xml:space="preserve"> （证明材料原件的扫描件附后）</w:t>
      </w:r>
      <w:r>
        <w:rPr>
          <w:rFonts w:hint="eastAsia"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rPr>
          <w:rFonts w:hint="eastAsia" w:ascii="宋体" w:hAnsi="宋体" w:cs="宋体"/>
          <w:color w:val="c00000"/>
          <w:sz w:val="28"/>
          <w:szCs w:val="28"/>
          <w:highlight w:val="none"/>
        </w:rPr>
        <w:t xml:space="preserve">3.</w:t>
      </w:r>
      <w:r>
        <w:rPr>
          <w:rFonts w:hint="eastAsia" w:ascii="宋体" w:hAnsi="宋体" w:cs="宋体"/>
          <w:color w:val="c00000"/>
          <w:sz w:val="28"/>
          <w:szCs w:val="28"/>
          <w:highlight w:val="none"/>
          <w:u w:val="single"/>
        </w:rPr>
        <w:t xml:space="preserve">                        </w:t>
      </w:r>
      <w:r>
        <w:rPr>
          <w:rFonts w:hint="eastAsia" w:ascii="宋体" w:hAnsi="宋体" w:cs="宋体"/>
          <w:color w:val="c00000"/>
          <w:sz w:val="28"/>
          <w:szCs w:val="28"/>
          <w:highlight w:val="none"/>
        </w:rPr>
        <w:t xml:space="preserve"> （证明材料原件的扫描件附后）</w:t>
      </w:r>
      <w:r>
        <w:rPr>
          <w:rFonts w:hint="eastAsia" w:ascii="宋体" w:hAnsi="宋体" w:cs="宋体"/>
          <w:color w:val="c00000"/>
          <w:sz w:val="28"/>
          <w:szCs w:val="28"/>
          <w:highlight w:val="none"/>
        </w:rPr>
      </w:r>
      <w:r/>
    </w:p>
    <w:p>
      <w:pPr>
        <w:pStyle w:val="832"/>
        <w:ind w:firstLine="480"/>
        <w:rPr>
          <w:rFonts w:hint="eastAsia" w:ascii="宋体" w:hAnsi="宋体" w:cs="宋体"/>
          <w:color w:val="c00000"/>
          <w:sz w:val="28"/>
          <w:szCs w:val="28"/>
          <w:highlight w:val="none"/>
        </w:rPr>
      </w:pPr>
      <w:r>
        <w:rPr>
          <w:rFonts w:hint="eastAsia" w:ascii="宋体" w:hAnsi="宋体" w:cs="宋体"/>
          <w:color w:val="c00000"/>
          <w:sz w:val="28"/>
          <w:szCs w:val="28"/>
          <w:highlight w:val="none"/>
        </w:rPr>
        <w:t xml:space="preserve">…………</w:t>
      </w:r>
      <w:r>
        <w:rPr>
          <w:rFonts w:hint="eastAsia" w:ascii="宋体" w:hAnsi="宋体" w:cs="宋体"/>
          <w:color w:val="c00000"/>
          <w:sz w:val="28"/>
          <w:szCs w:val="28"/>
          <w:highlight w:val="none"/>
        </w:rPr>
      </w:r>
      <w:r/>
    </w:p>
    <w:p>
      <w:pPr>
        <w:pStyle w:val="832"/>
        <w:ind w:firstLine="480"/>
        <w:spacing w:line="360" w:lineRule="auto"/>
        <w:rPr>
          <w:rFonts w:ascii="宋体" w:hAnsi="宋体" w:cs="宋体"/>
          <w:color w:val="c00000"/>
          <w:sz w:val="28"/>
          <w:szCs w:val="28"/>
          <w:highlight w:val="none"/>
        </w:rPr>
      </w:pPr>
      <w:r>
        <w:rPr>
          <w:rFonts w:hint="eastAsia" w:ascii="宋体" w:hAnsi="宋体" w:cs="宋体"/>
          <w:color w:val="c00000"/>
          <w:sz w:val="28"/>
          <w:szCs w:val="28"/>
          <w:highlight w:val="none"/>
        </w:rPr>
        <w:t xml:space="preserve">特此声明。</w:t>
      </w:r>
      <w:r>
        <w:rPr>
          <w:rFonts w:ascii="宋体" w:hAnsi="宋体" w:cs="宋体"/>
          <w:color w:val="c00000"/>
          <w:sz w:val="28"/>
          <w:szCs w:val="28"/>
          <w:highlight w:val="none"/>
        </w:rPr>
      </w:r>
      <w:r/>
    </w:p>
    <w:p>
      <w:pPr>
        <w:pStyle w:val="832"/>
        <w:ind w:firstLine="480"/>
        <w:spacing w:line="360" w:lineRule="auto"/>
        <w:rPr>
          <w:rFonts w:ascii="宋体" w:hAnsi="宋体" w:cs="宋体"/>
          <w:color w:val="c00000"/>
          <w:sz w:val="28"/>
          <w:szCs w:val="28"/>
          <w:highlight w:val="none"/>
        </w:rPr>
      </w:pPr>
      <w:r>
        <w:rPr>
          <w:rFonts w:hint="eastAsia" w:ascii="宋体" w:hAnsi="宋体" w:cs="宋体"/>
          <w:color w:val="c00000"/>
          <w:sz w:val="28"/>
          <w:szCs w:val="28"/>
          <w:highlight w:val="none"/>
        </w:rPr>
        <w:t xml:space="preserve">供应商对上述声明的真实性负责。如有虚假，将依法承担相应责任。</w:t>
      </w:r>
      <w:r>
        <w:rPr>
          <w:rFonts w:ascii="宋体" w:hAnsi="宋体" w:cs="宋体"/>
          <w:color w:val="c00000"/>
          <w:sz w:val="28"/>
          <w:szCs w:val="28"/>
          <w:highlight w:val="none"/>
        </w:rPr>
      </w:r>
      <w:r/>
    </w:p>
    <w:p>
      <w:pPr>
        <w:pStyle w:val="832"/>
        <w:spacing w:line="360" w:lineRule="auto"/>
        <w:rPr>
          <w:rFonts w:ascii="宋体" w:hAnsi="宋体" w:cs="宋体"/>
          <w:color w:val="c00000"/>
          <w:sz w:val="28"/>
          <w:szCs w:val="28"/>
          <w:highlight w:val="none"/>
        </w:rPr>
      </w:pPr>
      <w:r>
        <w:rPr>
          <w:rFonts w:ascii="宋体" w:hAnsi="宋体" w:cs="宋体"/>
          <w:color w:val="c00000"/>
          <w:sz w:val="28"/>
          <w:szCs w:val="28"/>
          <w:highlight w:val="none"/>
        </w:rPr>
      </w:r>
      <w:r/>
    </w:p>
    <w:p>
      <w:pPr>
        <w:pStyle w:val="832"/>
        <w:ind w:firstLine="3120"/>
        <w:spacing w:line="360" w:lineRule="auto"/>
        <w:rPr>
          <w:rFonts w:ascii="宋体" w:hAnsi="宋体" w:cs="宋体"/>
          <w:color w:val="c00000"/>
          <w:sz w:val="28"/>
          <w:szCs w:val="28"/>
          <w:highlight w:val="none"/>
        </w:rPr>
      </w:pPr>
      <w:r>
        <w:rPr>
          <w:rFonts w:hint="eastAsia" w:ascii="宋体" w:hAnsi="宋体" w:cs="宋体"/>
          <w:color w:val="c00000"/>
          <w:sz w:val="28"/>
          <w:szCs w:val="28"/>
          <w:highlight w:val="none"/>
        </w:rPr>
        <w:t xml:space="preserve">供应商：</w:t>
      </w:r>
      <w:r>
        <w:rPr>
          <w:rFonts w:hint="eastAsia" w:ascii="宋体" w:hAnsi="宋体" w:cs="宋体"/>
          <w:color w:val="c00000"/>
          <w:sz w:val="28"/>
          <w:szCs w:val="28"/>
          <w:highlight w:val="none"/>
          <w:u w:val="single"/>
        </w:rPr>
        <w:t xml:space="preserve">            </w:t>
      </w:r>
      <w:r>
        <w:rPr>
          <w:rFonts w:hint="eastAsia" w:ascii="宋体" w:hAnsi="宋体" w:cs="宋体"/>
          <w:color w:val="c00000"/>
          <w:sz w:val="28"/>
          <w:szCs w:val="28"/>
          <w:highlight w:val="none"/>
        </w:rPr>
        <w:t xml:space="preserve">（电子签章） </w:t>
      </w:r>
      <w:r>
        <w:rPr>
          <w:rFonts w:ascii="宋体" w:hAnsi="宋体" w:cs="宋体"/>
          <w:color w:val="c00000"/>
          <w:sz w:val="28"/>
          <w:szCs w:val="28"/>
          <w:highlight w:val="none"/>
        </w:rPr>
      </w:r>
      <w:r/>
    </w:p>
    <w:p>
      <w:pPr>
        <w:pStyle w:val="832"/>
        <w:ind w:firstLine="3120"/>
        <w:spacing w:line="360" w:lineRule="auto"/>
        <w:rPr>
          <w:rFonts w:ascii="宋体" w:hAnsi="宋体" w:cs="宋体"/>
          <w:color w:val="c00000"/>
          <w:sz w:val="28"/>
          <w:szCs w:val="28"/>
          <w:highlight w:val="none"/>
        </w:rPr>
      </w:pPr>
      <w:r>
        <w:rPr>
          <w:rFonts w:hint="eastAsia" w:ascii="宋体" w:hAnsi="宋体" w:cs="宋体"/>
          <w:color w:val="c00000"/>
          <w:sz w:val="28"/>
          <w:szCs w:val="28"/>
          <w:highlight w:val="none"/>
        </w:rPr>
        <w:t xml:space="preserve">日期：   年  月  日</w:t>
      </w:r>
      <w:r>
        <w:rPr>
          <w:rFonts w:ascii="宋体" w:hAnsi="宋体" w:cs="宋体"/>
          <w:color w:val="c00000"/>
          <w:sz w:val="28"/>
          <w:szCs w:val="28"/>
          <w:highlight w:val="none"/>
        </w:rPr>
      </w:r>
      <w:r/>
    </w:p>
    <w:p>
      <w:pPr>
        <w:pStyle w:val="832"/>
        <w:jc w:val="center"/>
        <w:spacing w:line="588" w:lineRule="exact"/>
        <w:rPr>
          <w:rFonts w:ascii="宋体" w:hAnsi="宋体" w:cs="宋体"/>
          <w:b/>
          <w:color w:val="c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c00000"/>
          <w:sz w:val="36"/>
          <w:szCs w:val="36"/>
          <w:highlight w:val="none"/>
        </w:rPr>
      </w:r>
      <w:r/>
    </w:p>
    <w:p>
      <w:pPr>
        <w:pStyle w:val="832"/>
        <w:ind w:firstLine="600"/>
        <w:jc w:val="center"/>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832"/>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lang w:val="en-US" w:eastAsia="zh-CN"/>
        </w:rPr>
        <w:t xml:space="preserve">九</w:t>
      </w:r>
      <w:r>
        <w:rPr>
          <w:rFonts w:hint="eastAsia" w:ascii="宋体" w:hAnsi="宋体" w:cs="宋体"/>
          <w:b/>
          <w:bCs/>
          <w:color w:val="000000"/>
          <w:sz w:val="32"/>
          <w:szCs w:val="32"/>
          <w:highlight w:val="none"/>
        </w:rPr>
        <w:t xml:space="preserve">、投标人参加政府采购活动前3年内在经营活动中没有重大违法记录的书面声明格式</w:t>
      </w:r>
      <w:r>
        <w:rPr>
          <w:rFonts w:ascii="宋体" w:hAnsi="宋体" w:cs="宋体"/>
          <w:b/>
          <w:bCs/>
          <w:color w:val="000000"/>
          <w:sz w:val="32"/>
          <w:szCs w:val="32"/>
          <w:highlight w:val="none"/>
        </w:rPr>
      </w:r>
      <w:r/>
    </w:p>
    <w:p>
      <w:pPr>
        <w:pStyle w:val="832"/>
        <w:ind w:firstLine="600"/>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832"/>
        <w:ind w:firstLine="6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我单位在参加</w:t>
      </w:r>
      <w:r>
        <w:rPr>
          <w:rFonts w:hint="eastAsia" w:ascii="宋体" w:hAnsi="宋体" w:cs="宋体"/>
          <w:color w:val="000000"/>
          <w:sz w:val="28"/>
          <w:szCs w:val="28"/>
          <w:highlight w:val="none"/>
          <w:u w:val="single"/>
        </w:rPr>
        <w:t xml:space="preserve">徐州汉画像石艺术馆馆藏文物预防性保护项目</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u w:val="single"/>
        </w:rPr>
        <w:t xml:space="preserve">JSZC-320300-HWZX-G2026-0460</w:t>
      </w:r>
      <w:r>
        <w:rPr>
          <w:rFonts w:hint="eastAsia" w:ascii="宋体" w:hAnsi="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 w:val="28"/>
          <w:szCs w:val="28"/>
          <w:highlight w:val="none"/>
        </w:rPr>
      </w:r>
      <w:r/>
    </w:p>
    <w:p>
      <w:pPr>
        <w:pStyle w:val="832"/>
        <w:ind w:firstLine="6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我单位对上述声明的真实性负责。如有虚假，将依法承担相应责任。</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w:t>
      </w:r>
      <w:r>
        <w:rPr>
          <w:rFonts w:ascii="宋体" w:hAnsi="宋体" w:cs="宋体"/>
          <w:color w:val="000000"/>
          <w:sz w:val="28"/>
          <w:szCs w:val="28"/>
          <w:highlight w:val="none"/>
        </w:rPr>
      </w:r>
      <w:r/>
    </w:p>
    <w:p>
      <w:pPr>
        <w:pStyle w:val="832"/>
        <w:ind w:firstLine="45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832"/>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日期： 年 月 日</w:t>
      </w:r>
      <w:r>
        <w:rPr>
          <w:rFonts w:ascii="宋体" w:hAnsi="宋体" w:cs="宋体"/>
          <w:color w:val="000000"/>
          <w:sz w:val="28"/>
          <w:szCs w:val="28"/>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832"/>
        <w:ind w:firstLine="600"/>
        <w:jc w:val="center"/>
        <w:spacing w:line="479" w:lineRule="atLeast"/>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30"/>
          <w:highlight w:val="none"/>
        </w:rPr>
      </w:r>
      <w:r/>
    </w:p>
    <w:p>
      <w:pPr>
        <w:pStyle w:val="832"/>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lang w:val="en-US" w:eastAsia="zh-CN"/>
        </w:rPr>
        <w:t xml:space="preserve">十</w:t>
      </w:r>
      <w:r>
        <w:rPr>
          <w:rFonts w:hint="eastAsia" w:ascii="宋体" w:hAnsi="宋体" w:cs="宋体"/>
          <w:b/>
          <w:bCs/>
          <w:color w:val="000000"/>
          <w:sz w:val="32"/>
          <w:szCs w:val="32"/>
          <w:highlight w:val="none"/>
        </w:rPr>
        <w:t xml:space="preserve">、关于符合本国产品标准的声明函</w:t>
      </w:r>
      <w:r>
        <w:rPr>
          <w:rFonts w:hint="eastAsia"/>
          <w:color w:val="000000"/>
          <w:highlight w:val="none"/>
        </w:rPr>
        <w:t xml:space="preserve"> </w:t>
      </w:r>
      <w:r>
        <w:rPr>
          <w:color w:val="000000"/>
          <w:highlight w:val="none"/>
        </w:rPr>
      </w:r>
      <w:r/>
    </w:p>
    <w:p>
      <w:pPr>
        <w:pStyle w:val="948"/>
        <w:jc w:val="both"/>
        <w:spacing w:before="0" w:beforeAutospacing="0" w:after="0" w:afterAutospacing="0"/>
        <w:rPr>
          <w:b/>
          <w:bCs/>
          <w:color w:val="000000"/>
          <w:highlight w:val="none"/>
        </w:rPr>
        <w:pBdr>
          <w:top w:val="none" w:color="000000" w:sz="0" w:space="0"/>
          <w:left w:val="none" w:color="000000" w:sz="0" w:space="0"/>
          <w:bottom w:val="none" w:color="000000" w:sz="0" w:space="0"/>
          <w:right w:val="none" w:color="000000" w:sz="0" w:space="0"/>
        </w:pBdr>
      </w:pPr>
      <w:r>
        <w:rPr>
          <w:b/>
          <w:bCs/>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w:t>
      </w:r>
      <w:r>
        <w:rPr>
          <w:b/>
          <w:bCs/>
          <w:color w:val="000000"/>
          <w:highlight w:val="none"/>
          <w:u w:val="single"/>
        </w:rPr>
        <w:t xml:space="preserve">（</w:t>
      </w:r>
      <w:r>
        <w:rPr>
          <w:rFonts w:hint="eastAsia"/>
          <w:b/>
          <w:bCs/>
          <w:color w:val="000000"/>
          <w:highlight w:val="none"/>
          <w:u w:val="single"/>
        </w:rPr>
        <w:t xml:space="preserve"> 重型横梁式文物储藏柜</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w:t>
      </w:r>
      <w:r>
        <w:rPr>
          <w:b/>
          <w:bCs/>
          <w:color w:val="000000"/>
          <w:highlight w:val="none"/>
          <w:u w:val="single"/>
        </w:rPr>
        <w:t xml:space="preserve">（</w:t>
      </w:r>
      <w:r>
        <w:rPr>
          <w:rFonts w:hint="eastAsia"/>
          <w:b/>
          <w:bCs/>
          <w:color w:val="000000"/>
          <w:highlight w:val="none"/>
          <w:u w:val="single"/>
        </w:rPr>
        <w:t xml:space="preserve"> 多功能文物储藏柜</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w:t>
      </w:r>
      <w:r>
        <w:rPr>
          <w:b/>
          <w:bCs/>
          <w:color w:val="000000"/>
          <w:highlight w:val="none"/>
          <w:u w:val="single"/>
        </w:rPr>
        <w:t xml:space="preserve">（</w:t>
      </w:r>
      <w:r>
        <w:rPr>
          <w:rFonts w:hint="eastAsia"/>
          <w:b/>
          <w:bCs/>
          <w:color w:val="000000"/>
          <w:highlight w:val="none"/>
          <w:u w:val="single"/>
        </w:rPr>
        <w:t xml:space="preserve"> 画像石储藏台 </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4、</w:t>
      </w:r>
      <w:r>
        <w:rPr>
          <w:b/>
          <w:bCs/>
          <w:color w:val="000000"/>
          <w:highlight w:val="none"/>
          <w:u w:val="single"/>
        </w:rPr>
        <w:t xml:space="preserve">（</w:t>
      </w:r>
      <w:r>
        <w:rPr>
          <w:rFonts w:hint="eastAsia"/>
          <w:b/>
          <w:bCs/>
          <w:color w:val="000000"/>
          <w:highlight w:val="none"/>
          <w:u w:val="single"/>
        </w:rPr>
        <w:t xml:space="preserve"> 移动式画像石储藏架 </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w:t>
      </w:r>
      <w:r>
        <w:rPr>
          <w:b/>
          <w:bCs/>
          <w:color w:val="000000"/>
          <w:highlight w:val="none"/>
          <w:u w:val="single"/>
        </w:rPr>
        <w:t xml:space="preserve">（</w:t>
      </w:r>
      <w:r>
        <w:rPr>
          <w:rFonts w:hint="eastAsia"/>
          <w:b/>
          <w:bCs/>
          <w:color w:val="000000"/>
          <w:highlight w:val="none"/>
          <w:u w:val="single"/>
        </w:rPr>
        <w:t xml:space="preserve"> 密集型画像石储藏架 </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w:t>
      </w:r>
      <w:r>
        <w:rPr>
          <w:b/>
          <w:bCs/>
          <w:color w:val="000000"/>
          <w:highlight w:val="none"/>
          <w:u w:val="single"/>
        </w:rPr>
        <w:t xml:space="preserve">（</w:t>
      </w:r>
      <w:r>
        <w:rPr>
          <w:rFonts w:hint="eastAsia"/>
          <w:b/>
          <w:bCs/>
          <w:color w:val="000000"/>
          <w:highlight w:val="none"/>
          <w:u w:val="single"/>
        </w:rPr>
        <w:t xml:space="preserve">库房登高梯</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7、</w:t>
      </w:r>
      <w:r>
        <w:rPr>
          <w:b/>
          <w:bCs/>
          <w:color w:val="000000"/>
          <w:highlight w:val="none"/>
          <w:u w:val="single"/>
        </w:rPr>
        <w:t xml:space="preserve">（</w:t>
      </w:r>
      <w:r>
        <w:rPr>
          <w:rFonts w:hint="eastAsia"/>
          <w:b/>
          <w:bCs/>
          <w:color w:val="000000"/>
          <w:highlight w:val="none"/>
          <w:u w:val="single"/>
        </w:rPr>
        <w:t xml:space="preserve"> 文物手推车（单层）</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8、</w:t>
      </w:r>
      <w:r>
        <w:rPr>
          <w:b/>
          <w:bCs/>
          <w:color w:val="000000"/>
          <w:highlight w:val="none"/>
          <w:u w:val="single"/>
        </w:rPr>
        <w:t xml:space="preserve">（</w:t>
      </w:r>
      <w:r>
        <w:rPr>
          <w:rFonts w:hint="eastAsia"/>
          <w:b/>
          <w:bCs/>
          <w:color w:val="000000"/>
          <w:highlight w:val="none"/>
          <w:u w:val="single"/>
        </w:rPr>
        <w:t xml:space="preserve"> 文物手推车（双层） </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9、</w:t>
      </w:r>
      <w:r>
        <w:rPr>
          <w:b/>
          <w:bCs/>
          <w:color w:val="000000"/>
          <w:highlight w:val="none"/>
          <w:u w:val="single"/>
        </w:rPr>
        <w:t xml:space="preserve">（</w:t>
      </w:r>
      <w:r>
        <w:rPr>
          <w:rFonts w:hint="eastAsia"/>
          <w:b/>
          <w:bCs/>
          <w:color w:val="000000"/>
          <w:highlight w:val="none"/>
          <w:u w:val="single"/>
        </w:rPr>
        <w:t xml:space="preserve"> 库房防盗门 </w:t>
      </w:r>
      <w:r>
        <w:rPr>
          <w:b/>
          <w:bCs/>
          <w:color w:val="000000"/>
          <w:highlight w:val="none"/>
          <w:u w:val="single"/>
        </w:rPr>
        <w:t xml:space="preserve">）</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w:t>
      </w:r>
      <w:r>
        <w:rPr>
          <w:color w:val="000000"/>
          <w:highlight w:val="none"/>
        </w:rPr>
      </w:r>
      <w:r/>
    </w:p>
    <w:p>
      <w:pPr>
        <w:pStyle w:val="948"/>
        <w:ind w:firstLine="420"/>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本公司（单位）对上述声明内容的真实性负责。如有虚假，愿承担相应法律责任。</w:t>
      </w:r>
      <w:r>
        <w:rPr>
          <w:color w:val="000000"/>
          <w:highlight w:val="none"/>
        </w:rPr>
      </w:r>
      <w:r/>
    </w:p>
    <w:p>
      <w:pPr>
        <w:pStyle w:val="948"/>
        <w:spacing w:before="0" w:beforeAutospacing="0" w:after="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 </w:t>
      </w:r>
      <w:r>
        <w:rPr>
          <w:color w:val="000000"/>
          <w:highlight w:val="none"/>
        </w:rPr>
      </w:r>
      <w:r/>
    </w:p>
    <w:p>
      <w:pPr>
        <w:pStyle w:val="948"/>
        <w:jc w:val="both"/>
        <w:spacing w:before="0" w:beforeAutospacing="0" w:after="0" w:afterAutospacing="0" w:line="288" w:lineRule="auto"/>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shd w:val="clear" w:color="auto" w:fill="ffffff"/>
        </w:rPr>
        <w:t xml:space="preserve">公司（单位）名称（电子签章）：　        </w:t>
      </w:r>
      <w:r>
        <w:rPr>
          <w:b/>
          <w:bCs/>
          <w:color w:val="000000"/>
          <w:highlight w:val="none"/>
        </w:rPr>
      </w:r>
      <w:r/>
    </w:p>
    <w:p>
      <w:pPr>
        <w:pStyle w:val="948"/>
        <w:jc w:val="both"/>
        <w:spacing w:before="0" w:beforeAutospacing="0" w:after="0" w:afterAutospacing="0" w:line="288" w:lineRule="auto"/>
        <w:rPr>
          <w:b/>
          <w:bCs/>
          <w:color w:val="000000"/>
          <w:highlight w:val="none"/>
          <w:shd w:val="clear" w:color="auto" w:fill="ffffff"/>
        </w:rPr>
        <w:pBdr>
          <w:top w:val="none" w:color="000000" w:sz="0" w:space="0"/>
          <w:left w:val="none" w:color="000000" w:sz="0" w:space="0"/>
          <w:bottom w:val="none" w:color="000000" w:sz="0" w:space="0"/>
          <w:right w:val="none" w:color="000000" w:sz="0" w:space="0"/>
        </w:pBdr>
      </w:pPr>
      <w:r>
        <w:rPr>
          <w:b/>
          <w:bCs/>
          <w:color w:val="000000"/>
          <w:highlight w:val="none"/>
          <w:shd w:val="clear" w:color="auto" w:fill="ffffff"/>
        </w:rPr>
      </w:r>
      <w:r/>
    </w:p>
    <w:p>
      <w:pPr>
        <w:pStyle w:val="948"/>
        <w:jc w:val="both"/>
        <w:spacing w:before="0" w:beforeAutospacing="0" w:after="0" w:afterAutospacing="0" w:line="288" w:lineRule="auto"/>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shd w:val="clear" w:color="auto" w:fill="ffffff"/>
        </w:rPr>
        <w:t xml:space="preserve">日期：  年  月  日</w:t>
      </w:r>
      <w:r>
        <w:rPr>
          <w:b/>
          <w:bCs/>
          <w:color w:val="000000"/>
          <w:highlight w:val="none"/>
        </w:rPr>
      </w:r>
      <w:r/>
    </w:p>
    <w:p>
      <w:pPr>
        <w:pStyle w:val="948"/>
        <w:spacing w:before="30" w:beforeAutospacing="0" w:after="30" w:afterAutospacing="0" w:line="288" w:lineRule="auto"/>
        <w:rPr>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注：</w:t>
      </w:r>
      <w:r>
        <w:rPr>
          <w:color w:val="000000"/>
          <w:highlight w:val="none"/>
          <w:shd w:val="clear" w:color="auto" w:fill="ffffff"/>
        </w:rPr>
      </w:r>
      <w:r/>
    </w:p>
    <w:p>
      <w:pPr>
        <w:pStyle w:val="948"/>
        <w:ind w:firstLine="420"/>
        <w:spacing w:before="30" w:beforeAutospacing="0" w:after="3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1.产品如有型号，请在“产品名称”栏一并填写。</w:t>
      </w:r>
      <w:r>
        <w:rPr>
          <w:color w:val="000000"/>
          <w:highlight w:val="none"/>
        </w:rPr>
      </w:r>
      <w:r/>
    </w:p>
    <w:p>
      <w:pPr>
        <w:pStyle w:val="948"/>
        <w:ind w:firstLine="420"/>
        <w:spacing w:before="30" w:beforeAutospacing="0" w:after="3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2.生产厂名与厂址应与生产厂营业执照载明的相关信息保持一致。</w:t>
      </w:r>
      <w:r>
        <w:rPr>
          <w:color w:val="000000"/>
          <w:highlight w:val="none"/>
        </w:rPr>
      </w:r>
      <w:r/>
    </w:p>
    <w:p>
      <w:pPr>
        <w:pStyle w:val="948"/>
        <w:ind w:firstLine="420"/>
        <w:spacing w:before="30" w:beforeAutospacing="0" w:after="3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3.该产品的中国境内生产的组件成本占比相关要求实施前，“规定比例”栏可不填，下同。</w:t>
      </w:r>
      <w:r>
        <w:rPr>
          <w:color w:val="000000"/>
          <w:highlight w:val="none"/>
        </w:rPr>
      </w:r>
      <w:r/>
    </w:p>
    <w:p>
      <w:pPr>
        <w:pStyle w:val="948"/>
        <w:ind w:firstLine="420"/>
        <w:spacing w:before="30" w:beforeAutospacing="0" w:after="3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4.该产品的关键组件要求实施前，“关键组件”栏可不填，下同。</w:t>
      </w:r>
      <w:r>
        <w:rPr>
          <w:color w:val="000000"/>
          <w:highlight w:val="none"/>
        </w:rPr>
      </w:r>
      <w:r/>
    </w:p>
    <w:p>
      <w:pPr>
        <w:pStyle w:val="948"/>
        <w:ind w:firstLine="420"/>
        <w:spacing w:before="30" w:beforeAutospacing="0" w:after="30" w:afterAutospacing="0" w:line="288" w:lineRule="auto"/>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5.该产品的关键工序要求实施前，“关键工序”栏可不填，下同。</w:t>
      </w:r>
      <w:r>
        <w:rPr>
          <w:color w:val="000000"/>
          <w:highlight w:val="none"/>
        </w:rPr>
      </w:r>
      <w:r/>
    </w:p>
    <w:p>
      <w:pPr>
        <w:pStyle w:val="948"/>
        <w:ind w:firstLine="420"/>
        <w:spacing w:before="30" w:beforeAutospacing="0" w:after="30" w:afterAutospacing="0" w:line="288" w:lineRule="auto"/>
        <w:rPr>
          <w:color w:val="000000"/>
          <w:highlight w:val="none"/>
          <w:shd w:val="clear" w:color="auto" w:fill="ffffff"/>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highlight w:val="none"/>
        </w:rPr>
        <w:t xml:space="preserve">6</w:t>
      </w:r>
      <w:r>
        <w:rPr>
          <w:color w:val="000000"/>
          <w:highlight w:val="none"/>
        </w:rPr>
        <w:t xml:space="preserve">.《声明函》中标注“</w:t>
      </w:r>
      <w:r>
        <w:rPr>
          <w:color w:val="000000"/>
          <w:highlight w:val="none"/>
          <w:u w:val="single"/>
        </w:rPr>
        <w:t xml:space="preserve">  / </w:t>
      </w:r>
      <w:r>
        <w:rPr>
          <w:color w:val="000000"/>
          <w:highlight w:val="none"/>
        </w:rPr>
        <w:t xml:space="preserve">”的地方无需填写</w:t>
      </w:r>
      <w:r>
        <w:rPr>
          <w:rFonts w:hint="eastAsia"/>
          <w:color w:val="000000"/>
          <w:highlight w:val="none"/>
        </w:rPr>
        <w:t xml:space="preserve">。</w:t>
      </w:r>
      <w:r>
        <w:rPr>
          <w:color w:val="000000"/>
          <w:highlight w:val="none"/>
          <w:shd w:val="clear" w:color="auto" w:fill="ffffff"/>
        </w:rPr>
      </w:r>
      <w:r/>
    </w:p>
    <w:p>
      <w:pPr>
        <w:pStyle w:val="832"/>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一</w:t>
      </w:r>
      <w:r>
        <w:rPr>
          <w:rFonts w:hint="eastAsia" w:ascii="宋体" w:hAnsi="宋体" w:cs="宋体"/>
          <w:b/>
          <w:bCs/>
          <w:color w:val="000000"/>
          <w:sz w:val="32"/>
          <w:szCs w:val="32"/>
          <w:highlight w:val="none"/>
        </w:rPr>
        <w:t xml:space="preserve">、预付款保函支付条款模板</w:t>
      </w:r>
      <w:r>
        <w:rPr>
          <w:rFonts w:ascii="宋体" w:hAnsi="宋体" w:cs="宋体"/>
          <w:b/>
          <w:bCs/>
          <w:color w:val="000000"/>
          <w:sz w:val="32"/>
          <w:szCs w:val="32"/>
          <w:highlight w:val="none"/>
        </w:rPr>
      </w:r>
      <w:r/>
    </w:p>
    <w:p>
      <w:pPr>
        <w:pStyle w:val="83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32"/>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符合条件一：提交预付款保函的</w:t>
      </w:r>
      <w:r>
        <w:rPr>
          <w:rFonts w:ascii="宋体" w:hAnsi="宋体" w:cs="宋体"/>
          <w:color w:val="000000"/>
          <w:sz w:val="24"/>
          <w:highlight w:val="none"/>
        </w:rPr>
      </w:r>
      <w:r/>
    </w:p>
    <w:p>
      <w:pPr>
        <w:pStyle w:val="832"/>
        <w:ind w:firstLine="560"/>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个工作日内，由甲方根据审批流程办理政府采购资金结算手续，经审核后支付给乙方合同价款的百分之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32"/>
        <w:ind w:firstLine="602"/>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r>
      <w:r/>
    </w:p>
    <w:p>
      <w:pPr>
        <w:pStyle w:val="832"/>
        <w:ind w:firstLine="560"/>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（2）合同标的全部交付并安装完毕并验收合格后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个工作日内，由甲方根据审批流程办理政府采购资金结算手续，经审核后支付合同价款的百分之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32"/>
        <w:ind w:firstLine="605"/>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w:t>
      </w:r>
      <w:r>
        <w:rPr>
          <w:rFonts w:ascii="宋体" w:hAnsi="宋体" w:cs="宋体"/>
          <w:color w:val="000000"/>
          <w:sz w:val="24"/>
          <w:highlight w:val="none"/>
        </w:rPr>
      </w:r>
      <w:r/>
    </w:p>
    <w:p>
      <w:pPr>
        <w:pStyle w:val="832"/>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符合条件二：不提交预付款保函的</w:t>
      </w:r>
      <w:r>
        <w:rPr>
          <w:rFonts w:ascii="宋体" w:hAnsi="宋体" w:cs="宋体"/>
          <w:color w:val="000000"/>
          <w:sz w:val="24"/>
          <w:highlight w:val="none"/>
        </w:rPr>
      </w:r>
      <w:r/>
    </w:p>
    <w:p>
      <w:pPr>
        <w:pStyle w:val="832"/>
        <w:ind w:firstLine="602"/>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个工作日内，由甲方根据审批流程办理政府采购资金结算手续，经审核后支付合同价款的百分之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32"/>
        <w:ind w:firstLine="602"/>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r>
      <w:r/>
    </w:p>
    <w:p>
      <w:pPr>
        <w:pStyle w:val="832"/>
        <w:ind w:firstLine="560"/>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（2）合同标的全部交付并安装完毕并验收合格后，由甲方根据审批流程办理政府采购资金结算手续，经审核后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32"/>
        <w:ind w:firstLine="605"/>
        <w:spacing w:line="480" w:lineRule="exac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832"/>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ascii="宋体" w:hAnsi="宋体" w:cs="宋体"/>
          <w:color w:val="000000"/>
          <w:sz w:val="24"/>
          <w:highlight w:val="none"/>
        </w:rPr>
      </w:r>
      <w:r/>
    </w:p>
    <w:p>
      <w:pPr>
        <w:pStyle w:val="832"/>
        <w:ind w:firstLine="560"/>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1、付款条件一中，出具预付款保函后支付的合同款应当与保函金额一致。</w:t>
      </w:r>
      <w:r>
        <w:rPr>
          <w:rFonts w:ascii="宋体" w:hAnsi="宋体" w:cs="宋体"/>
          <w:color w:val="000000"/>
          <w:sz w:val="24"/>
          <w:highlight w:val="none"/>
        </w:rPr>
      </w:r>
      <w:r/>
    </w:p>
    <w:p>
      <w:pPr>
        <w:pStyle w:val="832"/>
        <w:ind w:firstLine="560"/>
        <w:spacing w:line="48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 </w:t>
      </w:r>
      <w:r>
        <w:rPr>
          <w:rFonts w:ascii="宋体" w:hAnsi="宋体" w:cs="宋体"/>
          <w:color w:val="000000"/>
          <w:sz w:val="24"/>
          <w:highlight w:val="none"/>
        </w:rPr>
      </w:r>
      <w:r/>
    </w:p>
    <w:p>
      <w:pPr>
        <w:pStyle w:val="832"/>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 </w:t>
      </w:r>
      <w:r>
        <w:rPr>
          <w:rFonts w:ascii="宋体" w:hAnsi="宋体" w:cs="宋体"/>
          <w:color w:val="000000"/>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832"/>
                          </w:pPr>
                          <w:r/>
                          <w:r/>
                        </w:p>
                        <w:p>
                          <w:pPr>
                            <w:pStyle w:val="8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832"/>
                    </w:pPr>
                    <w:r/>
                    <w:r/>
                  </w:p>
                  <w:p>
                    <w:pPr>
                      <w:pStyle w:val="83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7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32"/>
                          </w:pPr>
                          <w:r/>
                          <w:r/>
                        </w:p>
                        <w:p>
                          <w:pPr>
                            <w:pStyle w:val="832"/>
                          </w:pPr>
                          <w:r/>
                          <w:r/>
                        </w:p>
                        <w:p>
                          <w:pPr>
                            <w:pStyle w:val="832"/>
                          </w:pPr>
                          <w:r/>
                          <w:r/>
                        </w:p>
                        <w:p>
                          <w:pPr>
                            <w:pStyle w:val="832"/>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7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32"/>
                    </w:pPr>
                    <w:r/>
                    <w:r/>
                  </w:p>
                  <w:p>
                    <w:pPr>
                      <w:pStyle w:val="832"/>
                    </w:pPr>
                    <w:r/>
                    <w:r/>
                  </w:p>
                  <w:p>
                    <w:pPr>
                      <w:pStyle w:val="832"/>
                    </w:pPr>
                    <w:r/>
                    <w:r/>
                  </w:p>
                  <w:p>
                    <w:pPr>
                      <w:pStyle w:val="8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72"/>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32"/>
                          </w:pPr>
                          <w:r/>
                          <w:r/>
                        </w:p>
                        <w:p>
                          <w:pPr>
                            <w:pStyle w:val="832"/>
                          </w:pPr>
                          <w:r/>
                          <w:r/>
                        </w:p>
                        <w:p>
                          <w:pPr>
                            <w:pStyle w:val="832"/>
                          </w:pPr>
                          <w:r/>
                          <w:r/>
                        </w:p>
                        <w:p>
                          <w:pPr>
                            <w:pStyle w:val="832"/>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72"/>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32"/>
                    </w:pPr>
                    <w:r/>
                    <w:r/>
                  </w:p>
                  <w:p>
                    <w:pPr>
                      <w:pStyle w:val="832"/>
                    </w:pPr>
                    <w:r/>
                    <w:r/>
                  </w:p>
                  <w:p>
                    <w:pPr>
                      <w:pStyle w:val="832"/>
                    </w:pPr>
                    <w:r/>
                    <w:r/>
                  </w:p>
                  <w:p>
                    <w:pPr>
                      <w:pStyle w:val="83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832"/>
                          </w:pPr>
                          <w:r/>
                          <w:r/>
                        </w:p>
                        <w:p>
                          <w:pPr>
                            <w:pStyle w:val="83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832"/>
                    </w:pPr>
                    <w:r/>
                    <w:r/>
                  </w:p>
                  <w:p>
                    <w:pPr>
                      <w:pStyle w:val="8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tabs>
        <w:tab w:val="center" w:pos="4153" w:leader="none"/>
        <w:tab w:val="right" w:pos="8306" w:leader="none"/>
      </w:tabs>
      <w:pBdr>
        <w:bottom w:val="single" w:color="000000" w:sz="4" w:space="0"/>
      </w:pBdr>
    </w:pPr>
    <w:r>
      <w:rPr>
        <w:rFonts w:hint="eastAsia" w:ascii="宋体" w:hAnsi="宋体" w:cs="宋体"/>
        <w:color w:val="000000"/>
      </w:rPr>
      <w:t xml:space="preserve">徐州汉画像石艺术馆馆藏文物预防性保护项目项目招标文件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right"/>
      <w:rPr>
        <w:szCs w:val="21"/>
      </w:rPr>
      <w:pBdr>
        <w:bottom w:val="single" w:color="000000" w:sz="4" w:space="0"/>
      </w:pBdr>
    </w:pPr>
    <w:r>
      <w:rPr>
        <w:rFonts w:hint="eastAsia"/>
        <w:sz w:val="18"/>
        <w:szCs w:val="18"/>
      </w:rPr>
      <w:t xml:space="preserve">徐州汉画像石艺术馆馆藏文物预防性保护项目项目招标文件</w:t>
    </w:r>
    <w:r>
      <w:rPr>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right"/>
      <w:rPr>
        <w:sz w:val="18"/>
      </w:rPr>
      <w:pBdr>
        <w:bottom w:val="single" w:color="000000" w:sz="4" w:space="0"/>
      </w:pBdr>
    </w:pPr>
    <w:r>
      <w:rPr>
        <w:rFonts w:hint="eastAsia"/>
        <w:sz w:val="18"/>
        <w:szCs w:val="18"/>
      </w:rPr>
      <w:t xml:space="preserve">徐州汉画像石艺术馆馆藏文物预防性保护项目</w:t>
    </w:r>
    <w:r>
      <w:rPr>
        <w:rFonts w:hint="eastAsia"/>
        <w:sz w:val="18"/>
      </w:rPr>
      <w:t xml:space="preserve">项目招标文件</w:t>
    </w: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right"/>
      <w:rPr>
        <w:i/>
        <w:iCs/>
        <w:sz w:val="18"/>
      </w:rPr>
      <w:pBdr>
        <w:bottom w:val="single" w:color="000000" w:sz="4" w:space="0"/>
      </w:pBdr>
    </w:pPr>
    <w:r>
      <w:rPr>
        <w:rFonts w:hint="eastAsia" w:ascii="宋体" w:hAnsi="宋体" w:cs="宋体"/>
        <w:color w:val="000000"/>
        <w:sz w:val="18"/>
        <w:szCs w:val="18"/>
      </w:rPr>
      <w:t xml:space="preserve">徐州汉画像石艺术馆馆藏文物预防性保护项目项目</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pStyle w:val="832"/>
        <w:ind w:left="907" w:hanging="907"/>
      </w:pPr>
    </w:lvl>
    <w:lvl w:ilvl="1">
      <w:start w:val="1"/>
      <w:numFmt w:val="decimal"/>
      <w:isLgl w:val="false"/>
      <w:suff w:val="space"/>
      <w:lvlText w:val="%1.%2 "/>
      <w:lvlJc w:val="left"/>
      <w:pPr>
        <w:pStyle w:val="832"/>
        <w:ind w:left="794" w:hanging="794"/>
      </w:pPr>
    </w:lvl>
    <w:lvl w:ilvl="2">
      <w:start w:val="0"/>
      <w:numFmt w:val="decimal"/>
      <w:isLgl w:val="false"/>
      <w:suff w:val="tab"/>
      <w:lvlText w:val=""/>
      <w:lvlJc w:val="left"/>
      <w:pPr>
        <w:pStyle w:val="832"/>
        <w:ind w:left="0" w:firstLine="0"/>
        <w:tabs>
          <w:tab w:val="num" w:pos="360" w:leader="none"/>
        </w:tabs>
      </w:pPr>
      <w:rPr>
        <w:rFonts w:cs="Times New Roman"/>
      </w:rPr>
    </w:lvl>
    <w:lvl w:ilvl="3">
      <w:start w:val="0"/>
      <w:numFmt w:val="decimal"/>
      <w:isLgl w:val="false"/>
      <w:suff w:val="tab"/>
      <w:lvlText w:val=""/>
      <w:lvlJc w:val="left"/>
      <w:pPr>
        <w:pStyle w:val="832"/>
        <w:ind w:left="0" w:firstLine="0"/>
        <w:tabs>
          <w:tab w:val="num" w:pos="360" w:leader="none"/>
        </w:tabs>
      </w:pPr>
      <w:rPr>
        <w:rFonts w:cs="Times New Roman"/>
      </w:rPr>
    </w:lvl>
    <w:lvl w:ilvl="4">
      <w:start w:val="0"/>
      <w:numFmt w:val="decimal"/>
      <w:pStyle w:val="1151"/>
      <w:isLgl w:val="false"/>
      <w:suff w:val="tab"/>
      <w:lvlText w:val=""/>
      <w:lvlJc w:val="left"/>
      <w:pPr>
        <w:pStyle w:val="832"/>
        <w:ind w:left="0" w:firstLine="0"/>
      </w:pPr>
      <w:rPr>
        <w:rFonts w:cs="Times New Roman"/>
      </w:rPr>
    </w:lvl>
    <w:lvl w:ilvl="5">
      <w:start w:val="0"/>
      <w:numFmt w:val="decimal"/>
      <w:isLgl w:val="false"/>
      <w:suff w:val="tab"/>
      <w:lvlText w:val=""/>
      <w:lvlJc w:val="left"/>
      <w:pPr>
        <w:pStyle w:val="832"/>
        <w:ind w:left="0" w:firstLine="0"/>
      </w:pPr>
      <w:rPr>
        <w:rFonts w:cs="Times New Roman"/>
      </w:rPr>
    </w:lvl>
    <w:lvl w:ilvl="6">
      <w:start w:val="0"/>
      <w:numFmt w:val="decimal"/>
      <w:isLgl w:val="false"/>
      <w:suff w:val="tab"/>
      <w:lvlText w:val=""/>
      <w:lvlJc w:val="left"/>
      <w:pPr>
        <w:pStyle w:val="832"/>
        <w:ind w:left="0" w:firstLine="0"/>
      </w:pPr>
      <w:rPr>
        <w:rFonts w:cs="Times New Roman"/>
      </w:rPr>
    </w:lvl>
    <w:lvl w:ilvl="7">
      <w:start w:val="0"/>
      <w:numFmt w:val="decimal"/>
      <w:isLgl w:val="false"/>
      <w:suff w:val="tab"/>
      <w:lvlText w:val=""/>
      <w:lvlJc w:val="left"/>
      <w:pPr>
        <w:pStyle w:val="832"/>
        <w:ind w:left="0" w:firstLine="0"/>
      </w:pPr>
      <w:rPr>
        <w:rFonts w:cs="Times New Roman"/>
      </w:rPr>
    </w:lvl>
    <w:lvl w:ilvl="8">
      <w:start w:val="0"/>
      <w:numFmt w:val="decimal"/>
      <w:isLgl w:val="false"/>
      <w:suff w:val="tab"/>
      <w:lvlText w:val=""/>
      <w:lvlJc w:val="left"/>
      <w:pPr>
        <w:pStyle w:val="832"/>
        <w:ind w:left="0" w:firstLine="0"/>
      </w:pPr>
      <w:rPr>
        <w:rFonts w:cs="Times New Roman"/>
      </w:rPr>
    </w:lvl>
  </w:abstractNum>
  <w:abstractNum w:abstractNumId="1">
    <w:multiLevelType w:val="hybridMultilevel"/>
    <w:lvl w:ilvl="0">
      <w:start w:val="1"/>
      <w:numFmt w:val="decimal"/>
      <w:isLgl w:val="false"/>
      <w:suff w:val="nothing"/>
      <w:lvlText w:val="%1、"/>
      <w:lvlJc w:val="left"/>
      <w:pPr>
        <w:pStyle w:val="832"/>
      </w:p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32"/>
      </w:pPr>
      <w:rPr>
        <w:rFonts w:hint="eastAsia"/>
      </w:r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832"/>
    <w:next w:val="832"/>
    <w:link w:val="980"/>
    <w:uiPriority w:val="10"/>
    <w:qFormat/>
    <w:pPr>
      <w:contextualSpacing/>
      <w:spacing w:before="300" w:after="200"/>
    </w:pPr>
    <w:rPr>
      <w:sz w:val="48"/>
      <w:szCs w:val="48"/>
    </w:rPr>
  </w:style>
  <w:style w:type="paragraph" w:styleId="35">
    <w:name w:val="Subtitle"/>
    <w:basedOn w:val="832"/>
    <w:next w:val="832"/>
    <w:link w:val="981"/>
    <w:uiPriority w:val="11"/>
    <w:qFormat/>
    <w:pPr>
      <w:spacing w:before="200" w:after="200"/>
    </w:pPr>
    <w:rPr>
      <w:sz w:val="24"/>
      <w:szCs w:val="24"/>
    </w:rPr>
  </w:style>
  <w:style w:type="paragraph" w:styleId="41">
    <w:name w:val="Header"/>
    <w:basedOn w:val="832"/>
    <w:link w:val="1006"/>
    <w:uiPriority w:val="99"/>
    <w:unhideWhenUsed/>
    <w:pPr>
      <w:spacing w:after="0" w:line="240" w:lineRule="auto"/>
      <w:tabs>
        <w:tab w:val="center" w:pos="7143" w:leader="none"/>
        <w:tab w:val="right" w:pos="14287" w:leader="none"/>
      </w:tabs>
    </w:pPr>
  </w:style>
  <w:style w:type="paragraph" w:styleId="43">
    <w:name w:val="Footer"/>
    <w:basedOn w:val="832"/>
    <w:link w:val="1008"/>
    <w:uiPriority w:val="99"/>
    <w:unhideWhenUsed/>
    <w:pPr>
      <w:spacing w:after="0" w:line="240" w:lineRule="auto"/>
      <w:tabs>
        <w:tab w:val="center" w:pos="7143" w:leader="none"/>
        <w:tab w:val="right" w:pos="14287" w:leader="none"/>
      </w:tabs>
    </w:pPr>
  </w:style>
  <w:style w:type="paragraph" w:styleId="45">
    <w:name w:val="Caption"/>
    <w:basedOn w:val="832"/>
    <w:next w:val="83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32"/>
    <w:link w:val="113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32"/>
    <w:link w:val="98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32"/>
    <w:next w:val="832"/>
    <w:uiPriority w:val="39"/>
    <w:unhideWhenUsed/>
    <w:pPr>
      <w:ind w:left="0" w:right="0" w:firstLine="0"/>
      <w:spacing w:after="57"/>
    </w:pPr>
  </w:style>
  <w:style w:type="paragraph" w:styleId="181">
    <w:name w:val="toc 2"/>
    <w:basedOn w:val="832"/>
    <w:next w:val="832"/>
    <w:uiPriority w:val="39"/>
    <w:unhideWhenUsed/>
    <w:pPr>
      <w:ind w:left="283" w:right="0" w:firstLine="0"/>
      <w:spacing w:after="57"/>
    </w:pPr>
  </w:style>
  <w:style w:type="paragraph" w:styleId="182">
    <w:name w:val="toc 3"/>
    <w:basedOn w:val="832"/>
    <w:next w:val="832"/>
    <w:uiPriority w:val="39"/>
    <w:unhideWhenUsed/>
    <w:pPr>
      <w:ind w:left="567" w:right="0" w:firstLine="0"/>
      <w:spacing w:after="57"/>
    </w:pPr>
  </w:style>
  <w:style w:type="paragraph" w:styleId="183">
    <w:name w:val="toc 4"/>
    <w:basedOn w:val="832"/>
    <w:next w:val="832"/>
    <w:uiPriority w:val="39"/>
    <w:unhideWhenUsed/>
    <w:pPr>
      <w:ind w:left="850" w:right="0" w:firstLine="0"/>
      <w:spacing w:after="57"/>
    </w:pPr>
  </w:style>
  <w:style w:type="paragraph" w:styleId="184">
    <w:name w:val="toc 5"/>
    <w:basedOn w:val="832"/>
    <w:next w:val="832"/>
    <w:uiPriority w:val="39"/>
    <w:unhideWhenUsed/>
    <w:pPr>
      <w:ind w:left="1134" w:right="0" w:firstLine="0"/>
      <w:spacing w:after="57"/>
    </w:pPr>
  </w:style>
  <w:style w:type="paragraph" w:styleId="185">
    <w:name w:val="toc 6"/>
    <w:basedOn w:val="832"/>
    <w:next w:val="832"/>
    <w:uiPriority w:val="39"/>
    <w:unhideWhenUsed/>
    <w:pPr>
      <w:ind w:left="1417" w:right="0" w:firstLine="0"/>
      <w:spacing w:after="57"/>
    </w:pPr>
  </w:style>
  <w:style w:type="paragraph" w:styleId="186">
    <w:name w:val="toc 7"/>
    <w:basedOn w:val="832"/>
    <w:next w:val="832"/>
    <w:uiPriority w:val="39"/>
    <w:unhideWhenUsed/>
    <w:pPr>
      <w:ind w:left="1701" w:right="0" w:firstLine="0"/>
      <w:spacing w:after="57"/>
    </w:pPr>
  </w:style>
  <w:style w:type="paragraph" w:styleId="187">
    <w:name w:val="toc 8"/>
    <w:basedOn w:val="832"/>
    <w:next w:val="832"/>
    <w:uiPriority w:val="39"/>
    <w:unhideWhenUsed/>
    <w:pPr>
      <w:ind w:left="1984" w:right="0" w:firstLine="0"/>
      <w:spacing w:after="57"/>
    </w:pPr>
  </w:style>
  <w:style w:type="paragraph" w:styleId="188">
    <w:name w:val="toc 9"/>
    <w:basedOn w:val="832"/>
    <w:next w:val="832"/>
    <w:uiPriority w:val="39"/>
    <w:unhideWhenUsed/>
    <w:pPr>
      <w:ind w:left="2268" w:right="0" w:firstLine="0"/>
      <w:spacing w:after="57"/>
    </w:pPr>
  </w:style>
  <w:style w:type="paragraph" w:styleId="190">
    <w:name w:val="table of figures"/>
    <w:basedOn w:val="832"/>
    <w:next w:val="832"/>
    <w:uiPriority w:val="99"/>
    <w:unhideWhenUsed/>
    <w:pPr>
      <w:spacing w:after="0" w:afterAutospacing="0"/>
    </w:pPr>
  </w:style>
  <w:style w:type="paragraph" w:styleId="832" w:default="1">
    <w:name w:val="Normal"/>
    <w:next w:val="832"/>
    <w:link w:val="832"/>
    <w:qFormat/>
    <w:pPr>
      <w:jc w:val="both"/>
      <w:widowControl w:val="off"/>
    </w:pPr>
    <w:rPr>
      <w:sz w:val="21"/>
      <w:szCs w:val="24"/>
      <w:lang w:eastAsia="zh-CN"/>
    </w:rPr>
  </w:style>
  <w:style w:type="character" w:styleId="833">
    <w:name w:val="默认段落字体"/>
    <w:next w:val="833"/>
    <w:link w:val="832"/>
    <w:uiPriority w:val="1"/>
    <w:unhideWhenUsed/>
    <w:qFormat/>
  </w:style>
  <w:style w:type="table" w:styleId="834">
    <w:name w:val="普通表格"/>
    <w:next w:val="834"/>
    <w:link w:val="832"/>
    <w:uiPriority w:val="99"/>
    <w:unhideWhenUsed/>
    <w:qFormat/>
    <w:tblPr/>
  </w:style>
  <w:style w:type="paragraph" w:styleId="835">
    <w:name w:val="目录 7"/>
    <w:basedOn w:val="832"/>
    <w:next w:val="832"/>
    <w:link w:val="832"/>
    <w:uiPriority w:val="39"/>
    <w:unhideWhenUsed/>
    <w:qFormat/>
    <w:pPr>
      <w:ind w:left="1701"/>
      <w:spacing w:after="57"/>
    </w:pPr>
  </w:style>
  <w:style w:type="paragraph" w:styleId="836">
    <w:name w:val="正文缩进"/>
    <w:basedOn w:val="832"/>
    <w:next w:val="832"/>
    <w:link w:val="832"/>
    <w:uiPriority w:val="99"/>
    <w:qFormat/>
    <w:rPr>
      <w:szCs w:val="20"/>
      <w:lang w:val="zh-CN"/>
    </w:rPr>
  </w:style>
  <w:style w:type="paragraph" w:styleId="837">
    <w:name w:val="批注文字"/>
    <w:basedOn w:val="832"/>
    <w:next w:val="837"/>
    <w:link w:val="838"/>
    <w:unhideWhenUsed/>
    <w:qFormat/>
    <w:pPr>
      <w:jc w:val="left"/>
    </w:pPr>
  </w:style>
  <w:style w:type="character" w:styleId="838">
    <w:name w:val="批注文字 Char1"/>
    <w:next w:val="838"/>
    <w:link w:val="837"/>
    <w:semiHidden/>
    <w:qFormat/>
    <w:rPr>
      <w:sz w:val="21"/>
      <w:szCs w:val="24"/>
    </w:rPr>
  </w:style>
  <w:style w:type="paragraph" w:styleId="839">
    <w:name w:val="目录 5"/>
    <w:basedOn w:val="832"/>
    <w:next w:val="832"/>
    <w:link w:val="832"/>
    <w:uiPriority w:val="39"/>
    <w:unhideWhenUsed/>
    <w:qFormat/>
    <w:pPr>
      <w:ind w:left="1134"/>
      <w:spacing w:after="57"/>
    </w:pPr>
  </w:style>
  <w:style w:type="paragraph" w:styleId="840">
    <w:name w:val="目录 3"/>
    <w:basedOn w:val="832"/>
    <w:next w:val="832"/>
    <w:link w:val="832"/>
    <w:uiPriority w:val="39"/>
    <w:unhideWhenUsed/>
    <w:qFormat/>
    <w:pPr>
      <w:ind w:left="567"/>
      <w:spacing w:after="57"/>
    </w:pPr>
  </w:style>
  <w:style w:type="paragraph" w:styleId="841">
    <w:name w:val="目录 8"/>
    <w:basedOn w:val="832"/>
    <w:next w:val="832"/>
    <w:link w:val="832"/>
    <w:uiPriority w:val="39"/>
    <w:unhideWhenUsed/>
    <w:qFormat/>
    <w:pPr>
      <w:ind w:left="1984"/>
      <w:spacing w:after="57"/>
    </w:pPr>
  </w:style>
  <w:style w:type="paragraph" w:styleId="842">
    <w:name w:val="尾注文本"/>
    <w:basedOn w:val="832"/>
    <w:next w:val="842"/>
    <w:link w:val="832"/>
    <w:uiPriority w:val="99"/>
    <w:unhideWhenUsed/>
    <w:qFormat/>
    <w:rPr>
      <w:sz w:val="20"/>
    </w:rPr>
  </w:style>
  <w:style w:type="paragraph" w:styleId="843">
    <w:name w:val="批注框文本"/>
    <w:basedOn w:val="832"/>
    <w:next w:val="843"/>
    <w:link w:val="844"/>
    <w:uiPriority w:val="99"/>
    <w:unhideWhenUsed/>
    <w:qFormat/>
    <w:rPr>
      <w:sz w:val="18"/>
      <w:szCs w:val="18"/>
    </w:rPr>
  </w:style>
  <w:style w:type="character" w:styleId="844">
    <w:name w:val="批注框文本 Char1"/>
    <w:next w:val="844"/>
    <w:link w:val="843"/>
    <w:uiPriority w:val="99"/>
    <w:semiHidden/>
    <w:qFormat/>
    <w:rPr>
      <w:sz w:val="18"/>
      <w:szCs w:val="18"/>
    </w:rPr>
  </w:style>
  <w:style w:type="paragraph" w:styleId="845">
    <w:name w:val="目录 1"/>
    <w:basedOn w:val="832"/>
    <w:next w:val="832"/>
    <w:link w:val="832"/>
    <w:uiPriority w:val="39"/>
    <w:unhideWhenUsed/>
    <w:qFormat/>
    <w:pPr>
      <w:spacing w:after="57"/>
    </w:pPr>
  </w:style>
  <w:style w:type="paragraph" w:styleId="846">
    <w:name w:val="目录 4"/>
    <w:basedOn w:val="832"/>
    <w:next w:val="832"/>
    <w:link w:val="832"/>
    <w:uiPriority w:val="39"/>
    <w:unhideWhenUsed/>
    <w:qFormat/>
    <w:pPr>
      <w:ind w:left="850"/>
      <w:spacing w:after="57"/>
    </w:pPr>
  </w:style>
  <w:style w:type="paragraph" w:styleId="847">
    <w:name w:val="副标题"/>
    <w:basedOn w:val="832"/>
    <w:next w:val="832"/>
    <w:link w:val="832"/>
    <w:uiPriority w:val="11"/>
    <w:qFormat/>
    <w:pPr>
      <w:spacing w:before="200" w:after="200"/>
    </w:pPr>
    <w:rPr>
      <w:sz w:val="24"/>
    </w:rPr>
  </w:style>
  <w:style w:type="paragraph" w:styleId="848">
    <w:name w:val="脚注文本"/>
    <w:basedOn w:val="832"/>
    <w:next w:val="848"/>
    <w:link w:val="832"/>
    <w:uiPriority w:val="99"/>
    <w:unhideWhenUsed/>
    <w:qFormat/>
    <w:pPr>
      <w:spacing w:after="40"/>
    </w:pPr>
    <w:rPr>
      <w:sz w:val="18"/>
    </w:rPr>
  </w:style>
  <w:style w:type="paragraph" w:styleId="849">
    <w:name w:val="目录 6"/>
    <w:basedOn w:val="832"/>
    <w:next w:val="832"/>
    <w:link w:val="832"/>
    <w:uiPriority w:val="39"/>
    <w:unhideWhenUsed/>
    <w:qFormat/>
    <w:pPr>
      <w:ind w:left="1417"/>
      <w:spacing w:after="57"/>
    </w:pPr>
  </w:style>
  <w:style w:type="paragraph" w:styleId="850">
    <w:name w:val="图表目录"/>
    <w:basedOn w:val="832"/>
    <w:next w:val="832"/>
    <w:link w:val="832"/>
    <w:uiPriority w:val="99"/>
    <w:unhideWhenUsed/>
    <w:qFormat/>
  </w:style>
  <w:style w:type="paragraph" w:styleId="851">
    <w:name w:val="目录 2"/>
    <w:basedOn w:val="832"/>
    <w:next w:val="832"/>
    <w:link w:val="832"/>
    <w:uiPriority w:val="39"/>
    <w:unhideWhenUsed/>
    <w:qFormat/>
    <w:pPr>
      <w:ind w:left="283"/>
      <w:spacing w:after="57"/>
    </w:pPr>
  </w:style>
  <w:style w:type="paragraph" w:styleId="852">
    <w:name w:val="目录 9"/>
    <w:basedOn w:val="832"/>
    <w:next w:val="832"/>
    <w:link w:val="832"/>
    <w:uiPriority w:val="39"/>
    <w:unhideWhenUsed/>
    <w:qFormat/>
    <w:pPr>
      <w:ind w:left="2268"/>
      <w:spacing w:after="57"/>
    </w:pPr>
  </w:style>
  <w:style w:type="paragraph" w:styleId="853">
    <w:name w:val="标题"/>
    <w:basedOn w:val="832"/>
    <w:next w:val="832"/>
    <w:link w:val="832"/>
    <w:uiPriority w:val="10"/>
    <w:qFormat/>
    <w:pPr>
      <w:contextualSpacing/>
      <w:spacing w:before="300" w:after="200"/>
    </w:pPr>
    <w:rPr>
      <w:sz w:val="48"/>
      <w:szCs w:val="48"/>
    </w:rPr>
  </w:style>
  <w:style w:type="paragraph" w:styleId="854">
    <w:name w:val="批注主题"/>
    <w:basedOn w:val="837"/>
    <w:next w:val="837"/>
    <w:link w:val="855"/>
    <w:uiPriority w:val="99"/>
    <w:unhideWhenUsed/>
    <w:qFormat/>
    <w:rPr>
      <w:b/>
      <w:bCs/>
    </w:rPr>
  </w:style>
  <w:style w:type="character" w:styleId="855">
    <w:name w:val="批注主题 Char1"/>
    <w:next w:val="855"/>
    <w:link w:val="854"/>
    <w:uiPriority w:val="99"/>
    <w:semiHidden/>
    <w:qFormat/>
    <w:rPr>
      <w:b/>
      <w:bCs/>
      <w:sz w:val="21"/>
      <w:szCs w:val="24"/>
    </w:rPr>
  </w:style>
  <w:style w:type="table" w:styleId="856">
    <w:name w:val="网格型"/>
    <w:next w:val="856"/>
    <w:link w:val="832"/>
    <w:uiPriority w:val="59"/>
    <w:qFormat/>
    <w:tblPr/>
  </w:style>
  <w:style w:type="character" w:styleId="857">
    <w:name w:val="要点"/>
    <w:basedOn w:val="833"/>
    <w:next w:val="857"/>
    <w:link w:val="832"/>
    <w:uiPriority w:val="22"/>
    <w:qFormat/>
    <w:rPr>
      <w:b/>
    </w:rPr>
  </w:style>
  <w:style w:type="character" w:styleId="858">
    <w:name w:val="尾注引用"/>
    <w:next w:val="858"/>
    <w:link w:val="832"/>
    <w:uiPriority w:val="99"/>
    <w:unhideWhenUsed/>
    <w:qFormat/>
    <w:rPr>
      <w:vertAlign w:val="superscript"/>
    </w:rPr>
  </w:style>
  <w:style w:type="character" w:styleId="859">
    <w:name w:val="超链接"/>
    <w:next w:val="859"/>
    <w:link w:val="832"/>
    <w:uiPriority w:val="99"/>
    <w:unhideWhenUsed/>
    <w:qFormat/>
    <w:rPr>
      <w:color w:val="0000ff"/>
      <w:u w:val="single"/>
    </w:rPr>
  </w:style>
  <w:style w:type="character" w:styleId="860">
    <w:name w:val="批注引用"/>
    <w:next w:val="860"/>
    <w:link w:val="832"/>
    <w:uiPriority w:val="99"/>
    <w:unhideWhenUsed/>
    <w:qFormat/>
    <w:rPr>
      <w:sz w:val="21"/>
      <w:szCs w:val="21"/>
    </w:rPr>
  </w:style>
  <w:style w:type="character" w:styleId="861">
    <w:name w:val="脚注引用"/>
    <w:next w:val="861"/>
    <w:link w:val="832"/>
    <w:uiPriority w:val="99"/>
    <w:unhideWhenUsed/>
    <w:qFormat/>
    <w:rPr>
      <w:vertAlign w:val="superscript"/>
    </w:rPr>
  </w:style>
  <w:style w:type="table" w:styleId="862">
    <w:name w:val="Plain Table 1"/>
    <w:basedOn w:val="834"/>
    <w:next w:val="862"/>
    <w:link w:val="832"/>
    <w:uiPriority w:val="59"/>
    <w:pPr>
      <w:spacing w:after="0" w:line="240" w:lineRule="auto"/>
    </w:pPr>
    <w:tblPr/>
  </w:style>
  <w:style w:type="table" w:styleId="863">
    <w:name w:val="Plain Table 2"/>
    <w:basedOn w:val="834"/>
    <w:next w:val="863"/>
    <w:link w:val="832"/>
    <w:uiPriority w:val="59"/>
    <w:pPr>
      <w:spacing w:after="0" w:line="240" w:lineRule="auto"/>
    </w:pPr>
    <w:tblPr/>
  </w:style>
  <w:style w:type="table" w:styleId="864">
    <w:name w:val="Plain Table 3"/>
    <w:basedOn w:val="834"/>
    <w:next w:val="864"/>
    <w:link w:val="832"/>
    <w:uiPriority w:val="99"/>
    <w:pPr>
      <w:spacing w:after="0" w:line="240" w:lineRule="auto"/>
    </w:pPr>
    <w:tblPr/>
  </w:style>
  <w:style w:type="table" w:styleId="865">
    <w:name w:val="Plain Table 4"/>
    <w:basedOn w:val="834"/>
    <w:next w:val="865"/>
    <w:link w:val="832"/>
    <w:uiPriority w:val="99"/>
    <w:pPr>
      <w:spacing w:after="0" w:line="240" w:lineRule="auto"/>
    </w:pPr>
    <w:tblPr/>
  </w:style>
  <w:style w:type="table" w:styleId="866">
    <w:name w:val="Plain Table 5"/>
    <w:basedOn w:val="834"/>
    <w:next w:val="866"/>
    <w:link w:val="832"/>
    <w:uiPriority w:val="99"/>
    <w:pPr>
      <w:spacing w:after="0" w:line="240" w:lineRule="auto"/>
    </w:pPr>
    <w:tblPr/>
  </w:style>
  <w:style w:type="table" w:styleId="867">
    <w:name w:val="Grid Table 1 Light"/>
    <w:basedOn w:val="834"/>
    <w:next w:val="867"/>
    <w:link w:val="832"/>
    <w:uiPriority w:val="99"/>
    <w:pPr>
      <w:spacing w:after="0" w:line="240" w:lineRule="auto"/>
    </w:pPr>
    <w:tblPr/>
  </w:style>
  <w:style w:type="table" w:styleId="868">
    <w:name w:val="Grid Table 2"/>
    <w:basedOn w:val="834"/>
    <w:next w:val="868"/>
    <w:link w:val="832"/>
    <w:uiPriority w:val="99"/>
    <w:pPr>
      <w:spacing w:after="0" w:line="240" w:lineRule="auto"/>
    </w:pPr>
    <w:tblPr/>
  </w:style>
  <w:style w:type="table" w:styleId="869">
    <w:name w:val="Grid Table 3"/>
    <w:basedOn w:val="834"/>
    <w:next w:val="869"/>
    <w:link w:val="832"/>
    <w:uiPriority w:val="99"/>
    <w:pPr>
      <w:spacing w:after="0" w:line="240" w:lineRule="auto"/>
    </w:pPr>
    <w:tblPr/>
  </w:style>
  <w:style w:type="table" w:styleId="870">
    <w:name w:val="Grid Table 4"/>
    <w:basedOn w:val="834"/>
    <w:next w:val="870"/>
    <w:link w:val="832"/>
    <w:uiPriority w:val="59"/>
    <w:pPr>
      <w:spacing w:after="0" w:line="240" w:lineRule="auto"/>
    </w:pPr>
    <w:tblPr/>
  </w:style>
  <w:style w:type="table" w:styleId="871">
    <w:name w:val="Grid Table 5 Dark"/>
    <w:basedOn w:val="834"/>
    <w:next w:val="871"/>
    <w:link w:val="832"/>
    <w:uiPriority w:val="99"/>
    <w:pPr>
      <w:spacing w:after="0" w:line="240" w:lineRule="auto"/>
    </w:pPr>
    <w:tblPr/>
  </w:style>
  <w:style w:type="table" w:styleId="872">
    <w:name w:val="Grid Table 6 Colorful"/>
    <w:basedOn w:val="834"/>
    <w:next w:val="872"/>
    <w:link w:val="832"/>
    <w:uiPriority w:val="99"/>
    <w:pPr>
      <w:spacing w:after="0" w:line="240" w:lineRule="auto"/>
    </w:pPr>
    <w:tblPr/>
  </w:style>
  <w:style w:type="table" w:styleId="873">
    <w:name w:val="Grid Table 7 Colorful"/>
    <w:basedOn w:val="834"/>
    <w:next w:val="873"/>
    <w:link w:val="832"/>
    <w:uiPriority w:val="99"/>
    <w:pPr>
      <w:spacing w:after="0" w:line="240" w:lineRule="auto"/>
    </w:pPr>
    <w:tblPr/>
  </w:style>
  <w:style w:type="table" w:styleId="874">
    <w:name w:val="List Table 1 Light"/>
    <w:basedOn w:val="834"/>
    <w:next w:val="874"/>
    <w:link w:val="832"/>
    <w:uiPriority w:val="99"/>
    <w:pPr>
      <w:spacing w:after="0" w:line="240" w:lineRule="auto"/>
    </w:pPr>
    <w:tblPr/>
  </w:style>
  <w:style w:type="table" w:styleId="875">
    <w:name w:val="List Table 2"/>
    <w:basedOn w:val="834"/>
    <w:next w:val="875"/>
    <w:link w:val="832"/>
    <w:uiPriority w:val="99"/>
    <w:pPr>
      <w:spacing w:after="0" w:line="240" w:lineRule="auto"/>
    </w:pPr>
    <w:tblPr/>
  </w:style>
  <w:style w:type="table" w:styleId="876">
    <w:name w:val="List Table 3"/>
    <w:basedOn w:val="834"/>
    <w:next w:val="876"/>
    <w:link w:val="832"/>
    <w:uiPriority w:val="99"/>
    <w:pPr>
      <w:spacing w:after="0" w:line="240" w:lineRule="auto"/>
    </w:pPr>
    <w:tblPr/>
  </w:style>
  <w:style w:type="table" w:styleId="877">
    <w:name w:val="List Table 4"/>
    <w:basedOn w:val="834"/>
    <w:next w:val="877"/>
    <w:link w:val="832"/>
    <w:uiPriority w:val="99"/>
    <w:pPr>
      <w:spacing w:after="0" w:line="240" w:lineRule="auto"/>
    </w:pPr>
    <w:tblPr/>
  </w:style>
  <w:style w:type="table" w:styleId="878">
    <w:name w:val="List Table 5 Dark"/>
    <w:basedOn w:val="834"/>
    <w:next w:val="878"/>
    <w:link w:val="832"/>
    <w:uiPriority w:val="99"/>
    <w:pPr>
      <w:spacing w:after="0" w:line="240" w:lineRule="auto"/>
    </w:pPr>
    <w:tblPr/>
  </w:style>
  <w:style w:type="table" w:styleId="879">
    <w:name w:val="List Table 6 Colorful"/>
    <w:basedOn w:val="834"/>
    <w:next w:val="879"/>
    <w:link w:val="832"/>
    <w:uiPriority w:val="99"/>
    <w:pPr>
      <w:spacing w:after="0" w:line="240" w:lineRule="auto"/>
    </w:pPr>
    <w:tblPr/>
  </w:style>
  <w:style w:type="table" w:styleId="880">
    <w:name w:val="List Table 7 Colorful"/>
    <w:basedOn w:val="834"/>
    <w:next w:val="880"/>
    <w:link w:val="832"/>
    <w:uiPriority w:val="99"/>
    <w:pPr>
      <w:spacing w:after="0" w:line="240" w:lineRule="auto"/>
    </w:pPr>
    <w:tblPr/>
  </w:style>
  <w:style w:type="paragraph" w:styleId="881">
    <w:name w:val="TOC Heading"/>
    <w:next w:val="881"/>
    <w:link w:val="832"/>
    <w:uiPriority w:val="39"/>
    <w:unhideWhenUsed/>
  </w:style>
  <w:style w:type="paragraph" w:styleId="882">
    <w:name w:val="Heading 1"/>
    <w:basedOn w:val="832"/>
    <w:next w:val="832"/>
    <w:link w:val="832"/>
    <w:uiPriority w:val="9"/>
    <w:qFormat/>
    <w:pPr>
      <w:keepLines/>
      <w:keepNext/>
      <w:spacing w:before="480" w:after="200"/>
      <w:outlineLvl w:val="0"/>
    </w:pPr>
    <w:rPr>
      <w:rFonts w:ascii="Arial" w:hAnsi="Arial" w:eastAsia="Arial" w:cs="Arial"/>
      <w:sz w:val="40"/>
      <w:szCs w:val="40"/>
    </w:rPr>
  </w:style>
  <w:style w:type="paragraph" w:styleId="883">
    <w:name w:val="Heading 2"/>
    <w:basedOn w:val="832"/>
    <w:next w:val="832"/>
    <w:link w:val="832"/>
    <w:uiPriority w:val="9"/>
    <w:unhideWhenUsed/>
    <w:qFormat/>
    <w:pPr>
      <w:keepLines/>
      <w:keepNext/>
      <w:spacing w:before="360" w:after="200"/>
      <w:outlineLvl w:val="1"/>
    </w:pPr>
    <w:rPr>
      <w:rFonts w:ascii="Arial" w:hAnsi="Arial" w:eastAsia="Arial" w:cs="Arial"/>
      <w:sz w:val="34"/>
    </w:rPr>
  </w:style>
  <w:style w:type="paragraph" w:styleId="884">
    <w:name w:val="Heading 3"/>
    <w:basedOn w:val="832"/>
    <w:next w:val="832"/>
    <w:link w:val="832"/>
    <w:uiPriority w:val="9"/>
    <w:unhideWhenUsed/>
    <w:qFormat/>
    <w:pPr>
      <w:keepLines/>
      <w:keepNext/>
      <w:spacing w:before="320" w:after="200"/>
      <w:outlineLvl w:val="2"/>
    </w:pPr>
    <w:rPr>
      <w:rFonts w:ascii="Arial" w:hAnsi="Arial" w:eastAsia="Arial" w:cs="Arial"/>
      <w:sz w:val="30"/>
      <w:szCs w:val="30"/>
    </w:rPr>
  </w:style>
  <w:style w:type="paragraph" w:styleId="885">
    <w:name w:val="Heading 4"/>
    <w:basedOn w:val="832"/>
    <w:next w:val="832"/>
    <w:link w:val="832"/>
    <w:uiPriority w:val="9"/>
    <w:unhideWhenUsed/>
    <w:qFormat/>
    <w:pPr>
      <w:keepLines/>
      <w:keepNext/>
      <w:spacing w:before="320" w:after="200"/>
      <w:outlineLvl w:val="3"/>
    </w:pPr>
    <w:rPr>
      <w:rFonts w:ascii="Arial" w:hAnsi="Arial" w:eastAsia="Arial" w:cs="Arial"/>
      <w:b/>
      <w:bCs/>
      <w:sz w:val="26"/>
      <w:szCs w:val="26"/>
    </w:rPr>
  </w:style>
  <w:style w:type="paragraph" w:styleId="886">
    <w:name w:val="Heading 5"/>
    <w:basedOn w:val="832"/>
    <w:next w:val="832"/>
    <w:link w:val="832"/>
    <w:uiPriority w:val="9"/>
    <w:unhideWhenUsed/>
    <w:qFormat/>
    <w:pPr>
      <w:keepLines/>
      <w:keepNext/>
      <w:spacing w:before="320" w:after="200"/>
      <w:outlineLvl w:val="4"/>
    </w:pPr>
    <w:rPr>
      <w:rFonts w:ascii="Arial" w:hAnsi="Arial" w:eastAsia="Arial" w:cs="Arial"/>
      <w:b/>
      <w:bCs/>
      <w:sz w:val="24"/>
    </w:rPr>
  </w:style>
  <w:style w:type="paragraph" w:styleId="887">
    <w:name w:val="Heading 6"/>
    <w:basedOn w:val="832"/>
    <w:next w:val="832"/>
    <w:link w:val="832"/>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32"/>
    <w:next w:val="832"/>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32"/>
    <w:next w:val="832"/>
    <w:link w:val="832"/>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32"/>
    <w:next w:val="832"/>
    <w:link w:val="832"/>
    <w:uiPriority w:val="9"/>
    <w:unhideWhenUsed/>
    <w:qFormat/>
    <w:pPr>
      <w:keepLines/>
      <w:keepNext/>
      <w:spacing w:before="320" w:after="200"/>
      <w:outlineLvl w:val="8"/>
    </w:pPr>
    <w:rPr>
      <w:rFonts w:ascii="Arial" w:hAnsi="Arial" w:eastAsia="Arial" w:cs="Arial"/>
      <w:i/>
      <w:iCs/>
      <w:szCs w:val="21"/>
    </w:rPr>
  </w:style>
  <w:style w:type="paragraph" w:styleId="891">
    <w:name w:val="Caption1"/>
    <w:basedOn w:val="832"/>
    <w:next w:val="832"/>
    <w:link w:val="832"/>
    <w:uiPriority w:val="35"/>
    <w:unhideWhenUsed/>
    <w:qFormat/>
    <w:pPr>
      <w:spacing w:line="276" w:lineRule="auto"/>
    </w:pPr>
    <w:rPr>
      <w:b/>
      <w:bCs/>
      <w:color w:val="4f81bd"/>
      <w:sz w:val="18"/>
      <w:szCs w:val="18"/>
    </w:rPr>
  </w:style>
  <w:style w:type="paragraph" w:styleId="892">
    <w:name w:val="Footer1"/>
    <w:basedOn w:val="832"/>
    <w:next w:val="892"/>
    <w:link w:val="832"/>
    <w:uiPriority w:val="99"/>
    <w:unhideWhenUsed/>
    <w:qFormat/>
    <w:pPr>
      <w:tabs>
        <w:tab w:val="center" w:pos="7143" w:leader="none"/>
        <w:tab w:val="right" w:pos="14287" w:leader="none"/>
      </w:tabs>
    </w:pPr>
  </w:style>
  <w:style w:type="paragraph" w:styleId="893">
    <w:name w:val="Header1"/>
    <w:basedOn w:val="832"/>
    <w:next w:val="893"/>
    <w:link w:val="832"/>
    <w:uiPriority w:val="99"/>
    <w:unhideWhenUsed/>
    <w:qFormat/>
    <w:pPr>
      <w:tabs>
        <w:tab w:val="center" w:pos="7143" w:leader="none"/>
        <w:tab w:val="right" w:pos="14287" w:leader="none"/>
      </w:tabs>
    </w:pPr>
  </w:style>
  <w:style w:type="paragraph" w:styleId="894">
    <w:name w:val="标题 11"/>
    <w:basedOn w:val="832"/>
    <w:next w:val="832"/>
    <w:link w:val="895"/>
    <w:qFormat/>
    <w:pPr>
      <w:jc w:val="center"/>
      <w:keepLines/>
      <w:keepNext/>
      <w:spacing w:line="578" w:lineRule="auto"/>
      <w:outlineLvl w:val="0"/>
    </w:pPr>
    <w:rPr>
      <w:rFonts w:eastAsia="新宋体"/>
      <w:b/>
      <w:bCs/>
      <w:sz w:val="30"/>
      <w:szCs w:val="44"/>
    </w:rPr>
  </w:style>
  <w:style w:type="character" w:styleId="895">
    <w:name w:val="标题 1 Char"/>
    <w:next w:val="895"/>
    <w:link w:val="894"/>
    <w:qFormat/>
    <w:rPr>
      <w:rFonts w:ascii="Times New Roman" w:hAnsi="Times New Roman" w:eastAsia="新宋体" w:cs="Times New Roman"/>
      <w:b/>
      <w:bCs/>
      <w:sz w:val="30"/>
      <w:szCs w:val="44"/>
    </w:rPr>
  </w:style>
  <w:style w:type="paragraph" w:styleId="896">
    <w:name w:val="标题 211"/>
    <w:basedOn w:val="832"/>
    <w:next w:val="832"/>
    <w:link w:val="897"/>
    <w:uiPriority w:val="9"/>
    <w:unhideWhenUsed/>
    <w:qFormat/>
    <w:pPr>
      <w:keepLines/>
      <w:keepNext/>
      <w:spacing w:before="260" w:after="260" w:line="416" w:lineRule="auto"/>
      <w:outlineLvl w:val="1"/>
    </w:pPr>
    <w:rPr>
      <w:rFonts w:ascii="Calibri Light" w:hAnsi="Calibri Light" w:eastAsia="黑体"/>
      <w:b/>
      <w:bCs/>
      <w:sz w:val="32"/>
      <w:szCs w:val="32"/>
    </w:rPr>
  </w:style>
  <w:style w:type="character" w:styleId="897">
    <w:name w:val="标题 2 Char"/>
    <w:next w:val="897"/>
    <w:link w:val="896"/>
    <w:uiPriority w:val="9"/>
    <w:qFormat/>
    <w:rPr>
      <w:rFonts w:ascii="Calibri Light" w:hAnsi="Calibri Light" w:eastAsia="黑体" w:cs="Times New Roman"/>
      <w:b/>
      <w:bCs/>
      <w:sz w:val="32"/>
      <w:szCs w:val="32"/>
    </w:rPr>
  </w:style>
  <w:style w:type="paragraph" w:styleId="898">
    <w:name w:val="标题 31"/>
    <w:basedOn w:val="832"/>
    <w:next w:val="832"/>
    <w:link w:val="899"/>
    <w:uiPriority w:val="9"/>
    <w:unhideWhenUsed/>
    <w:qFormat/>
    <w:pPr>
      <w:keepLines/>
      <w:keepNext/>
      <w:spacing w:before="260" w:after="260" w:line="416" w:lineRule="auto"/>
      <w:outlineLvl w:val="2"/>
    </w:pPr>
    <w:rPr>
      <w:b/>
      <w:bCs/>
      <w:sz w:val="32"/>
      <w:szCs w:val="32"/>
    </w:rPr>
  </w:style>
  <w:style w:type="character" w:styleId="899">
    <w:name w:val="标题 3 Char"/>
    <w:next w:val="899"/>
    <w:link w:val="898"/>
    <w:uiPriority w:val="9"/>
    <w:qFormat/>
    <w:rPr>
      <w:rFonts w:ascii="Times New Roman" w:hAnsi="Times New Roman" w:eastAsia="宋体" w:cs="Times New Roman"/>
      <w:b/>
      <w:bCs/>
      <w:sz w:val="32"/>
      <w:szCs w:val="32"/>
    </w:rPr>
  </w:style>
  <w:style w:type="paragraph" w:styleId="900">
    <w:name w:val="标题 41"/>
    <w:basedOn w:val="832"/>
    <w:next w:val="83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标题 4 Char"/>
    <w:next w:val="901"/>
    <w:link w:val="900"/>
    <w:uiPriority w:val="9"/>
    <w:qFormat/>
    <w:rPr>
      <w:rFonts w:ascii="Arial" w:hAnsi="Arial" w:eastAsia="Arial" w:cs="Arial"/>
      <w:b/>
      <w:bCs/>
      <w:sz w:val="26"/>
      <w:szCs w:val="26"/>
    </w:rPr>
  </w:style>
  <w:style w:type="paragraph" w:styleId="902">
    <w:name w:val="标题 51"/>
    <w:basedOn w:val="832"/>
    <w:next w:val="832"/>
    <w:link w:val="903"/>
    <w:uiPriority w:val="9"/>
    <w:unhideWhenUsed/>
    <w:qFormat/>
    <w:pPr>
      <w:keepLines/>
      <w:keepNext/>
      <w:spacing w:before="320" w:after="200"/>
      <w:outlineLvl w:val="4"/>
    </w:pPr>
    <w:rPr>
      <w:rFonts w:ascii="Arial" w:hAnsi="Arial" w:eastAsia="Arial" w:cs="Arial"/>
      <w:b/>
      <w:bCs/>
      <w:sz w:val="24"/>
    </w:rPr>
  </w:style>
  <w:style w:type="character" w:styleId="903">
    <w:name w:val="标题 5 Char"/>
    <w:next w:val="903"/>
    <w:link w:val="902"/>
    <w:uiPriority w:val="9"/>
    <w:qFormat/>
    <w:rPr>
      <w:rFonts w:ascii="Arial" w:hAnsi="Arial" w:eastAsia="Arial" w:cs="Arial"/>
      <w:b/>
      <w:bCs/>
      <w:sz w:val="24"/>
      <w:szCs w:val="24"/>
    </w:rPr>
  </w:style>
  <w:style w:type="paragraph" w:styleId="904">
    <w:name w:val="标题 61"/>
    <w:basedOn w:val="832"/>
    <w:next w:val="83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标题 6 Char"/>
    <w:next w:val="905"/>
    <w:link w:val="904"/>
    <w:uiPriority w:val="9"/>
    <w:qFormat/>
    <w:rPr>
      <w:rFonts w:ascii="Arial" w:hAnsi="Arial" w:eastAsia="Arial" w:cs="Arial"/>
      <w:b/>
      <w:bCs/>
      <w:sz w:val="22"/>
      <w:szCs w:val="22"/>
    </w:rPr>
  </w:style>
  <w:style w:type="paragraph" w:styleId="906">
    <w:name w:val="标题 71"/>
    <w:basedOn w:val="832"/>
    <w:next w:val="83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标题 7 Char"/>
    <w:next w:val="907"/>
    <w:link w:val="906"/>
    <w:uiPriority w:val="9"/>
    <w:qFormat/>
    <w:rPr>
      <w:rFonts w:ascii="Arial" w:hAnsi="Arial" w:eastAsia="Arial" w:cs="Arial"/>
      <w:b/>
      <w:bCs/>
      <w:i/>
      <w:iCs/>
      <w:sz w:val="22"/>
      <w:szCs w:val="22"/>
    </w:rPr>
  </w:style>
  <w:style w:type="paragraph" w:styleId="908">
    <w:name w:val="标题 81"/>
    <w:basedOn w:val="832"/>
    <w:next w:val="83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标题 8 Char"/>
    <w:next w:val="909"/>
    <w:link w:val="908"/>
    <w:uiPriority w:val="9"/>
    <w:qFormat/>
    <w:rPr>
      <w:rFonts w:ascii="Arial" w:hAnsi="Arial" w:eastAsia="Arial" w:cs="Arial"/>
      <w:i/>
      <w:iCs/>
      <w:sz w:val="22"/>
      <w:szCs w:val="22"/>
    </w:rPr>
  </w:style>
  <w:style w:type="paragraph" w:styleId="910">
    <w:name w:val="标题 91"/>
    <w:basedOn w:val="832"/>
    <w:next w:val="832"/>
    <w:link w:val="911"/>
    <w:uiPriority w:val="9"/>
    <w:unhideWhenUsed/>
    <w:qFormat/>
    <w:pPr>
      <w:keepLines/>
      <w:keepNext/>
      <w:spacing w:before="320" w:after="200"/>
      <w:outlineLvl w:val="8"/>
    </w:pPr>
    <w:rPr>
      <w:rFonts w:ascii="Arial" w:hAnsi="Arial" w:eastAsia="Arial" w:cs="Arial"/>
      <w:i/>
      <w:iCs/>
      <w:szCs w:val="21"/>
    </w:rPr>
  </w:style>
  <w:style w:type="character" w:styleId="911">
    <w:name w:val="标题 9 Char"/>
    <w:next w:val="911"/>
    <w:link w:val="910"/>
    <w:uiPriority w:val="9"/>
    <w:qFormat/>
    <w:rPr>
      <w:rFonts w:ascii="Arial" w:hAnsi="Arial" w:eastAsia="Arial" w:cs="Arial"/>
      <w:i/>
      <w:iCs/>
      <w:sz w:val="21"/>
      <w:szCs w:val="21"/>
    </w:rPr>
  </w:style>
  <w:style w:type="character" w:styleId="912">
    <w:name w:val="默认段落字体1"/>
    <w:next w:val="912"/>
    <w:link w:val="832"/>
    <w:uiPriority w:val="1"/>
    <w:unhideWhenUsed/>
    <w:qFormat/>
  </w:style>
  <w:style w:type="table" w:styleId="913">
    <w:name w:val="普通表格1"/>
    <w:next w:val="913"/>
    <w:link w:val="832"/>
    <w:uiPriority w:val="99"/>
    <w:unhideWhenUsed/>
    <w:qFormat/>
    <w:tblPr/>
  </w:style>
  <w:style w:type="paragraph" w:styleId="914">
    <w:name w:val="目录 71"/>
    <w:basedOn w:val="832"/>
    <w:next w:val="832"/>
    <w:link w:val="832"/>
    <w:uiPriority w:val="39"/>
    <w:unhideWhenUsed/>
    <w:qFormat/>
    <w:pPr>
      <w:ind w:left="1701"/>
      <w:spacing w:after="57"/>
    </w:pPr>
  </w:style>
  <w:style w:type="paragraph" w:styleId="915">
    <w:name w:val="正文缩进111"/>
    <w:basedOn w:val="832"/>
    <w:next w:val="915"/>
    <w:link w:val="832"/>
    <w:qFormat/>
    <w:pPr>
      <w:ind w:firstLine="420"/>
    </w:pPr>
  </w:style>
  <w:style w:type="paragraph" w:styleId="916">
    <w:name w:val="题注1"/>
    <w:basedOn w:val="832"/>
    <w:next w:val="832"/>
    <w:link w:val="832"/>
    <w:uiPriority w:val="35"/>
    <w:unhideWhenUsed/>
    <w:qFormat/>
    <w:pPr>
      <w:spacing w:line="276" w:lineRule="auto"/>
    </w:pPr>
    <w:rPr>
      <w:b/>
      <w:bCs/>
      <w:color w:val="5b9bd5"/>
      <w:sz w:val="18"/>
      <w:szCs w:val="18"/>
    </w:rPr>
  </w:style>
  <w:style w:type="paragraph" w:styleId="917">
    <w:name w:val="索引 511"/>
    <w:basedOn w:val="832"/>
    <w:next w:val="832"/>
    <w:link w:val="832"/>
    <w:qFormat/>
    <w:pPr>
      <w:ind w:left="798"/>
      <w:jc w:val="left"/>
    </w:pPr>
    <w:rPr>
      <w:rFonts w:ascii="Calibri" w:hAnsi="Calibri"/>
    </w:rPr>
  </w:style>
  <w:style w:type="paragraph" w:styleId="918">
    <w:name w:val="批注文字1"/>
    <w:basedOn w:val="832"/>
    <w:next w:val="918"/>
    <w:link w:val="919"/>
    <w:unhideWhenUsed/>
    <w:qFormat/>
    <w:pPr>
      <w:jc w:val="left"/>
    </w:pPr>
  </w:style>
  <w:style w:type="character" w:styleId="919">
    <w:name w:val="批注文字 Char"/>
    <w:next w:val="919"/>
    <w:link w:val="918"/>
    <w:semiHidden/>
    <w:qFormat/>
    <w:rPr>
      <w:rFonts w:ascii="Times New Roman" w:hAnsi="Times New Roman" w:eastAsia="宋体" w:cs="Times New Roman"/>
      <w:sz w:val="21"/>
      <w:szCs w:val="24"/>
    </w:rPr>
  </w:style>
  <w:style w:type="paragraph" w:styleId="920">
    <w:name w:val="正文文本12"/>
    <w:basedOn w:val="832"/>
    <w:next w:val="832"/>
    <w:link w:val="921"/>
    <w:uiPriority w:val="99"/>
    <w:qFormat/>
    <w:pPr>
      <w:spacing w:after="120"/>
    </w:pPr>
    <w:rPr>
      <w:rFonts w:ascii="Calibri" w:hAnsi="Calibri"/>
    </w:rPr>
  </w:style>
  <w:style w:type="character" w:styleId="921">
    <w:name w:val="正文文本 Char"/>
    <w:next w:val="921"/>
    <w:link w:val="920"/>
    <w:uiPriority w:val="99"/>
    <w:qFormat/>
    <w:rPr>
      <w:rFonts w:ascii="Calibri" w:hAnsi="Calibri" w:eastAsia="宋体" w:cs="Times New Roman"/>
      <w:sz w:val="21"/>
      <w:szCs w:val="24"/>
    </w:rPr>
  </w:style>
  <w:style w:type="paragraph" w:styleId="922">
    <w:name w:val="正文文本缩进11"/>
    <w:basedOn w:val="832"/>
    <w:next w:val="922"/>
    <w:link w:val="832"/>
    <w:qFormat/>
    <w:pPr>
      <w:ind w:left="420"/>
      <w:spacing w:after="120"/>
    </w:pPr>
    <w:rPr>
      <w:rFonts w:ascii="Calibri" w:hAnsi="Calibri"/>
    </w:rPr>
  </w:style>
  <w:style w:type="paragraph" w:styleId="923">
    <w:name w:val="文本块1"/>
    <w:basedOn w:val="832"/>
    <w:next w:val="923"/>
    <w:link w:val="832"/>
    <w:uiPriority w:val="99"/>
    <w:unhideWhenUsed/>
    <w:qFormat/>
    <w:pPr>
      <w:ind w:left="1440" w:right="1440"/>
      <w:spacing w:after="120"/>
    </w:pPr>
  </w:style>
  <w:style w:type="paragraph" w:styleId="924">
    <w:name w:val="索引 41"/>
    <w:basedOn w:val="832"/>
    <w:next w:val="832"/>
    <w:link w:val="832"/>
    <w:uiPriority w:val="99"/>
    <w:qFormat/>
    <w:pPr>
      <w:ind w:left="600"/>
    </w:pPr>
    <w:rPr>
      <w:rFonts w:ascii="Calibri" w:hAnsi="Calibri"/>
    </w:rPr>
  </w:style>
  <w:style w:type="paragraph" w:styleId="925">
    <w:name w:val="目录 51"/>
    <w:basedOn w:val="832"/>
    <w:next w:val="832"/>
    <w:link w:val="832"/>
    <w:uiPriority w:val="39"/>
    <w:unhideWhenUsed/>
    <w:qFormat/>
    <w:pPr>
      <w:ind w:left="1134"/>
      <w:spacing w:after="57"/>
    </w:pPr>
  </w:style>
  <w:style w:type="paragraph" w:styleId="926">
    <w:name w:val="目录 31"/>
    <w:basedOn w:val="832"/>
    <w:next w:val="832"/>
    <w:link w:val="832"/>
    <w:uiPriority w:val="39"/>
    <w:unhideWhenUsed/>
    <w:qFormat/>
    <w:pPr>
      <w:ind w:left="567"/>
      <w:spacing w:after="57"/>
    </w:pPr>
  </w:style>
  <w:style w:type="paragraph" w:styleId="927">
    <w:name w:val="纯文本12"/>
    <w:basedOn w:val="832"/>
    <w:next w:val="927"/>
    <w:link w:val="928"/>
    <w:qFormat/>
    <w:rPr>
      <w:rFonts w:ascii="宋体" w:hAnsi="Courier New"/>
      <w:sz w:val="20"/>
      <w:szCs w:val="20"/>
    </w:rPr>
  </w:style>
  <w:style w:type="character" w:styleId="928">
    <w:name w:val="纯文本 Char"/>
    <w:next w:val="928"/>
    <w:link w:val="927"/>
    <w:qFormat/>
    <w:rPr>
      <w:rFonts w:ascii="宋体" w:hAnsi="Courier New"/>
      <w:sz w:val="20"/>
      <w:szCs w:val="20"/>
    </w:rPr>
  </w:style>
  <w:style w:type="paragraph" w:styleId="929">
    <w:name w:val="目录 81"/>
    <w:basedOn w:val="832"/>
    <w:next w:val="832"/>
    <w:link w:val="832"/>
    <w:uiPriority w:val="39"/>
    <w:unhideWhenUsed/>
    <w:qFormat/>
    <w:pPr>
      <w:ind w:left="1984"/>
      <w:spacing w:after="57"/>
    </w:pPr>
  </w:style>
  <w:style w:type="paragraph" w:styleId="930">
    <w:name w:val="日期1"/>
    <w:basedOn w:val="832"/>
    <w:next w:val="832"/>
    <w:link w:val="832"/>
    <w:qFormat/>
    <w:rPr>
      <w:rFonts w:eastAsia="仿宋_GB2312"/>
      <w:sz w:val="28"/>
      <w:szCs w:val="20"/>
    </w:rPr>
  </w:style>
  <w:style w:type="paragraph" w:styleId="931">
    <w:name w:val="尾注文本1"/>
    <w:basedOn w:val="832"/>
    <w:next w:val="931"/>
    <w:link w:val="932"/>
    <w:uiPriority w:val="99"/>
    <w:unhideWhenUsed/>
    <w:qFormat/>
    <w:rPr>
      <w:sz w:val="20"/>
    </w:rPr>
  </w:style>
  <w:style w:type="character" w:styleId="932">
    <w:name w:val="尾注文本 Char"/>
    <w:next w:val="932"/>
    <w:link w:val="931"/>
    <w:uiPriority w:val="99"/>
    <w:qFormat/>
    <w:rPr>
      <w:sz w:val="20"/>
    </w:rPr>
  </w:style>
  <w:style w:type="paragraph" w:styleId="933">
    <w:name w:val="批注框文本1"/>
    <w:basedOn w:val="832"/>
    <w:next w:val="933"/>
    <w:link w:val="934"/>
    <w:qFormat/>
    <w:rPr>
      <w:sz w:val="18"/>
      <w:szCs w:val="18"/>
    </w:rPr>
  </w:style>
  <w:style w:type="character" w:styleId="934">
    <w:name w:val="批注框文本 Char"/>
    <w:next w:val="934"/>
    <w:link w:val="933"/>
    <w:qFormat/>
    <w:rPr>
      <w:rFonts w:ascii="Times New Roman" w:hAnsi="Times New Roman" w:eastAsia="宋体" w:cs="Times New Roman"/>
      <w:sz w:val="18"/>
      <w:szCs w:val="18"/>
    </w:rPr>
  </w:style>
  <w:style w:type="paragraph" w:styleId="935">
    <w:name w:val="页脚11"/>
    <w:basedOn w:val="832"/>
    <w:next w:val="935"/>
    <w:link w:val="936"/>
    <w:uiPriority w:val="99"/>
    <w:qFormat/>
    <w:pPr>
      <w:jc w:val="left"/>
      <w:tabs>
        <w:tab w:val="center" w:pos="4153" w:leader="none"/>
        <w:tab w:val="right" w:pos="8306" w:leader="none"/>
      </w:tabs>
    </w:pPr>
    <w:rPr>
      <w:sz w:val="18"/>
      <w:szCs w:val="18"/>
    </w:rPr>
  </w:style>
  <w:style w:type="character" w:styleId="936">
    <w:name w:val="页脚 Char"/>
    <w:next w:val="936"/>
    <w:link w:val="935"/>
    <w:uiPriority w:val="99"/>
    <w:qFormat/>
    <w:rPr>
      <w:rFonts w:ascii="Times New Roman" w:hAnsi="Times New Roman" w:eastAsia="宋体" w:cs="Times New Roman"/>
      <w:sz w:val="18"/>
      <w:szCs w:val="18"/>
    </w:rPr>
  </w:style>
  <w:style w:type="paragraph" w:styleId="937">
    <w:name w:val="页眉1"/>
    <w:basedOn w:val="832"/>
    <w:next w:val="937"/>
    <w:link w:val="938"/>
    <w:uiPriority w:val="99"/>
    <w:qFormat/>
    <w:pPr>
      <w:jc w:val="center"/>
      <w:tabs>
        <w:tab w:val="center" w:pos="4153" w:leader="none"/>
        <w:tab w:val="right" w:pos="8306" w:leader="none"/>
      </w:tabs>
      <w:pBdr>
        <w:bottom w:val="single" w:color="000000" w:sz="6" w:space="1"/>
      </w:pBdr>
    </w:pPr>
    <w:rPr>
      <w:sz w:val="18"/>
      <w:szCs w:val="18"/>
    </w:rPr>
  </w:style>
  <w:style w:type="character" w:styleId="938">
    <w:name w:val="页眉 Char"/>
    <w:next w:val="938"/>
    <w:link w:val="937"/>
    <w:uiPriority w:val="99"/>
    <w:qFormat/>
    <w:rPr>
      <w:rFonts w:ascii="Times New Roman" w:hAnsi="Times New Roman" w:eastAsia="宋体" w:cs="Times New Roman"/>
      <w:sz w:val="18"/>
      <w:szCs w:val="18"/>
    </w:rPr>
  </w:style>
  <w:style w:type="paragraph" w:styleId="939">
    <w:name w:val="目录 1111"/>
    <w:basedOn w:val="832"/>
    <w:next w:val="832"/>
    <w:link w:val="832"/>
    <w:uiPriority w:val="39"/>
    <w:qFormat/>
  </w:style>
  <w:style w:type="paragraph" w:styleId="940">
    <w:name w:val="目录 41"/>
    <w:basedOn w:val="832"/>
    <w:next w:val="832"/>
    <w:link w:val="832"/>
    <w:uiPriority w:val="39"/>
    <w:unhideWhenUsed/>
    <w:qFormat/>
    <w:pPr>
      <w:ind w:left="850"/>
      <w:spacing w:after="57"/>
    </w:pPr>
  </w:style>
  <w:style w:type="paragraph" w:styleId="941">
    <w:name w:val="副标题1"/>
    <w:basedOn w:val="832"/>
    <w:next w:val="832"/>
    <w:link w:val="942"/>
    <w:uiPriority w:val="11"/>
    <w:qFormat/>
    <w:pPr>
      <w:spacing w:before="200" w:after="200"/>
    </w:pPr>
    <w:rPr>
      <w:sz w:val="24"/>
    </w:rPr>
  </w:style>
  <w:style w:type="character" w:styleId="942">
    <w:name w:val="副标题 Char"/>
    <w:next w:val="942"/>
    <w:link w:val="941"/>
    <w:uiPriority w:val="11"/>
    <w:qFormat/>
    <w:rPr>
      <w:sz w:val="24"/>
      <w:szCs w:val="24"/>
    </w:rPr>
  </w:style>
  <w:style w:type="paragraph" w:styleId="943">
    <w:name w:val="脚注文本11"/>
    <w:basedOn w:val="832"/>
    <w:next w:val="917"/>
    <w:link w:val="832"/>
    <w:qFormat/>
    <w:pPr>
      <w:jc w:val="left"/>
    </w:pPr>
    <w:rPr>
      <w:rFonts w:ascii="宋体" w:eastAsia="Times New Roman"/>
      <w:sz w:val="18"/>
      <w:szCs w:val="18"/>
    </w:rPr>
  </w:style>
  <w:style w:type="paragraph" w:styleId="944">
    <w:name w:val="目录 61"/>
    <w:basedOn w:val="832"/>
    <w:next w:val="832"/>
    <w:link w:val="832"/>
    <w:uiPriority w:val="39"/>
    <w:unhideWhenUsed/>
    <w:qFormat/>
    <w:pPr>
      <w:ind w:left="1417"/>
      <w:spacing w:after="57"/>
    </w:pPr>
  </w:style>
  <w:style w:type="paragraph" w:styleId="945">
    <w:name w:val="图表目录1"/>
    <w:basedOn w:val="832"/>
    <w:next w:val="832"/>
    <w:link w:val="832"/>
    <w:uiPriority w:val="99"/>
    <w:unhideWhenUsed/>
    <w:qFormat/>
  </w:style>
  <w:style w:type="paragraph" w:styleId="946">
    <w:name w:val="目录 21"/>
    <w:basedOn w:val="832"/>
    <w:next w:val="832"/>
    <w:link w:val="832"/>
    <w:uiPriority w:val="39"/>
    <w:unhideWhenUsed/>
    <w:qFormat/>
    <w:pPr>
      <w:ind w:left="283"/>
      <w:spacing w:after="57"/>
    </w:pPr>
  </w:style>
  <w:style w:type="paragraph" w:styleId="947">
    <w:name w:val="目录 91"/>
    <w:basedOn w:val="832"/>
    <w:next w:val="832"/>
    <w:link w:val="832"/>
    <w:uiPriority w:val="39"/>
    <w:unhideWhenUsed/>
    <w:qFormat/>
    <w:pPr>
      <w:ind w:left="2268"/>
      <w:spacing w:after="57"/>
    </w:pPr>
  </w:style>
  <w:style w:type="paragraph" w:styleId="948">
    <w:name w:val="普通(网站)11"/>
    <w:basedOn w:val="832"/>
    <w:next w:val="948"/>
    <w:link w:val="832"/>
    <w:qFormat/>
    <w:pPr>
      <w:jc w:val="left"/>
      <w:spacing w:before="100" w:beforeAutospacing="1" w:after="100" w:afterAutospacing="1"/>
      <w:widowControl/>
    </w:pPr>
    <w:rPr>
      <w:rFonts w:ascii="宋体" w:hAnsi="宋体" w:cs="宋体"/>
      <w:sz w:val="24"/>
    </w:rPr>
  </w:style>
  <w:style w:type="paragraph" w:styleId="949">
    <w:name w:val="标题1"/>
    <w:basedOn w:val="832"/>
    <w:next w:val="832"/>
    <w:link w:val="950"/>
    <w:uiPriority w:val="10"/>
    <w:qFormat/>
    <w:pPr>
      <w:contextualSpacing/>
      <w:spacing w:before="300" w:after="200"/>
    </w:pPr>
    <w:rPr>
      <w:sz w:val="48"/>
      <w:szCs w:val="48"/>
    </w:rPr>
  </w:style>
  <w:style w:type="character" w:styleId="950">
    <w:name w:val="标题 Char"/>
    <w:next w:val="950"/>
    <w:link w:val="949"/>
    <w:uiPriority w:val="10"/>
    <w:qFormat/>
    <w:rPr>
      <w:sz w:val="48"/>
      <w:szCs w:val="48"/>
    </w:rPr>
  </w:style>
  <w:style w:type="paragraph" w:styleId="951">
    <w:name w:val="批注主题1"/>
    <w:basedOn w:val="918"/>
    <w:next w:val="918"/>
    <w:link w:val="952"/>
    <w:unhideWhenUsed/>
    <w:qFormat/>
    <w:rPr>
      <w:b/>
      <w:bCs/>
    </w:rPr>
  </w:style>
  <w:style w:type="character" w:styleId="952">
    <w:name w:val="批注主题 Char"/>
    <w:next w:val="952"/>
    <w:link w:val="951"/>
    <w:semiHidden/>
    <w:qFormat/>
    <w:rPr>
      <w:rFonts w:ascii="Times New Roman" w:hAnsi="Times New Roman" w:eastAsia="宋体" w:cs="Times New Roman"/>
      <w:b/>
      <w:bCs/>
      <w:sz w:val="21"/>
      <w:szCs w:val="24"/>
    </w:rPr>
  </w:style>
  <w:style w:type="paragraph" w:styleId="953">
    <w:name w:val="正文首行缩进1"/>
    <w:basedOn w:val="920"/>
    <w:next w:val="954"/>
    <w:link w:val="832"/>
    <w:qFormat/>
    <w:pPr>
      <w:ind w:firstLine="420"/>
    </w:pPr>
  </w:style>
  <w:style w:type="paragraph" w:styleId="954">
    <w:name w:val="正文首行缩进 21"/>
    <w:basedOn w:val="922"/>
    <w:next w:val="832"/>
    <w:link w:val="832"/>
    <w:qFormat/>
    <w:pPr>
      <w:ind w:firstLine="420"/>
      <w:spacing w:line="360" w:lineRule="auto"/>
    </w:pPr>
    <w:rPr>
      <w:color w:val="000000"/>
      <w:sz w:val="20"/>
    </w:rPr>
  </w:style>
  <w:style w:type="table" w:styleId="955">
    <w:name w:val="网格型1"/>
    <w:basedOn w:val="913"/>
    <w:next w:val="955"/>
    <w:link w:val="832"/>
    <w:uiPriority w:val="39"/>
    <w:qFormat/>
    <w:tblPr/>
  </w:style>
  <w:style w:type="character" w:styleId="956">
    <w:name w:val="要点1"/>
    <w:next w:val="956"/>
    <w:link w:val="832"/>
    <w:uiPriority w:val="22"/>
    <w:qFormat/>
    <w:rPr>
      <w:b/>
      <w:vanish/>
    </w:rPr>
  </w:style>
  <w:style w:type="character" w:styleId="957">
    <w:name w:val="尾注引用1"/>
    <w:next w:val="957"/>
    <w:link w:val="832"/>
    <w:uiPriority w:val="99"/>
    <w:unhideWhenUsed/>
    <w:qFormat/>
    <w:rPr>
      <w:vertAlign w:val="superscript"/>
    </w:rPr>
  </w:style>
  <w:style w:type="character" w:styleId="958">
    <w:name w:val="页码1"/>
    <w:basedOn w:val="912"/>
    <w:next w:val="958"/>
    <w:link w:val="832"/>
    <w:qFormat/>
  </w:style>
  <w:style w:type="character" w:styleId="959">
    <w:name w:val="已访问的超链接1"/>
    <w:next w:val="959"/>
    <w:link w:val="832"/>
    <w:uiPriority w:val="99"/>
    <w:unhideWhenUsed/>
    <w:qFormat/>
    <w:rPr>
      <w:color w:val="800080"/>
      <w:u w:val="none"/>
    </w:rPr>
  </w:style>
  <w:style w:type="character" w:styleId="960">
    <w:name w:val="强调1"/>
    <w:next w:val="960"/>
    <w:link w:val="832"/>
    <w:uiPriority w:val="20"/>
    <w:qFormat/>
    <w:rPr>
      <w:b/>
    </w:rPr>
  </w:style>
  <w:style w:type="character" w:styleId="961">
    <w:name w:val="HTML 定义1"/>
    <w:basedOn w:val="912"/>
    <w:next w:val="961"/>
    <w:link w:val="832"/>
    <w:uiPriority w:val="99"/>
    <w:unhideWhenUsed/>
    <w:qFormat/>
  </w:style>
  <w:style w:type="character" w:styleId="962">
    <w:name w:val="HTML 打字机1"/>
    <w:next w:val="962"/>
    <w:link w:val="832"/>
    <w:uiPriority w:val="99"/>
    <w:unhideWhenUsed/>
    <w:qFormat/>
    <w:rPr>
      <w:rFonts w:ascii="monospace" w:hAnsi="monospace" w:eastAsia="monospace" w:cs="monospace"/>
      <w:sz w:val="20"/>
    </w:rPr>
  </w:style>
  <w:style w:type="character" w:styleId="963">
    <w:name w:val="HTML 缩写1"/>
    <w:basedOn w:val="912"/>
    <w:next w:val="963"/>
    <w:link w:val="832"/>
    <w:uiPriority w:val="99"/>
    <w:unhideWhenUsed/>
    <w:qFormat/>
  </w:style>
  <w:style w:type="character" w:styleId="964">
    <w:name w:val="HTML 变量1"/>
    <w:basedOn w:val="912"/>
    <w:next w:val="964"/>
    <w:link w:val="832"/>
    <w:uiPriority w:val="99"/>
    <w:unhideWhenUsed/>
    <w:qFormat/>
  </w:style>
  <w:style w:type="character" w:styleId="965">
    <w:name w:val="超链接1"/>
    <w:next w:val="965"/>
    <w:link w:val="832"/>
    <w:uiPriority w:val="99"/>
    <w:unhideWhenUsed/>
    <w:qFormat/>
    <w:rPr>
      <w:color w:val="0000ff"/>
      <w:u w:val="none"/>
    </w:rPr>
  </w:style>
  <w:style w:type="character" w:styleId="966">
    <w:name w:val="HTML 代码1"/>
    <w:next w:val="966"/>
    <w:link w:val="832"/>
    <w:uiPriority w:val="99"/>
    <w:unhideWhenUsed/>
    <w:qFormat/>
    <w:rPr>
      <w:rFonts w:ascii="monospace" w:hAnsi="monospace" w:eastAsia="monospace" w:cs="monospace"/>
      <w:sz w:val="20"/>
    </w:rPr>
  </w:style>
  <w:style w:type="character" w:styleId="967">
    <w:name w:val="批注引用1"/>
    <w:next w:val="967"/>
    <w:link w:val="832"/>
    <w:unhideWhenUsed/>
    <w:qFormat/>
    <w:rPr>
      <w:sz w:val="21"/>
      <w:szCs w:val="21"/>
    </w:rPr>
  </w:style>
  <w:style w:type="character" w:styleId="968">
    <w:name w:val="HTML 引文1"/>
    <w:basedOn w:val="912"/>
    <w:next w:val="968"/>
    <w:link w:val="832"/>
    <w:uiPriority w:val="99"/>
    <w:unhideWhenUsed/>
    <w:qFormat/>
  </w:style>
  <w:style w:type="character" w:styleId="969">
    <w:name w:val="脚注引用1"/>
    <w:next w:val="969"/>
    <w:link w:val="832"/>
    <w:uiPriority w:val="99"/>
    <w:unhideWhenUsed/>
    <w:qFormat/>
    <w:rPr>
      <w:vertAlign w:val="superscript"/>
    </w:rPr>
  </w:style>
  <w:style w:type="character" w:styleId="970">
    <w:name w:val="HTML 键盘1"/>
    <w:next w:val="970"/>
    <w:link w:val="832"/>
    <w:uiPriority w:val="99"/>
    <w:unhideWhenUsed/>
    <w:qFormat/>
    <w:rPr>
      <w:rFonts w:ascii="monospace" w:hAnsi="monospace" w:eastAsia="monospace" w:cs="monospace"/>
      <w:sz w:val="20"/>
    </w:rPr>
  </w:style>
  <w:style w:type="character" w:styleId="971">
    <w:name w:val="HTML 样本1"/>
    <w:next w:val="971"/>
    <w:link w:val="832"/>
    <w:uiPriority w:val="99"/>
    <w:unhideWhenUsed/>
    <w:qFormat/>
    <w:rPr>
      <w:rFonts w:ascii="monospace" w:hAnsi="monospace" w:eastAsia="monospace" w:cs="monospace"/>
    </w:rPr>
  </w:style>
  <w:style w:type="character" w:styleId="972">
    <w:name w:val="wyg1"/>
    <w:next w:val="972"/>
    <w:link w:val="832"/>
    <w:uiPriority w:val="6"/>
    <w:qFormat/>
    <w:rPr>
      <w:rFonts w:ascii="Times New Roman" w:hAnsi="Times New Roman" w:eastAsia="宋体" w:cs="Times New Roman"/>
      <w:sz w:val="21"/>
      <w:szCs w:val="24"/>
      <w:lang w:val="en-US" w:eastAsia="zh-CN" w:bidi="ar-SA"/>
    </w:rPr>
  </w:style>
  <w:style w:type="paragraph" w:styleId="973">
    <w:name w:val="正文缩进1"/>
    <w:basedOn w:val="832"/>
    <w:next w:val="973"/>
    <w:link w:val="832"/>
    <w:qFormat/>
    <w:pPr>
      <w:ind w:firstLine="420"/>
    </w:pPr>
  </w:style>
  <w:style w:type="character" w:styleId="974">
    <w:name w:val="Heading 4 Char"/>
    <w:next w:val="974"/>
    <w:link w:val="832"/>
    <w:uiPriority w:val="9"/>
    <w:qFormat/>
    <w:rPr>
      <w:rFonts w:ascii="Arial" w:hAnsi="Arial" w:eastAsia="Arial" w:cs="Arial"/>
      <w:b/>
      <w:bCs/>
      <w:sz w:val="26"/>
      <w:szCs w:val="26"/>
    </w:rPr>
  </w:style>
  <w:style w:type="character" w:styleId="975">
    <w:name w:val="Heading 5 Char"/>
    <w:next w:val="975"/>
    <w:link w:val="832"/>
    <w:uiPriority w:val="9"/>
    <w:qFormat/>
    <w:rPr>
      <w:rFonts w:ascii="Arial" w:hAnsi="Arial" w:eastAsia="Arial" w:cs="Arial"/>
      <w:b/>
      <w:bCs/>
      <w:sz w:val="24"/>
      <w:szCs w:val="24"/>
    </w:rPr>
  </w:style>
  <w:style w:type="character" w:styleId="976">
    <w:name w:val="Heading 6 Char"/>
    <w:next w:val="976"/>
    <w:link w:val="832"/>
    <w:uiPriority w:val="9"/>
    <w:qFormat/>
    <w:rPr>
      <w:rFonts w:ascii="Arial" w:hAnsi="Arial" w:eastAsia="Arial" w:cs="Arial"/>
      <w:b/>
      <w:bCs/>
      <w:sz w:val="22"/>
      <w:szCs w:val="22"/>
    </w:rPr>
  </w:style>
  <w:style w:type="character" w:styleId="977">
    <w:name w:val="Heading 7 Char"/>
    <w:next w:val="977"/>
    <w:link w:val="832"/>
    <w:uiPriority w:val="9"/>
    <w:qFormat/>
    <w:rPr>
      <w:rFonts w:ascii="Arial" w:hAnsi="Arial" w:eastAsia="Arial" w:cs="Arial"/>
      <w:b/>
      <w:bCs/>
      <w:i/>
      <w:iCs/>
      <w:sz w:val="22"/>
      <w:szCs w:val="22"/>
    </w:rPr>
  </w:style>
  <w:style w:type="character" w:styleId="978">
    <w:name w:val="Heading 8 Char"/>
    <w:next w:val="978"/>
    <w:link w:val="832"/>
    <w:uiPriority w:val="9"/>
    <w:qFormat/>
    <w:rPr>
      <w:rFonts w:ascii="Arial" w:hAnsi="Arial" w:eastAsia="Arial" w:cs="Arial"/>
      <w:i/>
      <w:iCs/>
      <w:sz w:val="22"/>
      <w:szCs w:val="22"/>
    </w:rPr>
  </w:style>
  <w:style w:type="character" w:styleId="979">
    <w:name w:val="Heading 9 Char"/>
    <w:next w:val="979"/>
    <w:link w:val="832"/>
    <w:uiPriority w:val="9"/>
    <w:qFormat/>
    <w:rPr>
      <w:rFonts w:ascii="Arial" w:hAnsi="Arial" w:eastAsia="Arial" w:cs="Arial"/>
      <w:i/>
      <w:iCs/>
      <w:sz w:val="21"/>
      <w:szCs w:val="21"/>
    </w:rPr>
  </w:style>
  <w:style w:type="character" w:styleId="980">
    <w:name w:val="Title Char"/>
    <w:next w:val="980"/>
    <w:link w:val="832"/>
    <w:uiPriority w:val="10"/>
    <w:qFormat/>
    <w:rPr>
      <w:sz w:val="48"/>
      <w:szCs w:val="48"/>
    </w:rPr>
  </w:style>
  <w:style w:type="character" w:styleId="981">
    <w:name w:val="Subtitle Char"/>
    <w:next w:val="981"/>
    <w:link w:val="832"/>
    <w:uiPriority w:val="11"/>
    <w:qFormat/>
    <w:rPr>
      <w:sz w:val="24"/>
      <w:szCs w:val="24"/>
    </w:rPr>
  </w:style>
  <w:style w:type="character" w:styleId="982">
    <w:name w:val="Quote Char"/>
    <w:next w:val="982"/>
    <w:link w:val="832"/>
    <w:uiPriority w:val="29"/>
    <w:qFormat/>
    <w:rPr>
      <w:i/>
    </w:rPr>
  </w:style>
  <w:style w:type="character" w:styleId="983">
    <w:name w:val="Intense Quote Char"/>
    <w:next w:val="983"/>
    <w:link w:val="832"/>
    <w:uiPriority w:val="30"/>
    <w:qFormat/>
    <w:rPr>
      <w:i/>
    </w:rPr>
  </w:style>
  <w:style w:type="character" w:styleId="984">
    <w:name w:val="Endnote Text Char"/>
    <w:next w:val="984"/>
    <w:link w:val="832"/>
    <w:uiPriority w:val="99"/>
    <w:qFormat/>
    <w:rPr>
      <w:sz w:val="20"/>
    </w:rPr>
  </w:style>
  <w:style w:type="paragraph" w:styleId="985">
    <w:name w:val="TOC 标题1"/>
    <w:next w:val="985"/>
    <w:link w:val="832"/>
    <w:uiPriority w:val="39"/>
    <w:unhideWhenUsed/>
    <w:qFormat/>
    <w:rPr>
      <w:lang w:eastAsia="zh-CN"/>
    </w:rPr>
  </w:style>
  <w:style w:type="paragraph" w:styleId="986">
    <w:name w:val="一级条标题"/>
    <w:basedOn w:val="987"/>
    <w:next w:val="992"/>
    <w:link w:val="83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7">
    <w:name w:val="章标题"/>
    <w:next w:val="988"/>
    <w:link w:val="832"/>
    <w:qFormat/>
    <w:pPr>
      <w:ind w:left="810" w:hanging="810"/>
      <w:jc w:val="both"/>
      <w:spacing w:before="50" w:after="50"/>
      <w:tabs>
        <w:tab w:val="left" w:pos="810" w:leader="none"/>
        <w:tab w:val="left" w:pos="1265" w:leader="none"/>
      </w:tabs>
      <w:outlineLvl w:val="1"/>
    </w:pPr>
    <w:rPr>
      <w:rFonts w:ascii="黑体" w:hAnsi="Calibri" w:eastAsia="黑体"/>
      <w:sz w:val="21"/>
      <w:szCs w:val="22"/>
      <w:lang w:eastAsia="zh-CN"/>
    </w:rPr>
  </w:style>
  <w:style w:type="paragraph" w:styleId="988">
    <w:name w:val="正文1"/>
    <w:basedOn w:val="989"/>
    <w:next w:val="990"/>
    <w:link w:val="832"/>
    <w:qFormat/>
    <w:pPr>
      <w:jc w:val="left"/>
      <w:spacing w:line="360" w:lineRule="atLeast"/>
    </w:pPr>
    <w:rPr>
      <w:rFonts w:ascii="宋体" w:hAnsi="Calibri"/>
      <w:sz w:val="24"/>
      <w:szCs w:val="20"/>
    </w:rPr>
  </w:style>
  <w:style w:type="paragraph" w:styleId="989">
    <w:name w:val="正文11"/>
    <w:next w:val="832"/>
    <w:link w:val="832"/>
    <w:qFormat/>
    <w:pPr>
      <w:jc w:val="both"/>
      <w:widowControl w:val="off"/>
    </w:pPr>
    <w:rPr>
      <w:sz w:val="21"/>
      <w:szCs w:val="24"/>
      <w:lang w:eastAsia="zh-CN"/>
    </w:rPr>
  </w:style>
  <w:style w:type="paragraph" w:styleId="990">
    <w:name w:val="脚注文本1"/>
    <w:basedOn w:val="988"/>
    <w:next w:val="991"/>
    <w:link w:val="832"/>
    <w:qFormat/>
    <w:rPr>
      <w:rFonts w:eastAsia="Times New Roman"/>
      <w:sz w:val="18"/>
      <w:szCs w:val="18"/>
    </w:rPr>
  </w:style>
  <w:style w:type="paragraph" w:styleId="991">
    <w:name w:val="索引 51"/>
    <w:basedOn w:val="988"/>
    <w:next w:val="988"/>
    <w:link w:val="832"/>
    <w:qFormat/>
    <w:pPr>
      <w:ind w:left="798"/>
    </w:pPr>
    <w:rPr>
      <w:rFonts w:ascii="Calibri"/>
    </w:rPr>
  </w:style>
  <w:style w:type="paragraph" w:styleId="992">
    <w:name w:val="段"/>
    <w:basedOn w:val="988"/>
    <w:next w:val="832"/>
    <w:link w:val="832"/>
    <w:qFormat/>
    <w:pPr>
      <w:ind w:firstLine="200"/>
      <w:widowControl/>
    </w:pPr>
    <w:rPr>
      <w:sz w:val="20"/>
    </w:rPr>
  </w:style>
  <w:style w:type="paragraph" w:styleId="993">
    <w:name w:val="目录 11"/>
    <w:basedOn w:val="994"/>
    <w:next w:val="989"/>
    <w:link w:val="832"/>
    <w:qFormat/>
    <w:pPr>
      <w:jc w:val="left"/>
      <w:spacing w:before="120" w:after="120"/>
      <w:widowControl/>
    </w:pPr>
    <w:rPr>
      <w:rFonts w:ascii="Calibri" w:hAnsi="Calibri" w:cs="Calibri"/>
      <w:b/>
      <w:bCs/>
      <w:caps/>
      <w:sz w:val="20"/>
      <w:szCs w:val="20"/>
    </w:rPr>
  </w:style>
  <w:style w:type="paragraph" w:styleId="994">
    <w:name w:val="正文12"/>
    <w:next w:val="995"/>
    <w:link w:val="832"/>
    <w:qFormat/>
    <w:pPr>
      <w:jc w:val="both"/>
      <w:widowControl w:val="off"/>
    </w:pPr>
    <w:rPr>
      <w:sz w:val="21"/>
      <w:szCs w:val="24"/>
      <w:lang w:eastAsia="zh-CN"/>
    </w:rPr>
  </w:style>
  <w:style w:type="paragraph" w:styleId="995">
    <w:name w:val="正文文本11"/>
    <w:basedOn w:val="996"/>
    <w:next w:val="986"/>
    <w:link w:val="832"/>
    <w:qFormat/>
    <w:pPr>
      <w:spacing w:after="120"/>
    </w:pPr>
  </w:style>
  <w:style w:type="paragraph" w:styleId="996">
    <w:name w:val="正文112"/>
    <w:next w:val="995"/>
    <w:link w:val="832"/>
    <w:qFormat/>
    <w:pPr>
      <w:jc w:val="both"/>
      <w:widowControl w:val="off"/>
    </w:pPr>
    <w:rPr>
      <w:sz w:val="21"/>
      <w:szCs w:val="24"/>
      <w:lang w:eastAsia="zh-CN"/>
    </w:rPr>
  </w:style>
  <w:style w:type="paragraph" w:styleId="997">
    <w:name w:val="正文文本1"/>
    <w:basedOn w:val="988"/>
    <w:next w:val="988"/>
    <w:link w:val="832"/>
    <w:qFormat/>
    <w:pPr>
      <w:spacing w:after="120"/>
    </w:pPr>
    <w:rPr>
      <w:lang w:eastAsia="en-US"/>
    </w:rPr>
  </w:style>
  <w:style w:type="character" w:styleId="998">
    <w:name w:val="Heading 1 Char"/>
    <w:next w:val="998"/>
    <w:link w:val="832"/>
    <w:uiPriority w:val="9"/>
    <w:qFormat/>
    <w:rPr>
      <w:rFonts w:ascii="Arial" w:hAnsi="Arial" w:eastAsia="Arial" w:cs="Arial"/>
      <w:sz w:val="40"/>
      <w:szCs w:val="40"/>
    </w:rPr>
  </w:style>
  <w:style w:type="character" w:styleId="999">
    <w:name w:val="Heading 2 Char"/>
    <w:next w:val="999"/>
    <w:link w:val="832"/>
    <w:uiPriority w:val="9"/>
    <w:qFormat/>
    <w:rPr>
      <w:rFonts w:ascii="Arial" w:hAnsi="Arial" w:eastAsia="Arial" w:cs="Arial"/>
      <w:sz w:val="34"/>
    </w:rPr>
  </w:style>
  <w:style w:type="character" w:styleId="1000">
    <w:name w:val="Heading 3 Char"/>
    <w:next w:val="1000"/>
    <w:link w:val="832"/>
    <w:uiPriority w:val="9"/>
    <w:qFormat/>
    <w:rPr>
      <w:rFonts w:ascii="Arial" w:hAnsi="Arial" w:eastAsia="Arial" w:cs="Arial"/>
      <w:sz w:val="30"/>
      <w:szCs w:val="30"/>
    </w:rPr>
  </w:style>
  <w:style w:type="paragraph" w:styleId="1001">
    <w:name w:val="No Spacing"/>
    <w:next w:val="1001"/>
    <w:link w:val="832"/>
    <w:uiPriority w:val="1"/>
    <w:qFormat/>
    <w:rPr>
      <w:lang w:eastAsia="zh-CN"/>
    </w:rPr>
  </w:style>
  <w:style w:type="paragraph" w:styleId="1002">
    <w:name w:val="Quote"/>
    <w:basedOn w:val="832"/>
    <w:next w:val="832"/>
    <w:link w:val="1003"/>
    <w:uiPriority w:val="29"/>
    <w:qFormat/>
    <w:pPr>
      <w:ind w:left="720" w:right="720"/>
    </w:pPr>
    <w:rPr>
      <w:i/>
    </w:rPr>
  </w:style>
  <w:style w:type="character" w:styleId="1003">
    <w:name w:val="引用 Char"/>
    <w:next w:val="1003"/>
    <w:link w:val="1002"/>
    <w:uiPriority w:val="29"/>
    <w:qFormat/>
    <w:rPr>
      <w:i/>
    </w:rPr>
  </w:style>
  <w:style w:type="paragraph" w:styleId="1004">
    <w:name w:val="Intense Quote"/>
    <w:basedOn w:val="832"/>
    <w:next w:val="832"/>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name w:val="明显引用 Char"/>
    <w:next w:val="1005"/>
    <w:link w:val="1004"/>
    <w:uiPriority w:val="30"/>
    <w:qFormat/>
    <w:rPr>
      <w:i/>
    </w:rPr>
  </w:style>
  <w:style w:type="character" w:styleId="1006">
    <w:name w:val="Header Char"/>
    <w:basedOn w:val="912"/>
    <w:next w:val="1006"/>
    <w:link w:val="832"/>
    <w:uiPriority w:val="99"/>
    <w:qFormat/>
  </w:style>
  <w:style w:type="character" w:styleId="1007">
    <w:name w:val="Footer Char"/>
    <w:basedOn w:val="912"/>
    <w:next w:val="1007"/>
    <w:link w:val="832"/>
    <w:uiPriority w:val="99"/>
    <w:qFormat/>
  </w:style>
  <w:style w:type="character" w:styleId="1008">
    <w:name w:val="Caption Char"/>
    <w:next w:val="1008"/>
    <w:link w:val="832"/>
    <w:uiPriority w:val="99"/>
    <w:qFormat/>
  </w:style>
  <w:style w:type="table" w:styleId="1009">
    <w:name w:val="Table Grid Light"/>
    <w:basedOn w:val="913"/>
    <w:next w:val="1009"/>
    <w:link w:val="832"/>
    <w:uiPriority w:val="59"/>
    <w:qFormat/>
    <w:tblPr/>
  </w:style>
  <w:style w:type="table" w:styleId="1010">
    <w:name w:val="无格式表格 11"/>
    <w:basedOn w:val="913"/>
    <w:next w:val="1010"/>
    <w:link w:val="832"/>
    <w:uiPriority w:val="59"/>
    <w:qFormat/>
    <w:tblPr/>
  </w:style>
  <w:style w:type="table" w:styleId="1011">
    <w:name w:val="无格式表格 21"/>
    <w:basedOn w:val="913"/>
    <w:next w:val="1011"/>
    <w:link w:val="832"/>
    <w:uiPriority w:val="59"/>
    <w:qFormat/>
    <w:tblPr/>
  </w:style>
  <w:style w:type="table" w:styleId="1012">
    <w:name w:val="无格式表格 31"/>
    <w:basedOn w:val="913"/>
    <w:next w:val="1012"/>
    <w:link w:val="832"/>
    <w:uiPriority w:val="99"/>
    <w:qFormat/>
    <w:tblPr/>
  </w:style>
  <w:style w:type="table" w:styleId="1013">
    <w:name w:val="无格式表格 41"/>
    <w:basedOn w:val="913"/>
    <w:next w:val="1013"/>
    <w:link w:val="832"/>
    <w:uiPriority w:val="99"/>
    <w:qFormat/>
    <w:tblPr/>
  </w:style>
  <w:style w:type="table" w:styleId="1014">
    <w:name w:val="无格式表格 51"/>
    <w:basedOn w:val="913"/>
    <w:next w:val="1014"/>
    <w:link w:val="832"/>
    <w:uiPriority w:val="99"/>
    <w:qFormat/>
    <w:tblPr/>
  </w:style>
  <w:style w:type="table" w:styleId="1015">
    <w:name w:val="网格表 1 浅色1"/>
    <w:basedOn w:val="913"/>
    <w:next w:val="1015"/>
    <w:link w:val="832"/>
    <w:uiPriority w:val="99"/>
    <w:qFormat/>
    <w:tblPr/>
  </w:style>
  <w:style w:type="table" w:styleId="1016">
    <w:name w:val="Grid Table 1 Light - Accent 1"/>
    <w:basedOn w:val="913"/>
    <w:next w:val="1016"/>
    <w:link w:val="832"/>
    <w:uiPriority w:val="99"/>
    <w:qFormat/>
    <w:tblPr/>
  </w:style>
  <w:style w:type="table" w:styleId="1017">
    <w:name w:val="Grid Table 1 Light - Accent 2"/>
    <w:basedOn w:val="913"/>
    <w:next w:val="1017"/>
    <w:link w:val="832"/>
    <w:uiPriority w:val="99"/>
    <w:qFormat/>
    <w:tblPr/>
  </w:style>
  <w:style w:type="table" w:styleId="1018">
    <w:name w:val="Grid Table 1 Light - Accent 3"/>
    <w:basedOn w:val="913"/>
    <w:next w:val="1018"/>
    <w:link w:val="832"/>
    <w:uiPriority w:val="99"/>
    <w:qFormat/>
    <w:tblPr/>
  </w:style>
  <w:style w:type="table" w:styleId="1019">
    <w:name w:val="Grid Table 1 Light - Accent 4"/>
    <w:basedOn w:val="913"/>
    <w:next w:val="1019"/>
    <w:link w:val="832"/>
    <w:uiPriority w:val="99"/>
    <w:qFormat/>
    <w:tblPr/>
  </w:style>
  <w:style w:type="table" w:styleId="1020">
    <w:name w:val="Grid Table 1 Light - Accent 5"/>
    <w:basedOn w:val="913"/>
    <w:next w:val="1020"/>
    <w:link w:val="832"/>
    <w:uiPriority w:val="99"/>
    <w:qFormat/>
    <w:tblPr/>
  </w:style>
  <w:style w:type="table" w:styleId="1021">
    <w:name w:val="Grid Table 1 Light - Accent 6"/>
    <w:basedOn w:val="913"/>
    <w:next w:val="1021"/>
    <w:link w:val="832"/>
    <w:uiPriority w:val="99"/>
    <w:qFormat/>
    <w:tblPr/>
  </w:style>
  <w:style w:type="table" w:styleId="1022">
    <w:name w:val="网格表 21"/>
    <w:basedOn w:val="913"/>
    <w:next w:val="1022"/>
    <w:link w:val="832"/>
    <w:uiPriority w:val="99"/>
    <w:qFormat/>
    <w:tblPr/>
  </w:style>
  <w:style w:type="table" w:styleId="1023">
    <w:name w:val="Grid Table 2 - Accent 1"/>
    <w:basedOn w:val="913"/>
    <w:next w:val="1023"/>
    <w:link w:val="832"/>
    <w:uiPriority w:val="99"/>
    <w:qFormat/>
    <w:tblPr/>
  </w:style>
  <w:style w:type="table" w:styleId="1024">
    <w:name w:val="Grid Table 2 - Accent 2"/>
    <w:basedOn w:val="913"/>
    <w:next w:val="1024"/>
    <w:link w:val="832"/>
    <w:uiPriority w:val="99"/>
    <w:qFormat/>
    <w:tblPr/>
  </w:style>
  <w:style w:type="table" w:styleId="1025">
    <w:name w:val="Grid Table 2 - Accent 3"/>
    <w:basedOn w:val="913"/>
    <w:next w:val="1025"/>
    <w:link w:val="832"/>
    <w:uiPriority w:val="99"/>
    <w:qFormat/>
    <w:tblPr/>
  </w:style>
  <w:style w:type="table" w:styleId="1026">
    <w:name w:val="Grid Table 2 - Accent 4"/>
    <w:basedOn w:val="913"/>
    <w:next w:val="1026"/>
    <w:link w:val="832"/>
    <w:uiPriority w:val="99"/>
    <w:qFormat/>
    <w:tblPr/>
  </w:style>
  <w:style w:type="table" w:styleId="1027">
    <w:name w:val="Grid Table 2 - Accent 5"/>
    <w:basedOn w:val="913"/>
    <w:next w:val="1027"/>
    <w:link w:val="832"/>
    <w:uiPriority w:val="99"/>
    <w:qFormat/>
    <w:tblPr/>
  </w:style>
  <w:style w:type="table" w:styleId="1028">
    <w:name w:val="Grid Table 2 - Accent 6"/>
    <w:basedOn w:val="913"/>
    <w:next w:val="1028"/>
    <w:link w:val="832"/>
    <w:uiPriority w:val="99"/>
    <w:qFormat/>
    <w:tblPr/>
  </w:style>
  <w:style w:type="table" w:styleId="1029">
    <w:name w:val="网格表 31"/>
    <w:basedOn w:val="913"/>
    <w:next w:val="1029"/>
    <w:link w:val="832"/>
    <w:uiPriority w:val="99"/>
    <w:qFormat/>
    <w:tblPr/>
  </w:style>
  <w:style w:type="table" w:styleId="1030">
    <w:name w:val="Grid Table 3 - Accent 1"/>
    <w:basedOn w:val="913"/>
    <w:next w:val="1030"/>
    <w:link w:val="832"/>
    <w:uiPriority w:val="99"/>
    <w:qFormat/>
    <w:tblPr/>
  </w:style>
  <w:style w:type="table" w:styleId="1031">
    <w:name w:val="Grid Table 3 - Accent 2"/>
    <w:basedOn w:val="913"/>
    <w:next w:val="1031"/>
    <w:link w:val="832"/>
    <w:uiPriority w:val="99"/>
    <w:qFormat/>
    <w:tblPr/>
  </w:style>
  <w:style w:type="table" w:styleId="1032">
    <w:name w:val="Grid Table 3 - Accent 3"/>
    <w:basedOn w:val="913"/>
    <w:next w:val="1032"/>
    <w:link w:val="832"/>
    <w:uiPriority w:val="99"/>
    <w:qFormat/>
    <w:tblPr/>
  </w:style>
  <w:style w:type="table" w:styleId="1033">
    <w:name w:val="Grid Table 3 - Accent 4"/>
    <w:basedOn w:val="913"/>
    <w:next w:val="1033"/>
    <w:link w:val="832"/>
    <w:uiPriority w:val="99"/>
    <w:qFormat/>
    <w:tblPr/>
  </w:style>
  <w:style w:type="table" w:styleId="1034">
    <w:name w:val="Grid Table 3 - Accent 5"/>
    <w:basedOn w:val="913"/>
    <w:next w:val="1034"/>
    <w:link w:val="832"/>
    <w:uiPriority w:val="99"/>
    <w:qFormat/>
    <w:tblPr/>
  </w:style>
  <w:style w:type="table" w:styleId="1035">
    <w:name w:val="Grid Table 3 - Accent 6"/>
    <w:basedOn w:val="913"/>
    <w:next w:val="1035"/>
    <w:link w:val="832"/>
    <w:uiPriority w:val="99"/>
    <w:qFormat/>
    <w:tblPr/>
  </w:style>
  <w:style w:type="table" w:styleId="1036">
    <w:name w:val="网格表 41"/>
    <w:basedOn w:val="913"/>
    <w:next w:val="1036"/>
    <w:link w:val="832"/>
    <w:uiPriority w:val="59"/>
    <w:qFormat/>
    <w:tblPr/>
  </w:style>
  <w:style w:type="table" w:styleId="1037">
    <w:name w:val="Grid Table 4 - Accent 1"/>
    <w:basedOn w:val="913"/>
    <w:next w:val="1037"/>
    <w:link w:val="832"/>
    <w:uiPriority w:val="59"/>
    <w:qFormat/>
    <w:tblPr/>
  </w:style>
  <w:style w:type="table" w:styleId="1038">
    <w:name w:val="Grid Table 4 - Accent 2"/>
    <w:basedOn w:val="913"/>
    <w:next w:val="1038"/>
    <w:link w:val="832"/>
    <w:uiPriority w:val="59"/>
    <w:qFormat/>
    <w:tblPr/>
  </w:style>
  <w:style w:type="table" w:styleId="1039">
    <w:name w:val="Grid Table 4 - Accent 3"/>
    <w:basedOn w:val="913"/>
    <w:next w:val="1039"/>
    <w:link w:val="832"/>
    <w:uiPriority w:val="59"/>
    <w:qFormat/>
    <w:tblPr/>
  </w:style>
  <w:style w:type="table" w:styleId="1040">
    <w:name w:val="Grid Table 4 - Accent 4"/>
    <w:basedOn w:val="913"/>
    <w:next w:val="1040"/>
    <w:link w:val="832"/>
    <w:uiPriority w:val="59"/>
    <w:qFormat/>
    <w:tblPr/>
  </w:style>
  <w:style w:type="table" w:styleId="1041">
    <w:name w:val="Grid Table 4 - Accent 5"/>
    <w:basedOn w:val="913"/>
    <w:next w:val="1041"/>
    <w:link w:val="832"/>
    <w:uiPriority w:val="59"/>
    <w:qFormat/>
    <w:tblPr/>
  </w:style>
  <w:style w:type="table" w:styleId="1042">
    <w:name w:val="Grid Table 4 - Accent 6"/>
    <w:basedOn w:val="913"/>
    <w:next w:val="1042"/>
    <w:link w:val="832"/>
    <w:uiPriority w:val="59"/>
    <w:qFormat/>
    <w:tblPr/>
  </w:style>
  <w:style w:type="table" w:styleId="1043">
    <w:name w:val="网格表 5 深色1"/>
    <w:basedOn w:val="913"/>
    <w:next w:val="1043"/>
    <w:link w:val="832"/>
    <w:uiPriority w:val="99"/>
    <w:qFormat/>
    <w:tblPr/>
  </w:style>
  <w:style w:type="table" w:styleId="1044">
    <w:name w:val="Grid Table 5 Dark- Accent 1"/>
    <w:basedOn w:val="913"/>
    <w:next w:val="1044"/>
    <w:link w:val="832"/>
    <w:uiPriority w:val="99"/>
    <w:qFormat/>
    <w:tblPr/>
  </w:style>
  <w:style w:type="table" w:styleId="1045">
    <w:name w:val="Grid Table 5 Dark - Accent 2"/>
    <w:basedOn w:val="913"/>
    <w:next w:val="1045"/>
    <w:link w:val="832"/>
    <w:uiPriority w:val="99"/>
    <w:qFormat/>
    <w:tblPr/>
  </w:style>
  <w:style w:type="table" w:styleId="1046">
    <w:name w:val="Grid Table 5 Dark - Accent 3"/>
    <w:basedOn w:val="913"/>
    <w:next w:val="1046"/>
    <w:link w:val="832"/>
    <w:uiPriority w:val="99"/>
    <w:qFormat/>
    <w:tblPr/>
  </w:style>
  <w:style w:type="table" w:styleId="1047">
    <w:name w:val="Grid Table 5 Dark- Accent 4"/>
    <w:basedOn w:val="913"/>
    <w:next w:val="1047"/>
    <w:link w:val="832"/>
    <w:uiPriority w:val="99"/>
    <w:qFormat/>
    <w:tblPr/>
  </w:style>
  <w:style w:type="table" w:styleId="1048">
    <w:name w:val="Grid Table 5 Dark - Accent 5"/>
    <w:basedOn w:val="913"/>
    <w:next w:val="1048"/>
    <w:link w:val="832"/>
    <w:uiPriority w:val="99"/>
    <w:qFormat/>
    <w:tblPr/>
  </w:style>
  <w:style w:type="table" w:styleId="1049">
    <w:name w:val="Grid Table 5 Dark - Accent 6"/>
    <w:basedOn w:val="913"/>
    <w:next w:val="1049"/>
    <w:link w:val="832"/>
    <w:uiPriority w:val="99"/>
    <w:qFormat/>
    <w:tblPr/>
  </w:style>
  <w:style w:type="table" w:styleId="1050">
    <w:name w:val="网格表 6 彩色1"/>
    <w:basedOn w:val="913"/>
    <w:next w:val="1050"/>
    <w:link w:val="832"/>
    <w:uiPriority w:val="99"/>
    <w:qFormat/>
    <w:tblPr/>
  </w:style>
  <w:style w:type="table" w:styleId="1051">
    <w:name w:val="Grid Table 6 Colorful - Accent 1"/>
    <w:basedOn w:val="913"/>
    <w:next w:val="1051"/>
    <w:link w:val="832"/>
    <w:uiPriority w:val="99"/>
    <w:qFormat/>
    <w:tblPr/>
  </w:style>
  <w:style w:type="table" w:styleId="1052">
    <w:name w:val="Grid Table 6 Colorful - Accent 2"/>
    <w:basedOn w:val="913"/>
    <w:next w:val="1052"/>
    <w:link w:val="832"/>
    <w:uiPriority w:val="99"/>
    <w:qFormat/>
    <w:tblPr/>
  </w:style>
  <w:style w:type="table" w:styleId="1053">
    <w:name w:val="Grid Table 6 Colorful - Accent 3"/>
    <w:basedOn w:val="913"/>
    <w:next w:val="1053"/>
    <w:link w:val="832"/>
    <w:uiPriority w:val="99"/>
    <w:qFormat/>
    <w:tblPr/>
  </w:style>
  <w:style w:type="table" w:styleId="1054">
    <w:name w:val="Grid Table 6 Colorful - Accent 4"/>
    <w:basedOn w:val="913"/>
    <w:next w:val="1054"/>
    <w:link w:val="832"/>
    <w:uiPriority w:val="99"/>
    <w:qFormat/>
    <w:tblPr/>
  </w:style>
  <w:style w:type="table" w:styleId="1055">
    <w:name w:val="Grid Table 6 Colorful - Accent 5"/>
    <w:basedOn w:val="913"/>
    <w:next w:val="1055"/>
    <w:link w:val="832"/>
    <w:uiPriority w:val="99"/>
    <w:qFormat/>
    <w:tblPr/>
  </w:style>
  <w:style w:type="table" w:styleId="1056">
    <w:name w:val="Grid Table 6 Colorful - Accent 6"/>
    <w:basedOn w:val="913"/>
    <w:next w:val="1056"/>
    <w:link w:val="832"/>
    <w:uiPriority w:val="99"/>
    <w:qFormat/>
    <w:tblPr/>
  </w:style>
  <w:style w:type="table" w:styleId="1057">
    <w:name w:val="网格表 7 彩色1"/>
    <w:basedOn w:val="913"/>
    <w:next w:val="1057"/>
    <w:link w:val="832"/>
    <w:uiPriority w:val="99"/>
    <w:qFormat/>
    <w:tblPr/>
  </w:style>
  <w:style w:type="table" w:styleId="1058">
    <w:name w:val="Grid Table 7 Colorful - Accent 1"/>
    <w:basedOn w:val="913"/>
    <w:next w:val="1058"/>
    <w:link w:val="832"/>
    <w:uiPriority w:val="99"/>
    <w:qFormat/>
    <w:tblPr/>
  </w:style>
  <w:style w:type="table" w:styleId="1059">
    <w:name w:val="Grid Table 7 Colorful - Accent 2"/>
    <w:basedOn w:val="913"/>
    <w:next w:val="1059"/>
    <w:link w:val="832"/>
    <w:uiPriority w:val="99"/>
    <w:qFormat/>
    <w:tblPr/>
  </w:style>
  <w:style w:type="table" w:styleId="1060">
    <w:name w:val="Grid Table 7 Colorful - Accent 3"/>
    <w:basedOn w:val="913"/>
    <w:next w:val="1060"/>
    <w:link w:val="832"/>
    <w:uiPriority w:val="99"/>
    <w:qFormat/>
    <w:tblPr/>
  </w:style>
  <w:style w:type="table" w:styleId="1061">
    <w:name w:val="Grid Table 7 Colorful - Accent 4"/>
    <w:basedOn w:val="913"/>
    <w:next w:val="1061"/>
    <w:link w:val="832"/>
    <w:uiPriority w:val="99"/>
    <w:qFormat/>
    <w:tblPr/>
  </w:style>
  <w:style w:type="table" w:styleId="1062">
    <w:name w:val="Grid Table 7 Colorful - Accent 5"/>
    <w:basedOn w:val="913"/>
    <w:next w:val="1062"/>
    <w:link w:val="832"/>
    <w:uiPriority w:val="99"/>
    <w:qFormat/>
    <w:tblPr/>
  </w:style>
  <w:style w:type="table" w:styleId="1063">
    <w:name w:val="Grid Table 7 Colorful - Accent 6"/>
    <w:basedOn w:val="913"/>
    <w:next w:val="1063"/>
    <w:link w:val="832"/>
    <w:uiPriority w:val="99"/>
    <w:qFormat/>
    <w:tblPr/>
  </w:style>
  <w:style w:type="table" w:styleId="1064">
    <w:name w:val="清单表 1 浅色1"/>
    <w:basedOn w:val="913"/>
    <w:next w:val="1064"/>
    <w:link w:val="832"/>
    <w:uiPriority w:val="99"/>
    <w:qFormat/>
    <w:tblPr/>
  </w:style>
  <w:style w:type="table" w:styleId="1065">
    <w:name w:val="List Table 1 Light - Accent 1"/>
    <w:basedOn w:val="913"/>
    <w:next w:val="1065"/>
    <w:link w:val="832"/>
    <w:uiPriority w:val="99"/>
    <w:qFormat/>
    <w:tblPr/>
  </w:style>
  <w:style w:type="table" w:styleId="1066">
    <w:name w:val="List Table 1 Light - Accent 2"/>
    <w:basedOn w:val="913"/>
    <w:next w:val="1066"/>
    <w:link w:val="832"/>
    <w:uiPriority w:val="99"/>
    <w:qFormat/>
    <w:tblPr/>
  </w:style>
  <w:style w:type="table" w:styleId="1067">
    <w:name w:val="List Table 1 Light - Accent 3"/>
    <w:basedOn w:val="913"/>
    <w:next w:val="1067"/>
    <w:link w:val="832"/>
    <w:uiPriority w:val="99"/>
    <w:qFormat/>
    <w:tblPr/>
  </w:style>
  <w:style w:type="table" w:styleId="1068">
    <w:name w:val="List Table 1 Light - Accent 4"/>
    <w:basedOn w:val="913"/>
    <w:next w:val="1068"/>
    <w:link w:val="832"/>
    <w:uiPriority w:val="99"/>
    <w:qFormat/>
    <w:tblPr/>
  </w:style>
  <w:style w:type="table" w:styleId="1069">
    <w:name w:val="List Table 1 Light - Accent 5"/>
    <w:basedOn w:val="913"/>
    <w:next w:val="1069"/>
    <w:link w:val="832"/>
    <w:uiPriority w:val="99"/>
    <w:qFormat/>
    <w:tblPr/>
  </w:style>
  <w:style w:type="table" w:styleId="1070">
    <w:name w:val="List Table 1 Light - Accent 6"/>
    <w:basedOn w:val="913"/>
    <w:next w:val="1070"/>
    <w:link w:val="832"/>
    <w:uiPriority w:val="99"/>
    <w:qFormat/>
    <w:tblPr/>
  </w:style>
  <w:style w:type="table" w:styleId="1071">
    <w:name w:val="清单表 21"/>
    <w:basedOn w:val="913"/>
    <w:next w:val="1071"/>
    <w:link w:val="832"/>
    <w:uiPriority w:val="99"/>
    <w:qFormat/>
    <w:tblPr/>
  </w:style>
  <w:style w:type="table" w:styleId="1072">
    <w:name w:val="List Table 2 - Accent 1"/>
    <w:basedOn w:val="913"/>
    <w:next w:val="1072"/>
    <w:link w:val="832"/>
    <w:uiPriority w:val="99"/>
    <w:qFormat/>
    <w:tblPr/>
  </w:style>
  <w:style w:type="table" w:styleId="1073">
    <w:name w:val="List Table 2 - Accent 2"/>
    <w:basedOn w:val="913"/>
    <w:next w:val="1073"/>
    <w:link w:val="832"/>
    <w:uiPriority w:val="99"/>
    <w:qFormat/>
    <w:tblPr/>
  </w:style>
  <w:style w:type="table" w:styleId="1074">
    <w:name w:val="List Table 2 - Accent 3"/>
    <w:basedOn w:val="913"/>
    <w:next w:val="1074"/>
    <w:link w:val="832"/>
    <w:uiPriority w:val="99"/>
    <w:qFormat/>
    <w:tblPr/>
  </w:style>
  <w:style w:type="table" w:styleId="1075">
    <w:name w:val="List Table 2 - Accent 4"/>
    <w:basedOn w:val="913"/>
    <w:next w:val="1075"/>
    <w:link w:val="832"/>
    <w:uiPriority w:val="99"/>
    <w:qFormat/>
    <w:tblPr/>
  </w:style>
  <w:style w:type="table" w:styleId="1076">
    <w:name w:val="List Table 2 - Accent 5"/>
    <w:basedOn w:val="913"/>
    <w:next w:val="1076"/>
    <w:link w:val="832"/>
    <w:uiPriority w:val="99"/>
    <w:qFormat/>
    <w:tblPr/>
  </w:style>
  <w:style w:type="table" w:styleId="1077">
    <w:name w:val="List Table 2 - Accent 6"/>
    <w:basedOn w:val="913"/>
    <w:next w:val="1077"/>
    <w:link w:val="832"/>
    <w:uiPriority w:val="99"/>
    <w:qFormat/>
    <w:tblPr/>
  </w:style>
  <w:style w:type="table" w:styleId="1078">
    <w:name w:val="清单表 31"/>
    <w:basedOn w:val="913"/>
    <w:next w:val="1078"/>
    <w:link w:val="832"/>
    <w:uiPriority w:val="99"/>
    <w:qFormat/>
    <w:tblPr/>
  </w:style>
  <w:style w:type="table" w:styleId="1079">
    <w:name w:val="List Table 3 - Accent 1"/>
    <w:basedOn w:val="913"/>
    <w:next w:val="1079"/>
    <w:link w:val="832"/>
    <w:uiPriority w:val="99"/>
    <w:qFormat/>
    <w:tblPr/>
  </w:style>
  <w:style w:type="table" w:styleId="1080">
    <w:name w:val="List Table 3 - Accent 2"/>
    <w:basedOn w:val="913"/>
    <w:next w:val="1080"/>
    <w:link w:val="832"/>
    <w:uiPriority w:val="99"/>
    <w:qFormat/>
    <w:tblPr/>
  </w:style>
  <w:style w:type="table" w:styleId="1081">
    <w:name w:val="List Table 3 - Accent 3"/>
    <w:basedOn w:val="913"/>
    <w:next w:val="1081"/>
    <w:link w:val="832"/>
    <w:uiPriority w:val="99"/>
    <w:qFormat/>
    <w:tblPr/>
  </w:style>
  <w:style w:type="table" w:styleId="1082">
    <w:name w:val="List Table 3 - Accent 4"/>
    <w:basedOn w:val="913"/>
    <w:next w:val="1082"/>
    <w:link w:val="832"/>
    <w:uiPriority w:val="99"/>
    <w:qFormat/>
    <w:tblPr/>
  </w:style>
  <w:style w:type="table" w:styleId="1083">
    <w:name w:val="List Table 3 - Accent 5"/>
    <w:basedOn w:val="913"/>
    <w:next w:val="1083"/>
    <w:link w:val="832"/>
    <w:uiPriority w:val="99"/>
    <w:qFormat/>
    <w:tblPr/>
  </w:style>
  <w:style w:type="table" w:styleId="1084">
    <w:name w:val="List Table 3 - Accent 6"/>
    <w:basedOn w:val="913"/>
    <w:next w:val="1084"/>
    <w:link w:val="832"/>
    <w:uiPriority w:val="99"/>
    <w:qFormat/>
    <w:tblPr/>
  </w:style>
  <w:style w:type="table" w:styleId="1085">
    <w:name w:val="清单表 41"/>
    <w:basedOn w:val="913"/>
    <w:next w:val="1085"/>
    <w:link w:val="832"/>
    <w:uiPriority w:val="99"/>
    <w:qFormat/>
    <w:tblPr/>
  </w:style>
  <w:style w:type="table" w:styleId="1086">
    <w:name w:val="List Table 4 - Accent 1"/>
    <w:basedOn w:val="913"/>
    <w:next w:val="1086"/>
    <w:link w:val="832"/>
    <w:uiPriority w:val="99"/>
    <w:qFormat/>
    <w:tblPr/>
  </w:style>
  <w:style w:type="table" w:styleId="1087">
    <w:name w:val="List Table 4 - Accent 2"/>
    <w:basedOn w:val="913"/>
    <w:next w:val="1087"/>
    <w:link w:val="832"/>
    <w:uiPriority w:val="99"/>
    <w:qFormat/>
    <w:tblPr/>
  </w:style>
  <w:style w:type="table" w:styleId="1088">
    <w:name w:val="List Table 4 - Accent 3"/>
    <w:basedOn w:val="913"/>
    <w:next w:val="1088"/>
    <w:link w:val="832"/>
    <w:uiPriority w:val="99"/>
    <w:qFormat/>
    <w:tblPr/>
  </w:style>
  <w:style w:type="table" w:styleId="1089">
    <w:name w:val="List Table 4 - Accent 4"/>
    <w:basedOn w:val="913"/>
    <w:next w:val="1089"/>
    <w:link w:val="832"/>
    <w:uiPriority w:val="99"/>
    <w:qFormat/>
    <w:tblPr/>
  </w:style>
  <w:style w:type="table" w:styleId="1090">
    <w:name w:val="List Table 4 - Accent 5"/>
    <w:basedOn w:val="913"/>
    <w:next w:val="1090"/>
    <w:link w:val="832"/>
    <w:uiPriority w:val="99"/>
    <w:qFormat/>
    <w:tblPr/>
  </w:style>
  <w:style w:type="table" w:styleId="1091">
    <w:name w:val="List Table 4 - Accent 6"/>
    <w:basedOn w:val="913"/>
    <w:next w:val="1091"/>
    <w:link w:val="832"/>
    <w:uiPriority w:val="99"/>
    <w:qFormat/>
    <w:tblPr/>
  </w:style>
  <w:style w:type="table" w:styleId="1092">
    <w:name w:val="清单表 5 深色1"/>
    <w:basedOn w:val="913"/>
    <w:next w:val="1092"/>
    <w:link w:val="832"/>
    <w:uiPriority w:val="99"/>
    <w:qFormat/>
    <w:tblPr/>
  </w:style>
  <w:style w:type="table" w:styleId="1093">
    <w:name w:val="List Table 5 Dark - Accent 1"/>
    <w:basedOn w:val="913"/>
    <w:next w:val="1093"/>
    <w:link w:val="832"/>
    <w:uiPriority w:val="99"/>
    <w:qFormat/>
    <w:tblPr/>
  </w:style>
  <w:style w:type="table" w:styleId="1094">
    <w:name w:val="List Table 5 Dark - Accent 2"/>
    <w:basedOn w:val="913"/>
    <w:next w:val="1094"/>
    <w:link w:val="832"/>
    <w:uiPriority w:val="99"/>
    <w:qFormat/>
    <w:tblPr/>
  </w:style>
  <w:style w:type="table" w:styleId="1095">
    <w:name w:val="List Table 5 Dark - Accent 3"/>
    <w:basedOn w:val="913"/>
    <w:next w:val="1095"/>
    <w:link w:val="832"/>
    <w:uiPriority w:val="99"/>
    <w:qFormat/>
    <w:tblPr/>
  </w:style>
  <w:style w:type="table" w:styleId="1096">
    <w:name w:val="List Table 5 Dark - Accent 4"/>
    <w:basedOn w:val="913"/>
    <w:next w:val="1096"/>
    <w:link w:val="832"/>
    <w:uiPriority w:val="99"/>
    <w:qFormat/>
    <w:tblPr/>
  </w:style>
  <w:style w:type="table" w:styleId="1097">
    <w:name w:val="List Table 5 Dark - Accent 5"/>
    <w:basedOn w:val="913"/>
    <w:next w:val="1097"/>
    <w:link w:val="832"/>
    <w:uiPriority w:val="99"/>
    <w:qFormat/>
    <w:tblPr/>
  </w:style>
  <w:style w:type="table" w:styleId="1098">
    <w:name w:val="List Table 5 Dark - Accent 6"/>
    <w:basedOn w:val="913"/>
    <w:next w:val="1098"/>
    <w:link w:val="832"/>
    <w:uiPriority w:val="99"/>
    <w:qFormat/>
    <w:tblPr/>
  </w:style>
  <w:style w:type="table" w:styleId="1099">
    <w:name w:val="清单表 6 彩色1"/>
    <w:basedOn w:val="913"/>
    <w:next w:val="1099"/>
    <w:link w:val="832"/>
    <w:uiPriority w:val="99"/>
    <w:qFormat/>
    <w:tblPr/>
  </w:style>
  <w:style w:type="table" w:styleId="1100">
    <w:name w:val="List Table 6 Colorful - Accent 1"/>
    <w:basedOn w:val="913"/>
    <w:next w:val="1100"/>
    <w:link w:val="832"/>
    <w:uiPriority w:val="99"/>
    <w:qFormat/>
    <w:tblPr/>
  </w:style>
  <w:style w:type="table" w:styleId="1101">
    <w:name w:val="List Table 6 Colorful - Accent 2"/>
    <w:basedOn w:val="913"/>
    <w:next w:val="1101"/>
    <w:link w:val="832"/>
    <w:uiPriority w:val="99"/>
    <w:qFormat/>
    <w:tblPr/>
  </w:style>
  <w:style w:type="table" w:styleId="1102">
    <w:name w:val="List Table 6 Colorful - Accent 3"/>
    <w:basedOn w:val="913"/>
    <w:next w:val="1102"/>
    <w:link w:val="832"/>
    <w:uiPriority w:val="99"/>
    <w:qFormat/>
    <w:tblPr/>
  </w:style>
  <w:style w:type="table" w:styleId="1103">
    <w:name w:val="List Table 6 Colorful - Accent 4"/>
    <w:basedOn w:val="913"/>
    <w:next w:val="1103"/>
    <w:link w:val="832"/>
    <w:uiPriority w:val="99"/>
    <w:qFormat/>
    <w:tblPr/>
  </w:style>
  <w:style w:type="table" w:styleId="1104">
    <w:name w:val="List Table 6 Colorful - Accent 5"/>
    <w:basedOn w:val="913"/>
    <w:next w:val="1104"/>
    <w:link w:val="832"/>
    <w:uiPriority w:val="99"/>
    <w:qFormat/>
    <w:tblPr/>
  </w:style>
  <w:style w:type="table" w:styleId="1105">
    <w:name w:val="List Table 6 Colorful - Accent 6"/>
    <w:basedOn w:val="913"/>
    <w:next w:val="1105"/>
    <w:link w:val="832"/>
    <w:uiPriority w:val="99"/>
    <w:qFormat/>
    <w:tblPr/>
  </w:style>
  <w:style w:type="table" w:styleId="1106">
    <w:name w:val="清单表 7 彩色1"/>
    <w:basedOn w:val="913"/>
    <w:next w:val="1106"/>
    <w:link w:val="832"/>
    <w:uiPriority w:val="99"/>
    <w:qFormat/>
    <w:tblPr/>
  </w:style>
  <w:style w:type="table" w:styleId="1107">
    <w:name w:val="List Table 7 Colorful - Accent 1"/>
    <w:basedOn w:val="913"/>
    <w:next w:val="1107"/>
    <w:link w:val="832"/>
    <w:uiPriority w:val="99"/>
    <w:qFormat/>
    <w:tblPr/>
  </w:style>
  <w:style w:type="table" w:styleId="1108">
    <w:name w:val="List Table 7 Colorful - Accent 2"/>
    <w:basedOn w:val="913"/>
    <w:next w:val="1108"/>
    <w:link w:val="832"/>
    <w:uiPriority w:val="99"/>
    <w:qFormat/>
    <w:tblPr/>
  </w:style>
  <w:style w:type="table" w:styleId="1109">
    <w:name w:val="List Table 7 Colorful - Accent 3"/>
    <w:basedOn w:val="913"/>
    <w:next w:val="1109"/>
    <w:link w:val="832"/>
    <w:uiPriority w:val="99"/>
    <w:qFormat/>
    <w:tblPr/>
  </w:style>
  <w:style w:type="table" w:styleId="1110">
    <w:name w:val="List Table 7 Colorful - Accent 4"/>
    <w:basedOn w:val="913"/>
    <w:next w:val="1110"/>
    <w:link w:val="832"/>
    <w:uiPriority w:val="99"/>
    <w:qFormat/>
    <w:tblPr/>
  </w:style>
  <w:style w:type="table" w:styleId="1111">
    <w:name w:val="List Table 7 Colorful - Accent 5"/>
    <w:basedOn w:val="913"/>
    <w:next w:val="1111"/>
    <w:link w:val="832"/>
    <w:uiPriority w:val="99"/>
    <w:qFormat/>
    <w:tblPr/>
  </w:style>
  <w:style w:type="table" w:styleId="1112">
    <w:name w:val="List Table 7 Colorful - Accent 6"/>
    <w:basedOn w:val="913"/>
    <w:next w:val="1112"/>
    <w:link w:val="832"/>
    <w:uiPriority w:val="99"/>
    <w:qFormat/>
    <w:tblPr/>
  </w:style>
  <w:style w:type="table" w:styleId="1113">
    <w:name w:val="Lined - Accent"/>
    <w:basedOn w:val="913"/>
    <w:next w:val="1113"/>
    <w:link w:val="832"/>
    <w:uiPriority w:val="99"/>
    <w:qFormat/>
    <w:rPr>
      <w:color w:val="404040"/>
    </w:rPr>
    <w:tblPr/>
  </w:style>
  <w:style w:type="table" w:styleId="1114">
    <w:name w:val="Lined - Accent 1"/>
    <w:basedOn w:val="913"/>
    <w:next w:val="1114"/>
    <w:link w:val="832"/>
    <w:uiPriority w:val="99"/>
    <w:qFormat/>
    <w:rPr>
      <w:color w:val="404040"/>
    </w:rPr>
    <w:tblPr/>
  </w:style>
  <w:style w:type="table" w:styleId="1115">
    <w:name w:val="Lined - Accent 2"/>
    <w:basedOn w:val="913"/>
    <w:next w:val="1115"/>
    <w:link w:val="832"/>
    <w:uiPriority w:val="99"/>
    <w:qFormat/>
    <w:rPr>
      <w:color w:val="404040"/>
    </w:rPr>
    <w:tblPr/>
  </w:style>
  <w:style w:type="table" w:styleId="1116">
    <w:name w:val="Lined - Accent 3"/>
    <w:basedOn w:val="913"/>
    <w:next w:val="1116"/>
    <w:link w:val="832"/>
    <w:uiPriority w:val="99"/>
    <w:qFormat/>
    <w:rPr>
      <w:color w:val="404040"/>
    </w:rPr>
    <w:tblPr/>
  </w:style>
  <w:style w:type="table" w:styleId="1117">
    <w:name w:val="Lined - Accent 4"/>
    <w:basedOn w:val="913"/>
    <w:next w:val="1117"/>
    <w:link w:val="832"/>
    <w:uiPriority w:val="99"/>
    <w:qFormat/>
    <w:rPr>
      <w:color w:val="404040"/>
    </w:rPr>
    <w:tblPr/>
  </w:style>
  <w:style w:type="table" w:styleId="1118">
    <w:name w:val="Lined - Accent 5"/>
    <w:basedOn w:val="913"/>
    <w:next w:val="1118"/>
    <w:link w:val="832"/>
    <w:uiPriority w:val="99"/>
    <w:qFormat/>
    <w:rPr>
      <w:color w:val="404040"/>
    </w:rPr>
    <w:tblPr/>
  </w:style>
  <w:style w:type="table" w:styleId="1119">
    <w:name w:val="Lined - Accent 6"/>
    <w:basedOn w:val="913"/>
    <w:next w:val="1119"/>
    <w:link w:val="832"/>
    <w:uiPriority w:val="99"/>
    <w:qFormat/>
    <w:rPr>
      <w:color w:val="404040"/>
    </w:rPr>
    <w:tblPr/>
  </w:style>
  <w:style w:type="table" w:styleId="1120">
    <w:name w:val="Bordered &amp; Lined - Accent"/>
    <w:basedOn w:val="913"/>
    <w:next w:val="1120"/>
    <w:link w:val="832"/>
    <w:uiPriority w:val="99"/>
    <w:qFormat/>
    <w:rPr>
      <w:color w:val="404040"/>
    </w:rPr>
    <w:tblPr/>
  </w:style>
  <w:style w:type="table" w:styleId="1121">
    <w:name w:val="Bordered &amp; Lined - Accent 1"/>
    <w:basedOn w:val="913"/>
    <w:next w:val="1121"/>
    <w:link w:val="832"/>
    <w:uiPriority w:val="99"/>
    <w:qFormat/>
    <w:rPr>
      <w:color w:val="404040"/>
    </w:rPr>
    <w:tblPr/>
  </w:style>
  <w:style w:type="table" w:styleId="1122">
    <w:name w:val="Bordered &amp; Lined - Accent 2"/>
    <w:basedOn w:val="913"/>
    <w:next w:val="1122"/>
    <w:link w:val="832"/>
    <w:uiPriority w:val="99"/>
    <w:qFormat/>
    <w:rPr>
      <w:color w:val="404040"/>
    </w:rPr>
    <w:tblPr/>
  </w:style>
  <w:style w:type="table" w:styleId="1123">
    <w:name w:val="Bordered &amp; Lined - Accent 3"/>
    <w:basedOn w:val="913"/>
    <w:next w:val="1123"/>
    <w:link w:val="832"/>
    <w:uiPriority w:val="99"/>
    <w:qFormat/>
    <w:rPr>
      <w:color w:val="404040"/>
    </w:rPr>
    <w:tblPr/>
  </w:style>
  <w:style w:type="table" w:styleId="1124">
    <w:name w:val="Bordered &amp; Lined - Accent 4"/>
    <w:basedOn w:val="913"/>
    <w:next w:val="1124"/>
    <w:link w:val="832"/>
    <w:uiPriority w:val="99"/>
    <w:qFormat/>
    <w:rPr>
      <w:color w:val="404040"/>
    </w:rPr>
    <w:tblPr/>
  </w:style>
  <w:style w:type="table" w:styleId="1125">
    <w:name w:val="Bordered &amp; Lined - Accent 5"/>
    <w:basedOn w:val="913"/>
    <w:next w:val="1125"/>
    <w:link w:val="832"/>
    <w:uiPriority w:val="99"/>
    <w:qFormat/>
    <w:rPr>
      <w:color w:val="404040"/>
    </w:rPr>
    <w:tblPr/>
  </w:style>
  <w:style w:type="table" w:styleId="1126">
    <w:name w:val="Bordered &amp; Lined - Accent 6"/>
    <w:basedOn w:val="913"/>
    <w:next w:val="1126"/>
    <w:link w:val="832"/>
    <w:uiPriority w:val="99"/>
    <w:qFormat/>
    <w:rPr>
      <w:color w:val="404040"/>
    </w:rPr>
    <w:tblPr/>
  </w:style>
  <w:style w:type="table" w:styleId="1127">
    <w:name w:val="Bordered"/>
    <w:basedOn w:val="913"/>
    <w:next w:val="1127"/>
    <w:link w:val="832"/>
    <w:uiPriority w:val="99"/>
    <w:qFormat/>
    <w:tblPr/>
  </w:style>
  <w:style w:type="table" w:styleId="1128">
    <w:name w:val="Bordered - Accent 1"/>
    <w:basedOn w:val="913"/>
    <w:next w:val="1128"/>
    <w:link w:val="832"/>
    <w:uiPriority w:val="99"/>
    <w:qFormat/>
    <w:tblPr/>
  </w:style>
  <w:style w:type="table" w:styleId="1129">
    <w:name w:val="Bordered - Accent 2"/>
    <w:basedOn w:val="913"/>
    <w:next w:val="1129"/>
    <w:link w:val="832"/>
    <w:uiPriority w:val="99"/>
    <w:qFormat/>
    <w:tblPr/>
  </w:style>
  <w:style w:type="table" w:styleId="1130">
    <w:name w:val="Bordered - Accent 3"/>
    <w:basedOn w:val="913"/>
    <w:next w:val="1130"/>
    <w:link w:val="832"/>
    <w:uiPriority w:val="99"/>
    <w:qFormat/>
    <w:tblPr/>
  </w:style>
  <w:style w:type="table" w:styleId="1131">
    <w:name w:val="Bordered - Accent 4"/>
    <w:basedOn w:val="913"/>
    <w:next w:val="1131"/>
    <w:link w:val="832"/>
    <w:uiPriority w:val="99"/>
    <w:qFormat/>
    <w:tblPr/>
  </w:style>
  <w:style w:type="table" w:styleId="1132">
    <w:name w:val="Bordered - Accent 5"/>
    <w:basedOn w:val="913"/>
    <w:next w:val="1132"/>
    <w:link w:val="832"/>
    <w:uiPriority w:val="99"/>
    <w:qFormat/>
    <w:tblPr/>
  </w:style>
  <w:style w:type="table" w:styleId="1133">
    <w:name w:val="Bordered - Accent 6"/>
    <w:basedOn w:val="913"/>
    <w:next w:val="1133"/>
    <w:link w:val="832"/>
    <w:uiPriority w:val="99"/>
    <w:qFormat/>
    <w:tblPr/>
  </w:style>
  <w:style w:type="character" w:styleId="1134">
    <w:name w:val="Footnote Text Char"/>
    <w:next w:val="1134"/>
    <w:link w:val="832"/>
    <w:uiPriority w:val="99"/>
    <w:qFormat/>
    <w:rPr>
      <w:sz w:val="18"/>
    </w:rPr>
  </w:style>
  <w:style w:type="paragraph" w:styleId="1135">
    <w:name w:val="TOC 标题11"/>
    <w:next w:val="1135"/>
    <w:link w:val="832"/>
    <w:uiPriority w:val="39"/>
    <w:unhideWhenUsed/>
    <w:qFormat/>
    <w:rPr>
      <w:lang w:eastAsia="zh-CN"/>
    </w:rPr>
  </w:style>
  <w:style w:type="paragraph" w:styleId="1136">
    <w:name w:val="p0"/>
    <w:basedOn w:val="832"/>
    <w:next w:val="1136"/>
    <w:link w:val="832"/>
    <w:qFormat/>
    <w:pPr>
      <w:widowControl/>
    </w:pPr>
    <w:rPr>
      <w:szCs w:val="21"/>
    </w:rPr>
  </w:style>
  <w:style w:type="paragraph" w:styleId="1137">
    <w:name w:val="List Paragraph"/>
    <w:basedOn w:val="832"/>
    <w:next w:val="832"/>
    <w:link w:val="832"/>
    <w:uiPriority w:val="1"/>
    <w:qFormat/>
    <w:pPr>
      <w:ind w:firstLine="420"/>
    </w:pPr>
  </w:style>
  <w:style w:type="paragraph" w:styleId="1138">
    <w:name w:val="Default"/>
    <w:next w:val="1138"/>
    <w:link w:val="832"/>
    <w:qFormat/>
    <w:pPr>
      <w:widowControl w:val="off"/>
    </w:pPr>
    <w:rPr>
      <w:rFonts w:ascii="宋体" w:cs="宋体"/>
      <w:color w:val="000000"/>
      <w:sz w:val="24"/>
      <w:szCs w:val="24"/>
      <w:lang w:eastAsia="zh-CN"/>
    </w:rPr>
  </w:style>
  <w:style w:type="character" w:styleId="1139">
    <w:name w:val="NormalCharacter1"/>
    <w:next w:val="1139"/>
    <w:link w:val="832"/>
    <w:semiHidden/>
    <w:qFormat/>
    <w:rPr>
      <w:sz w:val="28"/>
      <w:lang w:val="en-US" w:eastAsia="zh-CN" w:bidi="ar-SA"/>
    </w:rPr>
  </w:style>
  <w:style w:type="paragraph" w:styleId="1140">
    <w:name w:val="179"/>
    <w:basedOn w:val="832"/>
    <w:next w:val="1140"/>
    <w:link w:val="832"/>
    <w:qFormat/>
    <w:pPr>
      <w:ind w:firstLine="420"/>
      <w:jc w:val="left"/>
      <w:widowControl/>
    </w:pPr>
    <w:rPr>
      <w:rFonts w:ascii="宋体" w:hAnsi="宋体"/>
      <w:sz w:val="24"/>
    </w:rPr>
  </w:style>
  <w:style w:type="paragraph" w:styleId="1141">
    <w:name w:val="UserStyle_0"/>
    <w:next w:val="1141"/>
    <w:link w:val="832"/>
    <w:qFormat/>
    <w:rPr>
      <w:color w:val="000000"/>
      <w:sz w:val="24"/>
      <w:szCs w:val="24"/>
      <w:lang w:eastAsia="zh-CN"/>
    </w:rPr>
  </w:style>
  <w:style w:type="paragraph" w:styleId="1142">
    <w:name w:val="标准"/>
    <w:basedOn w:val="832"/>
    <w:next w:val="1142"/>
    <w:link w:val="832"/>
    <w:qFormat/>
    <w:pPr>
      <w:ind w:firstLine="200"/>
      <w:spacing w:line="360" w:lineRule="auto"/>
    </w:pPr>
    <w:rPr>
      <w:rFonts w:cs="宋体"/>
      <w:sz w:val="20"/>
      <w:szCs w:val="20"/>
    </w:rPr>
  </w:style>
  <w:style w:type="paragraph" w:styleId="1143">
    <w:name w:val="_Style 11"/>
    <w:basedOn w:val="832"/>
    <w:next w:val="1137"/>
    <w:link w:val="832"/>
    <w:uiPriority w:val="34"/>
    <w:qFormat/>
    <w:pPr>
      <w:ind w:firstLine="420"/>
    </w:pPr>
    <w:rPr>
      <w:color w:val="000000"/>
      <w:szCs w:val="21"/>
    </w:rPr>
  </w:style>
  <w:style w:type="paragraph" w:styleId="1144">
    <w:name w:val="BodyText1I21"/>
    <w:basedOn w:val="832"/>
    <w:next w:val="1144"/>
    <w:link w:val="832"/>
    <w:qFormat/>
    <w:pPr>
      <w:ind w:firstLine="420"/>
      <w:spacing w:line="360" w:lineRule="auto"/>
      <w:widowControl/>
    </w:pPr>
    <w:rPr>
      <w:rFonts w:ascii="宋体" w:hAnsi="宋体"/>
      <w:sz w:val="20"/>
      <w:szCs w:val="20"/>
    </w:rPr>
  </w:style>
  <w:style w:type="paragraph" w:styleId="1145">
    <w:name w:val="UserStyle_133"/>
    <w:basedOn w:val="832"/>
    <w:next w:val="1145"/>
    <w:link w:val="832"/>
    <w:qFormat/>
    <w:pPr>
      <w:widowControl/>
    </w:pPr>
    <w:rPr>
      <w:rFonts w:ascii="Tahoma" w:hAnsi="Tahoma"/>
      <w:sz w:val="24"/>
    </w:rPr>
  </w:style>
  <w:style w:type="paragraph" w:styleId="1146">
    <w:name w:val="AnnotationText1"/>
    <w:basedOn w:val="832"/>
    <w:next w:val="1146"/>
    <w:link w:val="1147"/>
    <w:qFormat/>
    <w:pPr>
      <w:jc w:val="left"/>
      <w:widowControl/>
    </w:pPr>
  </w:style>
  <w:style w:type="character" w:styleId="1147">
    <w:name w:val="UserStyle_12"/>
    <w:next w:val="1147"/>
    <w:link w:val="1146"/>
    <w:qFormat/>
    <w:rPr>
      <w:rFonts w:ascii="Times New Roman" w:hAnsi="Times New Roman" w:eastAsia="宋体"/>
      <w:sz w:val="21"/>
      <w:szCs w:val="24"/>
    </w:rPr>
  </w:style>
  <w:style w:type="paragraph" w:styleId="1148">
    <w:name w:val="UserStyle_115"/>
    <w:next w:val="1148"/>
    <w:link w:val="832"/>
    <w:qFormat/>
    <w:rPr>
      <w:color w:val="000000"/>
      <w:sz w:val="24"/>
      <w:szCs w:val="24"/>
      <w:lang w:eastAsia="zh-CN"/>
    </w:rPr>
  </w:style>
  <w:style w:type="paragraph" w:styleId="1149">
    <w:name w:val="*正文-表格"/>
    <w:basedOn w:val="832"/>
    <w:next w:val="1149"/>
    <w:link w:val="832"/>
    <w:qFormat/>
    <w:rPr>
      <w:sz w:val="24"/>
      <w:szCs w:val="20"/>
    </w:rPr>
  </w:style>
  <w:style w:type="character" w:styleId="1150">
    <w:name w:val="font21"/>
    <w:next w:val="1150"/>
    <w:link w:val="832"/>
    <w:qFormat/>
    <w:rPr>
      <w:rFonts w:hint="eastAsia" w:ascii="宋体" w:hAnsi="宋体" w:eastAsia="宋体" w:cs="宋体"/>
      <w:b/>
      <w:bCs/>
      <w:color w:val="000000"/>
      <w:sz w:val="28"/>
      <w:szCs w:val="28"/>
      <w:u w:val="none"/>
    </w:rPr>
  </w:style>
  <w:style w:type="paragraph" w:styleId="1151">
    <w:name w:val="标题 5（有编号）（绿盟科技）"/>
    <w:basedOn w:val="832"/>
    <w:next w:val="1152"/>
    <w:link w:val="832"/>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52">
    <w:name w:val="正文（绿盟科技）"/>
    <w:next w:val="1152"/>
    <w:link w:val="832"/>
    <w:uiPriority w:val="99"/>
    <w:qFormat/>
    <w:pPr>
      <w:spacing w:line="300" w:lineRule="auto"/>
    </w:pPr>
    <w:rPr>
      <w:rFonts w:ascii="Arial" w:hAnsi="Arial" w:cs="黑体"/>
      <w:sz w:val="21"/>
      <w:szCs w:val="21"/>
      <w:lang w:eastAsia="zh-CN"/>
    </w:rPr>
  </w:style>
  <w:style w:type="paragraph" w:styleId="1153">
    <w:name w:val="投标文件正文"/>
    <w:basedOn w:val="832"/>
    <w:next w:val="1153"/>
    <w:link w:val="832"/>
    <w:qFormat/>
    <w:pPr>
      <w:ind w:firstLine="200"/>
      <w:spacing w:before="40" w:after="40" w:line="400" w:lineRule="exact"/>
    </w:pPr>
    <w:rPr>
      <w:sz w:val="24"/>
    </w:rPr>
  </w:style>
  <w:style w:type="paragraph" w:styleId="1154">
    <w:name w:val="标题 21"/>
    <w:basedOn w:val="832"/>
    <w:next w:val="832"/>
    <w:link w:val="832"/>
    <w:qFormat/>
    <w:pPr>
      <w:jc w:val="left"/>
      <w:keepLines/>
      <w:keepNext/>
      <w:spacing w:before="50"/>
      <w:tabs>
        <w:tab w:val="left" w:pos="0" w:leader="none"/>
      </w:tabs>
    </w:pPr>
    <w:rPr>
      <w:rFonts w:ascii="Arial" w:hAnsi="Arial" w:eastAsia="黑体"/>
      <w:sz w:val="32"/>
      <w:szCs w:val="20"/>
    </w:rPr>
  </w:style>
  <w:style w:type="paragraph" w:styleId="1155">
    <w:name w:val="BodyTextIndent1"/>
    <w:basedOn w:val="832"/>
    <w:next w:val="1156"/>
    <w:link w:val="832"/>
    <w:qFormat/>
    <w:pPr>
      <w:ind w:left="420"/>
      <w:spacing w:after="120"/>
    </w:pPr>
  </w:style>
  <w:style w:type="paragraph" w:styleId="1156">
    <w:name w:val="EnvelopeReturn1"/>
    <w:basedOn w:val="832"/>
    <w:next w:val="1156"/>
    <w:link w:val="832"/>
    <w:qFormat/>
    <w:rPr>
      <w:rFonts w:ascii="Arial" w:hAnsi="Arial"/>
    </w:rPr>
  </w:style>
  <w:style w:type="paragraph" w:styleId="1157">
    <w:name w:val="Table Paragraph"/>
    <w:basedOn w:val="832"/>
    <w:next w:val="1157"/>
    <w:link w:val="832"/>
    <w:uiPriority w:val="1"/>
    <w:qFormat/>
    <w:pPr>
      <w:ind w:left="107"/>
    </w:pPr>
    <w:rPr>
      <w:rFonts w:ascii="宋体" w:hAnsi="宋体" w:cs="宋体"/>
    </w:rPr>
  </w:style>
  <w:style w:type="paragraph" w:styleId="1158">
    <w:name w:val="列出段落1"/>
    <w:basedOn w:val="832"/>
    <w:next w:val="1158"/>
    <w:link w:val="832"/>
    <w:uiPriority w:val="34"/>
    <w:qFormat/>
    <w:pPr>
      <w:ind w:left="480"/>
      <w:jc w:val="left"/>
    </w:pPr>
    <w:rPr>
      <w:rFonts w:ascii="Calibri" w:hAnsi="Calibri" w:eastAsia="PMingLiU"/>
      <w:sz w:val="24"/>
      <w:szCs w:val="20"/>
      <w:lang w:eastAsia="zh-TW"/>
    </w:rPr>
  </w:style>
  <w:style w:type="paragraph" w:styleId="1159">
    <w:name w:val="正文文本缩进1"/>
    <w:next w:val="1159"/>
    <w:link w:val="832"/>
    <w:qFormat/>
    <w:pPr>
      <w:ind w:left="420"/>
      <w:jc w:val="both"/>
      <w:spacing w:after="120"/>
      <w:widowControl w:val="off"/>
    </w:pPr>
    <w:rPr>
      <w:sz w:val="21"/>
      <w:szCs w:val="24"/>
      <w:lang w:eastAsia="zh-CN"/>
    </w:rPr>
  </w:style>
  <w:style w:type="character" w:styleId="1160">
    <w:name w:val="font51"/>
    <w:next w:val="1160"/>
    <w:link w:val="832"/>
    <w:qFormat/>
    <w:rPr>
      <w:rFonts w:hint="eastAsia" w:ascii="微软雅黑" w:hAnsi="微软雅黑" w:eastAsia="微软雅黑" w:cs="微软雅黑"/>
      <w:color w:val="000000"/>
      <w:sz w:val="16"/>
      <w:szCs w:val="16"/>
      <w:u w:val="none"/>
    </w:rPr>
  </w:style>
  <w:style w:type="character" w:styleId="1161">
    <w:name w:val="font01"/>
    <w:next w:val="1161"/>
    <w:link w:val="832"/>
    <w:qFormat/>
    <w:rPr>
      <w:rFonts w:hint="eastAsia" w:ascii="微软雅黑" w:hAnsi="微软雅黑" w:eastAsia="微软雅黑" w:cs="微软雅黑"/>
      <w:color w:val="000000"/>
      <w:sz w:val="16"/>
      <w:szCs w:val="16"/>
      <w:u w:val="none"/>
    </w:rPr>
  </w:style>
  <w:style w:type="character" w:styleId="1162">
    <w:name w:val="font31"/>
    <w:next w:val="1162"/>
    <w:link w:val="832"/>
    <w:qFormat/>
    <w:rPr>
      <w:rFonts w:hint="eastAsia" w:ascii="微软雅黑" w:hAnsi="微软雅黑" w:eastAsia="微软雅黑" w:cs="微软雅黑"/>
      <w:color w:val="000000"/>
      <w:sz w:val="16"/>
      <w:szCs w:val="16"/>
      <w:u w:val="none"/>
    </w:rPr>
  </w:style>
  <w:style w:type="character" w:styleId="1163">
    <w:name w:val="font41"/>
    <w:next w:val="1163"/>
    <w:link w:val="832"/>
    <w:qFormat/>
    <w:rPr>
      <w:rFonts w:hint="eastAsia" w:ascii="宋体" w:hAnsi="宋体" w:eastAsia="宋体" w:cs="宋体"/>
      <w:color w:val="000000"/>
      <w:sz w:val="22"/>
      <w:szCs w:val="22"/>
      <w:u w:val="none"/>
    </w:rPr>
  </w:style>
  <w:style w:type="character" w:styleId="1164">
    <w:name w:val="font61"/>
    <w:next w:val="1164"/>
    <w:link w:val="832"/>
    <w:qFormat/>
    <w:rPr>
      <w:rFonts w:hint="eastAsia" w:ascii="宋体" w:hAnsi="宋体" w:eastAsia="宋体" w:cs="宋体"/>
      <w:color w:val="000000"/>
      <w:sz w:val="20"/>
      <w:szCs w:val="20"/>
      <w:u w:val="none"/>
    </w:rPr>
  </w:style>
  <w:style w:type="character" w:styleId="1165">
    <w:name w:val="font11"/>
    <w:next w:val="1165"/>
    <w:link w:val="832"/>
    <w:qFormat/>
    <w:rPr>
      <w:rFonts w:hint="eastAsia" w:ascii="宋体" w:hAnsi="宋体" w:eastAsia="宋体" w:cs="宋体"/>
      <w:color w:val="000000"/>
      <w:sz w:val="20"/>
      <w:szCs w:val="20"/>
      <w:u w:val="none"/>
    </w:rPr>
  </w:style>
  <w:style w:type="paragraph" w:styleId="1166">
    <w:name w:val="正文111"/>
    <w:next w:val="1167"/>
    <w:link w:val="832"/>
    <w:qFormat/>
    <w:pPr>
      <w:jc w:val="center"/>
      <w:spacing w:line="360" w:lineRule="exact"/>
      <w:widowControl w:val="off"/>
    </w:pPr>
    <w:rPr>
      <w:rFonts w:eastAsia="仿宋_GB2312"/>
      <w:sz w:val="28"/>
      <w:szCs w:val="24"/>
      <w:lang w:eastAsia="zh-CN"/>
    </w:rPr>
  </w:style>
  <w:style w:type="paragraph" w:styleId="1167">
    <w:name w:val="目录 111"/>
    <w:basedOn w:val="1166"/>
    <w:next w:val="1166"/>
    <w:link w:val="832"/>
    <w:qFormat/>
    <w:pPr>
      <w:jc w:val="left"/>
      <w:spacing w:after="100" w:line="259" w:lineRule="auto"/>
      <w:widowControl/>
    </w:pPr>
    <w:rPr>
      <w:rFonts w:ascii="Calibri" w:hAnsi="Calibri"/>
      <w:sz w:val="22"/>
      <w:szCs w:val="22"/>
    </w:rPr>
  </w:style>
  <w:style w:type="character" w:styleId="1168">
    <w:name w:val="NormalCharacter11"/>
    <w:next w:val="1168"/>
    <w:link w:val="832"/>
    <w:semiHidden/>
    <w:qFormat/>
    <w:rPr>
      <w:rFonts w:ascii="Times New Roman" w:hAnsi="Times New Roman" w:eastAsia="宋体" w:cs="Times New Roman"/>
      <w:sz w:val="21"/>
      <w:szCs w:val="24"/>
      <w:lang w:val="en-US" w:eastAsia="zh-CN" w:bidi="ar-SA"/>
    </w:rPr>
  </w:style>
  <w:style w:type="character" w:styleId="1169">
    <w:name w:val="font71"/>
    <w:next w:val="1169"/>
    <w:link w:val="832"/>
    <w:qFormat/>
    <w:rPr>
      <w:rFonts w:hint="eastAsia" w:ascii="宋体" w:hAnsi="宋体" w:eastAsia="宋体" w:cs="宋体"/>
      <w:color w:val="000000"/>
      <w:sz w:val="21"/>
      <w:szCs w:val="21"/>
      <w:u w:val="none"/>
    </w:rPr>
  </w:style>
  <w:style w:type="character" w:styleId="1170">
    <w:name w:val="font81"/>
    <w:next w:val="1170"/>
    <w:link w:val="832"/>
    <w:qFormat/>
    <w:rPr>
      <w:rFonts w:ascii="Times New Roman" w:hAnsi="Times New Roman" w:cs="Times New Roman"/>
      <w:color w:val="000000"/>
      <w:sz w:val="21"/>
      <w:szCs w:val="21"/>
      <w:u w:val="none"/>
    </w:rPr>
  </w:style>
  <w:style w:type="character" w:styleId="1171">
    <w:name w:val="font91"/>
    <w:next w:val="1171"/>
    <w:link w:val="832"/>
    <w:qFormat/>
    <w:rPr>
      <w:rFonts w:hint="eastAsia" w:ascii="宋体" w:hAnsi="宋体" w:eastAsia="宋体" w:cs="宋体"/>
      <w:color w:val="000000"/>
      <w:sz w:val="21"/>
      <w:szCs w:val="21"/>
      <w:u w:val="none"/>
    </w:rPr>
  </w:style>
  <w:style w:type="paragraph" w:styleId="1172">
    <w:name w:val="页脚1"/>
    <w:basedOn w:val="832"/>
    <w:next w:val="1172"/>
    <w:link w:val="832"/>
    <w:qFormat/>
    <w:pPr>
      <w:jc w:val="left"/>
      <w:tabs>
        <w:tab w:val="center" w:pos="4153" w:leader="none"/>
        <w:tab w:val="right" w:pos="8306" w:leader="none"/>
      </w:tabs>
    </w:pPr>
    <w:rPr>
      <w:sz w:val="18"/>
      <w:szCs w:val="18"/>
    </w:rPr>
  </w:style>
  <w:style w:type="paragraph" w:styleId="1173">
    <w:name w:val="列表段落1"/>
    <w:basedOn w:val="988"/>
    <w:next w:val="832"/>
    <w:link w:val="832"/>
    <w:uiPriority w:val="99"/>
    <w:qFormat/>
    <w:pPr>
      <w:ind w:firstLine="420"/>
    </w:pPr>
  </w:style>
  <w:style w:type="paragraph" w:styleId="1174">
    <w:name w:val="正文缩进11"/>
    <w:basedOn w:val="832"/>
    <w:next w:val="1174"/>
    <w:link w:val="832"/>
    <w:unhideWhenUsed/>
    <w:qFormat/>
    <w:pPr>
      <w:ind w:firstLine="420"/>
    </w:pPr>
  </w:style>
  <w:style w:type="paragraph" w:styleId="1175">
    <w:name w:val="列表段落"/>
    <w:basedOn w:val="832"/>
    <w:next w:val="1175"/>
    <w:link w:val="832"/>
    <w:uiPriority w:val="34"/>
    <w:qFormat/>
    <w:pPr>
      <w:contextualSpacing/>
      <w:ind w:left="720"/>
    </w:pPr>
  </w:style>
  <w:style w:type="paragraph" w:styleId="1176">
    <w:name w:val="普通(网站)1"/>
    <w:basedOn w:val="832"/>
    <w:next w:val="1176"/>
    <w:link w:val="832"/>
    <w:qFormat/>
    <w:pPr>
      <w:jc w:val="left"/>
      <w:spacing w:before="100" w:beforeAutospacing="1" w:after="100" w:afterAutospacing="1"/>
      <w:widowControl/>
    </w:pPr>
    <w:rPr>
      <w:rFonts w:ascii="宋体" w:hAnsi="宋体" w:cs="宋体"/>
      <w:color w:val="000000"/>
      <w:sz w:val="24"/>
      <w:szCs w:val="20"/>
    </w:rPr>
  </w:style>
  <w:style w:type="paragraph" w:styleId="1177">
    <w:name w:val="纯文本11"/>
    <w:basedOn w:val="832"/>
    <w:next w:val="1177"/>
    <w:link w:val="832"/>
    <w:qFormat/>
    <w:rPr>
      <w:rFonts w:ascii="宋体" w:hAnsi="Courier New"/>
      <w:szCs w:val="20"/>
    </w:rPr>
  </w:style>
  <w:style w:type="paragraph" w:styleId="1178">
    <w:name w:val="纯文本1"/>
    <w:basedOn w:val="988"/>
    <w:next w:val="1178"/>
    <w:link w:val="832"/>
    <w:qFormat/>
    <w:rPr>
      <w:rFonts w:hAnsi="Courier New"/>
      <w:sz w:val="20"/>
    </w:rPr>
  </w:style>
  <w:style w:type="paragraph" w:styleId="1179">
    <w:name w:val="Body text|21"/>
    <w:basedOn w:val="832"/>
    <w:next w:val="1179"/>
    <w:link w:val="832"/>
    <w:qFormat/>
    <w:pPr>
      <w:spacing w:before="500" w:after="260" w:line="200" w:lineRule="exact"/>
      <w:shd w:val="clear" w:color="auto" w:fill="ffffff"/>
    </w:pPr>
    <w:rPr>
      <w:rFonts w:ascii="PMingLiU" w:hAnsi="PMingLiU" w:eastAsia="PMingLiU" w:cs="PMingLiU"/>
      <w:spacing w:val="10"/>
      <w:sz w:val="20"/>
      <w:szCs w:val="20"/>
    </w:rPr>
  </w:style>
  <w:style w:type="paragraph" w:styleId="1180">
    <w:name w:val="正文不缩进"/>
    <w:basedOn w:val="832"/>
    <w:next w:val="832"/>
    <w:link w:val="832"/>
    <w:qFormat/>
    <w:pPr>
      <w:ind w:firstLine="0"/>
      <w:jc w:val="left"/>
      <w:spacing w:line="360" w:lineRule="auto"/>
      <w:widowControl/>
    </w:pPr>
    <w:rPr>
      <w:rFonts w:hint="eastAsia" w:cs="宋体"/>
      <w:bCs/>
      <w:color w:val="000000"/>
      <w:szCs w:val="36"/>
      <w:lang w:bidi="ar"/>
    </w:rPr>
  </w:style>
  <w:style w:type="character" w:styleId="11925" w:default="1">
    <w:name w:val="Default Paragraph Font"/>
    <w:uiPriority w:val="1"/>
    <w:semiHidden/>
    <w:unhideWhenUsed/>
  </w:style>
  <w:style w:type="numbering" w:styleId="11926" w:default="1">
    <w:name w:val="No List"/>
    <w:uiPriority w:val="99"/>
    <w:semiHidden/>
    <w:unhideWhenUsed/>
  </w:style>
  <w:style w:type="table" w:styleId="119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韦飞</cp:lastModifiedBy>
  <cp:revision>4</cp:revision>
  <dcterms:created xsi:type="dcterms:W3CDTF">2021-06-29T14:28:00Z</dcterms:created>
  <dcterms:modified xsi:type="dcterms:W3CDTF">2026-09-07T07:40:17Z</dcterms:modified>
</cp:coreProperties>
</file>