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049F3">
      <w:pPr>
        <w:pBdr>
          <w:top w:val="none" w:color="000000" w:sz="0" w:space="0"/>
          <w:left w:val="none" w:color="000000" w:sz="0" w:space="0"/>
          <w:bottom w:val="none" w:color="000000" w:sz="0" w:space="0"/>
          <w:right w:val="none" w:color="000000" w:sz="0" w:space="0"/>
        </w:pBdr>
        <w:spacing w:before="0" w:after="0" w:line="479" w:lineRule="atLeast"/>
        <w:ind w:left="0" w:right="0" w:firstLine="480" w:firstLineChars="200"/>
        <w:jc w:val="left"/>
        <w:rPr>
          <w:rFonts w:hint="default" w:ascii="宋体" w:hAnsi="宋体" w:eastAsia="宋体" w:cs="宋体"/>
          <w:b w:val="0"/>
          <w:bCs/>
          <w:color w:val="000000"/>
          <w:kern w:val="0"/>
          <w:sz w:val="24"/>
          <w:szCs w:val="24"/>
        </w:rPr>
      </w:pPr>
      <w:r>
        <w:rPr>
          <w:rFonts w:hint="default" w:ascii="宋体" w:hAnsi="宋体" w:eastAsia="宋体" w:cs="宋体"/>
          <w:b w:val="0"/>
          <w:bCs/>
          <w:color w:val="000000"/>
          <w:kern w:val="0"/>
          <w:sz w:val="24"/>
          <w:szCs w:val="24"/>
        </w:rPr>
        <w:t>如有建议或意见，请以书面形式并加盖公章、注明联系人、联系方式，于2026年</w:t>
      </w:r>
      <w:r>
        <w:rPr>
          <w:rFonts w:hint="eastAsia" w:ascii="宋体" w:hAnsi="宋体" w:eastAsia="宋体" w:cs="宋体"/>
          <w:b w:val="0"/>
          <w:bCs/>
          <w:color w:val="000000"/>
          <w:kern w:val="0"/>
          <w:sz w:val="24"/>
          <w:szCs w:val="24"/>
          <w:lang w:val="en-US" w:eastAsia="zh-CN"/>
        </w:rPr>
        <w:t>9</w:t>
      </w:r>
      <w:r>
        <w:rPr>
          <w:rFonts w:hint="default" w:ascii="宋体" w:hAnsi="宋体" w:eastAsia="宋体" w:cs="宋体"/>
          <w:b w:val="0"/>
          <w:bCs/>
          <w:color w:val="000000"/>
          <w:kern w:val="0"/>
          <w:sz w:val="24"/>
          <w:szCs w:val="24"/>
        </w:rPr>
        <w:t>月1</w:t>
      </w:r>
      <w:r>
        <w:rPr>
          <w:rFonts w:hint="eastAsia" w:ascii="宋体" w:hAnsi="宋体" w:eastAsia="宋体" w:cs="宋体"/>
          <w:b w:val="0"/>
          <w:bCs/>
          <w:color w:val="000000"/>
          <w:kern w:val="0"/>
          <w:sz w:val="24"/>
          <w:szCs w:val="24"/>
          <w:lang w:val="en-US" w:eastAsia="zh-CN"/>
        </w:rPr>
        <w:t>5</w:t>
      </w:r>
      <w:r>
        <w:rPr>
          <w:rFonts w:hint="default" w:ascii="宋体" w:hAnsi="宋体" w:eastAsia="宋体" w:cs="宋体"/>
          <w:b w:val="0"/>
          <w:bCs/>
          <w:color w:val="000000"/>
          <w:kern w:val="0"/>
          <w:sz w:val="24"/>
          <w:szCs w:val="24"/>
        </w:rPr>
        <w:t>日17:00之前送至我单位，逾期不受理（如邮寄，2026年</w:t>
      </w:r>
      <w:r>
        <w:rPr>
          <w:rFonts w:hint="eastAsia" w:ascii="宋体" w:hAnsi="宋体" w:eastAsia="宋体" w:cs="宋体"/>
          <w:b w:val="0"/>
          <w:bCs/>
          <w:color w:val="000000"/>
          <w:kern w:val="0"/>
          <w:sz w:val="24"/>
          <w:szCs w:val="24"/>
          <w:lang w:val="en-US" w:eastAsia="zh-CN"/>
        </w:rPr>
        <w:t>9</w:t>
      </w:r>
      <w:r>
        <w:rPr>
          <w:rFonts w:hint="default" w:ascii="宋体" w:hAnsi="宋体" w:eastAsia="宋体" w:cs="宋体"/>
          <w:b w:val="0"/>
          <w:bCs/>
          <w:color w:val="000000"/>
          <w:kern w:val="0"/>
          <w:sz w:val="24"/>
          <w:szCs w:val="24"/>
        </w:rPr>
        <w:t>月1</w:t>
      </w:r>
      <w:r>
        <w:rPr>
          <w:rFonts w:hint="eastAsia" w:ascii="宋体" w:hAnsi="宋体" w:eastAsia="宋体" w:cs="宋体"/>
          <w:b w:val="0"/>
          <w:bCs/>
          <w:color w:val="000000"/>
          <w:kern w:val="0"/>
          <w:sz w:val="24"/>
          <w:szCs w:val="24"/>
          <w:lang w:val="en-US" w:eastAsia="zh-CN"/>
        </w:rPr>
        <w:t>5</w:t>
      </w:r>
      <w:r>
        <w:rPr>
          <w:rFonts w:hint="default" w:ascii="宋体" w:hAnsi="宋体" w:eastAsia="宋体" w:cs="宋体"/>
          <w:b w:val="0"/>
          <w:bCs/>
          <w:color w:val="000000"/>
          <w:kern w:val="0"/>
          <w:sz w:val="24"/>
          <w:szCs w:val="24"/>
        </w:rPr>
        <w:t>日17:00之后到达本公司的邮件将不再受理）。</w:t>
      </w:r>
    </w:p>
    <w:p w14:paraId="7DBF9F61">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A547BEE">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306F1D71">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4D16FAAA">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0E4E4A8A">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1B114F6">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2BAB29F">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D8F0AE9">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B75CC96">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E7D5B7E">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DB3F4C4">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7F8762A">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36299779">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62A91F46">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710079E3">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44267858">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6E355C17">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AE69510">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1285A8CF">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6E10A3A0">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755DD55F">
      <w:pPr>
        <w:pStyle w:val="4"/>
        <w:widowControl w:val="0"/>
        <w:spacing w:line="312" w:lineRule="auto"/>
        <w:contextualSpacing/>
        <w:jc w:val="center"/>
        <w:rPr>
          <w:rFonts w:hint="eastAsia" w:ascii="宋体" w:hAnsi="宋体" w:cs="宋体"/>
          <w:b/>
          <w:bCs/>
          <w:color w:val="000000"/>
          <w:sz w:val="32"/>
          <w:szCs w:val="32"/>
          <w:highlight w:val="none"/>
        </w:rPr>
      </w:pPr>
      <w:r>
        <w:rPr>
          <w:rFonts w:hint="default" w:ascii="宋体" w:hAnsi="宋体" w:eastAsia="宋体" w:cs="宋体"/>
          <w:b/>
          <w:bCs/>
          <w:color w:val="000000"/>
          <w:sz w:val="36"/>
          <w:szCs w:val="36"/>
          <w:lang w:val="en-US" w:eastAsia="zh-CN" w:bidi="ar-SA"/>
        </w:rPr>
        <w:t>2、</w:t>
      </w:r>
      <w:r>
        <w:rPr>
          <w:rFonts w:hint="eastAsia" w:ascii="宋体" w:hAnsi="宋体" w:cs="宋体"/>
          <w:b/>
          <w:bCs/>
          <w:color w:val="000000"/>
          <w:sz w:val="32"/>
          <w:szCs w:val="32"/>
          <w:highlight w:val="none"/>
        </w:rPr>
        <w:t>项目要求（采购需求）</w:t>
      </w:r>
    </w:p>
    <w:p w14:paraId="10E18C6F">
      <w:pPr>
        <w:keepNext w:val="0"/>
        <w:keepLines w:val="0"/>
        <w:pageBreakBefore w:val="0"/>
        <w:widowControl/>
        <w:kinsoku/>
        <w:wordWrap/>
        <w:overflowPunct/>
        <w:topLinePunct w:val="0"/>
        <w:autoSpaceDE/>
        <w:autoSpaceDN/>
        <w:bidi w:val="0"/>
        <w:adjustRightInd/>
        <w:snapToGrid/>
        <w:spacing w:line="400" w:lineRule="atLeast"/>
        <w:ind w:left="0" w:leftChars="0" w:firstLine="482" w:firstLineChars="200"/>
        <w:jc w:val="left"/>
        <w:textAlignment w:val="auto"/>
        <w:rPr>
          <w:rFonts w:hint="eastAsia" w:ascii="Calibri" w:hAnsi="Calibri" w:eastAsia="宋体" w:cs="宋体"/>
          <w:color w:val="auto"/>
          <w:kern w:val="0"/>
          <w:sz w:val="24"/>
          <w:szCs w:val="24"/>
        </w:rPr>
      </w:pPr>
      <w:bookmarkStart w:id="0" w:name="_Toc401155915"/>
      <w:bookmarkStart w:id="1" w:name="_Toc101951257"/>
      <w:bookmarkStart w:id="2" w:name="_Toc175644388"/>
      <w:bookmarkStart w:id="3" w:name="_Toc101775124"/>
      <w:bookmarkStart w:id="4" w:name="_Toc377477322"/>
      <w:bookmarkStart w:id="5" w:name="_Toc101843124"/>
      <w:bookmarkStart w:id="6" w:name="_Toc396136162"/>
      <w:bookmarkStart w:id="7" w:name="_Toc375905190"/>
      <w:bookmarkStart w:id="8" w:name="_Toc396204746"/>
      <w:bookmarkStart w:id="9" w:name="_Toc403491565"/>
      <w:bookmarkStart w:id="10" w:name="_Toc388790294"/>
      <w:bookmarkStart w:id="11" w:name="_Toc394655329"/>
      <w:bookmarkStart w:id="12" w:name="_Toc401575143"/>
      <w:r>
        <w:rPr>
          <w:rFonts w:hint="eastAsia" w:ascii="Calibri" w:hAnsi="Calibri" w:eastAsia="宋体" w:cs="宋体"/>
          <w:b/>
          <w:bCs/>
          <w:color w:val="auto"/>
          <w:kern w:val="0"/>
          <w:sz w:val="24"/>
          <w:szCs w:val="24"/>
        </w:rPr>
        <w:t>一、项目概况</w:t>
      </w:r>
    </w:p>
    <w:p w14:paraId="5F6AE1F3">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FF0000"/>
          <w:kern w:val="0"/>
          <w:sz w:val="24"/>
          <w:szCs w:val="24"/>
        </w:rPr>
      </w:pPr>
      <w:r>
        <w:rPr>
          <w:rFonts w:hint="eastAsia" w:ascii="Calibri" w:hAnsi="Calibri" w:eastAsia="宋体" w:cs="宋体"/>
          <w:color w:val="auto"/>
          <w:kern w:val="0"/>
          <w:sz w:val="24"/>
          <w:szCs w:val="24"/>
        </w:rPr>
        <w:t>1、项目名称：</w:t>
      </w:r>
      <w:r>
        <w:rPr>
          <w:rFonts w:hint="eastAsia" w:ascii="Calibri" w:hAnsi="Calibri" w:eastAsia="宋体" w:cs="宋体"/>
          <w:color w:val="auto"/>
          <w:kern w:val="0"/>
          <w:sz w:val="24"/>
          <w:szCs w:val="24"/>
          <w:lang w:val="en-US" w:eastAsia="zh-CN"/>
        </w:rPr>
        <w:t>2026年铜山区市场监督管理局第二批次食品安全抽检项目</w:t>
      </w:r>
    </w:p>
    <w:p w14:paraId="3911569D">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2、项目预算：</w:t>
      </w:r>
    </w:p>
    <w:p w14:paraId="0B65341C">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本项目采购包一不接受超过</w:t>
      </w:r>
      <w:r>
        <w:rPr>
          <w:rFonts w:hint="eastAsia" w:ascii="Calibri" w:hAnsi="Calibri" w:eastAsia="宋体" w:cs="宋体"/>
          <w:color w:val="auto"/>
          <w:kern w:val="0"/>
          <w:sz w:val="24"/>
          <w:szCs w:val="24"/>
          <w:lang w:val="en-US" w:eastAsia="zh-CN"/>
        </w:rPr>
        <w:t>41.333334</w:t>
      </w:r>
      <w:r>
        <w:rPr>
          <w:rFonts w:hint="eastAsia" w:ascii="Calibri" w:hAnsi="Calibri" w:eastAsia="宋体" w:cs="宋体"/>
          <w:color w:val="auto"/>
          <w:kern w:val="0"/>
          <w:sz w:val="24"/>
          <w:szCs w:val="24"/>
        </w:rPr>
        <w:t>万</w:t>
      </w:r>
      <w:r>
        <w:rPr>
          <w:rFonts w:hint="eastAsia" w:ascii="Calibri" w:hAnsi="Calibri" w:eastAsia="宋体" w:cs="宋体"/>
          <w:color w:val="auto"/>
          <w:kern w:val="0"/>
          <w:sz w:val="24"/>
          <w:szCs w:val="24"/>
          <w:lang w:val="en-US" w:eastAsia="zh-CN"/>
        </w:rPr>
        <w:t>元</w:t>
      </w:r>
      <w:r>
        <w:rPr>
          <w:rFonts w:hint="eastAsia" w:ascii="Calibri" w:hAnsi="Calibri" w:eastAsia="宋体" w:cs="宋体"/>
          <w:color w:val="auto"/>
          <w:kern w:val="0"/>
          <w:sz w:val="24"/>
          <w:szCs w:val="24"/>
        </w:rPr>
        <w:t>人民币（采购项目预算金额）的投标报价；</w:t>
      </w:r>
    </w:p>
    <w:p w14:paraId="696FFF25">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本项目采购包二不接受超过41.333333</w:t>
      </w:r>
      <w:r>
        <w:rPr>
          <w:rFonts w:hint="eastAsia" w:ascii="Calibri" w:hAnsi="Calibri" w:eastAsia="宋体" w:cs="宋体"/>
          <w:color w:val="auto"/>
          <w:kern w:val="0"/>
          <w:sz w:val="24"/>
          <w:szCs w:val="24"/>
          <w:lang w:val="en-US" w:eastAsia="zh-CN"/>
        </w:rPr>
        <w:t>万元</w:t>
      </w:r>
      <w:r>
        <w:rPr>
          <w:rFonts w:hint="eastAsia" w:ascii="Calibri" w:hAnsi="Calibri" w:eastAsia="宋体" w:cs="宋体"/>
          <w:color w:val="auto"/>
          <w:kern w:val="0"/>
          <w:sz w:val="24"/>
          <w:szCs w:val="24"/>
        </w:rPr>
        <w:t>人民币（采购项目预算金额）的投标报价；</w:t>
      </w:r>
    </w:p>
    <w:p w14:paraId="6DF97956">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本项目采购包三不接受超过</w:t>
      </w:r>
      <w:r>
        <w:rPr>
          <w:rFonts w:hint="eastAsia" w:ascii="Calibri" w:hAnsi="Calibri" w:eastAsia="宋体" w:cs="宋体"/>
          <w:color w:val="auto"/>
          <w:kern w:val="0"/>
          <w:sz w:val="24"/>
          <w:szCs w:val="24"/>
          <w:lang w:val="en-US" w:eastAsia="zh-CN"/>
        </w:rPr>
        <w:t>41.333333万元</w:t>
      </w:r>
      <w:r>
        <w:rPr>
          <w:rFonts w:hint="eastAsia" w:ascii="Calibri" w:hAnsi="Calibri" w:eastAsia="宋体" w:cs="宋体"/>
          <w:color w:val="auto"/>
          <w:kern w:val="0"/>
          <w:sz w:val="24"/>
          <w:szCs w:val="24"/>
        </w:rPr>
        <w:t>人民币（采购项目预算金额）的投标报价。</w:t>
      </w:r>
    </w:p>
    <w:p w14:paraId="44E0381F">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本项目投标报价包含检验费用、抽样费和买样费等一切相关费用，采购人不再支付报价以外的任何费用。</w:t>
      </w:r>
    </w:p>
    <w:p w14:paraId="744DBE69">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3、项目地点：徐州市铜山区区域；</w:t>
      </w:r>
    </w:p>
    <w:p w14:paraId="3C4B7271">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4、项目完成时间：按照序时进度</w:t>
      </w:r>
      <w:r>
        <w:rPr>
          <w:rFonts w:hint="eastAsia" w:ascii="Calibri" w:hAnsi="Calibri" w:eastAsia="宋体" w:cs="宋体"/>
          <w:color w:val="auto"/>
          <w:kern w:val="0"/>
          <w:sz w:val="24"/>
          <w:szCs w:val="24"/>
          <w:lang w:val="en-US" w:eastAsia="zh-CN"/>
        </w:rPr>
        <w:t>于2027年4月底完成所</w:t>
      </w:r>
      <w:r>
        <w:rPr>
          <w:rFonts w:hint="eastAsia" w:ascii="Calibri" w:hAnsi="Calibri" w:eastAsia="宋体" w:cs="宋体"/>
          <w:color w:val="auto"/>
          <w:kern w:val="0"/>
          <w:sz w:val="24"/>
          <w:szCs w:val="24"/>
        </w:rPr>
        <w:t>有项目内容；</w:t>
      </w:r>
    </w:p>
    <w:p w14:paraId="41A7BE4E">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FF0000"/>
          <w:kern w:val="0"/>
          <w:sz w:val="24"/>
          <w:szCs w:val="24"/>
        </w:rPr>
      </w:pPr>
      <w:r>
        <w:rPr>
          <w:rFonts w:hint="eastAsia" w:ascii="Calibri" w:hAnsi="Calibri" w:eastAsia="宋体" w:cs="宋体"/>
          <w:color w:val="auto"/>
          <w:kern w:val="0"/>
          <w:sz w:val="24"/>
          <w:szCs w:val="24"/>
        </w:rPr>
        <w:t>5、项目背景：为加强对辖区内食品安全的管控工作，徐州市铜山区市场监督管理局开始对辖区内食品企业完成202</w:t>
      </w:r>
      <w:r>
        <w:rPr>
          <w:rFonts w:hint="eastAsia" w:ascii="Calibri" w:hAnsi="Calibri" w:eastAsia="宋体" w:cs="宋体"/>
          <w:color w:val="auto"/>
          <w:kern w:val="0"/>
          <w:sz w:val="24"/>
          <w:szCs w:val="24"/>
          <w:lang w:val="en-US" w:eastAsia="zh-CN"/>
        </w:rPr>
        <w:t>6</w:t>
      </w:r>
      <w:r>
        <w:rPr>
          <w:rFonts w:hint="eastAsia" w:ascii="Calibri" w:hAnsi="Calibri" w:eastAsia="宋体" w:cs="宋体"/>
          <w:color w:val="auto"/>
          <w:kern w:val="0"/>
          <w:sz w:val="24"/>
          <w:szCs w:val="24"/>
        </w:rPr>
        <w:t>年度第</w:t>
      </w:r>
      <w:r>
        <w:rPr>
          <w:rFonts w:hint="eastAsia" w:ascii="Calibri" w:hAnsi="Calibri" w:eastAsia="宋体" w:cs="宋体"/>
          <w:color w:val="auto"/>
          <w:kern w:val="0"/>
          <w:sz w:val="24"/>
          <w:szCs w:val="24"/>
          <w:lang w:val="en-US" w:eastAsia="zh-CN"/>
        </w:rPr>
        <w:t>二批</w:t>
      </w:r>
      <w:r>
        <w:rPr>
          <w:rFonts w:hint="eastAsia" w:ascii="Calibri" w:hAnsi="Calibri" w:eastAsia="宋体" w:cs="宋体"/>
          <w:color w:val="auto"/>
          <w:kern w:val="0"/>
          <w:sz w:val="24"/>
          <w:szCs w:val="24"/>
        </w:rPr>
        <w:t>次食品安全抽检。</w:t>
      </w:r>
    </w:p>
    <w:p w14:paraId="687E1A62">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lang w:eastAsia="zh-CN"/>
        </w:rPr>
      </w:pPr>
      <w:r>
        <w:rPr>
          <w:rFonts w:hint="eastAsia" w:ascii="Calibri" w:hAnsi="Calibri" w:eastAsia="宋体" w:cs="宋体"/>
          <w:color w:val="auto"/>
          <w:kern w:val="0"/>
          <w:sz w:val="24"/>
          <w:szCs w:val="24"/>
        </w:rPr>
        <w:t>6、项目内容及数量：见附表检测清单</w:t>
      </w:r>
      <w:r>
        <w:rPr>
          <w:rFonts w:hint="eastAsia" w:ascii="Calibri" w:hAnsi="Calibri" w:eastAsia="宋体" w:cs="宋体"/>
          <w:color w:val="auto"/>
          <w:kern w:val="0"/>
          <w:sz w:val="24"/>
          <w:szCs w:val="24"/>
          <w:lang w:eastAsia="zh-CN"/>
        </w:rPr>
        <w:t>。</w:t>
      </w:r>
    </w:p>
    <w:p w14:paraId="5F21B3F8">
      <w:pPr>
        <w:keepNext w:val="0"/>
        <w:keepLines w:val="0"/>
        <w:pageBreakBefore w:val="0"/>
        <w:widowControl/>
        <w:kinsoku/>
        <w:wordWrap/>
        <w:overflowPunct/>
        <w:topLinePunct w:val="0"/>
        <w:autoSpaceDE/>
        <w:autoSpaceDN/>
        <w:bidi w:val="0"/>
        <w:adjustRightInd/>
        <w:snapToGrid/>
        <w:spacing w:line="400" w:lineRule="atLeast"/>
        <w:ind w:left="0" w:leftChars="0" w:firstLine="482" w:firstLineChars="200"/>
        <w:jc w:val="left"/>
        <w:textAlignment w:val="auto"/>
        <w:rPr>
          <w:rFonts w:hint="eastAsia" w:ascii="Calibri" w:hAnsi="Calibri" w:eastAsia="宋体" w:cs="宋体"/>
          <w:b/>
          <w:bCs/>
          <w:color w:val="auto"/>
          <w:kern w:val="0"/>
          <w:sz w:val="24"/>
          <w:szCs w:val="24"/>
        </w:rPr>
      </w:pPr>
      <w:r>
        <w:rPr>
          <w:rFonts w:hint="eastAsia" w:ascii="Calibri" w:hAnsi="Calibri" w:eastAsia="宋体" w:cs="宋体"/>
          <w:b/>
          <w:bCs/>
          <w:color w:val="auto"/>
          <w:kern w:val="0"/>
          <w:sz w:val="24"/>
          <w:szCs w:val="24"/>
        </w:rPr>
        <w:t>二、项目服务总体要求（包括但不限于以下内容）：</w:t>
      </w:r>
    </w:p>
    <w:p w14:paraId="43D6DE35">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FF0000"/>
          <w:kern w:val="0"/>
          <w:sz w:val="24"/>
          <w:szCs w:val="24"/>
          <w:lang w:eastAsia="zh-CN"/>
        </w:rPr>
      </w:pPr>
      <w:r>
        <w:rPr>
          <w:rFonts w:hint="eastAsia" w:ascii="Calibri" w:hAnsi="Calibri" w:eastAsia="宋体" w:cs="宋体"/>
          <w:color w:val="auto"/>
          <w:kern w:val="0"/>
          <w:sz w:val="24"/>
          <w:szCs w:val="24"/>
        </w:rPr>
        <w:t>（1）工作总</w:t>
      </w:r>
      <w:r>
        <w:rPr>
          <w:rFonts w:hint="eastAsia" w:ascii="Calibri" w:hAnsi="Calibri" w:eastAsia="宋体" w:cs="宋体"/>
          <w:color w:val="auto"/>
          <w:kern w:val="0"/>
          <w:sz w:val="24"/>
          <w:szCs w:val="24"/>
          <w:lang w:val="en-US" w:eastAsia="zh-CN"/>
        </w:rPr>
        <w:t>量：2460批次。</w:t>
      </w:r>
    </w:p>
    <w:p w14:paraId="050C05C1">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lang w:val="en-US" w:eastAsia="zh-CN"/>
        </w:rPr>
        <w:t>2</w:t>
      </w: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应严格按照《</w:t>
      </w:r>
      <w:r>
        <w:rPr>
          <w:rFonts w:hint="eastAsia" w:ascii="Calibri" w:hAnsi="Calibri" w:eastAsia="宋体" w:cs="宋体"/>
          <w:color w:val="auto"/>
          <w:kern w:val="0"/>
          <w:sz w:val="24"/>
          <w:szCs w:val="24"/>
          <w:lang w:val="en-US" w:eastAsia="zh-CN"/>
        </w:rPr>
        <w:t>食品安全法》及其《实施条例》，以及《国家食品安全监督抽检实施细则》（2026年版）、《食品安全抽样检验工作规范》、《食品安全抽样检验管理办法》、《食用农产品</w:t>
      </w:r>
      <w:r>
        <w:rPr>
          <w:rFonts w:hint="eastAsia" w:ascii="Calibri" w:hAnsi="Calibri" w:eastAsia="宋体" w:cs="宋体"/>
          <w:color w:val="auto"/>
          <w:kern w:val="0"/>
          <w:sz w:val="24"/>
          <w:szCs w:val="24"/>
        </w:rPr>
        <w:t>抽样检验和核查处置规定》等相关规定和要求实施抽样检验工作，对检测报告承担法律责任。</w:t>
      </w:r>
    </w:p>
    <w:p w14:paraId="39320F81">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rPr>
      </w:pPr>
      <w:r>
        <w:rPr>
          <w:rFonts w:hint="eastAsia" w:ascii="Calibri" w:hAnsi="Calibri" w:eastAsia="宋体" w:cs="宋体"/>
          <w:color w:val="auto"/>
          <w:kern w:val="0"/>
          <w:sz w:val="24"/>
          <w:szCs w:val="24"/>
          <w:lang w:val="en-US" w:eastAsia="zh-CN"/>
        </w:rPr>
        <w:t>（3）负责提供每次抽检所需的交通工具，开展抽检工作。</w:t>
      </w:r>
    </w:p>
    <w:p w14:paraId="0AA0C873">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lang w:val="en-US" w:eastAsia="zh-CN"/>
        </w:rPr>
        <w:t>（4）实验室检验设备、检验人员充实，能满足食品检验的特殊要求，能按时按质完成抽检任务，出具合法有效的检验报告。</w:t>
      </w:r>
    </w:p>
    <w:p w14:paraId="201A1D95">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lang w:val="en-US" w:eastAsia="zh-CN"/>
        </w:rPr>
        <w:t>（5）按照专业操守尽职尽责，根据国家相关标准进行样品的抽样、检验及判定工作，并且按当次抽检方案约定日期出具检验报告；在采购人与第三方同等的条件下，应优先完成对采购人的抽检和监测任务。</w:t>
      </w:r>
    </w:p>
    <w:p w14:paraId="273BA293">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6</w:t>
      </w: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要对铜山</w:t>
      </w:r>
      <w:r>
        <w:rPr>
          <w:rFonts w:hint="eastAsia" w:ascii="Calibri" w:hAnsi="Calibri" w:eastAsia="宋体" w:cs="宋体"/>
          <w:color w:val="auto"/>
          <w:kern w:val="0"/>
          <w:sz w:val="24"/>
          <w:szCs w:val="24"/>
          <w:lang w:eastAsia="zh-CN"/>
        </w:rPr>
        <w:t>获证食品生产企业、小作坊、</w:t>
      </w:r>
      <w:r>
        <w:rPr>
          <w:rFonts w:hint="eastAsia" w:ascii="Calibri" w:hAnsi="Calibri" w:eastAsia="宋体" w:cs="宋体"/>
          <w:color w:val="auto"/>
          <w:kern w:val="0"/>
          <w:sz w:val="24"/>
          <w:szCs w:val="24"/>
          <w:lang w:val="en-US" w:eastAsia="zh-CN"/>
        </w:rPr>
        <w:t>食品销售者和餐饮服务经营者</w:t>
      </w:r>
      <w:r>
        <w:rPr>
          <w:rFonts w:hint="eastAsia" w:ascii="Calibri" w:hAnsi="Calibri" w:eastAsia="宋体" w:cs="宋体"/>
          <w:color w:val="auto"/>
          <w:kern w:val="0"/>
          <w:sz w:val="24"/>
          <w:szCs w:val="24"/>
        </w:rPr>
        <w:t>全覆盖；要严格按照采购人的具体要求，细化采样方案，建立食品安全监督抽检工作档案，确保工作质量和工作进度。</w:t>
      </w:r>
    </w:p>
    <w:p w14:paraId="3F8F7933">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7</w:t>
      </w:r>
      <w:r>
        <w:rPr>
          <w:rFonts w:hint="eastAsia" w:ascii="Calibri" w:hAnsi="Calibri" w:eastAsia="宋体" w:cs="宋体"/>
          <w:color w:val="auto"/>
          <w:kern w:val="0"/>
          <w:sz w:val="24"/>
          <w:szCs w:val="24"/>
        </w:rPr>
        <w:t>）本检测工作方案所涉及的食品安全监督抽检内容、数据、原始记录、问题样品报告及处置报告等工作文件，作为内部资料妥善保管。未经采购人批准，任何单位和个人不得擅自泄露和对外发布相关数据和信息。</w:t>
      </w:r>
    </w:p>
    <w:p w14:paraId="33E8CC0C">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8</w:t>
      </w: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在开展检验活动时，应遵守以下规定：</w:t>
      </w:r>
    </w:p>
    <w:p w14:paraId="7A9CB08E">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①遵守关于检验检测的法律、法规、规章和规范；</w:t>
      </w:r>
    </w:p>
    <w:p w14:paraId="3EFE81AD">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②按照委托合同的约定开展相关检验检测工作；</w:t>
      </w:r>
    </w:p>
    <w:p w14:paraId="2C66C23C">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③未经采购人同意，不得将检验检测任务分包或转包给其他检验机构。</w:t>
      </w:r>
    </w:p>
    <w:p w14:paraId="2CE0B7CA">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9</w:t>
      </w: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应熟悉数据采集的流程及技术规范要求，</w:t>
      </w:r>
      <w:r>
        <w:rPr>
          <w:rFonts w:hint="eastAsia" w:ascii="Calibri" w:hAnsi="Calibri" w:eastAsia="宋体" w:cs="宋体"/>
          <w:color w:val="auto"/>
          <w:kern w:val="0"/>
          <w:sz w:val="24"/>
          <w:szCs w:val="24"/>
          <w:lang w:val="en-US" w:eastAsia="zh-CN"/>
        </w:rPr>
        <w:t>成交后</w:t>
      </w:r>
      <w:r>
        <w:rPr>
          <w:rFonts w:hint="eastAsia" w:ascii="Calibri" w:hAnsi="Calibri" w:eastAsia="宋体" w:cs="宋体"/>
          <w:color w:val="auto"/>
          <w:kern w:val="0"/>
          <w:sz w:val="24"/>
          <w:szCs w:val="24"/>
        </w:rPr>
        <w:t>应依据食品委托检验合同和实施方案进行抽检，将抽检数据采集及上传，并出具检验结果报告并对检验结果真实性负责。</w:t>
      </w:r>
    </w:p>
    <w:p w14:paraId="6703CE94">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10</w:t>
      </w:r>
      <w:r>
        <w:rPr>
          <w:rFonts w:hint="eastAsia" w:ascii="Calibri" w:hAnsi="Calibri" w:eastAsia="宋体" w:cs="宋体"/>
          <w:color w:val="auto"/>
          <w:kern w:val="0"/>
          <w:sz w:val="24"/>
          <w:szCs w:val="24"/>
        </w:rPr>
        <w:t>）对接和协调要求：</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负责项目前期的对接和协调，包括进行实地核查和沟通协调。</w:t>
      </w:r>
    </w:p>
    <w:p w14:paraId="57AB5F7B">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11</w:t>
      </w:r>
      <w:r>
        <w:rPr>
          <w:rFonts w:hint="eastAsia" w:ascii="Calibri" w:hAnsi="Calibri" w:eastAsia="宋体" w:cs="宋体"/>
          <w:color w:val="auto"/>
          <w:kern w:val="0"/>
          <w:sz w:val="24"/>
          <w:szCs w:val="24"/>
        </w:rPr>
        <w:t>）服务过程要求：</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严格按照采购人提供的项目清单到现场，根据项目实施情况进行实地抽样，并在规定时间内出具检验结果报告、相关报表，上传数据。</w:t>
      </w:r>
    </w:p>
    <w:p w14:paraId="125E2503">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lang w:eastAsia="zh-CN"/>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12</w:t>
      </w:r>
      <w:r>
        <w:rPr>
          <w:rFonts w:hint="eastAsia" w:ascii="Calibri" w:hAnsi="Calibri" w:eastAsia="宋体" w:cs="宋体"/>
          <w:color w:val="auto"/>
          <w:kern w:val="0"/>
          <w:sz w:val="24"/>
          <w:szCs w:val="24"/>
        </w:rPr>
        <w:t>）人员配备要求：</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需配备</w:t>
      </w:r>
      <w:r>
        <w:rPr>
          <w:rFonts w:hint="eastAsia" w:ascii="Calibri" w:hAnsi="Calibri" w:eastAsia="宋体" w:cs="宋体"/>
          <w:color w:val="auto"/>
          <w:kern w:val="0"/>
          <w:sz w:val="24"/>
          <w:szCs w:val="24"/>
          <w:lang w:val="en-US" w:eastAsia="zh-CN"/>
        </w:rPr>
        <w:t>资深</w:t>
      </w:r>
      <w:r>
        <w:rPr>
          <w:rFonts w:hint="eastAsia" w:ascii="Calibri" w:hAnsi="Calibri" w:eastAsia="宋体" w:cs="宋体"/>
          <w:color w:val="auto"/>
          <w:kern w:val="0"/>
          <w:sz w:val="24"/>
          <w:szCs w:val="24"/>
        </w:rPr>
        <w:t>的专业人员组成食品抽检数据核查工作组及核查处置专家库</w:t>
      </w: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lang w:val="en-US" w:eastAsia="zh-CN"/>
        </w:rPr>
        <w:t>并</w:t>
      </w:r>
      <w:r>
        <w:rPr>
          <w:rFonts w:hint="eastAsia" w:ascii="Calibri" w:hAnsi="Calibri" w:eastAsia="宋体" w:cs="宋体"/>
          <w:color w:val="auto"/>
          <w:kern w:val="0"/>
          <w:sz w:val="24"/>
          <w:szCs w:val="24"/>
        </w:rPr>
        <w:t>提供组成人员名单及主要项目经验，项目负责人应具有丰富的相关领域项研究经验并在本项目中担负实质性研究工作，挂名或不担负实质性研究工作的不得作为本项目的项目负责人。</w:t>
      </w:r>
      <w:r>
        <w:rPr>
          <w:rFonts w:hint="eastAsia" w:ascii="Calibri" w:hAnsi="Calibri" w:eastAsia="宋体" w:cs="宋体"/>
          <w:color w:val="auto"/>
          <w:kern w:val="0"/>
          <w:sz w:val="24"/>
          <w:szCs w:val="24"/>
          <w:lang w:val="en-US" w:eastAsia="zh-CN"/>
        </w:rPr>
        <w:t>项目组应</w:t>
      </w:r>
      <w:r>
        <w:rPr>
          <w:rFonts w:hint="eastAsia" w:ascii="Calibri" w:hAnsi="Calibri" w:eastAsia="宋体" w:cs="宋体"/>
          <w:color w:val="auto"/>
          <w:kern w:val="0"/>
          <w:sz w:val="24"/>
          <w:szCs w:val="24"/>
        </w:rPr>
        <w:t>为</w:t>
      </w:r>
      <w:r>
        <w:rPr>
          <w:rFonts w:hint="eastAsia" w:ascii="Calibri" w:hAnsi="Calibri" w:eastAsia="宋体" w:cs="宋体"/>
          <w:color w:val="auto"/>
          <w:kern w:val="0"/>
          <w:sz w:val="24"/>
          <w:szCs w:val="24"/>
          <w:lang w:val="en-US" w:eastAsia="zh-CN"/>
        </w:rPr>
        <w:t>采购人</w:t>
      </w:r>
      <w:r>
        <w:rPr>
          <w:rFonts w:hint="eastAsia" w:ascii="Calibri" w:hAnsi="Calibri" w:eastAsia="宋体" w:cs="宋体"/>
          <w:color w:val="auto"/>
          <w:kern w:val="0"/>
          <w:sz w:val="24"/>
          <w:szCs w:val="24"/>
        </w:rPr>
        <w:t>提供数据核查及不合格食品生产企业的现场核查等其他配套服务。</w:t>
      </w:r>
    </w:p>
    <w:p w14:paraId="1560398F">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w:t>
      </w:r>
      <w:r>
        <w:rPr>
          <w:rFonts w:hint="eastAsia" w:ascii="Calibri" w:hAnsi="Calibri" w:eastAsia="宋体" w:cs="宋体"/>
          <w:color w:val="auto"/>
          <w:kern w:val="0"/>
          <w:sz w:val="24"/>
          <w:szCs w:val="24"/>
          <w:lang w:val="en-US" w:eastAsia="zh-CN"/>
        </w:rPr>
        <w:t>13</w:t>
      </w:r>
      <w:r>
        <w:rPr>
          <w:rFonts w:hint="eastAsia" w:ascii="Calibri" w:hAnsi="Calibri" w:eastAsia="宋体" w:cs="宋体"/>
          <w:color w:val="auto"/>
          <w:kern w:val="0"/>
          <w:sz w:val="24"/>
          <w:szCs w:val="24"/>
        </w:rPr>
        <w:t>）如无充分理由主要项目部人员不得中途更换，确需更换的须以书面形式征得采购人同意。如因</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的人力、能力不足致使项目不能按计划完成时，采购人可要求</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增加或替换为满足采购人要求的工作人员，</w:t>
      </w:r>
      <w:r>
        <w:rPr>
          <w:rFonts w:hint="eastAsia" w:ascii="Calibri" w:hAnsi="Calibri" w:eastAsia="宋体" w:cs="宋体"/>
          <w:color w:val="auto"/>
          <w:kern w:val="0"/>
          <w:sz w:val="24"/>
          <w:szCs w:val="24"/>
          <w:lang w:val="en-US" w:eastAsia="zh-CN"/>
        </w:rPr>
        <w:t>成交供应商</w:t>
      </w:r>
      <w:r>
        <w:rPr>
          <w:rFonts w:hint="eastAsia" w:ascii="Calibri" w:hAnsi="Calibri" w:eastAsia="宋体" w:cs="宋体"/>
          <w:color w:val="auto"/>
          <w:kern w:val="0"/>
          <w:sz w:val="24"/>
          <w:szCs w:val="24"/>
        </w:rPr>
        <w:t>不得拒绝。</w:t>
      </w:r>
    </w:p>
    <w:p w14:paraId="7E7B6EC6">
      <w:pPr>
        <w:keepNext w:val="0"/>
        <w:keepLines w:val="0"/>
        <w:pageBreakBefore w:val="0"/>
        <w:widowControl/>
        <w:kinsoku/>
        <w:wordWrap/>
        <w:overflowPunct/>
        <w:topLinePunct w:val="0"/>
        <w:autoSpaceDE/>
        <w:autoSpaceDN/>
        <w:bidi w:val="0"/>
        <w:adjustRightInd/>
        <w:snapToGrid/>
        <w:spacing w:after="0"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bidi="ar-SA"/>
        </w:rPr>
      </w:pPr>
      <w:r>
        <w:rPr>
          <w:rFonts w:hint="eastAsia" w:ascii="Calibri" w:hAnsi="Calibri" w:eastAsia="宋体" w:cs="宋体"/>
          <w:color w:val="auto"/>
          <w:kern w:val="0"/>
          <w:sz w:val="24"/>
          <w:szCs w:val="24"/>
          <w:lang w:val="en-US" w:eastAsia="zh-CN" w:bidi="ar-SA"/>
        </w:rPr>
        <w:t>（14）项目验收要求：成交供应商出具的检验结果报告需通过采购人和有关部门验收。</w:t>
      </w:r>
    </w:p>
    <w:p w14:paraId="7697C0E6">
      <w:pPr>
        <w:keepNext w:val="0"/>
        <w:keepLines w:val="0"/>
        <w:pageBreakBefore w:val="0"/>
        <w:widowControl/>
        <w:kinsoku/>
        <w:wordWrap/>
        <w:overflowPunct/>
        <w:topLinePunct w:val="0"/>
        <w:autoSpaceDE/>
        <w:autoSpaceDN/>
        <w:bidi w:val="0"/>
        <w:adjustRightInd/>
        <w:snapToGrid/>
        <w:spacing w:line="400" w:lineRule="atLeast"/>
        <w:ind w:firstLine="482" w:firstLineChars="200"/>
        <w:jc w:val="left"/>
        <w:textAlignment w:val="auto"/>
        <w:rPr>
          <w:rFonts w:hint="eastAsia" w:ascii="Calibri" w:hAnsi="Calibri" w:eastAsia="宋体" w:cs="宋体"/>
          <w:b/>
          <w:bCs/>
          <w:color w:val="auto"/>
          <w:kern w:val="0"/>
          <w:sz w:val="24"/>
          <w:szCs w:val="24"/>
          <w:lang w:val="en-US" w:eastAsia="zh-CN"/>
        </w:rPr>
      </w:pPr>
      <w:r>
        <w:rPr>
          <w:rFonts w:hint="eastAsia" w:ascii="Calibri" w:hAnsi="Calibri" w:eastAsia="宋体" w:cs="宋体"/>
          <w:b/>
          <w:bCs/>
          <w:color w:val="auto"/>
          <w:kern w:val="0"/>
          <w:sz w:val="24"/>
          <w:szCs w:val="24"/>
          <w:lang w:val="en-US" w:eastAsia="zh-CN"/>
        </w:rPr>
        <w:t>三、技术要求</w:t>
      </w:r>
    </w:p>
    <w:p w14:paraId="1A99974D">
      <w:pPr>
        <w:keepNext w:val="0"/>
        <w:keepLines w:val="0"/>
        <w:pageBreakBefore w:val="0"/>
        <w:widowControl/>
        <w:kinsoku/>
        <w:wordWrap/>
        <w:overflowPunct/>
        <w:topLinePunct w:val="0"/>
        <w:autoSpaceDE/>
        <w:autoSpaceDN/>
        <w:bidi w:val="0"/>
        <w:adjustRightInd/>
        <w:snapToGrid/>
        <w:spacing w:after="0"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bidi="ar-SA"/>
        </w:rPr>
      </w:pPr>
      <w:r>
        <w:rPr>
          <w:rFonts w:hint="eastAsia" w:ascii="Calibri" w:hAnsi="Calibri" w:eastAsia="宋体" w:cs="宋体"/>
          <w:color w:val="auto"/>
          <w:kern w:val="0"/>
          <w:sz w:val="24"/>
          <w:szCs w:val="24"/>
          <w:lang w:val="en-US" w:eastAsia="zh-CN" w:bidi="ar-SA"/>
        </w:rPr>
        <w:t>（1）采购人制定抽样计划后，应及时将检测批次、品种、检验项目以及具体任务分配等通知成交供应商。</w:t>
      </w:r>
    </w:p>
    <w:p w14:paraId="54094F70">
      <w:pPr>
        <w:keepNext w:val="0"/>
        <w:keepLines w:val="0"/>
        <w:pageBreakBefore w:val="0"/>
        <w:widowControl/>
        <w:kinsoku/>
        <w:wordWrap/>
        <w:overflowPunct/>
        <w:topLinePunct w:val="0"/>
        <w:autoSpaceDE/>
        <w:autoSpaceDN/>
        <w:bidi w:val="0"/>
        <w:adjustRightInd/>
        <w:snapToGrid/>
        <w:spacing w:after="0"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bidi="ar-SA"/>
        </w:rPr>
      </w:pPr>
      <w:r>
        <w:rPr>
          <w:rFonts w:hint="eastAsia" w:ascii="Calibri" w:hAnsi="Calibri" w:eastAsia="宋体" w:cs="宋体"/>
          <w:color w:val="auto"/>
          <w:kern w:val="0"/>
          <w:sz w:val="24"/>
          <w:szCs w:val="24"/>
          <w:lang w:val="en-US" w:eastAsia="zh-CN" w:bidi="ar-SA"/>
        </w:rPr>
        <w:t>（2）成交供应商应当在接到抽样检验任务后两日内，编制《检测细则》，内容包括抽样方法、检验项目、检验标准、判定原则等。《检测细则》应当经采购人认可方可实施。</w:t>
      </w:r>
    </w:p>
    <w:p w14:paraId="2F2D2FC6">
      <w:pPr>
        <w:keepNext w:val="0"/>
        <w:keepLines w:val="0"/>
        <w:pageBreakBefore w:val="0"/>
        <w:widowControl/>
        <w:kinsoku/>
        <w:wordWrap/>
        <w:overflowPunct/>
        <w:topLinePunct w:val="0"/>
        <w:autoSpaceDE/>
        <w:autoSpaceDN/>
        <w:bidi w:val="0"/>
        <w:adjustRightInd/>
        <w:snapToGrid/>
        <w:spacing w:after="0"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bidi="ar-SA"/>
        </w:rPr>
      </w:pPr>
      <w:r>
        <w:rPr>
          <w:rFonts w:hint="eastAsia" w:ascii="Calibri" w:hAnsi="Calibri" w:eastAsia="宋体" w:cs="宋体"/>
          <w:color w:val="auto"/>
          <w:kern w:val="0"/>
          <w:sz w:val="24"/>
          <w:szCs w:val="24"/>
          <w:lang w:val="en-US" w:eastAsia="zh-CN" w:bidi="ar-SA"/>
        </w:rPr>
        <w:t>①检验项目应依据检验任务、国家食品安全标准、标签明示值确定。</w:t>
      </w:r>
    </w:p>
    <w:p w14:paraId="495EB4DF">
      <w:pPr>
        <w:keepNext w:val="0"/>
        <w:keepLines w:val="0"/>
        <w:pageBreakBefore w:val="0"/>
        <w:widowControl/>
        <w:kinsoku/>
        <w:wordWrap/>
        <w:overflowPunct/>
        <w:topLinePunct w:val="0"/>
        <w:autoSpaceDE/>
        <w:autoSpaceDN/>
        <w:bidi w:val="0"/>
        <w:adjustRightInd/>
        <w:snapToGrid/>
        <w:spacing w:after="0"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bidi="ar-SA"/>
        </w:rPr>
      </w:pPr>
      <w:r>
        <w:rPr>
          <w:rFonts w:hint="eastAsia" w:ascii="Calibri" w:hAnsi="Calibri" w:eastAsia="宋体" w:cs="宋体"/>
          <w:color w:val="auto"/>
          <w:kern w:val="0"/>
          <w:sz w:val="24"/>
          <w:szCs w:val="24"/>
          <w:lang w:val="en-US" w:eastAsia="zh-CN" w:bidi="ar-SA"/>
        </w:rPr>
        <w:t>②抽样方法、检验标准、判定原则应依据食品标准（国家标准）以及国家市场监管总局的有关食品抽样要求编制，涉及安全性指标的项目不得低于国家强制性标准要求。</w:t>
      </w:r>
    </w:p>
    <w:p w14:paraId="3035B5BE">
      <w:pPr>
        <w:keepNext w:val="0"/>
        <w:keepLines w:val="0"/>
        <w:pageBreakBefore w:val="0"/>
        <w:widowControl/>
        <w:kinsoku/>
        <w:wordWrap/>
        <w:overflowPunct/>
        <w:topLinePunct w:val="0"/>
        <w:autoSpaceDE/>
        <w:autoSpaceDN/>
        <w:bidi w:val="0"/>
        <w:adjustRightInd/>
        <w:snapToGrid/>
        <w:spacing w:after="0" w:line="400" w:lineRule="atLeast"/>
        <w:ind w:left="0" w:leftChars="0" w:firstLine="480" w:firstLineChars="200"/>
        <w:jc w:val="left"/>
        <w:textAlignment w:val="auto"/>
        <w:rPr>
          <w:rFonts w:hint="eastAsia" w:ascii="Calibri" w:hAnsi="Calibri" w:eastAsia="宋体" w:cs="宋体"/>
          <w:color w:val="auto"/>
          <w:kern w:val="0"/>
          <w:sz w:val="24"/>
          <w:szCs w:val="24"/>
          <w:lang w:val="en-US" w:eastAsia="zh-CN" w:bidi="ar-SA"/>
        </w:rPr>
      </w:pPr>
      <w:r>
        <w:rPr>
          <w:rFonts w:hint="eastAsia" w:ascii="Calibri" w:hAnsi="Calibri" w:eastAsia="宋体" w:cs="宋体"/>
          <w:color w:val="auto"/>
          <w:kern w:val="0"/>
          <w:sz w:val="24"/>
          <w:szCs w:val="24"/>
          <w:lang w:val="en-US" w:eastAsia="zh-CN" w:bidi="ar-SA"/>
        </w:rPr>
        <w:t>（3）如涉及标签的单项判定，应按国家相关标签标识标准要求判定。</w:t>
      </w:r>
    </w:p>
    <w:p w14:paraId="7DEB6E74">
      <w:pPr>
        <w:keepNext w:val="0"/>
        <w:keepLines w:val="0"/>
        <w:pageBreakBefore w:val="0"/>
        <w:widowControl/>
        <w:kinsoku/>
        <w:wordWrap/>
        <w:overflowPunct/>
        <w:topLinePunct w:val="0"/>
        <w:autoSpaceDE/>
        <w:autoSpaceDN/>
        <w:bidi w:val="0"/>
        <w:adjustRightInd/>
        <w:snapToGrid/>
        <w:spacing w:line="400" w:lineRule="atLeast"/>
        <w:ind w:left="0" w:leftChars="0" w:firstLine="482" w:firstLineChars="200"/>
        <w:jc w:val="left"/>
        <w:textAlignment w:val="auto"/>
        <w:rPr>
          <w:rFonts w:hint="eastAsia" w:ascii="Calibri" w:hAnsi="Calibri" w:eastAsia="宋体" w:cs="宋体"/>
          <w:b/>
          <w:bCs/>
          <w:color w:val="auto"/>
          <w:kern w:val="0"/>
          <w:sz w:val="24"/>
          <w:szCs w:val="24"/>
          <w:lang w:val="en-US" w:eastAsia="zh-CN"/>
        </w:rPr>
      </w:pPr>
      <w:r>
        <w:rPr>
          <w:rFonts w:hint="eastAsia" w:ascii="Calibri" w:hAnsi="Calibri" w:eastAsia="宋体" w:cs="宋体"/>
          <w:b/>
          <w:bCs/>
          <w:color w:val="auto"/>
          <w:kern w:val="0"/>
          <w:sz w:val="24"/>
          <w:szCs w:val="24"/>
          <w:lang w:val="en-US" w:eastAsia="zh-CN"/>
        </w:rPr>
        <w:t>四、违约责任</w:t>
      </w:r>
    </w:p>
    <w:p w14:paraId="4846C9FF">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（1）因承检机构原因造成的检测程序违法、检测结果错误，由此造成采购人在行政复议中被确认违法或行政诉讼败诉，承检机构应当承担相关法律责任，包括赔偿采购人损失、支付违约金等。</w:t>
      </w:r>
    </w:p>
    <w:p w14:paraId="5C7115E9">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2）承检机构的工作未达到本次招标要求的（例如：服务响应时间超过招标规定时间要求的），采购人有权要求承检机构进行整改，如整改后仍达不到要求的采购人有权要求立即终止合同，并有权追究其违约责任。</w:t>
      </w:r>
    </w:p>
    <w:p w14:paraId="72F175DC">
      <w:pPr>
        <w:keepNext w:val="0"/>
        <w:keepLines w:val="0"/>
        <w:pageBreakBefore w:val="0"/>
        <w:widowControl/>
        <w:kinsoku/>
        <w:wordWrap/>
        <w:overflowPunct/>
        <w:topLinePunct w:val="0"/>
        <w:autoSpaceDE/>
        <w:autoSpaceDN/>
        <w:bidi w:val="0"/>
        <w:adjustRightInd/>
        <w:snapToGrid/>
        <w:spacing w:line="400" w:lineRule="atLeast"/>
        <w:ind w:left="0" w:leftChars="0" w:firstLine="482" w:firstLineChars="200"/>
        <w:jc w:val="left"/>
        <w:textAlignment w:val="auto"/>
        <w:rPr>
          <w:rFonts w:hint="eastAsia" w:ascii="Calibri" w:hAnsi="Calibri" w:eastAsia="宋体" w:cs="宋体"/>
          <w:b/>
          <w:bCs/>
          <w:color w:val="auto"/>
          <w:kern w:val="0"/>
          <w:sz w:val="24"/>
          <w:szCs w:val="24"/>
          <w:lang w:val="en-US" w:eastAsia="zh-CN"/>
        </w:rPr>
      </w:pPr>
      <w:r>
        <w:rPr>
          <w:rFonts w:hint="eastAsia" w:ascii="Calibri" w:hAnsi="Calibri" w:eastAsia="宋体" w:cs="宋体"/>
          <w:b/>
          <w:bCs/>
          <w:color w:val="auto"/>
          <w:kern w:val="0"/>
          <w:sz w:val="24"/>
          <w:szCs w:val="24"/>
          <w:lang w:val="en-US" w:eastAsia="zh-CN"/>
        </w:rPr>
        <w:t>五、验收标准（验收要求、验收标准和程序）</w:t>
      </w:r>
    </w:p>
    <w:p w14:paraId="612EC08A">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rPr>
        <w:t>一</w:t>
      </w: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rPr>
        <w:t>验收标准：以</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的</w:t>
      </w:r>
      <w:r>
        <w:rPr>
          <w:rFonts w:hint="eastAsia" w:ascii="Calibri" w:hAnsi="Calibri" w:eastAsia="宋体" w:cs="宋体"/>
          <w:color w:val="auto"/>
          <w:kern w:val="0"/>
          <w:sz w:val="24"/>
          <w:szCs w:val="24"/>
          <w:lang w:val="en-US" w:eastAsia="zh-CN"/>
        </w:rPr>
        <w:t>响应</w:t>
      </w:r>
      <w:r>
        <w:rPr>
          <w:rFonts w:hint="eastAsia" w:ascii="Calibri" w:hAnsi="Calibri" w:eastAsia="宋体" w:cs="宋体"/>
          <w:color w:val="auto"/>
          <w:kern w:val="0"/>
          <w:sz w:val="24"/>
          <w:szCs w:val="24"/>
        </w:rPr>
        <w:t>文件和</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的澄清、说明或者更正为验收标准；</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的</w:t>
      </w:r>
      <w:r>
        <w:rPr>
          <w:rFonts w:hint="eastAsia" w:ascii="Calibri" w:hAnsi="Calibri" w:eastAsia="宋体" w:cs="宋体"/>
          <w:color w:val="auto"/>
          <w:kern w:val="0"/>
          <w:sz w:val="24"/>
          <w:szCs w:val="24"/>
          <w:lang w:val="en-US" w:eastAsia="zh-CN"/>
        </w:rPr>
        <w:t>响应</w:t>
      </w:r>
      <w:r>
        <w:rPr>
          <w:rFonts w:hint="eastAsia" w:ascii="Calibri" w:hAnsi="Calibri" w:eastAsia="宋体" w:cs="宋体"/>
          <w:color w:val="auto"/>
          <w:kern w:val="0"/>
          <w:sz w:val="24"/>
          <w:szCs w:val="24"/>
        </w:rPr>
        <w:t>文件和</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的澄清、说明或者更正不明确的，以《</w:t>
      </w:r>
      <w:r>
        <w:rPr>
          <w:rFonts w:hint="eastAsia" w:ascii="Calibri" w:hAnsi="Calibri" w:eastAsia="宋体" w:cs="宋体"/>
          <w:color w:val="auto"/>
          <w:kern w:val="0"/>
          <w:sz w:val="24"/>
          <w:szCs w:val="24"/>
          <w:lang w:val="en-US" w:eastAsia="zh-CN"/>
        </w:rPr>
        <w:t>磋商</w:t>
      </w:r>
      <w:r>
        <w:rPr>
          <w:rFonts w:hint="eastAsia" w:ascii="Calibri" w:hAnsi="Calibri" w:eastAsia="宋体" w:cs="宋体"/>
          <w:color w:val="auto"/>
          <w:kern w:val="0"/>
          <w:sz w:val="24"/>
          <w:szCs w:val="24"/>
        </w:rPr>
        <w:t>文件》相关要求为验收标准；</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的</w:t>
      </w:r>
      <w:r>
        <w:rPr>
          <w:rFonts w:hint="eastAsia" w:ascii="Calibri" w:hAnsi="Calibri" w:eastAsia="宋体" w:cs="宋体"/>
          <w:color w:val="auto"/>
          <w:kern w:val="0"/>
          <w:sz w:val="24"/>
          <w:szCs w:val="24"/>
          <w:lang w:val="en-US" w:eastAsia="zh-CN"/>
        </w:rPr>
        <w:t>响应</w:t>
      </w:r>
      <w:r>
        <w:rPr>
          <w:rFonts w:hint="eastAsia" w:ascii="Calibri" w:hAnsi="Calibri" w:eastAsia="宋体" w:cs="宋体"/>
          <w:color w:val="auto"/>
          <w:kern w:val="0"/>
          <w:sz w:val="24"/>
          <w:szCs w:val="24"/>
        </w:rPr>
        <w:t>文件和</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rPr>
        <w:t>的澄清、说明或者更正和《</w:t>
      </w:r>
      <w:r>
        <w:rPr>
          <w:rFonts w:hint="eastAsia" w:ascii="Calibri" w:hAnsi="Calibri" w:eastAsia="宋体" w:cs="宋体"/>
          <w:color w:val="auto"/>
          <w:kern w:val="0"/>
          <w:sz w:val="24"/>
          <w:szCs w:val="24"/>
          <w:lang w:val="en-US" w:eastAsia="zh-CN"/>
        </w:rPr>
        <w:t>磋商</w:t>
      </w:r>
      <w:r>
        <w:rPr>
          <w:rFonts w:hint="eastAsia" w:ascii="Calibri" w:hAnsi="Calibri" w:eastAsia="宋体" w:cs="宋体"/>
          <w:color w:val="auto"/>
          <w:kern w:val="0"/>
          <w:sz w:val="24"/>
          <w:szCs w:val="24"/>
        </w:rPr>
        <w:t>文件》相关要求都不明确的，按国家相关标准；以上都不明确的，以通常标准为准。</w:t>
      </w:r>
    </w:p>
    <w:p w14:paraId="4CD5F9D5">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lang w:eastAsia="zh-CN"/>
        </w:rPr>
      </w:pP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lang w:val="en-US" w:eastAsia="zh-CN"/>
        </w:rPr>
        <w:t>二</w:t>
      </w:r>
      <w:r>
        <w:rPr>
          <w:rFonts w:hint="eastAsia" w:ascii="Calibri" w:hAnsi="Calibri" w:eastAsia="宋体" w:cs="宋体"/>
          <w:color w:val="auto"/>
          <w:kern w:val="0"/>
          <w:sz w:val="24"/>
          <w:szCs w:val="24"/>
          <w:lang w:eastAsia="zh-CN"/>
        </w:rPr>
        <w:t>）验收程序：支付合同款前，</w:t>
      </w:r>
      <w:r>
        <w:rPr>
          <w:rFonts w:hint="eastAsia" w:ascii="Calibri" w:hAnsi="Calibri" w:eastAsia="宋体" w:cs="宋体"/>
          <w:color w:val="auto"/>
          <w:kern w:val="0"/>
          <w:sz w:val="24"/>
          <w:szCs w:val="24"/>
          <w:lang w:val="en-US" w:eastAsia="zh-CN"/>
        </w:rPr>
        <w:t>供应商</w:t>
      </w:r>
      <w:r>
        <w:rPr>
          <w:rFonts w:hint="eastAsia" w:ascii="Calibri" w:hAnsi="Calibri" w:eastAsia="宋体" w:cs="宋体"/>
          <w:color w:val="auto"/>
          <w:kern w:val="0"/>
          <w:sz w:val="24"/>
          <w:szCs w:val="24"/>
          <w:lang w:eastAsia="zh-CN"/>
        </w:rPr>
        <w:t>可向采购人书面提出验收要求，采购人在接到书面要求后20日内进行验收。</w:t>
      </w:r>
    </w:p>
    <w:p w14:paraId="29E43C80">
      <w:pPr>
        <w:keepNext w:val="0"/>
        <w:keepLines w:val="0"/>
        <w:pageBreakBefore w:val="0"/>
        <w:widowControl/>
        <w:kinsoku/>
        <w:wordWrap/>
        <w:overflowPunct/>
        <w:topLinePunct w:val="0"/>
        <w:autoSpaceDE/>
        <w:autoSpaceDN/>
        <w:bidi w:val="0"/>
        <w:adjustRightInd/>
        <w:snapToGrid/>
        <w:spacing w:line="400" w:lineRule="atLeast"/>
        <w:ind w:left="0" w:leftChars="0" w:firstLine="482"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b/>
          <w:bCs/>
          <w:color w:val="auto"/>
          <w:kern w:val="0"/>
          <w:sz w:val="24"/>
          <w:szCs w:val="24"/>
          <w:lang w:val="en-US" w:eastAsia="zh-CN"/>
        </w:rPr>
        <w:t>六</w:t>
      </w:r>
      <w:r>
        <w:rPr>
          <w:rFonts w:hint="eastAsia" w:ascii="Calibri" w:hAnsi="Calibri" w:eastAsia="宋体" w:cs="宋体"/>
          <w:b/>
          <w:bCs/>
          <w:color w:val="auto"/>
          <w:kern w:val="0"/>
          <w:sz w:val="24"/>
          <w:szCs w:val="24"/>
        </w:rPr>
        <w:t>、其他要求</w:t>
      </w:r>
    </w:p>
    <w:p w14:paraId="75D42321">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rPr>
      </w:pPr>
      <w:r>
        <w:rPr>
          <w:rFonts w:hint="eastAsia" w:ascii="Calibri" w:hAnsi="Calibri" w:eastAsia="宋体" w:cs="宋体"/>
          <w:color w:val="auto"/>
          <w:kern w:val="0"/>
          <w:sz w:val="24"/>
          <w:szCs w:val="24"/>
        </w:rPr>
        <w:t>1、对抽检不合格率，抽检数据质量的要求。抽检不合格率符合铜山区市场监督管理局的工作要求，上级局对抽检数据质量检查没有发现问题，按</w:t>
      </w:r>
      <w:r>
        <w:rPr>
          <w:rFonts w:hint="eastAsia" w:ascii="Calibri" w:hAnsi="Calibri" w:eastAsia="宋体" w:cs="宋体"/>
          <w:color w:val="auto"/>
          <w:kern w:val="0"/>
          <w:sz w:val="24"/>
          <w:szCs w:val="24"/>
          <w:lang w:val="en-US" w:eastAsia="zh-CN"/>
        </w:rPr>
        <w:t>成交</w:t>
      </w:r>
      <w:r>
        <w:rPr>
          <w:rFonts w:hint="eastAsia" w:ascii="Calibri" w:hAnsi="Calibri" w:eastAsia="宋体" w:cs="宋体"/>
          <w:color w:val="auto"/>
          <w:kern w:val="0"/>
          <w:sz w:val="24"/>
          <w:szCs w:val="24"/>
        </w:rPr>
        <w:t>价格全额支付项目费用；抽检不合格率不符合铜山区市场监督管理局的工作要求，或上级局对抽检数据质量检查发现存在问题，按</w:t>
      </w:r>
      <w:r>
        <w:rPr>
          <w:rFonts w:hint="eastAsia" w:ascii="Calibri" w:hAnsi="Calibri" w:eastAsia="宋体" w:cs="宋体"/>
          <w:color w:val="auto"/>
          <w:kern w:val="0"/>
          <w:sz w:val="24"/>
          <w:szCs w:val="24"/>
          <w:lang w:val="en-US" w:eastAsia="zh-CN"/>
        </w:rPr>
        <w:t>成交</w:t>
      </w:r>
      <w:r>
        <w:rPr>
          <w:rFonts w:hint="eastAsia" w:ascii="Calibri" w:hAnsi="Calibri" w:eastAsia="宋体" w:cs="宋体"/>
          <w:color w:val="auto"/>
          <w:kern w:val="0"/>
          <w:sz w:val="24"/>
          <w:szCs w:val="24"/>
        </w:rPr>
        <w:t>价格的90%支付。</w:t>
      </w:r>
    </w:p>
    <w:bookmarkEnd w:id="0"/>
    <w:bookmarkEnd w:id="1"/>
    <w:bookmarkEnd w:id="2"/>
    <w:bookmarkEnd w:id="3"/>
    <w:bookmarkEnd w:id="4"/>
    <w:bookmarkEnd w:id="5"/>
    <w:bookmarkEnd w:id="6"/>
    <w:bookmarkEnd w:id="7"/>
    <w:bookmarkEnd w:id="8"/>
    <w:bookmarkEnd w:id="9"/>
    <w:bookmarkEnd w:id="10"/>
    <w:bookmarkEnd w:id="11"/>
    <w:bookmarkEnd w:id="12"/>
    <w:p w14:paraId="5291E0DB">
      <w:pPr>
        <w:keepNext w:val="0"/>
        <w:keepLines w:val="0"/>
        <w:pageBreakBefore w:val="0"/>
        <w:widowControl/>
        <w:kinsoku/>
        <w:wordWrap/>
        <w:overflowPunct/>
        <w:topLinePunct w:val="0"/>
        <w:autoSpaceDE/>
        <w:autoSpaceDN/>
        <w:bidi w:val="0"/>
        <w:adjustRightInd/>
        <w:snapToGrid/>
        <w:spacing w:line="400" w:lineRule="atLeast"/>
        <w:ind w:left="0" w:leftChars="0" w:firstLine="480" w:firstLineChars="200"/>
        <w:jc w:val="left"/>
        <w:textAlignment w:val="auto"/>
        <w:rPr>
          <w:rFonts w:hint="eastAsia" w:ascii="Calibri" w:hAnsi="Calibri" w:eastAsia="宋体" w:cs="宋体"/>
          <w:color w:val="auto"/>
          <w:kern w:val="0"/>
          <w:sz w:val="24"/>
          <w:szCs w:val="24"/>
          <w:highlight w:val="none"/>
        </w:rPr>
      </w:pPr>
      <w:r>
        <w:rPr>
          <w:rFonts w:hint="eastAsia" w:ascii="Calibri" w:hAnsi="Calibri" w:eastAsia="宋体" w:cs="宋体"/>
          <w:color w:val="auto"/>
          <w:kern w:val="0"/>
          <w:sz w:val="24"/>
          <w:szCs w:val="24"/>
          <w:highlight w:val="none"/>
        </w:rPr>
        <w:t>2、投标人可同时</w:t>
      </w:r>
      <w:r>
        <w:rPr>
          <w:rFonts w:hint="eastAsia" w:ascii="Calibri" w:hAnsi="Calibri" w:eastAsia="宋体" w:cs="宋体"/>
          <w:color w:val="auto"/>
          <w:kern w:val="0"/>
          <w:sz w:val="24"/>
          <w:szCs w:val="24"/>
          <w:highlight w:val="none"/>
          <w:lang w:val="en-US" w:eastAsia="zh-CN"/>
        </w:rPr>
        <w:t>对3</w:t>
      </w:r>
      <w:r>
        <w:rPr>
          <w:rFonts w:hint="eastAsia" w:ascii="Calibri" w:hAnsi="Calibri" w:eastAsia="宋体" w:cs="宋体"/>
          <w:color w:val="auto"/>
          <w:kern w:val="0"/>
          <w:sz w:val="24"/>
          <w:szCs w:val="24"/>
          <w:highlight w:val="none"/>
        </w:rPr>
        <w:t>个采购包</w:t>
      </w:r>
      <w:r>
        <w:rPr>
          <w:rFonts w:hint="eastAsia" w:ascii="Calibri" w:hAnsi="Calibri" w:eastAsia="宋体" w:cs="宋体"/>
          <w:color w:val="auto"/>
          <w:kern w:val="0"/>
          <w:sz w:val="24"/>
          <w:szCs w:val="24"/>
          <w:highlight w:val="none"/>
          <w:lang w:val="en-US" w:eastAsia="zh-CN"/>
        </w:rPr>
        <w:t>投标</w:t>
      </w:r>
      <w:r>
        <w:rPr>
          <w:rFonts w:hint="eastAsia" w:ascii="Calibri" w:hAnsi="Calibri" w:eastAsia="宋体" w:cs="宋体"/>
          <w:color w:val="auto"/>
          <w:kern w:val="0"/>
          <w:sz w:val="24"/>
          <w:szCs w:val="24"/>
          <w:highlight w:val="none"/>
          <w:lang w:eastAsia="zh-CN"/>
        </w:rPr>
        <w:t>，</w:t>
      </w:r>
      <w:r>
        <w:rPr>
          <w:rFonts w:hint="eastAsia" w:ascii="Calibri" w:hAnsi="Calibri" w:eastAsia="宋体" w:cs="宋体"/>
          <w:color w:val="auto"/>
          <w:kern w:val="0"/>
          <w:sz w:val="24"/>
          <w:szCs w:val="24"/>
        </w:rPr>
        <w:t>评审顺序为采购包一、采购包二、采购包三</w:t>
      </w:r>
      <w:r>
        <w:rPr>
          <w:rFonts w:hint="eastAsia" w:ascii="Calibri" w:hAnsi="Calibri" w:eastAsia="宋体" w:cs="宋体"/>
          <w:color w:val="auto"/>
          <w:kern w:val="0"/>
          <w:sz w:val="24"/>
          <w:szCs w:val="24"/>
          <w:lang w:eastAsia="zh-CN"/>
        </w:rPr>
        <w:t>，</w:t>
      </w:r>
      <w:r>
        <w:rPr>
          <w:rFonts w:hint="eastAsia" w:ascii="Calibri" w:hAnsi="Calibri" w:eastAsia="宋体" w:cs="宋体"/>
          <w:color w:val="auto"/>
          <w:kern w:val="0"/>
          <w:sz w:val="24"/>
          <w:szCs w:val="24"/>
          <w:highlight w:val="none"/>
        </w:rPr>
        <w:t>前一采购包中标</w:t>
      </w:r>
      <w:r>
        <w:rPr>
          <w:rFonts w:hint="eastAsia" w:ascii="Calibri" w:hAnsi="Calibri" w:eastAsia="宋体" w:cs="宋体"/>
          <w:color w:val="auto"/>
          <w:kern w:val="0"/>
          <w:sz w:val="24"/>
          <w:szCs w:val="24"/>
          <w:highlight w:val="none"/>
          <w:lang w:eastAsia="zh-CN"/>
        </w:rPr>
        <w:t>的</w:t>
      </w:r>
      <w:r>
        <w:rPr>
          <w:rFonts w:hint="eastAsia" w:ascii="Calibri" w:hAnsi="Calibri" w:eastAsia="宋体" w:cs="宋体"/>
          <w:color w:val="auto"/>
          <w:kern w:val="0"/>
          <w:sz w:val="24"/>
          <w:szCs w:val="24"/>
          <w:highlight w:val="none"/>
          <w:lang w:val="en-US" w:eastAsia="zh-CN"/>
        </w:rPr>
        <w:t>投标人</w:t>
      </w:r>
      <w:r>
        <w:rPr>
          <w:rFonts w:hint="eastAsia" w:ascii="Calibri" w:hAnsi="Calibri" w:eastAsia="宋体" w:cs="宋体"/>
          <w:color w:val="auto"/>
          <w:kern w:val="0"/>
          <w:sz w:val="24"/>
          <w:szCs w:val="24"/>
          <w:highlight w:val="none"/>
        </w:rPr>
        <w:t>，</w:t>
      </w:r>
      <w:r>
        <w:rPr>
          <w:rFonts w:hint="eastAsia" w:ascii="Calibri" w:hAnsi="Calibri" w:eastAsia="宋体" w:cs="宋体"/>
          <w:color w:val="auto"/>
          <w:kern w:val="0"/>
          <w:sz w:val="24"/>
          <w:szCs w:val="24"/>
          <w:highlight w:val="none"/>
          <w:lang w:val="en-US" w:eastAsia="zh-CN"/>
        </w:rPr>
        <w:t>可参与下一采购包的评审，但</w:t>
      </w:r>
      <w:r>
        <w:rPr>
          <w:rFonts w:hint="eastAsia" w:ascii="Calibri" w:hAnsi="Calibri" w:eastAsia="宋体" w:cs="宋体"/>
          <w:color w:val="auto"/>
          <w:kern w:val="0"/>
          <w:sz w:val="24"/>
          <w:szCs w:val="24"/>
          <w:highlight w:val="none"/>
        </w:rPr>
        <w:t>不得再次</w:t>
      </w:r>
      <w:r>
        <w:rPr>
          <w:rFonts w:hint="eastAsia" w:ascii="Calibri" w:hAnsi="Calibri" w:eastAsia="宋体" w:cs="宋体"/>
          <w:color w:val="auto"/>
          <w:kern w:val="0"/>
          <w:sz w:val="24"/>
          <w:szCs w:val="24"/>
          <w:highlight w:val="none"/>
          <w:lang w:val="en-US" w:eastAsia="zh-CN"/>
        </w:rPr>
        <w:t>成为中标人</w:t>
      </w:r>
      <w:r>
        <w:rPr>
          <w:rFonts w:hint="eastAsia" w:ascii="Calibri" w:hAnsi="Calibri" w:eastAsia="宋体" w:cs="宋体"/>
          <w:color w:val="auto"/>
          <w:kern w:val="0"/>
          <w:sz w:val="24"/>
          <w:szCs w:val="24"/>
          <w:highlight w:val="none"/>
        </w:rPr>
        <w:t>，不再作为后续采购包的</w:t>
      </w:r>
      <w:r>
        <w:rPr>
          <w:rFonts w:hint="eastAsia" w:ascii="Calibri" w:hAnsi="Calibri" w:eastAsia="宋体" w:cs="宋体"/>
          <w:color w:val="auto"/>
          <w:kern w:val="0"/>
          <w:sz w:val="24"/>
          <w:szCs w:val="24"/>
          <w:highlight w:val="none"/>
          <w:lang w:val="en-US" w:eastAsia="zh-CN"/>
        </w:rPr>
        <w:t>有效投标人。且各采购包中标候选人数量不得少于3家，否则</w:t>
      </w:r>
      <w:r>
        <w:rPr>
          <w:rFonts w:hint="eastAsia" w:ascii="Calibri" w:hAnsi="Calibri" w:eastAsia="宋体" w:cs="宋体"/>
          <w:color w:val="auto"/>
          <w:kern w:val="0"/>
          <w:sz w:val="24"/>
          <w:szCs w:val="24"/>
          <w:highlight w:val="none"/>
        </w:rPr>
        <w:t>该采购包按废标处理。</w:t>
      </w:r>
    </w:p>
    <w:p w14:paraId="37670310">
      <w:pPr>
        <w:pStyle w:val="21"/>
        <w:keepNext w:val="0"/>
        <w:keepLines w:val="0"/>
        <w:pageBreakBefore w:val="0"/>
        <w:kinsoku/>
        <w:wordWrap/>
        <w:overflowPunct/>
        <w:topLinePunct w:val="0"/>
        <w:autoSpaceDE/>
        <w:autoSpaceDN/>
        <w:bidi w:val="0"/>
        <w:adjustRightInd/>
        <w:snapToGrid/>
        <w:spacing w:line="400" w:lineRule="atLeast"/>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3、其他</w:t>
      </w:r>
      <w:r>
        <w:rPr>
          <w:rFonts w:hint="eastAsia" w:ascii="宋体" w:hAnsi="宋体" w:eastAsia="宋体" w:cs="宋体"/>
          <w:b/>
          <w:color w:val="auto"/>
          <w:sz w:val="24"/>
          <w:szCs w:val="24"/>
          <w:highlight w:val="none"/>
        </w:rPr>
        <w:t>见《竞争性磋商文件》附件：《</w:t>
      </w:r>
      <w:r>
        <w:rPr>
          <w:rFonts w:hint="eastAsia" w:ascii="宋体" w:hAnsi="宋体" w:eastAsia="宋体" w:cs="宋体"/>
          <w:b/>
          <w:color w:val="auto"/>
          <w:sz w:val="24"/>
          <w:szCs w:val="24"/>
          <w:highlight w:val="none"/>
          <w:lang w:eastAsia="zh-CN"/>
        </w:rPr>
        <w:t>拟签订的</w:t>
      </w:r>
      <w:r>
        <w:rPr>
          <w:rFonts w:hint="eastAsia" w:ascii="宋体" w:hAnsi="宋体" w:eastAsia="宋体" w:cs="宋体"/>
          <w:b/>
          <w:color w:val="auto"/>
          <w:sz w:val="24"/>
          <w:szCs w:val="24"/>
          <w:highlight w:val="none"/>
        </w:rPr>
        <w:t>合同</w:t>
      </w:r>
      <w:r>
        <w:rPr>
          <w:rFonts w:hint="eastAsia" w:ascii="宋体" w:hAnsi="宋体" w:eastAsia="宋体" w:cs="宋体"/>
          <w:b/>
          <w:color w:val="auto"/>
          <w:sz w:val="24"/>
          <w:szCs w:val="24"/>
          <w:highlight w:val="none"/>
          <w:lang w:eastAsia="zh-CN"/>
        </w:rPr>
        <w:t>文本</w:t>
      </w:r>
      <w:r>
        <w:rPr>
          <w:rFonts w:hint="eastAsia" w:ascii="宋体" w:hAnsi="宋体" w:eastAsia="宋体" w:cs="宋体"/>
          <w:b/>
          <w:color w:val="auto"/>
          <w:sz w:val="24"/>
          <w:szCs w:val="24"/>
          <w:highlight w:val="none"/>
        </w:rPr>
        <w:t>》</w:t>
      </w:r>
    </w:p>
    <w:p w14:paraId="17ADFDA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atLeast"/>
        <w:ind w:firstLine="482" w:firstLineChars="200"/>
        <w:textAlignment w:val="auto"/>
        <w:rPr>
          <w:rFonts w:hint="eastAsia" w:ascii="宋体" w:hAnsi="宋体" w:eastAsia="宋体" w:cs="宋体"/>
          <w:b/>
          <w:bCs/>
          <w:color w:val="000000"/>
          <w:kern w:val="0"/>
          <w:sz w:val="24"/>
          <w:highlight w:val="none"/>
        </w:rPr>
      </w:pPr>
      <w:bookmarkStart w:id="13" w:name="_GoBack"/>
      <w:bookmarkEnd w:id="13"/>
    </w:p>
    <w:p w14:paraId="29E70259">
      <w:pPr>
        <w:pBdr>
          <w:top w:val="none" w:color="000000" w:sz="0" w:space="0"/>
          <w:left w:val="none" w:color="000000" w:sz="0" w:space="0"/>
          <w:bottom w:val="none" w:color="000000" w:sz="0" w:space="0"/>
          <w:right w:val="none" w:color="000000" w:sz="0" w:space="0"/>
        </w:pBdr>
        <w:spacing w:before="0" w:after="0"/>
        <w:ind w:left="0" w:right="0" w:firstLine="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FA75E9"/>
    <w:rsid w:val="00C14B87"/>
    <w:rsid w:val="08422DA8"/>
    <w:rsid w:val="136F7498"/>
    <w:rsid w:val="155203F3"/>
    <w:rsid w:val="210C3AEC"/>
    <w:rsid w:val="23CE7442"/>
    <w:rsid w:val="38AB2CA1"/>
    <w:rsid w:val="3B005CDB"/>
    <w:rsid w:val="43490C7D"/>
    <w:rsid w:val="488C6E00"/>
    <w:rsid w:val="4FE04410"/>
    <w:rsid w:val="55FA75E9"/>
    <w:rsid w:val="57807F63"/>
    <w:rsid w:val="5D986A78"/>
    <w:rsid w:val="634822C3"/>
    <w:rsid w:val="65146CC3"/>
    <w:rsid w:val="67210015"/>
    <w:rsid w:val="74BC73BF"/>
    <w:rsid w:val="7D365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正文11"/>
    <w:next w:val="5"/>
    <w:qFormat/>
    <w:uiPriority w:val="0"/>
    <w:pPr>
      <w:jc w:val="both"/>
    </w:pPr>
    <w:rPr>
      <w:rFonts w:hint="default" w:ascii="Times New Roman" w:hAnsi="Times New Roman" w:eastAsia="宋体" w:cs="Times New Roman"/>
      <w:lang w:val="en-US" w:eastAsia="zh-CN" w:bidi="ar-SA"/>
    </w:rPr>
  </w:style>
  <w:style w:type="paragraph" w:customStyle="1" w:styleId="5">
    <w:name w:val="正文首行缩进 21"/>
    <w:qFormat/>
    <w:uiPriority w:val="0"/>
    <w:pPr>
      <w:widowControl w:val="0"/>
      <w:spacing w:after="120" w:line="360" w:lineRule="auto"/>
      <w:ind w:left="420" w:firstLine="420"/>
      <w:jc w:val="both"/>
    </w:pPr>
    <w:rPr>
      <w:rFonts w:hint="default" w:ascii="仿宋_GB2312" w:hAnsi="宋体" w:eastAsia="仿宋_GB2312" w:cs="Times New Roman"/>
      <w:color w:val="FF6600"/>
      <w:sz w:val="21"/>
      <w:szCs w:val="20"/>
      <w:lang w:val="en-US" w:eastAsia="zh-CN" w:bidi="ar-SA"/>
    </w:rPr>
  </w:style>
  <w:style w:type="paragraph" w:customStyle="1" w:styleId="6">
    <w:name w:val="正文文本缩进1"/>
    <w:next w:val="7"/>
    <w:qFormat/>
    <w:uiPriority w:val="0"/>
    <w:pPr>
      <w:widowControl w:val="0"/>
      <w:spacing w:after="120" w:line="360" w:lineRule="auto"/>
      <w:ind w:left="420" w:firstLine="361"/>
      <w:jc w:val="both"/>
    </w:pPr>
    <w:rPr>
      <w:rFonts w:hint="default" w:ascii="宋体" w:hAnsi="宋体" w:eastAsia="仿宋_GB2312" w:cs="Times New Roman"/>
      <w:sz w:val="24"/>
      <w:szCs w:val="20"/>
      <w:lang w:val="en-US" w:eastAsia="zh-CN" w:bidi="ar-SA"/>
    </w:rPr>
  </w:style>
  <w:style w:type="paragraph" w:customStyle="1" w:styleId="7">
    <w:name w:val="寄信人地址1"/>
    <w:qFormat/>
    <w:uiPriority w:val="0"/>
    <w:pPr>
      <w:widowControl w:val="0"/>
      <w:spacing w:line="360" w:lineRule="auto"/>
      <w:ind w:firstLine="723"/>
      <w:jc w:val="both"/>
    </w:pPr>
    <w:rPr>
      <w:rFonts w:hint="default" w:ascii="Arial" w:hAnsi="Arial" w:eastAsia="宋体" w:cs="Times New Roman"/>
      <w:sz w:val="24"/>
      <w:szCs w:val="24"/>
      <w:lang w:val="en-US" w:eastAsia="zh-CN" w:bidi="ar-SA"/>
    </w:rPr>
  </w:style>
  <w:style w:type="paragraph" w:customStyle="1" w:styleId="8">
    <w:name w:val="正文1"/>
    <w:next w:val="9"/>
    <w:qFormat/>
    <w:uiPriority w:val="0"/>
    <w:pPr>
      <w:widowControl w:val="0"/>
      <w:spacing w:line="360" w:lineRule="auto"/>
      <w:ind w:firstLine="361"/>
      <w:jc w:val="both"/>
    </w:pPr>
    <w:rPr>
      <w:rFonts w:hint="default" w:ascii="宋体" w:hAnsi="宋体" w:eastAsia="仿宋_GB2312" w:cs="Times New Roman"/>
      <w:sz w:val="24"/>
      <w:szCs w:val="20"/>
      <w:lang w:val="en-US" w:eastAsia="zh-CN" w:bidi="ar-SA"/>
    </w:rPr>
  </w:style>
  <w:style w:type="paragraph" w:customStyle="1" w:styleId="9">
    <w:name w:val="正文文本1"/>
    <w:next w:val="10"/>
    <w:qFormat/>
    <w:uiPriority w:val="0"/>
    <w:pPr>
      <w:widowControl w:val="0"/>
      <w:spacing w:after="120" w:line="360" w:lineRule="auto"/>
      <w:ind w:firstLine="361"/>
      <w:jc w:val="both"/>
    </w:pPr>
    <w:rPr>
      <w:rFonts w:hint="default" w:ascii="宋体" w:hAnsi="宋体" w:eastAsia="仿宋_GB2312" w:cs="Times New Roman"/>
      <w:sz w:val="24"/>
      <w:szCs w:val="20"/>
      <w:lang w:val="en-US" w:eastAsia="zh-CN" w:bidi="ar-SA"/>
    </w:rPr>
  </w:style>
  <w:style w:type="paragraph" w:customStyle="1" w:styleId="10">
    <w:name w:val="一级条标题"/>
    <w:next w:val="11"/>
    <w:qFormat/>
    <w:uiPriority w:val="0"/>
    <w:pPr>
      <w:tabs>
        <w:tab w:val="left" w:pos="810"/>
        <w:tab w:val="left" w:pos="907"/>
        <w:tab w:val="left" w:pos="1265"/>
      </w:tabs>
      <w:spacing w:before="0" w:after="0"/>
      <w:ind w:left="907" w:hanging="907"/>
      <w:jc w:val="both"/>
      <w:outlineLvl w:val="2"/>
    </w:pPr>
    <w:rPr>
      <w:rFonts w:hint="default" w:ascii="黑体" w:hAnsi="宋体" w:eastAsia="黑体" w:cs="Times New Roman"/>
      <w:sz w:val="20"/>
      <w:szCs w:val="20"/>
      <w:lang w:val="en-US" w:eastAsia="zh-CN" w:bidi="ar-SA"/>
    </w:rPr>
  </w:style>
  <w:style w:type="paragraph" w:customStyle="1" w:styleId="11">
    <w:name w:val="段"/>
    <w:next w:val="8"/>
    <w:qFormat/>
    <w:uiPriority w:val="0"/>
    <w:pPr>
      <w:widowControl/>
      <w:ind w:firstLine="200"/>
      <w:jc w:val="both"/>
    </w:pPr>
    <w:rPr>
      <w:rFonts w:hint="eastAsia" w:ascii="宋体" w:hAnsi="Times New Roman" w:eastAsia="宋体" w:cs="Times New Roman"/>
      <w:sz w:val="20"/>
      <w:szCs w:val="20"/>
      <w:lang w:val="en-US" w:eastAsia="zh-CN" w:bidi="ar-SA"/>
    </w:rPr>
  </w:style>
  <w:style w:type="paragraph" w:customStyle="1" w:styleId="12">
    <w:name w:val="正文缩进11"/>
    <w:qFormat/>
    <w:uiPriority w:val="99"/>
    <w:pPr>
      <w:widowControl w:val="0"/>
      <w:ind w:firstLine="420"/>
      <w:jc w:val="both"/>
    </w:pPr>
    <w:rPr>
      <w:rFonts w:hint="default" w:ascii="Times New Roman" w:hAnsi="Times New Roman" w:eastAsia="Times New Roman" w:cs="Times New Roman"/>
      <w:sz w:val="24"/>
      <w:szCs w:val="20"/>
      <w:lang w:val="en-US" w:eastAsia="zh-CN" w:bidi="ar-SA"/>
    </w:rPr>
  </w:style>
  <w:style w:type="paragraph" w:customStyle="1" w:styleId="13">
    <w:name w:val="章标题"/>
    <w:next w:val="1"/>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4">
    <w:name w:val="正文13"/>
    <w:next w:val="1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5">
    <w:name w:val="正文首行缩进1"/>
    <w:next w:val="16"/>
    <w:qFormat/>
    <w:uiPriority w:val="0"/>
    <w:pPr>
      <w:widowControl w:val="0"/>
      <w:spacing w:after="120"/>
      <w:ind w:firstLine="420"/>
      <w:jc w:val="both"/>
    </w:pPr>
    <w:rPr>
      <w:rFonts w:hint="default" w:ascii="Times New Roman" w:hAnsi="Times New Roman" w:eastAsia="宋体" w:cs="Times New Roman"/>
      <w:sz w:val="21"/>
      <w:szCs w:val="24"/>
      <w:lang w:val="en-US" w:eastAsia="zh-CN" w:bidi="ar-SA"/>
    </w:rPr>
  </w:style>
  <w:style w:type="paragraph" w:customStyle="1" w:styleId="16">
    <w:name w:val="正文首行缩进 211"/>
    <w:next w:val="17"/>
    <w:qFormat/>
    <w:uiPriority w:val="0"/>
    <w:pPr>
      <w:widowControl w:val="0"/>
      <w:ind w:firstLine="420"/>
      <w:jc w:val="both"/>
    </w:pPr>
    <w:rPr>
      <w:rFonts w:hint="default" w:ascii="Times New Roman" w:hAnsi="Times New Roman" w:eastAsia="宋体" w:cs="Times New Roman"/>
      <w:sz w:val="24"/>
      <w:szCs w:val="24"/>
      <w:lang w:val="en-US" w:eastAsia="zh-CN" w:bidi="ar-SA"/>
    </w:rPr>
  </w:style>
  <w:style w:type="paragraph" w:customStyle="1" w:styleId="17">
    <w:name w:val="正文112"/>
    <w:next w:val="1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8">
    <w:name w:val="正文文本11"/>
    <w:next w:val="1"/>
    <w:qFormat/>
    <w:uiPriority w:val="0"/>
    <w:pPr>
      <w:widowControl w:val="0"/>
      <w:spacing w:after="120"/>
      <w:jc w:val="both"/>
    </w:pPr>
    <w:rPr>
      <w:rFonts w:hint="default" w:ascii="Times New Roman" w:hAnsi="Times New Roman" w:eastAsia="宋体" w:cs="Times New Roman"/>
      <w:sz w:val="21"/>
      <w:szCs w:val="24"/>
      <w:lang w:val="en-US" w:eastAsia="zh-CN" w:bidi="ar-SA"/>
    </w:rPr>
  </w:style>
  <w:style w:type="paragraph" w:customStyle="1" w:styleId="19">
    <w:name w:val="正文111"/>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0">
    <w:name w:val="正文文本缩进11"/>
    <w:next w:val="17"/>
    <w:qFormat/>
    <w:uiPriority w:val="0"/>
    <w:pPr>
      <w:widowControl w:val="0"/>
      <w:ind w:firstLine="538"/>
      <w:jc w:val="both"/>
    </w:pPr>
    <w:rPr>
      <w:rFonts w:hint="default" w:ascii="Times New Roman" w:hAnsi="Times New Roman" w:eastAsia="宋体" w:cs="Times New Roman"/>
      <w:sz w:val="28"/>
      <w:szCs w:val="24"/>
      <w:lang w:val="en-US" w:eastAsia="zh-CN" w:bidi="ar-SA"/>
    </w:rPr>
  </w:style>
  <w:style w:type="paragraph" w:customStyle="1" w:styleId="21">
    <w:name w:val="正文12"/>
    <w:next w:val="22"/>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22">
    <w:name w:val="无间隔1"/>
    <w:qFormat/>
    <w:uiPriority w:val="1"/>
    <w:rPr>
      <w:rFonts w:hint="default"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6204</Words>
  <Characters>6414</Characters>
  <Lines>0</Lines>
  <Paragraphs>0</Paragraphs>
  <TotalTime>0</TotalTime>
  <ScaleCrop>false</ScaleCrop>
  <LinksUpToDate>false</LinksUpToDate>
  <CharactersWithSpaces>6470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2026-08-07T07:12:00Z</dcterms:created>
  <dc:creator>Administrator</dc:creator>
  <cp:lastModifiedBy>Administrator</cp:lastModifiedBy>
  <dcterms:modified xsi:type="dcterms:W3CDTF">2026-09-08T05:58:44Z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D024EFF457854855A92D3EB4A3D0DD19_11</vt:lpwstr>
  </property>
  <property fmtid="{D5CDD505-2E9C-101B-9397-08002B2CF9AE}" pid="4" name="KSOTemplateDocerSaveRecord">
    <vt:lpwstr>eyJoZGlkIjoiOGEzZDQ3MDg5YTBmYjcwMWQyYjY5NWE5MTZmZjI4OTMiLCJ1c2VySWQiOiI1Nzk3Mjk3OTAifQ==</vt:lpwstr>
  </property>
</Properties>
</file>