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p>
    <w:p>
      <w:pPr>
        <w:jc w:val="center"/>
        <w:spacing w:line="360" w:lineRule="auto"/>
        <w:rPr>
          <w:rFonts w:ascii="宋体" w:hAnsi="宋体" w:eastAsia="宋体" w:cs="宋体"/>
          <w:b/>
          <w:color w:val="000000"/>
          <w:sz w:val="84"/>
          <w:szCs w:val="84"/>
        </w:rPr>
      </w:pPr>
      <w:r/>
      <w:bookmarkStart w:id="41" w:name="_GoBack"/>
      <w:r/>
      <w:bookmarkEnd w:id="41"/>
      <w:r>
        <w:rPr>
          <w:rFonts w:hint="eastAsia" w:ascii="宋体" w:hAnsi="宋体" w:eastAsia="宋体" w:cs="宋体"/>
          <w:b/>
          <w:color w:val="000000"/>
          <w:sz w:val="96"/>
          <w:szCs w:val="96"/>
        </w:rPr>
        <w:t xml:space="preserve">竞争性磋商文件</w:t>
      </w:r>
      <w:r/>
    </w:p>
    <w:p>
      <w:pPr>
        <w:pStyle w:val="764"/>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rPr>
      </w:pPr>
      <w:r>
        <w:rPr>
          <w:rFonts w:hint="eastAsia"/>
        </w:rPr>
      </w:r>
      <w:r/>
    </w:p>
    <w:p>
      <w:pPr>
        <w:pStyle w:val="764"/>
        <w:rPr>
          <w:rFonts w:hint="eastAsia"/>
        </w:rPr>
      </w:pPr>
      <w:r>
        <w:rPr>
          <w:rFonts w:hint="eastAsia"/>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64"/>
        <w:rPr>
          <w:rFonts w:hint="eastAsia"/>
        </w:rPr>
      </w:pPr>
      <w:r>
        <w:rPr>
          <w:rFonts w:hint="eastAsi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项目编号：</w:t>
      </w:r>
      <w:r>
        <w:rPr>
          <w:rFonts w:hint="eastAsia" w:ascii="宋体" w:hAnsi="宋体" w:eastAsia="宋体" w:cs="宋体"/>
          <w:color w:val="000000"/>
          <w:sz w:val="32"/>
          <w:szCs w:val="32"/>
          <w:lang w:eastAsia="zh-CN"/>
        </w:rPr>
        <w:t xml:space="preserve">JSZC-320312-JSZH-C2026-0076</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firstLine="964"/>
        <w:keepLines w:val="0"/>
        <w:keepNext w:val="0"/>
        <w:pageBreakBefore w:val="0"/>
        <w:spacing w:line="360" w:lineRule="auto"/>
        <w:widowControl w:val="off"/>
        <w:rPr>
          <w:rFonts w:hint="eastAsia" w:ascii="宋体" w:hAnsi="宋体" w:eastAsia="宋体" w:cs="宋体"/>
          <w:color w:val="000000"/>
          <w:sz w:val="32"/>
          <w:szCs w:val="32"/>
          <w:lang w:eastAsia="zh-CN"/>
        </w:rPr>
        <w:outlineLvl w:val="9"/>
      </w:pPr>
      <w:r>
        <w:rPr>
          <w:rFonts w:hint="eastAsia" w:ascii="宋体" w:hAnsi="宋体" w:eastAsia="宋体" w:cs="宋体"/>
          <w:b/>
          <w:bCs/>
          <w:color w:val="000000"/>
          <w:sz w:val="32"/>
          <w:szCs w:val="32"/>
        </w:rPr>
        <w:t xml:space="preserve">项目名称：</w:t>
      </w:r>
      <w:r>
        <w:rPr>
          <w:rFonts w:hint="eastAsia" w:ascii="宋体" w:hAnsi="宋体" w:eastAsia="宋体" w:cs="宋体"/>
          <w:color w:val="000000"/>
          <w:sz w:val="32"/>
          <w:szCs w:val="32"/>
          <w:lang w:eastAsia="zh-CN"/>
        </w:rPr>
        <w:t xml:space="preserve">铜山区成品油税控联网监管系统项目</w:t>
      </w:r>
      <w:r/>
    </w:p>
    <w:p>
      <w:pPr>
        <w:ind w:left="420" w:right="0"/>
        <w:jc w:val="center"/>
        <w:keepLines w:val="0"/>
        <w:keepNext w:val="0"/>
        <w:pageBreakBefore w:val="0"/>
        <w:spacing w:after="0" w:line="360" w:lineRule="auto"/>
        <w:widowControl w:val="off"/>
        <w:rPr>
          <w:rFonts w:hint="default" w:ascii="宋体" w:hAnsi="宋体" w:eastAsia="宋体" w:cs="宋体"/>
          <w:color w:val="000000"/>
          <w:sz w:val="32"/>
          <w:szCs w:val="32"/>
          <w:lang w:val="en-US" w:eastAsia="zh-CN" w:bidi="ar-SA"/>
        </w:rPr>
        <w:outlineLvl w:val="9"/>
      </w:pPr>
      <w:r>
        <w:rPr>
          <w:rFonts w:hint="default" w:ascii="宋体" w:hAnsi="宋体" w:eastAsia="宋体" w:cs="宋体"/>
          <w:color w:val="000000"/>
          <w:sz w:val="32"/>
          <w:szCs w:val="32"/>
          <w:lang w:val="en-US" w:eastAsia="zh-CN" w:bidi="ar-SA"/>
        </w:rPr>
      </w:r>
      <w:r/>
    </w:p>
    <w:p>
      <w:pPr>
        <w:ind w:right="0"/>
        <w:keepLines w:val="0"/>
        <w:keepNext w:val="0"/>
        <w:pageBreakBefore w:val="0"/>
        <w:spacing w:line="360" w:lineRule="auto"/>
        <w:widowControl w:val="off"/>
        <w:rPr>
          <w:rFonts w:ascii="宋体" w:hAnsi="宋体" w:eastAsia="宋体" w:cs="宋体"/>
          <w:b/>
          <w:color w:val="000000"/>
          <w:szCs w:val="21"/>
        </w:rPr>
        <w:outlineLvl w:val="9"/>
      </w:pPr>
      <w:r>
        <w:rPr>
          <w:rFonts w:hint="eastAsia" w:ascii="宋体" w:hAnsi="宋体" w:eastAsia="宋体" w:cs="宋体"/>
          <w:b/>
          <w:bCs/>
          <w:color w:val="000000"/>
          <w:sz w:val="32"/>
          <w:szCs w:val="32"/>
          <w:lang w:val="en-US" w:eastAsia="zh-CN"/>
        </w:rPr>
        <w:t xml:space="preserve">      </w:t>
      </w:r>
      <w:r>
        <w:rPr>
          <w:rFonts w:hint="eastAsia" w:ascii="宋体" w:hAnsi="宋体" w:eastAsia="宋体" w:cs="宋体"/>
          <w:b/>
          <w:bCs/>
          <w:color w:val="000000"/>
          <w:sz w:val="32"/>
          <w:szCs w:val="32"/>
        </w:rPr>
        <w:t xml:space="preserve">采购单位：</w:t>
      </w:r>
      <w:r>
        <w:rPr>
          <w:rFonts w:hint="eastAsia" w:ascii="宋体" w:hAnsi="宋体" w:eastAsia="宋体" w:cs="宋体"/>
          <w:color w:val="000000"/>
          <w:sz w:val="32"/>
          <w:szCs w:val="32"/>
          <w:lang w:eastAsia="zh-CN"/>
        </w:rPr>
        <w:t xml:space="preserve">徐州市铜山区财政局</w:t>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left="420" w:right="33"/>
        <w:jc w:val="center"/>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ind w:left="420" w:right="33"/>
        <w:jc w:val="left"/>
        <w:widowControl w:val="off"/>
        <w:rPr>
          <w:rFonts w:hint="default" w:ascii="宋体" w:hAnsi="宋体" w:eastAsia="宋体" w:cs="宋体"/>
          <w:b/>
          <w:color w:val="000000"/>
          <w:sz w:val="24"/>
          <w:szCs w:val="21"/>
          <w:lang w:val="en-US" w:eastAsia="zh-CN" w:bidi="ar-SA"/>
        </w:rPr>
      </w:pPr>
      <w:r>
        <w:rPr>
          <w:rFonts w:hint="default" w:ascii="宋体" w:hAnsi="宋体" w:eastAsia="宋体" w:cs="宋体"/>
          <w:b/>
          <w:color w:val="000000"/>
          <w:sz w:val="24"/>
          <w:szCs w:val="21"/>
          <w:lang w:val="en-US" w:eastAsia="zh-CN" w:bidi="ar-SA"/>
        </w:rPr>
      </w:r>
      <w:r/>
    </w:p>
    <w:p>
      <w:pPr>
        <w:jc w:val="both"/>
        <w:widowControl w:val="off"/>
        <w:rPr>
          <w:rFonts w:hint="default" w:ascii="宋体" w:hAnsi="宋体" w:eastAsia="宋体" w:cs="宋体"/>
          <w:color w:val="000000"/>
          <w:sz w:val="21"/>
          <w:szCs w:val="24"/>
          <w:lang w:val="en-US" w:eastAsia="zh-CN" w:bidi="ar-SA"/>
        </w:rPr>
      </w:pPr>
      <w:r>
        <w:rPr>
          <w:rFonts w:hint="default" w:ascii="宋体" w:hAnsi="宋体" w:eastAsia="宋体" w:cs="宋体"/>
          <w:color w:val="000000"/>
          <w:sz w:val="21"/>
          <w:szCs w:val="24"/>
          <w:lang w:val="en-US" w:eastAsia="zh-CN" w:bidi="ar-SA"/>
        </w:rPr>
      </w:r>
      <w:r/>
    </w:p>
    <w:p>
      <w:pPr>
        <w:jc w:val="center"/>
        <w:rPr>
          <w:rFonts w:hint="default" w:ascii="宋体" w:hAnsi="宋体" w:eastAsia="宋体" w:cs="宋体"/>
          <w:b/>
          <w:color w:val="000000"/>
          <w:sz w:val="32"/>
          <w:szCs w:val="20"/>
          <w:lang w:val="en-US" w:eastAsia="zh-CN" w:bidi="ar-SA"/>
        </w:rPr>
      </w:pPr>
      <w:r>
        <w:rPr>
          <w:rFonts w:hint="eastAsia" w:ascii="宋体" w:hAnsi="宋体" w:eastAsia="宋体" w:cs="宋体"/>
          <w:color w:val="000000"/>
          <w:sz w:val="32"/>
        </w:rPr>
        <w:tab/>
      </w:r>
      <w:r/>
    </w:p>
    <w:p>
      <w:pPr>
        <w:ind w:left="420" w:right="33"/>
        <w:jc w:val="left"/>
        <w:widowControl w:val="off"/>
        <w:rPr>
          <w:rFonts w:hint="default" w:ascii="宋体" w:hAnsi="宋体" w:eastAsia="宋体" w:cs="宋体"/>
          <w:b/>
          <w:color w:val="000000"/>
          <w:sz w:val="32"/>
          <w:szCs w:val="20"/>
          <w:lang w:val="en-US" w:eastAsia="zh-CN" w:bidi="ar-SA"/>
        </w:rPr>
      </w:pPr>
      <w:r>
        <w:rPr>
          <w:rFonts w:hint="default" w:ascii="宋体" w:hAnsi="宋体" w:eastAsia="宋体" w:cs="宋体"/>
          <w:b/>
          <w:color w:val="000000"/>
          <w:sz w:val="32"/>
          <w:szCs w:val="20"/>
          <w:lang w:val="en-US" w:eastAsia="zh-CN" w:bidi="ar-SA"/>
        </w:rPr>
      </w:r>
      <w:r/>
    </w:p>
    <w:p>
      <w:pPr>
        <w:spacing w:line="360" w:lineRule="auto"/>
        <w:rPr>
          <w:rFonts w:hint="default" w:ascii="宋体" w:hAnsi="宋体" w:eastAsia="宋体" w:cs="宋体"/>
          <w:b/>
          <w:color w:val="000000"/>
          <w:sz w:val="32"/>
          <w:lang w:val="en-US" w:eastAsia="zh-CN"/>
        </w:rPr>
      </w:pPr>
      <w:r>
        <w:rPr>
          <w:rFonts w:hint="eastAsia"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hint="eastAsia" w:ascii="宋体" w:hAnsi="宋体" w:eastAsia="宋体" w:cs="宋体"/>
          <w:b/>
          <w:color w:val="000000"/>
          <w:sz w:val="32"/>
        </w:rPr>
        <w:t xml:space="preserve">代理机构：</w:t>
      </w:r>
      <w:r>
        <w:rPr>
          <w:rFonts w:hint="eastAsia" w:ascii="宋体" w:hAnsi="宋体" w:eastAsia="宋体" w:cs="宋体"/>
          <w:b/>
          <w:color w:val="000000"/>
          <w:sz w:val="32"/>
          <w:lang w:eastAsia="zh-CN"/>
        </w:rPr>
        <w:t xml:space="preserve">江苏</w:t>
      </w:r>
      <w:r>
        <w:rPr>
          <w:rFonts w:hint="eastAsia" w:ascii="宋体" w:hAnsi="宋体" w:eastAsia="宋体" w:cs="宋体"/>
          <w:b/>
          <w:color w:val="000000"/>
          <w:sz w:val="32"/>
          <w:lang w:val="en-US" w:eastAsia="zh-CN"/>
        </w:rPr>
        <w:t xml:space="preserve">智汇锡建工程项目管理有限公司</w:t>
      </w:r>
      <w:r/>
    </w:p>
    <w:p>
      <w:pPr>
        <w:jc w:val="center"/>
        <w:spacing w:line="360" w:lineRule="auto"/>
        <w:rPr>
          <w:rFonts w:ascii="宋体" w:hAnsi="宋体" w:eastAsia="宋体" w:cs="宋体"/>
          <w:b/>
          <w:color w:val="000000"/>
          <w:sz w:val="32"/>
        </w:rPr>
      </w:pPr>
      <w:r>
        <w:rPr>
          <w:rFonts w:hint="eastAsia" w:ascii="宋体" w:hAnsi="宋体" w:eastAsia="宋体" w:cs="宋体"/>
          <w:b/>
          <w:color w:val="000000"/>
          <w:sz w:val="32"/>
        </w:rPr>
        <w:t xml:space="preserve">二〇二</w:t>
      </w:r>
      <w:r>
        <w:rPr>
          <w:rFonts w:hint="eastAsia" w:ascii="宋体" w:hAnsi="宋体" w:eastAsia="宋体" w:cs="宋体"/>
          <w:b/>
          <w:color w:val="000000"/>
          <w:sz w:val="32"/>
          <w:lang w:val="en-US" w:eastAsia="zh-CN"/>
        </w:rPr>
        <w:t xml:space="preserve">六</w:t>
      </w:r>
      <w:r>
        <w:rPr>
          <w:rFonts w:hint="eastAsia" w:ascii="宋体" w:hAnsi="宋体" w:eastAsia="宋体" w:cs="宋体"/>
          <w:b/>
          <w:color w:val="000000"/>
          <w:sz w:val="32"/>
        </w:rPr>
        <w:t xml:space="preserve">年</w:t>
      </w:r>
      <w:r>
        <w:rPr>
          <w:rFonts w:hint="eastAsia" w:ascii="宋体" w:hAnsi="宋体" w:eastAsia="宋体" w:cs="宋体"/>
          <w:b/>
          <w:color w:val="000000"/>
          <w:sz w:val="32"/>
          <w:lang w:val="en-US" w:eastAsia="zh-CN"/>
        </w:rPr>
        <w:t xml:space="preserve">九</w:t>
      </w:r>
      <w:r>
        <w:rPr>
          <w:rFonts w:hint="eastAsia" w:ascii="宋体" w:hAnsi="宋体" w:eastAsia="宋体" w:cs="宋体"/>
          <w:b/>
          <w:color w:val="000000"/>
          <w:sz w:val="32"/>
        </w:rPr>
        <w:t xml:space="preserve">月</w:t>
      </w:r>
      <w:r/>
    </w:p>
    <w:p>
      <w:pPr>
        <w:jc w:val="center"/>
        <w:rPr>
          <w:rFonts w:hint="eastAsia" w:ascii="宋体" w:hAnsi="宋体" w:cs="宋体"/>
          <w:b/>
          <w:color w:val="000000"/>
          <w:sz w:val="36"/>
        </w:rPr>
        <w:sectPr>
          <w:footerReference w:type="default" r:id="rId10"/>
          <w:footerReference w:type="first" r:id="rId1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000000"/>
          <w:sz w:val="36"/>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竞争性磋商文件</w:t>
      </w:r>
      <w:r/>
    </w:p>
    <w:p>
      <w:pPr>
        <w:ind w:left="0" w:right="0" w:firstLine="0"/>
        <w:jc w:val="center"/>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default" w:ascii="宋体" w:hAnsi="宋体" w:eastAsia="宋体" w:cs="宋体"/>
          <w:color w:val="000000"/>
          <w:sz w:val="24"/>
          <w:u w:val="single"/>
        </w:rPr>
        <w:t xml:space="preserve"> </w:t>
      </w:r>
      <w:r>
        <w:rPr>
          <w:rFonts w:hint="default" w:ascii="宋体" w:hAnsi="宋体" w:eastAsia="宋体" w:cs="宋体"/>
          <w:color w:val="000000"/>
          <w:sz w:val="24"/>
        </w:rPr>
        <w:t xml:space="preserve">（供应商）：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对</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第一章 项目说明</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一、采</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购</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人：</w:t>
      </w:r>
      <w:r>
        <w:rPr>
          <w:rFonts w:hint="eastAsia" w:ascii="宋体" w:hAnsi="宋体" w:eastAsia="宋体" w:cs="宋体"/>
          <w:color w:val="000000"/>
          <w:sz w:val="24"/>
          <w:lang w:eastAsia="zh-CN"/>
        </w:rPr>
        <w:t xml:space="preserve">徐州市铜山区财政局</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铜山区成品油税控联网监管系统项目</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三、项目编号：</w:t>
      </w:r>
      <w:r>
        <w:rPr>
          <w:rFonts w:hint="eastAsia" w:ascii="宋体" w:hAnsi="宋体" w:eastAsia="宋体" w:cs="宋体"/>
          <w:color w:val="000000"/>
          <w:sz w:val="24"/>
          <w:lang w:eastAsia="zh-CN"/>
        </w:rPr>
        <w:t xml:space="preserve">JSZC-320312-JSZH-C2026-0076</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五、采购方式：本项目采用竞争性磋商采购方式。</w:t>
      </w:r>
      <w:r/>
    </w:p>
    <w:p>
      <w:pPr>
        <w:ind w:left="0" w:right="0" w:firstLine="480"/>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六、供应商资格条件：见竞争性磋商公告（项目编号：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七、采购预算（采购项目预算金额）：见《磋商文件》附件2、《项目要求（采购需求）》。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八、采购需求：见《磋商文件》附件2、《项目要求（采购需求）》。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九、合同草案条款：见《磋商文件》附件8、《合同草案条款》。</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十、报价要求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认为必要时可重新进行竞争性磋商采购或采取其它方式采购。</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2、按照《磋商报价表》要求填写首次报价。</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第二章 磋商保证金</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十一、磋商保证金交纳数额和形式：不需交纳。</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第三章 响应文件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十二、提交响应文件要求</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2"/>
        <w:jc w:val="left"/>
        <w:keepLines w:val="0"/>
        <w:keepNext w:val="0"/>
        <w:pageBreakBefore w:val="0"/>
        <w:spacing w:before="0" w:after="0" w:line="400" w:lineRule="atLeas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宋体"/>
          <w:color w:val="000000"/>
          <w:sz w:val="24"/>
        </w:rPr>
        <w:t xml:space="preserve">。</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“苏采云”系统使用要求：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1、使用谷歌浏览器参与不见面开标及磋商环节。</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2、电脑需提前准备好麦克风、音响，摄像头，提前检查保证能够正常使用。</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3、操作系统至少win7以上，建议使用win10操作系统。</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（二）首次响应文件提交的截止时间：2026年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0，在截止时间后提交的首次响应文件为无效文件，将被拒收。</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（三）首次响应文件提交时间、地点：</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1、提交时间：首次响应文件提交的截止时间（2026年</w:t>
      </w:r>
      <w:r>
        <w:rPr>
          <w:rFonts w:hint="eastAsia" w:ascii="宋体" w:hAnsi="宋体" w:eastAsia="宋体" w:cs="宋体"/>
          <w:b/>
          <w:bCs/>
          <w:color w:val="000000"/>
          <w:sz w:val="24"/>
          <w:lang w:val="en-US" w:eastAsia="zh-CN"/>
        </w:rPr>
        <w:t xml:space="preserve">9</w:t>
      </w:r>
      <w:r>
        <w:rPr>
          <w:rFonts w:hint="default"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23</w:t>
      </w:r>
      <w:r>
        <w:rPr>
          <w:rFonts w:hint="default" w:ascii="宋体" w:hAnsi="宋体" w:eastAsia="宋体" w:cs="宋体"/>
          <w:b/>
          <w:bCs/>
          <w:color w:val="000000"/>
          <w:sz w:val="24"/>
        </w:rPr>
        <w:t xml:space="preserve">日</w:t>
      </w:r>
      <w:r>
        <w:rPr>
          <w:rFonts w:hint="eastAsia" w:ascii="宋体" w:hAnsi="宋体" w:eastAsia="宋体" w:cs="宋体"/>
          <w:b/>
          <w:bCs/>
          <w:color w:val="000000"/>
          <w:sz w:val="24"/>
          <w:lang w:val="en-US" w:eastAsia="zh-CN"/>
        </w:rPr>
        <w:t xml:space="preserve">10</w:t>
      </w:r>
      <w:r>
        <w:rPr>
          <w:rFonts w:hint="default"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default" w:ascii="宋体" w:hAnsi="宋体" w:eastAsia="宋体" w:cs="宋体"/>
          <w:b/>
          <w:bCs/>
          <w:color w:val="000000"/>
          <w:sz w:val="24"/>
        </w:rPr>
        <w:t xml:space="preserve">0）前。</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2、提交地点：</w:t>
      </w:r>
      <w:r>
        <w:rPr>
          <w:rFonts w:hint="eastAsia" w:ascii="宋体" w:hAnsi="宋体" w:eastAsia="宋体" w:cs="宋体"/>
          <w:color w:val="000000"/>
          <w:sz w:val="24"/>
          <w:lang w:val="en-US" w:eastAsia="zh-CN"/>
        </w:rPr>
        <w:t xml:space="preserve">“苏采云”系统（网址：http://jszfcg.jsczt.cn/）“开标大厅”或或进入徐州政府采购网（网址：https://czj.xz.gov.cn/zfcg/index.html）--办事指南--供应商--供应商登录入口，点击“苏采云”进入系统“开标大厅”</w:t>
      </w:r>
      <w:r>
        <w:rPr>
          <w:rFonts w:hint="eastAsia" w:ascii="宋体" w:hAnsi="宋体" w:eastAsia="宋体" w:cs="宋体"/>
          <w:color w:val="000000"/>
          <w:sz w:val="24"/>
        </w:rPr>
        <w:t xml:space="preserve">。 </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（四）首次响应文件开启时间：2026年</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eastAsia="zh-CN"/>
        </w:rPr>
        <w:t xml:space="preserve">月</w:t>
      </w:r>
      <w:r>
        <w:rPr>
          <w:rFonts w:hint="eastAsia" w:ascii="宋体" w:hAnsi="宋体" w:eastAsia="宋体" w:cs="宋体"/>
          <w:b/>
          <w:bCs/>
          <w:color w:val="000000"/>
          <w:sz w:val="24"/>
          <w:lang w:val="en-US" w:eastAsia="zh-CN"/>
        </w:rPr>
        <w:t xml:space="preserve">23</w:t>
      </w:r>
      <w:r>
        <w:rPr>
          <w:rFonts w:hint="eastAsia" w:ascii="宋体" w:hAnsi="宋体" w:eastAsia="宋体" w:cs="宋体"/>
          <w:b/>
          <w:bCs/>
          <w:color w:val="000000"/>
          <w:sz w:val="24"/>
          <w:lang w:eastAsia="zh-CN"/>
        </w:rPr>
        <w:t xml:space="preserve">日</w:t>
      </w:r>
      <w:r>
        <w:rPr>
          <w:rFonts w:hint="eastAsia" w:ascii="宋体" w:hAnsi="宋体" w:eastAsia="宋体" w:cs="宋体"/>
          <w:b/>
          <w:bCs/>
          <w:color w:val="000000"/>
          <w:sz w:val="24"/>
          <w:lang w:val="en-US" w:eastAsia="zh-CN"/>
        </w:rPr>
        <w:t xml:space="preserve">10</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0</w:t>
      </w:r>
      <w:r>
        <w:rPr>
          <w:rFonts w:hint="eastAsia" w:ascii="宋体" w:hAnsi="宋体" w:eastAsia="宋体" w:cs="宋体"/>
          <w:b/>
          <w:bCs/>
          <w:color w:val="000000"/>
          <w:sz w:val="24"/>
        </w:rPr>
        <w:t xml:space="preserve">0。</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首次响应文件开启地点：“苏采云”系统（网址：http://jszfcg.jsczt.cn/）“开标大厅”或进入徐州政府采购网（网址：http://czj.xz.gov.cn/Home/HomeIndex）-业务工作-用户登录，点击“苏采云”进入系统“开标大厅”。</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（七）不接受不按要求加盖公章（电子签章）的首次响应文件。电子签章相关要求见“苏采云”系统。</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（十）相关说明：供应商在“苏采云”系统中提交首次响应文件的时间即为数据电文（响应文件，下同）的发送时间和接收时间。</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十三、响应文件编制要求</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请按照以下要求（包括但不限于以下要求）制作：</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（一）基本目录</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1、《磋商报价表》（加盖电子签章，格式见《磋商文件》附件。政府采购客户端工具输入报价自动生成）（必须提供，否则响应无效）；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2、</w:t>
      </w:r>
      <w:bookmarkStart w:id="0" w:name="OLE_LINK2"/>
      <w:r>
        <w:rPr>
          <w:rFonts w:hint="eastAsia" w:ascii="宋体" w:hAnsi="宋体" w:eastAsia="宋体" w:cs="宋体"/>
          <w:b/>
          <w:bCs/>
          <w:color w:val="000000"/>
          <w:sz w:val="24"/>
          <w:lang w:val="en-US" w:eastAsia="zh-CN"/>
        </w:rPr>
        <w:t xml:space="preserve">《授权委托书》（提供原件的扫描件，格式见《磋商文件》附件）（必须提供，否则响应无效）</w:t>
      </w:r>
      <w:bookmarkEnd w:id="0"/>
      <w:r>
        <w:rPr>
          <w:rFonts w:hint="eastAsia" w:ascii="宋体" w:hAnsi="宋体" w:eastAsia="宋体" w:cs="宋体"/>
          <w:b/>
          <w:bCs/>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3、供应商认为需要提供的其他资料的扫描件（如有）。</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（二）资格条件（1～</w:t>
      </w: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项必须提供原件扫描件，否则响应无效）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1、供应商合法有效的法人或者其他组织的营业执照等证明文件，自然人的身份证明。以上证明文件的扫描件；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2、具备履行合同所必需的设备和专业技术能力的证明材料，即响应文件中提供《具备履行合同所必需的设备和专业技术能力的书面声明》（附证明材料，加盖电子签章，格式见《磋商文件》附件）；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3、具有良好的商业信誉和健全的财务会计制度，财务状况报告至少提供：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2025年度财务审计报告（应包括审计报告正文、资产负债表、现金流量表、利润表）；</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4、有依法缴纳税收和社会保障资金的良好记录，至少提供：</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5、供应商参加政府采购活动前3年内在经营活动中没有重大违法记录的书面声明(格式见《磋商文件》附件)。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（三）符合条件（必须提供，否则响应无效）</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bookmarkStart w:id="1" w:name="OLE_LINK3"/>
      <w:r>
        <w:rPr>
          <w:rFonts w:hint="eastAsia" w:ascii="宋体" w:hAnsi="宋体" w:eastAsia="宋体" w:cs="宋体"/>
          <w:color w:val="000000"/>
          <w:sz w:val="24"/>
          <w:lang w:val="en-US" w:eastAsia="zh-CN"/>
        </w:rPr>
        <w:t xml:space="preserve">《承诺书》（加盖电子签章，格式见《磋商文件》附件）</w:t>
      </w:r>
      <w:bookmarkEnd w:id="1"/>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bookmarkStart w:id="2" w:name="OLE_LINK4"/>
      <w:r>
        <w:rPr>
          <w:rFonts w:hint="eastAsia" w:ascii="宋体" w:hAnsi="宋体" w:eastAsia="宋体" w:cs="宋体"/>
          <w:color w:val="000000"/>
          <w:sz w:val="24"/>
          <w:lang w:val="en-US" w:eastAsia="zh-CN"/>
        </w:rPr>
        <w:t xml:space="preserve">《分项价格表》加盖电子签章，格式见《磋商文件》附件）</w:t>
      </w:r>
      <w:bookmarkEnd w:id="2"/>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bookmarkStart w:id="3" w:name="OLE_LINK5"/>
      <w:r>
        <w:rPr>
          <w:rFonts w:hint="eastAsia" w:ascii="宋体" w:hAnsi="宋体" w:eastAsia="宋体" w:cs="宋体"/>
          <w:color w:val="000000"/>
          <w:sz w:val="24"/>
          <w:lang w:val="en-US" w:eastAsia="zh-CN"/>
        </w:rPr>
        <w:t xml:space="preserve">《偏离表》（加盖电子签章，格式见《磋商文件》附件）</w:t>
      </w:r>
      <w:bookmarkEnd w:id="3"/>
      <w:r>
        <w:rPr>
          <w:rFonts w:hint="eastAsia" w:ascii="宋体" w:hAnsi="宋体" w:eastAsia="宋体" w:cs="宋体"/>
          <w:color w:val="000000"/>
          <w:sz w:val="24"/>
          <w:lang w:val="en-US" w:eastAsia="zh-CN"/>
        </w:rPr>
        <w:t xml:space="preserve">。</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（四）综合评审评分项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cs="宋体"/>
          <w:color w:val="000000"/>
          <w:sz w:val="24"/>
        </w:rPr>
        <w:t xml:space="preserve">设备技术及功能要求</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cs="宋体"/>
          <w:color w:val="000000"/>
          <w:sz w:val="24"/>
        </w:rPr>
        <w:t xml:space="preserve">总体方案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cs="宋体"/>
          <w:color w:val="000000"/>
          <w:sz w:val="24"/>
        </w:rPr>
        <w:t xml:space="preserve">具体实施方案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cs="宋体"/>
          <w:color w:val="000000"/>
          <w:sz w:val="24"/>
        </w:rPr>
        <w:t xml:space="preserve">项目进度保障方案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cs="宋体"/>
          <w:color w:val="000000"/>
          <w:sz w:val="24"/>
        </w:rPr>
        <w:t xml:space="preserve">项目质量保障方案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hint="eastAsia" w:ascii="宋体" w:hAnsi="宋体" w:cs="宋体"/>
          <w:color w:val="000000"/>
          <w:sz w:val="24"/>
        </w:rPr>
        <w:t xml:space="preserve">应急突发事件处置方案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hint="eastAsia" w:ascii="宋体" w:hAnsi="宋体" w:cs="宋体"/>
          <w:color w:val="000000"/>
          <w:sz w:val="24"/>
        </w:rPr>
        <w:t xml:space="preserve">售后服务和培训方案</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hint="eastAsia" w:ascii="宋体" w:hAnsi="宋体" w:cs="宋体"/>
          <w:color w:val="000000"/>
          <w:sz w:val="24"/>
        </w:rPr>
        <w:t xml:space="preserve">人员能力</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w:t>
      </w:r>
      <w:r>
        <w:rPr>
          <w:rFonts w:hint="eastAsia" w:ascii="宋体" w:hAnsi="宋体" w:cs="宋体"/>
          <w:color w:val="000000"/>
          <w:sz w:val="24"/>
        </w:rPr>
        <w:t xml:space="preserve">类似业绩</w:t>
      </w:r>
      <w:r>
        <w:rPr>
          <w:rFonts w:hint="eastAsia" w:ascii="宋体" w:hAnsi="宋体" w:eastAsia="宋体" w:cs="宋体"/>
          <w:color w:val="000000"/>
          <w:sz w:val="24"/>
          <w:lang w:val="en-US" w:eastAsia="zh-CN"/>
        </w:rPr>
        <w:t xml:space="preserve">（见要求《磋商文件》附件1.《评分细则》）；</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11、评分细则中评分得分需提供的相关证明文件扫描件。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（五）价格折扣文件格式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企业报价折扣证明：供应商为中小企业（含中型、小型、微型企业，下同）的，提供《中小企业声明函》（电子签章，须填写完整，否则无效。格式见《磋商文件》附件）。《中小企业声明函》查询渠道参考工业和信息化部发布的中小企业规模自测小程序。</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注：中小微企业，应当同时符合以下条件：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具体以《政府采购促进中小企业发展管理办法》（财库[2020]46号）和《关于印发中小企业划型标准规定的通知》（工信部联企业[2011]300号）的规定为准。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注：监护企业和残疾人福利性单位等同于小微企业。</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供应商为监狱企业的，提供省级以上监狱管理局、戒毒管理局（含新疆生产建设兵团）出具的属于监狱企业的证明文件原件的扫描件。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具体以《财政部 司法部关于政府采购支持监狱企业发展有关问题的通知》（财库〔2014〕68号）的规定为准。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供应商为享受政府采购支持政策的残疾人福利性单位的，提供《残疾人福利性单位声明函》（加盖电子签章，格式见《磋商文件》附件）。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享受政府采购支持政策的残疾人福利性单位应当同时满足以下条件：</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①安置的残疾人占本单位在职职工人数的比例不低于25%（含25%），并且安置的残疾人人数不少于10人（含10人）；</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②依法与安置的每位残疾人签订了一年以上（含一年）的劳动合同或服务协议；</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③为安置的每位残疾人按月足额缴纳了基本养老保险、基本医疗保险、失业保险、工伤保险和生育保险等社会保险费；</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left"/>
        <w:keepLines w:val="0"/>
        <w:keepNext w:val="0"/>
        <w:pageBreakBefore w:val="0"/>
        <w:spacing w:before="0" w:after="0" w:line="400" w:lineRule="atLeast"/>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具体以《三部门联合发布关于促进残疾人就业政府采购政策的通知》（财库〔2017〕141号）规定为准。</w:t>
      </w:r>
      <w:r/>
    </w:p>
    <w:p>
      <w:pPr>
        <w:ind w:left="0" w:right="0" w:firstLine="482"/>
        <w:jc w:val="left"/>
        <w:keepLines w:val="0"/>
        <w:keepNext w:val="0"/>
        <w:pageBreakBefore w:val="0"/>
        <w:spacing w:before="0" w:after="0" w:line="400" w:lineRule="atLeast"/>
        <w:widowControl w:val="off"/>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（六）提交的首次响应文件的加密、签署、盖章要求：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1、加密要求：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盖章要求：见《磋商文件》第九章附件中相关格式要求。供应商须通过“苏采云”系统提供的政府采购客户端工具（使用“CA数字证书”）加盖电子签章</w:t>
      </w:r>
      <w:r>
        <w:rPr>
          <w:rFonts w:hint="eastAsia" w:ascii="宋体" w:hAnsi="宋体" w:eastAsia="宋体" w:cs="宋体"/>
          <w:color w:val="000000"/>
          <w:sz w:val="24"/>
          <w:lang w:eastAsia="zh-CN"/>
        </w:rPr>
        <w:t xml:space="preserve">。</w:t>
      </w:r>
      <w:r/>
    </w:p>
    <w:p>
      <w:pPr>
        <w:ind w:left="0" w:right="0" w:firstLine="480"/>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签署要求：见《磋商文件》第九章附件中相关格式要求。特别提醒：竞争性磋商文件中如需“授权代表签字或盖章”，供应商可打印成文档，签字或盖章后再扫描上传，最后再电子签章。</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（七）通过“苏采云”系统提交政府采购客户端工具导出加密的响应文件（后缀名为zip）。上传响应文件的大小不得超过苏采云系统设置的范围！ </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1、供应商应当按照《磋商文件》的要求编制响应文件，并对其提交的响应文件的真实性、合法性承担法律责任。</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2、采购人索取成交供应商的响应文件，须在双方签订政府采购合同后，由采购代理机构提供给采购人。</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第四章 磋商相关说明</w:t>
      </w:r>
      <w:r/>
    </w:p>
    <w:p>
      <w:pPr>
        <w:ind w:left="0" w:right="0" w:firstLine="480"/>
        <w:jc w:val="both"/>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十四、磋商程序</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（一）磋商要求</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1、被邀请参与磋商的供应商需按本竞争性磋商文件要求的截止时间、方式（地点）提交首次响应文件，同时派代表（以下简称：磋商人员）通过“苏采云”系统在“开标大厅”等待磋商。</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2、供应商可通过CA数字证书，在首次响应文件开启时间后，使用CA数字证书在规定时间内解密各自响应文件。</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3、供应商授权的磋商人员需携带授权委托书原件及身份证原件按时参与磋商活动。</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4、磋商顺序按照电子标书解密先后时间进行，解密时间相同的，不分先后顺序。</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5、磋商方式：本次磋商采用“苏采云”系统中的视频会议，供应商自行选择任意地点参加远程磋商会议。请供应商在磋商前等候在开标大厅，随时接听磋商小组发出的磋商视频邀请。</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6、未在“苏采云”系统规定时间内进行答疑澄清的，视同放弃澄清。</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7、未在“苏采云”系统规定时间内进行报价的，视为响应无效。</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8、被邀请参与磋商的供应商如未按上述磋商要求执行，视同放弃磋商的权利。</w:t>
      </w:r>
      <w:r/>
    </w:p>
    <w:p>
      <w:pPr>
        <w:ind w:left="0" w:right="0" w:firstLine="480"/>
        <w:jc w:val="both"/>
        <w:spacing w:before="0" w:after="0" w:line="400" w:lineRule="atLeast"/>
        <w:rPr>
          <w:rFonts w:hint="default"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 查询及使用供应商信用记录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1、由采购人查询信用信息。</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2、查询渠道包括：</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(1)“信用中国”网（www.creditchina.gov.cn）；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(2)中国政府采购网（www.ccgp.gov.cn）；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(3)“信用江苏”网（http://credit.jiangsu.gov.cn/）；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(4)信用徐州”网（www.xuzhoucredit.gov.cn/）。</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3、截止时点（查询环节）：首次响应文件开启后资格审查结束前。</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4、信用信息查询记录和证据留存的具体方式：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网页截屏打印，与其他采购文件一并保存。</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5、信用信息的使用规则：</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6、信用评价结果查询：见《磋商文件》附件1.《评分细则》。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十五、评审程序</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(1)评审过程中出现下列情形之一的，磋商小组应当启动异常低价投标(响应)审查程序:</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十六、评审方法和评审标准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1、评审方法：综合评分法；</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2、评审标准：详见《磋商文件》附件1、《评分细则》。</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十七、有下列情形之一的，其响应无效：</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1、电子响应文件未按规定期限提交的；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2、电子响应文件未按磋商文件要求签章的；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3、供应商未在规定时间内解密电子响应文件的；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4、供应商的法定代表人授权代表，无法定代表人授权委托书的；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5、不具备磋商文件中规定的资格要求或未按磋商文件规定的要求提供资格、资信证明文件的；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7、响应文件未按磋商文件规定的内容和要求填写的；没有在系统指定位置上传对应文件、材料的；</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8、响应文件含有采购人不能接受的附加条件的；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9、不同供应商委托同一单位或者个人办理磋商事宜的；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10、项目磋商报价超过本项目（采购包）预算或最高限价的；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default" w:ascii="宋体" w:hAnsi="宋体" w:eastAsia="宋体" w:cs="宋体"/>
          <w:color w:val="000000"/>
          <w:sz w:val="24"/>
        </w:rPr>
        <w:t xml:space="preserve">、响应文件内容不全或不符合磋商文件中规定的其它实质性要求的； </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default" w:ascii="宋体" w:hAnsi="宋体" w:eastAsia="宋体" w:cs="宋体"/>
          <w:color w:val="000000"/>
          <w:sz w:val="24"/>
        </w:rPr>
        <w:t xml:space="preserve">、法律法规和磋商文件规定的其它无效情形。</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2" w:right="29"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第五章 确定成交供应商及合同签订等</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 w:right="29"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二十一、成交供应商在收到成交通知书时，须向</w:t>
      </w:r>
      <w:r>
        <w:rPr>
          <w:rFonts w:hint="eastAsia" w:ascii="宋体" w:hAnsi="宋体" w:eastAsia="宋体" w:cs="宋体"/>
          <w:color w:val="000000"/>
          <w:sz w:val="24"/>
          <w:lang w:eastAsia="zh-CN"/>
        </w:rPr>
        <w:t xml:space="preserve">江苏智汇锡建工程项目管理有限公司</w:t>
      </w:r>
      <w:r>
        <w:rPr>
          <w:rFonts w:hint="default" w:ascii="宋体" w:hAnsi="宋体" w:eastAsia="宋体" w:cs="宋体"/>
          <w:color w:val="000000"/>
          <w:sz w:val="24"/>
        </w:rPr>
        <w:t xml:space="preserve">提交《磋商报价表》（首次响应文件）和《分项价格表》（首次响应文件）的数据文件（WORD格式）。</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二十二、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第六章 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二十三、《磋商文件》的澄清或者修改</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第七章 询问和质疑</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二十四、询问和质疑</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2、质疑和投诉按《政府采购质疑和投诉办法》执行。</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3、供应商对同一采购程序环节的质疑应在质疑期内一次性提出。</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 </w:t>
      </w:r>
      <w:r/>
    </w:p>
    <w:p>
      <w:pPr>
        <w:ind w:left="0" w:right="0" w:firstLine="0"/>
        <w:jc w:val="center"/>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第八章 其他</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1、代理服务费由成交人向采购代理机构支付，收取标准见附件。</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2、成交结果在徐州政府采购网上公布。</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3、采购人：</w:t>
      </w:r>
      <w:r>
        <w:rPr>
          <w:rFonts w:hint="eastAsia" w:ascii="宋体" w:hAnsi="宋体" w:eastAsia="宋体" w:cs="宋体"/>
          <w:color w:val="000000"/>
          <w:sz w:val="24"/>
          <w:lang w:eastAsia="zh-CN"/>
        </w:rPr>
        <w:t xml:space="preserve"> 徐州市铜山区财政局</w:t>
      </w:r>
      <w:r/>
    </w:p>
    <w:p>
      <w:pPr>
        <w:ind w:left="0" w:right="0" w:firstLine="480"/>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徐州市铜山区嘉源大厦5楼</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   </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李长霖 </w:t>
      </w:r>
      <w:r/>
    </w:p>
    <w:p>
      <w:pPr>
        <w:ind w:left="0" w:right="0" w:firstLine="480"/>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sz w:val="24"/>
          <w:szCs w:val="24"/>
          <w:highlight w:val="none"/>
          <w:lang w:val="en-US" w:eastAsia="zh-CN"/>
        </w:rPr>
        <w:t xml:space="preserve">0516-83535557</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4、采购代理公司：</w:t>
      </w:r>
      <w:r>
        <w:rPr>
          <w:rFonts w:hint="eastAsia" w:ascii="宋体" w:hAnsi="宋体" w:eastAsia="宋体" w:cs="宋体"/>
          <w:color w:val="000000"/>
          <w:sz w:val="24"/>
          <w:lang w:eastAsia="zh-CN"/>
        </w:rPr>
        <w:t xml:space="preserve">江苏智汇锡建工程项目管理有限公司</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徐州市铜山区彭祖路4号财富中心5楼</w:t>
      </w:r>
      <w:r>
        <w:rPr>
          <w:rFonts w:hint="default" w:ascii="宋体" w:hAnsi="宋体" w:eastAsia="宋体" w:cs="宋体"/>
          <w:color w:val="000000"/>
          <w:sz w:val="24"/>
        </w:rPr>
        <w:t xml:space="preserve">。</w:t>
      </w:r>
      <w:r/>
    </w:p>
    <w:p>
      <w:pPr>
        <w:ind w:left="0" w:right="0" w:firstLine="482"/>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联系人：</w:t>
      </w:r>
      <w:r>
        <w:rPr>
          <w:rFonts w:hint="eastAsia" w:ascii="宋体" w:hAnsi="宋体" w:eastAsia="宋体" w:cs="宋体"/>
          <w:color w:val="000000"/>
          <w:sz w:val="24"/>
          <w:lang w:eastAsia="zh-CN"/>
        </w:rPr>
        <w:t xml:space="preserve">滕杭轩</w:t>
      </w:r>
      <w:r>
        <w:rPr>
          <w:rFonts w:hint="eastAsia" w:ascii="宋体" w:hAnsi="宋体" w:eastAsia="宋体" w:cs="宋体"/>
          <w:color w:val="000000"/>
          <w:sz w:val="24"/>
          <w:lang w:val="en-US" w:eastAsia="zh-CN"/>
        </w:rPr>
        <w:t xml:space="preserve"> </w:t>
      </w:r>
      <w:r/>
    </w:p>
    <w:p>
      <w:pPr>
        <w:ind w:left="0" w:right="0" w:firstLine="482"/>
        <w:jc w:val="both"/>
        <w:spacing w:before="0" w:after="0" w:line="400"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联系电话：</w:t>
      </w:r>
      <w:r>
        <w:rPr>
          <w:rFonts w:hint="eastAsia" w:ascii="宋体" w:hAnsi="宋体" w:eastAsia="宋体" w:cs="宋体"/>
          <w:color w:val="000000"/>
          <w:sz w:val="24"/>
          <w:lang w:eastAsia="zh-CN"/>
        </w:rPr>
        <w:t xml:space="preserve">0516-83533877</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rPr>
        <w:t xml:space="preserve">第九章 附件</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1、《评分细则》</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2、《项目要求（采购需求）》</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3、《磋商报价表》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4、《分项价格表》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5、《偏离表》</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6、《合同草案条款》</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7、《承诺书》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8、《授权委托书》</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9、《中小企业声明函》</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10、《供应商参加政府采购活动前3年内在经营活动中没有重大违法记录的书面声明》</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11、《残疾人福利性单位声明函》</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12、《具备履行合同所必需的设备和专业技术能力的书面声明（附证明材料）格式》 </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13、</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项目人员配备表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14、</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业绩一览表</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15、</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安全管理承诺书</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16、</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供应商相关承诺</w:t>
      </w:r>
      <w:r>
        <w:rPr>
          <w:rFonts w:hint="default" w:ascii="宋体" w:hAnsi="宋体" w:eastAsia="宋体" w:cs="宋体"/>
          <w:color w:val="000000"/>
          <w:sz w:val="24"/>
        </w:rPr>
        <w:t xml:space="preserve">》</w:t>
      </w:r>
      <w:r/>
    </w:p>
    <w:p>
      <w:pPr>
        <w:ind w:left="0" w:right="0" w:firstLine="482"/>
        <w:jc w:val="left"/>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17、</w:t>
      </w:r>
      <w:r>
        <w:rPr>
          <w:rFonts w:hint="default" w:ascii="宋体" w:hAnsi="宋体" w:eastAsia="宋体" w:cs="宋体"/>
          <w:color w:val="000000"/>
          <w:sz w:val="24"/>
        </w:rPr>
        <w:t xml:space="preserve">《</w:t>
      </w:r>
      <w:r>
        <w:rPr>
          <w:rFonts w:hint="eastAsia" w:ascii="宋体" w:hAnsi="宋体" w:eastAsia="宋体" w:cs="宋体"/>
          <w:color w:val="000000"/>
          <w:sz w:val="24"/>
          <w:lang w:val="en-US" w:eastAsia="zh-CN"/>
        </w:rPr>
        <w:t xml:space="preserve">供应商书面说明</w:t>
      </w:r>
      <w:r>
        <w:rPr>
          <w:rFonts w:hint="default" w:ascii="宋体" w:hAnsi="宋体" w:eastAsia="宋体" w:cs="宋体"/>
          <w:color w:val="000000"/>
          <w:sz w:val="24"/>
        </w:rPr>
        <w:t xml:space="preserve">》</w:t>
      </w:r>
      <w:r>
        <w:rPr>
          <w:rFonts w:hint="default" w:ascii="宋体" w:hAnsi="宋体" w:eastAsia="宋体" w:cs="宋体"/>
          <w:color w:val="000000"/>
          <w:sz w:val="24"/>
        </w:rPr>
        <w:br/>
      </w:r>
      <w:r>
        <w:rPr>
          <w:rFonts w:hint="default" w:ascii="宋体" w:hAnsi="宋体" w:eastAsia="宋体" w:cs="宋体"/>
          <w:color w:val="000000"/>
          <w:sz w:val="24"/>
        </w:rPr>
        <w:t xml:space="preserve">  1</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、《预付款保函支付条款模板》</w:t>
      </w:r>
      <w:r/>
    </w:p>
    <w:p>
      <w:pPr>
        <w:ind w:left="0" w:right="0" w:firstLine="482"/>
        <w:jc w:val="both"/>
        <w:spacing w:before="0" w:after="0" w:line="40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、《代理服务收费标准》</w:t>
      </w:r>
      <w:r/>
    </w:p>
    <w:p>
      <w:pPr>
        <w:ind w:left="0" w:right="0" w:firstLine="480"/>
        <w:jc w:val="right"/>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202</w:t>
      </w:r>
      <w:r>
        <w:rPr>
          <w:rFonts w:hint="eastAsia" w:ascii="宋体" w:hAnsi="宋体" w:eastAsia="宋体" w:cs="宋体"/>
          <w:color w:val="000000"/>
          <w:sz w:val="24"/>
          <w:lang w:val="en-US" w:eastAsia="zh-CN"/>
        </w:rPr>
        <w:t xml:space="preserve">6</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9</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8</w:t>
      </w:r>
      <w:r>
        <w:rPr>
          <w:rFonts w:hint="default" w:ascii="宋体" w:hAnsi="宋体" w:eastAsia="宋体" w:cs="宋体"/>
          <w:color w:val="000000"/>
          <w:sz w:val="24"/>
        </w:rPr>
        <w:t xml:space="preserve">日</w:t>
      </w:r>
      <w:r/>
    </w:p>
    <w:p>
      <w:pPr>
        <w:numPr>
          <w:ilvl w:val="0"/>
          <w:numId w:val="1"/>
        </w:numPr>
        <w:ind w:left="231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0"/>
        </w:numPr>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w:t>
      </w:r>
      <w:r>
        <w:rPr>
          <w:rFonts w:hint="default" w:ascii="宋体" w:hAnsi="宋体" w:eastAsia="宋体" w:cs="宋体"/>
          <w:b/>
          <w:color w:val="000000"/>
          <w:sz w:val="36"/>
        </w:rPr>
        <w:t xml:space="preserve">评分细则</w:t>
      </w:r>
      <w:r/>
    </w:p>
    <w:tbl>
      <w:tblPr>
        <w:tblStyle w:val="771"/>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8"/>
        <w:gridCol w:w="8147"/>
      </w:tblGrid>
      <w:tr>
        <w:trPr>
          <w:jc w:val="center"/>
          <w:trHeight w:val="362"/>
        </w:trPr>
        <w:tc>
          <w:tcPr>
            <w:gridSpan w:val="2"/>
            <w:tcW w:w="2012"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项目分值</w:t>
            </w:r>
            <w:r/>
          </w:p>
        </w:tc>
        <w:tc>
          <w:tcPr>
            <w:tcW w:w="8147"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Hans"/>
              </w:rPr>
            </w:pPr>
            <w:r>
              <w:rPr>
                <w:rFonts w:hint="eastAsia" w:ascii="宋体" w:hAnsi="宋体" w:eastAsia="宋体" w:cs="宋体"/>
                <w:color w:val="000000"/>
                <w:sz w:val="24"/>
                <w:szCs w:val="24"/>
                <w:highlight w:val="none"/>
                <w:lang w:val="en-US" w:eastAsia="zh-CN"/>
              </w:rPr>
              <w:t xml:space="preserve">评分标准</w:t>
            </w:r>
            <w:r/>
          </w:p>
        </w:tc>
      </w:tr>
      <w:tr>
        <w:trPr>
          <w:jc w:val="center"/>
          <w:trHeight w:val="2911"/>
        </w:trPr>
        <w:tc>
          <w:tcPr>
            <w:gridSpan w:val="2"/>
            <w:tcW w:w="2012" w:type="dxa"/>
            <w:vAlign w:val="center"/>
            <w:textDirection w:val="lrTb"/>
            <w:noWrap w:val="false"/>
          </w:tcPr>
          <w:p>
            <w:pPr>
              <w:ind w:firstLine="66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p>
          <w:p>
            <w:pPr>
              <w:ind w:firstLine="440"/>
              <w:jc w:val="both"/>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8147"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（按四舍五入取至小数点后两位）</w:t>
            </w:r>
            <w:r/>
          </w:p>
          <w:p>
            <w:pPr>
              <w:jc w:val="lef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2222"/>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技术部分</w:t>
            </w:r>
            <w:r>
              <w:rPr>
                <w:rFonts w:hint="eastAsia" w:ascii="宋体" w:hAnsi="宋体" w:eastAsia="宋体" w:cs="宋体"/>
                <w:color w:val="000000"/>
                <w:sz w:val="24"/>
                <w:szCs w:val="24"/>
                <w:highlight w:val="none"/>
                <w:lang w:val="en-US" w:eastAsia="zh-CN"/>
              </w:rPr>
              <w:t xml:space="preserve">（77.5分）</w:t>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设备技术及功能要求（2</w:t>
            </w:r>
            <w:r>
              <w:rPr>
                <w:rFonts w:hint="eastAsia" w:ascii="宋体" w:hAnsi="宋体" w:cs="宋体"/>
                <w:color w:val="000000" w:themeColor="text1"/>
                <w:sz w:val="24"/>
                <w:lang w:val="en-US" w:eastAsia="zh-CN"/>
                <w14:textFill>
                  <w14:solidFill>
                    <w14:schemeClr w14:val="tx1"/>
                  </w14:solidFill>
                </w14:textFill>
              </w:rPr>
              <w:t xml:space="preserve">7.5</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供应商所投产品技术参数全部满足招标文件要求的得满分</w:t>
            </w:r>
            <w:r>
              <w:rPr>
                <w:rFonts w:hint="eastAsia" w:ascii="宋体" w:hAnsi="宋体" w:cs="宋体"/>
                <w:color w:val="000000" w:themeColor="text1"/>
                <w:sz w:val="24"/>
                <w:lang w:val="en-US" w:eastAsia="zh-CN"/>
                <w14:textFill>
                  <w14:solidFill>
                    <w14:schemeClr w14:val="tx1"/>
                  </w14:solidFill>
                </w14:textFill>
              </w:rPr>
              <w:t xml:space="preserve">27.5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打“▲”号的技术参数，有1项负偏离扣</w:t>
            </w:r>
            <w:r>
              <w:rPr>
                <w:rFonts w:hint="eastAsia" w:ascii="宋体" w:hAnsi="宋体" w:cs="宋体"/>
                <w:color w:val="000000" w:themeColor="text1"/>
                <w:sz w:val="24"/>
                <w:lang w:val="en-US" w:eastAsia="zh-CN"/>
                <w14:textFill>
                  <w14:solidFill>
                    <w14:schemeClr w14:val="tx1"/>
                  </w14:solidFill>
                </w14:textFill>
              </w:rPr>
              <w:t xml:space="preserve">0.75</w:t>
            </w:r>
            <w:r>
              <w:rPr>
                <w:rFonts w:hint="eastAsia" w:ascii="宋体" w:hAnsi="宋体" w:cs="宋体"/>
                <w:color w:val="000000" w:themeColor="text1"/>
                <w:sz w:val="24"/>
                <w14:textFill>
                  <w14:solidFill>
                    <w14:schemeClr w14:val="tx1"/>
                  </w14:solidFill>
                </w14:textFill>
              </w:rPr>
              <w:t xml:space="preserve">分；其他未标识的参数如有负偏离，每1项扣</w:t>
            </w:r>
            <w:r>
              <w:rPr>
                <w:rFonts w:hint="eastAsia" w:ascii="宋体" w:hAnsi="宋体" w:cs="宋体"/>
                <w:color w:val="000000" w:themeColor="text1"/>
                <w:sz w:val="24"/>
                <w:lang w:val="en-US" w:eastAsia="zh-CN"/>
                <w14:textFill>
                  <w14:solidFill>
                    <w14:schemeClr w14:val="tx1"/>
                  </w14:solidFill>
                </w14:textFill>
              </w:rPr>
              <w:t xml:space="preserve">0.25</w:t>
            </w:r>
            <w:r>
              <w:rPr>
                <w:rFonts w:hint="eastAsia" w:ascii="宋体" w:hAnsi="宋体" w:cs="宋体"/>
                <w:color w:val="000000" w:themeColor="text1"/>
                <w:sz w:val="24"/>
                <w14:textFill>
                  <w14:solidFill>
                    <w14:schemeClr w14:val="tx1"/>
                  </w14:solidFill>
                </w14:textFill>
              </w:rPr>
              <w:t xml:space="preserve">分。扣完为止。</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供应商须按要求逐条响应，打“▲”号的按要求提供相关证明材料，否则不得分。</w:t>
            </w:r>
            <w:r/>
          </w:p>
        </w:tc>
      </w:tr>
      <w:tr>
        <w:trPr>
          <w:jc w:val="center"/>
          <w:trHeight w:val="253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总体方案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根据供应商提供总体服务方案的完整性、针对性、可行性等予以综合评审。方案内容包括但不限于项目组织、“三员”管理、设计方案、解决方案、安全方案、关键技术、工艺方案等。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1、总体方案设计科学、合理、可行，对关键技术、工艺有深入表述，解决方案完整、具体、经济、安全、切实可行，内容全面，措施得力的得</w:t>
            </w:r>
            <w:r>
              <w:rPr>
                <w:rFonts w:hint="eastAsia" w:ascii="宋体" w:hAnsi="宋体" w:cs="宋体"/>
                <w:color w:val="000000" w:themeColor="text1"/>
                <w:sz w:val="24"/>
                <w:lang w:val="en-US"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2、总体方案设计具有一定的科学性、合理性、可行性，对关键技术、工艺有具体表述，解决方案较完整、经济、安全、具有一定可行性，内容较全面，措施比较得力的得</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3、总体方案设计具有初步的科学性、合理性、可行性，对关键技术、工艺有一定表述，解决方案基本完整、具体、经济、安全、基本可行，内容基本全面，措施基本得力的得</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129"/>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Hans"/>
              </w:rPr>
            </w:pPr>
            <w:r>
              <w:rPr>
                <w:rFonts w:hint="eastAsia" w:ascii="宋体" w:hAnsi="宋体" w:cs="宋体"/>
                <w:color w:val="000000" w:themeColor="text1"/>
                <w:sz w:val="24"/>
                <w14:textFill>
                  <w14:solidFill>
                    <w14:schemeClr w14:val="tx1"/>
                  </w14:solidFill>
                </w14:textFill>
              </w:rPr>
              <w:t xml:space="preserve">具体实施方案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根据供应商提供的项目实施组织设计路线的条理性、针对性、周密性等进行综合评审。方案内容包括但不限于节点部署、实施技术路线、物资储备、人力资源投入、安装调试、交付验收等。</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1、实施方案科学、合理、针对性强，实施路线清晰、安装调试交付验收、服务成果节点提交承诺完整可行或高于满足项目需求的得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2、实施方案比较科学、合理、比较具有针对性，实施路线比较清晰，安装调试交付验收、服务成果节点提交承诺满足项目需求的得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3、实施方案基本科学、合理、针对性不强，安装调试步骤基本清晰，安装调试交付验收、服务成果节点提交承诺基本符合本项目需求的得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项目进度保障方案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（8分）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根据供应商提供的项目进度实施计划、保障措施的针对性、合理性、可行性等予以综合评审。方案内容包括但不限于关键路线、节点、实施措施及进度计划保障措施等。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1、项目实施计划编排合理、可行；业务衔接路线清晰、准确、完整；关键节点的控制措施得力、合理；进度保证措施可靠；施工措施具体、可行性强；保证措施可信、可行的得8分；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2、项目实施计划编排比较可行；业务衔接路线比较清晰；关键节点的控制措施比较得力、合理；进度保证措施比较可行；施工措施比较具体、可行；保证措施比较可信、可行的得5分；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3、项目实施计划编排具有一定的可行性；业务衔接路线基本清晰、关键节点控制措施基本得力、合理；进度保证措施比较可行；施工措施基本具体、可行；保证措施基本可信、可行的得2分；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4"/>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项目质量保障方案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根据供应商提供的确保项目实施质量的保障方案及其措施的可行性、针对性、完整性等予以综合评审。方案内容包括但不限于软件质量控制、硬件质量控制、施工建设质量、技术力量投入、安全保障措施等。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1、项目质量保障方案编排清晰、完整，合理、可行，关键节点控制措施合理、得力，质量保障措施具体、可行性强的得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2、项目质量保障方案编排比较清晰、完整，关键节点控制措施比较合理、得力，质量保障措施比较具体、可行性的得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3、项目质量保障方案编排基本清晰、完整，关键节点控制措施基本合理、可行，质量保障措施不强的得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758"/>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应急突发事件处置</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方案</w:t>
            </w:r>
            <w:r/>
          </w:p>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根据供应商提供的确保本项目的应急处置预案的完整性、针对性、可操作性等予以综合评审。方案内容包括但不限于常规可预见的日常维护、突发事件应急处置备用物品储备、应急恢复措施及处置时限等。</w:t>
            </w:r>
            <w:r/>
          </w:p>
          <w:p>
            <w:pPr>
              <w:ind w:firstLine="240"/>
              <w:jc w:val="left"/>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1、针对本项目做出的应急突发事件处置预案，内容详细、具体，应急处置承诺迅速，恢复措施得力可行的得</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2、针对本项目做出的应急突发事件处置预案，内容比较全面、具体，应急处置承诺及时，恢复措施比较得力可行的得4分；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3、针对本项目做出的应急突发事件处置方案，内容基本全面、应急处置承诺不可行可信，恢复措施基本可行的得2分；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4、未提供任何内容的得0分。</w:t>
            </w:r>
            <w:r/>
          </w:p>
        </w:tc>
      </w:tr>
      <w:tr>
        <w:trPr>
          <w:jc w:val="center"/>
          <w:trHeight w:val="1906"/>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售后服务和培训方案</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分）</w:t>
            </w:r>
            <w:r/>
          </w:p>
        </w:tc>
        <w:tc>
          <w:tcPr>
            <w:tcW w:w="8147" w:type="dxa"/>
            <w:vAlign w:val="center"/>
            <w:textDirection w:val="lrTb"/>
            <w:noWrap w:val="false"/>
          </w:tcPr>
          <w:p>
            <w:pPr>
              <w:ind w:firstLine="241"/>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根据供应商提供的售后服务方案完整性、及时性、个性化服务承诺等予以综合评审。售后服务方案内容包括但不限于售后服务内容与计划、免费运维期限、售后技术力量配备、故障恢复响应时间等运维服务相关承诺。（4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（1）售后服务方案完整，针对性强，服务体系完备、维护人员充足，响应时间短、措施合理，且提供了优于采购需求且具备可行性的特色服务的，得4分；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（2）售后服务方案比较全面，比较具有针对性，具备一定的维护力量，响应时间基本满足需求的得2分；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（3）售后服务体系不完整，针对性强，维护力量薄弱，服务响应速度慢的得1分；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（4）未提供或所提供的方案完全不匹配项目实际情况，不具备可操作性的得0分。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根据供应商提供切合本项目的技术培训方案予以综合评审。内容包括但不限于培训对象、培训目的、培训流程、培训形式、培训内容、培训效果等。（</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（1）培训方案内容详细、覆盖全面、培训计划及进度安排合理的</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（2）培训方案内容简单、覆盖不全面、培训计划及进度安排不合理的得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w:t>
            </w:r>
            <w:r/>
          </w:p>
          <w:p>
            <w:pPr>
              <w:ind w:firstLine="24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未提供的得0分。</w:t>
            </w:r>
            <w:r/>
          </w:p>
        </w:tc>
      </w:tr>
      <w:tr>
        <w:trPr>
          <w:jc w:val="center"/>
          <w:trHeight w:val="1628"/>
        </w:trPr>
        <w:tc>
          <w:tcPr>
            <w:tcW w:w="924"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Hans"/>
              </w:rPr>
              <w:t xml:space="preserve">商务部分</w:t>
            </w:r>
            <w:r>
              <w:rPr>
                <w:rFonts w:hint="eastAsia" w:ascii="宋体" w:hAnsi="宋体" w:eastAsia="宋体" w:cs="宋体"/>
                <w:color w:val="000000"/>
                <w:sz w:val="24"/>
                <w:szCs w:val="24"/>
                <w:highlight w:val="none"/>
                <w:lang w:val="en-US" w:eastAsia="zh-CN"/>
              </w:rPr>
              <w:t xml:space="preserve">（12.5分）</w:t>
            </w:r>
            <w:r/>
          </w:p>
        </w:tc>
        <w:tc>
          <w:tcPr>
            <w:tcW w:w="1088"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企业</w:t>
            </w:r>
            <w:r>
              <w:rPr>
                <w:rFonts w:hint="eastAsia" w:ascii="宋体" w:hAnsi="宋体" w:cs="宋体"/>
                <w:color w:val="000000"/>
                <w:sz w:val="24"/>
                <w:lang w:val="en-US" w:eastAsia="zh-CN"/>
              </w:rPr>
              <w:t xml:space="preserve">实力</w:t>
            </w:r>
            <w:r>
              <w:rPr>
                <w:rFonts w:hint="eastAsia" w:ascii="宋体" w:hAnsi="宋体" w:cs="宋体"/>
                <w:color w:val="000000"/>
                <w:sz w:val="24"/>
              </w:rPr>
              <w:br/>
            </w:r>
            <w:r>
              <w:rPr>
                <w:rFonts w:hint="eastAsia" w:ascii="宋体" w:hAnsi="宋体" w:cs="宋体"/>
                <w:color w:val="000000"/>
                <w:sz w:val="24"/>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p>
        </w:tc>
        <w:tc>
          <w:tcPr>
            <w:tcW w:w="8147" w:type="dxa"/>
            <w:vAlign w:val="center"/>
            <w:textDirection w:val="lrTb"/>
            <w:noWrap w:val="false"/>
          </w:tcPr>
          <w:p>
            <w:pPr>
              <w:pStyle w:val="788"/>
              <w:ind w:right="0" w:firstLine="240"/>
              <w:jc w:val="both"/>
              <w:keepLines w:val="0"/>
              <w:keepNext w:val="0"/>
              <w:spacing w:before="0" w:beforeAutospacing="0" w:after="0" w:afterAutospacing="0" w:line="0" w:lineRule="atLeast"/>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1、响应文件中</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提供有效的ISO9001质量管理体系认证证书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ISO14001环境管理体系认证证书</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sz w:val="24"/>
                <w:szCs w:val="24"/>
                <w:highlight w:val="none"/>
              </w:rPr>
              <w:t xml:space="preserve">ISO27001信息安全管理体系认证证书原件扫描件的得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缺一个不得分。</w:t>
            </w:r>
            <w:r/>
          </w:p>
          <w:p>
            <w:pPr>
              <w:ind w:firstLine="241"/>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以上证书要求同时提供国家市场监督管理总局全国认证认可信息公共服务平台（网址：http://cx.cnca.cn/CertECloud/result/skipResultList）有效截图证明，未提供</w:t>
            </w:r>
            <w:r>
              <w:rPr>
                <w:rFonts w:hint="eastAsia" w:ascii="宋体" w:hAnsi="宋体" w:eastAsia="宋体" w:cs="宋体"/>
                <w:b/>
                <w:bCs/>
                <w:color w:val="000000"/>
                <w:sz w:val="24"/>
                <w:lang w:val="en-US" w:eastAsia="zh-CN"/>
              </w:rPr>
              <w:t xml:space="preserve">全</w:t>
            </w:r>
            <w:r>
              <w:rPr>
                <w:rFonts w:hint="eastAsia" w:ascii="宋体" w:hAnsi="宋体" w:eastAsia="宋体" w:cs="宋体"/>
                <w:b/>
                <w:bCs/>
                <w:color w:val="000000"/>
                <w:sz w:val="24"/>
              </w:rPr>
              <w:t xml:space="preserve">不得分。</w:t>
            </w:r>
            <w:r/>
          </w:p>
          <w:p>
            <w:pPr>
              <w:ind w:firstLine="240"/>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、供应商或所投产品制</w:t>
            </w:r>
            <w:r>
              <w:rPr>
                <w:rFonts w:hint="eastAsia" w:ascii="宋体" w:hAnsi="宋体" w:eastAsia="宋体" w:cs="宋体"/>
                <w:color w:val="000000"/>
                <w:sz w:val="24"/>
                <w:highlight w:val="none"/>
              </w:rPr>
              <w:t xml:space="preserve">造商提供有效期内成品油综合智慧监管云平台类软件著作证书，提供</w:t>
            </w:r>
            <w:r>
              <w:rPr>
                <w:rFonts w:hint="eastAsia" w:ascii="宋体" w:hAnsi="宋体" w:eastAsia="宋体" w:cs="宋体"/>
                <w:color w:val="000000"/>
                <w:sz w:val="24"/>
                <w:highlight w:val="none"/>
                <w:lang w:val="en-US" w:eastAsia="zh-CN"/>
              </w:rPr>
              <w:t xml:space="preserve">1个</w:t>
            </w:r>
            <w:r>
              <w:rPr>
                <w:rFonts w:hint="eastAsia" w:ascii="宋体" w:hAnsi="宋体" w:eastAsia="宋体" w:cs="宋体"/>
                <w:color w:val="auto"/>
                <w:sz w:val="24"/>
                <w:highlight w:val="none"/>
                <w:lang w:val="en-US" w:eastAsia="zh-CN"/>
              </w:rPr>
              <w:t xml:space="preserve">原件扫描件</w:t>
            </w:r>
            <w:r>
              <w:rPr>
                <w:rFonts w:hint="eastAsia" w:ascii="宋体" w:hAnsi="宋体" w:eastAsia="宋体" w:cs="宋体"/>
                <w:color w:val="auto"/>
                <w:sz w:val="24"/>
                <w:highlight w:val="none"/>
              </w:rPr>
              <w:t xml:space="preserve">证</w:t>
            </w:r>
            <w:r>
              <w:rPr>
                <w:rFonts w:hint="eastAsia" w:ascii="宋体" w:hAnsi="宋体" w:eastAsia="宋体" w:cs="宋体"/>
                <w:color w:val="000000"/>
                <w:sz w:val="24"/>
                <w:highlight w:val="none"/>
              </w:rPr>
              <w:t xml:space="preserve">书得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，本项最高得1分</w:t>
            </w:r>
            <w:r>
              <w:rPr>
                <w:rFonts w:hint="eastAsia" w:ascii="宋体" w:hAnsi="宋体" w:eastAsia="宋体" w:cs="宋体"/>
                <w:color w:val="000000"/>
                <w:sz w:val="24"/>
                <w:highlight w:val="none"/>
              </w:rPr>
              <w:t xml:space="preserve">。</w:t>
            </w:r>
            <w:r/>
          </w:p>
        </w:tc>
      </w:tr>
      <w:tr>
        <w:trPr>
          <w:jc w:val="center"/>
          <w:trHeight w:val="982"/>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088"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人员能力</w:t>
            </w:r>
            <w:r>
              <w:rPr>
                <w:rFonts w:hint="eastAsia" w:ascii="宋体" w:hAnsi="宋体" w:cs="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4.5</w:t>
            </w:r>
            <w:r>
              <w:rPr>
                <w:rFonts w:hint="eastAsia" w:ascii="宋体" w:hAnsi="宋体" w:cs="宋体"/>
                <w:color w:val="000000" w:themeColor="text1"/>
                <w:sz w:val="24"/>
                <w14:textFill>
                  <w14:solidFill>
                    <w14:schemeClr w14:val="tx1"/>
                  </w14:solidFill>
                </w14:textFill>
              </w:rPr>
              <w:t xml:space="preserve">分）</w:t>
            </w:r>
            <w:r/>
          </w:p>
        </w:tc>
        <w:tc>
          <w:tcPr>
            <w:shd w:val="clear" w:color="auto" w:fill="auto"/>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1、项目负责人：</w:t>
            </w:r>
            <w:r/>
          </w:p>
          <w:p>
            <w:pPr>
              <w:pStyle w:val="788"/>
              <w:ind w:left="0" w:right="0" w:firstLine="240"/>
              <w:jc w:val="both"/>
              <w:keepLines w:val="0"/>
              <w:keepNext w:val="0"/>
              <w:spacing w:before="0" w:beforeAutospacing="0" w:after="0" w:afterAutospacing="0" w:line="0" w:lineRule="atLeast"/>
              <w:widowControl w:val="off"/>
              <w:rPr>
                <w:rFonts w:hint="eastAsia" w:ascii="宋体" w:hAnsi="宋体" w:cs="宋体"/>
                <w:color w:val="000000" w:themeColor="text1"/>
                <w:sz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具有信息系统项目管理师证书或系统集成项目管理工程师证书或系统分析师证书的得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2、技术负责人：</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具有网络规划设计师高级证书或高级工程师职称证书的得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分，没有的不得分。</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3、项目团队其他成员：</w:t>
            </w:r>
            <w:r/>
          </w:p>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项目团队成员中</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不含项目负责人和技术负责人</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具有网络工程师或高级工程师或注册信息安全专业人员或通信工程师或系统分析师或网络规划设计师，每提供1人得</w:t>
            </w:r>
            <w:r>
              <w:rPr>
                <w:rFonts w:hint="eastAsia" w:ascii="宋体" w:hAnsi="宋体" w:cs="宋体"/>
                <w:color w:val="000000" w:themeColor="text1"/>
                <w:sz w:val="24"/>
                <w:lang w:val="en-US" w:eastAsia="zh-CN"/>
                <w14:textFill>
                  <w14:solidFill>
                    <w14:schemeClr w14:val="tx1"/>
                  </w14:solidFill>
                </w14:textFill>
              </w:rPr>
              <w:t xml:space="preserve">0.5</w:t>
            </w:r>
            <w:r>
              <w:rPr>
                <w:rFonts w:hint="eastAsia" w:ascii="宋体" w:hAnsi="宋体" w:cs="宋体"/>
                <w:color w:val="000000" w:themeColor="text1"/>
                <w:sz w:val="24"/>
                <w14:textFill>
                  <w14:solidFill>
                    <w14:schemeClr w14:val="tx1"/>
                  </w14:solidFill>
                </w14:textFill>
              </w:rPr>
              <w:t xml:space="preserve">分，本项最高得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分。1人多证的按1个人计算，不重复计分。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注：以上人员必须为投标人单位员工，提供相关证书</w:t>
            </w:r>
            <w:r>
              <w:rPr>
                <w:rFonts w:hint="eastAsia" w:ascii="宋体" w:hAnsi="宋体" w:cs="宋体"/>
                <w:b/>
                <w:bCs/>
                <w:color w:val="000000"/>
                <w:sz w:val="24"/>
                <w:szCs w:val="24"/>
                <w:highlight w:val="none"/>
                <w:lang w:val="en-US" w:eastAsia="zh-CN" w:bidi="ar-SA"/>
              </w:rPr>
              <w:t xml:space="preserve">原件扫描件</w:t>
            </w:r>
            <w:r>
              <w:rPr>
                <w:rFonts w:hint="eastAsia" w:ascii="宋体" w:hAnsi="宋体" w:eastAsia="宋体" w:cs="宋体"/>
                <w:b/>
                <w:bCs/>
                <w:color w:val="000000"/>
                <w:sz w:val="24"/>
                <w:szCs w:val="24"/>
                <w:highlight w:val="none"/>
                <w:lang w:val="en-US" w:eastAsia="zh-CN" w:bidi="ar-SA"/>
              </w:rPr>
              <w:t xml:space="preserve">以及开标前六个月内</w:t>
            </w:r>
            <w:r>
              <w:rPr>
                <w:rFonts w:hint="eastAsia" w:ascii="宋体" w:hAnsi="宋体" w:cs="宋体"/>
                <w:b/>
                <w:bCs/>
                <w:color w:val="000000"/>
                <w:sz w:val="24"/>
                <w:highlight w:val="none"/>
              </w:rPr>
              <w:t xml:space="preserve">任何1月</w:t>
            </w:r>
            <w:r>
              <w:rPr>
                <w:rFonts w:hint="eastAsia" w:ascii="宋体" w:hAnsi="宋体" w:eastAsia="宋体" w:cs="宋体"/>
                <w:b/>
                <w:bCs/>
                <w:color w:val="000000"/>
                <w:sz w:val="24"/>
                <w:szCs w:val="24"/>
                <w:highlight w:val="none"/>
                <w:lang w:val="en-US" w:eastAsia="zh-CN" w:bidi="ar-SA"/>
              </w:rPr>
              <w:t xml:space="preserve">（不含开标当月）由政府主管部门出具的由本单位缴纳的社保证明</w:t>
            </w:r>
            <w:r>
              <w:rPr>
                <w:rFonts w:hint="eastAsia" w:ascii="宋体" w:hAnsi="宋体" w:cs="宋体"/>
                <w:b/>
                <w:bCs/>
                <w:color w:val="000000"/>
                <w:sz w:val="24"/>
                <w:highlight w:val="none"/>
              </w:rPr>
              <w:t xml:space="preserve">，未提供的不得分</w:t>
            </w:r>
            <w:r>
              <w:rPr>
                <w:rFonts w:hint="eastAsia" w:ascii="宋体" w:hAnsi="宋体" w:eastAsia="宋体" w:cs="宋体"/>
                <w:b/>
                <w:bCs/>
                <w:color w:val="000000"/>
                <w:sz w:val="24"/>
                <w:szCs w:val="24"/>
                <w:highlight w:val="none"/>
                <w:lang w:val="en-US" w:eastAsia="zh-CN" w:bidi="ar-SA"/>
              </w:rPr>
              <w:t xml:space="preserve">。</w:t>
            </w:r>
            <w:r/>
          </w:p>
        </w:tc>
      </w:tr>
      <w:tr>
        <w:trPr>
          <w:jc w:val="center"/>
          <w:trHeight w:val="90"/>
        </w:trPr>
        <w:tc>
          <w:tcPr>
            <w:tcW w:w="92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88"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cs="宋体"/>
                <w:color w:val="000000" w:themeColor="text1"/>
                <w:sz w:val="24"/>
                <w14:textFill>
                  <w14:solidFill>
                    <w14:schemeClr w14:val="tx1"/>
                  </w14:solidFill>
                </w14:textFill>
              </w:rPr>
              <w:t xml:space="preserve">类似业绩（4分）</w:t>
            </w:r>
            <w:r/>
          </w:p>
        </w:tc>
        <w:tc>
          <w:tcPr>
            <w:tcW w:w="8147" w:type="dxa"/>
            <w:vAlign w:val="center"/>
            <w:textDirection w:val="lrTb"/>
            <w:noWrap w:val="false"/>
          </w:tcPr>
          <w:p>
            <w:pPr>
              <w:ind w:firstLine="24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2023年1月1日以来（以合同签订时间为准），供应商承担过类似服务或数据采集类项目（同一集团公司或同一法人主体内的分支机构签署的直接或间接的案例均可）。每提供一个得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分，本项最高得4分。</w:t>
            </w:r>
            <w:r/>
          </w:p>
          <w:p>
            <w:pPr>
              <w:ind w:firstLine="241"/>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b/>
                <w:bCs/>
                <w:color w:val="000000" w:themeColor="text1"/>
                <w:sz w:val="24"/>
                <w14:textFill>
                  <w14:solidFill>
                    <w14:schemeClr w14:val="tx1"/>
                  </w14:solidFill>
                </w14:textFill>
              </w:rPr>
              <w:t xml:space="preserve">以提供项目业绩合同原件的扫描件并加盖公章为准，不提供的不得分。</w:t>
            </w:r>
            <w:r/>
          </w:p>
        </w:tc>
      </w:tr>
    </w:tbl>
    <w:p>
      <w:pPr>
        <w:ind w:left="0" w:right="0" w:firstLine="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本章说明：本项目采用综合评分法，得分保留小数点后两位。</w:t>
      </w:r>
      <w:r>
        <w:rPr>
          <w:rFonts w:hint="default" w:ascii="宋体" w:hAnsi="宋体" w:eastAsia="宋体" w:cs="宋体"/>
          <w:color w:val="000000"/>
          <w:sz w:val="24"/>
        </w:rPr>
        <w:br w:type="page" w:clear="all"/>
      </w:r>
      <w:r/>
    </w:p>
    <w:p>
      <w:pPr>
        <w:ind w:left="0" w:right="0" w:firstLine="0"/>
        <w:jc w:val="center"/>
        <w:keepLines w:val="0"/>
        <w:keepNext w:val="0"/>
        <w:pageBreakBefore w:val="0"/>
        <w:spacing w:before="0" w:after="0" w:line="39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2、项目要求（采购需求）</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4" w:name="_Toc10053"/>
      <w:r/>
      <w:bookmarkStart w:id="5" w:name="_Toc28738"/>
      <w:r>
        <w:rPr>
          <w:rFonts w:hint="eastAsia" w:ascii="宋体" w:hAnsi="宋体" w:eastAsia="宋体" w:cs="宋体"/>
          <w:b/>
          <w:sz w:val="28"/>
          <w:szCs w:val="28"/>
        </w:rPr>
        <w:t xml:space="preserve">说明</w:t>
      </w:r>
      <w:bookmarkEnd w:id="4"/>
      <w:r/>
      <w:bookmarkEnd w:id="5"/>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采购</w:t>
      </w:r>
      <w:r>
        <w:rPr>
          <w:rFonts w:hint="eastAsia" w:ascii="宋体" w:hAnsi="宋体" w:eastAsia="宋体" w:cs="宋体"/>
          <w:b/>
          <w:bCs w:val="0"/>
          <w:sz w:val="24"/>
          <w:szCs w:val="24"/>
          <w:highlight w:val="none"/>
          <w:lang w:val="en-US" w:eastAsia="zh-CN" w:bidi="ar-SA"/>
        </w:rPr>
        <w:t xml:space="preserve">人：</w:t>
      </w:r>
      <w:r>
        <w:rPr>
          <w:rFonts w:hint="eastAsia" w:ascii="宋体" w:hAnsi="宋体" w:eastAsia="宋体" w:cs="宋体"/>
          <w:b w:val="0"/>
          <w:bCs/>
          <w:sz w:val="24"/>
          <w:szCs w:val="24"/>
          <w:highlight w:val="none"/>
          <w:lang w:val="en-US" w:eastAsia="zh-CN" w:bidi="ar-SA"/>
        </w:rPr>
        <w:t xml:space="preserve">徐州市铜山区财政局</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lang w:val="en-US" w:eastAsia="zh-CN" w:bidi="ar-SA"/>
        </w:rPr>
        <w:t xml:space="preserve">采购项目名称：</w:t>
      </w:r>
      <w:r>
        <w:rPr>
          <w:rFonts w:hint="eastAsia" w:ascii="宋体" w:hAnsi="宋体" w:eastAsia="宋体" w:cs="宋体"/>
          <w:bCs/>
          <w:sz w:val="24"/>
          <w:szCs w:val="24"/>
          <w:lang w:val="en-US" w:eastAsia="zh-CN" w:bidi="ar-SA"/>
        </w:rPr>
        <w:t xml:space="preserve">铜山区</w:t>
      </w:r>
      <w:r>
        <w:rPr>
          <w:rFonts w:hint="eastAsia" w:ascii="宋体" w:hAnsi="宋体" w:eastAsia="宋体" w:cs="宋体"/>
          <w:bCs/>
          <w:sz w:val="24"/>
          <w:szCs w:val="24"/>
          <w:highlight w:val="none"/>
          <w:lang w:val="en-US" w:eastAsia="zh-CN" w:bidi="ar-SA"/>
        </w:rPr>
        <w:t xml:space="preserve">成品油税控联网监管系统项目</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项目预算：</w:t>
      </w:r>
      <w:r>
        <w:rPr>
          <w:rFonts w:hint="eastAsia" w:ascii="宋体" w:hAnsi="宋体" w:eastAsia="宋体" w:cs="宋体"/>
          <w:bCs/>
          <w:sz w:val="24"/>
          <w:szCs w:val="24"/>
          <w:highlight w:val="none"/>
          <w:lang w:val="en-US" w:eastAsia="zh-CN" w:bidi="ar-SA"/>
        </w:rPr>
        <w:t xml:space="preserve">本项目预算金额为195万元。</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本项目不接受超过</w:t>
      </w:r>
      <w:r>
        <w:rPr>
          <w:rFonts w:hint="eastAsia" w:ascii="宋体" w:hAnsi="宋体" w:eastAsia="宋体" w:cs="宋体"/>
          <w:b/>
          <w:bCs/>
          <w:sz w:val="24"/>
          <w:highlight w:val="none"/>
          <w:u w:val="single"/>
          <w:lang w:val="en-US" w:eastAsia="zh-CN"/>
        </w:rPr>
        <w:t xml:space="preserve">195</w:t>
      </w:r>
      <w:r>
        <w:rPr>
          <w:rFonts w:hint="eastAsia" w:ascii="宋体" w:hAnsi="宋体" w:eastAsia="宋体" w:cs="宋体"/>
          <w:b/>
          <w:sz w:val="24"/>
          <w:highlight w:val="none"/>
        </w:rPr>
        <w:t xml:space="preserve">万元人民币（采购项目预算金额）的磋商报价</w:t>
      </w:r>
      <w:r>
        <w:rPr>
          <w:rFonts w:hint="eastAsia" w:ascii="宋体" w:hAnsi="宋体" w:eastAsia="宋体" w:cs="Times New Roman"/>
          <w:b/>
          <w:color w:val="000000"/>
          <w:sz w:val="24"/>
          <w:highlight w:val="none"/>
        </w:rPr>
        <w:t xml:space="preserve">（首次和最后报价）</w:t>
      </w:r>
      <w:r>
        <w:rPr>
          <w:rFonts w:hint="eastAsia" w:ascii="宋体" w:hAnsi="宋体" w:eastAsia="宋体" w:cs="宋体"/>
          <w:b/>
          <w:sz w:val="24"/>
          <w:highlight w:val="none"/>
        </w:rPr>
        <w:t xml:space="preserve">。</w:t>
      </w:r>
      <w:r/>
    </w:p>
    <w:p>
      <w:pPr>
        <w:ind w:firstLine="480"/>
        <w:jc w:val="left"/>
        <w:keepLines w:val="0"/>
        <w:keepNext w:val="0"/>
        <w:pageBreakBefore w:val="0"/>
        <w:spacing w:line="39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报价包含但不限于设备、软件的采购、安装、调试、测评、服务期内的技术服务、运维服务等完成本项目全部内容所需的一切费用。采购人不再支付报价以外的任何费用。</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采购需求概况</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为了解决部分加油站企业税法遵从观念淡薄，财务制度不健全，不能如实申报收入和成本，以“低质、低标、低税、低价”油品冲击成品油市场，导致“合规守法企业受损，不合规非法企业获利”的市场乱象；以及在传统监管模式下，管理人员定期上门入户采集数据，花费大量人力物力仅能采集某个时间段的累计数据，无法实时反映出纳税人明细、动态数据；甚至一些加油站非法破坏</w:t>
      </w:r>
      <w:r>
        <w:rPr>
          <w:rFonts w:hint="eastAsia" w:ascii="宋体" w:hAnsi="宋体" w:eastAsia="宋体" w:cs="宋体"/>
          <w:bCs/>
          <w:color w:val="000000"/>
          <w:sz w:val="24"/>
          <w:szCs w:val="20"/>
          <w:lang w:val="en-US" w:eastAsia="zh-CN" w:bidi="ar-SA"/>
        </w:rPr>
        <w:t xml:space="preserve">加油机计量、税控设施，篡改隐匿主板数据，导致监管部门采集数据严重失真等问题。</w:t>
      </w:r>
      <w:r>
        <w:rPr>
          <w:rFonts w:hint="eastAsia" w:ascii="宋体" w:hAnsi="宋体" w:eastAsia="宋体" w:cs="宋体"/>
          <w:bCs/>
          <w:color w:val="000000"/>
          <w:sz w:val="24"/>
          <w:szCs w:val="20"/>
          <w:highlight w:val="none"/>
          <w:lang w:val="en-US" w:eastAsia="zh-CN" w:bidi="ar-SA"/>
        </w:rPr>
        <w:t xml:space="preserve">铜山区财政局拟通</w:t>
      </w:r>
      <w:r>
        <w:rPr>
          <w:rFonts w:hint="eastAsia" w:ascii="宋体" w:hAnsi="宋体" w:eastAsia="宋体" w:cs="宋体"/>
          <w:bCs/>
          <w:color w:val="000000"/>
          <w:sz w:val="24"/>
          <w:szCs w:val="20"/>
          <w:lang w:val="en-US" w:eastAsia="zh-CN" w:bidi="ar-SA"/>
        </w:rPr>
        <w:t xml:space="preserve">过运用物联网、大数据等技术手段</w:t>
      </w: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，将全区38座加油站、152台加油机和38个液位仪采集器全部纳入远程实时监管，实现</w:t>
      </w:r>
      <w:r>
        <w:rPr>
          <w:rFonts w:hint="eastAsia" w:ascii="宋体" w:hAnsi="宋体" w:eastAsia="宋体" w:cs="宋体"/>
          <w:bCs/>
          <w:color w:val="000000"/>
          <w:sz w:val="24"/>
          <w:szCs w:val="20"/>
          <w:lang w:val="en-US" w:eastAsia="zh-CN" w:bidi="ar-SA"/>
        </w:rPr>
        <w:t xml:space="preserve">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w:t>
      </w:r>
      <w:r>
        <w:rPr>
          <w:rFonts w:hint="eastAsia" w:ascii="宋体" w:hAnsi="宋体" w:eastAsia="宋体" w:cs="宋体"/>
          <w:bCs/>
          <w:color w:val="000000"/>
          <w:sz w:val="24"/>
          <w:szCs w:val="20"/>
          <w:highlight w:val="none"/>
          <w:lang w:val="en-US" w:eastAsia="zh-CN" w:bidi="ar-SA"/>
        </w:rPr>
        <w:t xml:space="preserve">感。</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本项目不属于专门面向中小微企业采购的项目</w:t>
      </w:r>
      <w:r>
        <w:rPr>
          <w:rFonts w:hint="eastAsia" w:ascii="宋体" w:hAnsi="宋体" w:eastAsia="宋体" w:cs="宋体"/>
          <w:b/>
          <w:sz w:val="24"/>
          <w:szCs w:val="24"/>
          <w:highlight w:val="none"/>
          <w:lang w:val="en-US" w:eastAsia="zh-CN" w:bidi="ar-SA"/>
        </w:rPr>
        <w:t xml:space="preserve">。</w:t>
      </w:r>
      <w:r/>
    </w:p>
    <w:p>
      <w:pPr>
        <w:numPr>
          <w:ilvl w:val="0"/>
          <w:numId w:val="3"/>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服务期限：</w:t>
      </w:r>
      <w:r>
        <w:rPr>
          <w:rFonts w:hint="eastAsia" w:ascii="宋体" w:hAnsi="宋体" w:eastAsia="宋体" w:cs="宋体"/>
          <w:bCs/>
          <w:sz w:val="24"/>
          <w:szCs w:val="24"/>
          <w:highlight w:val="none"/>
          <w:lang w:val="en-US" w:eastAsia="zh-CN" w:bidi="ar-SA"/>
        </w:rPr>
        <w:t xml:space="preserve">自项目验收合格之日起3年。</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6" w:name="_Toc6817"/>
      <w:r/>
      <w:bookmarkStart w:id="7" w:name="_Toc14737"/>
      <w:r/>
      <w:bookmarkStart w:id="8" w:name="_Toc12492"/>
      <w:r>
        <w:rPr>
          <w:rFonts w:hint="eastAsia" w:ascii="宋体" w:hAnsi="宋体" w:eastAsia="宋体" w:cs="宋体"/>
          <w:b/>
          <w:sz w:val="28"/>
          <w:szCs w:val="28"/>
        </w:rPr>
        <w:t xml:space="preserve">项目服务内容</w:t>
      </w:r>
      <w:bookmarkEnd w:id="6"/>
      <w:r/>
      <w:bookmarkEnd w:id="7"/>
      <w:r/>
      <w:bookmarkEnd w:id="8"/>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9" w:name="_Toc5054"/>
      <w:r/>
      <w:bookmarkStart w:id="10" w:name="_Toc17548"/>
      <w:r>
        <w:rPr>
          <w:rFonts w:hint="eastAsia" w:ascii="宋体" w:hAnsi="宋体" w:eastAsia="宋体" w:cs="宋体"/>
          <w:b/>
          <w:sz w:val="24"/>
          <w:szCs w:val="24"/>
          <w:highlight w:val="none"/>
          <w:lang w:val="en-US" w:eastAsia="zh-CN" w:bidi="ar-SA"/>
        </w:rPr>
        <w:t xml:space="preserve">项目规模</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将全区38座加油站、152台加油机和38个液位仪采集器全部纳入远程实时监管，提升加油站监管数字化、智能化水平。</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项目内容</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highlight w:val="none"/>
          <w:lang w:val="en-US" w:eastAsia="zh-CN" w:bidi="ar-SA"/>
        </w:rPr>
      </w:pPr>
      <w:r/>
      <w:bookmarkStart w:id="11" w:name="_Toc14923"/>
      <w:r>
        <w:rPr>
          <w:rFonts w:hint="eastAsia" w:ascii="宋体" w:hAnsi="宋体" w:eastAsia="宋体" w:cs="宋体"/>
          <w:bCs/>
          <w:color w:val="000000"/>
          <w:sz w:val="24"/>
          <w:szCs w:val="20"/>
          <w:highlight w:val="none"/>
          <w:lang w:val="en-US" w:eastAsia="zh-CN" w:bidi="ar-SA"/>
        </w:rPr>
        <w:t xml:space="preserve">智慧监管云平台系统（平台管理）</w:t>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智慧监管云平台的搭建，基于大数据分析技术，对铜山全区</w:t>
      </w:r>
      <w:r>
        <w:rPr>
          <w:rFonts w:hint="eastAsia" w:ascii="宋体" w:hAnsi="宋体" w:eastAsia="宋体" w:cs="宋体"/>
          <w:bCs/>
          <w:sz w:val="24"/>
          <w:szCs w:val="24"/>
          <w:lang w:val="en-US" w:eastAsia="zh-CN" w:bidi="ar-SA"/>
        </w:rPr>
        <w:t xml:space="preserve">成品油流通企业</w:t>
      </w:r>
      <w:r>
        <w:rPr>
          <w:rFonts w:hint="eastAsia" w:ascii="宋体" w:hAnsi="宋体" w:eastAsia="宋体" w:cs="宋体"/>
          <w:bCs/>
          <w:color w:val="000000"/>
          <w:sz w:val="24"/>
          <w:szCs w:val="20"/>
          <w:lang w:val="en-US" w:eastAsia="zh-CN" w:bidi="ar-SA"/>
        </w:rPr>
        <w:t xml:space="preserve">进行实时全方位的监管，实时采集加油机信息，实现事前监管、实时监管、事中监管、事后监督的统一。</w:t>
      </w:r>
      <w:r/>
    </w:p>
    <w:p>
      <w:pPr>
        <w:numPr>
          <w:ilvl w:val="0"/>
          <w:numId w:val="5"/>
        </w:num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加油机数据采集（销项监管）</w:t>
      </w:r>
      <w:bookmarkEnd w:id="11"/>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将</w:t>
      </w:r>
      <w:bookmarkStart w:id="12" w:name="OLE_LINK1"/>
      <w:r>
        <w:rPr>
          <w:rFonts w:hint="eastAsia" w:ascii="宋体" w:hAnsi="宋体" w:eastAsia="宋体" w:cs="宋体"/>
          <w:bCs/>
          <w:color w:val="000000"/>
          <w:sz w:val="24"/>
          <w:szCs w:val="20"/>
          <w:lang w:val="en-US" w:eastAsia="zh-CN" w:bidi="ar-SA"/>
        </w:rPr>
        <w:t xml:space="preserve">全区</w:t>
      </w:r>
      <w:bookmarkEnd w:id="12"/>
      <w:r>
        <w:rPr>
          <w:rFonts w:hint="eastAsia" w:ascii="宋体" w:hAnsi="宋体" w:eastAsia="宋体" w:cs="宋体"/>
          <w:bCs/>
          <w:color w:val="000000"/>
          <w:sz w:val="24"/>
          <w:szCs w:val="20"/>
          <w:lang w:val="en-US" w:eastAsia="zh-CN" w:bidi="ar-SA"/>
        </w:rPr>
        <w:t xml:space="preserve">加油站（点）内加油机（枪）与云平台联网，通过加油机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如云平台数据采集设备出现异常情况预警，多部门即联动快速核查，开展执法行动。</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服务目标</w:t>
      </w:r>
      <w:bookmarkEnd w:id="9"/>
      <w:r/>
      <w:bookmarkEnd w:id="10"/>
      <w:r/>
      <w:r/>
    </w:p>
    <w:p>
      <w:pPr>
        <w:ind w:firstLine="480"/>
        <w:jc w:val="both"/>
        <w:keepLines w:val="0"/>
        <w:keepNext w:val="0"/>
        <w:pageBreakBefore w:val="0"/>
        <w:spacing w:before="100" w:beforeAutospacing="0" w:after="100" w:afterAutospacing="0" w:line="390" w:lineRule="exact"/>
        <w:widowControl w:val="off"/>
        <w:rPr>
          <w:rFonts w:hint="eastAsia" w:ascii="宋体" w:hAnsi="宋体" w:eastAsia="宋体" w:cs="宋体"/>
          <w:bCs/>
          <w:color w:val="000000"/>
          <w:sz w:val="24"/>
          <w:szCs w:val="20"/>
          <w:lang w:val="en-US" w:eastAsia="zh-CN" w:bidi="ar-SA"/>
        </w:rPr>
      </w:pPr>
      <w:r>
        <w:rPr>
          <w:rFonts w:hint="eastAsia" w:ascii="宋体" w:hAnsi="宋体" w:eastAsia="宋体" w:cs="宋体"/>
          <w:bCs/>
          <w:color w:val="000000"/>
          <w:sz w:val="24"/>
          <w:szCs w:val="20"/>
          <w:lang w:val="en-US" w:eastAsia="zh-CN" w:bidi="ar-SA"/>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 </w:t>
      </w:r>
      <w:r/>
    </w:p>
    <w:p>
      <w:pPr>
        <w:ind w:firstLine="482"/>
        <w:jc w:val="both"/>
        <w:keepLines w:val="0"/>
        <w:keepNext w:val="0"/>
        <w:pageBreakBefore w:val="0"/>
        <w:spacing w:before="100" w:beforeAutospacing="0" w:after="100" w:afterAutospacing="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标准计量服务。</w:t>
      </w:r>
      <w:r>
        <w:rPr>
          <w:rFonts w:hint="eastAsia" w:ascii="宋体" w:hAnsi="宋体" w:eastAsia="宋体" w:cs="宋体"/>
          <w:sz w:val="24"/>
          <w:szCs w:val="24"/>
          <w:lang w:val="en-US" w:eastAsia="zh-CN" w:bidi="ar-SA"/>
        </w:rPr>
        <w:t xml:space="preserve">通过云平台提供的标准计量服务，打击部分加油站非法破坏加油机计量、税控设施，篡改隐匿主板数据，导致监管部门采集数据严重失真的违法行为。</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数据采集服务。</w:t>
      </w:r>
      <w:r>
        <w:rPr>
          <w:rFonts w:hint="eastAsia" w:ascii="宋体" w:hAnsi="宋体" w:eastAsia="宋体" w:cs="宋体"/>
          <w:sz w:val="24"/>
        </w:rPr>
        <w:t xml:space="preserve">通过云平台提供的数据采集服务，对站内加油机编号、加油枪编号、成品油名称、油品数量、单价、金额、加油时间进行实时采集，自动生成电子发票基础数据信息，监控纳税人开票和纳税申报行为，及时开展纳税申报比对。通过4G/5G物联网将税控数据与云平台对接，对设备出现异常情况预警，多部门立即联动快速核查，开展执法行动。制止“合规守法企业受损，不合规非法企业获利”的市场乱象，营造市场公平营商环境。</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统计分析服务。</w:t>
      </w:r>
      <w:r>
        <w:rPr>
          <w:rFonts w:hint="eastAsia" w:ascii="宋体" w:hAnsi="宋体" w:eastAsia="宋体" w:cs="宋体"/>
          <w:sz w:val="24"/>
        </w:rPr>
        <w:t xml:space="preserve">通过云平台提供的统计分析服务，实现成品油领域的税务监管、价格监管、计量监管等环节齐抓共管、综合治理。配合取缔 “黑”加油站点，进一步规范成品油营销环境，保护合法加油站的利益，杜绝黑加油站点存在的社会安全隐患。</w:t>
      </w:r>
      <w:r/>
    </w:p>
    <w:p>
      <w:pPr>
        <w:ind w:firstLine="482"/>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b/>
          <w:bCs/>
          <w:sz w:val="24"/>
        </w:rPr>
        <w:t xml:space="preserve">智能预警服务。</w:t>
      </w:r>
      <w:r>
        <w:rPr>
          <w:rFonts w:hint="eastAsia" w:ascii="宋体" w:hAnsi="宋体" w:eastAsia="宋体" w:cs="宋体"/>
          <w:sz w:val="24"/>
        </w:rPr>
        <w:t xml:space="preserve">通过云平台提供的智能预警服务，实现违法作弊行为、安全生产隐患、非法运输车辆等全天候无人值守的及时预警，实现监管、预警、处置的高效联动。</w:t>
      </w:r>
      <w:r/>
    </w:p>
    <w:p>
      <w:pPr>
        <w:ind w:firstLine="482"/>
        <w:keepLines w:val="0"/>
        <w:keepNext w:val="0"/>
        <w:pageBreakBefore w:val="0"/>
        <w:spacing w:line="390" w:lineRule="exact"/>
        <w:widowControl w:val="off"/>
        <w:rPr>
          <w:rFonts w:hint="eastAsia" w:ascii="仿宋" w:hAnsi="仿宋" w:eastAsia="仿宋" w:cs="方正楷体_GB2312"/>
          <w:sz w:val="24"/>
        </w:rPr>
      </w:pPr>
      <w:r>
        <w:rPr>
          <w:rFonts w:hint="eastAsia" w:ascii="宋体" w:hAnsi="宋体" w:eastAsia="宋体" w:cs="宋体"/>
          <w:b/>
          <w:bCs/>
          <w:sz w:val="24"/>
        </w:rPr>
        <w:t xml:space="preserve">动态感知服务。</w:t>
      </w:r>
      <w:r>
        <w:rPr>
          <w:rFonts w:hint="eastAsia" w:ascii="宋体" w:hAnsi="宋体" w:eastAsia="宋体" w:cs="宋体"/>
          <w:sz w:val="24"/>
        </w:rPr>
        <w:t xml:space="preserve">通过云平台提供的动态感知服务，为政府和职能管理部门提供大数据看板、领导“驾驶舱”窗口、APP，动态全景感知成品油进销数据、售油数据、纳税数据、油站数据、安全生产等数据，为政府科学决策提供必要的数据支撑依据。</w:t>
      </w:r>
      <w:r/>
    </w:p>
    <w:p>
      <w:pPr>
        <w:numPr>
          <w:ilvl w:val="0"/>
          <w:numId w:val="4"/>
        </w:numPr>
        <w:ind w:left="0" w:firstLine="420"/>
        <w:jc w:val="both"/>
        <w:keepLines w:val="0"/>
        <w:keepNext w:val="0"/>
        <w:pageBreakBefore w:val="0"/>
        <w:spacing w:after="0" w:line="390" w:lineRule="exact"/>
        <w:widowControl w:val="off"/>
        <w:rPr>
          <w:rFonts w:hint="eastAsia" w:ascii="宋体" w:hAnsi="宋体" w:eastAsia="宋体" w:cs="宋体"/>
          <w:b/>
          <w:sz w:val="24"/>
          <w:szCs w:val="24"/>
          <w:highlight w:val="none"/>
          <w:lang w:val="en-US" w:eastAsia="zh-CN" w:bidi="ar-SA"/>
        </w:rPr>
      </w:pPr>
      <w:r/>
      <w:bookmarkStart w:id="13" w:name="_Toc13182"/>
      <w:r>
        <w:rPr>
          <w:rFonts w:hint="eastAsia" w:ascii="宋体" w:hAnsi="宋体" w:eastAsia="宋体" w:cs="宋体"/>
          <w:b/>
          <w:sz w:val="24"/>
          <w:szCs w:val="24"/>
          <w:highlight w:val="none"/>
          <w:lang w:val="en-US" w:eastAsia="zh-CN" w:bidi="ar-SA"/>
        </w:rPr>
        <w:t xml:space="preserve">采购清单：</w:t>
      </w:r>
      <w:bookmarkEnd w:id="13"/>
      <w:r/>
      <w:r/>
    </w:p>
    <w:tbl>
      <w:tblPr>
        <w:tblStyle w:val="771"/>
        <w:tblW w:w="46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4329"/>
        <w:gridCol w:w="1571"/>
        <w:gridCol w:w="1837"/>
      </w:tblGrid>
      <w:tr>
        <w:trPr>
          <w:jc w:val="center"/>
          <w:trHeight w:val="567"/>
        </w:trPr>
        <w:tc>
          <w:tcPr>
            <w:shd w:val="clear" w:color="000000" w:fill="ffffff"/>
            <w:tcW w:w="472"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533"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919"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1075" w:type="pct"/>
            <w:vAlign w:val="center"/>
            <w:textDirection w:val="lrTb"/>
            <w:noWrap/>
          </w:tcPr>
          <w:p>
            <w:pPr>
              <w:jc w:val="center"/>
              <w:keepLines w:val="0"/>
              <w:keepNext w:val="0"/>
              <w:pageBreakBefore w:val="0"/>
              <w:spacing w:line="390" w:lineRule="exact"/>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72"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533"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919" w:type="pct"/>
            <w:vAlign w:val="center"/>
            <w:textDirection w:val="lrTb"/>
            <w:noWrap w:val="false"/>
          </w:tcPr>
          <w:p>
            <w:pPr>
              <w:jc w:val="center"/>
              <w:keepLines w:val="0"/>
              <w:keepNext w:val="0"/>
              <w:pageBreakBefore w:val="0"/>
              <w:spacing w:line="39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10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4" w:name="_Toc15669"/>
      <w:r/>
      <w:bookmarkStart w:id="15" w:name="_Toc30342"/>
      <w:r>
        <w:rPr>
          <w:rFonts w:hint="eastAsia" w:ascii="宋体" w:hAnsi="宋体" w:eastAsia="宋体" w:cs="宋体"/>
          <w:b/>
          <w:sz w:val="28"/>
          <w:szCs w:val="28"/>
        </w:rPr>
        <w:t xml:space="preserve">技术要求</w:t>
      </w:r>
      <w:bookmarkEnd w:id="14"/>
      <w:r/>
      <w:bookmarkEnd w:id="15"/>
      <w:r/>
      <w:r/>
    </w:p>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云平台服务系统</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平台技术要求：</w:t>
      </w:r>
      <w:r/>
    </w:p>
    <w:p>
      <w:pPr>
        <w:ind w:firstLine="480"/>
        <w:keepLines w:val="0"/>
        <w:keepNext w:val="0"/>
        <w:pageBreakBefore w:val="0"/>
        <w:spacing w:line="390" w:lineRule="exact"/>
        <w:widowControl w:val="off"/>
        <w:rPr>
          <w:rFonts w:hint="eastAsia" w:ascii="宋体" w:hAnsi="宋体" w:eastAsia="宋体" w:cs="宋体"/>
          <w:sz w:val="24"/>
        </w:rPr>
      </w:pPr>
      <w:r>
        <w:rPr>
          <w:rFonts w:hint="eastAsia" w:ascii="宋体" w:hAnsi="宋体" w:eastAsia="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numPr>
          <w:ilvl w:val="0"/>
          <w:numId w:val="7"/>
        </w:numPr>
        <w:ind w:left="0" w:firstLine="480"/>
        <w:jc w:val="both"/>
        <w:keepLines w:val="0"/>
        <w:keepNext w:val="0"/>
        <w:pageBreakBefore w:val="0"/>
        <w:spacing w:after="120" w:line="39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功能与技术参数要求：</w:t>
      </w:r>
      <w:r/>
    </w:p>
    <w:tbl>
      <w:tblPr>
        <w:tblStyle w:val="771"/>
        <w:tblW w:w="5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940"/>
        <w:gridCol w:w="1374"/>
        <w:gridCol w:w="1976"/>
        <w:gridCol w:w="4335"/>
      </w:tblGrid>
      <w:tr>
        <w:trPr>
          <w:jc w:val="center"/>
          <w:trHeight w:val="439"/>
          <w:tblHeader/>
        </w:trPr>
        <w:tc>
          <w:tcPr>
            <w:shd w:val="clear" w:color="000000" w:fill="auto"/>
            <w:tcW w:w="404"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序号</w:t>
            </w:r>
            <w:r/>
          </w:p>
        </w:tc>
        <w:tc>
          <w:tcPr>
            <w:shd w:val="clear" w:color="000000" w:fill="auto"/>
            <w:tcW w:w="500"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类别</w:t>
            </w:r>
            <w:r/>
          </w:p>
        </w:tc>
        <w:tc>
          <w:tcPr>
            <w:shd w:val="clear" w:color="000000" w:fill="auto"/>
            <w:tcW w:w="73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一级功能</w:t>
            </w:r>
            <w:r/>
          </w:p>
        </w:tc>
        <w:tc>
          <w:tcPr>
            <w:shd w:val="clear" w:color="000000" w:fill="auto"/>
            <w:tcW w:w="1052"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二级功能</w:t>
            </w:r>
            <w:r/>
          </w:p>
        </w:tc>
        <w:tc>
          <w:tcPr>
            <w:shd w:val="clear" w:color="000000" w:fill="auto"/>
            <w:tcW w:w="2309" w:type="pct"/>
            <w:vAlign w:val="center"/>
            <w:textDirection w:val="lrTb"/>
            <w:noWrap/>
          </w:tcPr>
          <w:p>
            <w:pPr>
              <w:jc w:val="center"/>
              <w:rPr>
                <w:rFonts w:ascii="Times New Roman" w:hAnsi="Times New Roman" w:eastAsia="宋体" w:cs="Times New Roman"/>
                <w:b/>
                <w:bCs/>
                <w:sz w:val="24"/>
              </w:rPr>
            </w:pPr>
            <w:r>
              <w:rPr>
                <w:rFonts w:hint="eastAsia" w:ascii="Times New Roman" w:hAnsi="Times New Roman" w:eastAsia="宋体" w:cs="Times New Roman"/>
                <w:b/>
                <w:bCs/>
                <w:sz w:val="24"/>
              </w:rPr>
              <w:t xml:space="preserve">技术参数</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综合管理平台</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油站信息</w:t>
            </w:r>
            <w:r/>
          </w:p>
        </w:tc>
        <w:tc>
          <w:tcPr>
            <w:shd w:val="clear" w:color="000000" w:fill="ffffff"/>
            <w:tcW w:w="2309" w:type="pct"/>
            <w:vAlign w:val="center"/>
            <w:textDirection w:val="lrTb"/>
            <w:noWrap/>
          </w:tcPr>
          <w:p>
            <w:pPr>
              <w:rPr>
                <w:rFonts w:hint="default" w:ascii="宋体" w:hAnsi="宋体" w:eastAsia="宋体" w:cs="宋体"/>
                <w:highlight w:val="none"/>
                <w:lang w:val="en-US" w:eastAsia="zh-CN"/>
              </w:rPr>
            </w:pPr>
            <w:r>
              <w:rPr>
                <w:rFonts w:hint="eastAsia" w:ascii="宋体" w:hAnsi="宋体" w:eastAsia="宋体" w:cs="宋体"/>
                <w:highlight w:val="none"/>
              </w:rPr>
              <w:t xml:space="preserve">油站信息功能包括辖区内所有加油站的基础档案信息，主要包含加油站名称、统一社会信用代码、所属区域、油站类型、油机数量、油枪数量、法人代表、联系电话、日期等信息。能够快捷的进入该油站对应的油机信息列表或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油站地图信息功能在 GIS（地理信息系统）的支持下，实现辖区内油站地图分布情况等。地图可任意放大或缩小，准确定位到油站详细位置，油站图标上会显示该加油站的基本信息（加油站名称、油机数量、油枪数量、油机在线状态），并通过油站图标不同颜色来展示油站在线状态。通过油站图标可以进入该油站对应的油机信息列表和油枪信息列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油机信息功能主要包含辖区内加油站名称、油机编号、出厂编号、厂家名称、出厂日期、油枪数量、在线状态等信息。能够快捷的进入该油机对应的油枪信息列表查询相应信息。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油枪信息功能包括辖区内所有加油枪的基础档案信息，油枪信息主要包含加油站名称、油机编号、油枪编号、油品、监控微处理器序列号、主板内枪号、主板通道号、编码器序列号等信息。</w:t>
            </w:r>
            <w:r/>
          </w:p>
        </w:tc>
      </w:tr>
      <w:tr>
        <w:trPr>
          <w:jc w:val="center"/>
          <w:trHeight w:val="283"/>
        </w:trPr>
        <w:tc>
          <w:tcPr>
            <w:shd w:val="clear" w:color="000000" w:fill="ffffff"/>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73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防作弊状态监控</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每个加油站的每条加油枪的防作弊功能启动状态进行在线监控，确保加油机的防作弊功能处于启动状态。防作弊状态监控信息主要包括：油站名称、油机编号、油枪编号、监控微处理器序列号、主板内枪号、编码器序列号、防作弊功能启动状态。支持通过油站名称或防作弊功能启动状态，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异常告警</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超差记录统计，统计有超差记录的油站油枪的超差次数。超差记录统计信息包含油站名称、油机编号、油枪编号、监控微处理器号、主板内枪号、超差记录次数。通过超差次数可进入该油站油枪的超差记录列表并操作处理。支持通过油站名称油机、油枪号、超差次数大于多少次，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异常超差记录</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枪的异常超差记录，统计有异常超差记录的油站油枪。超差记录信息包含油站名称、油机编号、油枪编号、监控微处理器号、主板内枪号、真实油量、显示油量、超差时间、上传时间、处理状态、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设备离线报警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系统对辖区内加油机进行监控，监控到设备离线就在这里展示，展示信息包括油站名称、油机编号、离线时间、恢复时间、处理结果等信息。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税控离线报警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系统对辖区内加油机税控通道进行监控，监控到税控离线就在这里展示，展示信息包括油站名称、油机编号、税控通道号、离线时间、恢复时间、处理结果等信息。</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税控变更报警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▲系统对辖区内加油机税控芯片进行监控，监控到税控芯片变更就在这里展示，展示信息包括油站名称、油机编号、油枪编号、原监控微处理器号、变更后的监控微处理器号、变更时间、处理结果等信息。</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编码器变更报警</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编码器是加油机自锁功能核心部件，系统检测到编码器发生变更进行告警，编码器变更告警记录包括：油站名称、油机编号、油枪编号、原编码器号、新编码器号、变更时间。支持通过油站名称、油机编号、油枪编号，进行信息检索查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ffffff"/>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短信设置</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用户可以设置手机号接收报警信息，包括油站油机离线报警离线、税控口离线报警、税控变更报警、加油机变更报警、编码器变更报警等。</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月销油品汇总</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92#、95#、98#、0#、-10#按月油品销量统计，包含油站名称、92#（升）、95#（升）、98#（升）、0#（升）、-10#（升）、年月等信息，通过各枪累计可查看该油站当月各个油枪的油量汇总，可按照油站名称、月份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1426"/>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加油信息明细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月进行销量统计，销售金额统计，包含油站名称、油站类型、该月累计油量、该月累计金额、年月等信息，通过交易明细可查看该油站当月各个油枪的加油明细，可按照油站名称、月份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汇总统计</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加油数据统计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按照各税务机构、纳税人识别号、油站名称、油枪、油品信息，按年、月、日或时间段进行各种各样的加油数据统计，基本展示信息包括各税务机构、油站名称、纳税人识别号、各油站、油枪、油品销量、销售金额等信息，可导出excel文档。</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系统对辖区内各个加油站按日期时间段查询销售金额统计汇总，包含油站名称、销售金额等信息，可按照油站名称、区域选择、日期范围进行信息检索并支持导出excel报表。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系统对辖区内加油站可按月统计销售金额并绘制折线图，折线图包含当年每月的销售金额，可按照油站名称、统计年份范围进行信息检索。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区域营销走势</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系统对辖区内的税务机构销售金额统计并绘制曲线图，曲线图包含当年每月的销售金额，可按照区域名称、统计年份范围进行信息检索。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数据分析</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加油间断统计分析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最后加油时间进行加油间断时间分析，包含油站名称、油机编号、油枪编号、最后加油时间、上传时间、加油间断时间等信息，可按照油站名称、加油间断天数进行信息检索并支持导出excel报表。</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月销对比分析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▲系统对辖区内各个加油站的销售金额按月份进行月环比分析，包含油站名称、销售金额、月环比、年月等信息，可按照油站名称、年月进行信息检索。</w:t>
            </w:r>
            <w:r/>
          </w:p>
          <w:p>
            <w:pPr>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月销同比分析</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▲系统对辖区内各个加油站的销售金额按月份进行月同比分析，包含油站名称、销售金额、上年销售额、月同比、年月等信息，可按照油站名称、年月进行信息检索。</w:t>
            </w:r>
            <w:r/>
          </w:p>
          <w:p>
            <w:pPr>
              <w:rPr>
                <w:rFonts w:hint="eastAsia"/>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油站排行榜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系统对辖区内各个加油站的销售金额按月份进行排名，包含油站名称、销售金额、排名顺序、年月等信息，可按照油站名称、年月进行信息检索。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区域排行榜</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系统对辖区内税务机构的销售金额按油站及月份汇总之后当月进行排名，包含区县名称、累计销售金额、占比、排名顺序、年月等信息，可按照油站名称、年月进行信息检索并支持导出。</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系统管理</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用户管理</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系统内用户信息，并支持添加新用户，重置密码、添加分局用户并为分局用户分配油站管理权限，用户列表包括账号、手机号、昵称、账号类型、状态、分管区域、备注、日期等，可按姓名、手机号、账号、账号类型进行检索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操作日志</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显示每个账号的登入登出记录及下载文档的操作记录，可按照用户名称或账号、区域、操作内容、时间选择来查询。</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修改密码</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可修改本登录账号的密码，需要输入原始密码，新密码、确认新密码才可以修改成功。</w:t>
            </w:r>
            <w:r/>
          </w:p>
        </w:tc>
      </w:tr>
      <w:tr>
        <w:trPr>
          <w:jc w:val="center"/>
          <w:trHeight w:val="283"/>
        </w:trPr>
        <w:tc>
          <w:tcPr>
            <w:tcW w:w="404" w:type="pct"/>
            <w:vAlign w:val="center"/>
            <w:vMerge w:val="restart"/>
            <w:textDirection w:val="lrTb"/>
            <w:noWrap/>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500"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可视化展示</w:t>
            </w:r>
            <w:r/>
          </w:p>
        </w:tc>
        <w:tc>
          <w:tcPr>
            <w:tcW w:w="732" w:type="pct"/>
            <w:vAlign w:val="center"/>
            <w:vMerge w:val="restart"/>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GIS地图</w:t>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分布统计</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▲通过GIS地图展示不同区域的加油站分布情况和油机状态统计（正常数量/异常数量），并通过不同颜色区分。</w:t>
            </w:r>
            <w:r/>
          </w:p>
          <w:p>
            <w:pPr>
              <w:rPr>
                <w:rFonts w:hint="eastAsia"/>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283"/>
        </w:trPr>
        <w:tc>
          <w:tcPr>
            <w:tcW w:w="404"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地图展示</w:t>
            </w:r>
            <w:r/>
          </w:p>
        </w:tc>
        <w:tc>
          <w:tcPr>
            <w:shd w:val="clear" w:color="000000" w:fill="ffffff"/>
            <w:tcW w:w="2309" w:type="pct"/>
            <w:vAlign w:val="center"/>
            <w:textDirection w:val="lrTb"/>
            <w:noWrap/>
          </w:tcPr>
          <w:p>
            <w:pPr>
              <w:rPr>
                <w:rFonts w:hint="eastAsia" w:ascii="宋体" w:hAnsi="宋体" w:eastAsia="宋体" w:cs="宋体"/>
                <w:highlight w:val="none"/>
              </w:rPr>
            </w:pPr>
            <w:r>
              <w:rPr>
                <w:rFonts w:hint="eastAsia" w:ascii="宋体" w:hAnsi="宋体" w:eastAsia="宋体" w:cs="宋体"/>
                <w:highlight w:val="none"/>
              </w:rPr>
              <w:t xml:space="preserve">地图可最大化全屏显示，油站图标通过不同颜色区分油站状态（油机全部在线、油机部分在线、油机全部离线），并将最近有加油行为的油站图标进行跳动展示。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油站基础信息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通过加油站图标时，可显示目标加油站的基本信息：油站名称、油站状态、油机数量和在线状态、油枪数量。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油站详情信息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通过地图中的加油站图标，可进入目标加油站的一户式详情信息，包括目标加油站基本信息、油机信息、油枪信息、防作弊状态信息、异常告警信息、加油数据信息、卸油数据信息等。</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加油机数量统计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加油枪数量统计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采集设备数量统计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可按不同油站类型分别统计。</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加油站区域分布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区域油站数量分布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按不同区域油站数量统计分布柱状图。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区域油机数量分布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按不同区域油机数量统计分布柱状图。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区域销售金额分布</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按不同区域销售金额统计分布柱状图。</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按时间段查询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选择时间段范围查询统计数据。</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异常情况数量可视化图表汇总统计，包括设备离线、税控离线、异常超差、税控变更、编码器变更。</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月销售统计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可按年份、按区域、按油品统计加油站月销售金额和油量。</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购销趋势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按照不同月份进行辖区内油站的购销趋势（购进量和销售量）可视化图表统计分析。支持按不同类型油站分布统计。</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加油次数统计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辖区内加油站今日、本月、本年加油次数实时统计，滚动更新。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销售金额统计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辖区内加油站今日、本月、本年销售金额实时统计，滚动更新。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销售量统计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辖区内加油站今日、本月、本年销售量实时统计，滚动更新。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购进量统计</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辖区内加油站今日、本月、本年购进量实时统计，滚动更新。</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最新实时订单</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辖区内加油站最近10笔加油明细数据，自动更新显示。</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油品单价变化趋势</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按照不同月份、不同油品计算平均单价，并进行单价变化趋势可视化图表分析。</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油站一户式查询</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▲可根据油站纳税人识别号或加油站名称进行一户式查询，包括目标油站基本信息、油机信息、油枪信息、防作弊状态信息、异常告警信息、加油数据信息、卸油数据信息等。</w:t>
            </w:r>
            <w:r/>
          </w:p>
          <w:p>
            <w:pPr>
              <w:rPr>
                <w:rFonts w:hint="eastAsia"/>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提供省级或省级以上软件评测中心出具的软件产品鉴定报告的原件扫描件或平台功能视频演示或平台功能截图。</w:t>
            </w:r>
            <w:r/>
          </w:p>
        </w:tc>
      </w:tr>
      <w:tr>
        <w:trPr>
          <w:jc w:val="center"/>
          <w:trHeight w:val="951"/>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预警中心</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预警信息汇总</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按不同区域汇总预警信息，包括预警发生数量、未恢复数量、已核查数量、待核查数量。可按本年和本月进行汇总。</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实时异常信息</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滚动显示最近10笔异常预警明细信息。</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进入主页</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可跳转到综合管理平台。</w:t>
            </w:r>
            <w:r/>
          </w:p>
        </w:tc>
      </w:tr>
      <w:tr>
        <w:trPr>
          <w:jc w:val="center"/>
          <w:trHeight w:val="283"/>
        </w:trPr>
        <w:tc>
          <w:tcPr>
            <w:tcW w:w="404" w:type="pct"/>
            <w:vAlign w:val="center"/>
            <w:vMerge w:val="restart"/>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500"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w:t>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数据安全性</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设备采集的加油机数据，能够利用4G或5G网络直连，从采集端直接传输到系统云平台中。数据传输过程安全可靠，数据加密传输，支持国密算法，支持数据加解密。</w:t>
            </w:r>
            <w:r/>
          </w:p>
        </w:tc>
      </w:tr>
      <w:tr>
        <w:trPr>
          <w:jc w:val="center"/>
          <w:trHeight w:val="1222"/>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数据自动续传</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网络中断采集的数据能本地存储，网络恢复后自动上传到管理平台，设备本地具有专用存储器，在设备断电、断网情况下，数据可存30天不丢失。</w:t>
            </w:r>
            <w:r/>
          </w:p>
        </w:tc>
      </w:tr>
      <w:tr>
        <w:trPr>
          <w:jc w:val="center"/>
          <w:trHeight w:val="454"/>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产品易维护</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平台产品支持远程或本地升级。</w:t>
            </w:r>
            <w:r/>
          </w:p>
        </w:tc>
      </w:tr>
      <w:tr>
        <w:trPr>
          <w:jc w:val="center"/>
          <w:trHeight w:val="283"/>
        </w:trPr>
        <w:tc>
          <w:tcPr>
            <w:tcW w:w="404"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系统安全</w:t>
            </w:r>
            <w:r/>
          </w:p>
        </w:tc>
        <w:tc>
          <w:tcPr>
            <w:tcW w:w="2309"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审计功能：系统应配置策略和审计模块，对重要用户操作、行为进行日志审计，审计范围不仅针对前端用户的操作、行为，也包括后台管理员的重要操作。</w:t>
            </w:r>
            <w:r/>
          </w:p>
          <w:p>
            <w:pPr>
              <w:rPr>
                <w:rFonts w:hint="eastAsia" w:ascii="宋体" w:hAnsi="宋体" w:eastAsia="宋体" w:cs="宋体"/>
                <w:highlight w:val="none"/>
              </w:rPr>
            </w:pPr>
            <w:r>
              <w:rPr>
                <w:rFonts w:hint="eastAsia" w:ascii="宋体" w:hAnsi="宋体" w:eastAsia="宋体" w:cs="宋体"/>
                <w:highlight w:val="none"/>
              </w:rPr>
              <w:t xml:space="preserve">登录安全：采取两种或以上登录验证模式。</w:t>
            </w:r>
            <w:r/>
          </w:p>
        </w:tc>
      </w:tr>
      <w:tr>
        <w:trPr>
          <w:jc w:val="center"/>
          <w:trHeight w:val="454"/>
        </w:trPr>
        <w:tc>
          <w:tcPr>
            <w:tcW w:w="404" w:type="pct"/>
            <w:vAlign w:val="center"/>
            <w:vMerge w:val="restart"/>
            <w:textDirection w:val="lrTb"/>
            <w:noWrap w:val="false"/>
          </w:tcPr>
          <w:p>
            <w:pPr>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500" w:type="pct"/>
            <w:vAlign w:val="center"/>
            <w:vMerge w:val="restart"/>
            <w:textDirection w:val="lrTb"/>
            <w:noWrap w:val="false"/>
          </w:tcPr>
          <w:p>
            <w:pPr>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移动</w:t>
            </w:r>
            <w:r>
              <w:rPr>
                <w:rFonts w:hint="eastAsia" w:ascii="宋体" w:hAnsi="宋体" w:eastAsia="宋体" w:cs="宋体"/>
                <w:highlight w:val="none"/>
              </w:rPr>
              <w:t xml:space="preserve">端</w:t>
            </w:r>
            <w:r>
              <w:rPr>
                <w:rFonts w:hint="eastAsia" w:ascii="宋体" w:hAnsi="宋体" w:eastAsia="宋体" w:cs="宋体"/>
                <w:highlight w:val="none"/>
                <w:lang w:val="en-US" w:eastAsia="zh-CN"/>
              </w:rPr>
              <w:t xml:space="preserve">查询</w:t>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数据统计</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油站数量统计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统计并展示辖区内在营加油站数量及明细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油机数量统计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统计并展示辖区内在线加油机数量及明细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油枪数量统计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统计并展示辖区内在线加油枪数量及明细</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月</w:t>
            </w:r>
            <w:r>
              <w:rPr>
                <w:rFonts w:hint="eastAsia" w:ascii="宋体" w:hAnsi="宋体" w:eastAsia="宋体" w:cs="宋体"/>
                <w:sz w:val="18"/>
                <w:szCs w:val="18"/>
                <w:highlight w:val="none"/>
              </w:rPr>
              <w:t xml:space="preserve">销</w:t>
            </w:r>
            <w:r>
              <w:rPr>
                <w:rFonts w:hint="eastAsia" w:ascii="宋体" w:hAnsi="宋体" w:eastAsia="宋体" w:cs="宋体"/>
                <w:highlight w:val="none"/>
              </w:rPr>
              <w:t xml:space="preserve">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统计并展示可按时间、按区域、按油品统计加油站月销售金额和油量</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累计销售额统计</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统计并展示辖区内加油站今日、本月、本年累计销售量，销售金额</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数据查询</w:t>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在线状态查询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统计并展示辖区内数据采集设备在线状态信息</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732"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1052"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加油数据查询</w:t>
            </w:r>
            <w:r/>
          </w:p>
        </w:tc>
        <w:tc>
          <w:tcPr>
            <w:tcW w:w="2309" w:type="pc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统计并展示辖区内加油站、加油机、加油枪的加油流水</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油品统计查询</w:t>
            </w:r>
            <w:r/>
          </w:p>
        </w:tc>
        <w:tc>
          <w:tcPr>
            <w:tcW w:w="2309" w:type="pct"/>
            <w:textDirection w:val="lrTb"/>
            <w:noWrap w:val="false"/>
          </w:tcPr>
          <w:p>
            <w:pPr>
              <w:rPr>
                <w:rFonts w:ascii="Times New Roman" w:hAnsi="Times New Roman" w:eastAsia="宋体" w:cs="Times New Roman"/>
                <w:highlight w:val="none"/>
              </w:rPr>
            </w:pPr>
            <w:r>
              <w:rPr>
                <w:rFonts w:hint="eastAsia" w:ascii="宋体" w:hAnsi="宋体" w:eastAsia="宋体" w:cs="宋体"/>
                <w:highlight w:val="none"/>
              </w:rPr>
              <w:t xml:space="preserve">统计并展示辖区内各个加油站的92#、95#、98#、0#、-10#按月油品销量统计，包含油站名称、92#（升）、95#（升）、98#（升）、0#（升）、-10#（升）、年月等信息， </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rPr>
                <w:rFonts w:ascii="Times New Roman" w:hAnsi="Times New Roman" w:eastAsia="宋体" w:cs="Times New Roman"/>
                <w:highlight w:val="none"/>
              </w:rPr>
            </w:pPr>
            <w:r>
              <w:rPr>
                <w:rFonts w:ascii="Times New Roman" w:hAnsi="Times New Roman" w:eastAsia="宋体" w:cs="Times New Roman"/>
                <w:highlight w:val="none"/>
              </w:rPr>
            </w:r>
            <w:r/>
          </w:p>
        </w:tc>
        <w:tc>
          <w:tcPr>
            <w:tcW w:w="732" w:type="pct"/>
            <w:vAlign w:val="center"/>
            <w:vMerge w:val="restar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数据分析</w:t>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对辖区内按不同区县的税务机构的销售金额按油站按汇总之后当月进行排名，包含区县名称、累计销售金额、占比、排名顺序、年月等信息，可按照油站名称、年月进行信息检索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油站排行</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对辖区内所有税务机构的销售金额按油站按月度汇总之后当月进行排名，包含区县名称、累计销售金额、占比、排名顺序、年月等信息，可按照油站名称、年月进行信息检索</w:t>
            </w:r>
            <w:r/>
          </w:p>
        </w:tc>
      </w:tr>
      <w:tr>
        <w:trPr>
          <w:jc w:val="center"/>
          <w:trHeight w:val="454"/>
        </w:trPr>
        <w:tc>
          <w:tcPr>
            <w:tcW w:w="404"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500" w:type="pct"/>
            <w:vAlign w:val="center"/>
            <w:vMerge w:val="continue"/>
            <w:textDirection w:val="lrTb"/>
            <w:noWrap w:val="false"/>
          </w:tcPr>
          <w:p>
            <w:pPr>
              <w:ind w:firstLine="360"/>
              <w:jc w:val="center"/>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32" w:type="pct"/>
            <w:vAlign w:val="center"/>
            <w:vMerge w:val="continue"/>
            <w:textDirection w:val="lrTb"/>
            <w:noWrap w:val="false"/>
          </w:tcPr>
          <w:p>
            <w:pPr>
              <w:ind w:firstLine="360"/>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52" w:type="pct"/>
            <w:vAlign w:val="center"/>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区域年度营销走势</w:t>
            </w:r>
            <w:r/>
          </w:p>
        </w:tc>
        <w:tc>
          <w:tcPr>
            <w:tcW w:w="2309" w:type="pct"/>
            <w:textDirection w:val="lrTb"/>
            <w:noWrap w:val="false"/>
          </w:tcPr>
          <w:p>
            <w:pPr>
              <w:rPr>
                <w:rFonts w:ascii="Times New Roman" w:hAnsi="Times New Roman" w:eastAsia="宋体" w:cs="Times New Roman"/>
                <w:highlight w:val="none"/>
              </w:rPr>
            </w:pPr>
            <w:r>
              <w:rPr>
                <w:rFonts w:hint="eastAsia" w:ascii="Times New Roman" w:hAnsi="Times New Roman" w:eastAsia="宋体" w:cs="Times New Roman"/>
                <w:highlight w:val="none"/>
              </w:rPr>
              <w:t xml:space="preserve">对辖区内所有税务机构的所有加油站的销售金额按年度汇总之后与往年数据对比，展示走势曲线</w:t>
            </w:r>
            <w:r/>
          </w:p>
        </w:tc>
      </w:tr>
    </w:tbl>
    <w:p>
      <w:pPr>
        <w:numPr>
          <w:ilvl w:val="0"/>
          <w:numId w:val="6"/>
        </w:numPr>
        <w:ind w:left="0" w:firstLine="420"/>
        <w:jc w:val="both"/>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加油机数据采集设备</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数据采集设备技术要求：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numPr>
          <w:ilvl w:val="0"/>
          <w:numId w:val="8"/>
        </w:numPr>
        <w:ind w:left="425" w:hanging="425"/>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技术参数要求</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435"/>
        <w:gridCol w:w="6929"/>
      </w:tblGrid>
      <w:tr>
        <w:trPr>
          <w:trHeight w:val="466"/>
        </w:trPr>
        <w:tc>
          <w:tcPr>
            <w:tcW w:w="475"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776"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747" w:type="pct"/>
            <w:vAlign w:val="center"/>
            <w:textDirection w:val="lrTb"/>
            <w:noWrap w:val="false"/>
          </w:tcPr>
          <w:p>
            <w:pPr>
              <w:jc w:val="center"/>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716"/>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产品功能</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具备通过报税口采集加油明细数据功能，采集的数据与加油机屏幕显示数据一致。</w:t>
            </w:r>
            <w:r/>
          </w:p>
        </w:tc>
      </w:tr>
      <w:tr>
        <w:trPr>
          <w:trHeight w:val="43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具备通过编码器采集加油明细数据功能。</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能够采集加油机监控微处理器（税控芯片）序列号信息，并上传到系统平台，系统平台显示的信息与使用专用POS机读取的监控微处理器（税控芯片）序列号信息一致。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能够采集加油机编码器序列号信息，并上传到系统平台，系统平台显示的信息与使用专用POS机读取的编码器序列号信息一致</w:t>
            </w:r>
            <w:r/>
          </w:p>
        </w:tc>
      </w:tr>
      <w:tr>
        <w:trPr>
          <w:trHeight w:val="82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5</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能够采集加油机“异常记录”信息，并上传到系统平台，系统平台显示的异常记录信息（包括真实数据、显示数据）与使用专用POS机读取的“异常记录”信息一致。</w:t>
            </w:r>
            <w:r/>
          </w:p>
        </w:tc>
      </w:tr>
      <w:tr>
        <w:trPr>
          <w:trHeight w:val="65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6</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能够监控加油机的在线状态信息，并上传到系统平台，系统平台能显示加油机的在线/离线状态信息。</w:t>
            </w:r>
            <w:r/>
          </w:p>
        </w:tc>
      </w:tr>
      <w:tr>
        <w:trPr>
          <w:trHeight w:val="93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7</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当采集设备或服务器网络中断期间，加油机新产生的加油明细数据能够存储在采集设备本地存储器中，当网络恢复正常后，采集设备能够将网络中断期间的加油明细数据，自动续传到系统平台中。</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8</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数据传输</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采用4G/5G物联网模式，直接将采集的数据直传到云服务器，实现端对端直传，不经过油站中间环节周转。</w:t>
            </w:r>
            <w:r/>
          </w:p>
        </w:tc>
      </w:tr>
      <w:tr>
        <w:trPr>
          <w:trHeight w:val="618"/>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9</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制式支持：GSM/TD-SCDMA/WCDMA/cdma2000/TD-LTE/LTE FDD，射频功率：≤2W</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10</w:t>
            </w:r>
            <w:r/>
          </w:p>
        </w:tc>
        <w:tc>
          <w:tcPr>
            <w:tcW w:w="776" w:type="pct"/>
            <w:vAlign w:val="center"/>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产品安全</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设备符合防爆要求，并</w:t>
            </w:r>
            <w:r>
              <w:rPr>
                <w:rFonts w:hint="eastAsia" w:ascii="宋体" w:hAnsi="宋体" w:eastAsia="宋体" w:cs="宋体"/>
                <w:highlight w:val="none"/>
                <w:lang w:val="en-US" w:eastAsia="zh-CN"/>
              </w:rPr>
              <w:t xml:space="preserve">提供</w:t>
            </w:r>
            <w:r>
              <w:rPr>
                <w:rFonts w:hint="eastAsia" w:ascii="宋体" w:hAnsi="宋体" w:eastAsia="宋体" w:cs="宋体"/>
                <w:highlight w:val="none"/>
              </w:rPr>
              <w:t xml:space="preserve">检验机构的防爆合格证和检验报告</w:t>
            </w:r>
            <w:r>
              <w:rPr>
                <w:rFonts w:hint="eastAsia" w:ascii="宋体" w:hAnsi="宋体" w:eastAsia="宋体" w:cs="宋体"/>
                <w:highlight w:val="none"/>
                <w:lang w:val="en-US" w:eastAsia="zh-CN"/>
              </w:rPr>
              <w:t xml:space="preserve">原件扫描件</w:t>
            </w:r>
            <w:r>
              <w:rPr>
                <w:rFonts w:hint="eastAsia" w:ascii="宋体" w:hAnsi="宋体" w:eastAsia="宋体" w:cs="宋体"/>
                <w:highlight w:val="none"/>
              </w:rPr>
              <w:t xml:space="preserve">。</w:t>
            </w:r>
            <w:r/>
          </w:p>
        </w:tc>
      </w:tr>
      <w:tr>
        <w:trPr>
          <w:trHeight w:val="429"/>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11</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设备安装后不影响加油机的计量准确性：设备安装前、后分别对加油机进行示值误差试验，其示值误差和重复性要求均符合国家标准范围。</w:t>
            </w:r>
            <w:r/>
          </w:p>
        </w:tc>
      </w:tr>
      <w:tr>
        <w:trPr>
          <w:trHeight w:val="552"/>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12</w:t>
            </w:r>
            <w:r/>
          </w:p>
        </w:tc>
        <w:tc>
          <w:tcPr>
            <w:tcW w:w="776" w:type="pct"/>
            <w:vAlign w:val="center"/>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设备完成电磁兼容测试，取得电磁兼容测试报告，包括静电放电抗扰度、射频电磁场辐射抗扰度、电快速瞬变脉冲群抗扰度、浪涌（冲击）抗扰度、电压暂降抗扰度。</w:t>
            </w:r>
            <w:r>
              <w:rPr>
                <w:rFonts w:hint="eastAsia" w:ascii="宋体" w:hAnsi="宋体" w:eastAsia="宋体" w:cs="宋体"/>
                <w:b w:val="0"/>
                <w:bCs w:val="0"/>
                <w:highlight w:val="none"/>
              </w:rPr>
              <w:t xml:space="preserve">注：需提供第三方检测机构出具的</w:t>
            </w:r>
            <w:r>
              <w:rPr>
                <w:rFonts w:hint="eastAsia" w:ascii="宋体" w:hAnsi="宋体" w:eastAsia="宋体" w:cs="宋体"/>
                <w:b w:val="0"/>
                <w:bCs w:val="0"/>
                <w:highlight w:val="none"/>
                <w:lang w:val="en-US" w:eastAsia="zh-CN"/>
              </w:rPr>
              <w:t xml:space="preserve">有效期内的</w:t>
            </w:r>
            <w:r>
              <w:rPr>
                <w:rFonts w:hint="eastAsia" w:ascii="宋体" w:hAnsi="宋体" w:eastAsia="宋体" w:cs="宋体"/>
                <w:b w:val="0"/>
                <w:bCs w:val="0"/>
                <w:highlight w:val="none"/>
              </w:rPr>
              <w:t xml:space="preserve">带有CMA或CNAS标识的检测报告扫描件。</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13</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处理器</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工业级处理器</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14</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天线接口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标准 SMA 天线接口</w:t>
            </w:r>
            <w:r/>
          </w:p>
        </w:tc>
      </w:tr>
      <w:tr>
        <w:trPr>
          <w:trHeight w:val="454"/>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15</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电压</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供电范围： DC 5V—12V</w:t>
            </w:r>
            <w:r/>
          </w:p>
        </w:tc>
      </w:tr>
      <w:tr>
        <w:trPr>
          <w:trHeight w:val="36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16</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数据接口</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▲1台设备能够同时支持4个报税口数据采集接口、4个编码器信号采集接口、4个油枪提挂枪信号采集接口。</w:t>
            </w:r>
            <w:r>
              <w:rPr>
                <w:rFonts w:hint="eastAsia" w:ascii="宋体" w:hAnsi="宋体" w:eastAsia="宋体" w:cs="宋体"/>
                <w:b/>
                <w:bCs/>
                <w:highlight w:val="none"/>
              </w:rPr>
              <w:t xml:space="preserve">注：需提供第三方检测机构出具的带有CMA或CNAS标识的检测报告扫描件</w:t>
            </w:r>
            <w:r>
              <w:rPr>
                <w:rFonts w:hint="eastAsia" w:ascii="宋体" w:hAnsi="宋体" w:eastAsia="宋体" w:cs="宋体"/>
                <w:b/>
                <w:bCs/>
                <w:highlight w:val="none"/>
                <w:lang w:val="en-US" w:eastAsia="zh-CN"/>
              </w:rPr>
              <w:t xml:space="preserve">或产品彩页及承诺书或产品接口照片</w:t>
            </w:r>
            <w:r>
              <w:rPr>
                <w:rFonts w:hint="eastAsia" w:ascii="宋体" w:hAnsi="宋体" w:eastAsia="宋体" w:cs="宋体"/>
                <w:b/>
                <w:bCs/>
                <w:highlight w:val="none"/>
              </w:rPr>
              <w:t xml:space="preserve">。</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17</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环境温度</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-30℃≤Ta≤+70℃</w:t>
            </w:r>
            <w:r/>
          </w:p>
        </w:tc>
      </w:tr>
      <w:tr>
        <w:trPr>
          <w:trHeight w:val="401"/>
        </w:trPr>
        <w:tc>
          <w:tcPr>
            <w:tcW w:w="475" w:type="pct"/>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18</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状态指示灯</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至少支持4个独立状态指示灯，包括电源状态、网络信号状态、正常运行状态、信号采集状态。</w:t>
            </w:r>
            <w:r/>
          </w:p>
        </w:tc>
      </w:tr>
      <w:tr>
        <w:trPr>
          <w:trHeight w:val="610"/>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19</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兼容市面在用的所有厂家加油机，包括2019 年后生产的新型加密加油机。</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20</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设备升级</w:t>
            </w:r>
            <w:r/>
          </w:p>
        </w:tc>
        <w:tc>
          <w:tcPr>
            <w:shd w:val="clear" w:color="000000" w:fill="auto"/>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支持本地升级和远程在线升级。</w:t>
            </w:r>
            <w:r/>
          </w:p>
        </w:tc>
      </w:tr>
      <w:tr>
        <w:trPr>
          <w:trHeight w:val="454"/>
        </w:trPr>
        <w:tc>
          <w:tcPr>
            <w:tcW w:w="475" w:type="pct"/>
            <w:vAlign w:val="center"/>
            <w:textDirection w:val="lrTb"/>
            <w:noWrap w:val="false"/>
          </w:tcPr>
          <w:p>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21</w:t>
            </w:r>
            <w:r/>
          </w:p>
        </w:tc>
        <w:tc>
          <w:tcPr>
            <w:tcW w:w="776"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数据加密</w:t>
            </w:r>
            <w:r/>
          </w:p>
        </w:tc>
        <w:tc>
          <w:tcPr>
            <w:tcW w:w="3747" w:type="pct"/>
            <w:vAlign w:val="center"/>
            <w:textDirection w:val="lrTb"/>
            <w:noWrap w:val="false"/>
          </w:tcPr>
          <w:p>
            <w:pPr>
              <w:rPr>
                <w:rFonts w:hint="eastAsia" w:ascii="宋体" w:hAnsi="宋体" w:eastAsia="宋体" w:cs="宋体"/>
                <w:highlight w:val="none"/>
              </w:rPr>
            </w:pPr>
            <w:r>
              <w:rPr>
                <w:rFonts w:hint="eastAsia" w:ascii="宋体" w:hAnsi="宋体" w:eastAsia="宋体" w:cs="宋体"/>
                <w:highlight w:val="none"/>
              </w:rPr>
              <w:t xml:space="preserve">采用数据加密传输， 支持国密加密算法。</w:t>
            </w:r>
            <w:r/>
          </w:p>
        </w:tc>
      </w:tr>
    </w:tbl>
    <w:p>
      <w:pPr>
        <w:numPr>
          <w:ilvl w:val="0"/>
          <w:numId w:val="6"/>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4G/5G物联网卡</w:t>
      </w:r>
      <w:r/>
    </w:p>
    <w:tbl>
      <w:tblPr>
        <w:tblStyle w:val="7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328"/>
        <w:gridCol w:w="6036"/>
      </w:tblGrid>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序号</w:t>
            </w:r>
            <w:r/>
          </w:p>
        </w:tc>
        <w:tc>
          <w:tcPr>
            <w:tcW w:w="1259"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项目</w:t>
            </w:r>
            <w:r/>
          </w:p>
        </w:tc>
        <w:tc>
          <w:tcPr>
            <w:tcW w:w="3265" w:type="pct"/>
            <w:vAlign w:val="center"/>
            <w:textDirection w:val="lrTb"/>
            <w:noWrap w:val="false"/>
          </w:tcPr>
          <w:p>
            <w:pPr>
              <w:jc w:val="center"/>
              <w:keepLines w:val="0"/>
              <w:keepNext w:val="0"/>
              <w:pageBreakBefore w:val="0"/>
              <w:spacing w:line="390" w:lineRule="exact"/>
              <w:widowControl w:val="off"/>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配置要求</w:t>
            </w:r>
            <w:r/>
          </w:p>
        </w:tc>
      </w:tr>
      <w:tr>
        <w:trPr>
          <w:trHeight w:val="454"/>
        </w:trPr>
        <w:tc>
          <w:tcPr>
            <w:tcW w:w="475" w:type="pct"/>
            <w:vAlign w:val="center"/>
            <w:textDirection w:val="lrTb"/>
            <w:noWrap w:val="false"/>
          </w:tcPr>
          <w:p>
            <w:pPr>
              <w:jc w:val="cente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1</w:t>
            </w:r>
            <w:r/>
          </w:p>
        </w:tc>
        <w:tc>
          <w:tcPr>
            <w:tcW w:w="1259"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4G/5G物联网卡无线传输服务</w:t>
            </w:r>
            <w:r/>
          </w:p>
        </w:tc>
        <w:tc>
          <w:tcPr>
            <w:tcW w:w="3265" w:type="pct"/>
            <w:vAlign w:val="center"/>
            <w:textDirection w:val="lrTb"/>
            <w:noWrap w:val="false"/>
          </w:tcPr>
          <w:p>
            <w:pPr>
              <w:keepLines w:val="0"/>
              <w:keepNext w:val="0"/>
              <w:pageBreakBefore w:val="0"/>
              <w:spacing w:line="390" w:lineRule="exact"/>
              <w:widowControl w:val="off"/>
              <w:rPr>
                <w:rFonts w:hint="eastAsia" w:ascii="宋体" w:hAnsi="宋体" w:eastAsia="宋体" w:cs="宋体"/>
                <w:highlight w:val="none"/>
              </w:rPr>
            </w:pPr>
            <w:r>
              <w:rPr>
                <w:rFonts w:hint="eastAsia" w:ascii="宋体" w:hAnsi="宋体" w:eastAsia="宋体" w:cs="宋体"/>
                <w:highlight w:val="none"/>
              </w:rPr>
              <w:t xml:space="preserve">4G/5G运营商无线网络流量，每张物联网卡≥2GB/年数据流量</w:t>
            </w:r>
            <w:r/>
          </w:p>
        </w:tc>
      </w:tr>
    </w:tbl>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6" w:name="_Toc22086"/>
      <w:r/>
      <w:bookmarkStart w:id="17" w:name="_Toc4740"/>
      <w:r>
        <w:rPr>
          <w:rFonts w:hint="eastAsia" w:ascii="宋体" w:hAnsi="宋体" w:eastAsia="宋体" w:cs="宋体"/>
          <w:b/>
          <w:sz w:val="28"/>
          <w:szCs w:val="28"/>
        </w:rPr>
        <w:t xml:space="preserve">项目实施要求</w:t>
      </w:r>
      <w:bookmarkEnd w:id="16"/>
      <w:r/>
      <w:bookmarkEnd w:id="17"/>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项目实施组织</w:t>
      </w:r>
      <w:r/>
    </w:p>
    <w:p>
      <w:pPr>
        <w:ind w:firstLine="6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本项目的业务特点及项目的复杂性，供应商应设立项目部，明确项目负责人（项目经理），项目部由项目经理、技术负责人、各专业实施小组组长组成。项目的人员配置分为建设期的人员配置和运行期的人员配置两部分。本项目应组建不少于6人的项目技术团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技术服务团队</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1. 项目负责人（项目经理，以下同）</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其</w:t>
      </w:r>
      <w:r>
        <w:rPr>
          <w:rFonts w:hint="eastAsia" w:ascii="宋体" w:hAnsi="宋体" w:eastAsia="宋体" w:cs="宋体"/>
          <w:color w:val="000000"/>
          <w:sz w:val="24"/>
          <w:szCs w:val="20"/>
          <w:highlight w:val="none"/>
          <w:lang w:val="en-US" w:eastAsia="zh-CN" w:bidi="ar-SA"/>
        </w:rPr>
        <w:t xml:space="preserve">主要职责包括：制定项目章程和工作计划，组织项目实施，控制项目范围，协调项目相关实施小组与相关单位和部门的合作，实施项目成本、质量管理和风险控制，向采购人汇报项目进展情况。</w:t>
      </w:r>
      <w:r>
        <w:rPr>
          <w:rFonts w:hint="eastAsia" w:ascii="宋体" w:hAnsi="宋体" w:eastAsia="宋体" w:cs="宋体"/>
          <w:color w:val="000000"/>
          <w:sz w:val="24"/>
          <w:szCs w:val="24"/>
          <w:highlight w:val="none"/>
          <w:lang w:val="en-US" w:eastAsia="zh-CN" w:bidi="ar-SA"/>
        </w:rPr>
        <w:t xml:space="preserve">具体负责本项目实施的综合管理工作，负责服务团队的日常管理，包括召开例会、落实工作纪律等；负责本项目服务期内的总体协调及人员调配；负责与采购人保持良好的沟通，及时反馈、跟踪、解决问题，定期对数据进行汇总、分析，形成书面报告；负责服务团队日常工作计划的制定和管理，人员的职责分工；负责制定培训计划，负责组织服务团队成员的培训及考核；负责协调处理服务工作中出现的突发事件，制定应急预案；组织云平台系统运行的巡检、审核维保文档，定期向采购人汇报平台运行工作情况及存在的问题。</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技术负责人。技术负责人统筹技术方案落地、把控云平台系统质量与安全、解决关键技术问题，确保云平台系统全部设施稳定运行。确保所有数据采集工作符合国家及行业技术标准，避免因违规操作导致合规风险。定期分析运行数据，识别潜在技术风险（如设备故障、电池寿命接近阈值等），提前制定应对措施。</w:t>
      </w:r>
      <w:r/>
    </w:p>
    <w:p>
      <w:pPr>
        <w:ind w:left="0" w:right="0" w:firstLine="480"/>
        <w:jc w:val="both"/>
        <w:keepLines w:val="0"/>
        <w:keepNext w:val="0"/>
        <w:pageBreakBefore w:val="0"/>
        <w:spacing w:line="39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3. </w:t>
      </w:r>
      <w:r>
        <w:rPr>
          <w:rFonts w:hint="eastAsia" w:ascii="宋体" w:hAnsi="宋体" w:eastAsia="宋体" w:cs="宋体"/>
          <w:color w:val="000000"/>
          <w:sz w:val="24"/>
          <w:szCs w:val="24"/>
          <w:highlight w:val="none"/>
          <w:lang w:val="en-US" w:eastAsia="zh-CN" w:bidi="ar-SA"/>
        </w:rPr>
        <w:t xml:space="preserve">项目服务团队其他人员（不含项目经理、技术负责人）。负责建设期的设备安装、调试，对项目系统实施部署，联调；对项目运行期项目使用用户进行相应培训工作；负责配合项目经理完成项目过程文档编写、文档整理及存档等工作。其核心职责是按技术标准完成监管数据采集、维保设备正常运行并配合解决基础问题，确保个人负责的设施模块稳定运行。故障发生时，按应急预案听从指挥，协助完成基础操作。故障修复后，配合技术负责人进行设施复机测试，确认分工内的设施恢复正常运行。严格遵守设备安全操作规程。</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提供项目组织的具体方案，应包含组织架构（包括项目人员保障、岗位设置、岗位职责）等。确保在项目服务期间各个阶段实施过程中项目团队的稳定性，业务衔接的连续性，确保本项目顺利实施和技术保障。</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安全保密要求</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color w:val="000000"/>
          <w:sz w:val="24"/>
          <w:highlight w:val="none"/>
        </w:rPr>
        <w:t xml:space="preserve">1. 供应商必须严格执行《信息安全技术网络安全等级保护基本要求》（GB/T 22239-2019）。应采用密码技术保证重要数据在传输过程中的保密性，包括但不限于鉴别数据、重要业务数据和重要个人信息等。（第二级适用）</w:t>
      </w:r>
      <w:r/>
    </w:p>
    <w:p>
      <w:pPr>
        <w:ind w:firstLine="480"/>
        <w:keepLines w:val="0"/>
        <w:keepNext w:val="0"/>
        <w:pageBreakBefore w:val="0"/>
        <w:spacing w:line="39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 </w:t>
      </w:r>
      <w:r>
        <w:rPr>
          <w:rFonts w:hint="eastAsia" w:ascii="宋体" w:hAnsi="宋体" w:eastAsia="宋体" w:cs="宋体"/>
          <w:color w:val="000000"/>
          <w:sz w:val="24"/>
          <w:highlight w:val="none"/>
        </w:rPr>
        <w:t xml:space="preserve">供应商应具备完善的安全保密管理体系，</w:t>
      </w:r>
      <w:r>
        <w:rPr>
          <w:rFonts w:hint="eastAsia" w:ascii="宋体" w:hAnsi="宋体" w:eastAsia="宋体" w:cs="宋体"/>
          <w:sz w:val="24"/>
          <w:highlight w:val="none"/>
        </w:rPr>
        <w:t xml:space="preserve">拟派本项目的所有项目服务工作人员必须签署保密协议和关键岗位人员的岗位责任协议，不得泄露工作中接触到的需要保密的信息。</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国产信创要求</w:t>
      </w:r>
      <w:r/>
    </w:p>
    <w:p>
      <w:pPr>
        <w:ind w:firstLine="480"/>
        <w:rPr>
          <w:rFonts w:hint="default"/>
          <w:lang w:val="en-US" w:eastAsia="zh-CN"/>
        </w:rPr>
      </w:pPr>
      <w:r>
        <w:rPr>
          <w:rFonts w:hint="eastAsia" w:ascii="宋体" w:hAnsi="宋体" w:eastAsia="宋体" w:cs="宋体"/>
          <w:sz w:val="24"/>
          <w:highlight w:val="none"/>
          <w:lang w:val="en-US" w:eastAsia="zh-CN"/>
        </w:rPr>
        <w:t xml:space="preserve">本项目建设的业务系统，须适配国产信创软硬件技术体系，支持在国产服务器硬件、国产操作系统、国产数据库、国产中间件环境下稳定部署、正常运行。</w:t>
      </w:r>
      <w:r>
        <w:rPr>
          <w:rFonts w:hint="eastAsia" w:ascii="宋体" w:hAnsi="宋体" w:eastAsia="宋体" w:cs="宋体"/>
          <w:color w:val="auto"/>
          <w:sz w:val="24"/>
          <w:szCs w:val="24"/>
          <w:highlight w:val="none"/>
          <w:lang w:val="en-US" w:eastAsia="zh-CN" w:bidi="ar-SA"/>
        </w:rPr>
        <w:t xml:space="preserve">承诺系统平台可为交易即开票系统提供加油流水的数据接口，确保数据准确。</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咨询服务要求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应对采购人信息类设备进行定期维护管理和配置优化，确保采购人整个信息系统运转的高效、稳定和安全，减少和避免系统性能瓶颈，杜绝信息系统安全事故，并且能根据采购人需要，提供信息系统运行的合理化建议和方案。</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响应时间要求</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供应商须提供服务期内7*24*365天服务维护（即每周7个工作日，每天24小时，一年365天）技术支持服务。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系统发生故障时，</w:t>
      </w:r>
      <w:r>
        <w:rPr>
          <w:rFonts w:hint="eastAsia" w:ascii="宋体" w:hAnsi="宋体" w:eastAsia="宋体" w:cs="宋体"/>
          <w:color w:val="000000"/>
          <w:sz w:val="24"/>
          <w:highlight w:val="none"/>
          <w:lang w:val="en-US" w:eastAsia="zh-CN"/>
        </w:rPr>
        <w:t xml:space="preserve">1小时内</w:t>
      </w:r>
      <w:r>
        <w:rPr>
          <w:rFonts w:hint="eastAsia" w:ascii="宋体" w:hAnsi="宋体" w:eastAsia="宋体" w:cs="宋体"/>
          <w:color w:val="000000"/>
          <w:sz w:val="24"/>
          <w:highlight w:val="none"/>
        </w:rPr>
        <w:t xml:space="preserve">响应；如果确定不能通过远程方式解决，成交供应商应立即安排技术人员</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小时</w:t>
      </w:r>
      <w:r>
        <w:rPr>
          <w:rFonts w:hint="eastAsia" w:ascii="宋体" w:hAnsi="宋体" w:eastAsia="宋体" w:cs="宋体"/>
          <w:color w:val="000000"/>
          <w:sz w:val="24"/>
          <w:highlight w:val="none"/>
          <w:lang w:val="en-US" w:eastAsia="zh-CN"/>
        </w:rPr>
        <w:t xml:space="preserve">内</w:t>
      </w:r>
      <w:r>
        <w:rPr>
          <w:rFonts w:hint="eastAsia" w:ascii="宋体" w:hAnsi="宋体" w:eastAsia="宋体" w:cs="宋体"/>
          <w:color w:val="000000"/>
          <w:sz w:val="24"/>
          <w:highlight w:val="none"/>
        </w:rPr>
        <w:t xml:space="preserve">到达故障现场，非严重硬件故障要求2小时内恢复，保证系统能够正常运行；其他软硬件故障必须在24小时内恢复，保证系统正常运行。</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文档管理要求</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建立专门的系统运行、维护档案。每月提供巡检报告，要求用户及相关人员签字确认；现场巡检时，要做出报修设备的详细配置清单、所使用的操作系统、版本号、系统的使用情况及系统的配置参数。每次巡检为每台报修设备填写巡检表，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应急保障</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需根据采购人针对本项目的服务要求制定专项应急预案，包括启动应急预案的条件、应急组织构成、应急资源保障（人力、设备、技术和财力等方面）、事后教育和培训等内容，制定重要事件的应急预案，包括应急处理流程和系统恢复流程，定期对系统和相关人员进行应急培训并进行应急预案的演练，定期对应急预案进行重新评估和修订完善。应急预案要贴合采购人针对本项目的工作实际，具有可操作性。</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平台服务系统交付周期</w:t>
      </w:r>
      <w:r/>
    </w:p>
    <w:p>
      <w:pPr>
        <w:ind w:firstLine="480"/>
        <w:keepLines w:val="0"/>
        <w:keepNext w:val="0"/>
        <w:pageBreakBefore w:val="0"/>
        <w:spacing w:line="39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平台服务系统</w:t>
      </w:r>
      <w:r>
        <w:rPr>
          <w:rFonts w:hint="eastAsia" w:ascii="宋体" w:hAnsi="宋体" w:eastAsia="宋体" w:cs="宋体"/>
          <w:color w:val="000000"/>
          <w:sz w:val="24"/>
          <w:highlight w:val="none"/>
        </w:rPr>
        <w:t xml:space="preserve">交付</w:t>
      </w:r>
      <w:r>
        <w:rPr>
          <w:rFonts w:hint="eastAsia" w:ascii="宋体" w:hAnsi="宋体" w:eastAsia="宋体" w:cs="宋体"/>
          <w:bCs/>
          <w:color w:val="000000"/>
          <w:sz w:val="24"/>
          <w:highlight w:val="none"/>
        </w:rPr>
        <w:t xml:space="preserve">周期为：自合同签订之日起30日历天完成项目施工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项目完工后，乙方向甲方递交申请验收材料之日起，于10个工作日内完成验收，验收交付</w:t>
      </w:r>
      <w:r>
        <w:rPr>
          <w:rFonts w:hint="eastAsia" w:ascii="宋体" w:hAnsi="宋体" w:eastAsia="宋体" w:cs="宋体"/>
          <w:bCs/>
          <w:color w:val="000000"/>
          <w:sz w:val="24"/>
          <w:highlight w:val="none"/>
        </w:rPr>
        <w:t xml:space="preserve">合格后进入1个月试运行期。</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质保期</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平台及其他设备质保期为调试验收合格交付运营后3年。质保期内所有设备非人为损毁，成交供应商应提供免费更换服务。</w:t>
      </w:r>
      <w:r/>
    </w:p>
    <w:p>
      <w:pPr>
        <w:numPr>
          <w:ilvl w:val="0"/>
          <w:numId w:val="9"/>
        </w:numPr>
        <w:ind w:left="0" w:firstLine="420"/>
        <w:jc w:val="both"/>
        <w:keepLines w:val="0"/>
        <w:keepNext w:val="0"/>
        <w:pageBreakBefore w:val="0"/>
        <w:spacing w:after="120" w:line="39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售后服务</w:t>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供应商应按响应文件中作出的服务承诺提供及时、快速、优质的售后服务及系统免费升级服务。</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18" w:name="_Toc4403"/>
      <w:r/>
      <w:bookmarkStart w:id="19" w:name="_Toc5899"/>
      <w:r>
        <w:rPr>
          <w:rFonts w:hint="eastAsia" w:ascii="宋体" w:hAnsi="宋体" w:eastAsia="宋体" w:cs="宋体"/>
          <w:b/>
          <w:sz w:val="28"/>
          <w:szCs w:val="28"/>
        </w:rPr>
        <w:t xml:space="preserve">培训要求</w:t>
      </w:r>
      <w:bookmarkEnd w:id="18"/>
      <w:r/>
      <w:bookmarkEnd w:id="19"/>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供应商应提供完备的《培训方案》针对不同层级的领导、业务办理人员和运维人员的实际状况和工作需求，制定相应的培训目标、计划、培训内容和要求，分类、分批实施。</w:t>
      </w:r>
      <w:bookmarkStart w:id="20" w:name="_Toc5787"/>
      <w:r>
        <w:rPr>
          <w:rFonts w:hint="eastAsia" w:ascii="宋体" w:hAnsi="宋体" w:eastAsia="宋体" w:cs="宋体"/>
          <w:color w:val="000000"/>
          <w:sz w:val="24"/>
          <w:highlight w:val="none"/>
        </w:rPr>
        <w:t xml:space="preserve">培训方式</w:t>
      </w:r>
      <w:bookmarkEnd w:id="20"/>
      <w:r>
        <w:rPr>
          <w:rFonts w:hint="eastAsia" w:ascii="宋体" w:hAnsi="宋体" w:eastAsia="宋体" w:cs="宋体"/>
          <w:color w:val="000000"/>
          <w:sz w:val="24"/>
          <w:highlight w:val="none"/>
        </w:rPr>
        <w:t xml:space="preserve">应包括：现场培训和集中技术培训。培训对象应包括技术人员培训方案和业务应用人员培训方案。成交供应商应按照《培训方案》中的服务承诺，免费为采购人及终端使用者提供现场培训服务。《培训方案》</w:t>
      </w:r>
      <w:r>
        <w:rPr>
          <w:rFonts w:hint="eastAsia" w:ascii="宋体" w:hAnsi="宋体" w:eastAsia="宋体" w:cs="宋体"/>
          <w:bCs/>
          <w:color w:val="000000"/>
          <w:sz w:val="24"/>
          <w:highlight w:val="none"/>
        </w:rPr>
        <w:t xml:space="preserve">内容包括但不限于详细培训计划、培训对象、培训人数、培训方式、培训地点、培训内容及培训效果等。</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培训内容：各系统运行维护、使用规范及常见故障排除，提供有关文档。</w:t>
      </w:r>
      <w:r/>
    </w:p>
    <w:p>
      <w:pPr>
        <w:numPr>
          <w:ilvl w:val="0"/>
          <w:numId w:val="10"/>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培训讲师：供应商派出的培训人员，应具有一定的资质和课程教学经验，且在培训前获得采购人的同意。</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rPr>
        <w:outlineLvl w:val="1"/>
      </w:pPr>
      <w:r/>
      <w:bookmarkStart w:id="21" w:name="_Toc20398"/>
      <w:r/>
      <w:bookmarkStart w:id="22" w:name="_Toc2307"/>
      <w:r>
        <w:rPr>
          <w:rFonts w:hint="eastAsia" w:ascii="宋体" w:hAnsi="宋体" w:eastAsia="宋体" w:cs="宋体"/>
          <w:b/>
          <w:sz w:val="28"/>
          <w:szCs w:val="28"/>
        </w:rPr>
        <w:t xml:space="preserve">项目验收</w:t>
      </w:r>
      <w:bookmarkEnd w:id="21"/>
      <w:r/>
      <w:bookmarkEnd w:id="22"/>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项目验收阶段：</w:t>
      </w:r>
      <w:r>
        <w:rPr>
          <w:rFonts w:hint="eastAsia" w:ascii="宋体" w:hAnsi="宋体" w:eastAsia="宋体" w:cs="宋体"/>
          <w:bCs/>
          <w:color w:val="000000"/>
          <w:sz w:val="24"/>
          <w:highlight w:val="none"/>
          <w:lang w:val="en-US" w:eastAsia="zh-CN"/>
        </w:rPr>
        <w:t xml:space="preserve">项目完工后，乙方向甲方递交申请验收材料之日起，于10个工作日内完成验收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根</w:t>
      </w:r>
      <w:r>
        <w:rPr>
          <w:rFonts w:hint="eastAsia" w:ascii="宋体" w:hAnsi="宋体" w:eastAsia="宋体" w:cs="宋体"/>
          <w:color w:val="000000"/>
          <w:sz w:val="24"/>
          <w:highlight w:val="none"/>
        </w:rPr>
        <w:t xml:space="preserve">据项目竣工验收的相关要求，开展项目内部验收、专项验收等工作。</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项目试运行阶段：</w:t>
      </w:r>
      <w:r>
        <w:rPr>
          <w:rFonts w:hint="eastAsia" w:ascii="宋体" w:hAnsi="宋体" w:eastAsia="宋体" w:cs="宋体"/>
          <w:sz w:val="24"/>
          <w:highlight w:val="none"/>
        </w:rPr>
        <w:t xml:space="preserve">通过对设备的功能性、安全性及信创适配性测试</w:t>
      </w:r>
      <w:r>
        <w:rPr>
          <w:rFonts w:hint="eastAsia" w:ascii="宋体" w:hAnsi="宋体" w:eastAsia="宋体" w:cs="宋体"/>
          <w:sz w:val="24"/>
          <w:highlight w:val="none"/>
          <w:lang w:val="en-US" w:eastAsia="zh-CN"/>
        </w:rPr>
        <w:t xml:space="preserve">等验收标准后，</w:t>
      </w:r>
      <w:r>
        <w:rPr>
          <w:rFonts w:hint="eastAsia" w:ascii="宋体" w:hAnsi="宋体" w:eastAsia="宋体" w:cs="宋体"/>
          <w:bCs/>
          <w:color w:val="000000"/>
          <w:sz w:val="24"/>
          <w:highlight w:val="none"/>
        </w:rPr>
        <w:t xml:space="preserve">进入项目试运行</w:t>
      </w:r>
      <w:r>
        <w:rPr>
          <w:rFonts w:hint="eastAsia" w:ascii="宋体" w:hAnsi="宋体" w:eastAsia="宋体" w:cs="宋体"/>
          <w:color w:val="000000"/>
          <w:sz w:val="24"/>
          <w:highlight w:val="none"/>
        </w:rPr>
        <w:t xml:space="preserve">阶段，试运行期为1个月。本阶段主要完成项目试运行，修正项目各部分联调中出现的问题，修正软件bug。</w:t>
      </w:r>
      <w:r/>
    </w:p>
    <w:p>
      <w:pPr>
        <w:numPr>
          <w:ilvl w:val="0"/>
          <w:numId w:val="11"/>
        </w:numPr>
        <w:ind w:left="0" w:firstLine="42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服务成果验收：验收标准根据国家、行业验收标准，以及合同约定验收方案对采购项目进行实质性验收。</w:t>
      </w:r>
      <w:r/>
    </w:p>
    <w:p>
      <w:pPr>
        <w:numPr>
          <w:ilvl w:val="0"/>
          <w:numId w:val="2"/>
        </w:numPr>
        <w:ind w:left="0" w:firstLine="420"/>
        <w:jc w:val="left"/>
        <w:keepLines w:val="0"/>
        <w:keepNext w:val="0"/>
        <w:pageBreakBefore w:val="0"/>
        <w:spacing w:line="390" w:lineRule="exact"/>
        <w:widowControl w:val="off"/>
        <w:rPr>
          <w:rFonts w:hint="eastAsia" w:ascii="宋体" w:hAnsi="宋体" w:eastAsia="宋体" w:cs="宋体"/>
          <w:b/>
          <w:sz w:val="28"/>
          <w:szCs w:val="28"/>
          <w:highlight w:val="none"/>
        </w:rPr>
        <w:outlineLvl w:val="1"/>
      </w:pPr>
      <w:r/>
      <w:bookmarkStart w:id="23" w:name="_Toc19892"/>
      <w:r/>
      <w:bookmarkStart w:id="24" w:name="_Toc4606"/>
      <w:r>
        <w:rPr>
          <w:rFonts w:hint="eastAsia" w:ascii="宋体" w:hAnsi="宋体" w:eastAsia="宋体" w:cs="宋体"/>
          <w:b/>
          <w:sz w:val="28"/>
          <w:szCs w:val="28"/>
          <w:highlight w:val="none"/>
        </w:rPr>
        <w:t xml:space="preserve">付款方式</w:t>
      </w:r>
      <w:bookmarkEnd w:id="23"/>
      <w:r/>
      <w:bookmarkEnd w:id="24"/>
      <w:r/>
      <w:r/>
    </w:p>
    <w:p>
      <w:pPr>
        <w:ind w:firstLine="480"/>
        <w:keepLines w:val="0"/>
        <w:keepNext w:val="0"/>
        <w:pageBreakBefore w:val="0"/>
        <w:spacing w:line="39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合同签订生效并具备实施条件后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个工作日内支付合同价款的</w:t>
      </w:r>
      <w:r>
        <w:rPr>
          <w:rFonts w:hint="eastAsia" w:ascii="宋体" w:hAnsi="宋体" w:eastAsia="宋体" w:cs="宋体"/>
          <w:color w:val="000000"/>
          <w:sz w:val="24"/>
          <w:highlight w:val="none"/>
          <w:u w:val="single"/>
          <w:lang w:val="en-US" w:eastAsia="zh-CN"/>
        </w:rPr>
        <w:t xml:space="preserve">4</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作为预付款；平台服务系统安装调试完毕验收合格正常使用后</w:t>
      </w:r>
      <w:r>
        <w:rPr>
          <w:rFonts w:hint="eastAsia" w:ascii="宋体" w:hAnsi="宋体" w:eastAsia="宋体" w:cs="宋体"/>
          <w:b/>
          <w:bCs/>
          <w:color w:val="000000"/>
          <w:sz w:val="24"/>
          <w:highlight w:val="none"/>
          <w:u w:val="single"/>
        </w:rPr>
        <w:t xml:space="preserve">   </w:t>
      </w:r>
      <w:r>
        <w:rPr>
          <w:rFonts w:hint="eastAsia" w:ascii="宋体" w:hAnsi="宋体" w:eastAsia="宋体" w:cs="宋体"/>
          <w:color w:val="000000"/>
          <w:sz w:val="24"/>
          <w:highlight w:val="none"/>
        </w:rPr>
        <w:t xml:space="preserve">个工作日内</w:t>
      </w:r>
      <w:r>
        <w:rPr>
          <w:rFonts w:hint="eastAsia" w:ascii="宋体" w:hAnsi="宋体" w:eastAsia="宋体" w:cs="宋体"/>
          <w:color w:val="000000"/>
          <w:sz w:val="24"/>
          <w:highlight w:val="none"/>
          <w:lang w:val="en-US" w:eastAsia="zh-CN"/>
        </w:rPr>
        <w:t xml:space="preserve">支付剩下</w:t>
      </w:r>
      <w:r>
        <w:rPr>
          <w:rFonts w:hint="eastAsia" w:ascii="宋体" w:hAnsi="宋体" w:eastAsia="宋体" w:cs="宋体"/>
          <w:color w:val="000000"/>
          <w:sz w:val="24"/>
          <w:highlight w:val="none"/>
        </w:rPr>
        <w:t xml:space="preserve">的</w:t>
      </w:r>
      <w:r>
        <w:rPr>
          <w:rFonts w:hint="eastAsia" w:ascii="宋体" w:hAnsi="宋体" w:eastAsia="宋体" w:cs="宋体"/>
          <w:b/>
          <w:bCs/>
          <w:color w:val="000000"/>
          <w:sz w:val="24"/>
          <w:highlight w:val="none"/>
          <w:u w:val="single"/>
          <w:lang w:val="en-US" w:eastAsia="zh-CN"/>
        </w:rPr>
        <w:t xml:space="preserve">6</w:t>
      </w:r>
      <w:r>
        <w:rPr>
          <w:rFonts w:hint="eastAsia" w:ascii="宋体" w:hAnsi="宋体" w:eastAsia="宋体" w:cs="宋体"/>
          <w:b/>
          <w:bCs/>
          <w:color w:val="000000"/>
          <w:sz w:val="24"/>
          <w:highlight w:val="none"/>
          <w:u w:val="single"/>
        </w:rPr>
        <w:t xml:space="preserve">0% </w:t>
      </w:r>
      <w:r>
        <w:rPr>
          <w:rFonts w:hint="eastAsia" w:ascii="宋体" w:hAnsi="宋体" w:eastAsia="宋体" w:cs="宋体"/>
          <w:color w:val="000000"/>
          <w:sz w:val="24"/>
          <w:highlight w:val="none"/>
        </w:rPr>
        <w:t xml:space="preserve">。</w:t>
      </w:r>
      <w:r/>
    </w:p>
    <w:p>
      <w:pPr>
        <w:ind w:left="0" w:right="0" w:firstLine="0"/>
        <w:jc w:val="center"/>
        <w:keepLines w:val="0"/>
        <w:keepNext w:val="0"/>
        <w:pageBreakBefore w:val="0"/>
        <w:spacing w:before="0" w:after="0" w:line="390" w:lineRule="exact"/>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项目实施过程中发生变更的，双方另行签订补充协议，按照实际发生的内进行最终结算。</w:t>
      </w: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3、磋商报价表</w:t>
      </w:r>
      <w:r/>
    </w:p>
    <w:p>
      <w:pPr>
        <w:ind w:left="0" w:right="0" w:firstLine="0"/>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货币单位：人民币元</w:t>
      </w:r>
      <w:r/>
    </w:p>
    <w:p>
      <w:pPr>
        <w:ind w:left="0" w:right="0" w:firstLine="0"/>
        <w:jc w:val="center"/>
        <w:spacing w:before="0" w:after="0" w:line="85" w:lineRule="atLeast"/>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t xml:space="preserve">详见苏采云系统中的格式。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报价说明：</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1、报价应包括磋商文件所确定的招标范围内所含的全部内容，以及为完成上述内容所需的全部费用；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2、报价以总价为准，大小写不一致以大写为准；</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3、偏离说明：详见《偏离表》；</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4、如最后报价未列明单价，则最后所报各项单价计算方法为：（最后报价/最初报价）* 各项最初报价的单价。</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420"/>
        <w:jc w:val="both"/>
        <w:spacing w:before="210" w:after="0" w:line="31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4、</w:t>
      </w:r>
      <w:r>
        <w:rPr>
          <w:rFonts w:hint="default" w:ascii="宋体" w:hAnsi="宋体" w:eastAsia="宋体" w:cs="宋体"/>
          <w:b/>
          <w:color w:val="000000"/>
          <w:sz w:val="36"/>
          <w:u w:val="none"/>
        </w:rPr>
        <w:t xml:space="preserve">分项价格表</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本次为首次报价</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格式自拟。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228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w:t>
      </w:r>
      <w:r>
        <w:rPr>
          <w:rFonts w:hint="default" w:ascii="宋体" w:hAnsi="宋体" w:eastAsia="宋体" w:cs="宋体"/>
          <w:b/>
          <w:color w:val="000000"/>
          <w:sz w:val="24"/>
        </w:rPr>
        <w:t xml:space="preserve">如果不提供《分项价格表》将视为没有实质性响应。</w:t>
      </w:r>
      <w:r/>
    </w:p>
    <w:p>
      <w:pPr>
        <w:numPr>
          <w:ilvl w:val="0"/>
          <w:numId w:val="12"/>
        </w:numPr>
        <w:ind w:left="0" w:firstLine="0"/>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响应供应商对以上数据的真实性负责。</w:t>
      </w:r>
      <w:r/>
    </w:p>
    <w:p>
      <w:pPr>
        <w:ind w:left="0" w:right="0" w:firstLine="482"/>
        <w:jc w:val="both"/>
        <w:spacing w:before="0" w:after="0" w:line="6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i/>
          <w:color w:val="000000"/>
          <w:sz w:val="24"/>
          <w:u w:val="single"/>
        </w:rPr>
        <w:t xml:space="preserve">采购人或采购代理机构有权将以上内容进行公示。</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5、</w:t>
      </w:r>
      <w:r>
        <w:rPr>
          <w:rFonts w:hint="default" w:ascii="宋体" w:hAnsi="宋体" w:eastAsia="宋体" w:cs="宋体"/>
          <w:b/>
          <w:color w:val="000000"/>
          <w:sz w:val="36"/>
          <w:u w:val="none"/>
        </w:rPr>
        <w:t xml:space="preserve">偏离表</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0"/>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w:t>
      </w:r>
      <w:r>
        <w:rPr>
          <w:rFonts w:hint="eastAsia" w:ascii="宋体" w:hAnsi="宋体" w:eastAsia="宋体" w:cs="宋体"/>
          <w:color w:val="000000"/>
          <w:sz w:val="24"/>
          <w:lang w:eastAsia="zh-CN"/>
        </w:rPr>
        <w:t xml:space="preserve">铜山区成品油税控联网监管系统项目</w:t>
      </w:r>
      <w:r/>
    </w:p>
    <w:tbl>
      <w:tblPr>
        <w:tblStyle w:val="790"/>
        <w:tblW w:w="915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48"/>
        <w:gridCol w:w="2779"/>
        <w:gridCol w:w="1685"/>
        <w:gridCol w:w="1807"/>
        <w:gridCol w:w="769"/>
      </w:tblGrid>
      <w:tr>
        <w:trPr>
          <w:jc w:val="center"/>
          <w:trHeight w:val="9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竞争性磋商文件（含竞争性磋商文件的澄清或者修改）的要求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r>
        <w:trPr>
          <w:jc w:val="cente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tc>
      </w:tr>
    </w:tbl>
    <w:p>
      <w:pPr>
        <w:ind w:left="0" w:right="0" w:firstLine="0"/>
        <w:jc w:val="both"/>
        <w:spacing w:before="0" w:after="0" w:line="85" w:lineRule="atLeast"/>
        <w:rPr>
          <w:rFonts w:hint="default"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供应商（电子签章）：</w:t>
      </w:r>
      <w:r/>
    </w:p>
    <w:p>
      <w:pPr>
        <w:ind w:left="0" w:right="29" w:firstLine="4008"/>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p>
    <w:p>
      <w:pPr>
        <w:ind w:left="420" w:right="33" w:firstLine="0"/>
        <w:jc w:val="right"/>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 </w:t>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29"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6、合同草案条款</w:t>
      </w:r>
      <w:r/>
    </w:p>
    <w:p>
      <w:pPr>
        <w:ind w:left="0" w:right="0" w:firstLine="482"/>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（以采购人与成交供应商最终签订版本为准）</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项目名称：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政</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府</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采</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购</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合</w:t>
      </w:r>
      <w:r/>
    </w:p>
    <w:p>
      <w:pPr>
        <w:ind w:left="0" w:right="0" w:firstLine="0"/>
        <w:jc w:val="center"/>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72"/>
        </w:rPr>
        <w:t xml:space="preserve">同</w:t>
      </w:r>
      <w:r/>
    </w:p>
    <w:p>
      <w:pPr>
        <w:ind w:left="0" w:right="0" w:firstLine="3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1320"/>
        <w:jc w:val="both"/>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采购人：</w:t>
      </w:r>
      <w:r>
        <w:rPr>
          <w:rFonts w:hint="eastAsia" w:ascii="宋体" w:hAnsi="宋体" w:eastAsia="宋体" w:cs="宋体"/>
          <w:color w:val="000000"/>
          <w:sz w:val="24"/>
          <w:lang w:eastAsia="zh-CN"/>
        </w:rPr>
        <w:t xml:space="preserve"> 徐州市铜山区财政局</w:t>
      </w:r>
      <w:r/>
    </w:p>
    <w:p>
      <w:pPr>
        <w:ind w:left="0" w:right="0" w:firstLine="132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成交供应商：</w:t>
      </w:r>
      <w:r/>
    </w:p>
    <w:p>
      <w:pPr>
        <w:ind w:left="0" w:right="0" w:firstLine="1320"/>
        <w:jc w:val="both"/>
        <w:spacing w:before="0" w:after="0" w:line="85" w:lineRule="atLeast"/>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合同签订日期：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pStyle w:val="764"/>
        <w:rPr>
          <w:rFonts w:hint="default"/>
        </w:rPr>
      </w:pPr>
      <w:r>
        <w:rPr>
          <w:rFonts w:hint="default"/>
        </w:rPr>
      </w:r>
      <w:r/>
    </w:p>
    <w:p>
      <w:pPr>
        <w:ind w:firstLine="482"/>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友情提醒：采购人与中标、成交供应商应当在中标、成交通知书发出之日起三十日内，按照采购文件确定的事项签订政府采购合同。</w:t>
      </w:r>
      <w:r/>
    </w:p>
    <w:p>
      <w:pPr>
        <w:ind w:left="0" w:right="0" w:firstLine="480"/>
        <w:keepLines w:val="0"/>
        <w:keepNext w:val="0"/>
        <w:pageBreakBefore w:val="0"/>
        <w:spacing w:before="240" w:after="24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default" w:ascii="Times New Roman" w:hAnsi="Times New Roman" w:eastAsia="宋体" w:cs="Times New Roman"/>
        </w:rPr>
        <w:br w:type="page" w:clear="all"/>
      </w:r>
      <w:r/>
    </w:p>
    <w:p>
      <w:pPr>
        <w:ind w:left="0" w:right="0" w:firstLine="0"/>
        <w:jc w:val="both"/>
        <w:spacing w:before="210" w:after="120"/>
        <w:rPr>
          <w:rFonts w:hint="default"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p>
    <w:p>
      <w:pPr>
        <w:pStyle w:val="788"/>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pStyle w:val="788"/>
        <w:ind w:left="0" w:firstLine="48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签订地点：</w:t>
      </w:r>
      <w:r/>
    </w:p>
    <w:p>
      <w:pPr>
        <w:pStyle w:val="788"/>
        <w:ind w:left="0" w:right="68" w:firstLine="471"/>
        <w:jc w:val="both"/>
        <w:keepLines w:val="0"/>
        <w:keepNext w:val="0"/>
        <w:pageBreakBefore w:val="0"/>
        <w:spacing w:before="156"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依据《中华人民共和国民法典》《中华人民共和国政府采购法》等有关法律法规，按照采购成交结果，本着公平、公正、诚信的原则，经甲、乙双方协商一致签订本合同。</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5" w:name="_Toc9427"/>
      <w:r>
        <w:rPr>
          <w:rFonts w:hint="eastAsia" w:ascii="宋体" w:hAnsi="宋体" w:eastAsia="宋体" w:cs="宋体"/>
          <w:b/>
          <w:bCs/>
          <w:color w:val="000000"/>
          <w:sz w:val="24"/>
          <w:szCs w:val="24"/>
        </w:rPr>
        <w:t xml:space="preserve">第一条 服务内容及服务地点</w:t>
      </w:r>
      <w:bookmarkEnd w:id="25"/>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1.服务产品及数量</w:t>
      </w:r>
      <w:r/>
    </w:p>
    <w:tbl>
      <w:tblPr>
        <w:tblStyle w:val="771"/>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4382"/>
        <w:gridCol w:w="1589"/>
        <w:gridCol w:w="1860"/>
      </w:tblGrid>
      <w:tr>
        <w:trPr>
          <w:jc w:val="center"/>
          <w:trHeight w:val="567"/>
        </w:trPr>
        <w:tc>
          <w:tcPr>
            <w:shd w:val="clear" w:color="000000" w:fill="ffffff"/>
            <w:tcW w:w="430"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序号</w:t>
            </w:r>
            <w:r/>
          </w:p>
        </w:tc>
        <w:tc>
          <w:tcPr>
            <w:shd w:val="clear" w:color="000000" w:fill="ffffff"/>
            <w:tcW w:w="2308"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内容</w:t>
            </w:r>
            <w:r/>
          </w:p>
        </w:tc>
        <w:tc>
          <w:tcPr>
            <w:shd w:val="clear" w:color="000000" w:fill="ffffff"/>
            <w:tcW w:w="837"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p>
        </w:tc>
        <w:tc>
          <w:tcPr>
            <w:shd w:val="clear" w:color="000000" w:fill="ffffff"/>
            <w:tcW w:w="979" w:type="pct"/>
            <w:vAlign w:val="center"/>
            <w:textDirection w:val="lrTb"/>
            <w:noWrap/>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单位</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成品油流通数据监管云平台系统</w:t>
            </w:r>
            <w:r/>
          </w:p>
        </w:tc>
        <w:tc>
          <w:tcPr>
            <w:shd w:val="clear" w:color="000000" w:fill="ffffff"/>
            <w:tcW w:w="837"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套</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加油机数据采集设备</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台</w:t>
            </w:r>
            <w:r/>
          </w:p>
        </w:tc>
      </w:tr>
      <w:tr>
        <w:trPr>
          <w:jc w:val="center"/>
          <w:trHeight w:val="567"/>
        </w:trPr>
        <w:tc>
          <w:tcPr>
            <w:shd w:val="clear" w:color="000000" w:fill="ffffff"/>
            <w:tcW w:w="430"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2308"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4G/5G物联网卡</w:t>
            </w:r>
            <w:r/>
          </w:p>
        </w:tc>
        <w:tc>
          <w:tcPr>
            <w:shd w:val="clear" w:color="000000" w:fill="ffffff"/>
            <w:tcW w:w="837" w:type="pct"/>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val="en-US" w:eastAsia="zh-CN"/>
              </w:rPr>
              <w:t xml:space="preserve">190</w:t>
            </w:r>
            <w:r/>
          </w:p>
        </w:tc>
        <w:tc>
          <w:tcPr>
            <w:shd w:val="clear" w:color="000000" w:fill="ffffff"/>
            <w:tcW w:w="979" w:type="pct"/>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张/3年</w:t>
            </w:r>
            <w:r/>
          </w:p>
        </w:tc>
      </w:tr>
    </w:tbl>
    <w:p>
      <w:pPr>
        <w:ind w:firstLine="480"/>
        <w:spacing w:before="156" w:line="360" w:lineRule="auto"/>
      </w:pPr>
      <w:r>
        <w:rPr>
          <w:rFonts w:hint="eastAsia" w:ascii="宋体" w:hAnsi="宋体" w:eastAsia="宋体" w:cs="宋体"/>
          <w:color w:val="000000"/>
          <w:sz w:val="24"/>
          <w:szCs w:val="24"/>
        </w:rPr>
        <w:t xml:space="preserve">2.服务内容：</w:t>
      </w:r>
      <w:r>
        <w:rPr>
          <w:rFonts w:hint="eastAsia" w:ascii="宋体" w:hAnsi="宋体" w:eastAsia="宋体" w:cs="宋体"/>
          <w:sz w:val="24"/>
        </w:rPr>
        <w:t xml:space="preserve">通过运用物联网、大数据等技术手段，将全区38座加油站、152台加油机和38个</w:t>
      </w:r>
      <w:r>
        <w:rPr>
          <w:rFonts w:hint="eastAsia" w:ascii="宋体" w:hAnsi="宋体" w:eastAsia="宋体" w:cs="宋体"/>
          <w:sz w:val="24"/>
          <w:lang w:eastAsia="zh-CN"/>
        </w:rPr>
        <w:t xml:space="preserve">液位仪采集器</w:t>
      </w:r>
      <w:r>
        <w:rPr>
          <w:rFonts w:hint="eastAsia" w:ascii="宋体" w:hAnsi="宋体" w:eastAsia="宋体" w:cs="宋体"/>
          <w:sz w:val="24"/>
        </w:rPr>
        <w:t xml:space="preserve">全部纳入远程实时监管，实现统一监管方式、统一监管方法（两统一），实时监控加油站税控数据、民生计量、油品价格等芯片级数据源（三实时），加强监管信息归集共享和关联整合。在防范税源流失、增加财政收入的同时，提升对成品油流通企业监管的数字化、精准化、智能化水平，进一步优化（一优化）营商环境，推动成品油市场健康发展目标，提高人民群众幸福感。</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3.服务地点：采购人指定地点。</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6" w:name="_Toc5614"/>
      <w:r>
        <w:rPr>
          <w:rFonts w:hint="eastAsia" w:ascii="宋体" w:hAnsi="宋体" w:eastAsia="宋体" w:cs="宋体"/>
          <w:b/>
          <w:bCs/>
          <w:color w:val="000000"/>
          <w:sz w:val="24"/>
          <w:szCs w:val="24"/>
        </w:rPr>
        <w:t xml:space="preserve">第二条 服务期限</w:t>
      </w:r>
      <w:bookmarkEnd w:id="2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服务期限3年。</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自云平台服务系统验收合格交付使用之日起至36个月数据服务提供结束。自云平台服务系统验收合格交付使用之日起，免费维保期36个月。</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第三条 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通过物联网技术加密传输到云平台，进行数据的汇总、分析、展示、利用。实现实时监控各加油站的交易数据，基于各类交易数据分析，生成多维度的数据分析报告和报表，为市场监管、税务、商务等部门提供更加丰富的监管依据，营造公平竞争的市场环境，为智慧城市建设提供有力的技术支撑。软件平台应包括可视化大屏展示、PC管理平台、手机端查询平台等多场景应用平台。</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2.数据采集设备技术要求：</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sz w:val="24"/>
        </w:rPr>
        <w:t xml:space="preserve">要求内置嵌入式实时多任务操作系统，响应速度快，效率高，模块化设计，输入输出接口光耦隔离，采用防浪涌、防雷和EMC设计，集成度高，可靠性强，适用绝大部分加油机类型，支持有线、无线等多种传输模式，实现油机及油站相关设备的数据采集、存储、控制、报警及数据传输等综合功能。</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rPr>
          <w:rFonts w:hint="eastAsia" w:ascii="宋体" w:hAnsi="宋体" w:cs="宋体"/>
          <w:sz w:val="24"/>
        </w:rPr>
        <w:t xml:space="preserve">4G/5G物联网卡无线传输服务。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7" w:name="_Toc15165"/>
      <w:r>
        <w:rPr>
          <w:rFonts w:hint="eastAsia" w:ascii="宋体" w:hAnsi="宋体" w:eastAsia="宋体" w:cs="宋体"/>
          <w:b/>
          <w:bCs/>
          <w:color w:val="000000"/>
          <w:sz w:val="24"/>
          <w:szCs w:val="24"/>
        </w:rPr>
        <w:t xml:space="preserve">第四条 </w:t>
      </w:r>
      <w:r>
        <w:rPr>
          <w:rFonts w:hint="eastAsia" w:ascii="宋体" w:hAnsi="宋体" w:eastAsia="宋体" w:cs="宋体"/>
          <w:b/>
          <w:bCs/>
          <w:color w:val="000000"/>
          <w:sz w:val="24"/>
          <w:szCs w:val="24"/>
          <w:lang w:val="en-US" w:eastAsia="zh-CN"/>
        </w:rPr>
        <w:t xml:space="preserve">履约</w:t>
      </w:r>
      <w:r>
        <w:rPr>
          <w:rFonts w:hint="eastAsia" w:ascii="宋体" w:hAnsi="宋体" w:eastAsia="宋体" w:cs="宋体"/>
          <w:b/>
          <w:bCs/>
          <w:color w:val="000000"/>
          <w:sz w:val="24"/>
          <w:szCs w:val="24"/>
        </w:rPr>
        <w:t xml:space="preserve">验收与交付要求</w:t>
      </w:r>
      <w:bookmarkEnd w:id="27"/>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（一）项目验收阶段：项目完工后，乙方向甲方递交申请验收材料之日起，于10个工作日内完成验收。根据项目竣工验收的相关要求，开展项目内部验收、专项验收等工作。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（二）项目试运行阶段：通过对设备的功能性、安全性及信创适配性测试等验收标准后，进入项目试运行阶段，试运行期为1个月。本阶段主要完成项目试运行，修正项目各部分联调中出现的问题，修正软件bug。</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（三）服务成果验收：验收标准根据国家、行业验收标准，以及合同约定验收方案对采购项目进行实质性验收。</w:t>
      </w:r>
      <w:r/>
    </w:p>
    <w:p>
      <w:pPr>
        <w:pStyle w:val="78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四</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验收人：徐州市铜山区财政局；</w:t>
      </w:r>
      <w:r/>
    </w:p>
    <w:p>
      <w:pPr>
        <w:pStyle w:val="788"/>
        <w:ind w:left="0" w:firstLine="1024"/>
        <w:jc w:val="both"/>
        <w:keepLines w:val="0"/>
        <w:keepNext w:val="0"/>
        <w:pageBreakBefore w:val="0"/>
        <w:spacing w:before="0" w:beforeAutospacing="0" w:after="0" w:afterAutospacing="0" w:line="360" w:lineRule="auto"/>
        <w:widowControl w:val="off"/>
        <w:rPr>
          <w:rFonts w:hint="eastAsia"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验收时间：2026年10月31日前；</w:t>
      </w:r>
      <w:r/>
    </w:p>
    <w:p>
      <w:pPr>
        <w:pStyle w:val="788"/>
        <w:ind w:left="0" w:firstLine="1024"/>
        <w:jc w:val="both"/>
        <w:keepLines w:val="0"/>
        <w:keepNext w:val="0"/>
        <w:pageBreakBefore w:val="0"/>
        <w:spacing w:before="0" w:beforeAutospacing="0" w:after="0" w:afterAutospacing="0" w:line="360" w:lineRule="auto"/>
        <w:widowControl w:val="off"/>
        <w:rPr>
          <w:rFonts w:hint="default" w:ascii="宋体" w:hAnsi="宋体" w:eastAsia="宋体" w:cs="宋体"/>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lang w:val="en-US" w:eastAsia="zh-CN"/>
        </w:rPr>
        <w:t xml:space="preserve">验收地点：徐州市铜山区财政局。</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第五条 服务响应要求</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1.乙方必须确保参与本项目的团队服务人员固定，乙方响应文件中拟派参与本项目的项目组成员，服务期内不得随意更换，因特殊原因确需更换的须以书面形式征得采购人同意。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sz w:val="24"/>
        </w:rPr>
        <w:t xml:space="preserve">服务期内乙方须</w:t>
      </w:r>
      <w:r>
        <w:rPr>
          <w:rFonts w:hint="eastAsia" w:ascii="宋体" w:hAnsi="宋体" w:eastAsia="宋体" w:cs="宋体"/>
          <w:color w:val="000000"/>
          <w:sz w:val="24"/>
        </w:rPr>
        <w:t xml:space="preserve">提供7*24*365天服务维护（即每周7个工作日，每天24小时，一年365天）技术支持服务，并免费提供系统升级服务。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rPr>
        <w:t xml:space="preserve">3.</w:t>
      </w:r>
      <w:r>
        <w:rPr>
          <w:rFonts w:hint="eastAsia" w:ascii="宋体" w:hAnsi="宋体" w:eastAsia="宋体" w:cs="宋体"/>
          <w:sz w:val="24"/>
        </w:rPr>
        <w:t xml:space="preserve">系统发生故障时，1小时内响应；如果确定不能通过远程方式解决，成交供应商应立即安排技术人员3小时内到达故障现场，非严重硬件故障要求2小时内恢复，保证系统能够正常运行；其他软硬件故障必须在24小时内恢复，保证系统正常运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 w:name="_Toc24285"/>
      <w:r>
        <w:rPr>
          <w:rFonts w:hint="eastAsia" w:ascii="宋体" w:hAnsi="宋体" w:eastAsia="宋体" w:cs="宋体"/>
          <w:b/>
          <w:bCs/>
          <w:color w:val="000000"/>
          <w:sz w:val="24"/>
          <w:szCs w:val="24"/>
        </w:rPr>
        <w:t xml:space="preserve">第六条 合同总价款</w:t>
      </w:r>
      <w:bookmarkEnd w:id="28"/>
      <w:r/>
      <w:r/>
    </w:p>
    <w:p>
      <w:pPr>
        <w:ind w:firstLine="480"/>
        <w:spacing w:line="360" w:lineRule="auto"/>
        <w:rPr>
          <w:rFonts w:hint="eastAsia" w:ascii="宋体" w:hAnsi="宋体" w:eastAsia="宋体" w:cs="宋体"/>
          <w:sz w:val="24"/>
        </w:rPr>
      </w:pPr>
      <w:r/>
      <w:bookmarkStart w:id="29" w:name="_Toc258"/>
      <w:r>
        <w:rPr>
          <w:rFonts w:hint="eastAsia" w:ascii="宋体" w:hAnsi="宋体" w:eastAsia="宋体" w:cs="宋体"/>
          <w:sz w:val="24"/>
        </w:rPr>
        <w:t xml:space="preserve">合同总金额：¥ </w:t>
      </w:r>
      <w:r>
        <w:rPr>
          <w:rFonts w:hint="eastAsia" w:ascii="宋体" w:hAnsi="宋体" w:eastAsia="宋体" w:cs="宋体"/>
          <w:sz w:val="24"/>
          <w:u w:val="single"/>
        </w:rPr>
        <w:t xml:space="preserve">      </w:t>
      </w:r>
      <w:r>
        <w:rPr>
          <w:rFonts w:hint="eastAsia" w:ascii="宋体" w:hAnsi="宋体" w:eastAsia="宋体" w:cs="宋体"/>
          <w:sz w:val="24"/>
        </w:rPr>
        <w:t xml:space="preserve">元（大写：</w:t>
      </w:r>
      <w:r>
        <w:rPr>
          <w:rFonts w:hint="eastAsia" w:ascii="宋体" w:hAnsi="宋体" w:eastAsia="宋体" w:cs="宋体"/>
          <w:sz w:val="24"/>
          <w:u w:val="single"/>
        </w:rPr>
        <w:t xml:space="preserve">            </w:t>
      </w:r>
      <w:r>
        <w:rPr>
          <w:rFonts w:hint="eastAsia" w:ascii="宋体" w:hAnsi="宋体" w:eastAsia="宋体" w:cs="宋体"/>
          <w:sz w:val="24"/>
        </w:rPr>
        <w:t xml:space="preserve">元）人民币。</w:t>
      </w:r>
      <w:r/>
    </w:p>
    <w:p>
      <w:pPr>
        <w:pStyle w:val="788"/>
        <w:ind w:left="480"/>
        <w:jc w:val="both"/>
        <w:keepLines w:val="0"/>
        <w:keepNext w:val="0"/>
        <w:pageBreakBefore w:val="0"/>
        <w:spacing w:before="0" w:beforeAutospacing="0" w:after="0" w:afterAutospacing="0" w:line="360" w:lineRule="auto"/>
        <w:widowControl w:val="off"/>
        <w:rPr>
          <w:rFonts w:hint="eastAsia" w:ascii="宋体" w:hAnsi="宋体" w:eastAsia="宋体" w:cs="宋体"/>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本合同价款为固定总价，服务期内与本项目有关的一切责任和费用均由乙方自行承担，除另有约定外甲方不再支付成交价以外的任何费用。</w:t>
      </w:r>
      <w:r/>
    </w:p>
    <w:p>
      <w:pPr>
        <w:pStyle w:val="788"/>
        <w:numPr>
          <w:ilvl w:val="0"/>
          <w:numId w:val="13"/>
        </w:numPr>
        <w:ind w:left="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bookmarkEnd w:id="29"/>
      <w:r/>
      <w:r/>
    </w:p>
    <w:p>
      <w:pPr>
        <w:pStyle w:val="788"/>
        <w:numPr>
          <w:ilvl w:val="0"/>
          <w:numId w:val="0"/>
        </w:numPr>
        <w:ind w:right="0" w:firstLine="72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经双方协商一致， 选择以下第（    ）种付款方式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付款条件一：提交预付款保函的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提供对应金额的有效发票后（或乙方</w:t>
      </w:r>
      <w:r>
        <w:rPr>
          <w:rFonts w:hint="eastAsia" w:ascii="宋体" w:hAnsi="宋体" w:eastAsia="宋体" w:cs="宋体"/>
          <w:color w:val="000000"/>
          <w:sz w:val="24"/>
        </w:rPr>
        <w:t xml:space="preserve">出具</w:t>
      </w:r>
      <w:r>
        <w:rPr>
          <w:rFonts w:hint="eastAsia" w:ascii="宋体" w:hAnsi="宋体" w:eastAsia="宋体" w:cs="宋体"/>
          <w:color w:val="000000"/>
          <w:sz w:val="24"/>
          <w:lang w:val="en-US" w:eastAsia="zh-CN"/>
        </w:rPr>
        <w:t xml:space="preserve">等额</w:t>
      </w:r>
      <w:r>
        <w:rPr>
          <w:rFonts w:hint="eastAsia" w:ascii="宋体" w:hAnsi="宋体" w:eastAsia="宋体" w:cs="宋体"/>
          <w:color w:val="000000"/>
          <w:sz w:val="24"/>
        </w:rPr>
        <w:t xml:space="preserve">预付款保函后</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w:t>
      </w:r>
      <w:r>
        <w:rPr>
          <w:rFonts w:hint="eastAsia" w:ascii="宋体" w:hAnsi="宋体" w:eastAsia="宋体" w:cs="宋体"/>
          <w:color w:val="000000"/>
          <w:sz w:val="24"/>
          <w:lang w:val="en-US" w:eastAsia="zh-CN"/>
        </w:rPr>
        <w:t xml:space="preserve">后</w:t>
      </w:r>
      <w:r>
        <w:rPr>
          <w:rFonts w:hint="eastAsia" w:ascii="宋体" w:hAnsi="宋体" w:eastAsia="宋体" w:cs="宋体"/>
          <w:color w:val="000000"/>
          <w:sz w:val="24"/>
        </w:rPr>
        <w:t xml:space="preserve">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付款条件二：不提交预付款保函的</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双方</w:t>
      </w:r>
      <w:r>
        <w:rPr>
          <w:rFonts w:hint="eastAsia" w:ascii="宋体" w:hAnsi="宋体" w:eastAsia="宋体" w:cs="宋体"/>
          <w:color w:val="000000"/>
          <w:sz w:val="24"/>
        </w:rPr>
        <w:t xml:space="preserve">签订</w:t>
      </w:r>
      <w:r>
        <w:rPr>
          <w:rFonts w:hint="eastAsia" w:ascii="宋体" w:hAnsi="宋体" w:eastAsia="宋体" w:cs="宋体"/>
          <w:color w:val="000000"/>
          <w:sz w:val="24"/>
          <w:lang w:val="en-US" w:eastAsia="zh-CN"/>
        </w:rPr>
        <w:t xml:space="preserve">合同</w:t>
      </w:r>
      <w:r>
        <w:rPr>
          <w:rFonts w:hint="eastAsia" w:ascii="宋体" w:hAnsi="宋体" w:eastAsia="宋体" w:cs="宋体"/>
          <w:color w:val="000000"/>
          <w:sz w:val="24"/>
        </w:rPr>
        <w:t xml:space="preserve">15个工作日</w:t>
      </w:r>
      <w:r>
        <w:rPr>
          <w:rFonts w:hint="eastAsia" w:ascii="宋体" w:hAnsi="宋体" w:eastAsia="宋体" w:cs="宋体"/>
          <w:color w:val="000000"/>
          <w:sz w:val="24"/>
          <w:lang w:val="en-US" w:eastAsia="zh-CN"/>
        </w:rPr>
        <w:t xml:space="preserve">并</w:t>
      </w:r>
      <w:r>
        <w:rPr>
          <w:rFonts w:hint="eastAsia" w:ascii="宋体" w:hAnsi="宋体" w:eastAsia="宋体" w:cs="宋体"/>
          <w:color w:val="000000"/>
          <w:sz w:val="24"/>
        </w:rPr>
        <w:t xml:space="preserve">具备实施条件后且乙方向甲方</w:t>
      </w:r>
      <w:r>
        <w:rPr>
          <w:rFonts w:hint="eastAsia" w:ascii="宋体" w:hAnsi="宋体" w:eastAsia="宋体" w:cs="宋体"/>
          <w:color w:val="000000"/>
          <w:sz w:val="24"/>
          <w:lang w:val="en-US" w:eastAsia="zh-CN"/>
        </w:rPr>
        <w:t xml:space="preserve">提供对应金额的有效发票后</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由发包人办理政府采购资金结算手续，经审核后支付给乙方，</w:t>
      </w:r>
      <w:r>
        <w:rPr>
          <w:rFonts w:hint="eastAsia" w:ascii="宋体" w:hAnsi="宋体" w:eastAsia="宋体" w:cs="宋体"/>
          <w:color w:val="000000"/>
          <w:sz w:val="24"/>
        </w:rPr>
        <w:t xml:space="preserve">支付合同价款的百分之四十（40%）</w:t>
      </w:r>
      <w:r>
        <w:rPr>
          <w:rFonts w:hint="eastAsia" w:ascii="宋体" w:hAnsi="宋体" w:eastAsia="宋体" w:cs="宋体"/>
          <w:color w:val="000000"/>
          <w:sz w:val="24"/>
          <w:lang w:val="en-US" w:eastAsia="zh-CN"/>
        </w:rPr>
        <w:t xml:space="preserve">即</w:t>
      </w:r>
      <w:r>
        <w:rPr>
          <w:rFonts w:hint="eastAsia" w:ascii="宋体" w:hAnsi="宋体" w:eastAsia="宋体" w:cs="宋体"/>
          <w:color w:val="000000"/>
          <w:sz w:val="24"/>
        </w:rPr>
        <w:t xml:space="preserve">¥</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（2）平台服务系统安装调试完毕验收合格正常使用后</w:t>
      </w:r>
      <w:r>
        <w:rPr>
          <w:rFonts w:hint="eastAsia" w:ascii="宋体" w:hAnsi="宋体" w:eastAsia="宋体" w:cs="宋体"/>
          <w:b/>
          <w:bCs/>
          <w:color w:val="000000"/>
          <w:sz w:val="24"/>
          <w:u w:val="single"/>
        </w:rPr>
        <w:t xml:space="preserve"> </w:t>
      </w:r>
      <w:r>
        <w:rPr>
          <w:rFonts w:hint="eastAsia" w:ascii="宋体" w:hAnsi="宋体" w:eastAsia="宋体" w:cs="宋体"/>
          <w:b/>
          <w:bCs/>
          <w:color w:val="000000"/>
          <w:sz w:val="24"/>
          <w:u w:val="single"/>
          <w:lang w:val="en-US" w:eastAsia="zh-CN"/>
        </w:rPr>
        <w:t xml:space="preserve">90</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个工作日内支付剩下的</w:t>
      </w:r>
      <w:r>
        <w:rPr>
          <w:rFonts w:hint="eastAsia" w:ascii="宋体" w:hAnsi="宋体" w:eastAsia="宋体" w:cs="宋体"/>
          <w:color w:val="000000"/>
          <w:sz w:val="24"/>
          <w:lang w:val="en-US" w:eastAsia="zh-CN"/>
        </w:rPr>
        <w:t xml:space="preserve">百分之六十（</w:t>
      </w:r>
      <w:r>
        <w:rPr>
          <w:rFonts w:hint="eastAsia" w:ascii="宋体" w:hAnsi="宋体" w:eastAsia="宋体" w:cs="宋体"/>
          <w:b/>
          <w:bCs/>
          <w:color w:val="000000"/>
          <w:sz w:val="24"/>
          <w:u w:val="none"/>
        </w:rPr>
        <w:t xml:space="preserve">60%</w:t>
      </w:r>
      <w:r>
        <w:rPr>
          <w:rFonts w:hint="eastAsia" w:ascii="宋体" w:hAnsi="宋体" w:eastAsia="宋体" w:cs="宋体"/>
          <w:color w:val="000000"/>
          <w:sz w:val="24"/>
          <w:lang w:val="en-US" w:eastAsia="zh-CN"/>
        </w:rPr>
        <w:t xml:space="preserve">）</w:t>
      </w:r>
      <w:r>
        <w:rPr>
          <w:rFonts w:hint="eastAsia" w:ascii="宋体" w:hAnsi="宋体" w:eastAsia="宋体" w:cs="宋体"/>
          <w:b/>
          <w:bCs/>
          <w:color w:val="000000"/>
          <w:sz w:val="24"/>
          <w:u w:val="none"/>
        </w:rPr>
        <w:t xml:space="preserve"> </w:t>
      </w:r>
      <w:r>
        <w:rPr>
          <w:rFonts w:hint="eastAsia" w:ascii="宋体" w:hAnsi="宋体" w:eastAsia="宋体" w:cs="宋体"/>
          <w:b/>
          <w:bCs/>
          <w:color w:val="000000"/>
          <w:sz w:val="24"/>
          <w:u w:val="none"/>
          <w:lang w:eastAsia="zh-CN"/>
        </w:rPr>
        <w:t xml:space="preserve">，</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0" w:name="_Toc2482"/>
      <w:r>
        <w:rPr>
          <w:rFonts w:hint="eastAsia" w:ascii="宋体" w:hAnsi="宋体" w:eastAsia="宋体" w:cs="宋体"/>
          <w:b/>
          <w:bCs/>
          <w:color w:val="000000"/>
          <w:sz w:val="24"/>
          <w:szCs w:val="24"/>
        </w:rPr>
        <w:t xml:space="preserve">第八条 甲乙双方的权利和义务</w:t>
      </w:r>
      <w:bookmarkEnd w:id="30"/>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1.甲方的责任及义务</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（1）甲方应保护乙方的自有技术资料（除本项目成果外）。</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（2）甲方有权督促平台服务系统建设按计划实施，并对各阶段完成情况组织验收。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2.乙方责任及义务：</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（1）乙方不得违反国家有关标准进行大数据平台建设。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（2）乙方应于</w:t>
      </w:r>
      <w:r>
        <w:rPr>
          <w:rFonts w:hint="eastAsia" w:ascii="宋体" w:hAnsi="宋体" w:eastAsia="宋体" w:cs="宋体"/>
          <w:bCs/>
          <w:sz w:val="24"/>
        </w:rPr>
        <w:t xml:space="preserve">合同生效之日起</w:t>
      </w:r>
      <w:r>
        <w:rPr>
          <w:rFonts w:hint="eastAsia" w:ascii="宋体" w:hAnsi="宋体" w:eastAsia="宋体" w:cs="宋体"/>
          <w:sz w:val="24"/>
        </w:rPr>
        <w:t xml:space="preserve">，安排相应人员开展平台服务系统推进计划的实施，作业期间须服从甲方的相关规定和安全管理制度。乙方自行负担项目服务期间其工作人员的食宿、通讯、差旅、交通水电、资料收集等一切费用，并对项目安全生产及其工作人员的安全负责，乙方承担项目服务期间的一切安全后果。</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（3）乙方应按合同约定的技术规范、标准、规程及甲方提出的技术要求提供服务，及时提交质量合格的数据资料及分析报告，并对其真实性负责。</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乙方交付资料及文件后，按规定参加有关验收，并对验收结论负责，对超出原定范围的内容做必要调整和补充。按合同规定的时点交付成果资料，并有义务向甲方进行资料文档的解释。及时解决因技术规程变化可能引起的有关问题。</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本项目所产生的原始数据、中间数据、成果数据产权及与本项目相关的图纸和技术资料均由甲方独享。乙方未经甲方书面允许，不得向第三方提供项目中的任何数据资料，如发生以上情况，甲方有权向乙方索赔并依法追究法律责任。</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（6）乙方承担平台设计、部署、测试等全流程实施及项目技术设计论证、项目评审、第三方测评、测试、质检等全部相关费用。</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（7）服务期内乙方免费提供系统升级服务。</w:t>
      </w:r>
      <w:r/>
    </w:p>
    <w:p>
      <w:pPr>
        <w:pStyle w:val="788"/>
        <w:ind w:left="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1" w:name="_Toc29616"/>
      <w:r>
        <w:rPr>
          <w:rFonts w:hint="eastAsia" w:ascii="宋体" w:hAnsi="宋体" w:eastAsia="宋体" w:cs="宋体"/>
          <w:b/>
          <w:bCs/>
          <w:color w:val="000000"/>
          <w:sz w:val="24"/>
          <w:szCs w:val="24"/>
        </w:rPr>
        <w:t xml:space="preserve">第九条 安全保密要求</w:t>
      </w:r>
      <w:bookmarkEnd w:id="31"/>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1.项目实施中，乙方必须符合国家、江苏省、徐州市和</w:t>
      </w:r>
      <w:r>
        <w:rPr>
          <w:rFonts w:hint="eastAsia" w:ascii="宋体" w:hAnsi="宋体" w:eastAsia="宋体" w:cs="宋体"/>
          <w:color w:val="000000"/>
          <w:sz w:val="24"/>
          <w:szCs w:val="24"/>
          <w:lang w:eastAsia="zh-CN"/>
        </w:rPr>
        <w:t xml:space="preserve">铜山区</w:t>
      </w:r>
      <w:r>
        <w:rPr>
          <w:rFonts w:hint="eastAsia" w:ascii="宋体" w:hAnsi="宋体" w:eastAsia="宋体" w:cs="宋体"/>
          <w:color w:val="000000"/>
          <w:sz w:val="24"/>
          <w:szCs w:val="24"/>
        </w:rPr>
        <w:t xml:space="preserve">商务局系统安全相关管理规定，遵守数据资料保密要求。此约定不因项目的结束而终止，一直有效。</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2.乙方必须有完善的保密管理体系和有资质的保密人员。为本项目服务工作人员必须签署保密协议和关键岗位人员的岗位责任协议，不得泄露工作中接触到的需要保密的信息。</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3.乙方提交成果数据后应承诺销毁所有过程数据和最终成果，不得用于其他项目。</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2" w:name="_Toc3892"/>
      <w:r>
        <w:rPr>
          <w:rFonts w:hint="eastAsia" w:ascii="宋体" w:hAnsi="宋体" w:eastAsia="宋体" w:cs="宋体"/>
          <w:b/>
          <w:bCs/>
          <w:color w:val="000000"/>
          <w:sz w:val="24"/>
          <w:szCs w:val="24"/>
        </w:rPr>
        <w:t xml:space="preserve">第十条 违约责任</w:t>
      </w:r>
      <w:bookmarkEnd w:id="32"/>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1.平台服务系统交付期拖延的，合同有效期顺延。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因特殊原因逾期提交成果的，应在提交前与甲方协商，甲方仍有需求的，乙方应及时提交。如有逾期应按合同金额的每天千分之五的标准支付违约金，因乙方逾期提交成果致使甲方遭致损失的，乙方应承担甲方因此遭致的损失费用。</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3" w:name="_Toc25635"/>
      <w:r>
        <w:rPr>
          <w:rFonts w:hint="eastAsia" w:ascii="宋体" w:hAnsi="宋体" w:eastAsia="宋体" w:cs="宋体"/>
          <w:b/>
          <w:bCs/>
          <w:color w:val="000000"/>
          <w:sz w:val="24"/>
          <w:szCs w:val="24"/>
        </w:rPr>
        <w:t xml:space="preserve">第十一条 知识产权</w:t>
      </w:r>
      <w:bookmarkEnd w:id="33"/>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1.本合同项目成果以及由此产生的知识产权归甲方所有，包括但不限于著作权、专利申请权、专利权、非专利技术和其他智力成果的权利和权益。涉及乙方产品的知识产权归乙方所有。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2.乙方应保证甲方在使用本合同项下的服务产品或服务产品的一部分时，免受第三方提出的侵权其知识产权的索赔或诉讼；</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9050" cy="1905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19050" cy="19050"/>
                        </a:xfrm>
                        <a:prstGeom prst="rect">
                          <a:avLst/>
                        </a:prstGeom>
                        <a:noFill/>
                        <a:ln w="9525">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 strokeweight="0.75pt">
                <v:path textboxrect="0,0,0,0"/>
                <v:imagedata r:id="rId15" o:title=""/>
              </v:shape>
            </w:pict>
          </mc:Fallback>
        </mc:AlternateContent>
      </w:r>
      <w:r>
        <w:rPr>
          <w:rFonts w:hint="eastAsia" w:ascii="宋体" w:hAnsi="宋体" w:eastAsia="宋体" w:cs="宋体"/>
          <w:color w:val="000000"/>
          <w:sz w:val="24"/>
          <w:szCs w:val="24"/>
        </w:rPr>
        <w:t xml:space="preserve">3.如果乙方所提供的服务产品，被第三方诉称侵权或任何其他权利，甲方以书面方式通知乙方，乙方应负责处理，并应以乙方的名义向起诉方提出抗辩。由此可能产生的一切法律责任和经济责任由乙方承担。由此产生的费用由乙方承担。</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4" w:name="_Toc4884"/>
      <w:r>
        <w:rPr>
          <w:rFonts w:hint="eastAsia" w:ascii="宋体" w:hAnsi="宋体" w:eastAsia="宋体" w:cs="宋体"/>
          <w:b/>
          <w:bCs/>
          <w:color w:val="000000"/>
          <w:sz w:val="24"/>
          <w:szCs w:val="24"/>
        </w:rPr>
        <w:t xml:space="preserve">第十二条 不可抗力</w:t>
      </w:r>
      <w:bookmarkEnd w:id="34"/>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5" w:name="_Toc20597"/>
      <w:r>
        <w:rPr>
          <w:rFonts w:hint="eastAsia" w:ascii="宋体" w:hAnsi="宋体" w:eastAsia="宋体" w:cs="宋体"/>
          <w:b/>
          <w:bCs/>
          <w:color w:val="000000"/>
          <w:sz w:val="24"/>
          <w:szCs w:val="24"/>
        </w:rPr>
        <w:t xml:space="preserve">第十三条 争议解决</w:t>
      </w:r>
      <w:bookmarkEnd w:id="35"/>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合同实施过程中与本合同有关的一切争议双方应友好协商解决。如经协商后仍不能达成协议时，双方约定可向甲方所在地的人民法院申请诉讼解决；在诉讼期间，本合同应继续执行。</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6" w:name="_Toc32611"/>
      <w:r>
        <w:rPr>
          <w:rFonts w:hint="eastAsia" w:ascii="宋体" w:hAnsi="宋体" w:eastAsia="宋体" w:cs="宋体"/>
          <w:b/>
          <w:bCs/>
          <w:color w:val="000000"/>
          <w:sz w:val="24"/>
          <w:szCs w:val="24"/>
        </w:rPr>
        <w:t xml:space="preserve">第十四条 合同生效</w:t>
      </w:r>
      <w:bookmarkEnd w:id="36"/>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1.本合同经双方法定代表人或者其授权代表签字并加盖公章或合同专用章后生效。全部成果交接完毕且服务费结算完成后，本合同终止。</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2.本合同一式</w:t>
      </w:r>
      <w:r>
        <w:rPr>
          <w:rFonts w:hint="eastAsia" w:ascii="宋体" w:hAnsi="宋体" w:eastAsia="宋体" w:cs="宋体"/>
          <w:color w:val="000000"/>
          <w:sz w:val="24"/>
          <w:szCs w:val="24"/>
          <w:u w:val="single"/>
        </w:rPr>
        <w:t xml:space="preserve"> 六 </w:t>
      </w:r>
      <w:r>
        <w:rPr>
          <w:rFonts w:hint="eastAsia" w:ascii="宋体" w:hAnsi="宋体" w:eastAsia="宋体" w:cs="宋体"/>
          <w:color w:val="000000"/>
          <w:sz w:val="24"/>
          <w:szCs w:val="24"/>
        </w:rPr>
        <w:t xml:space="preserve">份，具有同等法律效力，甲方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 二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份，财政局各</w:t>
      </w:r>
      <w:r>
        <w:rPr>
          <w:rFonts w:hint="eastAsia" w:ascii="宋体" w:hAnsi="宋体" w:eastAsia="宋体" w:cs="宋体"/>
          <w:color w:val="000000"/>
          <w:sz w:val="24"/>
          <w:szCs w:val="24"/>
          <w:u w:val="single"/>
        </w:rPr>
        <w:t xml:space="preserve"> 一 </w:t>
      </w:r>
      <w:r>
        <w:rPr>
          <w:rFonts w:hint="eastAsia" w:ascii="宋体" w:hAnsi="宋体" w:eastAsia="宋体" w:cs="宋体"/>
          <w:color w:val="000000"/>
          <w:sz w:val="24"/>
          <w:szCs w:val="24"/>
        </w:rPr>
        <w:t xml:space="preserve">份。均具有同等法律效力。</w:t>
      </w:r>
      <w:r/>
    </w:p>
    <w:p>
      <w:pPr>
        <w:pStyle w:val="788"/>
        <w:ind w:left="0" w:firstLine="546"/>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7" w:name="_Toc11354"/>
      <w:r>
        <w:rPr>
          <w:rFonts w:hint="eastAsia" w:ascii="宋体" w:hAnsi="宋体" w:eastAsia="宋体" w:cs="宋体"/>
          <w:b/>
          <w:bCs/>
          <w:color w:val="000000"/>
          <w:sz w:val="24"/>
          <w:szCs w:val="24"/>
        </w:rPr>
        <w:t xml:space="preserve">第十五条 附则</w:t>
      </w:r>
      <w:bookmarkEnd w:id="37"/>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1.双方应诚实信用，严格按照招标文件要求和承诺履行合同，不向对方进行商业贿赂或者提供不正当利益。</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2.下列文件为本合同不可分割的组成部分，与本合同具有同等法律效力。</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（1）中标（成交）通知书；</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（2）采购文件；</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（3）乙方成交的响应文件（包括相关承诺、声明、书面澄清等）；</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未尽事宜，甲乙双方本着友好协商的方式，并按《中华人民共和国政府采购法》及其他有关的法律法规的规定执行。协商结果以书面形式作为本合同的附件，与本合同具有同等效力。协商结果与本合同约定内容不一致的，以协商结果为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 方 ( 盖 章 ) ：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 方 ( 盖 章 )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授权代表（签字或盖章）：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授权代表（签字或盖章）：</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开户银行：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银行账号：</w:t>
      </w:r>
      <w:r/>
    </w:p>
    <w:p>
      <w:pPr>
        <w:ind w:left="0" w:firstLine="480"/>
        <w:jc w:val="left"/>
        <w:keepLines w:val="0"/>
        <w:keepNext w:val="0"/>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r>
      <w:r/>
    </w:p>
    <w:p>
      <w:pPr>
        <w:ind w:left="0" w:right="0" w:firstLine="0"/>
        <w:jc w:val="both"/>
        <w:spacing w:before="210" w:after="12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1"/>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42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7、承诺书</w:t>
      </w:r>
      <w:r/>
    </w:p>
    <w:p>
      <w:pPr>
        <w:ind w:left="0" w:right="0" w:firstLine="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致</w:t>
      </w:r>
      <w:r>
        <w:rPr>
          <w:rFonts w:hint="eastAsia" w:ascii="宋体" w:hAnsi="宋体" w:eastAsia="宋体" w:cs="宋体"/>
          <w:color w:val="000000"/>
          <w:sz w:val="21"/>
          <w:u w:val="single"/>
          <w:lang w:eastAsia="zh-CN"/>
        </w:rPr>
        <w:t xml:space="preserve"> 徐州市铜山区财政局</w:t>
      </w:r>
      <w:r>
        <w:rPr>
          <w:rFonts w:hint="default" w:ascii="宋体" w:hAnsi="宋体" w:eastAsia="宋体" w:cs="宋体"/>
          <w:color w:val="000000"/>
          <w:sz w:val="21"/>
        </w:rPr>
        <w:t xml:space="preserve">：</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根据贵方《磋商文件》（项目编号：</w:t>
      </w:r>
      <w:r>
        <w:rPr>
          <w:rFonts w:hint="eastAsia" w:ascii="宋体" w:hAnsi="宋体" w:eastAsia="宋体" w:cs="宋体"/>
          <w:color w:val="000000"/>
          <w:sz w:val="21"/>
          <w:u w:val="single"/>
          <w:lang w:eastAsia="zh-CN"/>
        </w:rPr>
        <w:t xml:space="preserve">JSZC-320312-JSZH-C2026-0076</w:t>
      </w:r>
      <w:r>
        <w:rPr>
          <w:rFonts w:hint="default" w:ascii="宋体" w:hAnsi="宋体" w:eastAsia="宋体" w:cs="宋体"/>
          <w:color w:val="000000"/>
          <w:sz w:val="21"/>
        </w:rPr>
        <w:t xml:space="preserve">）要求，本供应商正式提交以下首次响应文件。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（1）承诺书；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（2）磋商报价表；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（3）偏离表；</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（4）磋商文件要求提供的其他响应文件。</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我单位符合《中华人民共和国政府采购法》第二十二条的规定，符合本项目供应商资格要求。</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我单位按照磋商文件的要求编制响应文件，并对其提交的响应文件的真实性、合法性承担法律责任。</w:t>
      </w:r>
      <w:r/>
    </w:p>
    <w:p>
      <w:pPr>
        <w:ind w:left="0" w:right="0" w:firstLine="480"/>
        <w:spacing w:before="0" w:after="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供应商兹宣布同意如下： </w:t>
      </w:r>
      <w:r/>
    </w:p>
    <w:p>
      <w:pPr>
        <w:ind w:left="0" w:right="0" w:firstLine="480"/>
        <w:spacing w:before="240" w:after="240" w:line="74"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一、完全承担根据《磋商文件》规定完成合同的责任和义务（如有偏离，将全部填写在偏离表中）。</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二、保证所提供的响应文件及所有材料的真实、合法、有效，并对其负责。</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三、已详细审核竞争性磋商文件（含竞争性磋商文件的澄清或者修改），本供应商完全理解并同意放弃对这方面不明及误解的权利。</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四、所供货物保证符合国家有关产品质量、性能和安全标准，无权利瑕疵。</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五、报价有效期为30个工作日。</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六、同意向贵方提供贵方可能要求的与本次磋商采购有关的任何证据或资料。</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七、完全理解贵方不一定要接受最低的报价或收到的任何报价。</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八、采购人或采购代理机构有权将我单位本项目的《磋商报价表》和《分项价格表》予以公示，公示的方式由</w:t>
      </w:r>
      <w:r>
        <w:rPr>
          <w:rFonts w:hint="eastAsia" w:ascii="宋体" w:hAnsi="宋体" w:eastAsia="宋体" w:cs="宋体"/>
          <w:color w:val="000000"/>
          <w:sz w:val="21"/>
          <w:lang w:eastAsia="zh-CN"/>
        </w:rPr>
        <w:t xml:space="preserve">江苏智汇锡建工程项目管理有限公司</w:t>
      </w:r>
      <w:r>
        <w:rPr>
          <w:rFonts w:hint="default" w:ascii="宋体" w:hAnsi="宋体" w:eastAsia="宋体" w:cs="宋体"/>
          <w:color w:val="000000"/>
          <w:sz w:val="21"/>
        </w:rPr>
        <w:t xml:space="preserve">确定。</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供应商（电子签章）：</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法定代表人（负责人)或授权代表（签字或盖章）：  </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联系电话：</w:t>
      </w:r>
      <w:r/>
    </w:p>
    <w:p>
      <w:pPr>
        <w:ind w:left="0" w:right="0" w:firstLine="480"/>
        <w:spacing w:before="240" w:after="240" w:line="74" w:lineRule="atLeast"/>
        <w:rPr>
          <w:rFonts w:hint="default"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rPr>
        <w:t xml:space="preserve">日期：</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8、授权委托书</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委托人（全称）：</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地址：</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法定代表人（负责人）：</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统一社会信用代码：</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受托人：先生（女士）</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身份证号：</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兹委托（</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）全权代表我企业（公司）参与</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0" w:firstLine="0"/>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3561"/>
        <w:jc w:val="both"/>
        <w:spacing w:before="0" w:after="0" w:line="49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（受托人身份证复印件附后)</w:t>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9、</w:t>
      </w:r>
      <w:r>
        <w:rPr>
          <w:rFonts w:hint="default" w:ascii="宋体" w:hAnsi="宋体" w:eastAsia="宋体" w:cs="宋体"/>
          <w:b/>
          <w:color w:val="000000"/>
          <w:sz w:val="36"/>
          <w:u w:val="none"/>
        </w:rPr>
        <w:t xml:space="preserve">中小企业声明函</w:t>
      </w:r>
      <w:r/>
    </w:p>
    <w:p>
      <w:pPr>
        <w:ind w:left="0" w:right="0" w:firstLine="0"/>
        <w:jc w:val="center"/>
        <w:spacing w:before="0" w:after="0" w:line="85"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铜山区成品油税控联网监管系统项目</w:t>
      </w:r>
      <w:r>
        <w:rPr>
          <w:rFonts w:hint="default" w:ascii="宋体" w:hAnsi="宋体" w:eastAsia="宋体" w:cs="宋体"/>
          <w:color w:val="000000"/>
          <w:spacing w:val="6"/>
          <w:sz w:val="24"/>
        </w:rPr>
        <w:t xml:space="preserve"> </w:t>
      </w:r>
      <w:r/>
    </w:p>
    <w:p>
      <w:pPr>
        <w:ind w:left="0" w:right="0" w:firstLine="504"/>
        <w:jc w:val="both"/>
        <w:spacing w:before="0" w:after="0" w:line="47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JSZC-320312-JSZH-C2026-0076</w:t>
      </w:r>
      <w:r/>
    </w:p>
    <w:p>
      <w:pPr>
        <w:ind w:left="0" w:right="0" w:firstLine="504"/>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本公司</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（联合体）郑重声明，根据《政府采购促进中小企业发展管理办法》（财库[2020]46号）的规定，本公司参加（</w:t>
      </w:r>
      <w:r>
        <w:rPr>
          <w:rFonts w:hint="eastAsia" w:ascii="宋体" w:hAnsi="宋体" w:eastAsia="宋体" w:cs="宋体"/>
          <w:color w:val="000000"/>
          <w:spacing w:val="6"/>
          <w:sz w:val="24"/>
          <w:u w:val="single"/>
          <w:lang w:val="en-US" w:eastAsia="zh-CN"/>
        </w:rPr>
        <w:t xml:space="preserve">  单位名称  </w:t>
      </w:r>
      <w:r>
        <w:rPr>
          <w:rFonts w:hint="default" w:ascii="宋体" w:hAnsi="宋体" w:eastAsia="宋体" w:cs="宋体"/>
          <w:color w:val="000000"/>
          <w:spacing w:val="6"/>
          <w:sz w:val="24"/>
        </w:rPr>
        <w:t xml:space="preserve">）的（</w:t>
      </w:r>
      <w:r>
        <w:rPr>
          <w:rFonts w:hint="eastAsia" w:ascii="宋体" w:hAnsi="宋体" w:eastAsia="宋体" w:cs="宋体"/>
          <w:color w:val="000000"/>
          <w:spacing w:val="6"/>
          <w:sz w:val="24"/>
          <w:u w:val="single"/>
          <w:lang w:val="en-US" w:eastAsia="zh-CN"/>
        </w:rPr>
        <w:t xml:space="preserve"> 项目名称 </w:t>
      </w:r>
      <w:r>
        <w:rPr>
          <w:rFonts w:hint="default" w:ascii="宋体" w:hAnsi="宋体" w:eastAsia="宋体" w:cs="宋体"/>
          <w:color w:val="000000"/>
          <w:spacing w:val="6"/>
          <w:sz w:val="24"/>
        </w:rPr>
        <w:t xml:space="preserve">）采购活动，服务全部由符合政策要求的中小企业承接。相关企业（含联合体中的中小企业、签订分包意向协议的中小企业）的具体情况如下：</w:t>
      </w:r>
      <w:r/>
    </w:p>
    <w:p>
      <w:pPr>
        <w:ind w:left="0" w:right="0" w:firstLine="504"/>
        <w:jc w:val="both"/>
        <w:spacing w:before="0" w:after="0" w:line="479" w:lineRule="atLeast"/>
        <w:rPr>
          <w:rFonts w:hint="eastAsia" w:ascii="宋体" w:hAnsi="宋体" w:eastAsia="宋体" w:cs="宋体"/>
          <w:color w:val="000000"/>
          <w:spacing w:val="6"/>
          <w:sz w:val="24"/>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u w:val="single"/>
          <w:lang w:eastAsia="zh-CN"/>
        </w:rPr>
        <w:t xml:space="preserve">铜山区成品油税控联网监管系统项目</w:t>
      </w:r>
      <w:r>
        <w:rPr>
          <w:rFonts w:hint="default" w:ascii="宋体" w:hAnsi="宋体" w:eastAsia="宋体" w:cs="宋体"/>
          <w:color w:val="000000"/>
          <w:spacing w:val="6"/>
          <w:sz w:val="24"/>
        </w:rPr>
        <w:t xml:space="preserve">），属于（</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rPr>
        <w:t xml:space="preserve">）</w:t>
      </w:r>
      <w:r>
        <w:rPr>
          <w:rFonts w:hint="eastAsia" w:ascii="宋体" w:hAnsi="宋体" w:eastAsia="宋体" w:cs="宋体"/>
          <w:color w:val="000000"/>
          <w:spacing w:val="6"/>
          <w:sz w:val="24"/>
          <w:lang w:eastAsia="zh-CN"/>
        </w:rPr>
        <w:t xml:space="preserve">行业</w:t>
      </w:r>
      <w:r>
        <w:rPr>
          <w:rFonts w:hint="default" w:ascii="宋体" w:hAnsi="宋体" w:eastAsia="宋体" w:cs="宋体"/>
          <w:color w:val="000000"/>
          <w:spacing w:val="6"/>
          <w:sz w:val="24"/>
        </w:rPr>
        <w:t xml:space="preserve">；承建（承建）企业为（</w:t>
      </w:r>
      <w:r>
        <w:rPr>
          <w:rFonts w:hint="default" w:ascii="宋体" w:hAnsi="宋体" w:eastAsia="宋体" w:cs="宋体"/>
          <w:color w:val="000000"/>
          <w:spacing w:val="6"/>
          <w:sz w:val="24"/>
          <w:u w:val="single"/>
        </w:rPr>
        <w:t xml:space="preserve">企 业 名 称</w:t>
      </w:r>
      <w:r>
        <w:rPr>
          <w:rFonts w:hint="default" w:ascii="宋体" w:hAnsi="宋体" w:eastAsia="宋体" w:cs="宋体"/>
          <w:color w:val="000000"/>
          <w:spacing w:val="6"/>
          <w:sz w:val="24"/>
        </w:rPr>
        <w:t xml:space="preserve">），从业人员（</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）人，营业收入为（</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万元），资产总额为（</w:t>
      </w:r>
      <w:r>
        <w:rPr>
          <w:rFonts w:hint="default" w:ascii="宋体" w:hAnsi="宋体" w:eastAsia="宋体" w:cs="宋体"/>
          <w:color w:val="000000"/>
          <w:spacing w:val="6"/>
          <w:sz w:val="24"/>
          <w:u w:val="single"/>
        </w:rPr>
        <w:t xml:space="preserve"> </w:t>
      </w:r>
      <w:r>
        <w:rPr>
          <w:rFonts w:hint="eastAsia" w:ascii="宋体" w:hAnsi="宋体" w:eastAsia="宋体" w:cs="宋体"/>
          <w:color w:val="000000"/>
          <w:spacing w:val="6"/>
          <w:sz w:val="24"/>
          <w:u w:val="single"/>
          <w:lang w:val="en-US" w:eastAsia="zh-CN"/>
        </w:rPr>
        <w:t xml:space="preserve">  </w:t>
      </w:r>
      <w:r>
        <w:rPr>
          <w:rFonts w:hint="default" w:ascii="宋体" w:hAnsi="宋体" w:eastAsia="宋体" w:cs="宋体"/>
          <w:color w:val="000000"/>
          <w:spacing w:val="6"/>
          <w:sz w:val="24"/>
          <w:u w:val="single"/>
        </w:rPr>
        <w:t xml:space="preserve"> </w:t>
      </w:r>
      <w:r>
        <w:rPr>
          <w:rFonts w:hint="default" w:ascii="宋体" w:hAnsi="宋体" w:eastAsia="宋体" w:cs="宋体"/>
          <w:color w:val="000000"/>
          <w:spacing w:val="6"/>
          <w:sz w:val="24"/>
        </w:rPr>
        <w:t xml:space="preserve">万元），属于（□中型企业、□小型企业、□微型企业,请勾选！）</w:t>
      </w:r>
      <w:r>
        <w:rPr>
          <w:rFonts w:hint="eastAsia" w:ascii="宋体" w:hAnsi="宋体" w:eastAsia="宋体" w:cs="宋体"/>
          <w:color w:val="000000"/>
          <w:spacing w:val="6"/>
          <w:sz w:val="24"/>
          <w:lang w:eastAsia="zh-CN"/>
        </w:rPr>
        <w:t xml:space="preserve">。</w:t>
      </w:r>
      <w:r/>
    </w:p>
    <w:p>
      <w:pPr>
        <w:ind w:left="0" w:right="0" w:firstLine="504"/>
        <w:jc w:val="both"/>
        <w:spacing w:before="0" w:after="0" w:line="479" w:lineRule="atLeast"/>
        <w:rPr>
          <w:rFonts w:hint="default"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本企业对上述声明内容的真实性负责。如有虚假，将依法承担相应责任。</w:t>
      </w:r>
      <w:r/>
    </w:p>
    <w:p>
      <w:pPr>
        <w:ind w:left="0" w:right="0" w:firstLine="600"/>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0" w:firstLine="480"/>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 期：</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注：本项目采购项目属性为：</w:t>
      </w:r>
      <w:r>
        <w:rPr>
          <w:rFonts w:hint="eastAsia" w:ascii="宋体" w:hAnsi="宋体" w:eastAsia="宋体" w:cs="宋体"/>
          <w:b/>
          <w:color w:val="000000"/>
          <w:sz w:val="24"/>
          <w:lang w:eastAsia="zh-CN"/>
        </w:rPr>
        <w:t xml:space="preserve">其他</w:t>
      </w:r>
      <w:r>
        <w:rPr>
          <w:rFonts w:hint="eastAsia" w:ascii="宋体" w:hAnsi="宋体" w:eastAsia="宋体" w:cs="宋体"/>
          <w:b/>
          <w:color w:val="000000"/>
          <w:sz w:val="24"/>
          <w:lang w:val="en-US" w:eastAsia="zh-CN"/>
        </w:rPr>
        <w:t xml:space="preserve">未列明行业</w:t>
      </w:r>
      <w:r>
        <w:rPr>
          <w:rFonts w:hint="default" w:ascii="宋体" w:hAnsi="宋体" w:eastAsia="宋体" w:cs="宋体"/>
          <w:b/>
          <w:color w:val="000000"/>
          <w:sz w:val="24"/>
        </w:rPr>
        <w:t xml:space="preserve">。</w:t>
      </w:r>
      <w:r/>
    </w:p>
    <w:p>
      <w:pPr>
        <w:ind w:left="0" w:right="0" w:firstLine="482"/>
        <w:jc w:val="both"/>
        <w:spacing w:before="0" w:after="0" w:line="47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10、供应商参加政府采购活动前3年内在经营活动中没有重大违法记录的书面声明</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我单位在参加</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keepLines w:val="0"/>
        <w:keepNext w:val="0"/>
        <w:pageBreakBefore w:val="0"/>
        <w:spacing w:before="100" w:after="10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我单位对上述声明的真实性负责。如有虚假，将依法承担相应责任。</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供应商（电子签章）：</w:t>
      </w:r>
      <w:r/>
    </w:p>
    <w:p>
      <w:pPr>
        <w:ind w:left="0" w:right="29" w:firstLine="0"/>
        <w:jc w:val="both"/>
        <w:keepLines w:val="0"/>
        <w:keepNext w:val="0"/>
        <w:pageBreakBefore w:val="0"/>
        <w:spacing w:before="0" w:after="0" w:line="360" w:lineRule="auto"/>
        <w:widowControl w:val="off"/>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日期：</w:t>
      </w:r>
      <w:r/>
    </w:p>
    <w:p>
      <w:pPr>
        <w:ind w:left="239" w:right="0" w:firstLine="2640"/>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239" w:right="0" w:firstLine="2640"/>
        <w:spacing w:before="100" w:after="10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u w:val="none"/>
        </w:rPr>
        <w:t xml:space="preserve">11、残疾人福利性单位声明函</w:t>
      </w:r>
      <w:r/>
    </w:p>
    <w:p>
      <w:pPr>
        <w:ind w:left="0" w:right="0" w:firstLine="0"/>
        <w:jc w:val="center"/>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（注：如供应商不属于残疾人福利性单位，不需提供此声明函）</w:t>
      </w:r>
      <w:r/>
    </w:p>
    <w:p>
      <w:pPr>
        <w:ind w:left="0" w:right="0" w:firstLine="0"/>
        <w:jc w:val="center"/>
        <w:spacing w:before="0" w:after="0" w:line="519"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项目编号： </w:t>
      </w:r>
      <w:r>
        <w:rPr>
          <w:rFonts w:hint="eastAsia" w:ascii="宋体" w:hAnsi="宋体" w:eastAsia="宋体" w:cs="宋体"/>
          <w:color w:val="000000"/>
          <w:sz w:val="24"/>
          <w:lang w:eastAsia="zh-CN"/>
        </w:rPr>
        <w:t xml:space="preserve">JSZC-320312-JSZH-C2026-0076</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本单位郑重声明，根据《财政部 民政部 中国残疾人联合会关于促进残疾人就业政府采购政策的通知》（财库</w:t>
      </w:r>
      <w:r>
        <w:rPr>
          <w:rFonts w:hint="default" w:ascii="宋体" w:hAnsi="宋体" w:eastAsia="宋体" w:cs="宋体"/>
          <w:color w:val="000000"/>
          <w:sz w:val="24"/>
        </w:rPr>
        <w:t xml:space="preserve">〔2017〕141</w:t>
      </w:r>
      <w:r>
        <w:rPr>
          <w:rFonts w:hint="default" w:ascii="宋体" w:hAnsi="宋体" w:eastAsia="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本单位对上述声明的真实性负责。如有虚假，将依法承担相应责任。</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0" w:firstLine="504"/>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供应商</w:t>
      </w:r>
      <w:r>
        <w:rPr>
          <w:rFonts w:hint="default" w:ascii="宋体" w:hAnsi="宋体" w:eastAsia="宋体" w:cs="宋体"/>
          <w:color w:val="000000"/>
          <w:spacing w:val="6"/>
          <w:sz w:val="24"/>
        </w:rPr>
        <w:t xml:space="preserve">（电子签章）：</w:t>
      </w:r>
      <w:r/>
    </w:p>
    <w:p>
      <w:pPr>
        <w:ind w:left="0" w:right="1560" w:firstLine="504"/>
        <w:jc w:val="center"/>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pacing w:val="6"/>
          <w:sz w:val="24"/>
        </w:rPr>
        <w:t xml:space="preserve">       </w:t>
      </w:r>
      <w:r>
        <w:rPr>
          <w:rFonts w:hint="eastAsia" w:ascii="宋体" w:hAnsi="宋体" w:eastAsia="宋体" w:cs="宋体"/>
          <w:color w:val="000000"/>
          <w:spacing w:val="6"/>
          <w:sz w:val="24"/>
          <w:lang w:val="en-US" w:eastAsia="zh-CN"/>
        </w:rPr>
        <w:t xml:space="preserve">    </w:t>
      </w:r>
      <w:r>
        <w:rPr>
          <w:rFonts w:hint="default" w:ascii="宋体" w:hAnsi="宋体" w:eastAsia="宋体" w:cs="宋体"/>
          <w:color w:val="000000"/>
          <w:spacing w:val="6"/>
          <w:sz w:val="24"/>
        </w:rPr>
        <w:t xml:space="preserve">日期：</w:t>
      </w:r>
      <w:r/>
    </w:p>
    <w:p>
      <w:pPr>
        <w:ind w:left="0" w:right="0" w:firstLine="0"/>
        <w:jc w:val="both"/>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供应商提供的《残疾人福利性单位声明函》与事实不符的，依照《政府采购法》第七十七条第一款的规定追究法律责任。</w:t>
      </w:r>
      <w:r/>
    </w:p>
    <w:p>
      <w:pPr>
        <w:ind w:left="0" w:right="0" w:firstLine="600"/>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30"/>
        </w:rPr>
        <w:t xml:space="preserve"> </w:t>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line="587"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12、具备履行合同所必需的设备和专业技术能力的书面声明（附证明材料）格式</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项目编号：</w:t>
      </w:r>
      <w:r/>
    </w:p>
    <w:p>
      <w:pPr>
        <w:ind w:left="0" w:right="0" w:firstLine="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项目名称：</w:t>
      </w:r>
      <w:r/>
    </w:p>
    <w:p>
      <w:pPr>
        <w:ind w:left="0" w:right="0" w:firstLine="56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供应商郑重声明：投标人具备履行合同（项目名称：</w:t>
      </w:r>
      <w:r>
        <w:rPr>
          <w:rFonts w:hint="eastAsia" w:ascii="宋体" w:hAnsi="宋体" w:eastAsia="宋体" w:cs="宋体"/>
          <w:color w:val="000000"/>
          <w:sz w:val="24"/>
          <w:lang w:eastAsia="zh-CN"/>
        </w:rPr>
        <w:t xml:space="preserve">铜山区成品油税控联网监管系统项目</w:t>
      </w:r>
      <w:r>
        <w:rPr>
          <w:rFonts w:hint="default"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JSZC-320312-JSZH-C2026-0076）</w:t>
      </w:r>
      <w:r>
        <w:rPr>
          <w:rFonts w:hint="default" w:ascii="宋体" w:hAnsi="宋体" w:eastAsia="宋体" w:cs="宋体"/>
          <w:color w:val="000000"/>
          <w:sz w:val="24"/>
        </w:rPr>
        <w:t xml:space="preserve">所必需的设备和专业技术能力， 具体为：</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设备：</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专业技术能力：</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3、（证明材料扫描件附后）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特此声明。</w:t>
      </w:r>
      <w:r/>
    </w:p>
    <w:p>
      <w:pPr>
        <w:ind w:left="0" w:right="0" w:firstLine="0"/>
        <w:jc w:val="both"/>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供应商对上述声明的真实性负责。如有虚假，将依法承担相应责任。</w:t>
      </w:r>
      <w:r/>
    </w:p>
    <w:p>
      <w:pPr>
        <w:ind w:left="0" w:right="29" w:firstLine="0"/>
        <w:jc w:val="right"/>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w:t>
      </w:r>
      <w:r>
        <w:rPr>
          <w:rFonts w:hint="default" w:ascii="宋体" w:hAnsi="宋体" w:eastAsia="宋体" w:cs="宋体"/>
          <w:color w:val="000000"/>
          <w:sz w:val="24"/>
        </w:rPr>
        <w:t xml:space="preserve">（电子签章）：</w:t>
      </w:r>
      <w:r/>
    </w:p>
    <w:p>
      <w:pPr>
        <w:ind w:left="0" w:right="29" w:firstLine="0"/>
        <w:jc w:val="center"/>
        <w:spacing w:before="0" w:after="0" w:line="460"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default" w:ascii="宋体" w:hAnsi="宋体" w:eastAsia="宋体" w:cs="宋体"/>
          <w:color w:val="000000"/>
          <w:sz w:val="24"/>
        </w:rPr>
        <w:t xml:space="preserve">日</w:t>
      </w:r>
      <w:r/>
    </w:p>
    <w:p>
      <w:pPr>
        <w:ind w:left="0" w:right="0" w:firstLine="56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highlight w:val="white"/>
        </w:rPr>
        <w:t xml:space="preserve"> </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numPr>
          <w:ilvl w:val="0"/>
          <w:numId w:val="14"/>
        </w:numPr>
        <w:ind w:left="0" w:right="0" w:firstLine="0"/>
        <w:jc w:val="center"/>
        <w:spacing w:before="0" w:after="0"/>
        <w:rPr>
          <w:rFonts w:hint="default"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项目人员配备表</w:t>
      </w:r>
      <w:r/>
    </w:p>
    <w:p>
      <w:pPr>
        <w:pStyle w:val="788"/>
        <w:ind w:left="1200" w:right="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ind w:left="1200" w:hanging="120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项目人员配备表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5"/>
        <w:gridCol w:w="2577"/>
        <w:gridCol w:w="1715"/>
        <w:gridCol w:w="1716"/>
        <w:gridCol w:w="1717"/>
      </w:tblGrid>
      <w:tr>
        <w:trPr>
          <w:jc w:val="center"/>
          <w:tblCellSpacing w:w="0" w:type="dxa"/>
          <w:trHeight w:val="434"/>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人员类型</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备注</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41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7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8" w:name="OLE_LINK19"/>
      <w:r>
        <w:rPr>
          <w:rFonts w:hint="eastAsia" w:ascii="宋体" w:hAnsi="宋体" w:eastAsia="宋体" w:cs="宋体"/>
          <w:color w:val="000000"/>
          <w:sz w:val="24"/>
          <w:szCs w:val="24"/>
        </w:rPr>
        <w:t xml:space="preserve">注：</w:t>
      </w:r>
      <w:bookmarkEnd w:id="38"/>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1.按照上表人员顺序提供相关职称证书原件扫描件及为其缴纳近3个月内任意1月（不含开标当月）社会保险的社保证明材料并加盖公章。</w:t>
      </w:r>
      <w:r/>
    </w:p>
    <w:p>
      <w:pPr>
        <w:pStyle w:val="788"/>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2.表格不够可自行延长。</w:t>
      </w:r>
      <w:r/>
    </w:p>
    <w:p>
      <w:pPr>
        <w:pStyle w:val="78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39" w:name="_Toc16464"/>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日期： 年 月 日</w:t>
      </w:r>
      <w:bookmarkEnd w:id="39"/>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numPr>
          <w:ilvl w:val="0"/>
          <w:numId w:val="14"/>
        </w:numPr>
        <w:ind w:left="0" w:right="0" w:firstLine="0"/>
        <w:jc w:val="center"/>
        <w:spacing w:before="0" w:after="0"/>
        <w:rPr>
          <w:rFonts w:hint="default"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业绩一览表</w:t>
      </w:r>
      <w:r/>
    </w:p>
    <w:tbl>
      <w:tblPr>
        <w:tblStyle w:val="77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1628"/>
        <w:gridCol w:w="1513"/>
        <w:gridCol w:w="1833"/>
        <w:gridCol w:w="1179"/>
        <w:gridCol w:w="1590"/>
      </w:tblGrid>
      <w:tr>
        <w:trPr>
          <w:jc w:val="cente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项目金额</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业主单位</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合同日期</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合同内容</w:t>
            </w:r>
            <w:r/>
          </w:p>
        </w:tc>
      </w:tr>
      <w:tr>
        <w:trPr>
          <w:jc w:val="center"/>
          <w:tblCellSpacing w:w="0" w:type="dxa"/>
          <w:trHeight w:val="558"/>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685"/>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18"/>
                <w:szCs w:val="1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9"/>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1"/>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jc w:val="center"/>
          <w:tblCellSpacing w:w="0" w:type="dxa"/>
          <w:trHeight w:val="554"/>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88"/>
        <w:jc w:val="both"/>
        <w:keepLines w:val="0"/>
        <w:keepNext w:val="0"/>
        <w:spacing w:before="156"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注：请将合同或证明资料复印件附至本表后。</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firstLine="2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bookmarkStart w:id="40" w:name="_Toc17568"/>
      <w:r>
        <w:rPr>
          <w:rFonts w:hint="eastAsia" w:ascii="宋体" w:hAnsi="宋体" w:eastAsia="宋体" w:cs="宋体"/>
          <w:color w:val="000000"/>
          <w:sz w:val="24"/>
          <w:szCs w:val="24"/>
        </w:rPr>
        <w:t xml:space="preserve">日期： 年 月 日</w:t>
      </w:r>
      <w:bookmarkEnd w:id="40"/>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t xml:space="preserve">安全管理承诺书</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rPr>
          <w:rFonts w:hint="eastAsia" w:ascii="宋体" w:hAnsi="宋体" w:eastAsia="宋体" w:cs="宋体"/>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r>
      <w:r/>
    </w:p>
    <w:p>
      <w:pPr>
        <w:pStyle w:val="788"/>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格式自拟</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供应商（电子签章）：</w:t>
      </w:r>
      <w:r/>
    </w:p>
    <w:p>
      <w:pPr>
        <w:pStyle w:val="788"/>
        <w:ind w:left="0" w:right="1559" w:firstLine="505"/>
        <w:jc w:val="center"/>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日  期：</w:t>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numPr>
          <w:ilvl w:val="0"/>
          <w:numId w:val="14"/>
        </w:numPr>
        <w:ind w:left="0" w:firstLine="0"/>
        <w:jc w:val="center"/>
        <w:keepLines w:val="0"/>
        <w:keepNext w:val="0"/>
        <w:pageBreakBefore w:val="0"/>
        <w:spacing w:beforeAutospacing="0" w:line="360" w:lineRule="auto"/>
        <w:rPr>
          <w:rFonts w:hint="default" w:ascii="宋体" w:hAnsi="宋体" w:eastAsia="宋体" w:cs="宋体"/>
          <w:b/>
          <w:color w:val="000000"/>
          <w:sz w:val="36"/>
          <w:szCs w:val="28"/>
          <w:lang w:val="en-US" w:eastAsia="zh-CN" w:bidi="ar-SA"/>
        </w:rPr>
      </w:pPr>
      <w:r>
        <w:rPr>
          <w:rFonts w:hint="default" w:ascii="宋体" w:hAnsi="宋体" w:eastAsia="宋体" w:cs="宋体"/>
          <w:b/>
          <w:color w:val="000000"/>
          <w:sz w:val="36"/>
          <w:szCs w:val="28"/>
          <w:lang w:val="en-US" w:eastAsia="zh-CN" w:bidi="ar-SA"/>
        </w:rPr>
        <w:t xml:space="preserve">供应商相关承诺</w:t>
      </w:r>
      <w:r/>
    </w:p>
    <w:p>
      <w:pPr>
        <w:pStyle w:val="788"/>
        <w:ind w:left="0" w:right="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我单位承诺：</w:t>
      </w:r>
      <w:r/>
    </w:p>
    <w:p>
      <w:pPr>
        <w:pStyle w:val="788"/>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88"/>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如有参与同一合同项下政府采购活动的供应商与我单位存在负责人为同一人的情况或者存在直接控股、管理关系，我单位不再参加该同一合同项下的政府采购活动。</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8"/>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我单位对上述承诺负责，并依法承担相应责任。</w:t>
      </w:r>
      <w:r/>
    </w:p>
    <w:p>
      <w:pPr>
        <w:pStyle w:val="788"/>
        <w:ind w:left="0" w:firstLine="300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420" w:firstLine="480"/>
        <w:jc w:val="both"/>
        <w:keepLines w:val="0"/>
        <w:keepNext w:val="0"/>
        <w:pageBreakBefore w:val="0"/>
        <w:spacing w:before="0" w:beforeAutospacing="0" w:after="12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 </w:t>
      </w:r>
      <w:r/>
    </w:p>
    <w:p>
      <w:pPr>
        <w:pStyle w:val="788"/>
        <w:ind w:left="0" w:firstLine="3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ind w:left="0" w:right="0" w:firstLine="0"/>
        <w:jc w:val="center"/>
        <w:spacing w:before="0" w:after="0"/>
        <w:rPr>
          <w:rFonts w:hint="eastAsia" w:ascii="宋体" w:hAnsi="宋体" w:eastAsia="宋体" w:cs="宋体"/>
          <w:b/>
          <w:color w:val="000000"/>
          <w:sz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jc w:val="cente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lang w:val="en-US" w:eastAsia="zh-CN"/>
        </w:rPr>
      </w:pPr>
      <w:r>
        <w:rPr>
          <w:rFonts w:hint="eastAsia"/>
          <w:lang w:val="en-US" w:eastAsia="zh-CN"/>
        </w:rPr>
      </w:r>
      <w:r/>
    </w:p>
    <w:p>
      <w:pPr>
        <w:jc w:val="both"/>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numPr>
          <w:ilvl w:val="0"/>
          <w:numId w:val="14"/>
        </w:numPr>
        <w:ind w:left="0" w:firstLine="0"/>
        <w:jc w:val="center"/>
        <w:rPr>
          <w:rFonts w:hint="eastAsia" w:ascii="宋体" w:hAnsi="宋体" w:eastAsia="宋体" w:cs="宋体"/>
          <w:b/>
          <w:color w:val="000000"/>
          <w:sz w:val="36"/>
          <w:szCs w:val="28"/>
          <w:lang w:val="en-US" w:eastAsia="zh-CN" w:bidi="ar-SA"/>
        </w:rPr>
      </w:pPr>
      <w:r>
        <w:rPr>
          <w:rFonts w:hint="eastAsia" w:ascii="宋体" w:hAnsi="宋体" w:eastAsia="宋体" w:cs="宋体"/>
          <w:b/>
          <w:color w:val="000000"/>
          <w:sz w:val="36"/>
          <w:szCs w:val="28"/>
          <w:lang w:val="en-US" w:eastAsia="zh-CN" w:bidi="ar-SA"/>
        </w:rPr>
        <w:t xml:space="preserve">供应商书面说明</w:t>
      </w:r>
      <w:r/>
    </w:p>
    <w:p>
      <w:pPr>
        <w:rPr>
          <w:rFonts w:hint="eastAsia"/>
          <w:lang w:val="en-US" w:eastAsia="zh-CN"/>
        </w:rPr>
      </w:pPr>
      <w:r>
        <w:rPr>
          <w:rFonts w:hint="eastAsia"/>
          <w:lang w:val="en-US" w:eastAsia="zh-CN"/>
        </w:rPr>
      </w:r>
      <w:r/>
    </w:p>
    <w:p>
      <w:pPr>
        <w:pStyle w:val="788"/>
        <w:ind w:left="0" w:right="0"/>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特此声明。</w:t>
      </w:r>
      <w:r/>
    </w:p>
    <w:p>
      <w:pPr>
        <w:pStyle w:val="788"/>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我单位对上述声明的真实性负责。如有虚假，将依法承担相应责任。</w:t>
      </w:r>
      <w:r/>
    </w:p>
    <w:p>
      <w:pPr>
        <w:pStyle w:val="788"/>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300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48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供应商（电子签章）：</w:t>
      </w:r>
      <w:r/>
    </w:p>
    <w:p>
      <w:pPr>
        <w:pStyle w:val="788"/>
        <w:ind w:left="0" w:firstLine="28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pStyle w:val="764"/>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rPr>
          <w:rFonts w:hint="eastAsia" w:ascii="宋体" w:hAnsi="宋体" w:eastAsia="宋体" w:cs="宋体"/>
          <w:b/>
          <w:color w:val="000000"/>
          <w:sz w:val="36"/>
          <w:lang w:val="en-US" w:eastAsia="zh-CN"/>
        </w:rPr>
      </w:pPr>
      <w:r>
        <w:rPr>
          <w:rFonts w:hint="eastAsia" w:ascii="宋体" w:hAnsi="宋体" w:eastAsia="宋体" w:cs="宋体"/>
          <w:b/>
          <w:color w:val="000000"/>
          <w:sz w:val="36"/>
          <w:lang w:val="en-US" w:eastAsia="zh-CN"/>
        </w:rPr>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18、</w:t>
      </w:r>
      <w:r>
        <w:rPr>
          <w:rFonts w:hint="default" w:ascii="宋体" w:hAnsi="宋体" w:eastAsia="宋体" w:cs="宋体"/>
          <w:b/>
          <w:color w:val="000000"/>
          <w:sz w:val="36"/>
        </w:rPr>
        <w:t xml:space="preserve">预付款保函支付条款模板</w:t>
      </w:r>
      <w:r/>
    </w:p>
    <w:p>
      <w:pPr>
        <w:ind w:left="0" w:right="0" w:firstLine="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付款条件一：提交预付款保函的</w:t>
      </w:r>
      <w:r/>
    </w:p>
    <w:p>
      <w:pPr>
        <w:ind w:left="0" w:right="0" w:firstLine="480"/>
        <w:jc w:val="both"/>
        <w:spacing w:before="0" w:after="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（1）合同签订且乙方向甲方出具预付款保函后个工作日内，甲方应支付合同价款的百分之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 XX </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付款条件二： 不提交预付款保函的</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（1）合同签订后个工作日内，甲方应支付合同价款的百分之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 （％）小写￥大写：人民币。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（2）验收合格后个工作日内，甲方应支付合同价款的百分之</w:t>
      </w:r>
      <w:r>
        <w:rPr>
          <w:rFonts w:hint="default" w:ascii="宋体" w:hAnsi="宋体" w:eastAsia="宋体" w:cs="宋体"/>
          <w:color w:val="000000"/>
          <w:sz w:val="24"/>
          <w:u w:val="single"/>
        </w:rPr>
        <w:t xml:space="preserve">XX</w:t>
      </w:r>
      <w:r>
        <w:rPr>
          <w:rFonts w:hint="default" w:ascii="宋体" w:hAnsi="宋体" w:eastAsia="宋体" w:cs="宋体"/>
          <w:color w:val="000000"/>
          <w:sz w:val="24"/>
        </w:rPr>
        <w:t xml:space="preserve">（％）小写￥大写：人民币。</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0" w:right="0" w:firstLine="480"/>
        <w:jc w:val="both"/>
        <w:spacing w:before="210" w:after="12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 </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注：1、付款条件一中，出具预付款保函后支付的合同款应当与保函金额一致。</w:t>
      </w:r>
      <w:r/>
    </w:p>
    <w:p>
      <w:pPr>
        <w:ind w:left="420" w:right="33" w:firstLine="0"/>
        <w:spacing w:before="240" w:after="24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br w:type="page" w:clear="all"/>
      </w:r>
      <w:r/>
    </w:p>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6"/>
        </w:rPr>
        <w:t xml:space="preserve">1</w:t>
      </w:r>
      <w:r>
        <w:rPr>
          <w:rFonts w:hint="eastAsia" w:ascii="宋体" w:hAnsi="宋体" w:eastAsia="宋体" w:cs="宋体"/>
          <w:b/>
          <w:color w:val="000000"/>
          <w:sz w:val="36"/>
          <w:lang w:val="en-US" w:eastAsia="zh-CN"/>
        </w:rPr>
        <w:t xml:space="preserve">9</w:t>
      </w:r>
      <w:r>
        <w:rPr>
          <w:rFonts w:hint="default" w:ascii="宋体" w:hAnsi="宋体" w:eastAsia="宋体" w:cs="宋体"/>
          <w:b/>
          <w:color w:val="000000"/>
          <w:sz w:val="36"/>
        </w:rPr>
        <w:t xml:space="preserve">、代理服务收费标准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7"/>
        <w:gridCol w:w="3545"/>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7"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0.005%</w:t>
            </w:r>
            <w:r/>
          </w:p>
        </w:tc>
      </w:tr>
    </w:tbl>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说明：</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2.代理服务费按差额定率累进法计算。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3.代理服务费基准金额（按差额定率累进法计算的）=中标金额（按差额定率累进法计算的） * 费率（%）。</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4.代理服务费应收取金额=代理服务费基准金额（按差额定率累进法计算的）的合计数。</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5.定点类等无金额或事先不能计算出价格总额的项目，按中标（成交）金额100万元计算。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6.有分包（分标段）的按一个项目计算。</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7.以上价格为协会指导价，双方可根据项目难易程度和优质优价原则协商确定。</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8.账户信息：</w:t>
      </w:r>
      <w:r/>
    </w:p>
    <w:p>
      <w:pPr>
        <w:ind w:left="0" w:right="0" w:firstLine="561"/>
        <w:jc w:val="both"/>
        <w:spacing w:before="0" w:after="0" w:line="68" w:lineRule="atLeast"/>
        <w:rPr>
          <w:rFonts w:hint="default" w:ascii="Times New Roman" w:hAnsi="Times New Roman" w:eastAsia="宋体" w:cs="Times New Roman"/>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收款人：</w:t>
      </w:r>
      <w:r>
        <w:rPr>
          <w:rFonts w:hint="eastAsia" w:ascii="宋体" w:hAnsi="宋体" w:eastAsia="宋体" w:cs="宋体"/>
          <w:color w:val="000000"/>
          <w:sz w:val="24"/>
          <w:lang w:eastAsia="zh-CN"/>
        </w:rPr>
        <w:t xml:space="preserve">江苏智汇锡建工程项目管理有限公司</w:t>
      </w:r>
      <w:r>
        <w:rPr>
          <w:rFonts w:hint="eastAsia" w:ascii="宋体" w:hAnsi="宋体" w:eastAsia="宋体" w:cs="宋体"/>
          <w:color w:val="000000"/>
          <w:sz w:val="24"/>
          <w:lang w:val="en-US" w:eastAsia="zh-CN"/>
        </w:rPr>
        <w:t xml:space="preserve">启明分公司</w:t>
      </w:r>
      <w:r/>
    </w:p>
    <w:p>
      <w:pPr>
        <w:ind w:left="0" w:right="0" w:firstLine="561"/>
        <w:jc w:val="both"/>
        <w:spacing w:before="0" w:after="0" w:line="68"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开户银行：</w:t>
      </w:r>
      <w:r>
        <w:rPr>
          <w:rFonts w:hint="eastAsia" w:ascii="宋体" w:hAnsi="宋体" w:eastAsia="宋体" w:cs="宋体"/>
          <w:color w:val="000000"/>
          <w:sz w:val="24"/>
          <w:lang w:eastAsia="zh-CN"/>
        </w:rPr>
        <w:t xml:space="preserve">中国银行铜山支行</w:t>
      </w:r>
      <w:r/>
    </w:p>
    <w:p>
      <w:pPr>
        <w:ind w:left="0" w:right="0" w:firstLine="561"/>
        <w:jc w:val="both"/>
        <w:spacing w:before="0" w:after="0" w:line="68"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账号：</w:t>
      </w:r>
      <w:r>
        <w:rPr>
          <w:rFonts w:hint="eastAsia" w:ascii="宋体" w:hAnsi="宋体" w:eastAsia="宋体" w:cs="宋体"/>
          <w:color w:val="000000"/>
          <w:sz w:val="24"/>
          <w:lang w:eastAsia="zh-CN"/>
        </w:rPr>
        <w:t xml:space="preserve">459858206774</w:t>
      </w:r>
      <w:r>
        <w:rPr>
          <w:rFonts w:hint="default" w:ascii="Times New Roman" w:hAnsi="Times New Roman" w:eastAsia="Times New Roman" w:cs="Times New Roman"/>
          <w:color w:val="000000"/>
          <w:sz w:val="21"/>
        </w:rPr>
        <w:t xml:space="preserve"> </w:t>
      </w:r>
      <w:r/>
    </w:p>
    <w:p>
      <w:pPr>
        <w:rPr>
          <w:rFonts w:hint="default" w:ascii="Times New Roman" w:hAnsi="Times New Roman" w:eastAsia="宋体" w:cs="Times New Roman"/>
        </w:rPr>
      </w:pPr>
      <w:r>
        <w:rPr>
          <w:rFonts w:hint="default" w:ascii="Times New Roman" w:hAnsi="Times New Roman" w:eastAsia="宋体" w:cs="Times New Roman"/>
        </w:rPr>
      </w:r>
      <w:r/>
    </w:p>
    <w:p>
      <w:r/>
      <w:r/>
    </w:p>
    <w:sectPr>
      <w:headerReference w:type="default" r:id="rId9"/>
      <w:footerReference w:type="default" r:id="rId12"/>
      <w:footerReference w:type="first" r:id="rId13"/>
      <w:footnotePr/>
      <w:endnotePr/>
      <w:type w:val="nextPage"/>
      <w:pgSz w:w="11906" w:h="16838" w:orient="portrait"/>
      <w:pgMar w:top="1383" w:right="1440" w:bottom="1383"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eastAsia="宋体" w:cs="Times New Roman"/>
                            </w:rPr>
                          </w:pPr>
                          <w:r>
                            <w:rPr>
                              <w:rFonts w:ascii="Times New Roman" w:hAnsi="Times New Roman" w:eastAsia="宋体" w:cs="Times New Roma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58960"/>
      <w:lock w:val="sdtContentLocked"/>
      <w:rPr>
        <w:rFonts w:hint="default" w:ascii="Times New Roman" w:hAnsi="Times New Roman" w:eastAsia="宋体" w:cs="Times New Roman"/>
        <w:sz w:val="21"/>
        <w:szCs w:val="24"/>
        <w:lang w:val="en-US" w:eastAsia="zh-CN" w:bidi="ar-SA"/>
      </w:rPr>
    </w:sdtPr>
    <w:sdtContent>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66</w:t>
        </w:r>
        <w:r>
          <w:rPr>
            <w:rFonts w:hint="default" w:ascii="Times New Roman" w:hAnsi="Times New Roman" w:eastAsia="宋体" w:cs="Times New Roman"/>
            <w:sz w:val="18"/>
            <w:szCs w:val="18"/>
            <w:lang w:val="zh-CN" w:eastAsia="zh-CN" w:bidi="ar-SA"/>
          </w:rPr>
          <w:fldChar w:fldCharType="end"/>
        </w:r>
        <w:r/>
      </w:p>
    </w:sdtContent>
  </w:sd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65</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Times New Roman" w:hAnsi="Times New Roman" w:eastAsia="宋体" w:cs="Times New Roman"/>
        <w:iCs/>
        <w:sz w:val="18"/>
        <w:u w:val="single"/>
      </w:rPr>
    </w:pPr>
    <w:r>
      <w:rPr>
        <w:rFonts w:hint="default" w:ascii="Times New Roman" w:hAnsi="Times New Roman" w:eastAsia="宋体" w:cs="Times New Roman"/>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3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61">
    <w:name w:val="Heading 1"/>
    <w:basedOn w:val="760"/>
    <w:next w:val="760"/>
    <w:link w:val="794"/>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5"/>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796"/>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uiPriority w:val="9"/>
    <w:unhideWhenUsed/>
    <w:qFormat/>
    <w:pPr>
      <w:keepLines/>
      <w:keepNext/>
      <w:spacing w:before="80" w:after="40"/>
      <w:outlineLvl w:val="3"/>
    </w:pPr>
    <w:rPr>
      <w:rFonts w:cstheme="majorBidi"/>
      <w:color w:val="2e54a1" w:themeColor="accent1" w:themeShade="BF"/>
      <w:sz w:val="28"/>
      <w:szCs w:val="28"/>
    </w:rPr>
  </w:style>
  <w:style w:type="paragraph" w:styleId="765">
    <w:name w:val="Heading 5"/>
    <w:basedOn w:val="760"/>
    <w:next w:val="760"/>
    <w:link w:val="798"/>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79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1"/>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2"/>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0"/>
    <w:semiHidden/>
    <w:qFormat/>
  </w:style>
  <w:style w:type="table" w:styleId="771" w:default="1">
    <w:name w:val="Normal Table"/>
    <w:uiPriority w:val="0"/>
    <w:semiHidden/>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4">
    <w:name w:val="toc 5"/>
    <w:basedOn w:val="760"/>
    <w:next w:val="760"/>
    <w:uiPriority w:val="39"/>
    <w:unhideWhenUsed/>
    <w:qFormat/>
    <w:pPr>
      <w:ind w:left="1134" w:right="0" w:firstLine="0"/>
      <w:spacing w:after="57"/>
    </w:pPr>
  </w:style>
  <w:style w:type="paragraph" w:styleId="775">
    <w:name w:val="toc 3"/>
    <w:basedOn w:val="760"/>
    <w:next w:val="760"/>
    <w:uiPriority w:val="39"/>
    <w:unhideWhenUsed/>
    <w:qFormat/>
    <w:pPr>
      <w:ind w:left="567" w:right="0" w:firstLine="0"/>
      <w:spacing w:after="57"/>
    </w:pPr>
  </w:style>
  <w:style w:type="paragraph" w:styleId="776">
    <w:name w:val="toc 8"/>
    <w:basedOn w:val="760"/>
    <w:next w:val="760"/>
    <w:uiPriority w:val="39"/>
    <w:unhideWhenUsed/>
    <w:qFormat/>
    <w:pPr>
      <w:ind w:left="1984" w:right="0" w:firstLine="0"/>
      <w:spacing w:after="57"/>
    </w:pPr>
  </w:style>
  <w:style w:type="paragraph" w:styleId="777">
    <w:name w:val="endnote text"/>
    <w:basedOn w:val="760"/>
    <w:link w:val="940"/>
    <w:uiPriority w:val="99"/>
    <w:semiHidden/>
    <w:unhideWhenUsed/>
    <w:qFormat/>
    <w:pPr>
      <w:spacing w:after="0" w:line="240" w:lineRule="auto"/>
    </w:pPr>
    <w:rPr>
      <w:sz w:val="20"/>
    </w:rPr>
  </w:style>
  <w:style w:type="paragraph" w:styleId="778">
    <w:name w:val="Footer"/>
    <w:basedOn w:val="760"/>
    <w:link w:val="813"/>
    <w:uiPriority w:val="99"/>
    <w:unhideWhenUsed/>
    <w:qFormat/>
    <w:pPr>
      <w:spacing w:after="0" w:line="240" w:lineRule="auto"/>
      <w:tabs>
        <w:tab w:val="center" w:pos="7143" w:leader="none"/>
        <w:tab w:val="right" w:pos="14287" w:leader="none"/>
      </w:tabs>
    </w:pPr>
  </w:style>
  <w:style w:type="paragraph" w:styleId="779">
    <w:name w:val="Header"/>
    <w:basedOn w:val="760"/>
    <w:link w:val="811"/>
    <w:uiPriority w:val="99"/>
    <w:unhideWhenUsed/>
    <w:qFormat/>
    <w:pPr>
      <w:spacing w:after="0" w:line="240" w:lineRule="auto"/>
      <w:tabs>
        <w:tab w:val="center" w:pos="7143" w:leader="none"/>
        <w:tab w:val="right" w:pos="14287" w:leader="none"/>
      </w:tabs>
    </w:pPr>
  </w:style>
  <w:style w:type="paragraph" w:styleId="780">
    <w:name w:val="toc 1"/>
    <w:basedOn w:val="760"/>
    <w:next w:val="760"/>
    <w:uiPriority w:val="39"/>
    <w:unhideWhenUsed/>
    <w:qFormat/>
    <w:pPr>
      <w:ind w:left="0" w:right="0" w:firstLine="0"/>
      <w:spacing w:after="57"/>
    </w:pPr>
  </w:style>
  <w:style w:type="paragraph" w:styleId="781">
    <w:name w:val="toc 4"/>
    <w:basedOn w:val="760"/>
    <w:next w:val="760"/>
    <w:uiPriority w:val="39"/>
    <w:unhideWhenUsed/>
    <w:qFormat/>
    <w:pPr>
      <w:ind w:left="850" w:right="0" w:firstLine="0"/>
      <w:spacing w:after="57"/>
    </w:pPr>
  </w:style>
  <w:style w:type="paragraph" w:styleId="782">
    <w:name w:val="Subtitle"/>
    <w:basedOn w:val="760"/>
    <w:next w:val="760"/>
    <w:link w:val="806"/>
    <w:uiPriority w:val="11"/>
    <w:qFormat/>
    <w:pPr>
      <w:spacing w:before="200" w:after="200"/>
    </w:pPr>
    <w:rPr>
      <w:sz w:val="24"/>
      <w:szCs w:val="24"/>
    </w:rPr>
  </w:style>
  <w:style w:type="paragraph" w:styleId="783">
    <w:name w:val="footnote text"/>
    <w:basedOn w:val="760"/>
    <w:link w:val="939"/>
    <w:uiPriority w:val="99"/>
    <w:semiHidden/>
    <w:unhideWhenUsed/>
    <w:qFormat/>
    <w:pPr>
      <w:spacing w:after="40" w:line="240" w:lineRule="auto"/>
    </w:pPr>
    <w:rPr>
      <w:sz w:val="18"/>
    </w:rPr>
  </w:style>
  <w:style w:type="paragraph" w:styleId="784">
    <w:name w:val="toc 6"/>
    <w:basedOn w:val="760"/>
    <w:next w:val="760"/>
    <w:uiPriority w:val="39"/>
    <w:unhideWhenUsed/>
    <w:qFormat/>
    <w:pPr>
      <w:ind w:left="1417" w:right="0" w:firstLine="0"/>
      <w:spacing w:after="57"/>
    </w:pPr>
  </w:style>
  <w:style w:type="paragraph" w:styleId="785">
    <w:name w:val="table of figures"/>
    <w:basedOn w:val="760"/>
    <w:next w:val="760"/>
    <w:uiPriority w:val="99"/>
    <w:unhideWhenUsed/>
    <w:qFormat/>
    <w:pPr>
      <w:spacing w:after="0" w:afterAutospacing="0"/>
    </w:pPr>
  </w:style>
  <w:style w:type="paragraph" w:styleId="786">
    <w:name w:val="toc 2"/>
    <w:basedOn w:val="760"/>
    <w:next w:val="760"/>
    <w:uiPriority w:val="39"/>
    <w:unhideWhenUsed/>
    <w:qFormat/>
    <w:pPr>
      <w:ind w:left="283" w:right="0" w:firstLine="0"/>
      <w:spacing w:after="57"/>
    </w:pPr>
  </w:style>
  <w:style w:type="paragraph" w:styleId="787">
    <w:name w:val="toc 9"/>
    <w:basedOn w:val="760"/>
    <w:next w:val="760"/>
    <w:uiPriority w:val="39"/>
    <w:unhideWhenUsed/>
    <w:qFormat/>
    <w:pPr>
      <w:ind w:left="2268" w:right="0" w:firstLine="0"/>
      <w:spacing w:after="57"/>
    </w:pPr>
  </w:style>
  <w:style w:type="paragraph" w:styleId="788">
    <w:name w:val="Normal (Web)"/>
    <w:basedOn w:val="760"/>
    <w:uiPriority w:val="0"/>
    <w:qFormat/>
    <w:pPr>
      <w:ind w:left="0" w:right="0"/>
      <w:jc w:val="left"/>
      <w:spacing w:before="0" w:beforeAutospacing="1" w:after="0" w:afterAutospacing="1"/>
    </w:pPr>
    <w:rPr>
      <w:sz w:val="24"/>
      <w:lang w:val="en-US" w:eastAsia="zh-CN" w:bidi="ar"/>
    </w:rPr>
  </w:style>
  <w:style w:type="paragraph" w:styleId="789">
    <w:name w:val="Title"/>
    <w:basedOn w:val="760"/>
    <w:next w:val="760"/>
    <w:link w:val="805"/>
    <w:uiPriority w:val="10"/>
    <w:qFormat/>
    <w:pPr>
      <w:contextualSpacing/>
      <w:spacing w:before="300" w:after="200"/>
    </w:pPr>
    <w:rPr>
      <w:sz w:val="48"/>
      <w:szCs w:val="48"/>
    </w:rPr>
  </w:style>
  <w:style w:type="table" w:styleId="79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basedOn w:val="770"/>
    <w:uiPriority w:val="99"/>
    <w:semiHidden/>
    <w:unhideWhenUsed/>
    <w:qFormat/>
    <w:rPr>
      <w:vertAlign w:val="superscript"/>
    </w:rPr>
  </w:style>
  <w:style w:type="character" w:styleId="792">
    <w:name w:val="Hyperlink"/>
    <w:uiPriority w:val="99"/>
    <w:unhideWhenUsed/>
    <w:qFormat/>
    <w:rPr>
      <w:color w:val="0026e5" w:themeColor="hyperlink"/>
      <w:u w:val="single"/>
      <w14:textFill>
        <w14:solidFill>
          <w14:schemeClr w14:val="hlink"/>
        </w14:solidFill>
      </w14:textFill>
    </w:rPr>
  </w:style>
  <w:style w:type="character" w:styleId="793">
    <w:name w:val="footnote reference"/>
    <w:basedOn w:val="770"/>
    <w:uiPriority w:val="99"/>
    <w:unhideWhenUsed/>
    <w:qFormat/>
    <w:rPr>
      <w:vertAlign w:val="superscript"/>
    </w:rPr>
  </w:style>
  <w:style w:type="character" w:styleId="794" w:customStyle="1">
    <w:name w:val="Heading 1 Char"/>
    <w:basedOn w:val="770"/>
    <w:link w:val="761"/>
    <w:uiPriority w:val="9"/>
    <w:qFormat/>
    <w:rPr>
      <w:rFonts w:ascii="Arial" w:hAnsi="Arial" w:eastAsia="Arial" w:cs="Arial"/>
      <w:sz w:val="40"/>
      <w:szCs w:val="40"/>
    </w:rPr>
  </w:style>
  <w:style w:type="character" w:styleId="795" w:customStyle="1">
    <w:name w:val="Heading 2 Char"/>
    <w:basedOn w:val="770"/>
    <w:link w:val="762"/>
    <w:uiPriority w:val="9"/>
    <w:qFormat/>
    <w:rPr>
      <w:rFonts w:ascii="Arial" w:hAnsi="Arial" w:eastAsia="Arial" w:cs="Arial"/>
      <w:sz w:val="34"/>
    </w:rPr>
  </w:style>
  <w:style w:type="character" w:styleId="796" w:customStyle="1">
    <w:name w:val="Heading 3 Char"/>
    <w:basedOn w:val="770"/>
    <w:link w:val="763"/>
    <w:uiPriority w:val="9"/>
    <w:qFormat/>
    <w:rPr>
      <w:rFonts w:ascii="Arial" w:hAnsi="Arial" w:eastAsia="Arial" w:cs="Arial"/>
      <w:sz w:val="30"/>
      <w:szCs w:val="30"/>
    </w:rPr>
  </w:style>
  <w:style w:type="character" w:styleId="797" w:customStyle="1">
    <w:name w:val="Heading 4 Char"/>
    <w:basedOn w:val="770"/>
    <w:uiPriority w:val="9"/>
    <w:qFormat/>
    <w:rPr>
      <w:rFonts w:ascii="Arial" w:hAnsi="Arial" w:eastAsia="Arial" w:cs="Arial"/>
      <w:b/>
      <w:bCs/>
      <w:sz w:val="26"/>
      <w:szCs w:val="26"/>
    </w:rPr>
  </w:style>
  <w:style w:type="character" w:styleId="798" w:customStyle="1">
    <w:name w:val="Heading 5 Char"/>
    <w:basedOn w:val="770"/>
    <w:link w:val="765"/>
    <w:uiPriority w:val="9"/>
    <w:qFormat/>
    <w:rPr>
      <w:rFonts w:ascii="Arial" w:hAnsi="Arial" w:eastAsia="Arial" w:cs="Arial"/>
      <w:b/>
      <w:bCs/>
      <w:sz w:val="24"/>
      <w:szCs w:val="24"/>
    </w:rPr>
  </w:style>
  <w:style w:type="character" w:styleId="799" w:customStyle="1">
    <w:name w:val="Heading 6 Char"/>
    <w:basedOn w:val="770"/>
    <w:link w:val="766"/>
    <w:uiPriority w:val="9"/>
    <w:qFormat/>
    <w:rPr>
      <w:rFonts w:ascii="Arial" w:hAnsi="Arial" w:eastAsia="Arial" w:cs="Arial"/>
      <w:b/>
      <w:bCs/>
      <w:sz w:val="22"/>
      <w:szCs w:val="22"/>
    </w:rPr>
  </w:style>
  <w:style w:type="character" w:styleId="800" w:customStyle="1">
    <w:name w:val="Heading 7 Char"/>
    <w:basedOn w:val="770"/>
    <w:link w:val="767"/>
    <w:uiPriority w:val="9"/>
    <w:qFormat/>
    <w:rPr>
      <w:rFonts w:ascii="Arial" w:hAnsi="Arial" w:eastAsia="Arial" w:cs="Arial"/>
      <w:b/>
      <w:bCs/>
      <w:i/>
      <w:iCs/>
      <w:sz w:val="22"/>
      <w:szCs w:val="22"/>
    </w:rPr>
  </w:style>
  <w:style w:type="character" w:styleId="801" w:customStyle="1">
    <w:name w:val="Heading 8 Char"/>
    <w:basedOn w:val="770"/>
    <w:link w:val="768"/>
    <w:uiPriority w:val="9"/>
    <w:qFormat/>
    <w:rPr>
      <w:rFonts w:ascii="Arial" w:hAnsi="Arial" w:eastAsia="Arial" w:cs="Arial"/>
      <w:i/>
      <w:iCs/>
      <w:sz w:val="22"/>
      <w:szCs w:val="22"/>
    </w:rPr>
  </w:style>
  <w:style w:type="character" w:styleId="802" w:customStyle="1">
    <w:name w:val="Heading 9 Char"/>
    <w:basedOn w:val="770"/>
    <w:link w:val="769"/>
    <w:uiPriority w:val="9"/>
    <w:qFormat/>
    <w:rPr>
      <w:rFonts w:ascii="Arial" w:hAnsi="Arial" w:eastAsia="Arial" w:cs="Arial"/>
      <w:i/>
      <w:iCs/>
      <w:sz w:val="21"/>
      <w:szCs w:val="21"/>
    </w:rPr>
  </w:style>
  <w:style w:type="paragraph" w:styleId="803">
    <w:name w:val="List Paragraph"/>
    <w:basedOn w:val="760"/>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70"/>
    <w:link w:val="789"/>
    <w:uiPriority w:val="10"/>
    <w:qFormat/>
    <w:rPr>
      <w:sz w:val="48"/>
      <w:szCs w:val="48"/>
    </w:rPr>
  </w:style>
  <w:style w:type="character" w:styleId="806" w:customStyle="1">
    <w:name w:val="Subtitle Char"/>
    <w:basedOn w:val="770"/>
    <w:link w:val="782"/>
    <w:uiPriority w:val="11"/>
    <w:qFormat/>
    <w:rPr>
      <w:sz w:val="24"/>
      <w:szCs w:val="24"/>
    </w:rPr>
  </w:style>
  <w:style w:type="paragraph" w:styleId="807">
    <w:name w:val="Quote"/>
    <w:basedOn w:val="760"/>
    <w:next w:val="760"/>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60"/>
    <w:next w:val="760"/>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70"/>
    <w:link w:val="779"/>
    <w:uiPriority w:val="99"/>
    <w:qFormat/>
  </w:style>
  <w:style w:type="character" w:styleId="812" w:customStyle="1">
    <w:name w:val="Footer Char"/>
    <w:basedOn w:val="770"/>
    <w:link w:val="778"/>
    <w:uiPriority w:val="99"/>
    <w:qFormat/>
  </w:style>
  <w:style w:type="character" w:styleId="813" w:customStyle="1">
    <w:name w:val="Caption Char"/>
    <w:link w:val="778"/>
    <w:uiPriority w:val="99"/>
    <w:qFormat/>
  </w:style>
  <w:style w:type="table" w:styleId="814"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71"/>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4" w:customStyle="1">
    <w:name w:val="Grid Table 4 - Accent 3"/>
    <w:basedOn w:val="7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5" w:customStyle="1">
    <w:name w:val="Grid Table 4 - Accent 4"/>
    <w:basedOn w:val="7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6 Colorful - Accent 6"/>
    <w:basedOn w:val="7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9" w:customStyle="1">
    <w:name w:val="List Table 2 - Accent 3"/>
    <w:basedOn w:val="7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0" w:customStyle="1">
    <w:name w:val="List Table 2 - Accent 4"/>
    <w:basedOn w:val="7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1" w:customStyle="1">
    <w:name w:val="List Table 2 - Accent 5"/>
    <w:basedOn w:val="7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2" w:customStyle="1">
    <w:name w:val="List Table 2 - Accent 6"/>
    <w:basedOn w:val="7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3"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0"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6" w:customStyle="1">
    <w:name w:val="List Table 6 Colorful - Accent 2"/>
    <w:basedOn w:val="77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7" w:customStyle="1">
    <w:name w:val="List Table 6 Colorful - Accent 3"/>
    <w:basedOn w:val="7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8" w:customStyle="1">
    <w:name w:val="List Table 6 Colorful - Accent 4"/>
    <w:basedOn w:val="7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9" w:customStyle="1">
    <w:name w:val="List Table 6 Colorful - Accent 5"/>
    <w:basedOn w:val="7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0" w:customStyle="1">
    <w:name w:val="List Table 6 Colorful - Accent 6"/>
    <w:basedOn w:val="7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1"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8" w:customStyle="1">
    <w:name w:val="Bordered &amp; Lined - Accent 3"/>
    <w:basedOn w:val="7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9" w:customStyle="1">
    <w:name w:val="Bordered &amp; Lined - Accent 4"/>
    <w:basedOn w:val="7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5" w:customStyle="1">
    <w:name w:val="Bordered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6" w:customStyle="1">
    <w:name w:val="Bordered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8" w:customStyle="1">
    <w:name w:val="Bordered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9" w:customStyle="1">
    <w:name w:val="Footnote Text Char"/>
    <w:link w:val="783"/>
    <w:uiPriority w:val="99"/>
    <w:qFormat/>
    <w:rPr>
      <w:sz w:val="18"/>
    </w:rPr>
  </w:style>
  <w:style w:type="character" w:styleId="940" w:customStyle="1">
    <w:name w:val="Endnote Text Char"/>
    <w:link w:val="777"/>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numbering" w:styleId="11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君莫问</dc:creator>
  <cp:lastModifiedBy>张秋芳</cp:lastModifiedBy>
  <cp:revision>5</cp:revision>
  <dcterms:created xsi:type="dcterms:W3CDTF">2026-09-02T07:56:00Z</dcterms:created>
  <dcterms:modified xsi:type="dcterms:W3CDTF">2026-09-09T04:27:11Z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C0075F155D5A48AA88CE2F7CDA5BC418_13</vt:lpwstr>
  </property>
  <property fmtid="{D5CDD505-2E9C-101B-9397-08002B2CF9AE}" pid="4" name="KSOTemplateDocerSaveRecord">
    <vt:lpwstr>eyJoZGlkIjoiZDdjZTRiYmY4NWIzMTM1MDBhYjViZmE4ZmM2YjVhNmMiLCJ1c2VySWQiOiIyNzcyMTkyNjMifQ==</vt:lpwstr>
  </property>
</Properties>
</file>