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5"/>
        <w:ind w:left="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55"/>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58"/>
        <w:jc w:val="center"/>
        <w:spacing w:line="360" w:lineRule="auto"/>
        <w:rPr>
          <w:rFonts w:hint="eastAsia" w:ascii="宋体" w:hAnsi="宋体" w:eastAsia="宋体" w:cs="宋体"/>
          <w:b/>
          <w:color w:val="000000"/>
          <w:spacing w:val="76"/>
          <w:sz w:val="24"/>
          <w:szCs w:val="24"/>
          <w:highlight w:val="none"/>
        </w:rPr>
      </w:pPr>
      <w:r>
        <w:rPr>
          <w:rFonts w:hint="eastAsia" w:ascii="宋体" w:hAnsi="宋体" w:eastAsia="宋体" w:cs="宋体"/>
          <w:b/>
          <w:color w:val="000000"/>
          <w:spacing w:val="76"/>
          <w:sz w:val="72"/>
          <w:szCs w:val="72"/>
          <w:highlight w:val="none"/>
        </w:rPr>
        <w:t xml:space="preserve">竞争性磋商文件</w:t>
      </w:r>
      <w:r/>
    </w:p>
    <w:p>
      <w:pPr>
        <w:pStyle w:val="115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5"/>
        <w:ind w:left="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1805940</wp:posOffset>
                </wp:positionH>
                <wp:positionV relativeFrom="paragraph">
                  <wp:posOffset>120650</wp:posOffset>
                </wp:positionV>
                <wp:extent cx="2204085" cy="2152015"/>
                <wp:effectExtent l="0" t="0" r="0" b="0"/>
                <wp:wrapSquare wrapText="bothSides"/>
                <wp:docPr id="12"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22"/>
                        <a:stretch/>
                      </pic:blipFill>
                      <pic:spPr bwMode="auto">
                        <a:xfrm>
                          <a:off x="0" y="0"/>
                          <a:ext cx="2204085" cy="2152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1312;o:allowoverlap:true;o:allowincell:true;mso-position-horizontal-relative:text;margin-left:142.2pt;mso-position-horizontal:absolute;mso-position-vertical-relative:text;margin-top:9.5pt;mso-position-vertical:absolute;width:173.5pt;height:169.4pt;mso-wrap-distance-left:9.0pt;mso-wrap-distance-top:0.0pt;mso-wrap-distance-right:9.0pt;mso-wrap-distance-bottom:0.0pt;" stroked="f">
                <v:path textboxrect="0,0,0,0"/>
                <w10:wrap type="square"/>
                <v:imagedata r:id="rId22" o:title=""/>
              </v:shape>
            </w:pict>
          </mc:Fallback>
        </mc:AlternateContent>
      </w:r>
      <w:r/>
    </w:p>
    <w:p>
      <w:pPr>
        <w:pStyle w:val="115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15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8"/>
        <w:ind w:firstLine="1280"/>
        <w:jc w:val="both"/>
        <w:spacing w:line="48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t xml:space="preserve">项目编号：JSZC-320312-HZGC-C2026-0008</w:t>
      </w:r>
      <w:r/>
    </w:p>
    <w:p>
      <w:pPr>
        <w:pStyle w:val="1158"/>
        <w:ind w:firstLine="1280"/>
        <w:jc w:val="both"/>
        <w:spacing w:line="48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铜山城区道路基础设施维修养护项目</w:t>
      </w:r>
      <w:r/>
    </w:p>
    <w:p>
      <w:pPr>
        <w:pStyle w:val="1158"/>
        <w:ind w:firstLine="1280"/>
        <w:jc w:val="both"/>
        <w:spacing w:line="480" w:lineRule="auto"/>
        <w:rPr>
          <w:rFonts w:hint="eastAsia" w:ascii="宋体" w:hAnsi="宋体" w:eastAsia="宋体" w:cs="宋体"/>
          <w:color w:val="000000"/>
          <w:sz w:val="28"/>
          <w:szCs w:val="28"/>
          <w:highlight w:val="none"/>
        </w:rPr>
      </w:pPr>
      <w:r>
        <w:rPr>
          <w:rFonts w:hint="eastAsia" w:ascii="宋体" w:hAnsi="宋体" w:eastAsia="宋体" w:cs="宋体"/>
          <w:color w:val="000000"/>
          <w:sz w:val="32"/>
          <w:szCs w:val="32"/>
          <w:highlight w:val="none"/>
        </w:rPr>
        <w:t xml:space="preserve">采 购 人：</w:t>
      </w:r>
      <w:r>
        <w:rPr>
          <w:rFonts w:hint="eastAsia" w:ascii="宋体" w:hAnsi="宋体" w:cs="宋体"/>
          <w:color w:val="000000"/>
          <w:sz w:val="32"/>
          <w:szCs w:val="32"/>
          <w:highlight w:val="none"/>
          <w:lang w:eastAsia="zh-CN"/>
        </w:rPr>
        <w:t xml:space="preserve">徐州市铜山区城市管理局</w:t>
      </w:r>
      <w:r/>
    </w:p>
    <w:p>
      <w:pPr>
        <w:pStyle w:val="1158"/>
        <w:ind w:firstLine="1280"/>
        <w:jc w:val="both"/>
        <w:spacing w:line="48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t xml:space="preserve">采购代理机构：江苏淮中工程管理咨询有限公司</w:t>
      </w:r>
      <w:r/>
    </w:p>
    <w:p>
      <w:pPr>
        <w:pStyle w:val="1158"/>
        <w:ind w:firstLine="320"/>
        <w:jc w:val="center"/>
        <w:spacing w:line="48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r>
      <w:r/>
    </w:p>
    <w:p>
      <w:pPr>
        <w:pStyle w:val="1158"/>
        <w:ind w:firstLine="320"/>
        <w:jc w:val="center"/>
        <w:spacing w:line="48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t xml:space="preserve">二〇二</w:t>
      </w:r>
      <w:r>
        <w:rPr>
          <w:rFonts w:hint="eastAsia" w:ascii="宋体" w:hAnsi="宋体" w:cs="宋体"/>
          <w:color w:val="000000"/>
          <w:sz w:val="32"/>
          <w:szCs w:val="32"/>
          <w:highlight w:val="none"/>
          <w:lang w:val="en-US" w:eastAsia="zh-CN"/>
        </w:rPr>
        <w:t xml:space="preserve">六</w:t>
      </w:r>
      <w:r>
        <w:rPr>
          <w:rFonts w:hint="eastAsia" w:ascii="宋体" w:hAnsi="宋体" w:eastAsia="宋体" w:cs="宋体"/>
          <w:color w:val="000000"/>
          <w:sz w:val="32"/>
          <w:szCs w:val="32"/>
          <w:highlight w:val="none"/>
          <w:lang w:eastAsia="zh-CN"/>
        </w:rPr>
        <w:t xml:space="preserve">年</w:t>
      </w:r>
      <w:r>
        <w:rPr>
          <w:rFonts w:hint="eastAsia" w:ascii="宋体" w:hAnsi="宋体" w:cs="宋体"/>
          <w:color w:val="000000"/>
          <w:sz w:val="32"/>
          <w:szCs w:val="32"/>
          <w:highlight w:val="none"/>
          <w:lang w:val="en-US" w:eastAsia="zh-CN"/>
        </w:rPr>
        <w:t xml:space="preserve">九</w:t>
      </w:r>
      <w:r>
        <w:rPr>
          <w:rFonts w:hint="eastAsia" w:ascii="宋体" w:hAnsi="宋体" w:eastAsia="宋体" w:cs="宋体"/>
          <w:color w:val="000000"/>
          <w:sz w:val="32"/>
          <w:szCs w:val="32"/>
          <w:highlight w:val="none"/>
          <w:lang w:eastAsia="zh-CN"/>
        </w:rPr>
        <w:t xml:space="preserve">月</w:t>
      </w:r>
      <w:r/>
    </w:p>
    <w:p>
      <w:pPr>
        <w:pStyle w:val="1158"/>
        <w:ind w:firstLine="320"/>
        <w:jc w:val="center"/>
        <w:spacing w:line="480" w:lineRule="auto"/>
        <w:rPr>
          <w:rFonts w:hint="eastAsia" w:ascii="宋体" w:hAnsi="宋体" w:eastAsia="宋体" w:cs="宋体"/>
          <w:color w:val="000000"/>
          <w:sz w:val="32"/>
          <w:szCs w:val="32"/>
          <w:highlight w:val="none"/>
          <w:lang w:eastAsia="zh-CN"/>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eastAsia="宋体" w:cs="宋体"/>
          <w:color w:val="000000"/>
          <w:sz w:val="32"/>
          <w:szCs w:val="32"/>
          <w:highlight w:val="none"/>
          <w:lang w:eastAsia="zh-CN"/>
        </w:rPr>
      </w:r>
      <w:r/>
    </w:p>
    <w:p>
      <w:pPr>
        <w:pStyle w:val="1158"/>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竞争性磋商文件</w:t>
      </w:r>
      <w:r/>
    </w:p>
    <w:p>
      <w:pPr>
        <w:pStyle w:val="1158"/>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项目编号：JSZC-320312-HZGC-C2026-0008</w:t>
      </w:r>
      <w:bookmarkStart w:id="20" w:name="_GoBack"/>
      <w:r/>
      <w:bookmarkEnd w:id="20"/>
      <w:r/>
      <w:r/>
    </w:p>
    <w:p>
      <w:pPr>
        <w:pStyle w:val="1158"/>
        <w:spacing w:line="360" w:lineRule="auto"/>
        <w:tabs>
          <w:tab w:val="left" w:pos="32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w:t>
      </w:r>
      <w:r/>
    </w:p>
    <w:p>
      <w:pPr>
        <w:pStyle w:val="1158"/>
        <w:ind w:firstLine="49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江苏淮中工程管理咨询有限公司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铜山城区道路基础设施维修养护项目</w:t>
      </w:r>
      <w:r>
        <w:rPr>
          <w:rFonts w:hint="eastAsia" w:ascii="宋体" w:hAnsi="宋体" w:eastAsia="宋体" w:cs="宋体"/>
          <w:color w:val="000000"/>
          <w:sz w:val="24"/>
          <w:szCs w:val="24"/>
          <w:highlight w:val="none"/>
        </w:rPr>
        <w:t xml:space="preserve">项目采取竞争性磋商采购方式进行采购，竞争性磋商文件（以下简称《磋商文件》）内容如下：</w:t>
      </w:r>
      <w:r/>
    </w:p>
    <w:p>
      <w:pPr>
        <w:pStyle w:val="1158"/>
        <w:ind w:left="49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第一章 项目说明</w:t>
      </w:r>
      <w:r/>
    </w:p>
    <w:p>
      <w:pPr>
        <w:pStyle w:val="1158"/>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一、采购人：</w:t>
      </w:r>
      <w:r>
        <w:rPr>
          <w:rFonts w:hint="eastAsia" w:ascii="宋体" w:hAnsi="宋体" w:cs="宋体"/>
          <w:color w:val="000000"/>
          <w:sz w:val="24"/>
          <w:szCs w:val="24"/>
          <w:highlight w:val="none"/>
          <w:lang w:eastAsia="zh-CN"/>
        </w:rPr>
        <w:t xml:space="preserve">徐州市铜山区城市管理局</w:t>
      </w:r>
      <w:r/>
    </w:p>
    <w:p>
      <w:pPr>
        <w:pStyle w:val="1158"/>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二、项目名称：</w:t>
      </w:r>
      <w:r>
        <w:rPr>
          <w:rFonts w:hint="eastAsia" w:ascii="宋体" w:hAnsi="宋体" w:cs="宋体"/>
          <w:color w:val="000000"/>
          <w:sz w:val="24"/>
          <w:szCs w:val="24"/>
          <w:highlight w:val="none"/>
          <w:lang w:eastAsia="zh-CN"/>
        </w:rPr>
        <w:t xml:space="preserve">铜山城区道路基础设施维修养护项目</w:t>
      </w:r>
      <w:r>
        <w:rPr>
          <w:rFonts w:hint="eastAsia" w:ascii="宋体" w:hAnsi="宋体" w:eastAsia="宋体" w:cs="宋体"/>
          <w:color w:val="000000"/>
          <w:sz w:val="24"/>
          <w:szCs w:val="24"/>
          <w:highlight w:val="none"/>
          <w:lang w:val="en-US" w:eastAsia="zh-CN"/>
        </w:rPr>
        <w:t xml:space="preserve"> </w:t>
      </w:r>
      <w:r/>
    </w:p>
    <w:p>
      <w:pPr>
        <w:pStyle w:val="1158"/>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三、项目编号：JSZC-320312-HZGC-C2026-0008</w:t>
      </w:r>
      <w:r/>
    </w:p>
    <w:p>
      <w:pPr>
        <w:pStyle w:val="11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四、采购邀请：通过发布公告的方式邀请符合相应资格条件的供应商参与竞争性磋商采购活动。</w:t>
      </w:r>
      <w:r/>
    </w:p>
    <w:p>
      <w:pPr>
        <w:pStyle w:val="11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五、采购方式：本项目采用竞争性磋商采购方式。</w:t>
      </w:r>
      <w:r/>
    </w:p>
    <w:p>
      <w:pPr>
        <w:pStyle w:val="11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六、供应商资格条件：见竞争性磋商公告。</w:t>
      </w:r>
      <w:r/>
    </w:p>
    <w:p>
      <w:pPr>
        <w:pStyle w:val="11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七、采购预算（采购项目预算金额）：</w:t>
      </w:r>
      <w:r>
        <w:rPr>
          <w:rFonts w:hint="eastAsia" w:ascii="宋体" w:hAnsi="宋体" w:eastAsia="宋体" w:cs="宋体"/>
          <w:b w:val="0"/>
          <w:bCs w:val="0"/>
          <w:color w:val="000000"/>
          <w:sz w:val="24"/>
          <w:szCs w:val="24"/>
          <w:highlight w:val="none"/>
        </w:rPr>
        <w:t xml:space="preserve">见《磋商文件》附件2、《项目要求（采购需求）》。</w:t>
      </w:r>
      <w:r/>
    </w:p>
    <w:p>
      <w:pPr>
        <w:pStyle w:val="115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八、采购需求：见《磋商文件》附件2、《项目要求（采购需求）》。</w:t>
      </w:r>
      <w:r/>
    </w:p>
    <w:p>
      <w:pPr>
        <w:pStyle w:val="115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九、合同条款：见《磋商文件》附件</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、合同草案条款。</w:t>
      </w:r>
      <w:r/>
    </w:p>
    <w:p>
      <w:pPr>
        <w:pStyle w:val="115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十、报价要求</w:t>
      </w:r>
      <w:r/>
    </w:p>
    <w:p>
      <w:pPr>
        <w:pStyle w:val="115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1、供应商报价为要约，</w:t>
      </w:r>
      <w:r>
        <w:rPr>
          <w:rFonts w:hint="eastAsia" w:ascii="宋体" w:hAnsi="宋体" w:eastAsia="宋体" w:cs="宋体"/>
          <w:b w:val="0"/>
          <w:bCs w:val="0"/>
          <w:color w:val="000000"/>
          <w:sz w:val="24"/>
          <w:szCs w:val="24"/>
          <w:highlight w:val="none"/>
          <w:u w:val="single"/>
          <w:lang w:eastAsia="zh-CN"/>
        </w:rPr>
        <w:t xml:space="preserve">江苏淮中工程管理咨询有限公司</w:t>
      </w:r>
      <w:r>
        <w:rPr>
          <w:rFonts w:hint="eastAsia" w:ascii="宋体" w:hAnsi="宋体" w:eastAsia="宋体" w:cs="宋体"/>
          <w:b w:val="0"/>
          <w:bCs w:val="0"/>
          <w:color w:val="000000"/>
          <w:sz w:val="24"/>
          <w:szCs w:val="24"/>
          <w:highlight w:val="none"/>
        </w:rPr>
        <w:t xml:space="preserve">无承诺表示时视为未成交，</w:t>
      </w:r>
      <w:r>
        <w:rPr>
          <w:rFonts w:hint="eastAsia" w:ascii="宋体" w:hAnsi="宋体" w:eastAsia="宋体" w:cs="宋体"/>
          <w:b w:val="0"/>
          <w:bCs w:val="0"/>
          <w:color w:val="000000"/>
          <w:sz w:val="24"/>
          <w:szCs w:val="24"/>
          <w:highlight w:val="none"/>
          <w:u w:val="single"/>
          <w:lang w:eastAsia="zh-CN"/>
        </w:rPr>
        <w:t xml:space="preserve">江苏淮中工程管理咨询有限公司</w:t>
      </w:r>
      <w:r>
        <w:rPr>
          <w:rFonts w:hint="eastAsia" w:ascii="宋体" w:hAnsi="宋体" w:eastAsia="宋体" w:cs="宋体"/>
          <w:b w:val="0"/>
          <w:bCs w:val="0"/>
          <w:color w:val="000000"/>
          <w:sz w:val="24"/>
          <w:szCs w:val="24"/>
          <w:highlight w:val="none"/>
        </w:rPr>
        <w:t xml:space="preserve">认为必要时可重新进行竞争性磋商采购或采取其它方式采购。</w:t>
      </w:r>
      <w:r/>
    </w:p>
    <w:p>
      <w:pPr>
        <w:pStyle w:val="115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2、按照《磋商报价表》要求填写首次报价。</w:t>
      </w:r>
      <w:r/>
    </w:p>
    <w:p>
      <w:pPr>
        <w:pStyle w:val="1158"/>
        <w:ind w:right="-57"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115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说明:</w:t>
      </w:r>
      <w:r/>
    </w:p>
    <w:p>
      <w:pPr>
        <w:pStyle w:val="115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1、本项目不允许分包。</w:t>
      </w:r>
      <w:r/>
    </w:p>
    <w:p>
      <w:pPr>
        <w:pStyle w:val="115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2、本项目不接受联合体参与采购活动。</w:t>
      </w:r>
      <w:r/>
    </w:p>
    <w:p>
      <w:pPr>
        <w:jc w:val="center"/>
        <w:spacing w:line="360" w:lineRule="auto"/>
        <w:rPr>
          <w:rFonts w:ascii="宋体" w:hAnsi="宋体" w:cs="宋体"/>
          <w:sz w:val="28"/>
          <w:szCs w:val="28"/>
        </w:rPr>
      </w:pPr>
      <w:r>
        <w:rPr>
          <w:rFonts w:hint="eastAsia" w:ascii="宋体" w:hAnsi="宋体" w:cs="宋体"/>
          <w:b/>
          <w:bCs/>
          <w:sz w:val="28"/>
          <w:szCs w:val="28"/>
        </w:rPr>
        <w:t xml:space="preserve">第二章 磋商保证金</w:t>
      </w:r>
      <w:r/>
    </w:p>
    <w:p>
      <w:pPr>
        <w:pStyle w:val="115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十一、供应商提交磋商保证金</w:t>
      </w:r>
      <w:r/>
    </w:p>
    <w:p>
      <w:pPr>
        <w:pStyle w:val="115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1、磋商保证金交纳数额和形式：不需交纳。</w:t>
      </w:r>
      <w:r/>
    </w:p>
    <w:p>
      <w:pPr>
        <w:pStyle w:val="1158"/>
        <w:ind w:left="49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w:t>
      </w:r>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章 响应文件</w:t>
      </w:r>
      <w:r/>
    </w:p>
    <w:p>
      <w:pPr>
        <w:pStyle w:val="1158"/>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十二、提交响应文件要求</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“CA数字证书”的获取：供应商需办理CA锁，“苏采云”系统目前仅支持“苏采云”系统下的</w:t>
      </w:r>
      <w:r>
        <w:rPr>
          <w:rFonts w:hint="eastAsia" w:ascii="宋体" w:hAnsi="宋体" w:cs="宋体"/>
          <w:bCs/>
          <w:sz w:val="24"/>
          <w:szCs w:val="24"/>
          <w:highlight w:val="none"/>
          <w:lang w:eastAsia="zh-CN"/>
        </w:rPr>
        <w:t xml:space="preserve">政务CA</w:t>
      </w:r>
      <w:r>
        <w:rPr>
          <w:rFonts w:hint="eastAsia" w:ascii="宋体" w:hAnsi="宋体" w:eastAsia="宋体" w:cs="宋体"/>
          <w:bCs/>
          <w:sz w:val="24"/>
          <w:szCs w:val="24"/>
          <w:highlight w:val="none"/>
        </w:rPr>
        <w:t xml:space="preserve">，省内各地区办理的“苏采云”系统下的</w:t>
      </w:r>
      <w:r>
        <w:rPr>
          <w:rFonts w:hint="eastAsia" w:ascii="宋体" w:hAnsi="宋体" w:cs="宋体"/>
          <w:bCs/>
          <w:sz w:val="24"/>
          <w:szCs w:val="24"/>
          <w:highlight w:val="none"/>
          <w:lang w:eastAsia="zh-CN"/>
        </w:rPr>
        <w:t xml:space="preserve">政务CA</w:t>
      </w:r>
      <w:r>
        <w:rPr>
          <w:rFonts w:hint="eastAsia" w:ascii="宋体" w:hAnsi="宋体" w:eastAsia="宋体" w:cs="宋体"/>
          <w:bCs/>
          <w:sz w:val="24"/>
          <w:szCs w:val="24"/>
          <w:highlight w:val="none"/>
        </w:rPr>
        <w:t xml:space="preserve">全省通用。“CA数字证书”的办理方法详见“徐州政府采购网-业务工作-快速服务-下载专区”中《江苏省政府采购（供应商）</w:t>
      </w:r>
      <w:r>
        <w:rPr>
          <w:rFonts w:hint="eastAsia" w:ascii="宋体" w:hAnsi="宋体" w:cs="宋体"/>
          <w:bCs/>
          <w:sz w:val="24"/>
          <w:szCs w:val="24"/>
          <w:highlight w:val="none"/>
          <w:lang w:eastAsia="zh-CN"/>
        </w:rPr>
        <w:t xml:space="preserve">政务CA</w:t>
      </w:r>
      <w:r>
        <w:rPr>
          <w:rFonts w:hint="eastAsia" w:ascii="宋体" w:hAnsi="宋体" w:eastAsia="宋体" w:cs="宋体"/>
          <w:bCs/>
          <w:sz w:val="24"/>
          <w:szCs w:val="24"/>
          <w:highlight w:val="none"/>
        </w:rPr>
        <w:t xml:space="preserve">数字证书及电子签章办理指南》。</w:t>
      </w:r>
      <w:r/>
    </w:p>
    <w:p>
      <w:pPr>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Cs/>
          <w:sz w:val="24"/>
          <w:szCs w:val="24"/>
          <w:highlight w:val="none"/>
        </w:rPr>
        <w:t xml:space="preserve">使用需要第三方认证的电子签名、数据电文，通过互联网方式提交首次响应文件。即</w:t>
      </w:r>
      <w:r>
        <w:rPr>
          <w:rFonts w:hint="eastAsia" w:ascii="宋体" w:hAnsi="宋体" w:eastAsia="宋体" w:cs="宋体"/>
          <w:b w:val="0"/>
          <w:bCs/>
          <w:sz w:val="24"/>
          <w:szCs w:val="24"/>
          <w:highlight w:val="none"/>
        </w:rPr>
        <w:t xml:space="preserve">：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158"/>
        <w:ind w:firstLine="482"/>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“苏采云”系统使用要求：</w:t>
      </w:r>
      <w:r/>
    </w:p>
    <w:p>
      <w:pPr>
        <w:pStyle w:val="1158"/>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1、使用谷歌浏览器参与不见面开标及磋商环节。</w:t>
      </w:r>
      <w:r/>
    </w:p>
    <w:p>
      <w:pPr>
        <w:pStyle w:val="1158"/>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2、电脑需提前准备好麦克风、音响，摄像头，提前检查保证能够正常使用。</w:t>
      </w:r>
      <w:r/>
    </w:p>
    <w:p>
      <w:pPr>
        <w:pStyle w:val="1158"/>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3、操作系统至少win7以上，建议使用win10操作系统。</w:t>
      </w:r>
      <w:r/>
    </w:p>
    <w:p>
      <w:pPr>
        <w:pStyle w:val="1153"/>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（二）首次响应文件提交的截止时间：202</w:t>
      </w:r>
      <w:r>
        <w:rPr>
          <w:rFonts w:hint="eastAsia" w:ascii="宋体" w:hAnsi="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年</w:t>
      </w:r>
      <w:r>
        <w:rPr>
          <w:rFonts w:hint="eastAsia" w:ascii="宋体" w:hAnsi="宋体" w:cs="宋体"/>
          <w:b/>
          <w:bCs w:val="0"/>
          <w:color w:val="000000"/>
          <w:sz w:val="24"/>
          <w:szCs w:val="24"/>
          <w:highlight w:val="none"/>
          <w:lang w:val="en-US" w:eastAsia="zh-CN"/>
        </w:rPr>
        <w:t xml:space="preserve">10</w:t>
      </w:r>
      <w:r>
        <w:rPr>
          <w:rFonts w:hint="eastAsia" w:ascii="宋体" w:hAnsi="宋体" w:eastAsia="宋体" w:cs="宋体"/>
          <w:b/>
          <w:bCs w:val="0"/>
          <w:color w:val="000000"/>
          <w:sz w:val="24"/>
          <w:szCs w:val="24"/>
          <w:highlight w:val="none"/>
        </w:rPr>
        <w:t xml:space="preserve">月</w:t>
      </w:r>
      <w:r>
        <w:rPr>
          <w:rFonts w:hint="eastAsia" w:ascii="宋体" w:hAnsi="宋体" w:cs="宋体"/>
          <w:b/>
          <w:bCs w:val="0"/>
          <w:color w:val="000000"/>
          <w:sz w:val="24"/>
          <w:szCs w:val="24"/>
          <w:highlight w:val="none"/>
          <w:lang w:val="en-US" w:eastAsia="zh-CN"/>
        </w:rPr>
        <w:t xml:space="preserve">09</w:t>
      </w:r>
      <w:r>
        <w:rPr>
          <w:rFonts w:hint="eastAsia" w:ascii="宋体" w:hAnsi="宋体" w:eastAsia="宋体" w:cs="宋体"/>
          <w:b/>
          <w:bCs w:val="0"/>
          <w:color w:val="000000"/>
          <w:sz w:val="24"/>
          <w:szCs w:val="24"/>
          <w:highlight w:val="none"/>
        </w:rPr>
        <w:t xml:space="preserve">日上午1</w:t>
      </w:r>
      <w:r>
        <w:rPr>
          <w:rFonts w:hint="eastAsia" w:ascii="宋体" w:hAnsi="宋体" w:eastAsia="宋体" w:cs="宋体"/>
          <w:b/>
          <w:bCs w:val="0"/>
          <w:color w:val="000000"/>
          <w:sz w:val="24"/>
          <w:szCs w:val="24"/>
          <w:highlight w:val="none"/>
          <w:lang w:val="en-US" w:eastAsia="zh-CN"/>
        </w:rPr>
        <w:t xml:space="preserve">0</w:t>
      </w:r>
      <w:r>
        <w:rPr>
          <w:rFonts w:hint="eastAsia" w:ascii="宋体" w:hAnsi="宋体" w:eastAsia="宋体" w:cs="宋体"/>
          <w:b/>
          <w:bCs w:val="0"/>
          <w:color w:val="000000"/>
          <w:sz w:val="24"/>
          <w:szCs w:val="24"/>
          <w:highlight w:val="none"/>
        </w:rPr>
        <w:t xml:space="preserve">:00，在截止时间后提交的首次响应文件为无效文件，将被拒收。</w:t>
      </w:r>
      <w:r/>
    </w:p>
    <w:p>
      <w:pPr>
        <w:pStyle w:val="1153"/>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（三）首次响应文件提交时间、地点：</w:t>
      </w:r>
      <w:r/>
    </w:p>
    <w:p>
      <w:pPr>
        <w:pStyle w:val="1153"/>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bidi="ar-SA"/>
        </w:rPr>
        <w:t xml:space="preserve">1、提交时间</w:t>
      </w:r>
      <w:r/>
    </w:p>
    <w:p>
      <w:pPr>
        <w:pStyle w:val="1153"/>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bidi="ar-SA"/>
        </w:rPr>
        <w:t xml:space="preserve">首次响应文件提交的截止时间（202</w:t>
      </w:r>
      <w:r>
        <w:rPr>
          <w:rFonts w:hint="eastAsia" w:ascii="宋体" w:hAnsi="宋体" w:cs="宋体"/>
          <w:b/>
          <w:bCs w:val="0"/>
          <w:color w:val="000000"/>
          <w:sz w:val="24"/>
          <w:szCs w:val="24"/>
          <w:highlight w:val="none"/>
          <w:lang w:val="en-US" w:eastAsia="zh-CN" w:bidi="ar-SA"/>
        </w:rPr>
        <w:t xml:space="preserve">6</w:t>
      </w:r>
      <w:r>
        <w:rPr>
          <w:rFonts w:hint="eastAsia" w:ascii="宋体" w:hAnsi="宋体" w:eastAsia="宋体" w:cs="宋体"/>
          <w:b/>
          <w:bCs w:val="0"/>
          <w:color w:val="000000"/>
          <w:sz w:val="24"/>
          <w:szCs w:val="24"/>
          <w:highlight w:val="none"/>
          <w:lang w:bidi="ar-SA"/>
        </w:rPr>
        <w:t xml:space="preserve">年</w:t>
      </w:r>
      <w:r>
        <w:rPr>
          <w:rFonts w:hint="eastAsia" w:ascii="宋体" w:hAnsi="宋体" w:cs="宋体"/>
          <w:b/>
          <w:bCs w:val="0"/>
          <w:color w:val="000000"/>
          <w:sz w:val="24"/>
          <w:szCs w:val="24"/>
          <w:highlight w:val="none"/>
          <w:lang w:val="en-US" w:eastAsia="zh-CN" w:bidi="ar-SA"/>
        </w:rPr>
        <w:t xml:space="preserve">10</w:t>
      </w:r>
      <w:r>
        <w:rPr>
          <w:rFonts w:hint="eastAsia" w:ascii="宋体" w:hAnsi="宋体" w:eastAsia="宋体" w:cs="宋体"/>
          <w:b/>
          <w:bCs w:val="0"/>
          <w:color w:val="000000"/>
          <w:sz w:val="24"/>
          <w:szCs w:val="24"/>
          <w:highlight w:val="none"/>
          <w:lang w:bidi="ar-SA"/>
        </w:rPr>
        <w:t xml:space="preserve">月</w:t>
      </w:r>
      <w:r>
        <w:rPr>
          <w:rFonts w:hint="eastAsia" w:ascii="宋体" w:hAnsi="宋体" w:cs="宋体"/>
          <w:b/>
          <w:bCs w:val="0"/>
          <w:color w:val="000000"/>
          <w:sz w:val="24"/>
          <w:szCs w:val="24"/>
          <w:highlight w:val="none"/>
          <w:lang w:val="en-US" w:eastAsia="zh-CN" w:bidi="ar-SA"/>
        </w:rPr>
        <w:t xml:space="preserve">09</w:t>
      </w:r>
      <w:r>
        <w:rPr>
          <w:rFonts w:hint="eastAsia" w:ascii="宋体" w:hAnsi="宋体" w:eastAsia="宋体" w:cs="宋体"/>
          <w:b/>
          <w:bCs w:val="0"/>
          <w:color w:val="000000"/>
          <w:sz w:val="24"/>
          <w:szCs w:val="24"/>
          <w:highlight w:val="none"/>
          <w:lang w:bidi="ar-SA"/>
        </w:rPr>
        <w:t xml:space="preserve">日上午1</w:t>
      </w:r>
      <w:r>
        <w:rPr>
          <w:rFonts w:hint="eastAsia" w:ascii="宋体" w:hAnsi="宋体" w:eastAsia="宋体" w:cs="宋体"/>
          <w:b/>
          <w:bCs w:val="0"/>
          <w:color w:val="000000"/>
          <w:sz w:val="24"/>
          <w:szCs w:val="24"/>
          <w:highlight w:val="none"/>
          <w:lang w:val="en-US" w:eastAsia="zh-CN" w:bidi="ar-SA"/>
        </w:rPr>
        <w:t xml:space="preserve">0</w:t>
      </w:r>
      <w:r>
        <w:rPr>
          <w:rFonts w:hint="eastAsia" w:ascii="宋体" w:hAnsi="宋体" w:eastAsia="宋体" w:cs="宋体"/>
          <w:b/>
          <w:bCs w:val="0"/>
          <w:color w:val="000000"/>
          <w:sz w:val="24"/>
          <w:szCs w:val="24"/>
          <w:highlight w:val="none"/>
          <w:lang w:bidi="ar-SA"/>
        </w:rPr>
        <w:t xml:space="preserve">:00）前。</w:t>
      </w:r>
      <w:r/>
    </w:p>
    <w:p>
      <w:pPr>
        <w:pStyle w:val="1153"/>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bidi="ar-SA"/>
        </w:rPr>
        <w:t xml:space="preserve">2、提交地点：</w:t>
      </w:r>
      <w:r/>
    </w:p>
    <w:p>
      <w:pPr>
        <w:pStyle w:val="1153"/>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“苏采云”系统（网址：http://jszfcg.jsczt.cn/）“开标大厅”或进入徐州政府采购网（网址：http://czj.xz.gov.cn/Home/HomeIndex）-业务工作-用户登录，点击“苏采云”进入系统“开标大厅”。 </w:t>
      </w:r>
      <w:r/>
    </w:p>
    <w:p>
      <w:pPr>
        <w:pStyle w:val="1153"/>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（四）</w:t>
      </w:r>
      <w:r>
        <w:rPr>
          <w:rFonts w:hint="eastAsia" w:ascii="宋体" w:hAnsi="宋体" w:eastAsia="宋体" w:cs="宋体"/>
          <w:b/>
          <w:bCs/>
          <w:color w:val="000000"/>
          <w:sz w:val="24"/>
          <w:szCs w:val="24"/>
          <w:highlight w:val="none"/>
        </w:rPr>
        <w:t xml:space="preserve">首次响应文件开启时间：202</w:t>
      </w: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年</w:t>
      </w:r>
      <w:r>
        <w:rPr>
          <w:rFonts w:hint="eastAsia" w:ascii="宋体" w:hAnsi="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月</w:t>
      </w:r>
      <w:r>
        <w:rPr>
          <w:rFonts w:hint="eastAsia" w:ascii="宋体" w:hAnsi="宋体" w:cs="宋体"/>
          <w:b/>
          <w:bCs/>
          <w:color w:val="000000"/>
          <w:sz w:val="24"/>
          <w:szCs w:val="24"/>
          <w:highlight w:val="none"/>
          <w:lang w:val="en-US" w:eastAsia="zh-CN"/>
        </w:rPr>
        <w:t xml:space="preserve">09</w:t>
      </w:r>
      <w:r>
        <w:rPr>
          <w:rFonts w:hint="eastAsia" w:ascii="宋体" w:hAnsi="宋体" w:eastAsia="宋体" w:cs="宋体"/>
          <w:b/>
          <w:bCs/>
          <w:color w:val="000000"/>
          <w:sz w:val="24"/>
          <w:szCs w:val="24"/>
          <w:highlight w:val="none"/>
        </w:rPr>
        <w:t xml:space="preserve">日上午1</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:00。</w:t>
      </w:r>
      <w:r/>
    </w:p>
    <w:p>
      <w:pPr>
        <w:pStyle w:val="1153"/>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（五）首次响应文件开启地点：</w:t>
      </w:r>
      <w:r/>
    </w:p>
    <w:p>
      <w:pPr>
        <w:pStyle w:val="11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“苏采云”系统（网址：http://jszfcg.jsczt.cn/）“开标大厅”或进入徐州政府采购网（网址：http://czj.xz.gov.cn/Home/HomeIndex）-业务工作-用户登录，点击“苏采云”进入系统“开标大厅”。</w:t>
      </w:r>
      <w:r/>
    </w:p>
    <w:p>
      <w:pPr>
        <w:pStyle w:val="11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153"/>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（七）不接受不按要求加盖公章（电子签章）的首次响应文件。电子签章相关要求见“苏采云”系统。</w:t>
      </w:r>
      <w:r/>
    </w:p>
    <w:p>
      <w:pPr>
        <w:pStyle w:val="11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（八）首次响应文件解密：到达开启时间，“苏采云”系统自动提取所有响应文件，供应商</w:t>
      </w:r>
      <w:r>
        <w:rPr>
          <w:rFonts w:hint="eastAsia" w:ascii="宋体" w:hAnsi="宋体" w:eastAsia="宋体" w:cs="宋体"/>
          <w:b w:val="0"/>
          <w:bCs w:val="0"/>
          <w:color w:val="000000"/>
          <w:sz w:val="24"/>
          <w:szCs w:val="24"/>
          <w:highlight w:val="none"/>
        </w:rPr>
        <w:t xml:space="preserve">按</w:t>
      </w:r>
      <w:r>
        <w:rPr>
          <w:rFonts w:hint="eastAsia" w:ascii="宋体" w:hAnsi="宋体" w:eastAsia="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rPr>
        <w:t xml:space="preserve">文件规定方式按时在线解密。本项目</w:t>
      </w:r>
      <w:r>
        <w:rPr>
          <w:rFonts w:hint="eastAsia" w:ascii="宋体" w:hAnsi="宋体" w:eastAsia="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rPr>
        <w:t xml:space="preserve">文件规定的供应商按时在线解密方式：</w:t>
      </w:r>
      <w:r>
        <w:rPr>
          <w:rFonts w:hint="eastAsia" w:ascii="宋体" w:hAnsi="宋体" w:eastAsia="宋体" w:cs="宋体"/>
          <w:b/>
          <w:bCs/>
          <w:color w:val="000000"/>
          <w:sz w:val="24"/>
          <w:szCs w:val="24"/>
          <w:highlight w:val="none"/>
        </w:rPr>
        <w:t xml:space="preserve">开启时间后30分钟内</w:t>
      </w:r>
      <w:r>
        <w:rPr>
          <w:rFonts w:hint="eastAsia" w:ascii="宋体" w:hAnsi="宋体" w:eastAsia="宋体" w:cs="宋体"/>
          <w:b w:val="0"/>
          <w:bCs w:val="0"/>
          <w:color w:val="000000"/>
          <w:sz w:val="24"/>
          <w:szCs w:val="24"/>
          <w:highlight w:val="none"/>
        </w:rPr>
        <w:t xml:space="preserve">，通过“苏</w:t>
      </w:r>
      <w:r>
        <w:rPr>
          <w:rFonts w:hint="eastAsia" w:ascii="宋体" w:hAnsi="宋体" w:eastAsia="宋体" w:cs="宋体"/>
          <w:color w:val="000000"/>
          <w:sz w:val="24"/>
          <w:szCs w:val="24"/>
          <w:highlight w:val="none"/>
        </w:rPr>
        <w:t xml:space="preserve">采云”系统（使用“CA数字证书”）解密。</w:t>
      </w:r>
      <w:r/>
    </w:p>
    <w:p>
      <w:pPr>
        <w:pStyle w:val="11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（九）采购文件（后缀名为“.kedt”）、供应商操作手册及政府采购客户端工具可通过“苏采云”系统（网址：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HYPERLINK "http://jszfcg.jsczt.cn/"</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153"/>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（十）相关说明: 供应商在“苏采云”系统中提交首次响应文件的时间即为数据</w:t>
      </w:r>
      <w:r>
        <w:rPr>
          <w:rFonts w:hint="eastAsia" w:ascii="宋体" w:hAnsi="宋体" w:eastAsia="宋体" w:cs="宋体"/>
          <w:b w:val="0"/>
          <w:bCs w:val="0"/>
          <w:color w:val="000000"/>
          <w:sz w:val="24"/>
          <w:szCs w:val="24"/>
          <w:highlight w:val="none"/>
        </w:rPr>
        <w:t xml:space="preserve">电文（响应文件，下同）的发送时间和接收时间。</w:t>
      </w:r>
      <w:r/>
    </w:p>
    <w:p>
      <w:pPr>
        <w:pStyle w:val="1153"/>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十三、响应文件编制要求</w:t>
      </w:r>
      <w:r/>
    </w:p>
    <w:p>
      <w:pPr>
        <w:pStyle w:val="1153"/>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请按照以下要求（包括但不限于以下要求）制作：</w:t>
      </w:r>
      <w:r/>
    </w:p>
    <w:p>
      <w:pPr>
        <w:pStyle w:val="1153"/>
        <w:ind w:firstLine="42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（一）基本目录</w:t>
      </w:r>
      <w:r/>
    </w:p>
    <w:p>
      <w:pPr>
        <w:pStyle w:val="11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color w:val="000000"/>
          <w:sz w:val="24"/>
          <w:szCs w:val="24"/>
          <w:highlight w:val="none"/>
        </w:rPr>
        <w:t xml:space="preserve">《磋商报价表》（加盖电子签章，格式见《磋商文件》附件。</w:t>
      </w:r>
      <w:r>
        <w:rPr>
          <w:rFonts w:hint="eastAsia" w:ascii="宋体" w:hAnsi="宋体" w:eastAsia="宋体" w:cs="宋体"/>
          <w:bCs/>
          <w:color w:val="000000"/>
          <w:sz w:val="24"/>
          <w:szCs w:val="24"/>
          <w:highlight w:val="none"/>
        </w:rPr>
        <w:t xml:space="preserve">政府采购客户端工</w:t>
      </w:r>
      <w:r>
        <w:rPr>
          <w:rFonts w:hint="eastAsia" w:ascii="宋体" w:hAnsi="宋体" w:eastAsia="宋体" w:cs="宋体"/>
          <w:color w:val="000000"/>
          <w:sz w:val="24"/>
          <w:szCs w:val="24"/>
          <w:highlight w:val="none"/>
        </w:rPr>
        <w:t xml:space="preserve">具输入报价自动生成）；</w:t>
      </w:r>
      <w:r/>
    </w:p>
    <w:p>
      <w:pPr>
        <w:pStyle w:val="1158"/>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（二）资格条件（1～</w:t>
      </w:r>
      <w:r>
        <w:rPr>
          <w:rFonts w:hint="eastAsia" w:ascii="宋体" w:hAnsi="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项必须提供，否则响应无效）</w:t>
      </w:r>
      <w:r/>
    </w:p>
    <w:p>
      <w:pPr>
        <w:pStyle w:val="1155"/>
        <w:ind w:left="0" w:firstLine="482"/>
        <w:spacing w:after="0" w:line="360" w:lineRule="auto"/>
        <w:rPr>
          <w:rFonts w:hint="eastAsia" w:ascii="宋体" w:hAnsi="宋体"/>
          <w:b/>
          <w:bCs/>
          <w:sz w:val="24"/>
          <w:szCs w:val="24"/>
        </w:rPr>
      </w:pPr>
      <w:r>
        <w:rPr>
          <w:rFonts w:ascii="宋体" w:hAnsi="宋体"/>
          <w:b/>
          <w:bCs/>
          <w:sz w:val="24"/>
          <w:szCs w:val="24"/>
        </w:rPr>
        <w:t xml:space="preserve">1</w:t>
      </w:r>
      <w:r>
        <w:rPr>
          <w:rFonts w:hint="eastAsia" w:ascii="宋体" w:hAnsi="宋体"/>
          <w:b/>
          <w:bCs/>
          <w:sz w:val="24"/>
          <w:szCs w:val="24"/>
        </w:rPr>
        <w:t xml:space="preserve">.供应商具有独立承担民事责任的能力，提供供应商合法有效的法人的营业执照(或事业单位法人证书)或其他组织应提供合法证明文件的原件扫描件(加盖电子签章)。</w:t>
      </w:r>
      <w:r/>
    </w:p>
    <w:p>
      <w:pPr>
        <w:pStyle w:val="1158"/>
        <w:ind w:right="-334" w:firstLine="482"/>
        <w:spacing w:line="360" w:lineRule="auto"/>
        <w:rPr>
          <w:rFonts w:ascii="宋体" w:hAnsi="宋体"/>
          <w:b/>
          <w:sz w:val="24"/>
          <w:szCs w:val="24"/>
        </w:rPr>
      </w:pPr>
      <w:r>
        <w:rPr>
          <w:rFonts w:hint="eastAsia" w:ascii="宋体" w:hAnsi="宋体"/>
          <w:b/>
          <w:sz w:val="24"/>
          <w:szCs w:val="24"/>
          <w:lang w:val="en-US" w:eastAsia="zh-CN"/>
        </w:rPr>
        <w:t xml:space="preserve">2</w:t>
      </w:r>
      <w:r>
        <w:rPr>
          <w:rFonts w:hint="eastAsia" w:ascii="宋体" w:hAnsi="宋体"/>
          <w:b/>
          <w:sz w:val="24"/>
          <w:szCs w:val="24"/>
        </w:rPr>
        <w:t xml:space="preserve">.具有良好的商业信誉和健全的财务会计制度，财务状况报告至少提供：</w:t>
      </w:r>
      <w:r/>
    </w:p>
    <w:p>
      <w:pPr>
        <w:pStyle w:val="1158"/>
        <w:ind w:right="-334" w:firstLine="480"/>
        <w:spacing w:line="360" w:lineRule="auto"/>
        <w:rPr>
          <w:rFonts w:hint="eastAsia" w:ascii="宋体" w:hAnsi="宋体" w:eastAsia="宋体"/>
          <w:bCs/>
          <w:sz w:val="24"/>
          <w:szCs w:val="24"/>
          <w:lang w:eastAsia="zh-CN"/>
        </w:rPr>
      </w:pPr>
      <w:r>
        <w:rPr>
          <w:rFonts w:hint="eastAsia" w:ascii="宋体" w:hAnsi="宋体" w:cs="宋体"/>
          <w:b/>
          <w:sz w:val="24"/>
        </w:rPr>
        <w:t xml:space="preserve">供应商的提交首次响应文件时间前六个月内</w:t>
      </w:r>
      <w:r>
        <w:rPr>
          <w:rFonts w:hint="eastAsia" w:ascii="宋体" w:hAnsi="宋体" w:cs="宋体"/>
          <w:b/>
          <w:sz w:val="24"/>
          <w:lang w:eastAsia="zh-CN"/>
        </w:rPr>
        <w:t xml:space="preserve">（</w:t>
      </w:r>
      <w:r>
        <w:rPr>
          <w:rFonts w:hint="eastAsia" w:ascii="宋体" w:hAnsi="宋体" w:cs="宋体"/>
          <w:b/>
          <w:sz w:val="24"/>
          <w:lang w:val="en-US" w:eastAsia="zh-CN"/>
        </w:rPr>
        <w:t xml:space="preserve">不含“首次响应文件提交的截止时间”当月）</w:t>
      </w:r>
      <w:r>
        <w:rPr>
          <w:rFonts w:hint="eastAsia" w:ascii="宋体" w:hAnsi="宋体" w:cs="宋体"/>
          <w:b/>
          <w:sz w:val="24"/>
        </w:rPr>
        <w:t xml:space="preserve">任何日期的资产负债表和利润表月报表；或供应商基本开户银行出具的有效的资信证明；或合法有效的经第三方机构审计的上年度</w:t>
      </w:r>
      <w:r>
        <w:rPr>
          <w:rFonts w:hint="eastAsia" w:ascii="宋体" w:hAnsi="宋体" w:cs="宋体"/>
          <w:b/>
          <w:sz w:val="24"/>
          <w:lang w:eastAsia="zh-CN"/>
        </w:rPr>
        <w:t xml:space="preserve">（</w:t>
      </w:r>
      <w:r>
        <w:rPr>
          <w:rFonts w:hint="eastAsia" w:ascii="宋体" w:hAnsi="宋体" w:cs="宋体"/>
          <w:b/>
          <w:sz w:val="24"/>
          <w:lang w:val="en-US" w:eastAsia="zh-CN"/>
        </w:rPr>
        <w:t xml:space="preserve">2025年</w:t>
      </w:r>
      <w:r>
        <w:rPr>
          <w:rFonts w:hint="eastAsia" w:ascii="宋体" w:hAnsi="宋体" w:cs="宋体"/>
          <w:b/>
          <w:sz w:val="24"/>
          <w:lang w:eastAsia="zh-CN"/>
        </w:rPr>
        <w:t xml:space="preserve">）</w:t>
      </w:r>
      <w:r>
        <w:rPr>
          <w:rFonts w:hint="eastAsia" w:ascii="宋体" w:hAnsi="宋体" w:cs="宋体"/>
          <w:b/>
          <w:sz w:val="24"/>
        </w:rPr>
        <w:t xml:space="preserve">的年度财务审计报告（应包括审计报告正文、资产负债表、现金流量表、利润表）</w:t>
      </w:r>
      <w:r>
        <w:rPr>
          <w:rFonts w:hint="eastAsia" w:ascii="宋体" w:hAnsi="宋体"/>
          <w:b/>
          <w:bCs/>
          <w:sz w:val="24"/>
          <w:szCs w:val="24"/>
        </w:rPr>
        <w:t xml:space="preserve">。</w:t>
      </w:r>
      <w:r>
        <w:rPr>
          <w:rFonts w:hint="eastAsia" w:ascii="宋体" w:hAnsi="宋体"/>
          <w:b/>
          <w:bCs/>
          <w:sz w:val="24"/>
          <w:szCs w:val="24"/>
          <w:lang w:eastAsia="zh-CN"/>
        </w:rPr>
        <w:t xml:space="preserve">（</w:t>
      </w:r>
      <w:r>
        <w:rPr>
          <w:rFonts w:hint="eastAsia" w:ascii="宋体" w:hAnsi="宋体"/>
          <w:b/>
          <w:bCs/>
          <w:sz w:val="24"/>
          <w:szCs w:val="24"/>
          <w:lang w:val="en-US" w:eastAsia="zh-CN"/>
        </w:rPr>
        <w:t xml:space="preserve">原件</w:t>
      </w:r>
      <w:r>
        <w:rPr>
          <w:rFonts w:hint="eastAsia" w:ascii="宋体" w:hAnsi="宋体"/>
          <w:b/>
          <w:sz w:val="24"/>
          <w:szCs w:val="24"/>
        </w:rPr>
        <w:t xml:space="preserve">扫描件</w:t>
      </w:r>
      <w:r>
        <w:rPr>
          <w:rFonts w:hint="eastAsia" w:ascii="宋体" w:hAnsi="宋体"/>
          <w:b/>
          <w:sz w:val="24"/>
          <w:szCs w:val="24"/>
          <w:lang w:eastAsia="zh-CN"/>
        </w:rPr>
        <w:t xml:space="preserve">）</w:t>
      </w:r>
      <w:r/>
    </w:p>
    <w:p>
      <w:pPr>
        <w:pStyle w:val="1158"/>
        <w:ind w:right="-334" w:firstLine="480"/>
        <w:spacing w:line="360" w:lineRule="auto"/>
        <w:rPr>
          <w:rFonts w:ascii="宋体" w:hAnsi="宋体"/>
          <w:b/>
          <w:sz w:val="24"/>
          <w:szCs w:val="24"/>
        </w:rPr>
      </w:pPr>
      <w:r>
        <w:rPr>
          <w:rFonts w:hint="eastAsia" w:ascii="宋体" w:hAnsi="宋体"/>
          <w:b/>
          <w:sz w:val="24"/>
          <w:szCs w:val="24"/>
          <w:lang w:val="en-US" w:eastAsia="zh-CN"/>
        </w:rPr>
        <w:t xml:space="preserve">3</w:t>
      </w:r>
      <w:r>
        <w:rPr>
          <w:rFonts w:hint="eastAsia" w:ascii="宋体" w:hAnsi="宋体"/>
          <w:b/>
          <w:sz w:val="24"/>
          <w:szCs w:val="24"/>
        </w:rPr>
        <w:t xml:space="preserve">.有依法缴纳税收和社会保障资金的良好记录，至少提供：</w:t>
      </w:r>
      <w:r/>
    </w:p>
    <w:p>
      <w:pPr>
        <w:pStyle w:val="1158"/>
        <w:ind w:right="-334" w:firstLine="480"/>
        <w:spacing w:line="360" w:lineRule="auto"/>
        <w:rPr>
          <w:rFonts w:hint="eastAsia" w:ascii="宋体" w:hAnsi="宋体"/>
          <w:b/>
          <w:sz w:val="24"/>
          <w:szCs w:val="24"/>
        </w:rPr>
      </w:pPr>
      <w:r>
        <w:rPr>
          <w:rFonts w:hint="eastAsia" w:ascii="宋体" w:hAnsi="宋体"/>
          <w:b/>
          <w:sz w:val="24"/>
          <w:szCs w:val="24"/>
        </w:rPr>
        <w:t xml:space="preserve">供应商的提交首次响应文件时间前六个月内</w:t>
      </w:r>
      <w:r>
        <w:rPr>
          <w:rFonts w:hint="eastAsia" w:ascii="宋体" w:hAnsi="宋体" w:cs="宋体"/>
          <w:b/>
          <w:sz w:val="24"/>
          <w:lang w:eastAsia="zh-CN"/>
        </w:rPr>
        <w:t xml:space="preserve">（</w:t>
      </w:r>
      <w:r>
        <w:rPr>
          <w:rFonts w:hint="eastAsia" w:ascii="宋体" w:hAnsi="宋体" w:cs="宋体"/>
          <w:b/>
          <w:sz w:val="24"/>
          <w:lang w:val="en-US" w:eastAsia="zh-CN"/>
        </w:rPr>
        <w:t xml:space="preserve">不含“首次响应文件提交的截止时间”当月）</w:t>
      </w:r>
      <w:r>
        <w:rPr>
          <w:rFonts w:hint="eastAsia" w:ascii="宋体" w:hAnsi="宋体"/>
          <w:b/>
          <w:sz w:val="24"/>
          <w:szCs w:val="24"/>
        </w:rPr>
        <w:t xml:space="preserve">任何一月的依法缴纳税收和社会保障资金的相关材料扫描件；依法免税或不需要缴纳社会保障资金的供应商应提供相应其依法免税或不需要缴纳社会保障资金的证明文件扫描件。</w:t>
      </w:r>
      <w:r/>
    </w:p>
    <w:p>
      <w:pPr>
        <w:pStyle w:val="1158"/>
        <w:ind w:right="-334" w:firstLine="480"/>
        <w:spacing w:line="360" w:lineRule="auto"/>
        <w:rPr>
          <w:rFonts w:hint="eastAsia" w:ascii="宋体" w:hAnsi="宋体"/>
          <w:b/>
          <w:sz w:val="24"/>
          <w:szCs w:val="24"/>
        </w:rPr>
      </w:pPr>
      <w:r>
        <w:rPr>
          <w:rFonts w:hint="eastAsia" w:ascii="宋体" w:hAnsi="宋体" w:cs="宋体"/>
          <w:b/>
          <w:bCs/>
          <w:color w:val="000000"/>
          <w:sz w:val="24"/>
          <w:szCs w:val="24"/>
          <w:highlight w:val="none"/>
          <w:lang w:val="en-US" w:eastAsia="zh-CN"/>
        </w:rPr>
        <w:t xml:space="preserve">4.</w:t>
      </w:r>
      <w:r>
        <w:rPr>
          <w:rFonts w:hint="eastAsia" w:ascii="宋体" w:hAnsi="宋体"/>
          <w:b/>
          <w:sz w:val="24"/>
          <w:szCs w:val="24"/>
        </w:rPr>
        <w:t xml:space="preserve">具备履行合同所必需的设备和专业技术能力的证明材料，响应文件中提供具备履行合同所必需的设备和专业技术能力的书面声明(加盖电子签章，格式见《磋商文件》附件)；</w:t>
      </w:r>
      <w:r/>
    </w:p>
    <w:p>
      <w:pPr>
        <w:pStyle w:val="1158"/>
        <w:ind w:right="-334" w:firstLine="480"/>
        <w:spacing w:line="360" w:lineRule="auto"/>
        <w:rPr>
          <w:rFonts w:hint="eastAsia" w:ascii="宋体" w:hAnsi="宋体"/>
          <w:b/>
          <w:sz w:val="24"/>
          <w:szCs w:val="24"/>
        </w:rPr>
      </w:pPr>
      <w:r>
        <w:rPr>
          <w:rFonts w:hint="eastAsia" w:ascii="宋体" w:hAnsi="宋体"/>
          <w:b/>
          <w:sz w:val="24"/>
          <w:szCs w:val="24"/>
          <w:lang w:val="en-US" w:eastAsia="zh-CN"/>
        </w:rPr>
        <w:t xml:space="preserve">5</w:t>
      </w:r>
      <w:r>
        <w:rPr>
          <w:rFonts w:hint="eastAsia" w:ascii="宋体" w:hAnsi="宋体"/>
          <w:b/>
          <w:sz w:val="24"/>
          <w:szCs w:val="24"/>
        </w:rPr>
        <w:t xml:space="preserve">.供应商参加政府采购活动前3年内在经营活动中没有重大违法记录的书面声明(加盖电子签章，格式见《磋商文件》附件)。</w:t>
      </w:r>
      <w:r/>
    </w:p>
    <w:p>
      <w:pPr>
        <w:pStyle w:val="1158"/>
        <w:ind w:right="-334" w:firstLine="480"/>
        <w:spacing w:line="360" w:lineRule="auto"/>
        <w:rPr>
          <w:rFonts w:hint="eastAsia" w:ascii="宋体" w:hAnsi="宋体"/>
          <w:b/>
          <w:color w:val="000000"/>
          <w:sz w:val="24"/>
          <w:szCs w:val="24"/>
          <w:lang w:val="en-US" w:eastAsia="zh-CN"/>
        </w:rPr>
      </w:pPr>
      <w:r>
        <w:rPr>
          <w:rFonts w:hint="eastAsia" w:ascii="宋体" w:hAnsi="宋体"/>
          <w:b/>
          <w:color w:val="000000"/>
          <w:sz w:val="24"/>
          <w:szCs w:val="24"/>
          <w:lang w:val="en-US" w:eastAsia="zh-CN"/>
        </w:rPr>
        <w:t xml:space="preserve">6.特定资格要求：</w:t>
      </w:r>
      <w:r/>
    </w:p>
    <w:p>
      <w:pPr>
        <w:pStyle w:val="1158"/>
        <w:ind w:right="-334" w:firstLine="480"/>
        <w:spacing w:line="360" w:lineRule="auto"/>
        <w:rPr>
          <w:rFonts w:hint="eastAsia" w:ascii="宋体" w:hAnsi="宋体"/>
          <w:b/>
          <w:color w:val="000000"/>
          <w:sz w:val="24"/>
          <w:szCs w:val="24"/>
          <w:lang w:eastAsia="zh-CN"/>
        </w:rPr>
      </w:pPr>
      <w:r>
        <w:rPr>
          <w:rFonts w:ascii="宋体" w:hAnsi="宋体"/>
          <w:b/>
          <w:color w:val="000000"/>
          <w:sz w:val="24"/>
          <w:szCs w:val="24"/>
        </w:rPr>
        <w:t xml:space="preserve">①</w:t>
      </w:r>
      <w:r>
        <w:rPr>
          <w:rFonts w:hint="eastAsia" w:ascii="宋体" w:hAnsi="宋体" w:eastAsia="宋体"/>
          <w:b/>
          <w:color w:val="000000"/>
          <w:sz w:val="24"/>
          <w:szCs w:val="24"/>
          <w:lang w:eastAsia="zh-CN"/>
        </w:rPr>
        <w:t xml:space="preserve">供应商具有有效的市政公用工程施工总承包叁级（含）</w:t>
      </w:r>
      <w:r>
        <w:rPr>
          <w:rFonts w:hint="eastAsia" w:ascii="宋体" w:hAnsi="宋体" w:eastAsia="宋体"/>
          <w:b/>
          <w:color w:val="000000"/>
          <w:sz w:val="24"/>
          <w:szCs w:val="24"/>
          <w:lang w:val="en-US" w:eastAsia="zh-CN"/>
        </w:rPr>
        <w:t xml:space="preserve">及</w:t>
      </w:r>
      <w:r>
        <w:rPr>
          <w:rFonts w:hint="eastAsia" w:ascii="宋体" w:hAnsi="宋体" w:eastAsia="宋体"/>
          <w:b/>
          <w:color w:val="000000"/>
          <w:sz w:val="24"/>
          <w:szCs w:val="24"/>
          <w:lang w:eastAsia="zh-CN"/>
        </w:rPr>
        <w:t xml:space="preserve">以上资质</w:t>
      </w:r>
      <w:r>
        <w:rPr>
          <w:rFonts w:hint="eastAsia" w:ascii="宋体" w:hAnsi="宋体" w:eastAsia="宋体"/>
          <w:b/>
          <w:color w:val="000000"/>
          <w:sz w:val="24"/>
          <w:szCs w:val="24"/>
        </w:rPr>
        <w:t xml:space="preserve">证书</w:t>
      </w:r>
      <w:r>
        <w:rPr>
          <w:rFonts w:hint="eastAsia" w:ascii="宋体" w:hAnsi="宋体"/>
          <w:b/>
          <w:color w:val="000000"/>
          <w:sz w:val="24"/>
          <w:szCs w:val="24"/>
        </w:rPr>
        <w:t xml:space="preserve">原件扫描件</w:t>
      </w:r>
      <w:r>
        <w:rPr>
          <w:rFonts w:hint="eastAsia" w:ascii="宋体" w:hAnsi="宋体"/>
          <w:b/>
          <w:color w:val="000000"/>
          <w:sz w:val="24"/>
          <w:szCs w:val="24"/>
          <w:lang w:eastAsia="zh-CN"/>
        </w:rPr>
        <w:t xml:space="preserve">；</w:t>
      </w:r>
      <w:r/>
    </w:p>
    <w:p>
      <w:pPr>
        <w:pStyle w:val="1158"/>
        <w:ind w:right="-334" w:firstLine="480"/>
        <w:spacing w:line="360" w:lineRule="auto"/>
        <w:rPr>
          <w:rFonts w:hint="eastAsia" w:ascii="宋体" w:hAnsi="宋体"/>
          <w:b/>
          <w:color w:val="000000"/>
          <w:sz w:val="24"/>
          <w:szCs w:val="24"/>
        </w:rPr>
      </w:pPr>
      <w:r>
        <w:rPr>
          <w:rFonts w:ascii="宋体" w:hAnsi="宋体"/>
          <w:b/>
          <w:color w:val="000000"/>
          <w:sz w:val="24"/>
          <w:szCs w:val="24"/>
        </w:rPr>
        <w:t xml:space="preserve">②</w:t>
      </w:r>
      <w:r>
        <w:rPr>
          <w:rFonts w:hint="eastAsia" w:ascii="宋体" w:hAnsi="宋体"/>
          <w:b/>
          <w:color w:val="000000"/>
          <w:sz w:val="24"/>
          <w:szCs w:val="24"/>
        </w:rPr>
        <w:t xml:space="preserve">有效的安全生产许可证原件扫描件；</w:t>
      </w:r>
      <w:r/>
    </w:p>
    <w:p>
      <w:pPr>
        <w:pStyle w:val="1158"/>
        <w:ind w:right="-334" w:firstLine="480"/>
        <w:spacing w:line="360" w:lineRule="auto"/>
        <w:rPr>
          <w:rFonts w:ascii="宋体" w:hAnsi="宋体"/>
          <w:b/>
          <w:color w:val="000000"/>
          <w:sz w:val="24"/>
          <w:szCs w:val="24"/>
          <w:lang w:val="en-US" w:eastAsia="zh-CN"/>
        </w:rPr>
      </w:pPr>
      <w:r>
        <w:rPr>
          <w:rFonts w:ascii="宋体" w:hAnsi="宋体"/>
          <w:b/>
          <w:color w:val="000000"/>
          <w:sz w:val="24"/>
          <w:szCs w:val="24"/>
        </w:rPr>
        <w:t xml:space="preserve">③</w:t>
      </w:r>
      <w:r>
        <w:rPr>
          <w:rFonts w:hint="eastAsia" w:ascii="宋体" w:hAnsi="宋体" w:eastAsia="宋体"/>
          <w:b/>
          <w:color w:val="000000"/>
          <w:sz w:val="24"/>
          <w:szCs w:val="24"/>
          <w:lang w:eastAsia="zh-CN"/>
        </w:rPr>
        <w:t xml:space="preserve">供应商拟选派项目负责人具备注册建造师证市政公用工程专业二级（含）</w:t>
      </w:r>
      <w:r>
        <w:rPr>
          <w:rFonts w:hint="eastAsia" w:ascii="宋体" w:hAnsi="宋体" w:eastAsia="宋体"/>
          <w:b/>
          <w:color w:val="000000"/>
          <w:sz w:val="24"/>
          <w:szCs w:val="24"/>
          <w:lang w:val="en-US" w:eastAsia="zh-CN"/>
        </w:rPr>
        <w:t xml:space="preserve">及</w:t>
      </w:r>
      <w:r>
        <w:rPr>
          <w:rFonts w:hint="eastAsia" w:ascii="宋体" w:hAnsi="宋体" w:eastAsia="宋体"/>
          <w:b/>
          <w:color w:val="000000"/>
          <w:sz w:val="24"/>
          <w:szCs w:val="24"/>
          <w:lang w:eastAsia="zh-CN"/>
        </w:rPr>
        <w:t xml:space="preserve">以上资质</w:t>
      </w:r>
      <w:r>
        <w:rPr>
          <w:rFonts w:hint="eastAsia" w:ascii="宋体" w:hAnsi="宋体" w:eastAsia="宋体"/>
          <w:b/>
          <w:color w:val="000000"/>
          <w:sz w:val="24"/>
          <w:szCs w:val="24"/>
          <w:lang w:val="en-US" w:eastAsia="zh-CN"/>
        </w:rPr>
        <w:t xml:space="preserve">证书</w:t>
      </w:r>
      <w:r>
        <w:rPr>
          <w:rFonts w:hint="eastAsia" w:ascii="宋体" w:hAnsi="宋体" w:eastAsia="宋体"/>
          <w:b/>
          <w:color w:val="000000"/>
          <w:sz w:val="24"/>
          <w:szCs w:val="24"/>
        </w:rPr>
        <w:t xml:space="preserve">原</w:t>
      </w:r>
      <w:r>
        <w:rPr>
          <w:rFonts w:hint="eastAsia" w:ascii="宋体" w:hAnsi="宋体"/>
          <w:b/>
          <w:color w:val="000000"/>
          <w:sz w:val="24"/>
          <w:szCs w:val="24"/>
        </w:rPr>
        <w:t xml:space="preserve">件扫描件</w:t>
      </w:r>
      <w:r>
        <w:rPr>
          <w:rFonts w:hint="eastAsia" w:ascii="宋体" w:hAnsi="宋体"/>
          <w:b/>
          <w:color w:val="000000"/>
          <w:sz w:val="24"/>
          <w:szCs w:val="24"/>
          <w:lang w:eastAsia="zh-CN"/>
        </w:rPr>
        <w:t xml:space="preserve">，</w:t>
      </w:r>
      <w:r>
        <w:rPr>
          <w:rFonts w:hint="eastAsia" w:ascii="宋体" w:hAnsi="宋体"/>
          <w:b/>
          <w:color w:val="000000"/>
          <w:sz w:val="24"/>
          <w:szCs w:val="24"/>
          <w:lang w:val="en-US" w:eastAsia="zh-CN"/>
        </w:rPr>
        <w:t xml:space="preserve">并</w:t>
      </w:r>
      <w:r>
        <w:rPr>
          <w:rFonts w:hint="eastAsia" w:ascii="宋体" w:hAnsi="宋体"/>
          <w:b/>
          <w:color w:val="000000"/>
          <w:sz w:val="24"/>
          <w:szCs w:val="24"/>
        </w:rPr>
        <w:t xml:space="preserve">具有有效安全生产考核合格证B证</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提供无在建工程承诺书（格式自拟）或证明。</w:t>
      </w:r>
      <w:r/>
    </w:p>
    <w:p>
      <w:pPr>
        <w:pStyle w:val="1158"/>
        <w:ind w:right="-334" w:firstLine="480"/>
        <w:spacing w:line="360" w:lineRule="auto"/>
        <w:rPr>
          <w:rFonts w:ascii="宋体" w:hAnsi="宋体"/>
          <w:b/>
          <w:sz w:val="24"/>
          <w:szCs w:val="24"/>
        </w:rPr>
      </w:pPr>
      <w:r>
        <w:rPr>
          <w:rFonts w:hint="eastAsia" w:ascii="宋体" w:hAnsi="宋体"/>
          <w:b/>
          <w:sz w:val="24"/>
          <w:szCs w:val="24"/>
          <w:lang w:val="en-US" w:eastAsia="zh-CN"/>
        </w:rPr>
        <w:t xml:space="preserve">7</w:t>
      </w:r>
      <w:r>
        <w:rPr>
          <w:rFonts w:hint="eastAsia" w:ascii="宋体" w:hAnsi="宋体"/>
          <w:b/>
          <w:sz w:val="24"/>
          <w:szCs w:val="24"/>
        </w:rPr>
        <w:t xml:space="preserve">.供应商为中小企业（含中型、小型、微型企业，下同）的，提供《中小企业声明函》（电子签章，须填写完整，否则无效。格式见《磋商文件》附件）。《中小企业声明函》查询渠道参考工业和信息化部发布的中小企业规模自测小程序。</w:t>
      </w:r>
      <w:r/>
    </w:p>
    <w:p>
      <w:pPr>
        <w:pStyle w:val="1168"/>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注：中小微企业，应当同时符合以下条件：</w:t>
      </w:r>
      <w:r/>
    </w:p>
    <w:p>
      <w:pPr>
        <w:pStyle w:val="1168"/>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具体以《政府采购促进中小企业发展管理办法》（财库[2020]46号）和《关于印发中小企业划型标准规定的通知》（工信部联企业[2011]300号）的规定为准。</w:t>
      </w:r>
      <w:r/>
    </w:p>
    <w:p>
      <w:pPr>
        <w:pStyle w:val="1168"/>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注：监护企业和残疾人福利性单位等同于小微企业。</w:t>
      </w:r>
      <w:r/>
    </w:p>
    <w:p>
      <w:pPr>
        <w:pStyle w:val="1168"/>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供应商为监狱企业的，提供省级以上监狱管理局、戒毒管理局（含新疆生产设兵团）出具的属于监狱企业的证明文件原件的扫描件。</w:t>
      </w:r>
      <w:r/>
    </w:p>
    <w:p>
      <w:pPr>
        <w:pStyle w:val="1168"/>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具体以《财政部 司法部关于政府采购支持监狱企业发展有关问题的通知》（财库〔2014〕68号）的规定为准。</w:t>
      </w:r>
      <w:r/>
    </w:p>
    <w:p>
      <w:pPr>
        <w:pStyle w:val="1168"/>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供应商为享受政府采购支持政策的残疾人福利性单位的，提供《残疾人福利性单位声明函》（加盖电子签章，格式见《磋商文件》附件）。</w:t>
      </w:r>
      <w:r/>
    </w:p>
    <w:p>
      <w:pPr>
        <w:pStyle w:val="1168"/>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享受政府采购支持政策的残疾人福利性单位应当同时满足以下条件：</w:t>
      </w:r>
      <w:r/>
    </w:p>
    <w:p>
      <w:pPr>
        <w:pStyle w:val="1168"/>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①安置的残疾人占本单位在职职工人数的比例不低于25%（含25%），并且安置的残疾人人数不少于10人（含10人）；</w:t>
      </w:r>
      <w:r/>
    </w:p>
    <w:p>
      <w:pPr>
        <w:pStyle w:val="1168"/>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②依法与安置的每位残疾人签订了一年以上（含一年）的劳动合同或服务协议；</w:t>
      </w:r>
      <w:r/>
    </w:p>
    <w:p>
      <w:pPr>
        <w:pStyle w:val="1168"/>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③为安置的每位残疾人按月足额缴纳了基本养老保险、基本医疗保险、失业保险、工伤保险和生育保险等社会保险费；</w:t>
      </w:r>
      <w:r/>
    </w:p>
    <w:p>
      <w:pPr>
        <w:pStyle w:val="1168"/>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④通过银行等金融机构向安置的每位残疾人，按月支付了不低于单位所在区县适用的经省级人民政府批准的月最低工资标准的工资；</w:t>
      </w:r>
      <w:r/>
    </w:p>
    <w:p>
      <w:pPr>
        <w:pStyle w:val="1168"/>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1168"/>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68"/>
        <w:ind w:left="0"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具体以《三部门联合发布关于促进残疾人就业政府采购政策的通知》（财库〔2017〕141号）规定为准。</w:t>
      </w:r>
      <w:r/>
    </w:p>
    <w:p>
      <w:pPr>
        <w:pStyle w:val="1158"/>
        <w:numPr>
          <w:ilvl w:val="0"/>
          <w:numId w:val="3"/>
        </w:num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符合条件（必须提供，否则响应无效）</w:t>
      </w:r>
      <w:r/>
    </w:p>
    <w:p>
      <w:pPr>
        <w:pStyle w:val="1168"/>
        <w:ind w:left="0" w:firstLine="48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1、《磋商报价表》（加盖电子签章，格式见《磋商文件》附件）；</w:t>
      </w:r>
      <w:r/>
    </w:p>
    <w:p>
      <w:pPr>
        <w:pStyle w:val="1168"/>
        <w:ind w:left="0" w:firstLine="48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2、《分项价格表》（具有标价的工程量清单与报价表）（</w:t>
      </w:r>
      <w:r>
        <w:rPr>
          <w:rFonts w:hint="eastAsia" w:ascii="宋体" w:hAnsi="宋体" w:eastAsia="宋体" w:cs="宋体"/>
          <w:b w:val="0"/>
          <w:bCs w:val="0"/>
          <w:color w:val="000000"/>
          <w:sz w:val="24"/>
          <w:szCs w:val="24"/>
          <w:highlight w:val="none"/>
        </w:rPr>
        <w:t xml:space="preserve">加盖</w:t>
      </w:r>
      <w:r>
        <w:rPr>
          <w:rFonts w:hint="eastAsia" w:ascii="宋体" w:hAnsi="宋体" w:eastAsia="宋体" w:cs="宋体"/>
          <w:b w:val="0"/>
          <w:bCs w:val="0"/>
          <w:color w:val="000000"/>
          <w:sz w:val="24"/>
          <w:szCs w:val="24"/>
          <w:highlight w:val="none"/>
          <w:lang w:val="en-US" w:eastAsia="zh-CN"/>
        </w:rPr>
        <w:t xml:space="preserve">电子签章，格式见工程量清单）；</w:t>
      </w:r>
      <w:r/>
    </w:p>
    <w:p>
      <w:pPr>
        <w:pStyle w:val="115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、《偏离表》（加盖电子签章，格式见《磋商文件》附件）；</w:t>
      </w:r>
      <w:r/>
    </w:p>
    <w:p>
      <w:pPr>
        <w:pStyle w:val="1168"/>
        <w:ind w:left="0"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、《承诺书》（加盖电子签章，格式见《磋商文件》附件）；</w:t>
      </w:r>
      <w:r/>
    </w:p>
    <w:p>
      <w:pPr>
        <w:pStyle w:val="1153"/>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《法定代表人授权书》（提供原件的扫描件；法定代表人参加的应提供 《法定代表人资格证书》原件的扫描件；授权委托人参加的应同时提供《法定代表人资格证书》和《法定代表人授权书》原件的扫描件。</w:t>
      </w:r>
      <w:r>
        <w:rPr>
          <w:rFonts w:hint="eastAsia" w:ascii="宋体" w:hAnsi="宋体" w:eastAsia="宋体" w:cs="宋体"/>
          <w:b w:val="0"/>
          <w:bCs w:val="0"/>
          <w:color w:val="000000"/>
          <w:sz w:val="24"/>
          <w:szCs w:val="24"/>
          <w:highlight w:val="none"/>
        </w:rPr>
        <w:t xml:space="preserve">加盖电子签章</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格式见《磋商文件》附件</w:t>
      </w:r>
      <w:r>
        <w:rPr>
          <w:rFonts w:hint="eastAsia" w:ascii="宋体" w:hAnsi="宋体" w:eastAsia="宋体" w:cs="宋体"/>
          <w:color w:val="000000"/>
          <w:sz w:val="24"/>
          <w:szCs w:val="24"/>
          <w:highlight w:val="none"/>
        </w:rPr>
        <w:t xml:space="preserve">）。</w:t>
      </w:r>
      <w:r/>
    </w:p>
    <w:p>
      <w:pPr>
        <w:pStyle w:val="1158"/>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rPr>
        <w:t xml:space="preserve">（四）综合评审评分项</w:t>
      </w:r>
      <w:r/>
    </w:p>
    <w:p>
      <w:pPr>
        <w:pStyle w:val="115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施工方案（要求见《磋商文件》附件1、《评分细则》及附件：2、《项目要求（采购需求）》）；</w:t>
      </w:r>
      <w:r/>
    </w:p>
    <w:p>
      <w:pPr>
        <w:pStyle w:val="115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w:t>
      </w:r>
      <w:r>
        <w:rPr>
          <w:rFonts w:hint="eastAsia" w:eastAsia="宋体" w:cs="宋体"/>
          <w:color w:val="000000"/>
          <w:sz w:val="24"/>
          <w:szCs w:val="24"/>
          <w:highlight w:val="none"/>
          <w:lang w:val="en-US" w:eastAsia="zh-CN"/>
        </w:rPr>
        <w:t xml:space="preserve">服务</w:t>
      </w:r>
      <w:r>
        <w:rPr>
          <w:rFonts w:hint="eastAsia" w:cs="宋体"/>
          <w:color w:val="000000"/>
          <w:sz w:val="24"/>
          <w:szCs w:val="24"/>
          <w:highlight w:val="none"/>
        </w:rPr>
        <w:t xml:space="preserve">方案</w:t>
      </w:r>
      <w:r>
        <w:rPr>
          <w:rFonts w:hint="eastAsia" w:ascii="宋体" w:hAnsi="宋体" w:eastAsia="宋体" w:cs="宋体"/>
          <w:b w:val="0"/>
          <w:bCs w:val="0"/>
          <w:color w:val="000000"/>
          <w:sz w:val="24"/>
          <w:szCs w:val="24"/>
          <w:highlight w:val="none"/>
        </w:rPr>
        <w:t xml:space="preserve">（要求见《磋商文件》附件1、《评分细则》及附件：2、《项目要求（采购需求）》）；</w:t>
      </w:r>
      <w:r/>
    </w:p>
    <w:p>
      <w:pPr>
        <w:pStyle w:val="115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、评分细则中评分得分需提供的相关证明文件扫描件或供应商认为需要提供的其他资料扫描件。</w:t>
      </w:r>
      <w:r/>
    </w:p>
    <w:p>
      <w:pPr>
        <w:pStyle w:val="1153"/>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（五）价格折扣文件格式</w:t>
      </w:r>
      <w:r/>
    </w:p>
    <w:p>
      <w:pPr>
        <w:pStyle w:val="1153"/>
        <w:ind w:firstLine="48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1、企业报价折扣证明：</w:t>
      </w:r>
      <w:r>
        <w:rPr>
          <w:rFonts w:hint="eastAsia" w:ascii="宋体" w:hAnsi="宋体" w:cs="宋体"/>
          <w:b w:val="0"/>
          <w:bCs w:val="0"/>
          <w:color w:val="000000"/>
          <w:sz w:val="24"/>
          <w:szCs w:val="24"/>
          <w:highlight w:val="none"/>
          <w:lang w:val="en-US" w:eastAsia="zh-CN"/>
        </w:rPr>
        <w:t xml:space="preserve">无</w:t>
      </w:r>
      <w:r/>
    </w:p>
    <w:p>
      <w:pPr>
        <w:pStyle w:val="1153"/>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（六）提交的首次响应文件的密封、签署、盖章要求：</w:t>
      </w:r>
      <w:r/>
    </w:p>
    <w:p>
      <w:pPr>
        <w:pStyle w:val="11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1、密封（加密）要求：</w:t>
      </w:r>
      <w:r/>
    </w:p>
    <w:p>
      <w:pPr>
        <w:pStyle w:val="115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15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2、签署要求：</w:t>
      </w:r>
      <w:r>
        <w:rPr>
          <w:rFonts w:hint="eastAsia" w:ascii="宋体" w:hAnsi="宋体" w:eastAsia="宋体" w:cs="宋体"/>
          <w:b/>
          <w:bCs/>
          <w:sz w:val="24"/>
          <w:szCs w:val="24"/>
          <w:highlight w:val="none"/>
        </w:rPr>
        <w:t xml:space="preserve">特别提醒：竞争性磋商文件中《法定代表人授权书》如需法定代表人（签字或盖章）或受托人（签字或盖章），供应商可打印成文档，签字或盖章后再扫描上传，最后再电子签章。</w:t>
      </w:r>
      <w:r>
        <w:rPr>
          <w:rFonts w:hint="eastAsia" w:ascii="宋体" w:hAnsi="宋体" w:eastAsia="宋体" w:cs="宋体"/>
          <w:sz w:val="24"/>
          <w:szCs w:val="24"/>
          <w:highlight w:val="none"/>
        </w:rPr>
        <w:t xml:space="preserve">见《磋商文件》第九章附件中相关格式要求。</w:t>
      </w:r>
      <w:r/>
    </w:p>
    <w:p>
      <w:pPr>
        <w:pStyle w:val="1153"/>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3、盖章要求：见《磋商文件》第九章附件中相关格式要求。供应商须通过“苏采</w:t>
      </w:r>
      <w:r>
        <w:rPr>
          <w:rFonts w:hint="eastAsia" w:ascii="宋体" w:hAnsi="宋体" w:eastAsia="宋体" w:cs="宋体"/>
          <w:b w:val="0"/>
          <w:bCs w:val="0"/>
          <w:sz w:val="24"/>
          <w:szCs w:val="24"/>
          <w:highlight w:val="none"/>
        </w:rPr>
        <w:t xml:space="preserve">云”系统提供的政府采购客户端工具（使用“CA数字证书”）加盖电子签章。</w:t>
      </w:r>
      <w:r/>
    </w:p>
    <w:p>
      <w:pPr>
        <w:pStyle w:val="1153"/>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（七）通过“苏采云”系统提交政府采购客户端工具导出加密的响应文件（后缀名为zip）。响应文件不得超过150M！ </w:t>
      </w:r>
      <w:r/>
    </w:p>
    <w:p>
      <w:pPr>
        <w:pStyle w:val="1153"/>
        <w:ind w:firstLine="49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pStyle w:val="1153"/>
        <w:ind w:firstLine="49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1、供应商应当按照《磋商文件》的要求编制响应文件，并对其提交的响应文件的真实性、合法性承担法律责任。</w:t>
      </w:r>
      <w:r/>
    </w:p>
    <w:p>
      <w:pPr>
        <w:pStyle w:val="115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2、采购人索取成交供应商的响应文件，须在双方签订政府采购合同后，由采购代理机构提供给采购人。</w:t>
      </w:r>
      <w:r/>
    </w:p>
    <w:p>
      <w:pPr>
        <w:pStyle w:val="1153"/>
        <w:ind w:firstLine="478"/>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w:t>
      </w:r>
      <w:r>
        <w:rPr>
          <w:rFonts w:hint="eastAsia" w:ascii="宋体" w:hAnsi="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章 磋商相关说明</w:t>
      </w:r>
      <w:r/>
    </w:p>
    <w:p>
      <w:pPr>
        <w:pStyle w:val="1153"/>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十四、磋商相关说明</w:t>
      </w:r>
      <w:r/>
    </w:p>
    <w:p>
      <w:pPr>
        <w:pStyle w:val="1153"/>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（一）磋商要求</w:t>
      </w:r>
      <w:r/>
    </w:p>
    <w:p>
      <w:pPr>
        <w:pStyle w:val="115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1.被邀请参与磋商的供应商需按本竞争性磋商文件要求的截止时间、方式（地点）提交首次响应文件，同时由法人或法人授权代表通过“苏采云”系统（开标大厅）等待磋商。</w:t>
      </w:r>
      <w:r/>
    </w:p>
    <w:p>
      <w:pPr>
        <w:pStyle w:val="115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2.供应商可通过CA数字证书，在首次响应文件开启时间后，使用CA数字证书在规定时间内解密各自响应文件。</w:t>
      </w:r>
      <w:r/>
    </w:p>
    <w:p>
      <w:pPr>
        <w:pStyle w:val="115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115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4.磋商顺序按照电子标书解密先后时间进行，解密时间相同的，不分先后顺序。</w:t>
      </w:r>
      <w:r/>
    </w:p>
    <w:p>
      <w:pPr>
        <w:pStyle w:val="1153"/>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5.磋商方</w:t>
      </w:r>
      <w:r>
        <w:rPr>
          <w:rFonts w:hint="eastAsia" w:ascii="宋体" w:hAnsi="宋体" w:eastAsia="宋体" w:cs="宋体"/>
          <w:b w:val="0"/>
          <w:bCs w:val="0"/>
          <w:sz w:val="24"/>
          <w:szCs w:val="24"/>
          <w:highlight w:val="none"/>
        </w:rPr>
        <w:t xml:space="preserve">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bCs/>
          <w:sz w:val="24"/>
          <w:szCs w:val="24"/>
          <w:highlight w:val="none"/>
        </w:rPr>
        <w:t xml:space="preserve">（所有邀请等待时间2分钟，2分钟内所邀请供应商无响应，视同放弃磋商的权利，由解密顺序下一家进行磋商，不再后补）</w:t>
      </w:r>
      <w:r>
        <w:rPr>
          <w:rFonts w:hint="eastAsia" w:ascii="宋体" w:hAnsi="宋体" w:eastAsia="宋体" w:cs="宋体"/>
          <w:b w:val="0"/>
          <w:bCs w:val="0"/>
          <w:sz w:val="24"/>
          <w:szCs w:val="24"/>
          <w:highlight w:val="none"/>
        </w:rPr>
        <w:t xml:space="preserve">。</w:t>
      </w:r>
      <w:r/>
    </w:p>
    <w:p>
      <w:pPr>
        <w:pStyle w:val="115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6.未在规定时间内进行答疑澄清的，视同放弃澄清。</w:t>
      </w:r>
      <w:r/>
    </w:p>
    <w:p>
      <w:pPr>
        <w:pStyle w:val="115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7.未在规定时间内进行报价的，视为响应无效。</w:t>
      </w:r>
      <w:r/>
    </w:p>
    <w:p>
      <w:pPr>
        <w:pStyle w:val="1153"/>
        <w:ind w:firstLine="480"/>
        <w:spacing w:line="360" w:lineRule="auto"/>
        <w:rPr>
          <w:rFonts w:hint="eastAsia"/>
          <w:b/>
          <w:bCs/>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本项目报价采用二轮报价，</w:t>
      </w:r>
      <w:r>
        <w:rPr>
          <w:rFonts w:hint="eastAsia" w:ascii="宋体" w:hAnsi="宋体" w:eastAsia="宋体" w:cs="宋体"/>
          <w:b/>
          <w:bCs/>
          <w:sz w:val="24"/>
          <w:szCs w:val="24"/>
          <w:highlight w:val="none"/>
          <w:lang w:val="en-US" w:eastAsia="zh-CN"/>
        </w:rPr>
        <w:t xml:space="preserve">各供应商在未进行第二次报价前，请不要离开开标系统，随时接受评标委员会发起的二次报价，供应商应凭CA数字证书以及能够登录“苏采云”系统的电脑在规定时间内进行二轮报价，</w:t>
      </w:r>
      <w:r>
        <w:rPr>
          <w:rFonts w:hint="eastAsia" w:ascii="宋体" w:hAnsi="宋体" w:eastAsia="宋体" w:cs="宋体"/>
          <w:b/>
          <w:bCs/>
          <w:sz w:val="24"/>
          <w:szCs w:val="24"/>
          <w:highlight w:val="none"/>
        </w:rPr>
        <w:t xml:space="preserve">如未进行二轮报价，视为响应无效</w:t>
      </w:r>
      <w:r>
        <w:rPr>
          <w:rFonts w:hint="eastAsia" w:ascii="宋体" w:hAnsi="宋体" w:eastAsia="宋体" w:cs="宋体"/>
          <w:b/>
          <w:bCs/>
          <w:sz w:val="24"/>
          <w:szCs w:val="24"/>
          <w:highlight w:val="none"/>
          <w:lang w:val="en-US" w:eastAsia="zh-CN"/>
        </w:rPr>
        <w:t xml:space="preserve">，由此而引起的废标及损失，由供应商自行承担。</w:t>
      </w:r>
      <w:r/>
    </w:p>
    <w:p>
      <w:pPr>
        <w:pStyle w:val="115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8.被邀请参与磋商的供应商如未按上述磋商要求执行，视同放弃磋商的权利。</w:t>
      </w:r>
      <w:r/>
    </w:p>
    <w:p>
      <w:pPr>
        <w:pStyle w:val="1153"/>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 (二) 查询及使用供应商信用记录</w:t>
      </w:r>
      <w:r/>
    </w:p>
    <w:p>
      <w:pPr>
        <w:ind w:firstLine="480"/>
        <w:jc w:val="left"/>
        <w:spacing w:line="360" w:lineRule="auto"/>
        <w:widowControl/>
        <w:rPr>
          <w:rFonts w:ascii="宋体" w:hAnsi="宋体"/>
          <w:sz w:val="24"/>
        </w:rPr>
      </w:pPr>
      <w:r>
        <w:rPr>
          <w:rFonts w:hint="eastAsia" w:ascii="宋体" w:hAnsi="宋体"/>
          <w:sz w:val="24"/>
        </w:rPr>
        <w:t xml:space="preserve">1.由采购人查询信用信息。</w:t>
      </w:r>
      <w:r/>
    </w:p>
    <w:p>
      <w:pPr>
        <w:ind w:firstLine="480"/>
        <w:jc w:val="left"/>
        <w:spacing w:line="360" w:lineRule="auto"/>
        <w:widowControl/>
        <w:rPr>
          <w:rFonts w:ascii="宋体" w:hAnsi="宋体"/>
          <w:sz w:val="24"/>
        </w:rPr>
      </w:pPr>
      <w:r>
        <w:rPr>
          <w:rFonts w:hint="eastAsia" w:ascii="宋体" w:hAnsi="宋体"/>
          <w:sz w:val="24"/>
        </w:rPr>
        <w:t xml:space="preserve">2.查询渠道包括：</w:t>
      </w:r>
      <w:r/>
    </w:p>
    <w:p>
      <w:pPr>
        <w:ind w:firstLine="480"/>
        <w:jc w:val="left"/>
        <w:spacing w:line="360" w:lineRule="auto"/>
        <w:widowControl/>
        <w:rPr>
          <w:rFonts w:ascii="宋体" w:hAnsi="宋体"/>
          <w:sz w:val="24"/>
        </w:rPr>
      </w:pPr>
      <w:r>
        <w:rPr>
          <w:rFonts w:hint="eastAsia" w:ascii="宋体" w:hAnsi="宋体"/>
          <w:sz w:val="24"/>
        </w:rPr>
        <w:t xml:space="preserve">(1)“信用中国”网（www.creditchina.gov.cn）；</w:t>
      </w:r>
      <w:r/>
    </w:p>
    <w:p>
      <w:pPr>
        <w:ind w:firstLine="480"/>
        <w:jc w:val="left"/>
        <w:spacing w:line="360" w:lineRule="auto"/>
        <w:widowControl/>
        <w:rPr>
          <w:rFonts w:ascii="宋体" w:hAnsi="宋体"/>
          <w:sz w:val="24"/>
        </w:rPr>
      </w:pPr>
      <w:r>
        <w:rPr>
          <w:rFonts w:hint="eastAsia" w:ascii="宋体" w:hAnsi="宋体"/>
          <w:sz w:val="24"/>
        </w:rPr>
        <w:t xml:space="preserve">(2) 中国政府采购网（www.ccgp.gov.cn）；</w:t>
      </w:r>
      <w:r/>
    </w:p>
    <w:p>
      <w:pPr>
        <w:ind w:firstLine="480"/>
        <w:jc w:val="left"/>
        <w:spacing w:line="360" w:lineRule="auto"/>
        <w:widowControl/>
        <w:rPr>
          <w:rFonts w:ascii="宋体" w:hAnsi="宋体"/>
          <w:sz w:val="24"/>
        </w:rPr>
      </w:pPr>
      <w:r>
        <w:rPr>
          <w:rFonts w:hint="eastAsia" w:ascii="宋体" w:hAnsi="宋体"/>
          <w:sz w:val="24"/>
        </w:rPr>
        <w:t xml:space="preserve">(3) “诚信江苏”网（www.jiangsu.gov.cn/jsxy/index.htm）</w:t>
      </w:r>
      <w:r/>
    </w:p>
    <w:p>
      <w:pPr>
        <w:ind w:firstLine="480"/>
        <w:jc w:val="left"/>
        <w:spacing w:line="360" w:lineRule="auto"/>
        <w:widowControl/>
        <w:rPr>
          <w:rFonts w:ascii="宋体" w:hAnsi="宋体"/>
          <w:sz w:val="24"/>
        </w:rPr>
      </w:pPr>
      <w:r>
        <w:rPr>
          <w:rFonts w:hint="eastAsia" w:ascii="宋体" w:hAnsi="宋体"/>
          <w:sz w:val="24"/>
        </w:rPr>
        <w:t xml:space="preserve">或“信用江苏”网（http://credit.jiangsu.gov.cn/）；</w:t>
      </w:r>
      <w:r/>
    </w:p>
    <w:p>
      <w:pPr>
        <w:ind w:firstLine="480"/>
        <w:jc w:val="left"/>
        <w:spacing w:line="360" w:lineRule="auto"/>
        <w:widowControl/>
        <w:rPr>
          <w:rFonts w:ascii="宋体" w:hAnsi="宋体"/>
          <w:sz w:val="24"/>
        </w:rPr>
      </w:pPr>
      <w:r>
        <w:rPr>
          <w:rFonts w:hint="eastAsia" w:ascii="宋体" w:hAnsi="宋体"/>
          <w:sz w:val="24"/>
        </w:rPr>
        <w:t xml:space="preserve">(4)“诚信徐州”网（ http://www.xuzhoucredit.gov.cn）。</w:t>
      </w:r>
      <w:r/>
    </w:p>
    <w:p>
      <w:pPr>
        <w:ind w:firstLine="480"/>
        <w:jc w:val="left"/>
        <w:spacing w:line="360" w:lineRule="auto"/>
        <w:widowControl/>
        <w:rPr>
          <w:rFonts w:ascii="宋体" w:hAnsi="宋体"/>
          <w:sz w:val="24"/>
        </w:rPr>
      </w:pPr>
      <w:r>
        <w:rPr>
          <w:rFonts w:hint="eastAsia" w:ascii="宋体" w:hAnsi="宋体"/>
          <w:sz w:val="24"/>
        </w:rPr>
        <w:t xml:space="preserve">或“信用徐州”网（www.xuzhoucredit.gov.cn/）。</w:t>
      </w:r>
      <w:r/>
    </w:p>
    <w:p>
      <w:pPr>
        <w:ind w:firstLine="480"/>
        <w:jc w:val="left"/>
        <w:spacing w:line="360" w:lineRule="auto"/>
        <w:widowControl/>
        <w:rPr>
          <w:rFonts w:ascii="宋体" w:hAnsi="宋体"/>
          <w:sz w:val="24"/>
        </w:rPr>
      </w:pPr>
      <w:r>
        <w:rPr>
          <w:rFonts w:hint="eastAsia" w:ascii="宋体" w:hAnsi="宋体"/>
          <w:sz w:val="24"/>
        </w:rPr>
        <w:t xml:space="preserve">3.截止时点（查询环节）：首次响应文件开启后资格审查结束前。</w:t>
      </w:r>
      <w:r/>
    </w:p>
    <w:p>
      <w:pPr>
        <w:ind w:firstLine="480"/>
        <w:jc w:val="left"/>
        <w:spacing w:line="360" w:lineRule="auto"/>
        <w:widowControl/>
        <w:rPr>
          <w:rFonts w:ascii="宋体" w:hAnsi="宋体"/>
          <w:sz w:val="24"/>
        </w:rPr>
      </w:pPr>
      <w:r>
        <w:rPr>
          <w:rFonts w:hint="eastAsia" w:ascii="宋体" w:hAnsi="宋体"/>
          <w:sz w:val="24"/>
        </w:rPr>
        <w:t xml:space="preserve">4.信用信息查询记录和证据留存的具体方式：</w:t>
      </w:r>
      <w:r/>
    </w:p>
    <w:p>
      <w:pPr>
        <w:ind w:firstLine="480"/>
        <w:jc w:val="left"/>
        <w:spacing w:line="360" w:lineRule="auto"/>
        <w:widowControl/>
        <w:rPr>
          <w:rFonts w:ascii="宋体" w:hAnsi="宋体"/>
          <w:sz w:val="24"/>
        </w:rPr>
      </w:pPr>
      <w:r>
        <w:rPr>
          <w:rFonts w:hint="eastAsia" w:ascii="宋体" w:hAnsi="宋体"/>
          <w:sz w:val="24"/>
        </w:rPr>
        <w:t xml:space="preserve">网页截屏打印，与其他采购文件一并保存。</w:t>
      </w:r>
      <w:r/>
    </w:p>
    <w:p>
      <w:pPr>
        <w:ind w:firstLine="480"/>
        <w:jc w:val="left"/>
        <w:spacing w:line="360" w:lineRule="auto"/>
        <w:widowControl/>
        <w:rPr>
          <w:rFonts w:ascii="宋体" w:hAnsi="宋体"/>
          <w:sz w:val="24"/>
        </w:rPr>
      </w:pPr>
      <w:r>
        <w:rPr>
          <w:rFonts w:hint="eastAsia" w:ascii="宋体" w:hAnsi="宋体"/>
          <w:sz w:val="24"/>
        </w:rPr>
        <w:t xml:space="preserve">5.信用信息的使用规则：</w:t>
      </w:r>
      <w:r/>
    </w:p>
    <w:p>
      <w:pPr>
        <w:ind w:firstLine="480"/>
        <w:jc w:val="left"/>
        <w:spacing w:line="360" w:lineRule="auto"/>
        <w:widowControl/>
        <w:rPr>
          <w:rFonts w:ascii="宋体" w:hAnsi="宋体"/>
          <w:sz w:val="24"/>
        </w:rPr>
      </w:pPr>
      <w:r>
        <w:rPr>
          <w:rFonts w:hint="eastAsia"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宋体"/>
        </w:rPr>
      </w:pPr>
      <w:r>
        <w:rPr>
          <w:rFonts w:hint="eastAsia" w:ascii="宋体" w:hAnsi="宋体"/>
          <w:sz w:val="24"/>
        </w:rPr>
        <w:t xml:space="preserve">6.信用评价结果查询：见《磋商文件》附件1.《评分细则》。</w:t>
      </w:r>
      <w:r/>
    </w:p>
    <w:p>
      <w:pPr>
        <w:spacing w:line="360" w:lineRule="auto"/>
        <w:rPr>
          <w:rFonts w:ascii="宋体" w:hAnsi="宋体" w:cs="宋体"/>
          <w:sz w:val="24"/>
        </w:rPr>
      </w:pPr>
      <w:r>
        <w:rPr>
          <w:rFonts w:hint="eastAsia" w:ascii="宋体" w:hAnsi="宋体" w:cs="宋体"/>
          <w:sz w:val="24"/>
        </w:rPr>
        <w:t xml:space="preserve">十五、评审程序</w:t>
      </w:r>
      <w:r/>
    </w:p>
    <w:p>
      <w:pPr>
        <w:ind w:right="29" w:firstLine="480"/>
        <w:spacing w:line="360" w:lineRule="auto"/>
        <w:rPr>
          <w:rFonts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ind w:right="29" w:firstLine="480"/>
        <w:spacing w:line="360" w:lineRule="auto"/>
        <w:rPr>
          <w:rFonts w:ascii="宋体" w:hAnsi="宋体" w:cs="宋体"/>
          <w:sz w:val="24"/>
        </w:rPr>
      </w:pPr>
      <w:r>
        <w:rPr>
          <w:rFonts w:hint="eastAsia" w:ascii="宋体" w:hAnsi="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w:t>
      </w:r>
      <w:r>
        <w:rPr>
          <w:rFonts w:hint="eastAsia" w:ascii="宋体" w:hAnsi="宋体" w:cs="宋体"/>
          <w:sz w:val="24"/>
          <w:highlight w:val="none"/>
        </w:rPr>
        <w:t xml:space="preserve">按照施工方案优劣（得分）顺序推荐</w:t>
      </w:r>
      <w:r>
        <w:rPr>
          <w:rFonts w:hint="eastAsia" w:ascii="宋体" w:hAnsi="宋体" w:cs="宋体"/>
          <w:sz w:val="24"/>
          <w:highlight w:val="none"/>
          <w:lang w:val="en-US" w:eastAsia="zh-CN"/>
        </w:rPr>
        <w:t xml:space="preserve">1</w:t>
      </w:r>
      <w:r>
        <w:rPr>
          <w:rFonts w:hint="eastAsia" w:ascii="宋体" w:hAnsi="宋体" w:cs="宋体"/>
          <w:sz w:val="24"/>
        </w:rPr>
        <w:t xml:space="preserve">名成交供应商。</w:t>
      </w:r>
      <w:r/>
    </w:p>
    <w:p>
      <w:pPr>
        <w:ind w:right="29" w:firstLine="480"/>
        <w:spacing w:line="360" w:lineRule="auto"/>
        <w:rPr>
          <w:rFonts w:ascii="宋体" w:hAnsi="宋体" w:cs="宋体"/>
          <w:sz w:val="24"/>
        </w:rPr>
      </w:pPr>
      <w:r>
        <w:rPr>
          <w:rFonts w:hint="eastAsia" w:ascii="宋体" w:hAnsi="宋体" w:cs="宋体"/>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rPr>
          <w:rFonts w:ascii="宋体" w:hAnsi="宋体" w:cs="宋体"/>
          <w:sz w:val="24"/>
        </w:rPr>
      </w:pPr>
      <w:r>
        <w:rPr>
          <w:rFonts w:hint="eastAsia" w:ascii="宋体" w:hAnsi="宋体" w:cs="宋体"/>
          <w:sz w:val="24"/>
        </w:rPr>
        <w:t xml:space="preserve">采用竞争性</w:t>
      </w:r>
      <w:r>
        <w:rPr>
          <w:rFonts w:hint="eastAsia" w:ascii="宋体" w:hAnsi="宋体" w:cs="宋体"/>
          <w:sz w:val="24"/>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ascii="宋体" w:hAnsi="宋体" w:cs="宋体"/>
          <w:sz w:val="24"/>
        </w:rPr>
      </w:pPr>
      <w:r>
        <w:rPr>
          <w:rFonts w:hint="eastAsia" w:ascii="宋体" w:hAnsi="宋体" w:cs="宋体"/>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spacing w:line="360" w:lineRule="auto"/>
        <w:rPr>
          <w:rFonts w:ascii="宋体" w:hAnsi="宋体" w:cs="宋体"/>
          <w:sz w:val="24"/>
        </w:rPr>
      </w:pPr>
      <w:r>
        <w:rPr>
          <w:rFonts w:hint="eastAsia" w:ascii="宋体" w:hAnsi="宋体" w:cs="宋体"/>
          <w:sz w:val="24"/>
        </w:rPr>
        <w:t xml:space="preserve">十六、评审方法和评审标准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1.评审方法：综合评分法；</w:t>
      </w:r>
      <w:r/>
    </w:p>
    <w:p>
      <w:pPr>
        <w:ind w:left="2" w:right="29" w:firstLine="480"/>
        <w:spacing w:line="360" w:lineRule="auto"/>
        <w:rPr>
          <w:rFonts w:hint="eastAsia" w:ascii="宋体" w:hAnsi="宋体" w:eastAsia="宋体" w:cs="宋体"/>
          <w:b/>
          <w:bCs/>
          <w:color w:val="000000"/>
          <w:sz w:val="24"/>
          <w:szCs w:val="24"/>
        </w:rPr>
      </w:pPr>
      <w:r>
        <w:rPr>
          <w:rFonts w:hint="eastAsia" w:ascii="宋体" w:hAnsi="宋体" w:cs="宋体"/>
          <w:sz w:val="24"/>
          <w:lang w:val="en-US" w:eastAsia="zh-CN"/>
        </w:rPr>
        <w:t xml:space="preserve">2</w:t>
      </w:r>
      <w:r>
        <w:rPr>
          <w:rFonts w:hint="eastAsia" w:ascii="宋体" w:hAnsi="宋体" w:cs="宋体"/>
          <w:sz w:val="24"/>
        </w:rPr>
        <w:t xml:space="preserve">.评审标准：详见《磋商文件》附件1、《评分细则》。</w:t>
      </w:r>
      <w:r/>
    </w:p>
    <w:p>
      <w:pPr>
        <w:pStyle w:val="1153"/>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实施政府采购异常低价审查的有关要求：</w:t>
      </w:r>
      <w:r/>
    </w:p>
    <w:p>
      <w:pPr>
        <w:pStyle w:val="1153"/>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1.评审中出现下列情形之一的，磋商小组应当启动异常低价响应审查程序：</w:t>
      </w:r>
      <w:r/>
    </w:p>
    <w:p>
      <w:pPr>
        <w:pStyle w:val="1153"/>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（1）最后报价低于全部通过符合性审查供应商最后报价平均值50%的，即最后报价&lt;全部通过符合性审查供应商最后报价平均值×50%；</w:t>
      </w:r>
      <w:r/>
    </w:p>
    <w:p>
      <w:pPr>
        <w:pStyle w:val="1153"/>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（2）最后报价低于通过符合性审查的次低报价供应商最后报价50%的，即最后报价&lt;通过符合性审查的次低报价供应商最后报价×50%；</w:t>
      </w:r>
      <w:r/>
    </w:p>
    <w:p>
      <w:pPr>
        <w:pStyle w:val="1153"/>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（3）最后报价低于采购项目最高限价（未设定最高限价的采购项目，以采购项目预算金额作为最高限价）45%的，即最后报价&lt;采购项目最高限价×45%；</w:t>
      </w:r>
      <w:r/>
    </w:p>
    <w:p>
      <w:pPr>
        <w:pStyle w:val="1153"/>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（4）磋商小组基于专业判断，认为供应商报价过低，有可能影响产品质量或者不能诚信履约的其他情形。</w:t>
      </w:r>
      <w:r/>
    </w:p>
    <w:p>
      <w:pPr>
        <w:pStyle w:val="1153"/>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1153"/>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1153"/>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异常低价响应审查的启动原因、审查意见和审查结果应当在评审报告中记录，并随供应商提供的相关书面说明及证明材料，以及磋商小组有关互联网浏览、查询历史一并归档。</w:t>
      </w:r>
      <w:r/>
    </w:p>
    <w:p>
      <w:pPr>
        <w:pStyle w:val="1153"/>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相关内容和要求见：《中华人民共和国政府采购法》、《中华人民共和国政府采购法实施条例》及《政府采购竞争性磋商采购方式管理暂行办法》</w:t>
      </w:r>
      <w:r/>
    </w:p>
    <w:p>
      <w:pPr>
        <w:pStyle w:val="1153"/>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特别说明：</w:t>
      </w:r>
      <w:r/>
    </w:p>
    <w:p>
      <w:pPr>
        <w:pStyle w:val="1153"/>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根据《财政部关于政府采购竞争性磋商采购方式管理暂行办法有关问题的补充通知》(财库〔2015〕124号)规定，采用竞</w:t>
      </w:r>
      <w:r>
        <w:rPr>
          <w:rFonts w:hint="eastAsia" w:ascii="宋体" w:hAnsi="宋体" w:eastAsia="宋体" w:cs="宋体"/>
          <w:b/>
          <w:bCs/>
          <w:color w:val="000000"/>
          <w:sz w:val="24"/>
          <w:szCs w:val="24"/>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spacing w:line="360" w:lineRule="auto"/>
        <w:rPr>
          <w:rFonts w:ascii="宋体" w:hAnsi="宋体" w:cs="宋体"/>
          <w:b/>
          <w:bCs/>
          <w:sz w:val="24"/>
        </w:rPr>
      </w:pPr>
      <w:r>
        <w:rPr>
          <w:rFonts w:hint="eastAsia" w:ascii="宋体" w:hAnsi="宋体" w:cs="宋体"/>
          <w:b/>
          <w:bCs/>
          <w:sz w:val="24"/>
        </w:rPr>
        <w:t xml:space="preserve">十七、有下列情形之一的，其响应无效：</w:t>
      </w:r>
      <w:r/>
    </w:p>
    <w:p>
      <w:pPr>
        <w:pStyle w:val="1134"/>
        <w:ind w:left="0" w:right="0" w:firstLine="480"/>
        <w:jc w:val="both"/>
        <w:keepLines w:val="0"/>
        <w:keepNext w:val="0"/>
        <w:spacing w:before="0" w:beforeAutospacing="0" w:after="0" w:afterAutospacing="0" w:line="348"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1、电子响应文件未按规定期限提交的； </w:t>
      </w:r>
      <w:r/>
    </w:p>
    <w:p>
      <w:pPr>
        <w:pStyle w:val="1134"/>
        <w:ind w:left="0" w:firstLine="480"/>
        <w:jc w:val="both"/>
        <w:keepLines w:val="0"/>
        <w:keepNext w:val="0"/>
        <w:spacing w:before="0" w:beforeAutospacing="0" w:after="0" w:afterAutospacing="0" w:line="348"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2、电子响应文件未按磋商文件要求签章的；</w:t>
      </w:r>
      <w:r/>
    </w:p>
    <w:p>
      <w:pPr>
        <w:pStyle w:val="1134"/>
        <w:ind w:left="0" w:firstLine="480"/>
        <w:jc w:val="both"/>
        <w:keepLines w:val="0"/>
        <w:keepNext w:val="0"/>
        <w:spacing w:before="0" w:beforeAutospacing="0" w:after="0" w:afterAutospacing="0" w:line="348"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3、供应商未在规定时间内解密电子响应文件的；</w:t>
      </w:r>
      <w:r/>
    </w:p>
    <w:p>
      <w:pPr>
        <w:pStyle w:val="1134"/>
        <w:ind w:left="0" w:firstLine="480"/>
        <w:jc w:val="both"/>
        <w:keepLines w:val="0"/>
        <w:keepNext w:val="0"/>
        <w:spacing w:before="0" w:beforeAutospacing="0" w:after="0" w:afterAutospacing="0" w:line="348"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4、供应商的法定代表人授权代表，无法定代表人授权委托书的；</w:t>
      </w:r>
      <w:r/>
    </w:p>
    <w:p>
      <w:pPr>
        <w:pStyle w:val="1134"/>
        <w:ind w:left="0" w:firstLine="480"/>
        <w:jc w:val="both"/>
        <w:keepLines w:val="0"/>
        <w:keepNext w:val="0"/>
        <w:spacing w:before="0" w:beforeAutospacing="0" w:after="0" w:afterAutospacing="0" w:line="348"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5、不具备磋商文件中规定的资格要求或未按磋商文件规定的要求提供资格、资信证明文件的；</w:t>
      </w:r>
      <w:r/>
    </w:p>
    <w:p>
      <w:pPr>
        <w:pStyle w:val="1134"/>
        <w:ind w:left="0" w:firstLine="480"/>
        <w:jc w:val="both"/>
        <w:keepLines w:val="0"/>
        <w:keepNext w:val="0"/>
        <w:spacing w:before="0" w:beforeAutospacing="0" w:after="0" w:afterAutospacing="0" w:line="348"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6、被列入“信用中国”网站（www.creditchina.gov.cn）失信被执行人、重大税收违法案件当事人名单、政府采购严重违法失信行为记录名单的；</w:t>
      </w:r>
      <w:r/>
    </w:p>
    <w:p>
      <w:pPr>
        <w:pStyle w:val="1134"/>
        <w:ind w:left="0" w:firstLine="480"/>
        <w:jc w:val="both"/>
        <w:keepLines w:val="0"/>
        <w:keepNext w:val="0"/>
        <w:spacing w:before="0" w:beforeAutospacing="0" w:after="0" w:afterAutospacing="0" w:line="348"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7、响应文件未按磋商文件规定的内容和要求填写的；没有在投标系统指定位置上传对应文件、材料的；</w:t>
      </w:r>
      <w:r/>
    </w:p>
    <w:p>
      <w:pPr>
        <w:pStyle w:val="1134"/>
        <w:ind w:left="0" w:firstLine="480"/>
        <w:jc w:val="both"/>
        <w:keepLines w:val="0"/>
        <w:keepNext w:val="0"/>
        <w:spacing w:before="0" w:beforeAutospacing="0" w:after="0" w:afterAutospacing="0" w:line="348"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8、响应文件中有磋商文件未允许提供的选择性内容；</w:t>
      </w:r>
      <w:r/>
    </w:p>
    <w:p>
      <w:pPr>
        <w:pStyle w:val="1134"/>
        <w:ind w:left="0" w:firstLine="480"/>
        <w:jc w:val="both"/>
        <w:keepLines w:val="0"/>
        <w:keepNext w:val="0"/>
        <w:spacing w:before="0" w:beforeAutospacing="0" w:after="0" w:afterAutospacing="0" w:line="348"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9、不同供应商委托同一单位或者个人办理投标事宜的；</w:t>
      </w:r>
      <w:r/>
    </w:p>
    <w:p>
      <w:pPr>
        <w:pStyle w:val="1134"/>
        <w:ind w:left="0" w:firstLine="480"/>
        <w:jc w:val="both"/>
        <w:keepLines w:val="0"/>
        <w:keepNext w:val="0"/>
        <w:spacing w:before="0" w:beforeAutospacing="0" w:after="0" w:afterAutospacing="0" w:line="348"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10、不同供应商的单位负责人为同一人或者存在直接控股、管理关系的；</w:t>
      </w:r>
      <w:r/>
    </w:p>
    <w:p>
      <w:pPr>
        <w:pStyle w:val="1134"/>
        <w:ind w:left="0" w:firstLine="480"/>
        <w:jc w:val="both"/>
        <w:keepLines w:val="0"/>
        <w:keepNext w:val="0"/>
        <w:spacing w:before="0" w:beforeAutospacing="0" w:after="0" w:afterAutospacing="0" w:line="348"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11、不同供应商的响应文件的装订形式、纸张情况、目录序号、排版格式、文字风格等存在明显的相似性或一致性，特征显示由同一单位或者同一个人编制的；</w:t>
      </w:r>
      <w:r/>
    </w:p>
    <w:p>
      <w:pPr>
        <w:pStyle w:val="1134"/>
        <w:ind w:left="0" w:firstLine="480"/>
        <w:jc w:val="both"/>
        <w:keepLines w:val="0"/>
        <w:keepNext w:val="0"/>
        <w:spacing w:before="0" w:beforeAutospacing="0" w:after="0" w:afterAutospacing="0" w:line="348"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12、不同供应商响应文件内容存在非正常一致、项目组成员出现同一人、响应文件中错误（或异常）一致或雷同、电子文档信息一致或雷同的、投标报价呈规律性差异的；</w:t>
      </w:r>
      <w:r/>
    </w:p>
    <w:p>
      <w:pPr>
        <w:pStyle w:val="1134"/>
        <w:ind w:left="0" w:firstLine="480"/>
        <w:jc w:val="both"/>
        <w:keepLines w:val="0"/>
        <w:keepNext w:val="0"/>
        <w:spacing w:before="0" w:beforeAutospacing="0" w:after="0" w:afterAutospacing="0" w:line="348"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13、不同供应商的委托代理人、项目负责人以及其他相关人员有在同一个单位缴纳社会保险、同一响应文件中单位名称落款与公章不是同一单位的；</w:t>
      </w:r>
      <w:r/>
    </w:p>
    <w:p>
      <w:pPr>
        <w:pStyle w:val="1134"/>
        <w:ind w:left="0" w:firstLine="480"/>
        <w:jc w:val="both"/>
        <w:keepLines w:val="0"/>
        <w:keepNext w:val="0"/>
        <w:spacing w:before="0" w:beforeAutospacing="0" w:after="0" w:afterAutospacing="0" w:line="348"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14、项目（标段）投标总价超过本项目（标段）预算或最高限价的；</w:t>
      </w:r>
      <w:r/>
    </w:p>
    <w:p>
      <w:pPr>
        <w:pStyle w:val="1134"/>
        <w:ind w:left="0" w:firstLine="480"/>
        <w:jc w:val="both"/>
        <w:keepLines w:val="0"/>
        <w:keepNext w:val="0"/>
        <w:spacing w:before="0" w:beforeAutospacing="0" w:after="0" w:afterAutospacing="0" w:line="348"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15、提供虚假材料的（包括工商营业执照、财务报表、资格证明文件等）；</w:t>
      </w:r>
      <w:r/>
    </w:p>
    <w:p>
      <w:pPr>
        <w:pStyle w:val="1134"/>
        <w:ind w:left="0" w:firstLine="480"/>
        <w:jc w:val="both"/>
        <w:keepLines w:val="0"/>
        <w:keepNext w:val="0"/>
        <w:spacing w:before="0" w:beforeAutospacing="0" w:after="0" w:afterAutospacing="0" w:line="348"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16、响应文件含有采购人不能接受的附加条件的；</w:t>
      </w:r>
      <w:r/>
    </w:p>
    <w:p>
      <w:pPr>
        <w:pStyle w:val="1134"/>
        <w:ind w:left="0" w:firstLine="480"/>
        <w:jc w:val="both"/>
        <w:keepLines w:val="0"/>
        <w:keepNext w:val="0"/>
        <w:spacing w:before="0" w:beforeAutospacing="0" w:after="0" w:afterAutospacing="0" w:line="348"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pStyle w:val="1134"/>
        <w:ind w:left="0" w:firstLine="480"/>
        <w:jc w:val="both"/>
        <w:keepLines w:val="0"/>
        <w:keepNext w:val="0"/>
        <w:spacing w:before="0" w:beforeAutospacing="0" w:after="0" w:afterAutospacing="0" w:line="348"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18、除单一来源采购项目外，为采购项目提供整体设计、规范编制或者项目管理、监理、检测等服务的；</w:t>
      </w:r>
      <w:r/>
    </w:p>
    <w:p>
      <w:pPr>
        <w:pStyle w:val="1134"/>
        <w:ind w:left="0" w:firstLine="480"/>
        <w:jc w:val="both"/>
        <w:keepLines w:val="0"/>
        <w:keepNext w:val="0"/>
        <w:spacing w:before="0" w:beforeAutospacing="0" w:after="0" w:afterAutospacing="0" w:line="348"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0" w:name="_Toc31496"/>
      <w:r/>
      <w:bookmarkStart w:id="1" w:name="_Toc80122286"/>
      <w:r>
        <w:rPr>
          <w:rFonts w:hint="eastAsia" w:ascii="宋体" w:hAnsi="宋体" w:eastAsia="宋体" w:cs="宋体"/>
          <w:color w:val="000000"/>
          <w:sz w:val="24"/>
          <w:szCs w:val="24"/>
        </w:rPr>
        <w:t xml:space="preserve">19、与采购文件提供的工程量清单中项目名称、项目特征、计量单位、工程量不一致的；</w:t>
      </w:r>
      <w:bookmarkEnd w:id="0"/>
      <w:r/>
      <w:bookmarkEnd w:id="1"/>
      <w:r/>
      <w:r/>
    </w:p>
    <w:p>
      <w:pPr>
        <w:pStyle w:val="1134"/>
        <w:ind w:left="0" w:firstLine="480"/>
        <w:jc w:val="both"/>
        <w:keepLines w:val="0"/>
        <w:keepNext w:val="0"/>
        <w:spacing w:before="0" w:beforeAutospacing="0" w:after="0" w:afterAutospacing="0" w:line="348"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20、响应文件内容不全或不符合磋商文件中规定的其它实质性要求的；</w:t>
      </w:r>
      <w:r/>
    </w:p>
    <w:p>
      <w:pPr>
        <w:pStyle w:val="1134"/>
        <w:ind w:left="0" w:firstLine="480"/>
        <w:jc w:val="both"/>
        <w:keepLines w:val="0"/>
        <w:keepNext w:val="0"/>
        <w:spacing w:before="0" w:beforeAutospacing="0" w:after="0" w:afterAutospacing="0" w:line="348"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21、报价清单与采购文件明确列出的不可竞争费用项目或费率或计算基础不一致的；</w:t>
      </w:r>
      <w:r/>
    </w:p>
    <w:p>
      <w:pPr>
        <w:pStyle w:val="1134"/>
        <w:ind w:left="0" w:firstLine="480"/>
        <w:jc w:val="both"/>
        <w:keepLines w:val="0"/>
        <w:keepNext w:val="0"/>
        <w:spacing w:before="0" w:beforeAutospacing="0" w:after="0" w:afterAutospacing="0" w:line="348"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22、报价清单与采购文件规定的暂估价、暂列金额不一致的；</w:t>
      </w:r>
      <w:r/>
    </w:p>
    <w:p>
      <w:pPr>
        <w:pStyle w:val="1134"/>
        <w:ind w:left="0" w:firstLine="480"/>
        <w:jc w:val="both"/>
        <w:keepLines w:val="0"/>
        <w:keepNext w:val="0"/>
        <w:spacing w:before="0" w:beforeAutospacing="0" w:after="0" w:afterAutospacing="0" w:line="348"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23、法律法规和磋商文件规定的其它无效情形。</w:t>
      </w:r>
      <w:r/>
    </w:p>
    <w:p>
      <w:pPr>
        <w:ind w:left="2" w:right="29" w:firstLine="480"/>
        <w:spacing w:line="360" w:lineRule="auto"/>
        <w:rPr>
          <w:rFonts w:ascii="宋体" w:hAnsi="宋体" w:cs="宋体"/>
          <w:sz w:val="24"/>
        </w:rPr>
      </w:pPr>
      <w:r>
        <w:rPr>
          <w:rFonts w:hint="eastAsia" w:ascii="宋体" w:hAnsi="宋体" w:cs="宋体"/>
          <w:sz w:val="24"/>
        </w:rPr>
        <w:t xml:space="preserve">十八、磋商过程中可能实质性变动的内容：在磋商过程中，磋商小组可以根据《磋商文件》和磋商情况实质性变动采购需求中的技术、服务要求以及合同草案条款。</w:t>
      </w:r>
      <w:r/>
    </w:p>
    <w:p>
      <w:pPr>
        <w:pStyle w:val="1153"/>
        <w:ind w:left="2" w:right="29" w:firstLine="480"/>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w:t>
      </w: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章 确定成交供应商及合同签订等</w:t>
      </w:r>
      <w:r/>
    </w:p>
    <w:p>
      <w:pPr>
        <w:pStyle w:val="1153"/>
        <w:ind w:left="2" w:right="29"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w:t>
      </w:r>
      <w:r>
        <w:rPr>
          <w:rFonts w:hint="eastAsia" w:ascii="宋体" w:hAnsi="宋体" w:cs="宋体"/>
          <w:sz w:val="24"/>
          <w:szCs w:val="24"/>
          <w:highlight w:val="none"/>
          <w:lang w:val="en-US" w:eastAsia="zh-CN"/>
        </w:rPr>
        <w:t xml:space="preserve">九</w:t>
      </w:r>
      <w:r>
        <w:rPr>
          <w:rFonts w:hint="eastAsia" w:ascii="宋体" w:hAnsi="宋体" w:eastAsia="宋体" w:cs="宋体"/>
          <w:sz w:val="24"/>
          <w:szCs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153"/>
        <w:ind w:firstLine="480"/>
        <w:jc w:val="left"/>
        <w:spacing w:line="360" w:lineRule="auto"/>
        <w:widowControl/>
        <w:rPr>
          <w:rFonts w:hint="eastAsia" w:ascii="宋体" w:hAnsi="宋体" w:eastAsia="宋体" w:cs="宋体"/>
          <w:sz w:val="24"/>
          <w:szCs w:val="24"/>
          <w:highlight w:val="none"/>
        </w:rPr>
      </w:pPr>
      <w:r>
        <w:rPr>
          <w:rFonts w:hint="eastAsia" w:ascii="宋体" w:hAnsi="宋体" w:cs="宋体"/>
          <w:b w:val="0"/>
          <w:bCs w:val="0"/>
          <w:sz w:val="24"/>
          <w:szCs w:val="24"/>
          <w:highlight w:val="none"/>
          <w:lang w:val="en-US" w:eastAsia="zh-CN"/>
        </w:rPr>
        <w:t xml:space="preserve">二十</w:t>
      </w:r>
      <w:r>
        <w:rPr>
          <w:rFonts w:hint="eastAsia" w:ascii="宋体" w:hAnsi="宋体" w:eastAsia="宋体" w:cs="宋体"/>
          <w:b w:val="0"/>
          <w:bCs w:val="0"/>
          <w:sz w:val="24"/>
          <w:szCs w:val="24"/>
          <w:highlight w:val="none"/>
        </w:rPr>
        <w:t xml:space="preserve">、采购人与成交供应商应当在成交通知书发出之日起30日内，</w:t>
      </w:r>
      <w:r>
        <w:rPr>
          <w:rFonts w:hint="eastAsia" w:ascii="宋体" w:hAnsi="宋体" w:eastAsia="宋体" w:cs="宋体"/>
          <w:sz w:val="24"/>
          <w:szCs w:val="24"/>
          <w:highlight w:val="none"/>
        </w:rPr>
        <w:t xml:space="preserve">按照《磋商文件》确定的合同文本以及采购标的、规格型号、采购金额、采购数量、技术和服务要求等事项签订政府采购合同。</w:t>
      </w:r>
      <w:r/>
    </w:p>
    <w:p>
      <w:pPr>
        <w:pStyle w:val="115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1153"/>
        <w:ind w:firstLine="48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二十</w:t>
      </w:r>
      <w:r>
        <w:rPr>
          <w:rFonts w:hint="eastAsia" w:ascii="宋体" w:hAnsi="宋体" w:cs="宋体"/>
          <w:b w:val="0"/>
          <w:bCs w:val="0"/>
          <w:color w:val="000000"/>
          <w:sz w:val="24"/>
          <w:szCs w:val="24"/>
          <w:highlight w:val="none"/>
          <w:lang w:val="en-US" w:eastAsia="zh-CN"/>
        </w:rPr>
        <w:t xml:space="preserve">一</w:t>
      </w:r>
      <w:r>
        <w:rPr>
          <w:rFonts w:hint="eastAsia" w:ascii="宋体" w:hAnsi="宋体" w:eastAsia="宋体" w:cs="宋体"/>
          <w:b w:val="0"/>
          <w:bCs w:val="0"/>
          <w:color w:val="000000"/>
          <w:sz w:val="24"/>
          <w:szCs w:val="24"/>
          <w:highlight w:val="none"/>
          <w:lang w:val="en-US" w:eastAsia="zh-CN"/>
        </w:rPr>
        <w:t xml:space="preserve">、成交供应商在收到成交通知书时，须向江苏淮中工程管理咨询有限公司提交《磋商报价表》（首次响应文件）和《分项价格表》（首次响应文件）的数据文件（WORD格式），纸质响应文件3份（正本1份，副本2份，），电子版1份。</w:t>
      </w:r>
      <w:r/>
    </w:p>
    <w:p>
      <w:pPr>
        <w:pStyle w:val="1153"/>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b w:val="0"/>
          <w:bCs w:val="0"/>
          <w:sz w:val="24"/>
          <w:szCs w:val="24"/>
          <w:highlight w:val="none"/>
        </w:rPr>
        <w:t xml:space="preserve">二十</w:t>
      </w:r>
      <w:r>
        <w:rPr>
          <w:rFonts w:hint="eastAsia" w:ascii="宋体" w:hAnsi="宋体" w:cs="宋体"/>
          <w:b w:val="0"/>
          <w:bCs w:val="0"/>
          <w:sz w:val="24"/>
          <w:szCs w:val="24"/>
          <w:highlight w:val="none"/>
          <w:lang w:val="en-US" w:eastAsia="zh-CN"/>
        </w:rPr>
        <w:t xml:space="preserve">二</w:t>
      </w:r>
      <w:r>
        <w:rPr>
          <w:rFonts w:hint="eastAsia" w:ascii="宋体" w:hAnsi="宋体" w:eastAsia="宋体" w:cs="宋体"/>
          <w:b w:val="0"/>
          <w:bCs w:val="0"/>
          <w:sz w:val="24"/>
          <w:szCs w:val="24"/>
          <w:highlight w:val="none"/>
        </w:rPr>
        <w:t xml:space="preserve">、供应商应对响应文件的合法性、真实性负责。</w:t>
      </w:r>
      <w:r>
        <w:rPr>
          <w:rFonts w:hint="eastAsia" w:ascii="宋体" w:hAnsi="宋体" w:eastAsia="宋体" w:cs="宋体"/>
          <w:b/>
          <w:bCs/>
          <w:sz w:val="24"/>
          <w:szCs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1153"/>
        <w:ind w:firstLine="480"/>
        <w:jc w:val="center"/>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章 磋商文件的澄清或者修改</w:t>
      </w:r>
      <w:r/>
    </w:p>
    <w:p>
      <w:pPr>
        <w:pStyle w:val="1153"/>
        <w:ind w:firstLine="480"/>
        <w:jc w:val="left"/>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二十</w:t>
      </w:r>
      <w:r>
        <w:rPr>
          <w:rFonts w:hint="eastAsia" w:ascii="宋体" w:hAnsi="宋体" w:cs="宋体"/>
          <w:b w:val="0"/>
          <w:bCs w:val="0"/>
          <w:sz w:val="24"/>
          <w:szCs w:val="24"/>
          <w:highlight w:val="none"/>
          <w:lang w:val="en-US" w:eastAsia="zh-CN"/>
        </w:rPr>
        <w:t xml:space="preserve">三</w:t>
      </w:r>
      <w:r>
        <w:rPr>
          <w:rFonts w:hint="eastAsia" w:ascii="宋体" w:hAnsi="宋体" w:eastAsia="宋体" w:cs="宋体"/>
          <w:b w:val="0"/>
          <w:bCs w:val="0"/>
          <w:sz w:val="24"/>
          <w:szCs w:val="24"/>
          <w:highlight w:val="none"/>
        </w:rPr>
        <w:t xml:space="preserve">、《磋商文件》的澄清或者修改</w:t>
      </w:r>
      <w:r/>
    </w:p>
    <w:p>
      <w:pPr>
        <w:pStyle w:val="1158"/>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val="0"/>
          <w:bCs w:val="0"/>
          <w:sz w:val="24"/>
          <w:szCs w:val="24"/>
          <w:highlight w:val="none"/>
        </w:rPr>
        <w:t xml:space="preserve">提交首次响应文件截止之日（即“首次响应文件提交的截止时间”）前，采购代理机构可以对已发出的《磋商文件》进行必要的澄清或者修改，澄清或</w:t>
      </w:r>
      <w:r>
        <w:rPr>
          <w:rFonts w:hint="eastAsia" w:ascii="宋体" w:hAnsi="宋体" w:eastAsia="宋体" w:cs="宋体"/>
          <w:sz w:val="24"/>
          <w:szCs w:val="24"/>
          <w:highlight w:val="none"/>
        </w:rPr>
        <w:t xml:space="preserve">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eastAsia="宋体" w:cs="宋体"/>
          <w:sz w:val="24"/>
          <w:szCs w:val="24"/>
          <w:highlight w:val="none"/>
          <w:lang w:eastAsia="zh-CN"/>
        </w:rPr>
        <w:t xml:space="preserve">”。</w:t>
      </w:r>
      <w:r/>
    </w:p>
    <w:p>
      <w:pPr>
        <w:pStyle w:val="1158"/>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第</w:t>
      </w: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章 询问和质疑</w:t>
      </w:r>
      <w:r/>
    </w:p>
    <w:p>
      <w:pPr>
        <w:pStyle w:val="1158"/>
        <w:ind w:firstLine="482"/>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二十</w:t>
      </w:r>
      <w:r>
        <w:rPr>
          <w:rFonts w:hint="eastAsia" w:ascii="宋体" w:hAnsi="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、询问和质疑</w:t>
      </w:r>
      <w:r/>
    </w:p>
    <w:p>
      <w:pPr>
        <w:pStyle w:val="11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11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2、供应商针对同一采购程序环节的质疑应当在法定质疑期内一次性提出。</w:t>
      </w:r>
      <w:r/>
    </w:p>
    <w:p>
      <w:pPr>
        <w:pStyle w:val="11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3、质疑和投诉按《政府采购质疑和投诉办法》执行。</w:t>
      </w:r>
      <w:r/>
    </w:p>
    <w:p>
      <w:pPr>
        <w:pStyle w:val="11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4、接收质疑函的方式：供应商直接送交或供应商通过EMS邮寄。</w:t>
      </w:r>
      <w:r/>
    </w:p>
    <w:p>
      <w:pPr>
        <w:pStyle w:val="115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质疑接收人：</w:t>
      </w:r>
      <w:r>
        <w:rPr>
          <w:rFonts w:hint="eastAsia" w:ascii="宋体" w:hAnsi="宋体" w:cs="宋体"/>
          <w:color w:val="000000"/>
          <w:sz w:val="24"/>
          <w:szCs w:val="24"/>
          <w:highlight w:val="none"/>
          <w:lang w:val="en-US" w:eastAsia="zh-CN"/>
        </w:rPr>
        <w:t xml:space="preserve">闫星</w:t>
      </w:r>
      <w:r>
        <w:rPr>
          <w:rFonts w:hint="eastAsia" w:ascii="宋体" w:hAnsi="宋体" w:eastAsia="宋体" w:cs="宋体"/>
          <w:color w:val="000000"/>
          <w:sz w:val="24"/>
          <w:szCs w:val="24"/>
          <w:highlight w:val="none"/>
        </w:rPr>
        <w:t xml:space="preserve">      联系电话：</w:t>
      </w:r>
      <w:r>
        <w:rPr>
          <w:rFonts w:hint="eastAsia" w:ascii="宋体" w:hAnsi="宋体" w:eastAsia="宋体" w:cs="宋体"/>
          <w:color w:val="000000"/>
          <w:sz w:val="24"/>
          <w:szCs w:val="24"/>
          <w:highlight w:val="none"/>
          <w:lang w:val="en-US" w:eastAsia="zh-CN"/>
        </w:rPr>
        <w:t xml:space="preserve">0516-83509912</w:t>
      </w:r>
      <w:r/>
    </w:p>
    <w:p>
      <w:pPr>
        <w:pStyle w:val="115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地址：江苏省</w:t>
      </w:r>
      <w:r>
        <w:rPr>
          <w:rFonts w:hint="eastAsia" w:ascii="宋体" w:hAnsi="宋体" w:cs="宋体"/>
          <w:color w:val="000000"/>
          <w:sz w:val="24"/>
          <w:szCs w:val="24"/>
          <w:highlight w:val="none"/>
          <w:lang w:eastAsia="zh-CN"/>
        </w:rPr>
        <w:t xml:space="preserve">徐州市铜山城区</w:t>
      </w:r>
      <w:r>
        <w:rPr>
          <w:rFonts w:hint="eastAsia" w:ascii="宋体" w:hAnsi="宋体" w:eastAsia="宋体" w:cs="宋体"/>
          <w:color w:val="000000"/>
          <w:sz w:val="24"/>
          <w:szCs w:val="24"/>
          <w:highlight w:val="none"/>
          <w:lang w:eastAsia="zh-CN"/>
        </w:rPr>
        <w:t xml:space="preserve">区汉府雅园综合楼613室</w:t>
      </w:r>
      <w:r/>
    </w:p>
    <w:p>
      <w:pPr>
        <w:pStyle w:val="1158"/>
        <w:jc w:val="center"/>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第</w:t>
      </w:r>
      <w:r>
        <w:rPr>
          <w:rFonts w:hint="eastAsia" w:ascii="宋体" w:hAnsi="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章 </w:t>
      </w:r>
      <w:r>
        <w:rPr>
          <w:rFonts w:hint="eastAsia" w:ascii="宋体" w:hAnsi="宋体" w:eastAsia="宋体" w:cs="宋体"/>
          <w:b/>
          <w:bCs/>
          <w:color w:val="000000"/>
          <w:sz w:val="24"/>
          <w:szCs w:val="24"/>
          <w:highlight w:val="none"/>
          <w:lang w:val="en-US" w:eastAsia="zh-CN"/>
        </w:rPr>
        <w:t xml:space="preserve">其他</w:t>
      </w:r>
      <w:r/>
    </w:p>
    <w:p>
      <w:pPr>
        <w:pStyle w:val="1158"/>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二十</w:t>
      </w:r>
      <w:r>
        <w:rPr>
          <w:rFonts w:hint="eastAsia" w:ascii="宋体" w:hAnsi="宋体" w:cs="宋体"/>
          <w:b w:val="0"/>
          <w:bCs w:val="0"/>
          <w:color w:val="000000"/>
          <w:sz w:val="24"/>
          <w:szCs w:val="24"/>
          <w:highlight w:val="none"/>
          <w:lang w:val="en-US" w:eastAsia="zh-CN"/>
        </w:rPr>
        <w:t xml:space="preserve">五</w:t>
      </w:r>
      <w:r>
        <w:rPr>
          <w:rFonts w:hint="eastAsia" w:ascii="宋体" w:hAnsi="宋体" w:eastAsia="宋体" w:cs="宋体"/>
          <w:b w:val="0"/>
          <w:bCs w:val="0"/>
          <w:color w:val="000000"/>
          <w:sz w:val="24"/>
          <w:szCs w:val="24"/>
          <w:highlight w:val="none"/>
        </w:rPr>
        <w:t xml:space="preserve">、成交供应商在领取成交通知书前，向采购代理机构缴纳代理服务费，收取标准见附件。</w:t>
      </w:r>
      <w:r/>
    </w:p>
    <w:p>
      <w:pPr>
        <w:pStyle w:val="1158"/>
        <w:ind w:firstLine="49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二十</w:t>
      </w:r>
      <w:r>
        <w:rPr>
          <w:rFonts w:hint="eastAsia" w:ascii="宋体" w:hAnsi="宋体" w:cs="宋体"/>
          <w:b w:val="0"/>
          <w:bCs w:val="0"/>
          <w:color w:val="000000"/>
          <w:sz w:val="24"/>
          <w:szCs w:val="24"/>
          <w:highlight w:val="none"/>
          <w:lang w:val="en-US" w:eastAsia="zh-CN"/>
        </w:rPr>
        <w:t xml:space="preserve">六</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color w:val="000000"/>
          <w:sz w:val="24"/>
          <w:szCs w:val="24"/>
          <w:highlight w:val="none"/>
        </w:rPr>
        <w:t xml:space="preserve">成交结果在徐州政府采购网http://218.3.177.171:8088/上公布。</w:t>
      </w:r>
      <w:r/>
    </w:p>
    <w:p>
      <w:pPr>
        <w:pStyle w:val="1158"/>
        <w:ind w:firstLine="49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二十</w:t>
      </w:r>
      <w:r>
        <w:rPr>
          <w:rFonts w:hint="eastAsia" w:ascii="宋体" w:hAnsi="宋体" w:cs="宋体"/>
          <w:b w:val="0"/>
          <w:bCs w:val="0"/>
          <w:color w:val="000000"/>
          <w:sz w:val="24"/>
          <w:szCs w:val="24"/>
          <w:highlight w:val="none"/>
          <w:lang w:val="en-US" w:eastAsia="zh-CN"/>
        </w:rPr>
        <w:t xml:space="preserve">七</w:t>
      </w:r>
      <w:r>
        <w:rPr>
          <w:rFonts w:hint="eastAsia" w:ascii="宋体" w:hAnsi="宋体" w:eastAsia="宋体" w:cs="宋体"/>
          <w:b w:val="0"/>
          <w:bCs w:val="0"/>
          <w:color w:val="000000"/>
          <w:sz w:val="24"/>
          <w:szCs w:val="24"/>
          <w:highlight w:val="none"/>
        </w:rPr>
        <w:t xml:space="preserve">、本项目属于专门面向中小微企业采购的项目，供应商应为中小微企业、监狱企业、残疾人福利性单位。</w:t>
      </w:r>
      <w:r/>
    </w:p>
    <w:p>
      <w:pPr>
        <w:pStyle w:val="1158"/>
        <w:ind w:firstLine="49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二十</w:t>
      </w:r>
      <w:r>
        <w:rPr>
          <w:rFonts w:hint="eastAsia" w:ascii="宋体" w:hAnsi="宋体" w:cs="宋体"/>
          <w:b w:val="0"/>
          <w:bCs w:val="0"/>
          <w:color w:val="000000"/>
          <w:sz w:val="24"/>
          <w:szCs w:val="24"/>
          <w:highlight w:val="none"/>
          <w:lang w:val="en-US" w:eastAsia="zh-CN"/>
        </w:rPr>
        <w:t xml:space="preserve">八</w:t>
      </w:r>
      <w:r>
        <w:rPr>
          <w:rFonts w:hint="eastAsia" w:ascii="宋体" w:hAnsi="宋体" w:eastAsia="宋体" w:cs="宋体"/>
          <w:b w:val="0"/>
          <w:bCs w:val="0"/>
          <w:color w:val="000000"/>
          <w:sz w:val="24"/>
          <w:szCs w:val="24"/>
          <w:highlight w:val="none"/>
        </w:rPr>
        <w:t xml:space="preserve">、采购人确定的采购项目属性：工程。</w:t>
      </w:r>
      <w:r/>
    </w:p>
    <w:p>
      <w:pPr>
        <w:pStyle w:val="115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二十</w:t>
      </w:r>
      <w:r>
        <w:rPr>
          <w:rFonts w:hint="eastAsia" w:ascii="宋体" w:hAnsi="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lang w:val="en-US" w:eastAsia="zh-CN"/>
        </w:rPr>
        <w:t xml:space="preserve">、联系方式</w:t>
      </w:r>
      <w:r/>
    </w:p>
    <w:p>
      <w:pPr>
        <w:pStyle w:val="1158"/>
        <w:ind w:firstLine="97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徐州市铜山区城市管理局</w:t>
      </w:r>
      <w:r/>
    </w:p>
    <w:p>
      <w:pPr>
        <w:pStyle w:val="1158"/>
        <w:ind w:firstLine="96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地址：</w:t>
      </w:r>
      <w:r>
        <w:rPr>
          <w:rFonts w:hint="eastAsia" w:ascii="宋体" w:hAnsi="宋体" w:cs="宋体"/>
          <w:color w:val="000000"/>
          <w:sz w:val="24"/>
          <w:szCs w:val="24"/>
          <w:highlight w:val="none"/>
          <w:lang w:eastAsia="zh-CN"/>
        </w:rPr>
        <w:t xml:space="preserve">徐州市铜山区</w:t>
      </w:r>
      <w:r>
        <w:rPr>
          <w:rFonts w:hint="eastAsia" w:ascii="宋体" w:hAnsi="宋体" w:cs="宋体"/>
          <w:color w:val="000000"/>
          <w:sz w:val="24"/>
          <w:szCs w:val="24"/>
          <w:highlight w:val="none"/>
          <w:lang w:val="en-US" w:eastAsia="zh-CN"/>
        </w:rPr>
        <w:t xml:space="preserve">人防大厦</w:t>
      </w:r>
      <w:r/>
    </w:p>
    <w:p>
      <w:pPr>
        <w:pStyle w:val="1158"/>
        <w:ind w:firstLine="97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、采购代理公司：</w:t>
      </w:r>
      <w:r>
        <w:rPr>
          <w:rFonts w:hint="eastAsia" w:ascii="宋体" w:hAnsi="宋体" w:eastAsia="宋体" w:cs="宋体"/>
          <w:color w:val="000000"/>
          <w:sz w:val="24"/>
          <w:szCs w:val="24"/>
          <w:highlight w:val="none"/>
          <w:lang w:eastAsia="zh-CN"/>
        </w:rPr>
        <w:t xml:space="preserve">江苏淮中工程管理咨询有限公司</w:t>
      </w:r>
      <w:r/>
    </w:p>
    <w:p>
      <w:pPr>
        <w:pStyle w:val="1158"/>
        <w:ind w:firstLine="97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地址：江苏省</w:t>
      </w:r>
      <w:r>
        <w:rPr>
          <w:rFonts w:hint="eastAsia" w:ascii="宋体" w:hAnsi="宋体" w:cs="宋体"/>
          <w:color w:val="000000"/>
          <w:sz w:val="24"/>
          <w:szCs w:val="24"/>
          <w:highlight w:val="none"/>
          <w:lang w:eastAsia="zh-CN"/>
        </w:rPr>
        <w:t xml:space="preserve">徐州市铜山城区</w:t>
      </w:r>
      <w:r>
        <w:rPr>
          <w:rFonts w:hint="eastAsia" w:ascii="宋体" w:hAnsi="宋体" w:eastAsia="宋体" w:cs="宋体"/>
          <w:color w:val="000000"/>
          <w:sz w:val="24"/>
          <w:szCs w:val="24"/>
          <w:highlight w:val="none"/>
          <w:lang w:eastAsia="zh-CN"/>
        </w:rPr>
        <w:t xml:space="preserve">区汉府雅园综合楼613室</w:t>
      </w:r>
      <w:r/>
    </w:p>
    <w:p>
      <w:pPr>
        <w:pStyle w:val="1158"/>
        <w:ind w:firstLine="96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闫星</w:t>
      </w:r>
      <w:r/>
    </w:p>
    <w:p>
      <w:pPr>
        <w:pStyle w:val="1158"/>
        <w:ind w:firstLine="97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lang w:val="en-US" w:eastAsia="zh-CN"/>
        </w:rPr>
        <w:t xml:space="preserve">0516-83509912</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1158"/>
        <w:jc w:val="center"/>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第</w:t>
      </w:r>
      <w:r>
        <w:rPr>
          <w:rFonts w:hint="eastAsia" w:ascii="宋体" w:hAnsi="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章 </w:t>
      </w:r>
      <w:r>
        <w:rPr>
          <w:rFonts w:hint="eastAsia" w:ascii="宋体" w:hAnsi="宋体" w:eastAsia="宋体" w:cs="宋体"/>
          <w:b/>
          <w:bCs/>
          <w:color w:val="000000"/>
          <w:sz w:val="24"/>
          <w:szCs w:val="24"/>
          <w:highlight w:val="none"/>
          <w:lang w:val="en-US" w:eastAsia="zh-CN"/>
        </w:rPr>
        <w:t xml:space="preserve">附件</w:t>
      </w:r>
      <w:r/>
    </w:p>
    <w:p>
      <w:pPr>
        <w:pStyle w:val="1158"/>
        <w:ind w:firstLine="49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58"/>
        <w:ind w:firstLine="492"/>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三十</w:t>
      </w:r>
      <w:r>
        <w:rPr>
          <w:rFonts w:hint="eastAsia" w:ascii="宋体" w:hAnsi="宋体" w:eastAsia="宋体" w:cs="宋体"/>
          <w:b w:val="0"/>
          <w:bCs w:val="0"/>
          <w:color w:val="000000"/>
          <w:sz w:val="24"/>
          <w:szCs w:val="24"/>
          <w:highlight w:val="none"/>
        </w:rPr>
        <w:t xml:space="preserve">、附件：附后。</w:t>
      </w:r>
      <w:r/>
    </w:p>
    <w:p>
      <w:pPr>
        <w:pStyle w:val="1158"/>
        <w:ind w:firstLine="4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p>
    <w:p>
      <w:pPr>
        <w:pStyle w:val="1158"/>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1、《评分细则》</w:t>
      </w:r>
      <w:r/>
    </w:p>
    <w:p>
      <w:pPr>
        <w:pStyle w:val="1158"/>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2、《项目要求（采购需求）》</w:t>
      </w:r>
      <w:r/>
    </w:p>
    <w:p>
      <w:pPr>
        <w:pStyle w:val="1158"/>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3、《磋商报价表》</w:t>
      </w:r>
      <w:r/>
    </w:p>
    <w:p>
      <w:pPr>
        <w:pStyle w:val="1158"/>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rPr>
        <w:t xml:space="preserve">分项价格表</w:t>
      </w:r>
      <w:r>
        <w:rPr>
          <w:rFonts w:hint="eastAsia" w:ascii="宋体" w:hAnsi="宋体" w:eastAsia="宋体" w:cs="宋体"/>
          <w:color w:val="000000"/>
          <w:sz w:val="24"/>
          <w:szCs w:val="24"/>
          <w:highlight w:val="none"/>
        </w:rPr>
        <w:t xml:space="preserve">》</w:t>
      </w:r>
      <w:r/>
    </w:p>
    <w:p>
      <w:pPr>
        <w:pStyle w:val="1158"/>
        <w:ind w:firstLine="972"/>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、《偏离表》</w:t>
      </w:r>
      <w:r/>
    </w:p>
    <w:p>
      <w:pPr>
        <w:pStyle w:val="1158"/>
        <w:ind w:firstLine="972"/>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合同草案条款》</w:t>
      </w:r>
      <w:r/>
    </w:p>
    <w:p>
      <w:pPr>
        <w:pStyle w:val="1158"/>
        <w:ind w:firstLine="972"/>
        <w:spacing w:line="36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、《承诺书》</w:t>
      </w:r>
      <w:r/>
    </w:p>
    <w:p>
      <w:pPr>
        <w:pStyle w:val="1158"/>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、《法定代表人授权书》</w:t>
      </w:r>
      <w:r/>
    </w:p>
    <w:p>
      <w:pPr>
        <w:pStyle w:val="1158"/>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具备履行合同所必需的设备和专业技术能力的书面声明</w:t>
      </w:r>
      <w:r>
        <w:rPr>
          <w:rFonts w:hint="eastAsia" w:ascii="宋体" w:hAnsi="宋体" w:eastAsia="宋体" w:cs="宋体"/>
          <w:color w:val="000000"/>
          <w:sz w:val="24"/>
          <w:szCs w:val="24"/>
          <w:highlight w:val="none"/>
        </w:rPr>
        <w:t xml:space="preserve">》</w:t>
      </w:r>
      <w:r/>
    </w:p>
    <w:p>
      <w:pPr>
        <w:pStyle w:val="1158"/>
        <w:ind w:firstLine="9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《供应商参加政府采购活动前3年内在经营活动中没有重大违法记录的书面声明》</w:t>
      </w:r>
      <w:r/>
    </w:p>
    <w:p>
      <w:pPr>
        <w:pStyle w:val="1158"/>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、《中小企业声明函》</w:t>
      </w:r>
      <w:r/>
    </w:p>
    <w:p>
      <w:pPr>
        <w:pStyle w:val="1158"/>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12、《残疾人福利性单位声明函》</w:t>
      </w:r>
      <w:r/>
    </w:p>
    <w:p>
      <w:pPr>
        <w:pStyle w:val="1158"/>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13、《代理服务收费标准》</w:t>
      </w:r>
      <w:r/>
    </w:p>
    <w:p>
      <w:pPr>
        <w:pStyle w:val="1158"/>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《预付款保函支付条款模板》</w:t>
      </w:r>
      <w:r/>
    </w:p>
    <w:p>
      <w:pPr>
        <w:pStyle w:val="1157"/>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58"/>
        <w:ind w:firstLine="612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月</w:t>
      </w:r>
      <w:r/>
    </w:p>
    <w:p>
      <w:pPr>
        <w:pStyle w:val="1158"/>
        <w:numPr>
          <w:ilvl w:val="0"/>
          <w:numId w:val="4"/>
        </w:numPr>
        <w:jc w:val="center"/>
        <w:spacing w:line="360" w:lineRule="auto"/>
        <w:rPr>
          <w:rFonts w:hint="eastAsia" w:ascii="宋体" w:hAnsi="宋体" w:eastAsia="宋体" w:cs="宋体"/>
          <w:b/>
          <w:color w:val="000000"/>
          <w:sz w:val="24"/>
          <w:szCs w:val="24"/>
          <w:highlight w:val="none"/>
        </w:rPr>
        <w:sectPr>
          <w:footerReference w:type="default" r:id="rId13"/>
          <w:footerReference w:type="first" r:id="rId14"/>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hint="eastAsia" w:ascii="宋体" w:hAnsi="宋体" w:eastAsia="宋体" w:cs="宋体"/>
          <w:b/>
          <w:color w:val="000000"/>
          <w:sz w:val="24"/>
          <w:szCs w:val="24"/>
          <w:highlight w:val="none"/>
        </w:rPr>
      </w:r>
      <w:r/>
    </w:p>
    <w:p>
      <w:pPr>
        <w:pStyle w:val="1158"/>
        <w:numPr>
          <w:ilvl w:val="0"/>
          <w:numId w:val="4"/>
        </w:num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评分细则</w:t>
      </w:r>
      <w:r/>
    </w:p>
    <w:tbl>
      <w:tblPr>
        <w:tblStyle w:val="1078"/>
        <w:tblW w:w="101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1171"/>
        <w:gridCol w:w="1062"/>
        <w:gridCol w:w="7948"/>
      </w:tblGrid>
      <w:tr>
        <w:trPr>
          <w:jc w:val="center"/>
          <w:trHeight w:val="342"/>
        </w:trPr>
        <w:tc>
          <w:tcPr>
            <w:tcMar>
              <w:left w:w="15" w:type="dxa"/>
              <w:top w:w="15" w:type="dxa"/>
              <w:right w:w="15" w:type="dxa"/>
            </w:tcMar>
            <w:tcW w:w="117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项目</w:t>
            </w:r>
            <w:r/>
          </w:p>
        </w:tc>
        <w:tc>
          <w:tcPr>
            <w:gridSpan w:val="2"/>
            <w:tcMar>
              <w:left w:w="15" w:type="dxa"/>
              <w:top w:w="15" w:type="dxa"/>
              <w:right w:w="15" w:type="dxa"/>
            </w:tcMar>
            <w:tcW w:w="901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评分办法</w:t>
            </w:r>
            <w:r/>
          </w:p>
        </w:tc>
      </w:tr>
      <w:tr>
        <w:trPr>
          <w:jc w:val="center"/>
          <w:trHeight w:val="1344"/>
        </w:trPr>
        <w:tc>
          <w:tcPr>
            <w:tcMar>
              <w:left w:w="15" w:type="dxa"/>
              <w:top w:w="15" w:type="dxa"/>
              <w:right w:w="15" w:type="dxa"/>
            </w:tcMar>
            <w:tcW w:w="117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价格</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20</w:t>
            </w:r>
            <w:r>
              <w:rPr>
                <w:rFonts w:hint="eastAsia" w:ascii="宋体" w:hAnsi="宋体" w:cs="宋体"/>
                <w:color w:val="000000"/>
                <w:sz w:val="24"/>
                <w:highlight w:val="none"/>
              </w:rPr>
              <w:t xml:space="preserve">分）</w:t>
            </w:r>
            <w:r/>
          </w:p>
        </w:tc>
        <w:tc>
          <w:tcPr>
            <w:gridSpan w:val="2"/>
            <w:tcMar>
              <w:left w:w="15" w:type="dxa"/>
              <w:top w:w="15" w:type="dxa"/>
              <w:right w:w="15" w:type="dxa"/>
            </w:tcMar>
            <w:tcW w:w="9010" w:type="dxa"/>
            <w:vAlign w:val="center"/>
            <w:textDirection w:val="lrTb"/>
            <w:noWrap w:val="false"/>
          </w:tcPr>
          <w:p>
            <w:pPr>
              <w:rPr>
                <w:rFonts w:ascii="宋体" w:hAnsi="宋体" w:cs="宋体"/>
                <w:color w:val="000000"/>
                <w:sz w:val="24"/>
                <w:highlight w:val="none"/>
              </w:rPr>
            </w:pPr>
            <w:r>
              <w:rPr>
                <w:rFonts w:hint="eastAsia" w:ascii="宋体" w:hAnsi="宋体" w:cs="宋体"/>
                <w:color w:val="000000"/>
                <w:sz w:val="24"/>
                <w:highlight w:val="none"/>
              </w:rPr>
              <w:t xml:space="preserve">采用低价优先法计算，即满足磋商文件要求且最后报价最低的供应商的价格为磋商基准价，其价格分为满分。其他供应商的价格分统一按照下列公式计算：</w:t>
            </w:r>
            <w:r/>
          </w:p>
          <w:p>
            <w:pPr>
              <w:rPr>
                <w:rFonts w:ascii="宋体" w:hAnsi="宋体" w:cs="宋体"/>
                <w:color w:val="000000"/>
                <w:sz w:val="24"/>
                <w:highlight w:val="none"/>
              </w:rPr>
            </w:pPr>
            <w:r>
              <w:rPr>
                <w:rFonts w:hint="eastAsia" w:ascii="宋体" w:hAnsi="宋体" w:cs="宋体"/>
                <w:color w:val="000000"/>
                <w:sz w:val="24"/>
                <w:highlight w:val="none"/>
              </w:rPr>
              <w:t xml:space="preserve">各磋商人价格得分=最低磋商价格（即磋商人中的最低评审价格）÷各磋商人评审价格×</w:t>
            </w:r>
            <w:r>
              <w:rPr>
                <w:rFonts w:hint="eastAsia" w:ascii="宋体" w:hAnsi="宋体" w:cs="宋体"/>
                <w:color w:val="000000"/>
                <w:sz w:val="24"/>
                <w:highlight w:val="none"/>
                <w:lang w:val="en-US" w:eastAsia="zh-CN"/>
              </w:rPr>
              <w:t xml:space="preserve">20</w:t>
            </w:r>
            <w:r>
              <w:rPr>
                <w:rFonts w:hint="eastAsia" w:ascii="宋体" w:hAnsi="宋体" w:cs="宋体"/>
                <w:color w:val="000000"/>
                <w:sz w:val="24"/>
                <w:highlight w:val="none"/>
              </w:rPr>
              <w:t xml:space="preserve">；</w:t>
            </w:r>
            <w:r>
              <w:rPr>
                <w:rFonts w:hint="eastAsia" w:ascii="宋体" w:hAnsi="宋体" w:eastAsia="宋体" w:cs="宋体"/>
                <w:sz w:val="24"/>
                <w:szCs w:val="24"/>
                <w:highlight w:val="none"/>
              </w:rPr>
              <w:t xml:space="preserve">结果计算小数点后保留两位。</w:t>
            </w:r>
            <w:r/>
          </w:p>
        </w:tc>
      </w:tr>
      <w:tr>
        <w:trPr>
          <w:jc w:val="center"/>
          <w:trHeight w:val="2074"/>
        </w:trPr>
        <w:tc>
          <w:tcPr>
            <w:tcMar>
              <w:left w:w="15" w:type="dxa"/>
              <w:top w:w="15" w:type="dxa"/>
              <w:right w:w="15" w:type="dxa"/>
            </w:tcMar>
            <w:tcW w:w="1171" w:type="dxa"/>
            <w:vAlign w:val="center"/>
            <w:vMerge w:val="restart"/>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施工方案</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71</w:t>
            </w:r>
            <w:r>
              <w:rPr>
                <w:rFonts w:hint="eastAsia" w:ascii="宋体" w:hAnsi="宋体" w:cs="宋体"/>
                <w:color w:val="000000"/>
                <w:sz w:val="24"/>
                <w:highlight w:val="none"/>
              </w:rPr>
              <w:t xml:space="preserve">分）</w:t>
            </w:r>
            <w:r/>
          </w:p>
        </w:tc>
        <w:tc>
          <w:tcPr>
            <w:tcMar>
              <w:left w:w="15" w:type="dxa"/>
              <w:top w:w="15" w:type="dxa"/>
              <w:right w:w="15" w:type="dxa"/>
            </w:tcMar>
            <w:tcW w:w="1062" w:type="dxa"/>
            <w:vAlign w:val="center"/>
            <w:textDirection w:val="lrTb"/>
            <w:noWrap w:val="false"/>
          </w:tcPr>
          <w:p>
            <w:pPr>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施工总体设想</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9</w:t>
            </w:r>
            <w:r>
              <w:rPr>
                <w:rFonts w:ascii="宋体" w:hAnsi="宋体" w:eastAsia="宋体" w:cs="宋体"/>
                <w:color w:val="000000"/>
                <w:sz w:val="24"/>
                <w:highlight w:val="none"/>
              </w:rPr>
              <w:t xml:space="preserve">分）</w:t>
            </w:r>
            <w:r/>
          </w:p>
        </w:tc>
        <w:tc>
          <w:tcPr>
            <w:tcMar>
              <w:left w:w="15" w:type="dxa"/>
              <w:top w:w="15" w:type="dxa"/>
              <w:right w:w="15" w:type="dxa"/>
            </w:tcMar>
            <w:tcW w:w="7948" w:type="dxa"/>
            <w:vAlign w:val="center"/>
            <w:textDirection w:val="lrTb"/>
            <w:noWrap w:val="false"/>
          </w:tcPr>
          <w:p>
            <w:pPr>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对响应文件中施工总体设想内容的全面性、可行性、针对性进行评价。</w:t>
            </w:r>
            <w:r/>
          </w:p>
          <w:p>
            <w:pPr>
              <w:rPr>
                <w:rFonts w:ascii="宋体" w:hAnsi="宋体" w:eastAsia="宋体" w:cs="宋体"/>
                <w:color w:val="000000"/>
                <w:sz w:val="24"/>
                <w:highlight w:val="none"/>
              </w:rPr>
            </w:pPr>
            <w:r>
              <w:rPr>
                <w:rFonts w:ascii="宋体" w:hAnsi="宋体" w:eastAsia="宋体" w:cs="宋体"/>
                <w:color w:val="000000"/>
                <w:sz w:val="24"/>
                <w:highlight w:val="none"/>
              </w:rPr>
              <w:t xml:space="preserve">全面性</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：全面具体详实得</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分；</w:t>
            </w:r>
            <w:r>
              <w:rPr>
                <w:rFonts w:hint="eastAsia" w:ascii="宋体" w:hAnsi="宋体" w:eastAsia="宋体" w:cs="宋体"/>
                <w:color w:val="000000"/>
                <w:sz w:val="24"/>
                <w:highlight w:val="none"/>
                <w:lang w:val="en-US" w:eastAsia="zh-CN"/>
              </w:rPr>
              <w:t xml:space="preserve">较</w:t>
            </w:r>
            <w:r>
              <w:rPr>
                <w:rFonts w:ascii="宋体" w:hAnsi="宋体" w:eastAsia="宋体" w:cs="宋体"/>
                <w:color w:val="000000"/>
                <w:sz w:val="24"/>
                <w:highlight w:val="none"/>
              </w:rPr>
              <w:t xml:space="preserve">全面得</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分；不全面得1分。</w:t>
            </w:r>
            <w:r/>
          </w:p>
          <w:p>
            <w:pPr>
              <w:rPr>
                <w:rFonts w:ascii="宋体" w:hAnsi="宋体" w:eastAsia="宋体" w:cs="宋体"/>
                <w:color w:val="000000"/>
                <w:sz w:val="24"/>
                <w:highlight w:val="none"/>
              </w:rPr>
            </w:pPr>
            <w:r>
              <w:rPr>
                <w:rFonts w:ascii="宋体" w:hAnsi="宋体" w:eastAsia="宋体" w:cs="宋体"/>
                <w:color w:val="000000"/>
                <w:sz w:val="24"/>
                <w:highlight w:val="none"/>
              </w:rPr>
              <w:t xml:space="preserve">可行性</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：符合实际切实可行得</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分；较切实可行得2分；可行性欠缺得1分。</w:t>
            </w:r>
            <w:r/>
          </w:p>
          <w:p>
            <w:pPr>
              <w:rPr>
                <w:rFonts w:ascii="宋体" w:hAnsi="宋体" w:eastAsia="宋体" w:cs="宋体"/>
                <w:color w:val="000000"/>
                <w:sz w:val="24"/>
                <w:highlight w:val="none"/>
              </w:rPr>
            </w:pPr>
            <w:r>
              <w:rPr>
                <w:rFonts w:ascii="宋体" w:hAnsi="宋体" w:eastAsia="宋体" w:cs="宋体"/>
                <w:color w:val="000000"/>
                <w:sz w:val="24"/>
                <w:highlight w:val="none"/>
              </w:rPr>
              <w:t xml:space="preserve">针对性</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：针对性强得</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分；针对性较强得</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分；针对性不强得1分。</w:t>
            </w:r>
            <w:r/>
          </w:p>
          <w:p>
            <w:pPr>
              <w:rPr>
                <w:rFonts w:ascii="宋体" w:hAnsi="宋体" w:eastAsia="宋体" w:cs="宋体"/>
                <w:color w:val="000000"/>
                <w:sz w:val="24"/>
                <w:highlight w:val="none"/>
              </w:rPr>
            </w:pPr>
            <w:r>
              <w:rPr>
                <w:rFonts w:ascii="宋体" w:hAnsi="宋体" w:eastAsia="宋体" w:cs="宋体"/>
                <w:color w:val="000000"/>
                <w:sz w:val="24"/>
                <w:highlight w:val="none"/>
              </w:rPr>
              <w:t xml:space="preserve">未提供的得0分</w:t>
            </w:r>
            <w:r>
              <w:rPr>
                <w:rFonts w:hint="eastAsia" w:ascii="宋体" w:hAnsi="宋体" w:eastAsia="宋体" w:cs="宋体"/>
                <w:color w:val="000000"/>
                <w:sz w:val="24"/>
                <w:highlight w:val="none"/>
                <w:lang w:eastAsia="zh-CN"/>
              </w:rPr>
              <w:t xml:space="preserve">，</w:t>
            </w:r>
            <w:r>
              <w:rPr>
                <w:rFonts w:hint="eastAsia" w:eastAsia="宋体"/>
                <w:color w:val="000000"/>
                <w:sz w:val="24"/>
                <w:highlight w:val="none"/>
              </w:rPr>
              <w:t xml:space="preserve">本项最高得</w:t>
            </w:r>
            <w:r>
              <w:rPr>
                <w:rFonts w:hint="eastAsia" w:eastAsia="宋体"/>
                <w:color w:val="000000"/>
                <w:sz w:val="24"/>
                <w:highlight w:val="none"/>
                <w:lang w:val="en-US" w:eastAsia="zh-CN"/>
              </w:rPr>
              <w:t xml:space="preserve">9</w:t>
            </w:r>
            <w:r>
              <w:rPr>
                <w:rFonts w:hint="eastAsia" w:eastAsia="宋体"/>
                <w:color w:val="000000"/>
                <w:sz w:val="24"/>
                <w:highlight w:val="none"/>
              </w:rPr>
              <w:t xml:space="preserve">分</w:t>
            </w:r>
            <w:r>
              <w:rPr>
                <w:rFonts w:hint="eastAsia" w:eastAsia="宋体"/>
                <w:color w:val="000000"/>
                <w:sz w:val="24"/>
                <w:highlight w:val="none"/>
                <w:lang w:eastAsia="zh-CN"/>
              </w:rPr>
              <w:t xml:space="preserve">，</w:t>
            </w:r>
            <w:r>
              <w:rPr>
                <w:rFonts w:hint="eastAsia" w:eastAsia="宋体"/>
                <w:color w:val="000000"/>
                <w:sz w:val="24"/>
                <w:highlight w:val="none"/>
                <w:lang w:val="en-US" w:eastAsia="zh-CN"/>
              </w:rPr>
              <w:t xml:space="preserve">最低得0分。</w:t>
            </w:r>
            <w:r/>
          </w:p>
        </w:tc>
      </w:tr>
      <w:tr>
        <w:trPr>
          <w:jc w:val="center"/>
          <w:trHeight w:val="90"/>
        </w:trPr>
        <w:tc>
          <w:tcPr>
            <w:tcMar>
              <w:left w:w="15" w:type="dxa"/>
              <w:top w:w="15" w:type="dxa"/>
              <w:right w:w="15" w:type="dxa"/>
            </w:tcMar>
            <w:tcW w:w="1171"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tcMar>
            <w:tcW w:w="1062" w:type="dxa"/>
            <w:vAlign w:val="center"/>
            <w:textDirection w:val="lrTb"/>
            <w:noWrap w:val="false"/>
          </w:tcPr>
          <w:p>
            <w:pP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专项组织施工方案</w:t>
            </w:r>
            <w:r/>
          </w:p>
          <w:p>
            <w:pPr>
              <w:rPr>
                <w:rFonts w:ascii="宋体" w:hAnsi="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9</w:t>
            </w:r>
            <w:r>
              <w:rPr>
                <w:rFonts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p>
        </w:tc>
        <w:tc>
          <w:tcPr>
            <w:tcMar>
              <w:left w:w="15" w:type="dxa"/>
              <w:top w:w="15" w:type="dxa"/>
              <w:right w:w="15" w:type="dxa"/>
            </w:tcMar>
            <w:tcW w:w="7948" w:type="dxa"/>
            <w:vAlign w:val="center"/>
            <w:textDirection w:val="lrTb"/>
            <w:noWrap w:val="false"/>
          </w:tcPr>
          <w:p>
            <w:pP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根据采购需求的项目特点响应单位提供专项组织实施方案；针对项目计划、文明实施、质量管理等内容的全面性、可行性、针对性进行综合评价。</w:t>
            </w:r>
            <w:r/>
          </w:p>
          <w:p>
            <w:pPr>
              <w:rPr>
                <w:rFonts w:ascii="宋体" w:hAnsi="宋体" w:cs="宋体"/>
                <w:color w:val="000000"/>
                <w:sz w:val="24"/>
                <w:highlight w:val="none"/>
              </w:rPr>
            </w:pPr>
            <w:r>
              <w:rPr>
                <w:rFonts w:ascii="宋体" w:hAnsi="宋体" w:cs="宋体"/>
                <w:color w:val="000000"/>
                <w:sz w:val="24"/>
                <w:highlight w:val="none"/>
              </w:rPr>
              <w:t xml:space="preserve">全面性</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：全面具体详实得</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分；</w:t>
            </w:r>
            <w:r>
              <w:rPr>
                <w:rFonts w:hint="eastAsia" w:ascii="宋体" w:hAnsi="宋体" w:cs="宋体"/>
                <w:color w:val="000000"/>
                <w:sz w:val="24"/>
                <w:highlight w:val="none"/>
                <w:lang w:val="en-US" w:eastAsia="zh-CN"/>
              </w:rPr>
              <w:t xml:space="preserve">较</w:t>
            </w:r>
            <w:r>
              <w:rPr>
                <w:rFonts w:ascii="宋体" w:hAnsi="宋体" w:cs="宋体"/>
                <w:color w:val="000000"/>
                <w:sz w:val="24"/>
                <w:highlight w:val="none"/>
              </w:rPr>
              <w:t xml:space="preserve">全面得2分；不全面得1分。</w:t>
            </w:r>
            <w:r/>
          </w:p>
          <w:p>
            <w:pPr>
              <w:rPr>
                <w:rFonts w:ascii="宋体" w:hAnsi="宋体" w:cs="宋体"/>
                <w:color w:val="000000"/>
                <w:sz w:val="24"/>
                <w:highlight w:val="none"/>
              </w:rPr>
            </w:pPr>
            <w:r>
              <w:rPr>
                <w:rFonts w:ascii="宋体" w:hAnsi="宋体" w:cs="宋体"/>
                <w:color w:val="000000"/>
                <w:sz w:val="24"/>
                <w:highlight w:val="none"/>
              </w:rPr>
              <w:t xml:space="preserve">可行性</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3分</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：符合实际切实可行得3分；较切实可行得2分；可行性欠缺得1分。</w:t>
            </w:r>
            <w:r/>
          </w:p>
          <w:p>
            <w:pPr>
              <w:rPr>
                <w:rFonts w:ascii="宋体" w:hAnsi="宋体" w:cs="宋体"/>
                <w:color w:val="000000"/>
                <w:sz w:val="24"/>
                <w:highlight w:val="none"/>
              </w:rPr>
            </w:pPr>
            <w:r>
              <w:rPr>
                <w:rFonts w:ascii="宋体" w:hAnsi="宋体" w:cs="宋体"/>
                <w:color w:val="000000"/>
                <w:sz w:val="24"/>
                <w:highlight w:val="none"/>
              </w:rPr>
              <w:t xml:space="preserve">针对性</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3分</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：针对性强得3分；针对性较强得2分；针对性不强得1分。</w:t>
            </w:r>
            <w:r/>
          </w:p>
          <w:p>
            <w:pPr>
              <w:rPr>
                <w:rFonts w:ascii="宋体" w:hAnsi="宋体" w:cs="宋体"/>
                <w:color w:val="000000"/>
                <w:sz w:val="24"/>
                <w:highlight w:val="none"/>
              </w:rPr>
            </w:pPr>
            <w:r>
              <w:rPr>
                <w:rFonts w:ascii="宋体" w:hAnsi="宋体" w:eastAsia="宋体" w:cs="宋体"/>
                <w:color w:val="000000"/>
                <w:sz w:val="24"/>
                <w:highlight w:val="none"/>
              </w:rPr>
              <w:t xml:space="preserve">未提供的得0分</w:t>
            </w:r>
            <w:r>
              <w:rPr>
                <w:rFonts w:hint="eastAsia" w:ascii="宋体" w:hAnsi="宋体" w:eastAsia="宋体" w:cs="宋体"/>
                <w:color w:val="000000"/>
                <w:sz w:val="24"/>
                <w:highlight w:val="none"/>
                <w:lang w:eastAsia="zh-CN"/>
              </w:rPr>
              <w:t xml:space="preserve">，</w:t>
            </w:r>
            <w:r>
              <w:rPr>
                <w:rFonts w:hint="eastAsia" w:eastAsia="宋体"/>
                <w:color w:val="000000"/>
                <w:sz w:val="24"/>
                <w:highlight w:val="none"/>
              </w:rPr>
              <w:t xml:space="preserve">本项最高得</w:t>
            </w:r>
            <w:r>
              <w:rPr>
                <w:rFonts w:hint="eastAsia" w:eastAsia="宋体"/>
                <w:color w:val="000000"/>
                <w:sz w:val="24"/>
                <w:highlight w:val="none"/>
                <w:lang w:val="en-US" w:eastAsia="zh-CN"/>
              </w:rPr>
              <w:t xml:space="preserve">9</w:t>
            </w:r>
            <w:r>
              <w:rPr>
                <w:rFonts w:hint="eastAsia" w:eastAsia="宋体"/>
                <w:color w:val="000000"/>
                <w:sz w:val="24"/>
                <w:highlight w:val="none"/>
              </w:rPr>
              <w:t xml:space="preserve">分</w:t>
            </w:r>
            <w:r>
              <w:rPr>
                <w:rFonts w:hint="eastAsia" w:eastAsia="宋体"/>
                <w:color w:val="000000"/>
                <w:sz w:val="24"/>
                <w:highlight w:val="none"/>
                <w:lang w:eastAsia="zh-CN"/>
              </w:rPr>
              <w:t xml:space="preserve">，</w:t>
            </w:r>
            <w:r>
              <w:rPr>
                <w:rFonts w:hint="eastAsia" w:eastAsia="宋体"/>
                <w:color w:val="000000"/>
                <w:sz w:val="24"/>
                <w:highlight w:val="none"/>
                <w:lang w:val="en-US" w:eastAsia="zh-CN"/>
              </w:rPr>
              <w:t xml:space="preserve">最低得0分。</w:t>
            </w:r>
            <w:r/>
          </w:p>
        </w:tc>
      </w:tr>
      <w:tr>
        <w:trPr>
          <w:jc w:val="center"/>
          <w:trHeight w:val="1110"/>
        </w:trPr>
        <w:tc>
          <w:tcPr>
            <w:tcMar>
              <w:left w:w="15" w:type="dxa"/>
              <w:top w:w="15" w:type="dxa"/>
              <w:right w:w="15" w:type="dxa"/>
            </w:tcMar>
            <w:tcW w:w="1171"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tcMar>
            <w:tcW w:w="1062" w:type="dxa"/>
            <w:vAlign w:val="center"/>
            <w:textDirection w:val="lrTb"/>
            <w:noWrap w:val="false"/>
          </w:tcPr>
          <w:p>
            <w:pPr>
              <w:jc w:val="center"/>
              <w:spacing w:line="320" w:lineRule="exact"/>
              <w:shd w:val="clear" w:color="auto" w:fil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安全文明施工及环境保护措施</w:t>
            </w:r>
            <w:r/>
          </w:p>
          <w:p>
            <w:pPr>
              <w:pStyle w:val="1154"/>
              <w:jc w:val="center"/>
              <w:rPr>
                <w:rFonts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9</w:t>
            </w:r>
            <w:r>
              <w:rPr>
                <w:rFonts w:ascii="宋体" w:hAnsi="宋体"/>
                <w:color w:val="000000"/>
                <w:sz w:val="24"/>
                <w:highlight w:val="none"/>
              </w:rPr>
              <w:t xml:space="preserve">分</w:t>
            </w:r>
            <w:r>
              <w:rPr>
                <w:rFonts w:hint="eastAsia" w:ascii="宋体" w:hAnsi="宋体"/>
                <w:color w:val="000000"/>
                <w:sz w:val="24"/>
                <w:highlight w:val="none"/>
                <w:lang w:eastAsia="zh-CN"/>
              </w:rPr>
              <w:t xml:space="preserve">）</w:t>
            </w:r>
            <w:r/>
          </w:p>
        </w:tc>
        <w:tc>
          <w:tcPr>
            <w:tcMar>
              <w:left w:w="15" w:type="dxa"/>
              <w:top w:w="15" w:type="dxa"/>
              <w:right w:w="15" w:type="dxa"/>
            </w:tcMar>
            <w:tcW w:w="7948"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t xml:space="preserve">根据</w:t>
            </w:r>
            <w:r>
              <w:rPr>
                <w:rFonts w:hint="eastAsia" w:ascii="宋体" w:hAnsi="宋体" w:cs="宋体"/>
                <w:color w:val="000000"/>
                <w:sz w:val="24"/>
                <w:highlight w:val="none"/>
                <w:lang w:val="en-US" w:eastAsia="zh-CN"/>
              </w:rPr>
              <w:t xml:space="preserve">供应商</w:t>
            </w:r>
            <w:r>
              <w:rPr>
                <w:rFonts w:ascii="宋体" w:hAnsi="宋体" w:cs="宋体"/>
                <w:color w:val="000000"/>
                <w:sz w:val="24"/>
                <w:highlight w:val="none"/>
              </w:rPr>
              <w:t xml:space="preserve">提供的安全文明施工措施中安全生产管理措施、文明施工管理措施、环境保护措施等方面进行总体评价。</w:t>
            </w:r>
            <w:r/>
          </w:p>
          <w:p>
            <w:pPr>
              <w:rPr>
                <w:rFonts w:ascii="宋体" w:hAnsi="宋体" w:cs="宋体"/>
                <w:color w:val="000000"/>
                <w:sz w:val="24"/>
                <w:highlight w:val="none"/>
              </w:rPr>
            </w:pPr>
            <w:r>
              <w:rPr>
                <w:rFonts w:ascii="宋体" w:hAnsi="宋体" w:cs="宋体"/>
                <w:color w:val="000000"/>
                <w:sz w:val="24"/>
                <w:highlight w:val="none"/>
              </w:rPr>
              <w:t xml:space="preserve">全面性</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：全面具体详实得</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分；</w:t>
            </w:r>
            <w:r>
              <w:rPr>
                <w:rFonts w:hint="eastAsia" w:ascii="宋体" w:hAnsi="宋体" w:cs="宋体"/>
                <w:color w:val="000000"/>
                <w:sz w:val="24"/>
                <w:highlight w:val="none"/>
                <w:lang w:val="en-US" w:eastAsia="zh-CN"/>
              </w:rPr>
              <w:t xml:space="preserve">较</w:t>
            </w:r>
            <w:r>
              <w:rPr>
                <w:rFonts w:ascii="宋体" w:hAnsi="宋体" w:cs="宋体"/>
                <w:color w:val="000000"/>
                <w:sz w:val="24"/>
                <w:highlight w:val="none"/>
              </w:rPr>
              <w:t xml:space="preserve">全面得2分；不全面得1分。</w:t>
            </w:r>
            <w:r/>
          </w:p>
          <w:p>
            <w:pPr>
              <w:rPr>
                <w:rFonts w:ascii="宋体" w:hAnsi="宋体" w:cs="宋体"/>
                <w:color w:val="000000"/>
                <w:sz w:val="24"/>
                <w:highlight w:val="none"/>
              </w:rPr>
            </w:pPr>
            <w:r>
              <w:rPr>
                <w:rFonts w:ascii="宋体" w:hAnsi="宋体" w:cs="宋体"/>
                <w:color w:val="000000"/>
                <w:sz w:val="24"/>
                <w:highlight w:val="none"/>
              </w:rPr>
              <w:t xml:space="preserve">可行性</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3分</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：符合实际切实可行得3分；较切实可行得2分；可行性欠缺得1分。</w:t>
            </w:r>
            <w:r/>
          </w:p>
          <w:p>
            <w:pPr>
              <w:rPr>
                <w:rFonts w:ascii="宋体" w:hAnsi="宋体" w:cs="宋体"/>
                <w:color w:val="000000"/>
                <w:sz w:val="24"/>
                <w:highlight w:val="none"/>
              </w:rPr>
            </w:pPr>
            <w:r>
              <w:rPr>
                <w:rFonts w:ascii="宋体" w:hAnsi="宋体" w:cs="宋体"/>
                <w:color w:val="000000"/>
                <w:sz w:val="24"/>
                <w:highlight w:val="none"/>
              </w:rPr>
              <w:t xml:space="preserve">针对性</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3分</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：针对性强得3分；针对性较强得2分；针对性不强得1分。</w:t>
            </w:r>
            <w:r/>
          </w:p>
          <w:p>
            <w:pPr>
              <w:rPr>
                <w:rFonts w:ascii="宋体" w:hAnsi="宋体" w:cs="宋体"/>
                <w:color w:val="000000"/>
                <w:sz w:val="24"/>
                <w:highlight w:val="none"/>
              </w:rPr>
            </w:pPr>
            <w:r>
              <w:rPr>
                <w:rFonts w:ascii="宋体" w:hAnsi="宋体" w:eastAsia="宋体" w:cs="宋体"/>
                <w:color w:val="000000"/>
                <w:sz w:val="24"/>
                <w:highlight w:val="none"/>
              </w:rPr>
              <w:t xml:space="preserve">未提供的得0分</w:t>
            </w:r>
            <w:r>
              <w:rPr>
                <w:rFonts w:hint="eastAsia" w:ascii="宋体" w:hAnsi="宋体" w:eastAsia="宋体" w:cs="宋体"/>
                <w:color w:val="000000"/>
                <w:sz w:val="24"/>
                <w:highlight w:val="none"/>
                <w:lang w:eastAsia="zh-CN"/>
              </w:rPr>
              <w:t xml:space="preserve">，</w:t>
            </w:r>
            <w:r>
              <w:rPr>
                <w:rFonts w:hint="eastAsia" w:eastAsia="宋体"/>
                <w:color w:val="000000"/>
                <w:sz w:val="24"/>
                <w:highlight w:val="none"/>
              </w:rPr>
              <w:t xml:space="preserve">本项最高得</w:t>
            </w:r>
            <w:r>
              <w:rPr>
                <w:rFonts w:hint="eastAsia" w:eastAsia="宋体"/>
                <w:color w:val="000000"/>
                <w:sz w:val="24"/>
                <w:highlight w:val="none"/>
                <w:lang w:val="en-US" w:eastAsia="zh-CN"/>
              </w:rPr>
              <w:t xml:space="preserve">9</w:t>
            </w:r>
            <w:r>
              <w:rPr>
                <w:rFonts w:hint="eastAsia" w:eastAsia="宋体"/>
                <w:color w:val="000000"/>
                <w:sz w:val="24"/>
                <w:highlight w:val="none"/>
              </w:rPr>
              <w:t xml:space="preserve">分</w:t>
            </w:r>
            <w:r>
              <w:rPr>
                <w:rFonts w:hint="eastAsia" w:eastAsia="宋体"/>
                <w:color w:val="000000"/>
                <w:sz w:val="24"/>
                <w:highlight w:val="none"/>
                <w:lang w:eastAsia="zh-CN"/>
              </w:rPr>
              <w:t xml:space="preserve">，</w:t>
            </w:r>
            <w:r>
              <w:rPr>
                <w:rFonts w:hint="eastAsia" w:eastAsia="宋体"/>
                <w:color w:val="000000"/>
                <w:sz w:val="24"/>
                <w:highlight w:val="none"/>
                <w:lang w:val="en-US" w:eastAsia="zh-CN"/>
              </w:rPr>
              <w:t xml:space="preserve">最低得0分。</w:t>
            </w:r>
            <w:r/>
          </w:p>
        </w:tc>
      </w:tr>
      <w:tr>
        <w:trPr>
          <w:jc w:val="center"/>
          <w:trHeight w:val="488"/>
        </w:trPr>
        <w:tc>
          <w:tcPr>
            <w:tcMar>
              <w:left w:w="15" w:type="dxa"/>
              <w:top w:w="15" w:type="dxa"/>
              <w:right w:w="15" w:type="dxa"/>
            </w:tcMar>
            <w:tcW w:w="1171"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tcMar>
            <w:tcW w:w="1062" w:type="dxa"/>
            <w:vAlign w:val="center"/>
            <w:textDirection w:val="lrTb"/>
            <w:noWrap w:val="false"/>
          </w:tcPr>
          <w:p>
            <w:pPr>
              <w:pStyle w:val="1154"/>
              <w:jc w:val="center"/>
              <w:rPr>
                <w:rFonts w:hint="eastAsia" w:ascii="宋体" w:hAnsi="宋体" w:eastAsia="宋体"/>
                <w:color w:val="000000"/>
                <w:sz w:val="24"/>
                <w:highlight w:val="none"/>
                <w:lang w:val="en-US" w:eastAsia="zh-CN"/>
              </w:rPr>
            </w:pPr>
            <w:r>
              <w:rPr>
                <w:rFonts w:ascii="宋体" w:hAnsi="宋体"/>
                <w:color w:val="000000"/>
                <w:sz w:val="24"/>
                <w:highlight w:val="none"/>
              </w:rPr>
              <w:t xml:space="preserve">质量保证</w:t>
            </w:r>
            <w:r>
              <w:rPr>
                <w:rFonts w:hint="eastAsia" w:ascii="宋体" w:hAnsi="宋体"/>
                <w:color w:val="000000"/>
                <w:sz w:val="24"/>
                <w:highlight w:val="none"/>
                <w:lang w:val="en-US" w:eastAsia="zh-CN"/>
              </w:rPr>
              <w:t xml:space="preserve">措施</w:t>
            </w:r>
            <w:r/>
          </w:p>
          <w:p>
            <w:pPr>
              <w:pStyle w:val="1154"/>
              <w:jc w:val="center"/>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9</w:t>
            </w:r>
            <w:r>
              <w:rPr>
                <w:rFonts w:ascii="宋体" w:hAnsi="宋体"/>
                <w:color w:val="000000"/>
                <w:sz w:val="24"/>
                <w:highlight w:val="none"/>
              </w:rPr>
              <w:t xml:space="preserve">分）</w:t>
            </w:r>
            <w:r/>
          </w:p>
        </w:tc>
        <w:tc>
          <w:tcPr>
            <w:tcMar>
              <w:left w:w="15" w:type="dxa"/>
              <w:top w:w="15" w:type="dxa"/>
              <w:right w:w="15" w:type="dxa"/>
            </w:tcMar>
            <w:tcW w:w="7948"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t xml:space="preserve">根据</w:t>
            </w:r>
            <w:r>
              <w:rPr>
                <w:rFonts w:hint="eastAsia" w:ascii="宋体" w:hAnsi="宋体" w:cs="宋体"/>
                <w:color w:val="000000"/>
                <w:sz w:val="24"/>
                <w:highlight w:val="none"/>
                <w:lang w:val="en-US" w:eastAsia="zh-CN"/>
              </w:rPr>
              <w:t xml:space="preserve">供应商</w:t>
            </w:r>
            <w:r>
              <w:rPr>
                <w:rFonts w:ascii="宋体" w:hAnsi="宋体" w:cs="宋体"/>
                <w:color w:val="000000"/>
                <w:sz w:val="24"/>
                <w:highlight w:val="none"/>
              </w:rPr>
              <w:t xml:space="preserve">提供的质量保证措施，对施工质量管理规划及目标、施工质量保证措施及突发情况预防方式等方面进行总体评价。</w:t>
            </w:r>
            <w:r/>
          </w:p>
          <w:p>
            <w:pPr>
              <w:rPr>
                <w:rFonts w:ascii="宋体" w:hAnsi="宋体" w:cs="宋体"/>
                <w:color w:val="000000"/>
                <w:sz w:val="24"/>
                <w:highlight w:val="none"/>
              </w:rPr>
            </w:pPr>
            <w:r>
              <w:rPr>
                <w:rFonts w:ascii="宋体" w:hAnsi="宋体" w:cs="宋体"/>
                <w:color w:val="000000"/>
                <w:sz w:val="24"/>
                <w:highlight w:val="none"/>
              </w:rPr>
              <w:t xml:space="preserve">全面性</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：全面具体详实得</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分；</w:t>
            </w:r>
            <w:r>
              <w:rPr>
                <w:rFonts w:hint="eastAsia" w:ascii="宋体" w:hAnsi="宋体" w:cs="宋体"/>
                <w:color w:val="000000"/>
                <w:sz w:val="24"/>
                <w:highlight w:val="none"/>
                <w:lang w:val="en-US" w:eastAsia="zh-CN"/>
              </w:rPr>
              <w:t xml:space="preserve">较</w:t>
            </w:r>
            <w:r>
              <w:rPr>
                <w:rFonts w:ascii="宋体" w:hAnsi="宋体" w:cs="宋体"/>
                <w:color w:val="000000"/>
                <w:sz w:val="24"/>
                <w:highlight w:val="none"/>
              </w:rPr>
              <w:t xml:space="preserve">全面得2分；不全面得1分。</w:t>
            </w:r>
            <w:r/>
          </w:p>
          <w:p>
            <w:pPr>
              <w:rPr>
                <w:rFonts w:ascii="宋体" w:hAnsi="宋体" w:cs="宋体"/>
                <w:color w:val="000000"/>
                <w:sz w:val="24"/>
                <w:highlight w:val="none"/>
              </w:rPr>
            </w:pPr>
            <w:r>
              <w:rPr>
                <w:rFonts w:ascii="宋体" w:hAnsi="宋体" w:cs="宋体"/>
                <w:color w:val="000000"/>
                <w:sz w:val="24"/>
                <w:highlight w:val="none"/>
              </w:rPr>
              <w:t xml:space="preserve">可行性</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3分</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：符合实际切实可行得3分；较切实可行得2分；可行性欠缺得1分。</w:t>
            </w:r>
            <w:r/>
          </w:p>
          <w:p>
            <w:pPr>
              <w:rPr>
                <w:rFonts w:ascii="宋体" w:hAnsi="宋体" w:cs="宋体"/>
                <w:color w:val="000000"/>
                <w:sz w:val="24"/>
                <w:highlight w:val="none"/>
              </w:rPr>
            </w:pPr>
            <w:r>
              <w:rPr>
                <w:rFonts w:ascii="宋体" w:hAnsi="宋体" w:cs="宋体"/>
                <w:color w:val="000000"/>
                <w:sz w:val="24"/>
                <w:highlight w:val="none"/>
              </w:rPr>
              <w:t xml:space="preserve">针对性</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3分</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：针对性强得3分；针对性较强得2分；针对性不强得1分。</w:t>
            </w:r>
            <w:r/>
          </w:p>
          <w:p>
            <w:pPr>
              <w:rPr>
                <w:rFonts w:ascii="宋体" w:hAnsi="宋体" w:cs="宋体"/>
                <w:color w:val="000000"/>
                <w:sz w:val="24"/>
                <w:highlight w:val="none"/>
              </w:rPr>
            </w:pPr>
            <w:r>
              <w:rPr>
                <w:rFonts w:ascii="宋体" w:hAnsi="宋体" w:eastAsia="宋体" w:cs="宋体"/>
                <w:color w:val="000000"/>
                <w:sz w:val="24"/>
                <w:highlight w:val="none"/>
              </w:rPr>
              <w:t xml:space="preserve">未提供的得0分</w:t>
            </w:r>
            <w:r>
              <w:rPr>
                <w:rFonts w:hint="eastAsia" w:ascii="宋体" w:hAnsi="宋体" w:eastAsia="宋体" w:cs="宋体"/>
                <w:color w:val="000000"/>
                <w:sz w:val="24"/>
                <w:highlight w:val="none"/>
                <w:lang w:eastAsia="zh-CN"/>
              </w:rPr>
              <w:t xml:space="preserve">，</w:t>
            </w:r>
            <w:r>
              <w:rPr>
                <w:rFonts w:hint="eastAsia" w:eastAsia="宋体"/>
                <w:color w:val="000000"/>
                <w:sz w:val="24"/>
                <w:highlight w:val="none"/>
              </w:rPr>
              <w:t xml:space="preserve">本项最高得</w:t>
            </w:r>
            <w:r>
              <w:rPr>
                <w:rFonts w:hint="eastAsia" w:eastAsia="宋体"/>
                <w:color w:val="000000"/>
                <w:sz w:val="24"/>
                <w:highlight w:val="none"/>
                <w:lang w:val="en-US" w:eastAsia="zh-CN"/>
              </w:rPr>
              <w:t xml:space="preserve">9</w:t>
            </w:r>
            <w:r>
              <w:rPr>
                <w:rFonts w:hint="eastAsia" w:eastAsia="宋体"/>
                <w:color w:val="000000"/>
                <w:sz w:val="24"/>
                <w:highlight w:val="none"/>
              </w:rPr>
              <w:t xml:space="preserve">分</w:t>
            </w:r>
            <w:r>
              <w:rPr>
                <w:rFonts w:hint="eastAsia" w:eastAsia="宋体"/>
                <w:color w:val="000000"/>
                <w:sz w:val="24"/>
                <w:highlight w:val="none"/>
                <w:lang w:eastAsia="zh-CN"/>
              </w:rPr>
              <w:t xml:space="preserve">，</w:t>
            </w:r>
            <w:r>
              <w:rPr>
                <w:rFonts w:hint="eastAsia" w:eastAsia="宋体"/>
                <w:color w:val="000000"/>
                <w:sz w:val="24"/>
                <w:highlight w:val="none"/>
                <w:lang w:val="en-US" w:eastAsia="zh-CN"/>
              </w:rPr>
              <w:t xml:space="preserve">最低得0分。</w:t>
            </w:r>
            <w:r/>
          </w:p>
        </w:tc>
      </w:tr>
      <w:tr>
        <w:trPr>
          <w:jc w:val="center"/>
          <w:trHeight w:val="570"/>
        </w:trPr>
        <w:tc>
          <w:tcPr>
            <w:tcMar>
              <w:left w:w="15" w:type="dxa"/>
              <w:top w:w="15" w:type="dxa"/>
              <w:right w:w="15" w:type="dxa"/>
            </w:tcMar>
            <w:tcW w:w="1171"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tcMar>
            <w:tcW w:w="1062" w:type="dxa"/>
            <w:vAlign w:val="center"/>
            <w:textDirection w:val="lrTb"/>
            <w:noWrap w:val="false"/>
          </w:tcPr>
          <w:p>
            <w:pPr>
              <w:rPr>
                <w:rFonts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施工进度计划和各阶段的保证措施</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分）</w:t>
            </w:r>
            <w:r/>
          </w:p>
        </w:tc>
        <w:tc>
          <w:tcPr>
            <w:tcMar>
              <w:left w:w="15" w:type="dxa"/>
              <w:top w:w="15" w:type="dxa"/>
              <w:right w:w="15" w:type="dxa"/>
            </w:tcMar>
            <w:tcW w:w="7948" w:type="dxa"/>
            <w:vAlign w:val="center"/>
            <w:textDirection w:val="lrTb"/>
            <w:noWrap w:val="false"/>
          </w:tcPr>
          <w:p>
            <w:pPr>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对响应文件中施工进度计划和各阶段的保证措施内容的全面性、可行性、针对性进行评价。</w:t>
            </w:r>
            <w:r/>
          </w:p>
          <w:p>
            <w:pPr>
              <w:rPr>
                <w:rFonts w:ascii="宋体" w:hAnsi="宋体" w:eastAsia="宋体" w:cs="宋体"/>
                <w:color w:val="000000"/>
                <w:sz w:val="24"/>
                <w:highlight w:val="none"/>
              </w:rPr>
            </w:pPr>
            <w:r>
              <w:rPr>
                <w:rFonts w:ascii="宋体" w:hAnsi="宋体" w:eastAsia="宋体" w:cs="宋体"/>
                <w:color w:val="000000"/>
                <w:sz w:val="24"/>
                <w:highlight w:val="none"/>
              </w:rPr>
              <w:t xml:space="preserve">全面性</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：全面具体详实得</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分；</w:t>
            </w:r>
            <w:r>
              <w:rPr>
                <w:rFonts w:hint="eastAsia" w:ascii="宋体" w:hAnsi="宋体" w:eastAsia="宋体" w:cs="宋体"/>
                <w:color w:val="000000"/>
                <w:sz w:val="24"/>
                <w:highlight w:val="none"/>
                <w:lang w:val="en-US" w:eastAsia="zh-CN"/>
              </w:rPr>
              <w:t xml:space="preserve">较</w:t>
            </w:r>
            <w:r>
              <w:rPr>
                <w:rFonts w:ascii="宋体" w:hAnsi="宋体" w:eastAsia="宋体" w:cs="宋体"/>
                <w:color w:val="000000"/>
                <w:sz w:val="24"/>
                <w:highlight w:val="none"/>
              </w:rPr>
              <w:t xml:space="preserve">全面得</w:t>
            </w:r>
            <w:r>
              <w:rPr>
                <w:rFonts w:hint="eastAsia" w:ascii="宋体" w:hAnsi="宋体" w:eastAsia="宋体" w:cs="宋体"/>
                <w:color w:val="000000"/>
                <w:sz w:val="24"/>
                <w:highlight w:val="none"/>
                <w:lang w:val="en-US" w:eastAsia="zh-CN"/>
              </w:rPr>
              <w:t xml:space="preserve">1.5</w:t>
            </w:r>
            <w:r>
              <w:rPr>
                <w:rFonts w:ascii="宋体" w:hAnsi="宋体" w:eastAsia="宋体" w:cs="宋体"/>
                <w:color w:val="000000"/>
                <w:sz w:val="24"/>
                <w:highlight w:val="none"/>
              </w:rPr>
              <w:t xml:space="preserve">分；不全面得1分。</w:t>
            </w:r>
            <w:r/>
          </w:p>
          <w:p>
            <w:pPr>
              <w:rPr>
                <w:rFonts w:ascii="宋体" w:hAnsi="宋体" w:eastAsia="宋体" w:cs="宋体"/>
                <w:color w:val="000000"/>
                <w:sz w:val="24"/>
                <w:highlight w:val="none"/>
              </w:rPr>
            </w:pPr>
            <w:r>
              <w:rPr>
                <w:rFonts w:ascii="宋体" w:hAnsi="宋体" w:eastAsia="宋体" w:cs="宋体"/>
                <w:color w:val="000000"/>
                <w:sz w:val="24"/>
                <w:highlight w:val="none"/>
              </w:rPr>
              <w:t xml:space="preserve">可行性</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：符合实际切实可行得</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分；较切实可行得</w:t>
            </w:r>
            <w:r>
              <w:rPr>
                <w:rFonts w:hint="eastAsia" w:ascii="宋体" w:hAnsi="宋体" w:eastAsia="宋体" w:cs="宋体"/>
                <w:color w:val="000000"/>
                <w:sz w:val="24"/>
                <w:highlight w:val="none"/>
                <w:lang w:val="en-US" w:eastAsia="zh-CN"/>
              </w:rPr>
              <w:t xml:space="preserve">1.5</w:t>
            </w:r>
            <w:r>
              <w:rPr>
                <w:rFonts w:ascii="宋体" w:hAnsi="宋体" w:eastAsia="宋体" w:cs="宋体"/>
                <w:color w:val="000000"/>
                <w:sz w:val="24"/>
                <w:highlight w:val="none"/>
              </w:rPr>
              <w:t xml:space="preserve">分；可行性欠缺得1分。</w:t>
            </w:r>
            <w:r/>
          </w:p>
          <w:p>
            <w:pPr>
              <w:rPr>
                <w:rFonts w:ascii="宋体" w:hAnsi="宋体" w:eastAsia="宋体" w:cs="宋体"/>
                <w:color w:val="000000"/>
                <w:sz w:val="24"/>
                <w:highlight w:val="none"/>
              </w:rPr>
            </w:pPr>
            <w:r>
              <w:rPr>
                <w:rFonts w:ascii="宋体" w:hAnsi="宋体" w:eastAsia="宋体" w:cs="宋体"/>
                <w:color w:val="000000"/>
                <w:sz w:val="24"/>
                <w:highlight w:val="none"/>
              </w:rPr>
              <w:t xml:space="preserve">针对性</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：针对性强得</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分；针对性较强得</w:t>
            </w:r>
            <w:r>
              <w:rPr>
                <w:rFonts w:hint="eastAsia" w:ascii="宋体" w:hAnsi="宋体" w:eastAsia="宋体" w:cs="宋体"/>
                <w:color w:val="000000"/>
                <w:sz w:val="24"/>
                <w:highlight w:val="none"/>
                <w:lang w:val="en-US" w:eastAsia="zh-CN"/>
              </w:rPr>
              <w:t xml:space="preserve">1.5</w:t>
            </w:r>
            <w:r>
              <w:rPr>
                <w:rFonts w:ascii="宋体" w:hAnsi="宋体" w:eastAsia="宋体" w:cs="宋体"/>
                <w:color w:val="000000"/>
                <w:sz w:val="24"/>
                <w:highlight w:val="none"/>
              </w:rPr>
              <w:t xml:space="preserve">分；针对性不强得1分。</w:t>
            </w:r>
            <w:r/>
          </w:p>
          <w:p>
            <w:pPr>
              <w:rPr>
                <w:rFonts w:ascii="宋体" w:hAnsi="宋体" w:eastAsia="宋体" w:cs="宋体"/>
                <w:color w:val="000000"/>
                <w:sz w:val="24"/>
                <w:highlight w:val="none"/>
              </w:rPr>
            </w:pPr>
            <w:r>
              <w:rPr>
                <w:rFonts w:ascii="宋体" w:hAnsi="宋体" w:eastAsia="宋体" w:cs="宋体"/>
                <w:color w:val="000000"/>
                <w:sz w:val="24"/>
                <w:highlight w:val="none"/>
              </w:rPr>
              <w:t xml:space="preserve">未提供的得0分</w:t>
            </w:r>
            <w:r>
              <w:rPr>
                <w:rFonts w:hint="eastAsia" w:ascii="宋体" w:hAnsi="宋体" w:eastAsia="宋体" w:cs="宋体"/>
                <w:color w:val="000000"/>
                <w:sz w:val="24"/>
                <w:highlight w:val="none"/>
                <w:lang w:eastAsia="zh-CN"/>
              </w:rPr>
              <w:t xml:space="preserve">，</w:t>
            </w:r>
            <w:r>
              <w:rPr>
                <w:rFonts w:hint="eastAsia" w:eastAsia="宋体"/>
                <w:color w:val="000000"/>
                <w:sz w:val="24"/>
                <w:highlight w:val="none"/>
              </w:rPr>
              <w:t xml:space="preserve">本项最高得</w:t>
            </w:r>
            <w:r>
              <w:rPr>
                <w:rFonts w:hint="eastAsia" w:eastAsia="宋体"/>
                <w:color w:val="000000"/>
                <w:sz w:val="24"/>
                <w:highlight w:val="none"/>
                <w:lang w:val="en-US" w:eastAsia="zh-CN"/>
              </w:rPr>
              <w:t xml:space="preserve">6</w:t>
            </w:r>
            <w:r>
              <w:rPr>
                <w:rFonts w:hint="eastAsia" w:eastAsia="宋体"/>
                <w:color w:val="000000"/>
                <w:sz w:val="24"/>
                <w:highlight w:val="none"/>
              </w:rPr>
              <w:t xml:space="preserve">分</w:t>
            </w:r>
            <w:r>
              <w:rPr>
                <w:rFonts w:hint="eastAsia" w:eastAsia="宋体"/>
                <w:color w:val="000000"/>
                <w:sz w:val="24"/>
                <w:highlight w:val="none"/>
                <w:lang w:eastAsia="zh-CN"/>
              </w:rPr>
              <w:t xml:space="preserve">，</w:t>
            </w:r>
            <w:r>
              <w:rPr>
                <w:rFonts w:hint="eastAsia" w:eastAsia="宋体"/>
                <w:color w:val="000000"/>
                <w:sz w:val="24"/>
                <w:highlight w:val="none"/>
                <w:lang w:val="en-US" w:eastAsia="zh-CN"/>
              </w:rPr>
              <w:t xml:space="preserve">最低得0分。</w:t>
            </w:r>
            <w:r/>
          </w:p>
        </w:tc>
      </w:tr>
      <w:tr>
        <w:trPr>
          <w:jc w:val="center"/>
          <w:trHeight w:val="980"/>
        </w:trPr>
        <w:tc>
          <w:tcPr>
            <w:tcMar>
              <w:left w:w="15" w:type="dxa"/>
              <w:top w:w="15" w:type="dxa"/>
              <w:right w:w="15" w:type="dxa"/>
            </w:tcMar>
            <w:tcW w:w="1171"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tcMar>
            <w:tcW w:w="1062" w:type="dxa"/>
            <w:vAlign w:val="center"/>
            <w:textDirection w:val="lrTb"/>
            <w:noWrap w:val="false"/>
          </w:tcPr>
          <w:p>
            <w:pPr>
              <w:pStyle w:val="1154"/>
              <w:jc w:val="center"/>
              <w:rPr>
                <w:rFonts w:ascii="宋体" w:hAnsi="宋体"/>
                <w:color w:val="000000"/>
                <w:sz w:val="24"/>
                <w:highlight w:val="none"/>
              </w:rPr>
            </w:pPr>
            <w:r>
              <w:rPr>
                <w:rFonts w:ascii="宋体" w:hAnsi="宋体"/>
                <w:color w:val="000000"/>
                <w:sz w:val="24"/>
                <w:highlight w:val="none"/>
              </w:rPr>
              <w:t xml:space="preserve">人员配备</w:t>
            </w:r>
            <w:r/>
          </w:p>
          <w:p>
            <w:pPr>
              <w:pStyle w:val="1154"/>
              <w:jc w:val="center"/>
              <w:rPr>
                <w:rFonts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分）</w:t>
            </w:r>
            <w:r/>
          </w:p>
        </w:tc>
        <w:tc>
          <w:tcPr>
            <w:tcMar>
              <w:left w:w="15" w:type="dxa"/>
              <w:top w:w="15" w:type="dxa"/>
              <w:right w:w="15" w:type="dxa"/>
            </w:tcMar>
            <w:tcW w:w="7948"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t xml:space="preserve">对响应文件中项目管理班子的人员配置的全面性、可行性、针对性进行评价。</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项目管理班子的人员配置职能详细、合理、可行性高且专业水平较高的，得6分；项目管理班子的人员配置合理、可行性一般且专业水平一般的，得4分；项目管理班子的人员配置职能内容存在缺失或存在不合理性，可行性低，得2分；项目管理班子的人员配置不清晰，职能内容不完整，得1分。未提供的得0分。</w:t>
            </w:r>
            <w:r/>
          </w:p>
          <w:p>
            <w:pPr>
              <w:rPr>
                <w:rFonts w:ascii="宋体" w:hAnsi="宋体" w:cs="宋体"/>
                <w:color w:val="000000"/>
                <w:sz w:val="24"/>
                <w:highlight w:val="none"/>
              </w:rPr>
            </w:pPr>
            <w:r>
              <w:rPr>
                <w:rFonts w:ascii="宋体" w:hAnsi="宋体" w:eastAsia="宋体" w:cs="宋体"/>
                <w:color w:val="000000"/>
                <w:sz w:val="24"/>
                <w:highlight w:val="none"/>
              </w:rPr>
              <w:t xml:space="preserve">未提供的得0分</w:t>
            </w:r>
            <w:r>
              <w:rPr>
                <w:rFonts w:hint="eastAsia" w:ascii="宋体" w:hAnsi="宋体" w:eastAsia="宋体" w:cs="宋体"/>
                <w:color w:val="000000"/>
                <w:sz w:val="24"/>
                <w:highlight w:val="none"/>
                <w:lang w:eastAsia="zh-CN"/>
              </w:rPr>
              <w:t xml:space="preserve">，</w:t>
            </w:r>
            <w:r>
              <w:rPr>
                <w:rFonts w:hint="eastAsia" w:eastAsia="宋体"/>
                <w:color w:val="000000"/>
                <w:sz w:val="24"/>
                <w:highlight w:val="none"/>
              </w:rPr>
              <w:t xml:space="preserve">本项最高得</w:t>
            </w:r>
            <w:r>
              <w:rPr>
                <w:rFonts w:hint="eastAsia" w:eastAsia="宋体"/>
                <w:color w:val="000000"/>
                <w:sz w:val="24"/>
                <w:highlight w:val="none"/>
                <w:lang w:val="en-US" w:eastAsia="zh-CN"/>
              </w:rPr>
              <w:t xml:space="preserve">6</w:t>
            </w:r>
            <w:r>
              <w:rPr>
                <w:rFonts w:hint="eastAsia" w:eastAsia="宋体"/>
                <w:color w:val="000000"/>
                <w:sz w:val="24"/>
                <w:highlight w:val="none"/>
              </w:rPr>
              <w:t xml:space="preserve">分</w:t>
            </w:r>
            <w:r>
              <w:rPr>
                <w:rFonts w:hint="eastAsia" w:eastAsia="宋体"/>
                <w:color w:val="000000"/>
                <w:sz w:val="24"/>
                <w:highlight w:val="none"/>
                <w:lang w:eastAsia="zh-CN"/>
              </w:rPr>
              <w:t xml:space="preserve">，</w:t>
            </w:r>
            <w:r>
              <w:rPr>
                <w:rFonts w:hint="eastAsia" w:eastAsia="宋体"/>
                <w:color w:val="000000"/>
                <w:sz w:val="24"/>
                <w:highlight w:val="none"/>
                <w:lang w:val="en-US" w:eastAsia="zh-CN"/>
              </w:rPr>
              <w:t xml:space="preserve">最低得0分。</w:t>
            </w:r>
            <w:r/>
          </w:p>
        </w:tc>
      </w:tr>
      <w:tr>
        <w:trPr>
          <w:jc w:val="center"/>
          <w:trHeight w:val="2200"/>
        </w:trPr>
        <w:tc>
          <w:tcPr>
            <w:tcMar>
              <w:left w:w="15" w:type="dxa"/>
              <w:top w:w="15" w:type="dxa"/>
              <w:right w:w="15" w:type="dxa"/>
            </w:tcMar>
            <w:tcW w:w="1171"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tcMar>
            <w:tcW w:w="1062" w:type="dxa"/>
            <w:vAlign w:val="center"/>
            <w:textDirection w:val="lrTb"/>
            <w:noWrap w:val="false"/>
          </w:tcPr>
          <w:p>
            <w:pPr>
              <w:rPr>
                <w:rFonts w:ascii="宋体" w:hAnsi="宋体" w:eastAsia="宋体" w:cs="宋体"/>
                <w:color w:val="000000"/>
                <w:sz w:val="24"/>
                <w:highlight w:val="none"/>
                <w:lang w:eastAsia="zh-CN"/>
              </w:rPr>
            </w:pPr>
            <w:r>
              <w:rPr>
                <w:rFonts w:ascii="宋体" w:hAnsi="宋体" w:cs="宋体"/>
                <w:color w:val="000000"/>
                <w:sz w:val="24"/>
                <w:highlight w:val="none"/>
              </w:rPr>
              <w:t xml:space="preserve">劳动力</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机械设备和材料投入计划</w:t>
            </w:r>
            <w:r/>
          </w:p>
          <w:p>
            <w:pPr>
              <w:rPr>
                <w:rFonts w:ascii="宋体" w:hAnsi="宋体"/>
                <w:color w:val="000000"/>
                <w:sz w:val="24"/>
                <w:highlight w:val="none"/>
              </w:rPr>
            </w:pP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8</w:t>
            </w:r>
            <w:r>
              <w:rPr>
                <w:rFonts w:ascii="宋体" w:hAnsi="宋体" w:eastAsia="宋体" w:cs="宋体"/>
                <w:color w:val="000000"/>
                <w:sz w:val="24"/>
                <w:highlight w:val="none"/>
              </w:rPr>
              <w:t xml:space="preserve">分）</w:t>
            </w:r>
            <w:r/>
          </w:p>
        </w:tc>
        <w:tc>
          <w:tcPr>
            <w:tcMar>
              <w:left w:w="15" w:type="dxa"/>
              <w:top w:w="15" w:type="dxa"/>
              <w:right w:w="15" w:type="dxa"/>
            </w:tcMar>
            <w:tcW w:w="7948"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t xml:space="preserve">根据</w:t>
            </w:r>
            <w:r>
              <w:rPr>
                <w:rFonts w:hint="eastAsia" w:ascii="宋体" w:hAnsi="宋体" w:cs="宋体"/>
                <w:color w:val="000000"/>
                <w:sz w:val="24"/>
                <w:highlight w:val="none"/>
                <w:lang w:val="en-US" w:eastAsia="zh-CN"/>
              </w:rPr>
              <w:t xml:space="preserve">供应商</w:t>
            </w:r>
            <w:r>
              <w:rPr>
                <w:rFonts w:ascii="宋体" w:hAnsi="宋体" w:cs="宋体"/>
                <w:color w:val="000000"/>
                <w:sz w:val="24"/>
                <w:highlight w:val="none"/>
              </w:rPr>
              <w:t xml:space="preserve">提供的劳动力配置</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机械设备和材料投入计划</w:t>
            </w:r>
            <w:r>
              <w:rPr>
                <w:rFonts w:ascii="宋体" w:hAnsi="宋体" w:cs="宋体"/>
                <w:color w:val="000000"/>
                <w:sz w:val="24"/>
                <w:highlight w:val="none"/>
              </w:rPr>
              <w:t xml:space="preserve">等方面进行总体评价。</w:t>
            </w:r>
            <w:r/>
          </w:p>
          <w:p>
            <w:pPr>
              <w:rPr>
                <w:rFonts w:ascii="宋体" w:hAnsi="宋体" w:cs="宋体"/>
                <w:color w:val="000000"/>
                <w:sz w:val="24"/>
                <w:highlight w:val="none"/>
              </w:rPr>
            </w:pPr>
            <w:r>
              <w:rPr>
                <w:rFonts w:ascii="宋体" w:hAnsi="宋体" w:cs="宋体"/>
                <w:color w:val="000000"/>
                <w:sz w:val="24"/>
                <w:highlight w:val="none"/>
              </w:rPr>
              <w:t xml:space="preserve">全面性</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3分</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：全面具体详实得3分；</w:t>
            </w:r>
            <w:r>
              <w:rPr>
                <w:rFonts w:hint="eastAsia" w:ascii="宋体" w:hAnsi="宋体" w:cs="宋体"/>
                <w:color w:val="000000"/>
                <w:sz w:val="24"/>
                <w:highlight w:val="none"/>
                <w:lang w:val="en-US" w:eastAsia="zh-CN"/>
              </w:rPr>
              <w:t xml:space="preserve">较</w:t>
            </w:r>
            <w:r>
              <w:rPr>
                <w:rFonts w:ascii="宋体" w:hAnsi="宋体" w:cs="宋体"/>
                <w:color w:val="000000"/>
                <w:sz w:val="24"/>
                <w:highlight w:val="none"/>
              </w:rPr>
              <w:t xml:space="preserve">全面得2分；不全面得1分。</w:t>
            </w:r>
            <w:r/>
          </w:p>
          <w:p>
            <w:pPr>
              <w:rPr>
                <w:rFonts w:ascii="宋体" w:hAnsi="宋体" w:cs="宋体"/>
                <w:color w:val="000000"/>
                <w:sz w:val="24"/>
                <w:highlight w:val="none"/>
              </w:rPr>
            </w:pPr>
            <w:r>
              <w:rPr>
                <w:rFonts w:ascii="宋体" w:hAnsi="宋体" w:cs="宋体"/>
                <w:color w:val="000000"/>
                <w:sz w:val="24"/>
                <w:highlight w:val="none"/>
              </w:rPr>
              <w:t xml:space="preserve">可行性</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3分</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：符合实际切实可行得3分；较切实可行得2分；可行性欠缺得1分。</w:t>
            </w:r>
            <w:r/>
          </w:p>
          <w:p>
            <w:pPr>
              <w:rPr>
                <w:rFonts w:ascii="宋体" w:hAnsi="宋体" w:cs="宋体"/>
                <w:color w:val="000000"/>
                <w:sz w:val="24"/>
                <w:highlight w:val="none"/>
              </w:rPr>
            </w:pPr>
            <w:r>
              <w:rPr>
                <w:rFonts w:ascii="宋体" w:hAnsi="宋体" w:cs="宋体"/>
                <w:color w:val="000000"/>
                <w:sz w:val="24"/>
                <w:highlight w:val="none"/>
              </w:rPr>
              <w:t xml:space="preserve">针对性</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：针对性强得</w:t>
            </w: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分；针对性较强得</w:t>
            </w:r>
            <w:r>
              <w:rPr>
                <w:rFonts w:hint="eastAsia" w:ascii="宋体" w:hAnsi="宋体" w:cs="宋体"/>
                <w:color w:val="000000"/>
                <w:sz w:val="24"/>
                <w:highlight w:val="none"/>
                <w:lang w:val="en-US" w:eastAsia="zh-CN"/>
              </w:rPr>
              <w:t xml:space="preserve">1.5</w:t>
            </w:r>
            <w:r>
              <w:rPr>
                <w:rFonts w:ascii="宋体" w:hAnsi="宋体" w:cs="宋体"/>
                <w:color w:val="000000"/>
                <w:sz w:val="24"/>
                <w:highlight w:val="none"/>
              </w:rPr>
              <w:t xml:space="preserve">分；针对性不强得1分。</w:t>
            </w:r>
            <w:r/>
          </w:p>
          <w:p>
            <w:pPr>
              <w:rPr>
                <w:rFonts w:ascii="宋体" w:hAnsi="宋体" w:cs="宋体"/>
                <w:color w:val="000000"/>
                <w:sz w:val="24"/>
                <w:highlight w:val="none"/>
              </w:rPr>
            </w:pPr>
            <w:r>
              <w:rPr>
                <w:rFonts w:ascii="宋体" w:hAnsi="宋体" w:eastAsia="宋体" w:cs="宋体"/>
                <w:color w:val="000000"/>
                <w:sz w:val="24"/>
                <w:highlight w:val="none"/>
              </w:rPr>
              <w:t xml:space="preserve">未提供的得0分</w:t>
            </w:r>
            <w:r>
              <w:rPr>
                <w:rFonts w:hint="eastAsia" w:ascii="宋体" w:hAnsi="宋体" w:eastAsia="宋体" w:cs="宋体"/>
                <w:color w:val="000000"/>
                <w:sz w:val="24"/>
                <w:highlight w:val="none"/>
                <w:lang w:eastAsia="zh-CN"/>
              </w:rPr>
              <w:t xml:space="preserve">，</w:t>
            </w:r>
            <w:r>
              <w:rPr>
                <w:rFonts w:hint="eastAsia" w:eastAsia="宋体"/>
                <w:color w:val="000000"/>
                <w:sz w:val="24"/>
                <w:highlight w:val="none"/>
              </w:rPr>
              <w:t xml:space="preserve">本项最高得</w:t>
            </w:r>
            <w:r>
              <w:rPr>
                <w:rFonts w:hint="eastAsia" w:eastAsia="宋体"/>
                <w:color w:val="000000"/>
                <w:sz w:val="24"/>
                <w:highlight w:val="none"/>
                <w:lang w:val="en-US" w:eastAsia="zh-CN"/>
              </w:rPr>
              <w:t xml:space="preserve">8</w:t>
            </w:r>
            <w:r>
              <w:rPr>
                <w:rFonts w:hint="eastAsia" w:eastAsia="宋体"/>
                <w:color w:val="000000"/>
                <w:sz w:val="24"/>
                <w:highlight w:val="none"/>
              </w:rPr>
              <w:t xml:space="preserve">分</w:t>
            </w:r>
            <w:r>
              <w:rPr>
                <w:rFonts w:hint="eastAsia" w:eastAsia="宋体"/>
                <w:color w:val="000000"/>
                <w:sz w:val="24"/>
                <w:highlight w:val="none"/>
                <w:lang w:eastAsia="zh-CN"/>
              </w:rPr>
              <w:t xml:space="preserve">，</w:t>
            </w:r>
            <w:r>
              <w:rPr>
                <w:rFonts w:hint="eastAsia" w:eastAsia="宋体"/>
                <w:color w:val="000000"/>
                <w:sz w:val="24"/>
                <w:highlight w:val="none"/>
                <w:lang w:val="en-US" w:eastAsia="zh-CN"/>
              </w:rPr>
              <w:t xml:space="preserve">最低得0分。</w:t>
            </w:r>
            <w:r/>
          </w:p>
        </w:tc>
      </w:tr>
      <w:tr>
        <w:trPr>
          <w:jc w:val="center"/>
          <w:trHeight w:val="2200"/>
        </w:trPr>
        <w:tc>
          <w:tcPr>
            <w:tcMar>
              <w:left w:w="15" w:type="dxa"/>
              <w:top w:w="15" w:type="dxa"/>
              <w:right w:w="15" w:type="dxa"/>
            </w:tcMar>
            <w:tcW w:w="1171"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tcMar>
            <w:tcW w:w="1062" w:type="dxa"/>
            <w:vAlign w:val="center"/>
            <w:textDirection w:val="lrTb"/>
            <w:noWrap w:val="false"/>
          </w:tcPr>
          <w:p>
            <w:pPr>
              <w:pStyle w:val="1154"/>
              <w:jc w:val="center"/>
              <w:rPr>
                <w:rFonts w:hint="eastAsia" w:ascii="宋体" w:hAnsi="宋体" w:eastAsia="宋体" w:cs="宋体"/>
                <w:sz w:val="24"/>
                <w:szCs w:val="24"/>
                <w:highlight w:val="none"/>
                <w:lang w:eastAsia="zh-CN" w:bidi="en-US"/>
              </w:rPr>
            </w:pPr>
            <w:r>
              <w:rPr>
                <w:rFonts w:hint="eastAsia" w:ascii="宋体" w:hAnsi="宋体" w:eastAsia="宋体" w:cs="宋体"/>
                <w:sz w:val="24"/>
                <w:szCs w:val="24"/>
                <w:highlight w:val="none"/>
                <w:lang w:eastAsia="zh-CN" w:bidi="en-US"/>
              </w:rPr>
            </w:r>
            <w:r/>
          </w:p>
          <w:p>
            <w:pPr>
              <w:pStyle w:val="1154"/>
              <w:jc w:val="center"/>
              <w:rPr>
                <w:rFonts w:hint="eastAsia" w:ascii="宋体" w:hAnsi="宋体" w:eastAsia="宋体" w:cs="宋体"/>
                <w:sz w:val="24"/>
                <w:szCs w:val="24"/>
                <w:highlight w:val="none"/>
                <w:lang w:eastAsia="zh-CN" w:bidi="en-US"/>
              </w:rPr>
            </w:pPr>
            <w:r>
              <w:rPr>
                <w:rFonts w:hint="eastAsia" w:ascii="宋体" w:hAnsi="宋体" w:eastAsia="宋体" w:cs="宋体"/>
                <w:sz w:val="24"/>
                <w:szCs w:val="24"/>
                <w:highlight w:val="none"/>
                <w:lang w:eastAsia="zh-CN" w:bidi="en-US"/>
              </w:rPr>
              <w:t xml:space="preserve">关键施工技术、工艺及工程项目实施的重点、难点和解决方案</w:t>
            </w:r>
            <w:r/>
          </w:p>
          <w:p>
            <w:pPr>
              <w:pStyle w:val="1154"/>
              <w:jc w:val="center"/>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val="en-US" w:eastAsia="zh-CN" w:bidi="en-US"/>
              </w:rPr>
              <w:t xml:space="preserve">6</w:t>
            </w:r>
            <w:r>
              <w:rPr>
                <w:rFonts w:hint="eastAsia" w:ascii="宋体" w:hAnsi="宋体" w:eastAsia="宋体" w:cs="宋体"/>
                <w:sz w:val="24"/>
                <w:szCs w:val="24"/>
                <w:highlight w:val="none"/>
                <w:lang w:bidi="en-US"/>
              </w:rPr>
              <w:t xml:space="preserve">分）</w:t>
            </w:r>
            <w:r/>
          </w:p>
        </w:tc>
        <w:tc>
          <w:tcPr>
            <w:tcMar>
              <w:left w:w="15" w:type="dxa"/>
              <w:top w:w="15" w:type="dxa"/>
              <w:right w:w="15" w:type="dxa"/>
            </w:tcMar>
            <w:tcW w:w="7948" w:type="dxa"/>
            <w:vAlign w:val="center"/>
            <w:textDirection w:val="lrTb"/>
            <w:noWrap w:val="false"/>
          </w:tcPr>
          <w:p>
            <w:pPr>
              <w:pStyle w:val="1154"/>
              <w:jc w:val="both"/>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对响应文件中关键施工技术、工艺及工程项目实施的重点、难点和解决方案内容的全面性、可行性、针对性进行评价。</w:t>
            </w:r>
            <w:r/>
          </w:p>
          <w:p>
            <w:pPr>
              <w:pStyle w:val="1154"/>
              <w:jc w:val="both"/>
              <w:rPr>
                <w:rFonts w:hint="eastAsia" w:ascii="宋体" w:hAnsi="宋体" w:eastAsia="宋体" w:cs="宋体"/>
                <w:sz w:val="24"/>
                <w:szCs w:val="24"/>
                <w:highlight w:val="none"/>
                <w:lang w:eastAsia="zh-CN" w:bidi="en-US"/>
              </w:rPr>
            </w:pPr>
            <w:r>
              <w:rPr>
                <w:rFonts w:hint="eastAsia" w:ascii="宋体" w:hAnsi="宋体" w:eastAsia="宋体" w:cs="宋体"/>
                <w:sz w:val="24"/>
                <w:szCs w:val="24"/>
                <w:highlight w:val="none"/>
                <w:lang w:eastAsia="zh-CN" w:bidi="en-US"/>
              </w:rPr>
              <w:t xml:space="preserve">全面性（</w:t>
            </w:r>
            <w:r>
              <w:rPr>
                <w:rFonts w:hint="eastAsia" w:ascii="宋体" w:hAnsi="宋体" w:eastAsia="宋体" w:cs="宋体"/>
                <w:sz w:val="24"/>
                <w:szCs w:val="24"/>
                <w:highlight w:val="none"/>
                <w:lang w:val="en-US" w:eastAsia="zh-CN" w:bidi="en-US"/>
              </w:rPr>
              <w:t xml:space="preserve">2</w:t>
            </w:r>
            <w:r>
              <w:rPr>
                <w:rFonts w:hint="eastAsia" w:ascii="宋体" w:hAnsi="宋体" w:eastAsia="宋体" w:cs="宋体"/>
                <w:sz w:val="24"/>
                <w:szCs w:val="24"/>
                <w:highlight w:val="none"/>
                <w:lang w:eastAsia="zh-CN" w:bidi="en-US"/>
              </w:rPr>
              <w:t xml:space="preserve">分）：全面具体详实得</w:t>
            </w:r>
            <w:r>
              <w:rPr>
                <w:rFonts w:hint="eastAsia" w:ascii="宋体" w:hAnsi="宋体" w:eastAsia="宋体" w:cs="宋体"/>
                <w:sz w:val="24"/>
                <w:szCs w:val="24"/>
                <w:highlight w:val="none"/>
                <w:lang w:val="en-US" w:eastAsia="zh-CN" w:bidi="en-US"/>
              </w:rPr>
              <w:t xml:space="preserve">2</w:t>
            </w:r>
            <w:r>
              <w:rPr>
                <w:rFonts w:hint="eastAsia" w:ascii="宋体" w:hAnsi="宋体" w:eastAsia="宋体" w:cs="宋体"/>
                <w:sz w:val="24"/>
                <w:szCs w:val="24"/>
                <w:highlight w:val="none"/>
                <w:lang w:eastAsia="zh-CN" w:bidi="en-US"/>
              </w:rPr>
              <w:t xml:space="preserve">分；全面得</w:t>
            </w:r>
            <w:r>
              <w:rPr>
                <w:rFonts w:hint="eastAsia" w:ascii="宋体" w:hAnsi="宋体" w:eastAsia="宋体" w:cs="宋体"/>
                <w:sz w:val="24"/>
                <w:szCs w:val="24"/>
                <w:highlight w:val="none"/>
                <w:lang w:val="en-US" w:eastAsia="zh-CN" w:bidi="en-US"/>
              </w:rPr>
              <w:t xml:space="preserve">1.5</w:t>
            </w:r>
            <w:r>
              <w:rPr>
                <w:rFonts w:hint="eastAsia" w:ascii="宋体" w:hAnsi="宋体" w:eastAsia="宋体" w:cs="宋体"/>
                <w:sz w:val="24"/>
                <w:szCs w:val="24"/>
                <w:highlight w:val="none"/>
                <w:lang w:eastAsia="zh-CN" w:bidi="en-US"/>
              </w:rPr>
              <w:t xml:space="preserve">分；不全面得1分。</w:t>
            </w:r>
            <w:r/>
          </w:p>
          <w:p>
            <w:pPr>
              <w:pStyle w:val="1154"/>
              <w:jc w:val="both"/>
              <w:rPr>
                <w:rFonts w:hint="eastAsia" w:ascii="宋体" w:hAnsi="宋体" w:eastAsia="宋体" w:cs="宋体"/>
                <w:sz w:val="24"/>
                <w:szCs w:val="24"/>
                <w:highlight w:val="none"/>
                <w:lang w:eastAsia="zh-CN" w:bidi="en-US"/>
              </w:rPr>
            </w:pPr>
            <w:r>
              <w:rPr>
                <w:rFonts w:hint="eastAsia" w:ascii="宋体" w:hAnsi="宋体" w:eastAsia="宋体" w:cs="宋体"/>
                <w:sz w:val="24"/>
                <w:szCs w:val="24"/>
                <w:highlight w:val="none"/>
                <w:lang w:eastAsia="zh-CN" w:bidi="en-US"/>
              </w:rPr>
              <w:t xml:space="preserve">可行性（</w:t>
            </w:r>
            <w:r>
              <w:rPr>
                <w:rFonts w:hint="eastAsia" w:ascii="宋体" w:hAnsi="宋体" w:eastAsia="宋体" w:cs="宋体"/>
                <w:sz w:val="24"/>
                <w:szCs w:val="24"/>
                <w:highlight w:val="none"/>
                <w:lang w:val="en-US" w:eastAsia="zh-CN" w:bidi="en-US"/>
              </w:rPr>
              <w:t xml:space="preserve">2</w:t>
            </w:r>
            <w:r>
              <w:rPr>
                <w:rFonts w:hint="eastAsia" w:ascii="宋体" w:hAnsi="宋体" w:eastAsia="宋体" w:cs="宋体"/>
                <w:sz w:val="24"/>
                <w:szCs w:val="24"/>
                <w:highlight w:val="none"/>
                <w:lang w:eastAsia="zh-CN" w:bidi="en-US"/>
              </w:rPr>
              <w:t xml:space="preserve">分）：符合实际切实可行得</w:t>
            </w:r>
            <w:r>
              <w:rPr>
                <w:rFonts w:hint="eastAsia" w:ascii="宋体" w:hAnsi="宋体" w:eastAsia="宋体" w:cs="宋体"/>
                <w:sz w:val="24"/>
                <w:szCs w:val="24"/>
                <w:highlight w:val="none"/>
                <w:lang w:val="en-US" w:eastAsia="zh-CN" w:bidi="en-US"/>
              </w:rPr>
              <w:t xml:space="preserve">2</w:t>
            </w:r>
            <w:r>
              <w:rPr>
                <w:rFonts w:hint="eastAsia" w:ascii="宋体" w:hAnsi="宋体" w:eastAsia="宋体" w:cs="宋体"/>
                <w:sz w:val="24"/>
                <w:szCs w:val="24"/>
                <w:highlight w:val="none"/>
                <w:lang w:eastAsia="zh-CN" w:bidi="en-US"/>
              </w:rPr>
              <w:t xml:space="preserve">分；较切实可行得</w:t>
            </w:r>
            <w:r>
              <w:rPr>
                <w:rFonts w:hint="eastAsia" w:ascii="宋体" w:hAnsi="宋体" w:eastAsia="宋体" w:cs="宋体"/>
                <w:sz w:val="24"/>
                <w:szCs w:val="24"/>
                <w:highlight w:val="none"/>
                <w:lang w:val="en-US" w:eastAsia="zh-CN" w:bidi="en-US"/>
              </w:rPr>
              <w:t xml:space="preserve">1.5</w:t>
            </w:r>
            <w:r>
              <w:rPr>
                <w:rFonts w:hint="eastAsia" w:ascii="宋体" w:hAnsi="宋体" w:eastAsia="宋体" w:cs="宋体"/>
                <w:sz w:val="24"/>
                <w:szCs w:val="24"/>
                <w:highlight w:val="none"/>
                <w:lang w:eastAsia="zh-CN" w:bidi="en-US"/>
              </w:rPr>
              <w:t xml:space="preserve">分；可行性欠缺得1分。</w:t>
            </w:r>
            <w:r/>
          </w:p>
          <w:p>
            <w:pPr>
              <w:pStyle w:val="1154"/>
              <w:jc w:val="both"/>
              <w:rPr>
                <w:rFonts w:hint="eastAsia" w:ascii="宋体" w:hAnsi="宋体" w:eastAsia="宋体" w:cs="宋体"/>
                <w:sz w:val="24"/>
                <w:szCs w:val="24"/>
                <w:highlight w:val="none"/>
                <w:lang w:eastAsia="zh-CN" w:bidi="en-US"/>
              </w:rPr>
            </w:pPr>
            <w:r>
              <w:rPr>
                <w:rFonts w:hint="eastAsia" w:ascii="宋体" w:hAnsi="宋体" w:eastAsia="宋体" w:cs="宋体"/>
                <w:sz w:val="24"/>
                <w:szCs w:val="24"/>
                <w:highlight w:val="none"/>
                <w:lang w:eastAsia="zh-CN" w:bidi="en-US"/>
              </w:rPr>
              <w:t xml:space="preserve">针对性（</w:t>
            </w:r>
            <w:r>
              <w:rPr>
                <w:rFonts w:hint="eastAsia" w:ascii="宋体" w:hAnsi="宋体" w:eastAsia="宋体" w:cs="宋体"/>
                <w:sz w:val="24"/>
                <w:szCs w:val="24"/>
                <w:highlight w:val="none"/>
                <w:lang w:val="en-US" w:eastAsia="zh-CN" w:bidi="en-US"/>
              </w:rPr>
              <w:t xml:space="preserve">2</w:t>
            </w:r>
            <w:r>
              <w:rPr>
                <w:rFonts w:hint="eastAsia" w:ascii="宋体" w:hAnsi="宋体" w:eastAsia="宋体" w:cs="宋体"/>
                <w:sz w:val="24"/>
                <w:szCs w:val="24"/>
                <w:highlight w:val="none"/>
                <w:lang w:eastAsia="zh-CN" w:bidi="en-US"/>
              </w:rPr>
              <w:t xml:space="preserve">分）：针对性强得</w:t>
            </w:r>
            <w:r>
              <w:rPr>
                <w:rFonts w:hint="eastAsia" w:ascii="宋体" w:hAnsi="宋体" w:eastAsia="宋体" w:cs="宋体"/>
                <w:sz w:val="24"/>
                <w:szCs w:val="24"/>
                <w:highlight w:val="none"/>
                <w:lang w:val="en-US" w:eastAsia="zh-CN" w:bidi="en-US"/>
              </w:rPr>
              <w:t xml:space="preserve">2</w:t>
            </w:r>
            <w:r>
              <w:rPr>
                <w:rFonts w:hint="eastAsia" w:ascii="宋体" w:hAnsi="宋体" w:eastAsia="宋体" w:cs="宋体"/>
                <w:sz w:val="24"/>
                <w:szCs w:val="24"/>
                <w:highlight w:val="none"/>
                <w:lang w:eastAsia="zh-CN" w:bidi="en-US"/>
              </w:rPr>
              <w:t xml:space="preserve">分；针对性较强得</w:t>
            </w:r>
            <w:r>
              <w:rPr>
                <w:rFonts w:hint="eastAsia" w:ascii="宋体" w:hAnsi="宋体" w:eastAsia="宋体" w:cs="宋体"/>
                <w:sz w:val="24"/>
                <w:szCs w:val="24"/>
                <w:highlight w:val="none"/>
                <w:lang w:val="en-US" w:eastAsia="zh-CN" w:bidi="en-US"/>
              </w:rPr>
              <w:t xml:space="preserve">1.5</w:t>
            </w:r>
            <w:r>
              <w:rPr>
                <w:rFonts w:hint="eastAsia" w:ascii="宋体" w:hAnsi="宋体" w:eastAsia="宋体" w:cs="宋体"/>
                <w:sz w:val="24"/>
                <w:szCs w:val="24"/>
                <w:highlight w:val="none"/>
                <w:lang w:eastAsia="zh-CN" w:bidi="en-US"/>
              </w:rPr>
              <w:t xml:space="preserve">分；针对性不强得1分。</w:t>
            </w:r>
            <w:r/>
          </w:p>
          <w:p>
            <w:pPr>
              <w:pStyle w:val="1154"/>
              <w:jc w:val="both"/>
              <w:rPr>
                <w:rFonts w:ascii="宋体" w:hAnsi="宋体" w:eastAsia="宋体" w:cs="宋体"/>
                <w:sz w:val="24"/>
                <w:szCs w:val="24"/>
                <w:highlight w:val="none"/>
                <w:lang w:val="en-US" w:eastAsia="zh-CN" w:bidi="en-US"/>
              </w:rPr>
            </w:pPr>
            <w:r>
              <w:rPr>
                <w:rFonts w:ascii="宋体" w:hAnsi="宋体" w:eastAsia="宋体" w:cs="宋体"/>
                <w:color w:val="000000"/>
                <w:sz w:val="24"/>
                <w:highlight w:val="none"/>
              </w:rPr>
              <w:t xml:space="preserve">未提供的得0分</w:t>
            </w:r>
            <w:r>
              <w:rPr>
                <w:rFonts w:hint="eastAsia" w:ascii="宋体" w:hAnsi="宋体" w:eastAsia="宋体" w:cs="宋体"/>
                <w:color w:val="000000"/>
                <w:sz w:val="24"/>
                <w:highlight w:val="none"/>
                <w:lang w:eastAsia="zh-CN"/>
              </w:rPr>
              <w:t xml:space="preserve">，</w:t>
            </w:r>
            <w:r>
              <w:rPr>
                <w:rFonts w:hint="eastAsia" w:eastAsia="宋体"/>
                <w:color w:val="000000"/>
                <w:sz w:val="24"/>
                <w:highlight w:val="none"/>
              </w:rPr>
              <w:t xml:space="preserve">本项最高得</w:t>
            </w:r>
            <w:r>
              <w:rPr>
                <w:rFonts w:hint="eastAsia" w:eastAsia="宋体"/>
                <w:color w:val="000000"/>
                <w:sz w:val="24"/>
                <w:highlight w:val="none"/>
                <w:lang w:val="en-US" w:eastAsia="zh-CN"/>
              </w:rPr>
              <w:t xml:space="preserve">6</w:t>
            </w:r>
            <w:r>
              <w:rPr>
                <w:rFonts w:hint="eastAsia" w:eastAsia="宋体"/>
                <w:color w:val="000000"/>
                <w:sz w:val="24"/>
                <w:highlight w:val="none"/>
              </w:rPr>
              <w:t xml:space="preserve">分</w:t>
            </w:r>
            <w:r>
              <w:rPr>
                <w:rFonts w:hint="eastAsia" w:eastAsia="宋体"/>
                <w:color w:val="000000"/>
                <w:sz w:val="24"/>
                <w:highlight w:val="none"/>
                <w:lang w:eastAsia="zh-CN"/>
              </w:rPr>
              <w:t xml:space="preserve">，</w:t>
            </w:r>
            <w:r>
              <w:rPr>
                <w:rFonts w:hint="eastAsia" w:eastAsia="宋体"/>
                <w:color w:val="000000"/>
                <w:sz w:val="24"/>
                <w:highlight w:val="none"/>
                <w:lang w:val="en-US" w:eastAsia="zh-CN"/>
              </w:rPr>
              <w:t xml:space="preserve">最低得0分。</w:t>
            </w:r>
            <w:r/>
          </w:p>
        </w:tc>
      </w:tr>
      <w:tr>
        <w:trPr>
          <w:jc w:val="center"/>
          <w:trHeight w:val="2200"/>
        </w:trPr>
        <w:tc>
          <w:tcPr>
            <w:tcMar>
              <w:left w:w="15" w:type="dxa"/>
              <w:top w:w="15" w:type="dxa"/>
              <w:right w:w="15" w:type="dxa"/>
            </w:tcMar>
            <w:tcW w:w="1171"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Mar>
              <w:left w:w="15" w:type="dxa"/>
              <w:top w:w="15" w:type="dxa"/>
              <w:right w:w="15" w:type="dxa"/>
            </w:tcMar>
            <w:tcW w:w="1062" w:type="dxa"/>
            <w:vAlign w:val="center"/>
            <w:textDirection w:val="lrTb"/>
            <w:noWrap w:val="false"/>
          </w:tcPr>
          <w:p>
            <w:pPr>
              <w:pStyle w:val="1154"/>
              <w:jc w:val="center"/>
              <w:rPr>
                <w:rFonts w:ascii="宋体" w:hAnsi="宋体"/>
                <w:color w:val="000000"/>
                <w:sz w:val="24"/>
                <w:highlight w:val="none"/>
              </w:rPr>
            </w:pPr>
            <w:r>
              <w:rPr>
                <w:rFonts w:hint="eastAsia" w:ascii="宋体" w:hAnsi="宋体"/>
                <w:color w:val="000000"/>
                <w:sz w:val="24"/>
                <w:highlight w:val="none"/>
                <w:lang w:val="en-US" w:eastAsia="zh-CN"/>
              </w:rPr>
              <w:t xml:space="preserve">应急保障</w:t>
            </w:r>
            <w:r>
              <w:rPr>
                <w:rFonts w:ascii="宋体" w:hAnsi="宋体"/>
                <w:color w:val="000000"/>
                <w:sz w:val="24"/>
                <w:highlight w:val="none"/>
              </w:rPr>
              <w:t xml:space="preserve">措施</w:t>
            </w:r>
            <w:r/>
          </w:p>
          <w:p>
            <w:pPr>
              <w:pStyle w:val="1154"/>
              <w:jc w:val="center"/>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9</w:t>
            </w:r>
            <w:r>
              <w:rPr>
                <w:rFonts w:ascii="宋体" w:hAnsi="宋体"/>
                <w:color w:val="000000"/>
                <w:sz w:val="24"/>
                <w:highlight w:val="none"/>
              </w:rPr>
              <w:t xml:space="preserve">分）</w:t>
            </w:r>
            <w:r/>
          </w:p>
        </w:tc>
        <w:tc>
          <w:tcPr>
            <w:tcMar>
              <w:left w:w="15" w:type="dxa"/>
              <w:top w:w="15" w:type="dxa"/>
              <w:right w:w="15" w:type="dxa"/>
            </w:tcMar>
            <w:tcW w:w="7948" w:type="dxa"/>
            <w:vAlign w:val="center"/>
            <w:textDirection w:val="lrTb"/>
            <w:noWrap w:val="false"/>
          </w:tcPr>
          <w:p>
            <w:pPr>
              <w:pStyle w:val="1154"/>
              <w:jc w:val="both"/>
              <w:rPr>
                <w:color w:val="000000"/>
                <w:sz w:val="24"/>
                <w:highlight w:val="none"/>
              </w:rPr>
            </w:pPr>
            <w:r>
              <w:rPr>
                <w:color w:val="000000"/>
                <w:sz w:val="24"/>
                <w:highlight w:val="none"/>
              </w:rPr>
              <w:t xml:space="preserve">对</w:t>
            </w:r>
            <w:r>
              <w:rPr>
                <w:rFonts w:hint="eastAsia" w:ascii="宋体" w:hAnsi="宋体"/>
                <w:color w:val="000000"/>
                <w:sz w:val="24"/>
                <w:highlight w:val="none"/>
                <w:lang w:val="en-US" w:eastAsia="zh-CN"/>
              </w:rPr>
              <w:t xml:space="preserve">应急保障</w:t>
            </w:r>
            <w:r>
              <w:rPr>
                <w:rFonts w:ascii="宋体" w:hAnsi="宋体"/>
                <w:color w:val="000000"/>
                <w:sz w:val="24"/>
                <w:highlight w:val="none"/>
              </w:rPr>
              <w:t xml:space="preserve">措施</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含响应时间方案）</w:t>
            </w:r>
            <w:r>
              <w:rPr>
                <w:color w:val="000000"/>
                <w:sz w:val="24"/>
                <w:highlight w:val="none"/>
              </w:rPr>
              <w:t xml:space="preserve">内容的</w:t>
            </w:r>
            <w:r>
              <w:rPr>
                <w:rFonts w:hint="eastAsia"/>
                <w:color w:val="000000"/>
                <w:sz w:val="24"/>
                <w:highlight w:val="none"/>
                <w:lang w:val="en-US" w:eastAsia="zh-CN"/>
              </w:rPr>
              <w:t xml:space="preserve">全面</w:t>
            </w:r>
            <w:r>
              <w:rPr>
                <w:color w:val="000000"/>
                <w:sz w:val="24"/>
                <w:highlight w:val="none"/>
              </w:rPr>
              <w:t xml:space="preserve">性、</w:t>
            </w:r>
            <w:r>
              <w:rPr>
                <w:rFonts w:hint="eastAsia"/>
                <w:color w:val="000000"/>
                <w:sz w:val="24"/>
                <w:highlight w:val="none"/>
                <w:lang w:val="en-US" w:eastAsia="zh-CN"/>
              </w:rPr>
              <w:t xml:space="preserve">可行</w:t>
            </w:r>
            <w:r>
              <w:rPr>
                <w:color w:val="000000"/>
                <w:sz w:val="24"/>
                <w:highlight w:val="none"/>
              </w:rPr>
              <w:t xml:space="preserve">性、</w:t>
            </w:r>
            <w:r>
              <w:rPr>
                <w:rFonts w:hint="eastAsia"/>
                <w:color w:val="000000"/>
                <w:sz w:val="24"/>
                <w:highlight w:val="none"/>
                <w:lang w:val="en-US" w:eastAsia="zh-CN"/>
              </w:rPr>
              <w:t xml:space="preserve">针对</w:t>
            </w:r>
            <w:r>
              <w:rPr>
                <w:color w:val="000000"/>
                <w:sz w:val="24"/>
                <w:highlight w:val="none"/>
              </w:rPr>
              <w:t xml:space="preserve">性进行评价</w:t>
            </w:r>
            <w:r>
              <w:rPr>
                <w:rFonts w:hint="eastAsia"/>
                <w:color w:val="000000"/>
                <w:sz w:val="24"/>
                <w:highlight w:val="none"/>
              </w:rPr>
              <w:t xml:space="preserve">。</w:t>
            </w:r>
            <w:r/>
          </w:p>
          <w:p>
            <w:pPr>
              <w:rPr>
                <w:rFonts w:ascii="宋体" w:hAnsi="宋体" w:cs="宋体"/>
                <w:color w:val="000000"/>
                <w:sz w:val="24"/>
                <w:highlight w:val="none"/>
              </w:rPr>
            </w:pPr>
            <w:r>
              <w:rPr>
                <w:rFonts w:ascii="宋体" w:hAnsi="宋体" w:cs="宋体"/>
                <w:color w:val="000000"/>
                <w:sz w:val="24"/>
                <w:highlight w:val="none"/>
              </w:rPr>
              <w:t xml:space="preserve">全面性</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3分</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：全面具体详实得3分；</w:t>
            </w:r>
            <w:r>
              <w:rPr>
                <w:rFonts w:hint="eastAsia" w:ascii="宋体" w:hAnsi="宋体" w:cs="宋体"/>
                <w:color w:val="000000"/>
                <w:sz w:val="24"/>
                <w:highlight w:val="none"/>
                <w:lang w:val="en-US" w:eastAsia="zh-CN"/>
              </w:rPr>
              <w:t xml:space="preserve">较</w:t>
            </w:r>
            <w:r>
              <w:rPr>
                <w:rFonts w:ascii="宋体" w:hAnsi="宋体" w:cs="宋体"/>
                <w:color w:val="000000"/>
                <w:sz w:val="24"/>
                <w:highlight w:val="none"/>
              </w:rPr>
              <w:t xml:space="preserve">全面得2分；不全面得1分。</w:t>
            </w:r>
            <w:r/>
          </w:p>
          <w:p>
            <w:pPr>
              <w:rPr>
                <w:rFonts w:ascii="宋体" w:hAnsi="宋体" w:cs="宋体"/>
                <w:color w:val="000000"/>
                <w:sz w:val="24"/>
                <w:highlight w:val="none"/>
              </w:rPr>
            </w:pPr>
            <w:r>
              <w:rPr>
                <w:rFonts w:ascii="宋体" w:hAnsi="宋体" w:cs="宋体"/>
                <w:color w:val="000000"/>
                <w:sz w:val="24"/>
                <w:highlight w:val="none"/>
              </w:rPr>
              <w:t xml:space="preserve">可行性</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3分</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：符合实际切实可行得3分；较切实可行得2分；可行性欠缺得1分。</w:t>
            </w:r>
            <w:r/>
          </w:p>
          <w:p>
            <w:pPr>
              <w:rPr>
                <w:rFonts w:ascii="宋体" w:hAnsi="宋体" w:cs="宋体"/>
                <w:color w:val="000000"/>
                <w:sz w:val="24"/>
                <w:highlight w:val="none"/>
              </w:rPr>
            </w:pPr>
            <w:r>
              <w:rPr>
                <w:rFonts w:ascii="宋体" w:hAnsi="宋体" w:cs="宋体"/>
                <w:color w:val="000000"/>
                <w:sz w:val="24"/>
                <w:highlight w:val="none"/>
              </w:rPr>
              <w:t xml:space="preserve">针对性</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3分</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：针对性强得3分；针对性较强得2分；针对性不强得1分。</w:t>
            </w:r>
            <w:r/>
          </w:p>
          <w:p>
            <w:pPr>
              <w:rPr>
                <w:rFonts w:ascii="宋体" w:hAnsi="宋体" w:cs="宋体"/>
                <w:color w:val="000000"/>
                <w:sz w:val="24"/>
                <w:highlight w:val="none"/>
              </w:rPr>
            </w:pPr>
            <w:r>
              <w:rPr>
                <w:rFonts w:ascii="宋体" w:hAnsi="宋体" w:eastAsia="宋体" w:cs="宋体"/>
                <w:color w:val="000000"/>
                <w:sz w:val="24"/>
                <w:highlight w:val="none"/>
              </w:rPr>
              <w:t xml:space="preserve">未提供的得0分</w:t>
            </w:r>
            <w:r>
              <w:rPr>
                <w:rFonts w:hint="eastAsia" w:ascii="宋体" w:hAnsi="宋体" w:eastAsia="宋体" w:cs="宋体"/>
                <w:color w:val="000000"/>
                <w:sz w:val="24"/>
                <w:highlight w:val="none"/>
                <w:lang w:eastAsia="zh-CN"/>
              </w:rPr>
              <w:t xml:space="preserve">，</w:t>
            </w:r>
            <w:r>
              <w:rPr>
                <w:rFonts w:hint="eastAsia" w:eastAsia="宋体"/>
                <w:color w:val="000000"/>
                <w:sz w:val="24"/>
                <w:highlight w:val="none"/>
              </w:rPr>
              <w:t xml:space="preserve">本项最高得</w:t>
            </w:r>
            <w:r>
              <w:rPr>
                <w:rFonts w:hint="eastAsia" w:eastAsia="宋体"/>
                <w:color w:val="000000"/>
                <w:sz w:val="24"/>
                <w:highlight w:val="none"/>
                <w:lang w:val="en-US" w:eastAsia="zh-CN"/>
              </w:rPr>
              <w:t xml:space="preserve">9</w:t>
            </w:r>
            <w:r>
              <w:rPr>
                <w:rFonts w:hint="eastAsia" w:eastAsia="宋体"/>
                <w:color w:val="000000"/>
                <w:sz w:val="24"/>
                <w:highlight w:val="none"/>
              </w:rPr>
              <w:t xml:space="preserve">分</w:t>
            </w:r>
            <w:r>
              <w:rPr>
                <w:rFonts w:hint="eastAsia" w:eastAsia="宋体"/>
                <w:color w:val="000000"/>
                <w:sz w:val="24"/>
                <w:highlight w:val="none"/>
                <w:lang w:eastAsia="zh-CN"/>
              </w:rPr>
              <w:t xml:space="preserve">，</w:t>
            </w:r>
            <w:r>
              <w:rPr>
                <w:rFonts w:hint="eastAsia" w:eastAsia="宋体"/>
                <w:color w:val="000000"/>
                <w:sz w:val="24"/>
                <w:highlight w:val="none"/>
                <w:lang w:val="en-US" w:eastAsia="zh-CN"/>
              </w:rPr>
              <w:t xml:space="preserve">最低得0分。</w:t>
            </w:r>
            <w:r/>
          </w:p>
        </w:tc>
      </w:tr>
      <w:tr>
        <w:trPr>
          <w:jc w:val="center"/>
          <w:trHeight w:val="444"/>
        </w:trPr>
        <w:tc>
          <w:tcPr>
            <w:tcMar>
              <w:left w:w="15" w:type="dxa"/>
              <w:top w:w="15" w:type="dxa"/>
              <w:right w:w="15" w:type="dxa"/>
            </w:tcMar>
            <w:tcW w:w="1171" w:type="dxa"/>
            <w:vAlign w:val="center"/>
            <w:textDirection w:val="lrTb"/>
            <w:noWrap w:val="false"/>
          </w:tcPr>
          <w:p>
            <w:pPr>
              <w:pStyle w:val="1154"/>
              <w:jc w:val="center"/>
              <w:widowControl/>
              <w:rPr>
                <w:rFonts w:ascii="宋体" w:hAnsi="宋体"/>
                <w:color w:val="000000"/>
                <w:sz w:val="24"/>
                <w:highlight w:val="none"/>
              </w:rPr>
            </w:pPr>
            <w:r>
              <w:rPr>
                <w:rFonts w:hint="eastAsia" w:ascii="宋体" w:hAnsi="宋体"/>
                <w:color w:val="000000"/>
                <w:sz w:val="24"/>
                <w:highlight w:val="none"/>
              </w:rPr>
              <w:t xml:space="preserve">服务方案</w:t>
            </w:r>
            <w:r/>
          </w:p>
          <w:p>
            <w:pPr>
              <w:jc w:val="center"/>
              <w:rPr>
                <w:rFonts w:ascii="宋体" w:hAnsi="宋体" w:cs="宋体"/>
                <w:color w:val="000000"/>
                <w:sz w:val="24"/>
                <w:highlight w:val="none"/>
              </w:rPr>
            </w:pPr>
            <w:r>
              <w:rPr>
                <w:rFonts w:ascii="宋体" w:hAnsi="宋体"/>
                <w:color w:val="000000"/>
                <w:sz w:val="24"/>
                <w:highlight w:val="none"/>
                <w:lang w:bidi="en-US"/>
              </w:rPr>
              <w:t xml:space="preserve">（</w:t>
            </w:r>
            <w:r>
              <w:rPr>
                <w:rFonts w:hint="eastAsia" w:ascii="宋体" w:hAnsi="宋体"/>
                <w:color w:val="000000"/>
                <w:sz w:val="24"/>
                <w:highlight w:val="none"/>
                <w:lang w:val="en-US" w:eastAsia="zh-CN" w:bidi="en-US"/>
              </w:rPr>
              <w:t xml:space="preserve">9</w:t>
            </w:r>
            <w:r>
              <w:rPr>
                <w:rFonts w:ascii="宋体" w:hAnsi="宋体"/>
                <w:color w:val="000000"/>
                <w:sz w:val="24"/>
                <w:highlight w:val="none"/>
                <w:lang w:bidi="en-US"/>
              </w:rPr>
              <w:t xml:space="preserve">分）</w:t>
            </w:r>
            <w:r/>
          </w:p>
        </w:tc>
        <w:tc>
          <w:tcPr>
            <w:tcMar>
              <w:left w:w="15" w:type="dxa"/>
              <w:top w:w="15" w:type="dxa"/>
              <w:right w:w="15" w:type="dxa"/>
            </w:tcMar>
            <w:tcW w:w="1062" w:type="dxa"/>
            <w:vAlign w:val="center"/>
            <w:textDirection w:val="lrTb"/>
            <w:noWrap w:val="false"/>
          </w:tcPr>
          <w:p>
            <w:pPr>
              <w:pStyle w:val="1158"/>
              <w:jc w:val="center"/>
              <w:widowControl/>
              <w:rPr>
                <w:rFonts w:ascii="宋体" w:hAnsi="宋体" w:cs="宋体"/>
                <w:color w:val="000000"/>
                <w:sz w:val="24"/>
                <w:highlight w:val="none"/>
              </w:rPr>
            </w:pPr>
            <w:r>
              <w:rPr>
                <w:rFonts w:ascii="宋体" w:hAnsi="宋体"/>
                <w:color w:val="000000"/>
                <w:sz w:val="24"/>
                <w:highlight w:val="none"/>
              </w:rPr>
              <w:t xml:space="preserve">缺陷责任期内的服务方案（</w:t>
            </w:r>
            <w:r>
              <w:rPr>
                <w:rFonts w:hint="eastAsia" w:ascii="宋体" w:hAnsi="宋体"/>
                <w:color w:val="000000"/>
                <w:sz w:val="24"/>
                <w:highlight w:val="none"/>
                <w:lang w:val="en-US" w:eastAsia="zh-CN"/>
              </w:rPr>
              <w:t xml:space="preserve">9</w:t>
            </w:r>
            <w:r>
              <w:rPr>
                <w:rFonts w:ascii="宋体" w:hAnsi="宋体"/>
                <w:color w:val="000000"/>
                <w:sz w:val="24"/>
                <w:highlight w:val="none"/>
              </w:rPr>
              <w:t xml:space="preserve">分）</w:t>
            </w:r>
            <w:r/>
          </w:p>
        </w:tc>
        <w:tc>
          <w:tcPr>
            <w:tcMar>
              <w:left w:w="15" w:type="dxa"/>
              <w:top w:w="15" w:type="dxa"/>
              <w:right w:w="15" w:type="dxa"/>
            </w:tcMar>
            <w:tcW w:w="7948" w:type="dxa"/>
            <w:vAlign w:val="center"/>
            <w:textDirection w:val="lrTb"/>
            <w:noWrap w:val="false"/>
          </w:tcPr>
          <w:p>
            <w:pPr>
              <w:pStyle w:val="1154"/>
              <w:jc w:val="both"/>
              <w:rPr>
                <w:rFonts w:hint="eastAsia" w:eastAsia="宋体"/>
                <w:color w:val="000000"/>
                <w:sz w:val="24"/>
                <w:highlight w:val="none"/>
              </w:rPr>
            </w:pPr>
            <w:r>
              <w:rPr>
                <w:rFonts w:hint="eastAsia" w:eastAsia="宋体"/>
                <w:color w:val="000000"/>
                <w:sz w:val="24"/>
                <w:highlight w:val="none"/>
              </w:rPr>
              <w:t xml:space="preserve">对响应文件中缺陷责任期内的服务方案内容和详细方案的</w:t>
            </w:r>
            <w:r>
              <w:rPr>
                <w:rFonts w:ascii="宋体" w:hAnsi="宋体" w:eastAsia="宋体" w:cs="宋体"/>
                <w:color w:val="000000"/>
                <w:sz w:val="24"/>
                <w:highlight w:val="none"/>
              </w:rPr>
              <w:t xml:space="preserve">全面性</w:t>
            </w:r>
            <w:r>
              <w:rPr>
                <w:rFonts w:hint="eastAsia" w:ascii="宋体" w:hAnsi="宋体" w:eastAsia="宋体" w:cs="宋体"/>
                <w:color w:val="000000"/>
                <w:sz w:val="24"/>
                <w:highlight w:val="none"/>
                <w:lang w:eastAsia="zh-CN"/>
              </w:rPr>
              <w:t xml:space="preserve">、</w:t>
            </w:r>
            <w:r>
              <w:rPr>
                <w:rFonts w:hint="eastAsia" w:eastAsia="宋体"/>
                <w:color w:val="000000"/>
                <w:sz w:val="24"/>
                <w:highlight w:val="none"/>
              </w:rPr>
              <w:t xml:space="preserve">可行性</w:t>
            </w:r>
            <w:r>
              <w:rPr>
                <w:rFonts w:hint="eastAsia" w:eastAsia="宋体"/>
                <w:color w:val="000000"/>
                <w:sz w:val="24"/>
                <w:highlight w:val="none"/>
                <w:lang w:eastAsia="zh-CN"/>
              </w:rPr>
              <w:t xml:space="preserve">、</w:t>
            </w:r>
            <w:r>
              <w:rPr>
                <w:rFonts w:ascii="宋体" w:hAnsi="宋体" w:eastAsia="宋体" w:cs="宋体"/>
                <w:color w:val="000000"/>
                <w:sz w:val="24"/>
                <w:highlight w:val="none"/>
              </w:rPr>
              <w:t xml:space="preserve">针对性</w:t>
            </w:r>
            <w:r>
              <w:rPr>
                <w:rFonts w:hint="eastAsia" w:eastAsia="宋体"/>
                <w:color w:val="000000"/>
                <w:sz w:val="24"/>
                <w:highlight w:val="none"/>
              </w:rPr>
              <w:t xml:space="preserve">进行评价。</w:t>
            </w:r>
            <w:r/>
          </w:p>
          <w:p>
            <w:pPr>
              <w:rPr>
                <w:rFonts w:ascii="宋体" w:hAnsi="宋体" w:eastAsia="宋体" w:cs="宋体"/>
                <w:color w:val="000000"/>
                <w:sz w:val="24"/>
                <w:highlight w:val="none"/>
              </w:rPr>
            </w:pPr>
            <w:r>
              <w:rPr>
                <w:rFonts w:ascii="宋体" w:hAnsi="宋体" w:eastAsia="宋体" w:cs="宋体"/>
                <w:color w:val="000000"/>
                <w:sz w:val="24"/>
                <w:highlight w:val="none"/>
              </w:rPr>
              <w:t xml:space="preserve">全面性</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3分</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：全面具体详实得3分；</w:t>
            </w:r>
            <w:r>
              <w:rPr>
                <w:rFonts w:hint="eastAsia" w:ascii="宋体" w:hAnsi="宋体" w:eastAsia="宋体" w:cs="宋体"/>
                <w:color w:val="000000"/>
                <w:sz w:val="24"/>
                <w:highlight w:val="none"/>
                <w:lang w:val="en-US" w:eastAsia="zh-CN"/>
              </w:rPr>
              <w:t xml:space="preserve">较</w:t>
            </w:r>
            <w:r>
              <w:rPr>
                <w:rFonts w:ascii="宋体" w:hAnsi="宋体" w:eastAsia="宋体" w:cs="宋体"/>
                <w:color w:val="000000"/>
                <w:sz w:val="24"/>
                <w:highlight w:val="none"/>
              </w:rPr>
              <w:t xml:space="preserve">全面得2分；不全面得1分。</w:t>
            </w:r>
            <w:r/>
          </w:p>
          <w:p>
            <w:pPr>
              <w:rPr>
                <w:rFonts w:ascii="宋体" w:hAnsi="宋体" w:eastAsia="宋体" w:cs="宋体"/>
                <w:color w:val="000000"/>
                <w:sz w:val="24"/>
                <w:highlight w:val="none"/>
              </w:rPr>
            </w:pPr>
            <w:r>
              <w:rPr>
                <w:rFonts w:ascii="宋体" w:hAnsi="宋体" w:eastAsia="宋体" w:cs="宋体"/>
                <w:color w:val="000000"/>
                <w:sz w:val="24"/>
                <w:highlight w:val="none"/>
              </w:rPr>
              <w:t xml:space="preserve">可行性</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3分</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：符合实际切实可行得3分；较切实可行得2分；可行性欠缺得1分。</w:t>
            </w:r>
            <w:r/>
          </w:p>
          <w:p>
            <w:pPr>
              <w:rPr>
                <w:rFonts w:ascii="宋体" w:hAnsi="宋体" w:eastAsia="宋体" w:cs="宋体"/>
                <w:color w:val="000000"/>
                <w:sz w:val="24"/>
                <w:highlight w:val="none"/>
              </w:rPr>
            </w:pPr>
            <w:r>
              <w:rPr>
                <w:rFonts w:ascii="宋体" w:hAnsi="宋体" w:eastAsia="宋体" w:cs="宋体"/>
                <w:color w:val="000000"/>
                <w:sz w:val="24"/>
                <w:highlight w:val="none"/>
              </w:rPr>
              <w:t xml:space="preserve">针对性</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3分</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：针对性强得3分；针对性较强得2分；针对性不强得1分。</w:t>
            </w:r>
            <w:r/>
          </w:p>
          <w:p>
            <w:pPr>
              <w:pStyle w:val="1154"/>
              <w:jc w:val="both"/>
              <w:rPr>
                <w:color w:val="000000"/>
                <w:sz w:val="24"/>
                <w:highlight w:val="none"/>
              </w:rPr>
            </w:pPr>
            <w:r>
              <w:rPr>
                <w:rFonts w:ascii="宋体" w:hAnsi="宋体" w:eastAsia="宋体" w:cs="宋体"/>
                <w:color w:val="000000"/>
                <w:sz w:val="24"/>
                <w:highlight w:val="none"/>
              </w:rPr>
              <w:t xml:space="preserve">未提供的得0分</w:t>
            </w:r>
            <w:r>
              <w:rPr>
                <w:rFonts w:hint="eastAsia" w:ascii="宋体" w:hAnsi="宋体" w:eastAsia="宋体" w:cs="宋体"/>
                <w:color w:val="000000"/>
                <w:sz w:val="24"/>
                <w:highlight w:val="none"/>
                <w:lang w:eastAsia="zh-CN"/>
              </w:rPr>
              <w:t xml:space="preserve">，</w:t>
            </w:r>
            <w:r>
              <w:rPr>
                <w:rFonts w:hint="eastAsia" w:eastAsia="宋体"/>
                <w:color w:val="000000"/>
                <w:sz w:val="24"/>
                <w:highlight w:val="none"/>
              </w:rPr>
              <w:t xml:space="preserve">本项最高得</w:t>
            </w:r>
            <w:r>
              <w:rPr>
                <w:rFonts w:hint="eastAsia" w:eastAsia="宋体"/>
                <w:color w:val="000000"/>
                <w:sz w:val="24"/>
                <w:highlight w:val="none"/>
                <w:lang w:val="en-US" w:eastAsia="zh-CN"/>
              </w:rPr>
              <w:t xml:space="preserve">9</w:t>
            </w:r>
            <w:r>
              <w:rPr>
                <w:rFonts w:hint="eastAsia" w:eastAsia="宋体"/>
                <w:color w:val="000000"/>
                <w:sz w:val="24"/>
                <w:highlight w:val="none"/>
              </w:rPr>
              <w:t xml:space="preserve">分</w:t>
            </w:r>
            <w:r>
              <w:rPr>
                <w:rFonts w:hint="eastAsia" w:eastAsia="宋体"/>
                <w:color w:val="000000"/>
                <w:sz w:val="24"/>
                <w:highlight w:val="none"/>
                <w:lang w:eastAsia="zh-CN"/>
              </w:rPr>
              <w:t xml:space="preserve">，</w:t>
            </w:r>
            <w:r>
              <w:rPr>
                <w:rFonts w:hint="eastAsia" w:eastAsia="宋体"/>
                <w:color w:val="000000"/>
                <w:sz w:val="24"/>
                <w:highlight w:val="none"/>
                <w:lang w:val="en-US" w:eastAsia="zh-CN"/>
              </w:rPr>
              <w:t xml:space="preserve">最低得0分。</w:t>
            </w:r>
            <w:r/>
          </w:p>
        </w:tc>
      </w:tr>
    </w:tbl>
    <w:p>
      <w:pPr>
        <w:rPr>
          <w:rFonts w:hint="eastAsia"/>
        </w:rPr>
      </w:pPr>
      <w:r>
        <w:rPr>
          <w:rFonts w:hint="eastAsia"/>
        </w:rPr>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本章说明：</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1、本项目采用综合评分法。</w:t>
      </w:r>
      <w:r/>
    </w:p>
    <w:p>
      <w:pPr>
        <w:jc w:val="left"/>
        <w:spacing w:line="360" w:lineRule="auto"/>
        <w:rPr>
          <w:rFonts w:hint="eastAsia" w:ascii="宋体" w:hAnsi="宋体" w:eastAsia="宋体" w:cs="宋体"/>
          <w:sz w:val="24"/>
          <w:lang w:val="en-US" w:eastAsia="zh-CN"/>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评分结果精确到小数点后两位。</w:t>
      </w:r>
      <w:r/>
    </w:p>
    <w:p>
      <w:pPr>
        <w:pStyle w:val="1157"/>
        <w:rPr>
          <w:rFonts w:hint="eastAsi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rPr>
      </w:r>
      <w:r/>
    </w:p>
    <w:p>
      <w:pPr>
        <w:pStyle w:val="1158"/>
        <w:numPr>
          <w:ilvl w:val="0"/>
          <w:numId w:val="4"/>
        </w:num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项目要求（采购需求）</w:t>
      </w:r>
      <w:r/>
    </w:p>
    <w:p>
      <w:pPr>
        <w:jc w:val="both"/>
        <w:spacing w:line="360" w:lineRule="auto"/>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w:t>
      </w:r>
      <w:r>
        <w:rPr>
          <w:rFonts w:hint="eastAsia" w:ascii="宋体" w:hAnsi="宋体" w:cs="宋体"/>
          <w:b/>
          <w:bCs/>
          <w:color w:val="000000"/>
          <w:sz w:val="24"/>
          <w:szCs w:val="24"/>
          <w:highlight w:val="none"/>
          <w:lang w:val="en-US" w:eastAsia="zh-CN"/>
        </w:rPr>
        <w:t xml:space="preserve">项目概况</w:t>
      </w:r>
      <w:r/>
    </w:p>
    <w:p>
      <w:pPr>
        <w:pStyle w:val="1134"/>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铜山城区道路基础设施维修养护项目</w:t>
      </w:r>
      <w:r>
        <w:rPr>
          <w:rFonts w:hint="eastAsia" w:ascii="宋体" w:hAnsi="宋体" w:eastAsia="宋体" w:cs="宋体"/>
          <w:color w:val="000000"/>
          <w:sz w:val="24"/>
          <w:szCs w:val="24"/>
          <w:lang w:val="en-US" w:eastAsia="zh-CN"/>
        </w:rPr>
        <w:t xml:space="preserve"> </w:t>
      </w:r>
      <w:r/>
    </w:p>
    <w:p>
      <w:pPr>
        <w:pStyle w:val="1134"/>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本项目</w:t>
      </w:r>
      <w:r>
        <w:rPr>
          <w:rFonts w:hint="eastAsia" w:ascii="宋体" w:hAnsi="宋体" w:eastAsia="宋体" w:cs="宋体"/>
          <w:color w:val="000000"/>
          <w:sz w:val="24"/>
          <w:szCs w:val="24"/>
          <w:lang w:val="en-US" w:eastAsia="zh-CN"/>
        </w:rPr>
        <w:t xml:space="preserve">不接受超过</w:t>
      </w:r>
      <w:r>
        <w:rPr>
          <w:rFonts w:hint="eastAsia" w:ascii="宋体" w:hAnsi="宋体" w:eastAsia="宋体" w:cs="宋体"/>
          <w:b/>
          <w:bCs/>
          <w:color w:val="000000"/>
          <w:sz w:val="24"/>
          <w:szCs w:val="24"/>
          <w:u w:val="single"/>
          <w:lang w:val="en-US" w:eastAsia="zh-CN"/>
        </w:rPr>
        <w:t xml:space="preserve">249.974193万元</w:t>
      </w:r>
      <w:r>
        <w:rPr>
          <w:rFonts w:hint="eastAsia" w:ascii="宋体" w:hAnsi="宋体" w:eastAsia="宋体" w:cs="宋体"/>
          <w:color w:val="000000"/>
          <w:sz w:val="24"/>
          <w:szCs w:val="24"/>
          <w:lang w:eastAsia="zh-CN"/>
        </w:rPr>
        <w:t xml:space="preserve">（人民币）（采购项目预算金额）的报价。</w:t>
      </w:r>
      <w:r>
        <w:rPr>
          <w:rFonts w:hint="eastAsia" w:ascii="宋体" w:hAnsi="宋体" w:eastAsia="宋体" w:cs="宋体"/>
          <w:color w:val="000000"/>
          <w:sz w:val="24"/>
          <w:szCs w:val="24"/>
        </w:rPr>
        <w:t xml:space="preserve">报价包括但不限于完成本项目所需人工、材料、机械、</w:t>
      </w:r>
      <w:r>
        <w:rPr>
          <w:rFonts w:hint="eastAsia" w:ascii="宋体" w:hAnsi="宋体" w:eastAsia="宋体" w:cs="宋体"/>
          <w:color w:val="000000"/>
          <w:sz w:val="24"/>
          <w:szCs w:val="24"/>
          <w:lang w:eastAsia="zh-CN"/>
        </w:rPr>
        <w:t xml:space="preserve">工具设备、</w:t>
      </w:r>
      <w:r>
        <w:rPr>
          <w:rFonts w:hint="eastAsia" w:ascii="宋体" w:hAnsi="宋体" w:eastAsia="宋体" w:cs="宋体"/>
          <w:color w:val="000000"/>
          <w:sz w:val="24"/>
          <w:szCs w:val="24"/>
        </w:rPr>
        <w:t xml:space="preserve">措施费、规费、税金、</w:t>
      </w:r>
      <w:r>
        <w:rPr>
          <w:rFonts w:hint="eastAsia" w:ascii="宋体" w:hAnsi="宋体" w:eastAsia="宋体" w:cs="宋体"/>
          <w:color w:val="000000"/>
          <w:sz w:val="24"/>
          <w:szCs w:val="24"/>
          <w:lang w:val="en-US" w:eastAsia="zh-CN"/>
        </w:rPr>
        <w:t xml:space="preserve">质保</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服务、组织协调、供应商的利润等全部费用。采购人不再支付报价以外的任何费用。</w:t>
      </w:r>
      <w:r/>
    </w:p>
    <w:p>
      <w:pPr>
        <w:pStyle w:val="1134"/>
        <w:ind w:left="0" w:right="6" w:firstLine="480"/>
        <w:jc w:val="both"/>
        <w:keepLines w:val="0"/>
        <w:keepNext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3.项目内容：</w:t>
      </w:r>
      <w:r>
        <w:rPr>
          <w:rFonts w:hint="eastAsia" w:ascii="宋体" w:hAnsi="宋体" w:eastAsia="宋体" w:cs="宋体"/>
          <w:color w:val="000000"/>
          <w:sz w:val="24"/>
          <w:szCs w:val="24"/>
          <w:lang w:eastAsia="zh-CN"/>
        </w:rPr>
        <w:t xml:space="preserve">铜山城区道路基础设施维修养护项目，</w:t>
      </w:r>
      <w:r>
        <w:rPr>
          <w:rFonts w:hint="eastAsia" w:ascii="宋体" w:hAnsi="宋体" w:eastAsia="宋体" w:cs="宋体"/>
          <w:color w:val="000000"/>
          <w:sz w:val="24"/>
          <w:szCs w:val="24"/>
          <w:lang w:val="en-US" w:eastAsia="zh-CN"/>
        </w:rPr>
        <w:t xml:space="preserve">主要包含</w:t>
      </w:r>
      <w:r>
        <w:rPr>
          <w:rFonts w:hint="eastAsia" w:ascii="宋体" w:hAnsi="宋体" w:eastAsia="宋体" w:cs="宋体"/>
          <w:color w:val="000000"/>
          <w:sz w:val="24"/>
          <w:szCs w:val="24"/>
          <w:lang w:eastAsia="zh-CN"/>
        </w:rPr>
        <w:t xml:space="preserve">学苑路至军用铁路道路维修</w:t>
      </w:r>
      <w:r>
        <w:rPr>
          <w:rFonts w:hint="eastAsia" w:ascii="宋体" w:hAnsi="宋体" w:eastAsia="宋体" w:cs="宋体"/>
          <w:color w:val="000000"/>
          <w:sz w:val="24"/>
          <w:szCs w:val="24"/>
          <w:lang w:val="en-US" w:eastAsia="zh-CN"/>
        </w:rPr>
        <w:t xml:space="preserve">养护</w:t>
      </w:r>
      <w:r>
        <w:rPr>
          <w:rFonts w:hint="eastAsia" w:ascii="宋体" w:hAnsi="宋体" w:eastAsia="宋体" w:cs="宋体"/>
          <w:color w:val="000000"/>
          <w:sz w:val="24"/>
          <w:szCs w:val="24"/>
          <w:lang w:eastAsia="zh-CN"/>
        </w:rPr>
        <w:t xml:space="preserve">、军用铁路以南道路维修</w:t>
      </w:r>
      <w:r>
        <w:rPr>
          <w:rFonts w:hint="eastAsia" w:ascii="宋体" w:hAnsi="宋体" w:eastAsia="宋体" w:cs="宋体"/>
          <w:color w:val="000000"/>
          <w:sz w:val="24"/>
          <w:szCs w:val="24"/>
          <w:lang w:val="en-US" w:eastAsia="zh-CN"/>
        </w:rPr>
        <w:t xml:space="preserve">养护，详见工程量清单。</w:t>
      </w:r>
      <w:r>
        <w:rPr>
          <w:rFonts w:ascii="SimSun" w:hAnsi="SimSun" w:eastAsia="SimSun" w:cs="SimSun"/>
          <w:color w:val="000000"/>
          <w:sz w:val="24"/>
          <w:highlight w:val="white"/>
        </w:rPr>
        <w:t xml:space="preserve">具</w:t>
      </w:r>
      <w:r>
        <w:rPr>
          <w:rFonts w:ascii="SimSun" w:hAnsi="SimSun" w:eastAsia="SimSun" w:cs="SimSun"/>
          <w:color w:val="000000"/>
          <w:sz w:val="24"/>
          <w:highlight w:val="white"/>
        </w:rPr>
        <w:t xml:space="preserve">体实施范围包括采购人派遣工单、社情民意、交警部门来函及各类反馈工单</w:t>
      </w:r>
      <w:r>
        <w:rPr>
          <w:rFonts w:hint="eastAsia" w:ascii="宋体" w:hAnsi="宋体" w:eastAsia="宋体" w:cs="宋体"/>
          <w:color w:val="000000"/>
          <w:sz w:val="24"/>
          <w:szCs w:val="24"/>
          <w:lang w:eastAsia="zh-CN"/>
        </w:rPr>
        <w:t xml:space="preserve">等涉及到铜山城区范围内的道路基础设施维修养护等内容，具体内容详见工程量清单及相关工单所含全部内容。工程量按实结算（</w:t>
      </w:r>
      <w:r>
        <w:rPr>
          <w:rFonts w:hint="eastAsia" w:ascii="宋体" w:hAnsi="宋体" w:eastAsia="宋体" w:cs="宋体"/>
          <w:color w:val="000000"/>
          <w:sz w:val="24"/>
          <w:szCs w:val="24"/>
          <w:lang w:val="en-US" w:eastAsia="zh-CN"/>
        </w:rPr>
        <w:t xml:space="preserve">维修内容以</w:t>
      </w:r>
      <w:r>
        <w:rPr>
          <w:rFonts w:hint="eastAsia" w:ascii="宋体" w:hAnsi="宋体" w:eastAsia="宋体" w:cs="宋体"/>
          <w:color w:val="000000"/>
          <w:sz w:val="24"/>
          <w:szCs w:val="24"/>
          <w:highlight w:val="none"/>
          <w:lang w:val="en-US" w:eastAsia="zh-CN"/>
        </w:rPr>
        <w:t xml:space="preserve">实际情况</w:t>
      </w:r>
      <w:r>
        <w:rPr>
          <w:rFonts w:hint="eastAsia" w:ascii="宋体" w:hAnsi="宋体" w:eastAsia="宋体" w:cs="宋体"/>
          <w:color w:val="000000"/>
          <w:sz w:val="24"/>
          <w:szCs w:val="24"/>
          <w:lang w:eastAsia="zh-CN"/>
        </w:rPr>
        <w:t xml:space="preserve">为准）。</w:t>
      </w:r>
      <w:r/>
    </w:p>
    <w:p>
      <w:pPr>
        <w:pStyle w:val="1134"/>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4.此</w:t>
      </w:r>
      <w:r>
        <w:rPr>
          <w:rFonts w:hint="eastAsia" w:ascii="宋体" w:hAnsi="宋体" w:eastAsia="宋体" w:cs="宋体"/>
          <w:color w:val="000000"/>
          <w:sz w:val="24"/>
          <w:szCs w:val="24"/>
        </w:rPr>
        <w:t xml:space="preserve">项目属于专门面向中小微企业采购的项目，供应商应为中小微企业、监狱企业、残疾人福利性单位。</w:t>
      </w:r>
      <w:r/>
    </w:p>
    <w:p>
      <w:pPr>
        <w:pStyle w:val="1134"/>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5.合同工期：</w:t>
      </w:r>
      <w:r>
        <w:rPr>
          <w:rStyle w:val="1251"/>
          <w:rFonts w:hint="eastAsia" w:ascii="宋体" w:hAnsi="宋体"/>
          <w:color w:val="000000"/>
          <w:sz w:val="24"/>
          <w:highlight w:val="none"/>
          <w:u w:val="single"/>
          <w:lang w:val="en-US"/>
        </w:rPr>
        <w:t xml:space="preserve">合同签订之日起至2027年6月30日止</w:t>
      </w:r>
      <w:r>
        <w:rPr>
          <w:rFonts w:hint="eastAsia" w:ascii="宋体" w:hAnsi="宋体" w:eastAsia="宋体" w:cs="宋体"/>
          <w:color w:val="000000"/>
          <w:sz w:val="24"/>
          <w:szCs w:val="24"/>
          <w:lang w:val="en-US" w:eastAsia="zh-CN"/>
        </w:rPr>
        <w:t xml:space="preserve">。</w:t>
      </w:r>
      <w:r/>
    </w:p>
    <w:p>
      <w:pPr>
        <w:pStyle w:val="1134"/>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质量要求标准：合格，通过相关部门验收。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1134"/>
        <w:ind w:left="0" w:right="6" w:firstLine="480"/>
        <w:jc w:val="both"/>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.现场勘察：供应商根据自身情况选择是否勘察现场，供应商根据勘察现场情况自行报价。供应商自行勘察现场，费用自理。</w:t>
      </w:r>
      <w:r/>
    </w:p>
    <w:p>
      <w:pPr>
        <w:pStyle w:val="1134"/>
        <w:ind w:left="0" w:right="6" w:firstLine="480"/>
        <w:jc w:val="both"/>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.现场条件：具备施工条件，施工用水用电自行考虑。</w:t>
      </w:r>
      <w:r/>
    </w:p>
    <w:p>
      <w:pPr>
        <w:pStyle w:val="1134"/>
        <w:ind w:left="0" w:right="6" w:firstLine="480"/>
        <w:jc w:val="both"/>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.技术标准和要求：符合现行国家技术、施工及验收规范规程，对施工工艺的特殊要求，按国家有关规定执行。</w:t>
      </w:r>
      <w:r/>
    </w:p>
    <w:p>
      <w:pPr>
        <w:pStyle w:val="1134"/>
        <w:ind w:left="0" w:right="6" w:firstLine="480"/>
        <w:jc w:val="both"/>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lang w:val="en-US" w:eastAsia="zh-CN"/>
        </w:rPr>
        <w:t xml:space="preserve">10</w:t>
      </w:r>
      <w:r>
        <w:rPr>
          <w:rFonts w:hint="eastAsia" w:ascii="宋体" w:hAnsi="宋体" w:eastAsia="宋体" w:cs="宋体"/>
          <w:b/>
          <w:bCs/>
          <w:color w:val="000000"/>
          <w:sz w:val="24"/>
          <w:szCs w:val="24"/>
        </w:rPr>
        <w:t xml:space="preserve">.</w:t>
      </w:r>
      <w:r>
        <w:rPr>
          <w:rFonts w:hint="eastAsia" w:ascii="宋体" w:hAnsi="宋体" w:eastAsia="宋体" w:cs="宋体"/>
          <w:b w:val="0"/>
          <w:bCs w:val="0"/>
          <w:color w:val="000000"/>
          <w:sz w:val="24"/>
          <w:szCs w:val="24"/>
        </w:rPr>
        <w:t xml:space="preserve">质量保修期限：</w:t>
      </w:r>
      <w:r>
        <w:rPr>
          <w:rFonts w:hint="eastAsia" w:ascii="宋体" w:hAnsi="宋体" w:eastAsia="宋体" w:cs="宋体"/>
          <w:b/>
          <w:bCs/>
          <w:color w:val="000000"/>
          <w:sz w:val="24"/>
          <w:szCs w:val="24"/>
        </w:rPr>
        <w:t xml:space="preserve">二年</w:t>
      </w:r>
      <w:r>
        <w:rPr>
          <w:rFonts w:hint="eastAsia" w:ascii="宋体" w:hAnsi="宋体" w:eastAsia="宋体" w:cs="宋体"/>
          <w:color w:val="000000"/>
          <w:sz w:val="24"/>
          <w:szCs w:val="24"/>
        </w:rPr>
        <w:t xml:space="preserve">（自工程竣工验收合格后起算）。</w:t>
      </w:r>
      <w:r/>
    </w:p>
    <w:p>
      <w:pPr>
        <w:pStyle w:val="1134"/>
        <w:ind w:left="0" w:right="6" w:firstLine="480"/>
        <w:jc w:val="both"/>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保修期内</w:t>
      </w:r>
      <w:r>
        <w:rPr>
          <w:rFonts w:hint="eastAsia" w:ascii="宋体" w:hAnsi="宋体" w:cs="宋体"/>
          <w:b/>
          <w:bCs/>
          <w:color w:val="000000"/>
          <w:sz w:val="24"/>
          <w:szCs w:val="24"/>
          <w:lang w:val="en-US" w:eastAsia="zh-CN"/>
        </w:rPr>
        <w:t xml:space="preserve">供应商</w:t>
      </w:r>
      <w:r>
        <w:rPr>
          <w:rFonts w:hint="eastAsia" w:ascii="宋体" w:hAnsi="宋体" w:eastAsia="宋体" w:cs="宋体"/>
          <w:b/>
          <w:bCs/>
          <w:color w:val="000000"/>
          <w:sz w:val="24"/>
          <w:szCs w:val="24"/>
        </w:rPr>
        <w:t xml:space="preserve">的维修或维护响应时间不得超过</w:t>
      </w:r>
      <w:r>
        <w:rPr>
          <w:rFonts w:hint="eastAsia" w:ascii="宋体" w:hAnsi="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小时。</w:t>
      </w:r>
      <w:r/>
    </w:p>
    <w:p>
      <w:pPr>
        <w:pStyle w:val="1134"/>
        <w:ind w:right="6"/>
        <w:jc w:val="both"/>
        <w:keepLines w:val="0"/>
        <w:keepNext w:val="0"/>
        <w:spacing w:before="0" w:beforeAutospacing="0" w:after="0" w:afterAutospacing="0" w:line="360" w:lineRule="auto"/>
        <w:widowControl/>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二、报价要求：</w:t>
      </w:r>
      <w:bookmarkStart w:id="2" w:name="_Toc498006749"/>
      <w:r/>
      <w:bookmarkStart w:id="3" w:name="_Toc473034406"/>
      <w:r/>
      <w:r/>
    </w:p>
    <w:p>
      <w:pPr>
        <w:pStyle w:val="1134"/>
        <w:ind w:left="0" w:righ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（一）工程量清单：详见本项目磋商文件附件《工程量清单》。</w:t>
      </w:r>
      <w:r/>
    </w:p>
    <w:p>
      <w:pPr>
        <w:pStyle w:val="1134"/>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（二）《已标价的工程量清单》报价要求</w:t>
      </w:r>
      <w:r/>
    </w:p>
    <w:p>
      <w:pPr>
        <w:pStyle w:val="1134"/>
        <w:ind w:right="6" w:firstLine="482"/>
        <w:jc w:val="both"/>
        <w:keepLines w:val="0"/>
        <w:keepNext w:val="0"/>
        <w:spacing w:before="0" w:beforeAutospacing="0" w:after="0" w:afterAutospacing="0" w:line="360" w:lineRule="auto"/>
        <w:widowControl/>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1.报价要求：</w:t>
      </w:r>
      <w:r/>
    </w:p>
    <w:p>
      <w:pPr>
        <w:pStyle w:val="1134"/>
        <w:ind w:left="0" w:right="6" w:firstLine="480"/>
        <w:jc w:val="both"/>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1.1响应报价应包括磋商文件中所确定的范围内工程量清单以及施工图中所含的全部内容，以及为完成上述内容的施工、验收、售后服务等所需的全部费用，采购人不再支付报价以外的任何费用。</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1.3供应商应按采购人提供的工程量清单填报价格。填写的项目名称、项目特征、计量单位、工程量必须与采购人提供的一致。</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1.4供应商应按采购人提供的工程量计算工程项目的单价和合价。工程量清单中的每一单项均需计算填写单价和合价，供应商没有填写单价和合价的项目将被认为此项费用已包括在工程量清单的其他单价和合价中。项目特征描述不全的工序，如图纸已明确或已指明引用的规范、图集等或是常规工艺必须的工序应包括在报价中。</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1.6技术参数、项目施工方案所描述的技术措施所发生的费用，视为已体现在供应商报价的非实体性消耗所发生的费用中。</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1.7供应商自行勘察，了解周边原有建筑、设施，事先视察工地，充分了解工程位置、邻近建筑物、工地情况，道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1.9 垃圾外运，在报价中综合考虑。</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1.11地方关系协调费投标人自行考虑，就此项招标人不支付任何费用。</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1.12本工程要求质保期按执行国家和地方现行标准、规范的相关规定，其中缺陷责任期24个月。必须保证工程质量，因此产生的各项费用视为投标人已自行考虑在投标报价中；除招标人确认的有效变更签证、设计变更外，结算时不因任何因素调整中标的综合单价。</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1.13施工时需做好防护措施保证周边安全，因中标人保障不利对招标人或第三方造成损失的，赔偿责任全部由中标人承担，若因此会增加费用，控制价不计取，投标人自行考虑在报价中，结算时不予调整。</w:t>
      </w:r>
      <w:r/>
    </w:p>
    <w:p>
      <w:pPr>
        <w:pStyle w:val="1134"/>
        <w:ind w:left="0" w:right="6" w:firstLine="480"/>
        <w:jc w:val="both"/>
        <w:keepLines w:val="0"/>
        <w:keepNext w:val="0"/>
        <w:spacing w:before="0" w:beforeAutospacing="0" w:after="0" w:afterAutospacing="0" w:line="360" w:lineRule="auto"/>
        <w:widowControl/>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2.报价方式</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2.1本工程采用</w:t>
      </w:r>
      <w:r>
        <w:rPr>
          <w:rFonts w:hint="eastAsia" w:ascii="宋体" w:hAnsi="宋体" w:eastAsia="宋体" w:cs="宋体"/>
          <w:b/>
          <w:bCs/>
          <w:color w:val="000000"/>
          <w:sz w:val="24"/>
          <w:szCs w:val="24"/>
          <w:u w:val="single"/>
        </w:rPr>
        <w:t xml:space="preserve">固定单价合同</w:t>
      </w:r>
      <w:r>
        <w:rPr>
          <w:rFonts w:hint="eastAsia" w:ascii="宋体" w:hAnsi="宋体" w:eastAsia="宋体" w:cs="宋体"/>
          <w:color w:val="000000"/>
          <w:sz w:val="24"/>
          <w:szCs w:val="24"/>
        </w:rPr>
        <w:t xml:space="preserve">（除另有规定外）。供应商应充分考虑施工期间各类建材的市场风险，并计入总报价，供应商在计算报价时应考虑一定的风险系数。</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2.2 材料风险约定：</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2.2.1对于法律、法规、规章或有关政策出台导致工程税金、规费等发生变化的，应按照有关规定执行。</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2.2.2本工程对材料风险约定如下：供应商应充分考虑施工期间各类建材的市场风险，充分考虑政策性关于人工、机械费用等方面调整，并计入总报价。主要材料价格因市场波动的调整方法按照合同中约定。</w:t>
      </w:r>
      <w:r/>
    </w:p>
    <w:p>
      <w:pPr>
        <w:pStyle w:val="1134"/>
        <w:ind w:left="0" w:right="6" w:firstLine="480"/>
        <w:jc w:val="both"/>
        <w:keepLines w:val="0"/>
        <w:keepNext w:val="0"/>
        <w:spacing w:before="0" w:beforeAutospacing="0" w:after="0" w:afterAutospacing="0" w:line="360" w:lineRule="auto"/>
        <w:widowControl/>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3.报价的计价方法</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134"/>
        <w:ind w:left="0" w:right="6" w:firstLine="480"/>
        <w:jc w:val="both"/>
        <w:keepLines w:val="0"/>
        <w:keepNext w:val="0"/>
        <w:spacing w:before="0" w:beforeAutospacing="0" w:after="0" w:afterAutospacing="0" w:line="360" w:lineRule="auto"/>
        <w:widowControl/>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4.报价编制依据及要求：</w:t>
      </w:r>
      <w:r/>
    </w:p>
    <w:p>
      <w:pPr>
        <w:ind w:firstLine="480"/>
        <w:spacing w:line="360" w:lineRule="auto"/>
        <w:rPr>
          <w:rFonts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4.1编制依据</w:t>
      </w:r>
      <w:r/>
    </w:p>
    <w:p>
      <w:p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4.1.1《建设工程工程量清单计价规范》(GB50500-2013)、《</w:t>
      </w:r>
      <w:r>
        <w:rPr>
          <w:rFonts w:hint="eastAsia" w:ascii="宋体" w:hAnsi="宋体" w:eastAsia="宋体" w:cs="宋体"/>
          <w:color w:val="000000"/>
          <w:sz w:val="24"/>
          <w:szCs w:val="24"/>
        </w:rPr>
        <w:t xml:space="preserve">房屋建筑与装饰工程工程量计算规范</w:t>
      </w:r>
      <w:r>
        <w:rPr>
          <w:rFonts w:hint="eastAsia" w:ascii="宋体" w:hAnsi="宋体" w:eastAsia="宋体" w:cs="宋体"/>
          <w:color w:val="000000"/>
          <w:sz w:val="24"/>
          <w:szCs w:val="24"/>
          <w:lang w:val="en-US" w:eastAsia="zh-CN" w:bidi="ar"/>
        </w:rPr>
        <w:t xml:space="preserve">》（GB50857-2013 ）等相关计价、计量规范；</w:t>
      </w:r>
      <w:r/>
    </w:p>
    <w:p>
      <w:p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4.1.2《江苏省建设工程费用定额》（2014）、《营改增后省住房城乡建设厅关于建筑业实施营改增后江苏省建设工程计价依据调整的通知》（苏建价[2016]154号）、《省住房城乡建设厅关于调整建设工程计价增值税税率的通知》（苏建函价[2019]178号文）等相关文件；</w:t>
      </w:r>
      <w:r/>
    </w:p>
    <w:p>
      <w:p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4.1.3 2023年度徐住建发62号关于进一步加强市区建设工地扬尘污染防治的通知；</w:t>
      </w:r>
      <w:r/>
    </w:p>
    <w:p>
      <w:p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4.1.4委托方提供的相关资料等；</w:t>
      </w:r>
      <w:r/>
    </w:p>
    <w:p>
      <w:p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4.1.5国家及地方现行政策性规范文件。</w:t>
      </w:r>
      <w:r/>
    </w:p>
    <w:p>
      <w:pPr>
        <w:pStyle w:val="1134"/>
        <w:ind w:left="0" w:right="6" w:firstLine="480"/>
        <w:jc w:val="both"/>
        <w:keepLines w:val="0"/>
        <w:keepNext w:val="0"/>
        <w:spacing w:before="0" w:beforeAutospacing="0" w:after="0" w:afterAutospacing="0" w:line="360" w:lineRule="auto"/>
        <w:widowControl/>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4.2本工程的其他规定：</w:t>
      </w:r>
      <w:r/>
    </w:p>
    <w:p>
      <w:pPr>
        <w:pStyle w:val="1134"/>
        <w:ind w:left="480" w:right="6"/>
        <w:jc w:val="both"/>
        <w:keepLines w:val="0"/>
        <w:keepNext w:val="0"/>
        <w:spacing w:before="0" w:beforeAutospacing="0" w:after="0" w:afterAutospacing="0" w:line="360" w:lineRule="auto"/>
        <w:widowControl/>
        <w:rPr>
          <w:rFonts w:hint="eastAsia" w:eastAsia="宋体"/>
          <w:b/>
          <w:bCs/>
          <w:color w:val="000000"/>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rPr>
        <w:t xml:space="preserve">4.2.1招标控制价人工费调整执行苏建函价〔2026〕27号</w:t>
      </w:r>
      <w:r>
        <w:rPr>
          <w:rFonts w:hint="eastAsia" w:ascii="宋体" w:hAnsi="宋体" w:eastAsia="宋体" w:cs="宋体"/>
          <w:b w:val="0"/>
          <w:bCs w:val="0"/>
          <w:color w:val="000000"/>
          <w:sz w:val="24"/>
          <w:szCs w:val="24"/>
          <w:lang w:eastAsia="zh-CN"/>
        </w:rPr>
        <w:t xml:space="preserve">。</w:t>
      </w:r>
      <w:r/>
    </w:p>
    <w:p>
      <w:pPr>
        <w:pStyle w:val="1134"/>
        <w:ind w:right="6" w:firstLine="480"/>
        <w:jc w:val="both"/>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rPr>
        <w:t xml:space="preserve">4.2.2</w:t>
      </w:r>
      <w:r>
        <w:rPr>
          <w:rFonts w:hint="eastAsia" w:ascii="宋体" w:hAnsi="宋体" w:eastAsia="宋体" w:cs="宋体"/>
          <w:color w:val="000000"/>
          <w:sz w:val="24"/>
          <w:szCs w:val="24"/>
        </w:rPr>
        <w:t xml:space="preserve">招标控制价</w:t>
      </w:r>
      <w:r>
        <w:rPr>
          <w:rFonts w:hint="eastAsia" w:ascii="宋体" w:hAnsi="宋体" w:eastAsia="宋体" w:cs="宋体"/>
          <w:color w:val="000000"/>
          <w:sz w:val="24"/>
          <w:szCs w:val="24"/>
          <w:lang w:val="en-US" w:eastAsia="zh-CN"/>
        </w:rPr>
        <w:t xml:space="preserve">材料</w:t>
      </w:r>
      <w:r>
        <w:rPr>
          <w:rFonts w:hint="eastAsia" w:ascii="宋体" w:hAnsi="宋体" w:eastAsia="宋体" w:cs="宋体"/>
          <w:color w:val="000000"/>
          <w:sz w:val="24"/>
          <w:szCs w:val="24"/>
        </w:rPr>
        <w:t xml:space="preserve">编制价格执行《徐州市工程造价信息》2026第3期指导价及结合徐州市场价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投标人的材料价格根据市场行情自主报价。</w:t>
      </w:r>
      <w:r/>
    </w:p>
    <w:p>
      <w:pPr>
        <w:pStyle w:val="1134"/>
        <w:ind w:left="0" w:right="6" w:firstLine="480"/>
        <w:jc w:val="both"/>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4.3建筑安装工程造价的组成：</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4.3.1分部分项工程费：现行国家标准《建设工程工程量清单计价规范》（GB50500-2013）</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《江苏省市政工程造价定额》（2014）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《江苏省建筑与装饰工程计价定额》（2014版）、《江苏省安装工程计价定额》(2014版)</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《江苏省建设工程费用定额》（2014年）</w:t>
      </w:r>
      <w:r>
        <w:rPr>
          <w:rFonts w:hint="eastAsia" w:ascii="宋体" w:hAnsi="宋体" w:cs="宋体"/>
          <w:color w:val="000000"/>
          <w:sz w:val="24"/>
          <w:szCs w:val="24"/>
          <w:lang w:eastAsia="zh-CN"/>
        </w:rPr>
        <w:t xml:space="preserve">等</w:t>
      </w:r>
      <w:r>
        <w:rPr>
          <w:rFonts w:hint="eastAsia" w:ascii="宋体" w:hAnsi="宋体" w:eastAsia="宋体" w:cs="宋体"/>
          <w:color w:val="000000"/>
          <w:sz w:val="24"/>
          <w:szCs w:val="24"/>
        </w:rPr>
        <w:t xml:space="preserve">有关文件规定。</w:t>
      </w:r>
      <w:r/>
    </w:p>
    <w:p>
      <w:pPr>
        <w:pStyle w:val="1134"/>
        <w:ind w:left="0" w:right="6" w:firstLine="480"/>
        <w:jc w:val="both"/>
        <w:keepLines w:val="0"/>
        <w:keepNext w:val="0"/>
        <w:spacing w:before="0" w:beforeAutospacing="0" w:after="0" w:afterAutospacing="0" w:line="360" w:lineRule="auto"/>
        <w:widowControl/>
        <w:rPr>
          <w:rFonts w:hint="eastAsia" w:eastAsia="宋体"/>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4.3.2措施项目费</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执行2014年《江苏省建设工程费用定额》</w:t>
      </w:r>
      <w:r>
        <w:rPr>
          <w:rFonts w:hint="eastAsia" w:ascii="宋体" w:hAnsi="宋体" w:eastAsia="宋体" w:cs="宋体"/>
          <w:color w:val="000000"/>
          <w:sz w:val="24"/>
          <w:szCs w:val="24"/>
          <w:lang w:eastAsia="zh-CN"/>
        </w:rPr>
        <w:t xml:space="preserve">。</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4.3.3其他项目费</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（1）计日工：由发承包双方在合同中另行约定。</w:t>
      </w:r>
      <w:r/>
    </w:p>
    <w:p>
      <w:pPr>
        <w:pStyle w:val="1134"/>
        <w:ind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（2）总承包服务费：本工程不计取。</w:t>
      </w:r>
      <w:r/>
    </w:p>
    <w:p>
      <w:pPr>
        <w:pStyle w:val="1134"/>
        <w:ind w:left="0" w:right="6" w:firstLine="480"/>
        <w:jc w:val="both"/>
        <w:keepLines w:val="0"/>
        <w:keepNext w:val="0"/>
        <w:spacing w:before="0" w:beforeAutospacing="0" w:after="0" w:afterAutospacing="0" w:line="360" w:lineRule="auto"/>
        <w:widowControl/>
        <w:rPr>
          <w:rFonts w:hint="eastAsia" w:eastAsia="宋体"/>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4.3.4规费（执行2014年《江苏省建设工程费用定额》（营改增后调整内容）） </w:t>
      </w:r>
      <w:r>
        <w:rPr>
          <w:rFonts w:hint="eastAsia" w:ascii="宋体" w:hAnsi="宋体" w:cs="宋体"/>
          <w:color w:val="000000"/>
          <w:sz w:val="24"/>
          <w:szCs w:val="24"/>
          <w:lang w:eastAsia="zh-CN"/>
        </w:rPr>
        <w:t xml:space="preserve">。</w:t>
      </w:r>
      <w:r/>
    </w:p>
    <w:p>
      <w:pPr>
        <w:pStyle w:val="1134"/>
        <w:numPr>
          <w:ilvl w:val="0"/>
          <w:numId w:val="5"/>
        </w:numPr>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环境保护税：不计。</w:t>
      </w:r>
      <w:r/>
    </w:p>
    <w:p>
      <w:pPr>
        <w:pStyle w:val="1134"/>
        <w:numPr>
          <w:ilvl w:val="0"/>
          <w:numId w:val="5"/>
        </w:numPr>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社会保障费：按规定计取。</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（3）住房公积金：按规定计取。</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4.3.5税金：按（分部分项工程费+措施项目费+其它项目费+规费-(除税甲供材料费+除税甲供设备费)/1.01）×9%计取。</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（三）响应文件要求</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1.首次响应文件中提供《已标价的工程量清单》文件。</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1.1 按照《工程量清单》编制《已标价的工程量清单》。</w:t>
      </w:r>
      <w:r/>
    </w:p>
    <w:p>
      <w:pPr>
        <w:pStyle w:val="1134"/>
        <w:ind w:right="6"/>
        <w:jc w:val="both"/>
        <w:keepLines w:val="0"/>
        <w:keepNext w:val="0"/>
        <w:spacing w:before="0" w:beforeAutospacing="0" w:after="0" w:afterAutospacing="0" w:line="360" w:lineRule="auto"/>
        <w:widowControl/>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三、项目相关要求： </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1.供应商报价时需考虑完成本项目内容所涉及的人工费、材料费、机械费、税费、验收等相关的一切费用。</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2.供应商应根据本项目实际情况，合理配置人员，除项目经理外，安全员、质检员、施工员、预算员、材料员等人员应经验丰富，确保项目顺利实施。</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对项目现场和周围环境进行实地踏勘，合理编制本项目施工方案，施工方案应至少包含：施工进度计划和各阶段进度的保证措施、施工方案及质量保证措施、安全文明施工及劳动力、机械设备和材料投入计划等。 </w:t>
      </w:r>
      <w:r/>
    </w:p>
    <w:p>
      <w:pPr>
        <w:pStyle w:val="1134"/>
        <w:ind w:right="6"/>
        <w:jc w:val="both"/>
        <w:keepLines w:val="0"/>
        <w:keepNext w:val="0"/>
        <w:spacing w:before="0" w:beforeAutospacing="0" w:after="0" w:afterAutospacing="0" w:line="360" w:lineRule="auto"/>
        <w:widowControl/>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四、低于成本报价</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在评标过程中，评标委员会发现供应商的报价明显低于其他响应报价，使得其响应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r/>
    </w:p>
    <w:p>
      <w:pPr>
        <w:pStyle w:val="1134"/>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1134"/>
        <w:ind w:right="6"/>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五、</w:t>
      </w:r>
      <w:r>
        <w:rPr>
          <w:rFonts w:hint="eastAsia" w:ascii="宋体" w:hAnsi="宋体" w:cs="宋体"/>
          <w:b/>
          <w:bCs/>
          <w:color w:val="000000"/>
          <w:sz w:val="24"/>
          <w:szCs w:val="24"/>
          <w:lang w:val="en-US" w:eastAsia="zh-CN"/>
        </w:rPr>
        <w:t xml:space="preserve">项目实施相关</w:t>
      </w:r>
      <w:r>
        <w:rPr>
          <w:rFonts w:hint="eastAsia" w:ascii="宋体" w:hAnsi="宋体" w:eastAsia="宋体" w:cs="宋体"/>
          <w:b/>
          <w:bCs/>
          <w:color w:val="000000"/>
          <w:sz w:val="24"/>
          <w:szCs w:val="24"/>
        </w:rPr>
        <w:t xml:space="preserve">要求：</w:t>
      </w:r>
      <w:r/>
    </w:p>
    <w:p>
      <w:pPr>
        <w:pStyle w:val="1134"/>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lang w:val="en-US" w:eastAsia="zh-CN" w:bidi="ar-SA"/>
        </w:rPr>
        <w:t xml:space="preserve">1、成交供应商需无条件服从</w:t>
      </w:r>
      <w:r>
        <w:rPr>
          <w:rFonts w:ascii="SimSun" w:hAnsi="SimSun" w:eastAsia="SimSun" w:cs="SimSun"/>
          <w:color w:val="000000"/>
          <w:sz w:val="24"/>
          <w:highlight w:val="white"/>
        </w:rPr>
        <w:t xml:space="preserve">采购人派遣工单、社情民意、交警部门来函及各类反馈工单</w:t>
      </w:r>
      <w:r>
        <w:rPr>
          <w:rFonts w:hint="eastAsia" w:ascii="宋体" w:hAnsi="宋体" w:eastAsia="宋体" w:cs="宋体"/>
          <w:color w:val="000000"/>
          <w:sz w:val="24"/>
          <w:szCs w:val="24"/>
          <w:highlight w:val="white"/>
          <w:lang w:eastAsia="zh-CN"/>
        </w:rPr>
        <w:t xml:space="preserve">等涉及到铜山城区范围内</w:t>
      </w:r>
      <w:r>
        <w:rPr>
          <w:rFonts w:hint="eastAsia" w:ascii="宋体" w:hAnsi="宋体" w:eastAsia="宋体" w:cs="宋体"/>
          <w:color w:val="000000"/>
          <w:sz w:val="24"/>
          <w:szCs w:val="24"/>
          <w:lang w:eastAsia="zh-CN"/>
        </w:rPr>
        <w:t xml:space="preserve">的道路基础设施维修养护等内容，具体内容详见工程量清单及相关工单所含全部内容。工程量按实结算（</w:t>
      </w:r>
      <w:r>
        <w:rPr>
          <w:rFonts w:hint="eastAsia" w:ascii="宋体" w:hAnsi="宋体" w:eastAsia="宋体" w:cs="宋体"/>
          <w:color w:val="000000"/>
          <w:sz w:val="24"/>
          <w:szCs w:val="24"/>
          <w:lang w:val="en-US" w:eastAsia="zh-CN"/>
        </w:rPr>
        <w:t xml:space="preserve">维修内容以</w:t>
      </w:r>
      <w:r>
        <w:rPr>
          <w:rFonts w:hint="eastAsia" w:ascii="宋体" w:hAnsi="宋体" w:eastAsia="宋体" w:cs="宋体"/>
          <w:color w:val="000000"/>
          <w:sz w:val="24"/>
          <w:szCs w:val="24"/>
          <w:highlight w:val="none"/>
          <w:lang w:val="en-US" w:eastAsia="zh-CN"/>
        </w:rPr>
        <w:t xml:space="preserve">实际情况</w:t>
      </w:r>
      <w:r>
        <w:rPr>
          <w:rFonts w:hint="eastAsia" w:ascii="宋体" w:hAnsi="宋体" w:eastAsia="宋体" w:cs="宋体"/>
          <w:color w:val="000000"/>
          <w:sz w:val="24"/>
          <w:szCs w:val="24"/>
          <w:lang w:eastAsia="zh-CN"/>
        </w:rPr>
        <w:t xml:space="preserve">为准）。</w:t>
      </w:r>
      <w:r/>
    </w:p>
    <w:p>
      <w:pPr>
        <w:ind w:left="0" w:right="0" w:firstLine="482"/>
        <w:jc w:val="both"/>
        <w:spacing w:before="0" w:after="0" w:line="360" w:lineRule="auto"/>
        <w:rPr>
          <w:rFonts w:hint="eastAsia" w:ascii="宋体" w:hAnsi="宋体" w:eastAsia="宋体" w:cs="宋体"/>
          <w:color w:val="000000"/>
          <w:sz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bidi="ar-SA"/>
        </w:rPr>
        <w:t xml:space="preserve">2、成交供应商协助采购人针对大型活动、法定节假日、突发事件、恶劣天气等情况，做好应急处置等工作。</w:t>
      </w:r>
      <w:r/>
    </w:p>
    <w:p>
      <w:pPr>
        <w:ind w:left="0" w:right="0" w:firstLine="482"/>
        <w:jc w:val="both"/>
        <w:spacing w:before="0" w:after="0" w:line="360" w:lineRule="auto"/>
        <w:rPr>
          <w:rFonts w:hint="eastAsia" w:ascii="宋体" w:hAnsi="宋体" w:eastAsia="宋体" w:cs="宋体"/>
          <w:color w:val="000000"/>
          <w:sz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bidi="ar-SA"/>
        </w:rPr>
        <w:t xml:space="preserve">3、响应时间要求</w:t>
      </w:r>
      <w:r/>
    </w:p>
    <w:p>
      <w:pPr>
        <w:ind w:left="0" w:right="0" w:firstLine="482"/>
        <w:jc w:val="both"/>
        <w:spacing w:before="0" w:after="0" w:line="36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bidi="ar-SA"/>
        </w:rPr>
        <w:t xml:space="preserve">实行合同期内每日24小时响应制度（含法定节假日），</w:t>
      </w:r>
      <w:r>
        <w:rPr>
          <w:rFonts w:hint="eastAsia" w:ascii="宋体" w:hAnsi="宋体" w:eastAsia="宋体" w:cs="宋体"/>
          <w:color w:val="000000"/>
          <w:sz w:val="24"/>
          <w:lang w:val="en-US" w:eastAsia="zh-CN"/>
        </w:rPr>
        <w:t xml:space="preserve">指定道路损毁的，应在2小时内到达现场根据损毁程度进行应急处置，及时排除安全隐患，协助甲方做好该隐患的应急处置工作。</w:t>
      </w:r>
      <w:r/>
    </w:p>
    <w:p>
      <w:pPr>
        <w:ind w:left="0" w:right="0" w:firstLine="482"/>
        <w:jc w:val="both"/>
        <w:spacing w:before="0" w:after="0" w:line="36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4、安全文明施工要求</w:t>
      </w:r>
      <w:r/>
    </w:p>
    <w:p>
      <w:pPr>
        <w:ind w:left="0" w:right="0" w:firstLine="482"/>
        <w:jc w:val="both"/>
        <w:spacing w:before="0" w:after="0" w:line="439"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（1）作业现场应落实安全文明措施，作业结束后保持现场清爽、干净，不得遗留垃圾、作业工具等物品；现场扬尘防控环保要求必须符合甲方及当地相关部门要求。</w:t>
      </w:r>
      <w:r/>
    </w:p>
    <w:p>
      <w:pPr>
        <w:ind w:left="0" w:right="0" w:firstLine="482"/>
        <w:jc w:val="both"/>
        <w:spacing w:before="0" w:after="0" w:line="439" w:lineRule="atLeast"/>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维修维护作业不得妨碍和阻断交通，尽量避开交通高峰时段，使用噪音较大的维修维护机械应避开居民夜间休息时间；在道路上作业时，应在作业点前合适的距离摆放警示交通标志，高峰时段应安排专人配合交警疏导交通；必要情况下与交警部门沟通，做好交通疏解工作。</w:t>
      </w:r>
      <w:r/>
    </w:p>
    <w:p>
      <w:pPr>
        <w:ind w:left="0" w:right="0" w:firstLine="482"/>
        <w:jc w:val="both"/>
        <w:spacing w:before="0" w:after="0" w:line="439" w:lineRule="atLeast"/>
        <w:rPr>
          <w:rFonts w:hint="eastAsia" w:ascii="Times New Roman" w:hAnsi="Times New Roman" w:eastAsia="仿宋" w:cs="Times New Roman"/>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维修维护人员应严格遵守规程，安全规范作业，落实防护措施，严禁违规、冒险作业。若维修维护过程中发生人身、财产损失等安全事故，由成交供应商人承担一切法律、经济责任，采购人不承担任何责任。</w:t>
      </w:r>
      <w:r/>
    </w:p>
    <w:p>
      <w:pPr>
        <w:ind w:right="0"/>
        <w:jc w:val="both"/>
        <w:spacing w:before="0" w:after="0" w:line="439" w:lineRule="atLeast"/>
        <w:rPr>
          <w:rFonts w:hint="eastAsia" w:ascii="黑体" w:hAnsi="黑体" w:eastAsia="黑体" w:cs="Times New Roman"/>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六、质保要求：</w:t>
      </w:r>
      <w:r/>
    </w:p>
    <w:p>
      <w:pPr>
        <w:ind w:left="0" w:right="0" w:firstLine="482"/>
        <w:jc w:val="both"/>
        <w:spacing w:before="0" w:after="0" w:line="439"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1、正常使用情况下质量保证期为2年，质保期内免费维修；</w:t>
      </w:r>
      <w:r/>
    </w:p>
    <w:p>
      <w:pPr>
        <w:ind w:left="0" w:right="0" w:firstLine="482"/>
        <w:jc w:val="both"/>
        <w:spacing w:before="0" w:after="0" w:line="439"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2、采购人验收时有权对成交供应商施工内容进行质量检测；检测不达标，成交供应商必须在24小时内返工整改；检测费用、返工所需各项费用由成交供应商自行承担；质保期自整改完成之日起重新计算； </w:t>
      </w:r>
      <w:r/>
    </w:p>
    <w:p>
      <w:pPr>
        <w:ind w:left="0" w:right="0" w:firstLine="482"/>
        <w:jc w:val="both"/>
        <w:spacing w:before="0" w:after="0" w:line="439"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3、因维修维护不当及施工质量问题发生人身、财产损失等安全事故，由成交供应商承担一切法律、经济责任；</w:t>
      </w:r>
      <w:r/>
    </w:p>
    <w:p>
      <w:pPr>
        <w:ind w:left="0" w:right="0" w:firstLine="482"/>
        <w:jc w:val="both"/>
        <w:spacing w:before="0" w:after="0" w:line="439"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成交供应商应保证所提供的产品和材料、维修施工内容完全符合相关技术规范规定的质量、规格和性能要求。其产品和材料、维修施工内容在正常使用的条件下，成交供应商应保证在使用寿命期内均具有合格的性能。在合同规定的质量保证期内，成交供应商应对其施工内容、材料或安装缺陷而引发的故障负责，在此期间，成交供应商应免费提供维修。</w:t>
      </w:r>
      <w:bookmarkEnd w:id="2"/>
      <w:r/>
      <w:bookmarkEnd w:id="3"/>
      <w:r/>
      <w:r/>
    </w:p>
    <w:p>
      <w:pPr>
        <w:ind w:right="0"/>
        <w:jc w:val="both"/>
        <w:spacing w:before="0" w:after="0" w:line="4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、其他要求：</w:t>
      </w:r>
      <w:r>
        <w:rPr>
          <w:rFonts w:hint="eastAsia" w:ascii="宋体" w:hAnsi="宋体" w:eastAsia="宋体" w:cs="宋体"/>
          <w:b/>
          <w:color w:val="000000"/>
          <w:sz w:val="24"/>
          <w:szCs w:val="24"/>
          <w:highlight w:val="none"/>
        </w:rPr>
        <w:t xml:space="preserve">见《磋商文件》附件：</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、《合同草案条款》。</w:t>
      </w:r>
      <w:r/>
    </w:p>
    <w:p>
      <w:pPr>
        <w:jc w:val="center"/>
        <w:spacing w:before="240" w:after="240"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br w:type="page" w:clear="all"/>
      </w:r>
      <w:r>
        <w:rPr>
          <w:rFonts w:hint="eastAsia" w:ascii="宋体" w:hAnsi="宋体" w:eastAsia="宋体" w:cs="宋体"/>
          <w:b/>
          <w:color w:val="000000"/>
          <w:sz w:val="24"/>
          <w:szCs w:val="24"/>
          <w:highlight w:val="none"/>
        </w:rPr>
        <w:t xml:space="preserve">3、磋商</w:t>
      </w:r>
      <w:r>
        <w:rPr>
          <w:rFonts w:hint="eastAsia" w:ascii="宋体" w:hAnsi="宋体" w:eastAsia="宋体" w:cs="宋体"/>
          <w:b/>
          <w:bCs/>
          <w:color w:val="000000"/>
          <w:sz w:val="24"/>
          <w:szCs w:val="24"/>
          <w:highlight w:val="none"/>
        </w:rPr>
        <w:t xml:space="preserve">报价表</w:t>
      </w:r>
      <w:r/>
    </w:p>
    <w:p>
      <w:pPr>
        <w:pStyle w:val="1158"/>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JSZC-320312-HZGC-C2026-0008</w:t>
      </w:r>
      <w:r/>
    </w:p>
    <w:p>
      <w:pPr>
        <w:pStyle w:val="1158"/>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本次为首次报价</w:t>
      </w:r>
      <w:r/>
    </w:p>
    <w:p>
      <w:pPr>
        <w:pStyle w:val="11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货币单位：人民币元</w:t>
      </w:r>
      <w:r/>
    </w:p>
    <w:tbl>
      <w:tblPr>
        <w:tblStyle w:val="1078"/>
        <w:tblpPr w:horzAnchor="page" w:tblpX="1067" w:vertAnchor="text" w:tblpY="119" w:leftFromText="180" w:topFromText="0" w:rightFromText="180" w:bottomFromText="0"/>
        <w:tblW w:w="980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4"/>
        <w:gridCol w:w="1569"/>
        <w:gridCol w:w="1601"/>
        <w:gridCol w:w="1972"/>
        <w:gridCol w:w="2067"/>
      </w:tblGrid>
      <w:tr>
        <w:trPr>
          <w:trHeight w:val="1175"/>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项目名称</w:t>
            </w:r>
            <w:r/>
          </w:p>
        </w:tc>
        <w:tc>
          <w:tcPr>
            <w:tcW w:w="1569" w:type="dxa"/>
            <w:vAlign w:val="center"/>
            <w:textDirection w:val="lrTb"/>
            <w:noWrap w:val="false"/>
          </w:tcPr>
          <w:p>
            <w:pPr>
              <w:jc w:val="center"/>
              <w:spacing w:before="200" w:after="20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项目内容</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合同履约期</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rPr>
              <w:t xml:space="preserve">）</w:t>
            </w:r>
            <w:r/>
          </w:p>
        </w:tc>
        <w:tc>
          <w:tcPr>
            <w:tcW w:w="1972" w:type="dxa"/>
            <w:vAlign w:val="center"/>
            <w:textDirection w:val="lrTb"/>
            <w:noWrap w:val="false"/>
          </w:tcPr>
          <w:p>
            <w:pPr>
              <w:jc w:val="center"/>
              <w:spacing w:before="200" w:after="20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总价（小写）</w:t>
            </w:r>
            <w:r/>
          </w:p>
        </w:tc>
        <w:tc>
          <w:tcPr>
            <w:tcW w:w="2067" w:type="dxa"/>
            <w:vAlign w:val="center"/>
            <w:textDirection w:val="lrTb"/>
            <w:noWrap w:val="false"/>
          </w:tcPr>
          <w:p>
            <w:pPr>
              <w:jc w:val="center"/>
              <w:spacing w:before="200" w:after="20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备注</w:t>
            </w:r>
            <w:r/>
          </w:p>
        </w:tc>
      </w:tr>
      <w:tr>
        <w:trPr>
          <w:trHeight w:val="1411"/>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铜山城区道路基础设施维修养护项目</w:t>
            </w:r>
            <w:r>
              <w:rPr>
                <w:rFonts w:hint="eastAsia" w:ascii="宋体" w:hAnsi="宋体" w:eastAsia="宋体" w:cs="宋体"/>
                <w:color w:val="000000"/>
                <w:sz w:val="24"/>
                <w:szCs w:val="24"/>
                <w:highlight w:val="none"/>
                <w:lang w:val="en-US" w:eastAsia="zh-CN"/>
              </w:rPr>
              <w:t xml:space="preserve"> </w:t>
            </w:r>
            <w:r/>
          </w:p>
        </w:tc>
        <w:tc>
          <w:tcPr>
            <w:tcW w:w="1569" w:type="dxa"/>
            <w:vAlign w:val="center"/>
            <w:textDirection w:val="lrTb"/>
            <w:noWrap w:val="false"/>
          </w:tcPr>
          <w:p>
            <w:pPr>
              <w:jc w:val="center"/>
              <w:spacing w:before="200" w:after="20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详见响应文件</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W w:w="1972" w:type="dxa"/>
            <w:vAlign w:val="center"/>
            <w:textDirection w:val="lrTb"/>
            <w:noWrap w:val="false"/>
          </w:tcPr>
          <w:p>
            <w:pPr>
              <w:jc w:val="center"/>
              <w:spacing w:before="200" w:after="20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W w:w="2067" w:type="dxa"/>
            <w:vAlign w:val="center"/>
            <w:vMerge w:val="restart"/>
            <w:textDirection w:val="lrTb"/>
            <w:noWrap w:val="false"/>
          </w:tcPr>
          <w:p>
            <w:pPr>
              <w:jc w:val="center"/>
              <w:spacing w:before="200" w:after="20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报价为《工程量报价清单》的总价</w:t>
            </w:r>
            <w:r/>
          </w:p>
        </w:tc>
      </w:tr>
      <w:tr>
        <w:trPr>
          <w:trHeight w:val="1139"/>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总价（大写）：</w:t>
            </w:r>
            <w:r/>
          </w:p>
        </w:tc>
        <w:tc>
          <w:tcPr>
            <w:gridSpan w:val="3"/>
            <w:tcW w:w="5142" w:type="dxa"/>
            <w:vAlign w:val="center"/>
            <w:textDirection w:val="lrTb"/>
            <w:noWrap w:val="false"/>
          </w:tcPr>
          <w:p>
            <w:pPr>
              <w:jc w:val="center"/>
              <w:spacing w:before="200" w:after="20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W w:w="2067" w:type="dxa"/>
            <w:vAlign w:val="top"/>
            <w:vMerge w:val="continue"/>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1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1158"/>
        <w:ind w:firstLine="480"/>
        <w:jc w:val="left"/>
        <w:spacing w:line="360" w:lineRule="auto"/>
        <w:widowControl w:val="off"/>
        <w:rPr>
          <w:rStyle w:val="1251"/>
          <w:rFonts w:ascii="宋体" w:hAnsi="宋体"/>
          <w:color w:val="000000"/>
          <w:sz w:val="24"/>
          <w:highlight w:val="none"/>
        </w:rPr>
      </w:pPr>
      <w:r>
        <w:rPr>
          <w:rStyle w:val="1251"/>
          <w:rFonts w:ascii="宋体" w:hAnsi="宋体"/>
          <w:color w:val="000000"/>
          <w:sz w:val="24"/>
          <w:highlight w:val="none"/>
        </w:rPr>
        <w:t xml:space="preserve">供应商承诺：  1、本报价（总价）为供应商本企业提供的</w:t>
      </w:r>
      <w:r>
        <w:rPr>
          <w:rStyle w:val="1251"/>
          <w:rFonts w:hint="eastAsia" w:ascii="宋体" w:hAnsi="宋体" w:eastAsia="宋体" w:cs="Times New Roman"/>
          <w:color w:val="000000"/>
          <w:sz w:val="24"/>
          <w:highlight w:val="none"/>
        </w:rPr>
        <w:t xml:space="preserve">施工</w:t>
      </w:r>
      <w:r>
        <w:rPr>
          <w:rStyle w:val="1251"/>
          <w:rFonts w:ascii="宋体" w:hAnsi="宋体" w:eastAsia="宋体" w:cs="Times New Roman"/>
          <w:color w:val="000000"/>
          <w:sz w:val="24"/>
          <w:highlight w:val="none"/>
        </w:rPr>
        <w:t xml:space="preserve">。</w:t>
      </w:r>
      <w:r/>
    </w:p>
    <w:p>
      <w:pPr>
        <w:pStyle w:val="1158"/>
        <w:ind w:firstLine="2160"/>
        <w:jc w:val="left"/>
        <w:spacing w:line="360" w:lineRule="auto"/>
        <w:widowControl w:val="off"/>
        <w:rPr>
          <w:rStyle w:val="1251"/>
          <w:rFonts w:ascii="宋体" w:hAnsi="宋体"/>
          <w:color w:val="000000"/>
          <w:sz w:val="24"/>
          <w:highlight w:val="none"/>
          <w:u w:val="single"/>
        </w:rPr>
      </w:pPr>
      <w:r>
        <w:rPr>
          <w:rStyle w:val="1251"/>
          <w:rFonts w:ascii="宋体" w:hAnsi="宋体"/>
          <w:color w:val="000000"/>
          <w:sz w:val="24"/>
          <w:highlight w:val="none"/>
        </w:rPr>
        <w:t xml:space="preserve">2、质量：</w:t>
      </w:r>
      <w:r>
        <w:rPr>
          <w:rStyle w:val="1251"/>
          <w:rFonts w:hint="eastAsia" w:ascii="宋体" w:hAnsi="宋体"/>
          <w:color w:val="000000"/>
          <w:sz w:val="24"/>
          <w:highlight w:val="none"/>
          <w:u w:val="single"/>
        </w:rPr>
        <w:t xml:space="preserve"> </w:t>
      </w:r>
      <w:r>
        <w:rPr>
          <w:rStyle w:val="1251"/>
          <w:rFonts w:hint="eastAsia" w:ascii="宋体" w:hAnsi="宋体"/>
          <w:color w:val="000000"/>
          <w:sz w:val="24"/>
          <w:highlight w:val="none"/>
          <w:u w:val="single"/>
          <w:lang w:val="en-US"/>
        </w:rPr>
        <w:t xml:space="preserve">合格</w:t>
      </w:r>
      <w:r>
        <w:rPr>
          <w:rStyle w:val="1251"/>
          <w:rFonts w:hint="eastAsia" w:ascii="宋体" w:hAnsi="宋体"/>
          <w:color w:val="000000"/>
          <w:sz w:val="24"/>
          <w:highlight w:val="none"/>
          <w:u w:val="single"/>
        </w:rPr>
        <w:t xml:space="preserve"> </w:t>
      </w:r>
      <w:r>
        <w:rPr>
          <w:rStyle w:val="1251"/>
          <w:rFonts w:hint="eastAsia" w:ascii="宋体" w:hAnsi="宋体"/>
          <w:color w:val="000000"/>
          <w:sz w:val="24"/>
          <w:highlight w:val="none"/>
          <w:u w:val="none"/>
        </w:rPr>
        <w:t xml:space="preserve">。</w:t>
      </w:r>
      <w:r/>
    </w:p>
    <w:p>
      <w:pPr>
        <w:pStyle w:val="1158"/>
        <w:ind w:firstLine="2160"/>
        <w:jc w:val="left"/>
        <w:spacing w:line="360" w:lineRule="auto"/>
        <w:widowControl w:val="off"/>
        <w:rPr>
          <w:rFonts w:ascii="宋体" w:hAnsi="宋体"/>
          <w:color w:val="000000"/>
          <w:sz w:val="24"/>
          <w:highlight w:val="none"/>
        </w:rPr>
      </w:pPr>
      <w:r>
        <w:rPr>
          <w:rStyle w:val="1251"/>
          <w:rFonts w:ascii="宋体" w:hAnsi="宋体"/>
          <w:color w:val="000000"/>
          <w:sz w:val="24"/>
          <w:highlight w:val="none"/>
        </w:rPr>
        <w:t xml:space="preserve">3、</w:t>
      </w:r>
      <w:r>
        <w:rPr>
          <w:rFonts w:hint="eastAsia" w:ascii="宋体" w:hAnsi="宋体" w:eastAsia="宋体" w:cs="宋体"/>
          <w:color w:val="000000"/>
          <w:sz w:val="24"/>
          <w:szCs w:val="24"/>
          <w:lang w:val="en-US" w:eastAsia="zh-CN"/>
        </w:rPr>
        <w:t xml:space="preserve">合同工期</w:t>
      </w:r>
      <w:r>
        <w:rPr>
          <w:rStyle w:val="1251"/>
          <w:rFonts w:ascii="宋体" w:hAnsi="宋体"/>
          <w:color w:val="000000"/>
          <w:sz w:val="24"/>
          <w:highlight w:val="none"/>
        </w:rPr>
        <w:t xml:space="preserve">：</w:t>
      </w:r>
      <w:r>
        <w:rPr>
          <w:rStyle w:val="1251"/>
          <w:rFonts w:hint="eastAsia" w:ascii="宋体" w:hAnsi="宋体"/>
          <w:color w:val="000000"/>
          <w:sz w:val="24"/>
          <w:highlight w:val="none"/>
          <w:u w:val="single"/>
          <w:lang w:val="en-US"/>
        </w:rPr>
        <w:t xml:space="preserve">合同签订之日起至2027年6月30日止</w:t>
      </w:r>
      <w:r>
        <w:rPr>
          <w:rStyle w:val="1251"/>
          <w:rFonts w:hint="eastAsia" w:ascii="宋体" w:hAnsi="宋体"/>
          <w:color w:val="000000"/>
          <w:sz w:val="24"/>
          <w:highlight w:val="none"/>
        </w:rPr>
        <w:t xml:space="preserve">。   </w:t>
      </w:r>
      <w:r/>
    </w:p>
    <w:p>
      <w:pPr>
        <w:pStyle w:val="1158"/>
        <w:jc w:val="left"/>
        <w:spacing w:line="360" w:lineRule="auto"/>
        <w:widowControl w:val="off"/>
        <w:rPr>
          <w:rStyle w:val="1251"/>
          <w:rFonts w:hint="eastAsia" w:ascii="宋体" w:hAnsi="宋体" w:eastAsia="宋体" w:cs="Times New Roman"/>
          <w:color w:val="000000"/>
          <w:sz w:val="24"/>
          <w:szCs w:val="21"/>
          <w:highlight w:val="none"/>
        </w:rPr>
      </w:pPr>
      <w:r>
        <w:rPr>
          <w:rStyle w:val="1251"/>
          <w:rFonts w:hint="eastAsia" w:ascii="宋体" w:hAnsi="宋体"/>
          <w:color w:val="000000"/>
          <w:sz w:val="24"/>
          <w:highlight w:val="none"/>
        </w:rPr>
        <w:t xml:space="preserve">                 </w:t>
      </w:r>
      <w:r>
        <w:rPr>
          <w:rFonts w:hint="eastAsia" w:ascii="宋体" w:hAnsi="宋体" w:cs="宋体"/>
          <w:color w:val="000000"/>
          <w:sz w:val="24"/>
          <w:highlight w:val="none"/>
        </w:rPr>
        <w:t xml:space="preserve"> </w:t>
      </w:r>
      <w:r>
        <w:rPr>
          <w:rStyle w:val="1251"/>
          <w:rFonts w:hint="eastAsia" w:ascii="宋体" w:hAnsi="宋体" w:cs="Times New Roman"/>
          <w:color w:val="000000"/>
          <w:sz w:val="24"/>
          <w:szCs w:val="21"/>
          <w:highlight w:val="none"/>
          <w:lang w:val="en-US"/>
        </w:rPr>
        <w:t xml:space="preserve">4</w:t>
      </w:r>
      <w:r>
        <w:rPr>
          <w:rStyle w:val="1251"/>
          <w:rFonts w:hint="eastAsia" w:ascii="宋体" w:hAnsi="宋体" w:eastAsia="宋体" w:cs="Times New Roman"/>
          <w:color w:val="000000"/>
          <w:sz w:val="24"/>
          <w:szCs w:val="21"/>
          <w:highlight w:val="none"/>
        </w:rPr>
        <w:t xml:space="preserve">、根据相关标准、规范进行试验、检测并承担所有费用。</w:t>
      </w:r>
      <w:r/>
    </w:p>
    <w:p>
      <w:pPr>
        <w:pStyle w:val="11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报价说明：</w:t>
      </w:r>
      <w:r/>
    </w:p>
    <w:p>
      <w:pPr>
        <w:pStyle w:val="115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1、报价应包括磋商文件所确定的招标范围内工程量清单所含的全部内容，以及为完成上述内容所需的全部费用。</w:t>
      </w:r>
      <w:r/>
    </w:p>
    <w:p>
      <w:pPr>
        <w:pStyle w:val="115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2、报价以总价为准，大小写不一致以大写为准；</w:t>
      </w:r>
      <w:r/>
    </w:p>
    <w:p>
      <w:pPr>
        <w:pStyle w:val="115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3、偏离说明：详见《偏离表》；</w:t>
      </w:r>
      <w:r/>
    </w:p>
    <w:p>
      <w:pPr>
        <w:pStyle w:val="115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4、如最后报价未列明单价，则最后所报各项单价计算方法为：（最后报价/最初报价）*各项最初报价的单价。</w:t>
      </w:r>
      <w:r/>
    </w:p>
    <w:p>
      <w:pPr>
        <w:pStyle w:val="1158"/>
        <w:ind w:right="29" w:firstLine="240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供应商（电子签章）：</w:t>
      </w:r>
      <w:r/>
    </w:p>
    <w:p>
      <w:pPr>
        <w:pStyle w:val="1158"/>
        <w:ind w:right="29" w:firstLine="240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8"/>
        <w:ind w:right="29" w:firstLine="2493"/>
        <w:jc w:val="center"/>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年  月  日</w:t>
      </w:r>
      <w:r>
        <w:rPr>
          <w:rFonts w:hint="eastAsia" w:ascii="宋体" w:hAnsi="宋体" w:eastAsia="宋体" w:cs="宋体"/>
          <w:b/>
          <w:bCs/>
          <w:color w:val="000000"/>
          <w:sz w:val="24"/>
          <w:szCs w:val="24"/>
          <w:highlight w:val="none"/>
        </w:rPr>
        <w:br w:type="page" w:clear="all"/>
      </w:r>
      <w:r>
        <w:rPr>
          <w:rFonts w:hint="eastAsia" w:ascii="宋体" w:hAnsi="宋体" w:eastAsia="宋体" w:cs="宋体"/>
          <w:b/>
          <w:color w:val="000000"/>
          <w:sz w:val="24"/>
          <w:szCs w:val="24"/>
          <w:highlight w:val="none"/>
          <w:lang w:val="en-US" w:eastAsia="zh-CN" w:bidi="ar-SA"/>
        </w:rPr>
        <w:t xml:space="preserve">4、分项价格表</w:t>
      </w:r>
      <w:r/>
    </w:p>
    <w:p>
      <w:pPr>
        <w:pStyle w:val="1158"/>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（具有标价的工程量清单与报价表）</w:t>
      </w:r>
      <w:r/>
    </w:p>
    <w:p>
      <w:pPr>
        <w:pStyle w:val="1158"/>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15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本次为首次报价</w:t>
      </w:r>
      <w:r/>
    </w:p>
    <w:p>
      <w:pPr>
        <w:pStyle w:val="1158"/>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JSZC-320312-HZGC-C2026-0008</w:t>
      </w:r>
      <w:r>
        <w:rPr>
          <w:rFonts w:hint="eastAsia" w:ascii="宋体" w:hAnsi="宋体" w:eastAsia="宋体" w:cs="宋体"/>
          <w:sz w:val="24"/>
          <w:szCs w:val="24"/>
          <w:highlight w:val="none"/>
          <w:u w:val="single"/>
        </w:rPr>
        <w:t xml:space="preserve">       </w:t>
      </w:r>
      <w:r/>
    </w:p>
    <w:p>
      <w:pPr>
        <w:pStyle w:val="1158"/>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color w:val="000000"/>
          <w:sz w:val="24"/>
          <w:szCs w:val="24"/>
          <w:highlight w:val="none"/>
          <w:lang w:eastAsia="zh-CN"/>
        </w:rPr>
        <w:t xml:space="preserve">铜山城区道路基础设施维修养护项目</w:t>
      </w:r>
      <w:r>
        <w:rPr>
          <w:rFonts w:hint="eastAsia" w:ascii="宋体" w:hAnsi="宋体" w:eastAsia="宋体" w:cs="宋体"/>
          <w:sz w:val="24"/>
          <w:szCs w:val="24"/>
          <w:highlight w:val="none"/>
          <w:u w:val="single"/>
        </w:rPr>
        <w:t xml:space="preserve">               </w:t>
      </w:r>
      <w:r/>
    </w:p>
    <w:p>
      <w:pPr>
        <w:pStyle w:val="115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58"/>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71"/>
        <w:ind w:left="0"/>
        <w:jc w:val="center"/>
        <w:widowControl w:val="off"/>
        <w:rPr>
          <w:rFonts w:ascii="宋体"/>
          <w:color w:val="000000"/>
          <w:sz w:val="28"/>
          <w:szCs w:val="28"/>
          <w:highlight w:val="none"/>
        </w:rPr>
        <w:outlineLvl w:val="9"/>
      </w:pPr>
      <w:r/>
      <w:bookmarkStart w:id="4" w:name="_Toc3087"/>
      <w:r>
        <w:rPr>
          <w:rFonts w:ascii="宋体"/>
          <w:color w:val="000000"/>
          <w:sz w:val="28"/>
          <w:szCs w:val="28"/>
          <w:highlight w:val="none"/>
        </w:rPr>
        <w:t xml:space="preserve">根据工程量清单进行编制</w:t>
      </w:r>
      <w:bookmarkEnd w:id="4"/>
      <w:r/>
      <w:r/>
    </w:p>
    <w:p>
      <w:pPr>
        <w:pStyle w:val="115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5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5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58"/>
        <w:ind w:right="29"/>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供应商（电子签章）：</w:t>
      </w:r>
      <w:r/>
    </w:p>
    <w:p>
      <w:pPr>
        <w:pStyle w:val="1158"/>
        <w:ind w:right="29"/>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1158"/>
        <w:ind w:right="29"/>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  年  月  日</w:t>
      </w:r>
      <w:r/>
    </w:p>
    <w:p>
      <w:pPr>
        <w:pStyle w:val="1158"/>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15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5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5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5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5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注：1、如果按单价计算的结果与总价不一致，以总价为准。</w:t>
      </w:r>
      <w:r/>
    </w:p>
    <w:p>
      <w:pPr>
        <w:pStyle w:val="11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2、如果不提供详细分项报价将视为没有实质性响应。</w:t>
      </w:r>
      <w:r/>
    </w:p>
    <w:p>
      <w:pPr>
        <w:pStyle w:val="115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3、供应商对以上数据的真实性负责。</w:t>
      </w:r>
      <w:r/>
    </w:p>
    <w:p>
      <w:pPr>
        <w:pStyle w:val="1158"/>
        <w:ind w:firstLine="482"/>
        <w:spacing w:line="360" w:lineRule="auto"/>
        <w:rPr>
          <w:rFonts w:hint="eastAsia" w:ascii="宋体" w:hAnsi="宋体" w:eastAsia="宋体" w:cs="宋体"/>
          <w:b/>
          <w:i/>
          <w:sz w:val="24"/>
          <w:szCs w:val="24"/>
          <w:highlight w:val="none"/>
          <w:u w:val="single"/>
        </w:rPr>
      </w:pPr>
      <w:r>
        <w:rPr>
          <w:rFonts w:hint="eastAsia" w:ascii="宋体" w:hAnsi="宋体" w:eastAsia="宋体" w:cs="宋体"/>
          <w:b/>
          <w:i/>
          <w:sz w:val="24"/>
          <w:szCs w:val="24"/>
          <w:highlight w:val="none"/>
          <w:u w:val="single"/>
        </w:rPr>
      </w:r>
      <w:r/>
    </w:p>
    <w:p>
      <w:pPr>
        <w:pStyle w:val="1158"/>
        <w:ind w:firstLine="482"/>
        <w:spacing w:line="360" w:lineRule="auto"/>
        <w:rPr>
          <w:rFonts w:hint="eastAsia" w:ascii="宋体" w:hAnsi="宋体" w:eastAsia="宋体" w:cs="宋体"/>
          <w:b/>
          <w:i/>
          <w:sz w:val="24"/>
          <w:szCs w:val="24"/>
          <w:highlight w:val="none"/>
          <w:u w:val="single"/>
        </w:rPr>
      </w:pPr>
      <w:r>
        <w:rPr>
          <w:rFonts w:hint="eastAsia" w:ascii="宋体" w:hAnsi="宋体" w:eastAsia="宋体" w:cs="宋体"/>
          <w:b/>
          <w:i/>
          <w:sz w:val="24"/>
          <w:szCs w:val="24"/>
          <w:highlight w:val="none"/>
          <w:u w:val="single"/>
        </w:rPr>
      </w:r>
      <w:r/>
    </w:p>
    <w:p>
      <w:pPr>
        <w:pStyle w:val="1158"/>
        <w:ind w:firstLine="482"/>
        <w:spacing w:line="360" w:lineRule="auto"/>
        <w:rPr>
          <w:rFonts w:hint="eastAsia" w:ascii="宋体" w:hAnsi="宋体" w:eastAsia="宋体" w:cs="宋体"/>
          <w:b/>
          <w:i/>
          <w:sz w:val="24"/>
          <w:szCs w:val="24"/>
          <w:highlight w:val="none"/>
          <w:u w:val="single"/>
        </w:rPr>
      </w:pPr>
      <w:r>
        <w:rPr>
          <w:rFonts w:hint="eastAsia" w:ascii="宋体" w:hAnsi="宋体" w:eastAsia="宋体" w:cs="宋体"/>
          <w:b/>
          <w:i/>
          <w:sz w:val="24"/>
          <w:szCs w:val="24"/>
          <w:highlight w:val="none"/>
          <w:u w:val="single"/>
        </w:rPr>
      </w:r>
      <w:r/>
    </w:p>
    <w:p>
      <w:pPr>
        <w:pStyle w:val="1158"/>
        <w:ind w:firstLine="482"/>
        <w:spacing w:line="360" w:lineRule="auto"/>
        <w:rPr>
          <w:rFonts w:hint="eastAsia" w:ascii="宋体" w:hAnsi="宋体" w:eastAsia="宋体" w:cs="宋体"/>
          <w:b/>
          <w:i/>
          <w:sz w:val="24"/>
          <w:szCs w:val="24"/>
          <w:highlight w:val="none"/>
          <w:u w:val="single"/>
        </w:rPr>
      </w:pPr>
      <w:r>
        <w:rPr>
          <w:rFonts w:hint="eastAsia" w:ascii="宋体" w:hAnsi="宋体" w:eastAsia="宋体" w:cs="宋体"/>
          <w:b/>
          <w:i/>
          <w:sz w:val="24"/>
          <w:szCs w:val="24"/>
          <w:highlight w:val="none"/>
          <w:u w:val="single"/>
        </w:rPr>
      </w:r>
      <w:r/>
    </w:p>
    <w:p>
      <w:pPr>
        <w:pStyle w:val="1158"/>
        <w:ind w:firstLine="482"/>
        <w:spacing w:line="360" w:lineRule="auto"/>
        <w:rPr>
          <w:rFonts w:hint="eastAsia" w:ascii="宋体" w:hAnsi="宋体" w:eastAsia="宋体" w:cs="宋体"/>
          <w:b/>
          <w:i/>
          <w:sz w:val="24"/>
          <w:szCs w:val="24"/>
          <w:highlight w:val="none"/>
          <w:u w:val="single"/>
        </w:rPr>
      </w:pPr>
      <w:r>
        <w:rPr>
          <w:rFonts w:hint="eastAsia" w:ascii="宋体" w:hAnsi="宋体" w:eastAsia="宋体" w:cs="宋体"/>
          <w:b/>
          <w:i/>
          <w:sz w:val="24"/>
          <w:szCs w:val="24"/>
          <w:highlight w:val="none"/>
          <w:u w:val="single"/>
        </w:rPr>
      </w:r>
      <w:r/>
    </w:p>
    <w:p>
      <w:pPr>
        <w:pStyle w:val="1158"/>
        <w:ind w:firstLine="482"/>
        <w:spacing w:line="360" w:lineRule="auto"/>
        <w:rPr>
          <w:rFonts w:hint="eastAsia" w:ascii="宋体" w:hAnsi="宋体" w:eastAsia="宋体" w:cs="宋体"/>
          <w:b/>
          <w:i/>
          <w:sz w:val="24"/>
          <w:szCs w:val="24"/>
          <w:highlight w:val="none"/>
          <w:u w:val="single"/>
        </w:rPr>
      </w:pPr>
      <w:r>
        <w:rPr>
          <w:rFonts w:hint="eastAsia" w:ascii="宋体" w:hAnsi="宋体" w:eastAsia="宋体" w:cs="宋体"/>
          <w:b/>
          <w:i/>
          <w:sz w:val="24"/>
          <w:szCs w:val="24"/>
          <w:highlight w:val="none"/>
          <w:u w:val="single"/>
        </w:rPr>
      </w:r>
      <w:r/>
    </w:p>
    <w:p>
      <w:pPr>
        <w:pStyle w:val="1158"/>
        <w:jc w:val="center"/>
        <w:spacing w:line="360" w:lineRule="auto"/>
        <w:rPr>
          <w:rFonts w:hint="eastAsia" w:ascii="宋体" w:hAnsi="宋体" w:eastAsia="宋体" w:cs="宋体"/>
          <w:b/>
          <w:bCs/>
          <w:color w:val="000000"/>
          <w:sz w:val="24"/>
          <w:szCs w:val="24"/>
          <w:highlight w:val="none"/>
        </w:rPr>
        <w:sectPr>
          <w:footnotePr/>
          <w:endnotePr/>
          <w:type w:val="nextPage"/>
          <w:pgSz w:w="11906" w:h="16838" w:orient="portrait"/>
          <w:pgMar w:top="1134" w:right="1570" w:bottom="1134" w:left="1570" w:header="851" w:footer="992" w:gutter="0"/>
          <w:cols w:num="1" w:sep="0" w:space="1701" w:equalWidth="1"/>
          <w:docGrid w:linePitch="360"/>
          <w:titlePg/>
        </w:sectPr>
      </w:pPr>
      <w:r>
        <w:rPr>
          <w:rFonts w:hint="eastAsia" w:ascii="宋体" w:hAnsi="宋体" w:eastAsia="宋体" w:cs="宋体"/>
          <w:b/>
          <w:i/>
          <w:sz w:val="24"/>
          <w:szCs w:val="24"/>
          <w:highlight w:val="none"/>
          <w:u w:val="single"/>
        </w:rPr>
        <w:t xml:space="preserve">采购人或采购代理机构有权将以上内容进行公示。</w:t>
      </w:r>
      <w:r/>
    </w:p>
    <w:p>
      <w:pPr>
        <w:pStyle w:val="1158"/>
        <w:jc w:val="center"/>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、偏离表</w:t>
      </w:r>
      <w:r/>
    </w:p>
    <w:p>
      <w:pPr>
        <w:ind w:firstLine="240"/>
        <w:jc w:val="left"/>
        <w:spacing w:line="360" w:lineRule="auto"/>
        <w:widowControl w:val="off"/>
        <w:rPr>
          <w:rFonts w:hint="eastAsia" w:ascii="宋体" w:hAnsi="宋体" w:eastAsia="宋体" w:cs="宋体"/>
          <w:sz w:val="24"/>
          <w:szCs w:val="24"/>
          <w:highlight w:val="none"/>
          <w:u w:val="single"/>
          <w:lang w:bidi="ar-SA"/>
        </w:rPr>
      </w:pPr>
      <w:r>
        <w:rPr>
          <w:rFonts w:hint="eastAsia" w:ascii="宋体" w:hAnsi="宋体" w:eastAsia="宋体" w:cs="宋体"/>
          <w:sz w:val="24"/>
          <w:szCs w:val="24"/>
          <w:highlight w:val="none"/>
          <w:lang w:bidi="ar-SA"/>
        </w:rPr>
        <w:t xml:space="preserve">项目编号：</w:t>
      </w:r>
      <w:r>
        <w:rPr>
          <w:rFonts w:hint="eastAsia" w:ascii="宋体" w:hAnsi="宋体" w:eastAsia="宋体" w:cs="宋体"/>
          <w:color w:val="000000"/>
          <w:sz w:val="24"/>
          <w:szCs w:val="24"/>
          <w:highlight w:val="none"/>
          <w:lang w:eastAsia="zh-CN" w:bidi="ar-SA"/>
        </w:rPr>
        <w:t xml:space="preserve">JSZC-320312-HZGC-C2026-0008</w:t>
      </w:r>
      <w:r>
        <w:rPr>
          <w:rFonts w:hint="eastAsia" w:ascii="宋体" w:hAnsi="宋体" w:eastAsia="宋体" w:cs="宋体"/>
          <w:sz w:val="24"/>
          <w:szCs w:val="24"/>
          <w:highlight w:val="none"/>
          <w:u w:val="single"/>
          <w:lang w:bidi="ar-SA"/>
        </w:rPr>
        <w:t xml:space="preserve">       </w:t>
      </w:r>
      <w:r/>
    </w:p>
    <w:p>
      <w:pPr>
        <w:pStyle w:val="1155"/>
        <w:ind w:left="0" w:firstLine="240"/>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bidi="ar-SA"/>
        </w:rPr>
        <w:t xml:space="preserve">项目名称：</w:t>
      </w:r>
      <w:r>
        <w:rPr>
          <w:rFonts w:hint="eastAsia" w:ascii="宋体" w:hAnsi="宋体" w:eastAsia="宋体" w:cs="宋体"/>
          <w:color w:val="000000"/>
          <w:sz w:val="24"/>
          <w:szCs w:val="24"/>
          <w:highlight w:val="none"/>
          <w:lang w:eastAsia="zh-CN" w:bidi="ar-SA"/>
        </w:rPr>
        <w:t xml:space="preserve">铜山城区道路基础设施维修养护项目</w:t>
      </w:r>
      <w:r/>
    </w:p>
    <w:p>
      <w:pPr>
        <w:pStyle w:val="1159"/>
        <w:rPr>
          <w:rFonts w:hint="eastAsia"/>
          <w:lang w:eastAsia="zh-CN"/>
        </w:rPr>
      </w:pPr>
      <w:r>
        <w:rPr>
          <w:rFonts w:hint="eastAsia"/>
          <w:lang w:eastAsia="zh-CN"/>
        </w:rPr>
      </w:r>
      <w:r/>
    </w:p>
    <w:tbl>
      <w:tblPr>
        <w:tblStyle w:val="10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65"/>
        <w:gridCol w:w="2670"/>
        <w:gridCol w:w="1575"/>
        <w:gridCol w:w="1351"/>
        <w:gridCol w:w="2123"/>
      </w:tblGrid>
      <w:tr>
        <w:trPr>
          <w:jc w:val="center"/>
          <w:trHeight w:val="414"/>
        </w:trPr>
        <w:tc>
          <w:tcPr>
            <w:tcW w:w="888" w:type="dxa"/>
            <w:vAlign w:val="center"/>
            <w:textDirection w:val="lrTb"/>
            <w:noWrap w:val="false"/>
          </w:tcPr>
          <w:p>
            <w:pPr>
              <w:pStyle w:val="1158"/>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序号</w:t>
            </w:r>
            <w:r/>
          </w:p>
        </w:tc>
        <w:tc>
          <w:tcPr>
            <w:tcW w:w="965" w:type="dxa"/>
            <w:vAlign w:val="center"/>
            <w:textDirection w:val="lrTb"/>
            <w:noWrap w:val="false"/>
          </w:tcPr>
          <w:p>
            <w:pPr>
              <w:pStyle w:val="1158"/>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偏离内容</w:t>
            </w:r>
            <w:r/>
          </w:p>
        </w:tc>
        <w:tc>
          <w:tcPr>
            <w:tcW w:w="2670" w:type="dxa"/>
            <w:vAlign w:val="center"/>
            <w:textDirection w:val="lrTb"/>
            <w:noWrap w:val="false"/>
          </w:tcPr>
          <w:p>
            <w:pPr>
              <w:pStyle w:val="1158"/>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olor w:val="000000"/>
                <w:sz w:val="24"/>
                <w:szCs w:val="24"/>
                <w:highlight w:val="none"/>
              </w:rPr>
              <w:t xml:space="preserve">竞争性磋商文件（含竞争性磋商文件的澄清或者修改）的要求</w:t>
            </w:r>
            <w:r/>
          </w:p>
        </w:tc>
        <w:tc>
          <w:tcPr>
            <w:tcW w:w="1575" w:type="dxa"/>
            <w:vAlign w:val="center"/>
            <w:textDirection w:val="lrTb"/>
            <w:noWrap w:val="false"/>
          </w:tcPr>
          <w:p>
            <w:pPr>
              <w:pStyle w:val="1158"/>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olor w:val="000000"/>
                <w:sz w:val="24"/>
                <w:szCs w:val="24"/>
                <w:highlight w:val="none"/>
              </w:rPr>
              <w:t xml:space="preserve">首次响应文件中的内容</w:t>
            </w:r>
            <w:r/>
          </w:p>
        </w:tc>
        <w:tc>
          <w:tcPr>
            <w:tcW w:w="1351" w:type="dxa"/>
            <w:vAlign w:val="center"/>
            <w:textDirection w:val="lrTb"/>
            <w:noWrap w:val="false"/>
          </w:tcPr>
          <w:p>
            <w:pPr>
              <w:pStyle w:val="1158"/>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（正/负/无）偏离</w:t>
            </w:r>
            <w:r/>
          </w:p>
        </w:tc>
        <w:tc>
          <w:tcPr>
            <w:tcW w:w="2123" w:type="dxa"/>
            <w:vAlign w:val="center"/>
            <w:textDirection w:val="lrTb"/>
            <w:noWrap w:val="false"/>
          </w:tcPr>
          <w:p>
            <w:pPr>
              <w:pStyle w:val="1158"/>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说明</w:t>
            </w:r>
            <w:r/>
          </w:p>
        </w:tc>
      </w:tr>
      <w:tr>
        <w:trPr>
          <w:jc w:val="center"/>
          <w:trHeight w:val="794"/>
        </w:trPr>
        <w:tc>
          <w:tcPr>
            <w:tcW w:w="888" w:type="dxa"/>
            <w:vAlign w:val="center"/>
            <w:textDirection w:val="lrTb"/>
            <w:noWrap w:val="false"/>
          </w:tcPr>
          <w:p>
            <w:pPr>
              <w:pStyle w:val="1158"/>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965" w:type="dxa"/>
            <w:vAlign w:val="center"/>
            <w:textDirection w:val="lrTb"/>
            <w:noWrap w:val="false"/>
          </w:tcPr>
          <w:p>
            <w:pPr>
              <w:pStyle w:val="1158"/>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2670" w:type="dxa"/>
            <w:vAlign w:val="center"/>
            <w:textDirection w:val="lrTb"/>
            <w:noWrap w:val="false"/>
          </w:tcPr>
          <w:p>
            <w:pPr>
              <w:pStyle w:val="1158"/>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1575" w:type="dxa"/>
            <w:vAlign w:val="center"/>
            <w:textDirection w:val="lrTb"/>
            <w:noWrap w:val="false"/>
          </w:tcPr>
          <w:p>
            <w:pPr>
              <w:pStyle w:val="1158"/>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1351" w:type="dxa"/>
            <w:vAlign w:val="center"/>
            <w:textDirection w:val="lrTb"/>
            <w:noWrap w:val="false"/>
          </w:tcPr>
          <w:p>
            <w:pPr>
              <w:pStyle w:val="1158"/>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2123" w:type="dxa"/>
            <w:vAlign w:val="center"/>
            <w:textDirection w:val="lrTb"/>
            <w:noWrap w:val="false"/>
          </w:tcPr>
          <w:p>
            <w:pPr>
              <w:pStyle w:val="1158"/>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r>
      <w:tr>
        <w:trPr>
          <w:jc w:val="center"/>
          <w:trHeight w:val="794"/>
        </w:trPr>
        <w:tc>
          <w:tcPr>
            <w:tcW w:w="888"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94"/>
        </w:trPr>
        <w:tc>
          <w:tcPr>
            <w:tcW w:w="888"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94"/>
        </w:trPr>
        <w:tc>
          <w:tcPr>
            <w:tcW w:w="888"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94"/>
        </w:trPr>
        <w:tc>
          <w:tcPr>
            <w:tcW w:w="888"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94"/>
        </w:trPr>
        <w:tc>
          <w:tcPr>
            <w:tcW w:w="888"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94"/>
        </w:trPr>
        <w:tc>
          <w:tcPr>
            <w:tcW w:w="888"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94"/>
        </w:trPr>
        <w:tc>
          <w:tcPr>
            <w:tcW w:w="888"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94"/>
        </w:trPr>
        <w:tc>
          <w:tcPr>
            <w:tcW w:w="888"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1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8"/>
        <w:ind w:right="29"/>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供应商（电子签章）：</w:t>
      </w:r>
      <w:r/>
    </w:p>
    <w:p>
      <w:pPr>
        <w:pStyle w:val="1158"/>
        <w:ind w:right="29"/>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1158"/>
        <w:ind w:right="29"/>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pStyle w:val="11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4"/>
        <w:ind w:right="29"/>
        <w:jc w:val="center"/>
        <w:spacing w:line="480" w:lineRule="auto"/>
        <w:rPr>
          <w:rFonts w:hint="eastAsia" w:ascii="宋体" w:hAnsi="宋体" w:eastAsia="宋体" w:cs="宋体"/>
          <w:color w:val="000000"/>
          <w:sz w:val="24"/>
          <w:szCs w:val="24"/>
          <w:highlight w:val="none"/>
        </w:rPr>
      </w:pP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、合同草案条款</w:t>
      </w:r>
      <w:r/>
    </w:p>
    <w:p>
      <w:pPr>
        <w:pStyle w:val="1154"/>
        <w:ind w:firstLine="482"/>
        <w:jc w:val="center"/>
        <w:spacing w:line="48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（以采购人与成交供应商最终签订版本为准）</w:t>
      </w:r>
      <w:r/>
    </w:p>
    <w:p>
      <w:pPr>
        <w:pStyle w:val="1154"/>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铜山城区道路基础设施维修养护项目</w:t>
      </w:r>
      <w:r>
        <w:rPr>
          <w:rFonts w:hint="eastAsia" w:ascii="宋体" w:hAnsi="宋体" w:eastAsia="宋体" w:cs="宋体"/>
          <w:color w:val="000000"/>
          <w:sz w:val="24"/>
          <w:szCs w:val="24"/>
          <w:highlight w:val="none"/>
          <w:lang w:val="en-US" w:eastAsia="zh-CN"/>
        </w:rPr>
        <w:t xml:space="preserve"> </w:t>
      </w:r>
      <w:r/>
    </w:p>
    <w:p>
      <w:pPr>
        <w:pStyle w:val="1158"/>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8"/>
        <w:jc w:val="left"/>
        <w:spacing w:line="240" w:lineRule="auto"/>
        <w:rPr>
          <w:rFonts w:hint="eastAsia"/>
          <w:lang w:val="en-US"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JSZC-320312-HZGC-C2026-0008</w:t>
      </w:r>
      <w:r/>
    </w:p>
    <w:p>
      <w:pPr>
        <w:pStyle w:val="1158"/>
        <w:jc w:val="left"/>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158"/>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170"/>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170"/>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政</w:t>
      </w:r>
      <w:r/>
    </w:p>
    <w:p>
      <w:pPr>
        <w:pStyle w:val="1170"/>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府</w:t>
      </w:r>
      <w:r/>
    </w:p>
    <w:p>
      <w:pPr>
        <w:pStyle w:val="1170"/>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w:t>
      </w:r>
      <w:r/>
    </w:p>
    <w:p>
      <w:pPr>
        <w:pStyle w:val="1170"/>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购</w:t>
      </w:r>
      <w:r/>
    </w:p>
    <w:p>
      <w:pPr>
        <w:pStyle w:val="1170"/>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合</w:t>
      </w:r>
      <w:r/>
    </w:p>
    <w:p>
      <w:pPr>
        <w:pStyle w:val="1170"/>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同</w:t>
      </w:r>
      <w:r/>
    </w:p>
    <w:p>
      <w:pPr>
        <w:pStyle w:val="1170"/>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1171"/>
        <w:rPr>
          <w:rFonts w:hint="eastAsia"/>
        </w:rPr>
      </w:pPr>
      <w:r>
        <w:rPr>
          <w:rFonts w:hint="eastAsia"/>
        </w:rPr>
      </w:r>
      <w:r/>
    </w:p>
    <w:p>
      <w:pPr>
        <w:pStyle w:val="1173"/>
        <w:rPr>
          <w:rFonts w:hint="eastAsia"/>
        </w:rPr>
      </w:pPr>
      <w:r>
        <w:rPr>
          <w:rFonts w:hint="eastAsia"/>
        </w:rPr>
      </w:r>
      <w:r/>
    </w:p>
    <w:p>
      <w:pPr>
        <w:pStyle w:val="1168"/>
        <w:ind w:left="0" w:firstLine="0"/>
        <w:rPr>
          <w:rFonts w:hint="eastAsia"/>
        </w:rPr>
      </w:pPr>
      <w:r>
        <w:rPr>
          <w:rFonts w:hint="eastAsia"/>
        </w:rPr>
      </w:r>
      <w:r/>
    </w:p>
    <w:p>
      <w:pPr>
        <w:pStyle w:val="11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4"/>
        <w:ind w:firstLine="13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  购  人：</w:t>
      </w:r>
      <w:r>
        <w:rPr>
          <w:rFonts w:hint="eastAsia" w:ascii="宋体" w:hAnsi="宋体" w:eastAsia="宋体" w:cs="宋体"/>
          <w:color w:val="000000"/>
          <w:sz w:val="24"/>
          <w:szCs w:val="24"/>
          <w:highlight w:val="none"/>
          <w:lang w:val="en-US" w:eastAsia="zh-CN"/>
        </w:rPr>
        <w:t xml:space="preserve">徐州市铜山区城市管理局</w:t>
      </w:r>
      <w:r>
        <w:rPr>
          <w:rFonts w:hint="eastAsia" w:ascii="宋体" w:hAnsi="宋体" w:eastAsia="宋体" w:cs="宋体"/>
          <w:color w:val="000000"/>
          <w:sz w:val="24"/>
          <w:szCs w:val="24"/>
          <w:highlight w:val="none"/>
        </w:rPr>
        <w:t xml:space="preserve"> </w:t>
      </w:r>
      <w:r/>
    </w:p>
    <w:p>
      <w:pPr>
        <w:pStyle w:val="1154"/>
        <w:ind w:firstLine="13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成交供应商：</w:t>
      </w:r>
      <w:r/>
    </w:p>
    <w:p>
      <w:pPr>
        <w:pStyle w:val="1154"/>
        <w:ind w:firstLine="13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合同签订日期：     年     月     日</w:t>
      </w:r>
      <w:r/>
    </w:p>
    <w:p>
      <w:pPr>
        <w:pStyle w:val="115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友情提醒：采购人与中标、成交供应商应当在中标、成交通知书发出之日起</w:t>
      </w:r>
      <w:r>
        <w:rPr>
          <w:rFonts w:hint="eastAsia" w:ascii="宋体" w:hAnsi="宋体" w:eastAsia="宋体" w:cs="宋体"/>
          <w:b/>
          <w:color w:val="000000"/>
          <w:sz w:val="24"/>
          <w:szCs w:val="24"/>
          <w:highlight w:val="none"/>
        </w:rPr>
        <w:t xml:space="preserve">三</w:t>
      </w:r>
      <w:r>
        <w:rPr>
          <w:rFonts w:hint="eastAsia" w:ascii="宋体" w:hAnsi="宋体" w:eastAsia="宋体" w:cs="宋体"/>
          <w:b w:val="0"/>
          <w:bCs/>
          <w:color w:val="000000"/>
          <w:sz w:val="24"/>
          <w:szCs w:val="24"/>
          <w:highlight w:val="none"/>
        </w:rPr>
        <w:t xml:space="preserve">十</w:t>
      </w:r>
      <w:r>
        <w:rPr>
          <w:rFonts w:hint="eastAsia" w:ascii="宋体" w:hAnsi="宋体" w:eastAsia="宋体" w:cs="宋体"/>
          <w:bCs/>
          <w:color w:val="000000"/>
          <w:sz w:val="24"/>
          <w:szCs w:val="24"/>
          <w:highlight w:val="none"/>
        </w:rPr>
        <w:t xml:space="preserve">日内，按照采购文件确定的事项签订政府采购合同。</w:t>
      </w:r>
      <w:r/>
    </w:p>
    <w:p>
      <w:pPr>
        <w:pStyle w:val="115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采购人应当自政府采购合同签订之日起</w:t>
      </w:r>
      <w:r>
        <w:rPr>
          <w:rFonts w:hint="eastAsia" w:ascii="宋体" w:hAnsi="宋体" w:eastAsia="宋体" w:cs="宋体"/>
          <w:b/>
          <w:color w:val="000000"/>
          <w:sz w:val="24"/>
          <w:szCs w:val="24"/>
          <w:highlight w:val="none"/>
        </w:rPr>
        <w:t xml:space="preserve">2</w:t>
      </w:r>
      <w:r>
        <w:rPr>
          <w:rFonts w:hint="eastAsia" w:ascii="宋体" w:hAnsi="宋体" w:eastAsia="宋体" w:cs="宋体"/>
          <w:bCs/>
          <w:color w:val="000000"/>
          <w:sz w:val="24"/>
          <w:szCs w:val="24"/>
          <w:highlight w:val="none"/>
        </w:rPr>
        <w:t xml:space="preserve">个工作日内，将政府采购合同在省级以上人民政府财政部门指定的媒体上公告，但政府采购合同中涉及国家秘密、商业秘密的内容除外。</w:t>
      </w:r>
      <w:r/>
    </w:p>
    <w:p>
      <w:pPr>
        <w:pStyle w:val="1154"/>
        <w:jc w:val="center"/>
        <w:spacing w:after="200"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r>
      <w:r/>
    </w:p>
    <w:p>
      <w:pPr>
        <w:pStyle w:val="1154"/>
        <w:jc w:val="center"/>
        <w:spacing w:after="200" w:line="360" w:lineRule="auto"/>
        <w:rPr>
          <w:rFonts w:hint="eastAsia" w:ascii="宋体" w:hAnsi="宋体" w:eastAsia="宋体" w:cs="宋体"/>
          <w:b/>
          <w:color w:val="000000"/>
          <w:sz w:val="72"/>
          <w:szCs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szCs w:val="72"/>
          <w:highlight w:val="none"/>
        </w:rPr>
      </w:r>
      <w:r/>
    </w:p>
    <w:p>
      <w:pPr>
        <w:pStyle w:val="1154"/>
        <w:jc w:val="center"/>
        <w:spacing w:after="200" w:line="360" w:lineRule="auto"/>
        <w:rPr>
          <w:rFonts w:hint="eastAsia" w:ascii="宋体" w:hAnsi="宋体" w:eastAsia="宋体" w:cs="宋体"/>
          <w:b/>
          <w:color w:val="000000"/>
          <w:sz w:val="72"/>
          <w:szCs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szCs w:val="72"/>
          <w:highlight w:val="none"/>
        </w:rPr>
        <w:t xml:space="preserve">建设工程施工合同</w:t>
      </w:r>
      <w:r/>
    </w:p>
    <w:p>
      <w:pPr>
        <w:pStyle w:val="1154"/>
        <w:jc w:val="center"/>
        <w:spacing w:after="200" w:line="360" w:lineRule="auto"/>
        <w:rPr>
          <w:rFonts w:hint="eastAsia" w:ascii="宋体" w:hAnsi="宋体" w:eastAsia="宋体" w:cs="宋体"/>
          <w:color w:val="000000"/>
          <w:sz w:val="48"/>
          <w:szCs w:val="4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szCs w:val="48"/>
          <w:highlight w:val="none"/>
        </w:rPr>
        <w:t xml:space="preserve">（示范文本）</w:t>
      </w:r>
      <w:r/>
    </w:p>
    <w:p>
      <w:pPr>
        <w:pStyle w:val="1154"/>
        <w:jc w:val="center"/>
        <w:spacing w:after="200" w:line="360" w:lineRule="auto"/>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t xml:space="preserve">（GF—2017—0201）</w:t>
      </w:r>
      <w:r/>
    </w:p>
    <w:p>
      <w:pPr>
        <w:pStyle w:val="1154"/>
        <w:jc w:val="cente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 </w:t>
      </w:r>
      <w:r/>
    </w:p>
    <w:p>
      <w:pPr>
        <w:pStyle w:val="1154"/>
        <w:jc w:val="cente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 </w:t>
      </w:r>
      <w:r/>
    </w:p>
    <w:p>
      <w:pPr>
        <w:pStyle w:val="1154"/>
        <w:jc w:val="center"/>
        <w:spacing w:before="260" w:after="26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br w:type="page" w:clear="all"/>
      </w:r>
      <w:bookmarkStart w:id="5" w:name="_Toc20757"/>
      <w:r/>
      <w:bookmarkStart w:id="6" w:name="_Toc351203652"/>
      <w:r>
        <w:rPr>
          <w:rFonts w:hint="eastAsia" w:ascii="宋体" w:hAnsi="宋体" w:eastAsia="宋体" w:cs="宋体"/>
          <w:b/>
          <w:bCs/>
          <w:sz w:val="24"/>
          <w:szCs w:val="24"/>
        </w:rPr>
        <w:t xml:space="preserve">第一部分 合同协议书</w:t>
      </w:r>
      <w:bookmarkEnd w:id="5"/>
      <w:r/>
      <w:bookmarkEnd w:id="6"/>
      <w:r/>
      <w:r/>
    </w:p>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发包人（全称）：</w:t>
      </w:r>
      <w:r>
        <w:rPr>
          <w:rFonts w:hint="eastAsia" w:ascii="宋体" w:hAnsi="宋体" w:eastAsia="宋体" w:cs="宋体"/>
          <w:bCs/>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承包人（全称）：</w:t>
      </w:r>
      <w:r>
        <w:rPr>
          <w:rFonts w:hint="eastAsia" w:ascii="宋体" w:hAnsi="宋体" w:eastAsia="宋体" w:cs="宋体"/>
          <w:b/>
          <w:sz w:val="24"/>
          <w:szCs w:val="24"/>
          <w:u w:val="single"/>
        </w:rPr>
        <w:t xml:space="preserve">                            </w:t>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w:t>
      </w:r>
      <w:r>
        <w:rPr>
          <w:rFonts w:hint="eastAsia" w:ascii="宋体" w:hAnsi="宋体" w:eastAsia="宋体" w:cs="宋体"/>
          <w:sz w:val="24"/>
          <w:szCs w:val="24"/>
          <w:lang w:val="en-US" w:eastAsia="zh-CN"/>
        </w:rPr>
        <w:t xml:space="preserve">民法典</w:t>
      </w:r>
      <w:r>
        <w:rPr>
          <w:rFonts w:hint="eastAsia" w:ascii="宋体" w:hAnsi="宋体" w:eastAsia="宋体" w:cs="宋体"/>
          <w:sz w:val="24"/>
          <w:szCs w:val="24"/>
        </w:rPr>
        <w:t xml:space="preserve">》、《中华人民共和国建筑法》及有关法律规定，遵循平等、自愿、公平和诚实信用的原则，双方就</w:t>
      </w:r>
      <w:r>
        <w:rPr>
          <w:rFonts w:hint="eastAsia" w:ascii="宋体" w:hAnsi="宋体" w:eastAsia="宋体" w:cs="宋体"/>
          <w:sz w:val="24"/>
          <w:szCs w:val="24"/>
          <w:u w:val="single"/>
          <w:lang w:val="en-US" w:eastAsia="zh-CN"/>
        </w:rPr>
        <w:t xml:space="preserve">铜山城区道路基础设施维修养护项目</w:t>
      </w:r>
      <w:r>
        <w:rPr>
          <w:rFonts w:hint="eastAsia" w:ascii="宋体" w:hAnsi="宋体" w:eastAsia="宋体" w:cs="宋体"/>
          <w:sz w:val="24"/>
          <w:szCs w:val="24"/>
        </w:rPr>
        <w:t xml:space="preserve">施工及有关事项协商一致，共同达成如下协议：</w:t>
      </w:r>
      <w:r/>
    </w:p>
    <w:p>
      <w:pPr>
        <w:pStyle w:val="1103"/>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一、工程概况</w:t>
      </w:r>
      <w:r/>
    </w:p>
    <w:p>
      <w:pPr>
        <w:ind w:left="0" w:right="0" w:firstLine="411"/>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1.工程名称</w:t>
      </w: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rPr>
        <w:t xml:space="preserve">铜山城区道路基础设施维修养护项目</w:t>
      </w:r>
      <w:r>
        <w:rPr>
          <w:rFonts w:hint="eastAsia" w:ascii="宋体" w:hAnsi="宋体" w:eastAsia="宋体" w:cs="宋体"/>
          <w:sz w:val="24"/>
          <w:szCs w:val="24"/>
        </w:rPr>
        <w:t xml:space="preserve">。</w:t>
      </w:r>
      <w:r/>
    </w:p>
    <w:p>
      <w:pPr>
        <w:ind w:left="0" w:right="0" w:firstLine="411"/>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2.工程地点：</w:t>
      </w:r>
      <w:r>
        <w:rPr>
          <w:rFonts w:hint="eastAsia" w:ascii="宋体" w:hAnsi="宋体" w:eastAsia="宋体" w:cs="宋体"/>
          <w:b w:val="0"/>
          <w:bCs/>
          <w:color w:val="000000"/>
          <w:sz w:val="24"/>
          <w:szCs w:val="24"/>
          <w:highlight w:val="none"/>
          <w:u w:val="single"/>
          <w:lang w:eastAsia="zh-CN"/>
        </w:rPr>
        <w:t xml:space="preserve">徐州市铜山城区</w:t>
      </w:r>
      <w:r>
        <w:rPr>
          <w:rFonts w:hint="eastAsia" w:ascii="宋体" w:hAnsi="宋体" w:eastAsia="宋体" w:cs="宋体"/>
          <w:sz w:val="24"/>
          <w:szCs w:val="24"/>
        </w:rPr>
        <w:t xml:space="preserve">。</w:t>
      </w:r>
      <w:r/>
    </w:p>
    <w:p>
      <w:pPr>
        <w:ind w:left="0" w:right="0" w:firstLine="411"/>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3.工程立项批准文号：</w:t>
      </w:r>
      <w:r>
        <w:rPr>
          <w:rFonts w:hint="eastAsia" w:ascii="宋体" w:hAnsi="宋体" w:eastAsia="宋体" w:cs="宋体"/>
          <w:sz w:val="24"/>
          <w:szCs w:val="24"/>
          <w:u w:val="single"/>
          <w:lang w:val="en-US" w:eastAsia="zh-CN"/>
        </w:rPr>
        <w:t xml:space="preserve">   /  </w:t>
      </w:r>
      <w:r>
        <w:rPr>
          <w:rFonts w:hint="eastAsia" w:ascii="宋体" w:hAnsi="宋体" w:eastAsia="宋体" w:cs="宋体"/>
          <w:bCs/>
          <w:sz w:val="24"/>
          <w:szCs w:val="24"/>
        </w:rPr>
        <w:t xml:space="preserve">。</w:t>
      </w:r>
      <w:r/>
    </w:p>
    <w:p>
      <w:pPr>
        <w:ind w:left="0" w:right="0" w:firstLine="411"/>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4.资金来源：</w:t>
      </w:r>
      <w:r>
        <w:rPr>
          <w:rFonts w:hint="eastAsia" w:ascii="宋体" w:hAnsi="宋体" w:eastAsia="宋体" w:cs="宋体"/>
          <w:color w:val="000000"/>
          <w:sz w:val="24"/>
          <w:szCs w:val="24"/>
          <w:u w:val="single"/>
          <w:lang w:val="en-US" w:eastAsia="zh-CN"/>
        </w:rPr>
        <w:t xml:space="preserve">财政资金</w:t>
      </w:r>
      <w:r>
        <w:rPr>
          <w:rFonts w:hint="eastAsia" w:ascii="宋体" w:hAnsi="宋体" w:eastAsia="宋体" w:cs="宋体"/>
          <w:bCs/>
          <w:color w:val="000000"/>
          <w:sz w:val="24"/>
          <w:szCs w:val="24"/>
        </w:rPr>
        <w:t xml:space="preserve">。</w:t>
      </w:r>
      <w:r/>
    </w:p>
    <w:p>
      <w:pPr>
        <w:ind w:left="0" w:right="0" w:firstLine="411"/>
        <w:spacing w:line="360" w:lineRule="auto"/>
        <w:rPr>
          <w:rFonts w:hint="eastAsia" w:ascii="宋体" w:hAnsi="宋体" w:eastAsia="宋体" w:cs="宋体"/>
          <w:color w:val="000000"/>
          <w:sz w:val="24"/>
          <w:szCs w:val="24"/>
          <w:u w:val="single"/>
          <w:lang w:val="en-US" w:eastAsia="zh-CN"/>
        </w:rPr>
      </w:pPr>
      <w:r>
        <w:rPr>
          <w:rFonts w:hint="eastAsia" w:ascii="宋体" w:hAnsi="宋体" w:eastAsia="宋体" w:cs="宋体"/>
          <w:bCs/>
          <w:color w:val="000000"/>
          <w:sz w:val="24"/>
          <w:szCs w:val="24"/>
        </w:rPr>
        <w:t xml:space="preserve">5.工程内容：</w:t>
      </w:r>
      <w:r>
        <w:rPr>
          <w:rFonts w:hint="eastAsia" w:ascii="宋体" w:hAnsi="宋体" w:eastAsia="宋体" w:cs="宋体"/>
          <w:color w:val="000000"/>
          <w:sz w:val="24"/>
          <w:szCs w:val="24"/>
          <w:u w:val="single"/>
          <w:lang w:val="en-US" w:eastAsia="zh-CN"/>
        </w:rPr>
        <w:t xml:space="preserve">主要包含学苑路至军用铁路道路维修养护、军用铁路以南道路维修养护，</w:t>
      </w:r>
      <w:r>
        <w:rPr>
          <w:rFonts w:hint="eastAsia" w:ascii="宋体" w:hAnsi="宋体" w:eastAsia="宋体" w:cs="宋体"/>
          <w:color w:val="000000"/>
          <w:sz w:val="24"/>
          <w:szCs w:val="24"/>
          <w:u w:val="single"/>
          <w:lang w:val="en-US" w:eastAsia="zh-CN"/>
        </w:rPr>
        <w:t xml:space="preserve">详见工程量清单。</w:t>
      </w:r>
      <w:r>
        <w:rPr>
          <w:rFonts w:ascii="SimSun" w:hAnsi="SimSun" w:eastAsia="SimSun" w:cs="SimSun"/>
          <w:color w:val="000000"/>
          <w:sz w:val="24"/>
          <w:highlight w:val="white"/>
          <w:u w:val="single"/>
        </w:rPr>
      </w:r>
      <w:r/>
    </w:p>
    <w:p>
      <w:pPr>
        <w:ind w:left="0" w:right="0" w:firstLine="411"/>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6.工程承包范围：</w:t>
      </w:r>
      <w:r>
        <w:rPr>
          <w:rFonts w:hint="eastAsia" w:ascii="宋体" w:hAnsi="宋体" w:eastAsia="宋体" w:cs="宋体"/>
          <w:color w:val="000000"/>
          <w:sz w:val="24"/>
          <w:szCs w:val="24"/>
          <w:u w:val="single"/>
          <w:lang w:val="en-US" w:eastAsia="zh-CN"/>
        </w:rPr>
        <w:t xml:space="preserve">主要包含学苑路至军用铁路道路维修养护、军用铁路以南道路维修养护，详见工程量清单。</w:t>
      </w:r>
      <w:r>
        <w:rPr>
          <w:rFonts w:ascii="SimSun" w:hAnsi="SimSun" w:eastAsia="SimSun" w:cs="SimSun"/>
          <w:color w:val="000000"/>
          <w:sz w:val="24"/>
          <w:highlight w:val="white"/>
          <w:u w:val="single"/>
        </w:rPr>
        <w:t xml:space="preserve">具</w:t>
      </w:r>
      <w:r>
        <w:rPr>
          <w:rFonts w:ascii="SimSun" w:hAnsi="SimSun" w:eastAsia="SimSun" w:cs="SimSun"/>
          <w:color w:val="000000"/>
          <w:sz w:val="24"/>
          <w:highlight w:val="white"/>
          <w:u w:val="single"/>
        </w:rPr>
        <w:t xml:space="preserve">体实施范围包括采购人派遣工单、社情民意、交警部门来函及各类反馈工单</w:t>
      </w:r>
      <w:r>
        <w:rPr>
          <w:rFonts w:hint="eastAsia" w:ascii="宋体" w:hAnsi="宋体" w:eastAsia="宋体" w:cs="宋体"/>
          <w:color w:val="000000"/>
          <w:sz w:val="24"/>
          <w:szCs w:val="24"/>
          <w:u w:val="single"/>
          <w:lang w:val="en-US" w:eastAsia="zh-CN"/>
        </w:rPr>
        <w:t xml:space="preserve">等涉及到铜山城区范围内的道路基础设施维修养护等内容，具体内容详见工程量清单及相关工单所含全部内容。工程量按实结算（维修内容以实际情况为准）。</w:t>
      </w:r>
      <w:r/>
    </w:p>
    <w:p>
      <w:pPr>
        <w:pStyle w:val="1103"/>
        <w:spacing w:before="120" w:after="120" w:line="360" w:lineRule="auto"/>
        <w:rPr>
          <w:rFonts w:hint="eastAsia" w:ascii="宋体" w:hAnsi="宋体" w:eastAsia="宋体" w:cs="宋体"/>
          <w:color w:val="000000"/>
          <w:sz w:val="24"/>
          <w:szCs w:val="24"/>
        </w:rPr>
      </w:pPr>
      <w:r>
        <w:rPr>
          <w:rFonts w:hint="eastAsia" w:ascii="宋体" w:hAnsi="宋体" w:eastAsia="宋体" w:cs="宋体"/>
          <w:b w:val="0"/>
          <w:color w:val="000000"/>
          <w:sz w:val="24"/>
          <w:szCs w:val="24"/>
        </w:rPr>
        <w:t xml:space="preserve">二、合同工期</w:t>
      </w:r>
      <w:r/>
    </w:p>
    <w:p>
      <w:pPr>
        <w:ind w:left="0" w:right="0" w:firstLine="45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计划开工日期：   年    月   日。</w:t>
      </w:r>
      <w:r/>
    </w:p>
    <w:p>
      <w:pPr>
        <w:ind w:left="0" w:right="0" w:firstLine="45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计划竣工日期：   年    月   日。</w:t>
      </w:r>
      <w:r/>
    </w:p>
    <w:p>
      <w:pPr>
        <w:ind w:left="0" w:right="0" w:firstLine="45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合同工期：</w:t>
      </w:r>
      <w:r>
        <w:rPr>
          <w:rStyle w:val="1251"/>
          <w:rFonts w:hint="eastAsia" w:ascii="宋体" w:hAnsi="宋体"/>
          <w:color w:val="000000"/>
          <w:sz w:val="24"/>
          <w:highlight w:val="none"/>
          <w:u w:val="single"/>
          <w:lang w:val="en-US"/>
        </w:rPr>
        <w:t xml:space="preserve">合同签订之日起至2027年6月30日止</w:t>
      </w:r>
      <w:r>
        <w:rPr>
          <w:rFonts w:hint="eastAsia" w:ascii="宋体" w:hAnsi="宋体" w:eastAsia="宋体" w:cs="宋体"/>
          <w:b w:val="0"/>
          <w:bCs w:val="0"/>
          <w:color w:val="000000"/>
          <w:sz w:val="24"/>
          <w:szCs w:val="24"/>
        </w:rPr>
        <w:t xml:space="preserve">。</w:t>
      </w:r>
      <w:r>
        <w:rPr>
          <w:rFonts w:hint="eastAsia" w:ascii="宋体" w:hAnsi="宋体" w:eastAsia="宋体" w:cs="宋体"/>
          <w:color w:val="000000"/>
          <w:sz w:val="24"/>
          <w:szCs w:val="24"/>
        </w:rPr>
        <w:t xml:space="preserve">工期总日历天数与根据前述计划开竣工日期计算的工期天数不一致的，以工期总日历天数为准。</w:t>
      </w:r>
      <w:r/>
    </w:p>
    <w:p>
      <w:pPr>
        <w:pStyle w:val="1103"/>
        <w:spacing w:before="120" w:after="120" w:line="360" w:lineRule="auto"/>
        <w:rPr>
          <w:rFonts w:hint="eastAsia" w:ascii="宋体" w:hAnsi="宋体" w:eastAsia="宋体" w:cs="宋体"/>
          <w:color w:val="000000"/>
          <w:sz w:val="24"/>
          <w:szCs w:val="24"/>
        </w:rPr>
      </w:pPr>
      <w:r>
        <w:rPr>
          <w:rFonts w:hint="eastAsia" w:ascii="宋体" w:hAnsi="宋体" w:eastAsia="宋体" w:cs="宋体"/>
          <w:b w:val="0"/>
          <w:color w:val="000000"/>
          <w:sz w:val="24"/>
          <w:szCs w:val="24"/>
        </w:rPr>
        <w:t xml:space="preserve">三、质量标准</w:t>
      </w:r>
      <w:r/>
    </w:p>
    <w:p>
      <w:pPr>
        <w:ind w:left="0" w:right="0" w:firstLine="459"/>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工程质量符合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合格 </w:t>
      </w:r>
      <w:r>
        <w:rPr>
          <w:rFonts w:hint="eastAsia" w:ascii="宋体" w:hAnsi="宋体" w:eastAsia="宋体" w:cs="宋体"/>
          <w:sz w:val="24"/>
          <w:szCs w:val="24"/>
        </w:rPr>
        <w:t xml:space="preserve">标准。</w:t>
      </w:r>
      <w:r/>
    </w:p>
    <w:p>
      <w:pPr>
        <w:pStyle w:val="1103"/>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四、签约合同价与合同价格形式</w:t>
      </w:r>
      <w:r>
        <w:rPr>
          <w:rFonts w:hint="eastAsia" w:ascii="宋体" w:hAnsi="宋体" w:eastAsia="宋体" w:cs="宋体"/>
          <w:b w:val="0"/>
          <w:sz w:val="24"/>
          <w:szCs w:val="24"/>
        </w:rPr>
        <w:tab/>
      </w:r>
      <w:r/>
    </w:p>
    <w:p>
      <w:p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1.签约合同价为：</w:t>
      </w:r>
      <w:r/>
    </w:p>
    <w:p>
      <w:pPr>
        <w:ind w:left="0" w:right="0" w:firstLine="525"/>
        <w:spacing w:line="360" w:lineRule="auto"/>
        <w:rPr>
          <w:rFonts w:hint="eastAsia" w:ascii="宋体" w:hAnsi="宋体" w:eastAsia="宋体" w:cs="宋体"/>
          <w:sz w:val="21"/>
          <w:szCs w:val="21"/>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其中：</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（1）安全文明施工费：</w:t>
      </w:r>
      <w:r/>
    </w:p>
    <w:p>
      <w:pPr>
        <w:ind w:left="0" w:right="0" w:firstLine="945"/>
        <w:spacing w:line="360" w:lineRule="auto"/>
        <w:rPr>
          <w:rFonts w:hint="eastAsia" w:ascii="宋体" w:hAnsi="宋体" w:eastAsia="宋体" w:cs="宋体"/>
          <w:sz w:val="21"/>
          <w:szCs w:val="21"/>
        </w:rPr>
      </w:pPr>
      <w:r>
        <w:rPr>
          <w:rFonts w:hint="eastAsia" w:ascii="宋体" w:hAnsi="宋体" w:eastAsia="宋体" w:cs="宋体"/>
          <w:sz w:val="21"/>
          <w:szCs w:val="21"/>
        </w:rPr>
        <w:t xml:space="preserve">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（2）材料和工程设备暂估价金额：</w:t>
      </w:r>
      <w:r/>
    </w:p>
    <w:p>
      <w:pPr>
        <w:ind w:left="0" w:right="0" w:firstLine="945"/>
        <w:spacing w:line="360" w:lineRule="auto"/>
        <w:rPr>
          <w:rFonts w:hint="eastAsia" w:ascii="宋体" w:hAnsi="宋体" w:eastAsia="宋体" w:cs="宋体"/>
          <w:sz w:val="21"/>
          <w:szCs w:val="21"/>
        </w:rPr>
      </w:pPr>
      <w:r>
        <w:rPr>
          <w:rFonts w:hint="eastAsia" w:ascii="宋体" w:hAnsi="宋体" w:eastAsia="宋体" w:cs="宋体"/>
          <w:sz w:val="21"/>
          <w:szCs w:val="21"/>
        </w:rPr>
        <w:t xml:space="preserve">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（3）专业工程暂估价金额：</w:t>
      </w:r>
      <w:r/>
    </w:p>
    <w:p>
      <w:pPr>
        <w:ind w:left="0" w:right="0" w:firstLine="945"/>
        <w:spacing w:line="360" w:lineRule="auto"/>
        <w:rPr>
          <w:rFonts w:hint="eastAsia" w:ascii="宋体" w:hAnsi="宋体" w:eastAsia="宋体" w:cs="宋体"/>
          <w:sz w:val="21"/>
          <w:szCs w:val="21"/>
        </w:rPr>
      </w:pPr>
      <w:r>
        <w:rPr>
          <w:rFonts w:hint="eastAsia" w:ascii="宋体" w:hAnsi="宋体" w:eastAsia="宋体" w:cs="宋体"/>
          <w:sz w:val="21"/>
          <w:szCs w:val="21"/>
        </w:rPr>
        <w:t xml:space="preserve">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（4）暂列金额：</w:t>
      </w:r>
      <w:r/>
    </w:p>
    <w:p>
      <w:pPr>
        <w:ind w:left="0" w:right="0" w:firstLine="945"/>
        <w:spacing w:line="360" w:lineRule="auto"/>
        <w:rPr>
          <w:rFonts w:hint="eastAsia" w:ascii="宋体" w:hAnsi="宋体" w:eastAsia="宋体" w:cs="宋体"/>
          <w:sz w:val="21"/>
          <w:szCs w:val="21"/>
        </w:rPr>
      </w:pPr>
      <w:r>
        <w:rPr>
          <w:rFonts w:hint="eastAsia" w:ascii="宋体" w:hAnsi="宋体" w:eastAsia="宋体" w:cs="宋体"/>
          <w:sz w:val="21"/>
          <w:szCs w:val="21"/>
        </w:rPr>
        <w:t xml:space="preserve">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p>
    <w:p>
      <w:pPr>
        <w:numPr>
          <w:ilvl w:val="0"/>
          <w:numId w:val="6"/>
        </w:numPr>
        <w:ind w:left="0" w:right="0"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合同价格形式：</w:t>
      </w:r>
      <w:r>
        <w:rPr>
          <w:rFonts w:hint="eastAsia" w:ascii="宋体" w:hAnsi="宋体" w:eastAsia="宋体" w:cs="宋体"/>
          <w:color w:val="000000"/>
          <w:sz w:val="21"/>
          <w:szCs w:val="21"/>
          <w:u w:val="single"/>
        </w:rPr>
        <w:t xml:space="preserve">固定单价合同</w:t>
      </w:r>
      <w:r>
        <w:rPr>
          <w:rFonts w:hint="eastAsia" w:ascii="宋体" w:hAnsi="宋体" w:eastAsia="宋体" w:cs="宋体"/>
          <w:color w:val="000000"/>
          <w:sz w:val="21"/>
          <w:szCs w:val="21"/>
        </w:rPr>
        <w:t xml:space="preserve">。</w:t>
      </w:r>
      <w:r/>
    </w:p>
    <w:p>
      <w:pPr>
        <w:pStyle w:val="1103"/>
        <w:spacing w:before="120" w:after="120" w:line="360" w:lineRule="auto"/>
        <w:rPr>
          <w:rFonts w:hint="eastAsia" w:ascii="宋体" w:hAnsi="宋体" w:eastAsia="宋体" w:cs="宋体"/>
          <w:sz w:val="21"/>
          <w:szCs w:val="21"/>
        </w:rPr>
      </w:pPr>
      <w:r>
        <w:rPr>
          <w:rFonts w:hint="eastAsia" w:ascii="宋体" w:hAnsi="宋体" w:eastAsia="宋体" w:cs="宋体"/>
          <w:b w:val="0"/>
          <w:sz w:val="21"/>
          <w:szCs w:val="21"/>
        </w:rPr>
        <w:t xml:space="preserve">五、项目经理</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承包人项目经理：</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pStyle w:val="1103"/>
        <w:spacing w:before="120" w:after="120" w:line="360" w:lineRule="auto"/>
        <w:rPr>
          <w:rFonts w:hint="eastAsia" w:ascii="宋体" w:hAnsi="宋体" w:eastAsia="宋体" w:cs="宋体"/>
          <w:sz w:val="21"/>
          <w:szCs w:val="21"/>
        </w:rPr>
      </w:pPr>
      <w:r>
        <w:rPr>
          <w:rFonts w:hint="eastAsia" w:ascii="宋体" w:hAnsi="宋体" w:eastAsia="宋体" w:cs="宋体"/>
          <w:b w:val="0"/>
          <w:sz w:val="21"/>
          <w:szCs w:val="21"/>
        </w:rPr>
        <w:t xml:space="preserve">六、合同文件构成</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本协议书与下列文件一起构成合同文件：</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成交通知书</w:t>
      </w:r>
      <w:r>
        <w:rPr>
          <w:rFonts w:hint="eastAsia" w:ascii="宋体" w:hAnsi="宋体" w:eastAsia="宋体" w:cs="宋体"/>
          <w:sz w:val="21"/>
          <w:szCs w:val="21"/>
        </w:rPr>
        <w:t xml:space="preserve">（如果有）；</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（2）投标函及其附录（如果有）；</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（3）专用合同条款及其附件；</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（4）通用合同条款；</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（5）技术标准和要求；</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（6）图纸；</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（7）已标价工程量清单或预算书；</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（8）其他合同文件。</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在合同订立及履行过程中形成的与合同有关的文件均构成合同文件组成部分。</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否则不具有法律效力</w:t>
      </w:r>
      <w:r>
        <w:rPr>
          <w:rFonts w:hint="eastAsia" w:ascii="宋体" w:hAnsi="宋体" w:eastAsia="宋体" w:cs="宋体"/>
          <w:sz w:val="21"/>
          <w:szCs w:val="21"/>
        </w:rPr>
        <w:t xml:space="preserve">。</w:t>
      </w:r>
      <w:r/>
    </w:p>
    <w:p>
      <w:pPr>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sz w:val="21"/>
          <w:szCs w:val="21"/>
        </w:rPr>
        <w:t xml:space="preserve">七</w:t>
      </w:r>
      <w:r>
        <w:rPr>
          <w:rFonts w:hint="eastAsia" w:ascii="宋体" w:hAnsi="宋体" w:eastAsia="宋体" w:cs="宋体"/>
          <w:b w:val="0"/>
          <w:color w:val="000000"/>
          <w:sz w:val="21"/>
          <w:szCs w:val="21"/>
        </w:rPr>
        <w:t xml:space="preserve">、</w:t>
      </w:r>
      <w:r>
        <w:rPr>
          <w:rFonts w:hint="eastAsia" w:ascii="宋体" w:hAnsi="宋体" w:eastAsia="宋体" w:cs="宋体"/>
          <w:b w:val="0"/>
          <w:bCs w:val="0"/>
          <w:color w:val="000000"/>
          <w:sz w:val="21"/>
          <w:szCs w:val="21"/>
          <w:highlight w:val="none"/>
          <w:lang w:val="en-US" w:eastAsia="zh-CN"/>
        </w:rPr>
        <w:t xml:space="preserve">承诺</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1.发包人承诺按照法律规定履行项目审批手续、筹集工程建设资金并按照合同约定的期限和方式支付合同价款。</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3.发包人和承包人通过招投标形式签订合同的，双方理解并承诺不再就同一工程另行签订与合同实质性内容相背离的协议。</w:t>
      </w:r>
      <w:r/>
    </w:p>
    <w:p>
      <w:pPr>
        <w:pStyle w:val="1103"/>
        <w:spacing w:before="120" w:after="120" w:line="360" w:lineRule="auto"/>
        <w:rPr>
          <w:rFonts w:hint="eastAsia" w:ascii="宋体" w:hAnsi="宋体" w:eastAsia="宋体" w:cs="宋体"/>
          <w:sz w:val="21"/>
          <w:szCs w:val="21"/>
        </w:rPr>
      </w:pPr>
      <w:r>
        <w:rPr>
          <w:rFonts w:hint="eastAsia" w:ascii="宋体" w:hAnsi="宋体" w:eastAsia="宋体" w:cs="宋体"/>
          <w:b w:val="0"/>
          <w:sz w:val="21"/>
          <w:szCs w:val="21"/>
          <w:lang w:val="en-US" w:eastAsia="zh-CN"/>
        </w:rPr>
        <w:t xml:space="preserve">八</w:t>
      </w:r>
      <w:r>
        <w:rPr>
          <w:rFonts w:hint="eastAsia" w:ascii="宋体" w:hAnsi="宋体" w:eastAsia="宋体" w:cs="宋体"/>
          <w:b w:val="0"/>
          <w:sz w:val="21"/>
          <w:szCs w:val="21"/>
        </w:rPr>
        <w:t xml:space="preserve">、词语含义</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本协议书中词语含义与第二部分通用合同条款中赋予的含义相同。</w:t>
      </w:r>
      <w:r/>
    </w:p>
    <w:p>
      <w:pPr>
        <w:pStyle w:val="1103"/>
        <w:spacing w:before="120" w:after="120" w:line="360" w:lineRule="auto"/>
        <w:rPr>
          <w:rFonts w:hint="eastAsia" w:ascii="宋体" w:hAnsi="宋体" w:eastAsia="宋体" w:cs="宋体"/>
          <w:sz w:val="21"/>
          <w:szCs w:val="21"/>
        </w:rPr>
      </w:pPr>
      <w:r>
        <w:rPr>
          <w:rFonts w:hint="eastAsia" w:ascii="宋体" w:hAnsi="宋体" w:eastAsia="宋体" w:cs="宋体"/>
          <w:b w:val="0"/>
          <w:sz w:val="21"/>
          <w:szCs w:val="21"/>
          <w:lang w:val="en-US" w:eastAsia="zh-CN"/>
        </w:rPr>
        <w:t xml:space="preserve">九</w:t>
      </w:r>
      <w:r>
        <w:rPr>
          <w:rFonts w:hint="eastAsia" w:ascii="宋体" w:hAnsi="宋体" w:eastAsia="宋体" w:cs="宋体"/>
          <w:b w:val="0"/>
          <w:sz w:val="21"/>
          <w:szCs w:val="21"/>
        </w:rPr>
        <w:t xml:space="preserve">、签订时间</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本合同于</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日签订。</w:t>
      </w:r>
      <w:r/>
    </w:p>
    <w:p>
      <w:pPr>
        <w:pStyle w:val="1103"/>
        <w:spacing w:before="120" w:after="120" w:line="360" w:lineRule="auto"/>
        <w:rPr>
          <w:rFonts w:hint="eastAsia" w:ascii="宋体" w:hAnsi="宋体" w:eastAsia="宋体" w:cs="宋体"/>
          <w:sz w:val="21"/>
          <w:szCs w:val="21"/>
        </w:rPr>
      </w:pPr>
      <w:r>
        <w:rPr>
          <w:rFonts w:hint="eastAsia" w:ascii="宋体" w:hAnsi="宋体" w:eastAsia="宋体" w:cs="宋体"/>
          <w:b w:val="0"/>
          <w:sz w:val="21"/>
          <w:szCs w:val="21"/>
        </w:rPr>
        <w:t xml:space="preserve">十、签订地点</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本合同在</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签订。</w:t>
      </w:r>
      <w:r/>
    </w:p>
    <w:p>
      <w:pPr>
        <w:pStyle w:val="1103"/>
        <w:spacing w:before="120" w:after="120" w:line="360" w:lineRule="auto"/>
        <w:rPr>
          <w:rFonts w:hint="eastAsia" w:ascii="宋体" w:hAnsi="宋体" w:eastAsia="宋体" w:cs="宋体"/>
          <w:sz w:val="21"/>
          <w:szCs w:val="21"/>
        </w:rPr>
      </w:pPr>
      <w:r>
        <w:rPr>
          <w:rFonts w:hint="eastAsia" w:ascii="宋体" w:hAnsi="宋体" w:eastAsia="宋体" w:cs="宋体"/>
          <w:b w:val="0"/>
          <w:sz w:val="21"/>
          <w:szCs w:val="21"/>
        </w:rPr>
        <w:t xml:space="preserve">十</w:t>
      </w:r>
      <w:r>
        <w:rPr>
          <w:rFonts w:hint="eastAsia" w:ascii="宋体" w:hAnsi="宋体" w:eastAsia="宋体" w:cs="宋体"/>
          <w:b w:val="0"/>
          <w:sz w:val="21"/>
          <w:szCs w:val="21"/>
          <w:lang w:val="en-US" w:eastAsia="zh-CN"/>
        </w:rPr>
        <w:t xml:space="preserve">一</w:t>
      </w:r>
      <w:r>
        <w:rPr>
          <w:rFonts w:hint="eastAsia" w:ascii="宋体" w:hAnsi="宋体" w:eastAsia="宋体" w:cs="宋体"/>
          <w:b w:val="0"/>
          <w:sz w:val="21"/>
          <w:szCs w:val="21"/>
        </w:rPr>
        <w:t xml:space="preserve">、补充协议</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合同未尽事宜，合同当事人另行签订补充协议，补充协议是合同的组成部分。</w:t>
      </w:r>
      <w:r/>
    </w:p>
    <w:p>
      <w:pPr>
        <w:pStyle w:val="1103"/>
        <w:spacing w:before="120" w:after="120" w:line="360" w:lineRule="auto"/>
        <w:rPr>
          <w:rFonts w:hint="eastAsia" w:ascii="宋体" w:hAnsi="宋体" w:eastAsia="宋体" w:cs="宋体"/>
          <w:sz w:val="21"/>
          <w:szCs w:val="21"/>
        </w:rPr>
      </w:pPr>
      <w:r>
        <w:rPr>
          <w:rFonts w:hint="eastAsia" w:ascii="宋体" w:hAnsi="宋体" w:eastAsia="宋体" w:cs="宋体"/>
          <w:b w:val="0"/>
          <w:sz w:val="21"/>
          <w:szCs w:val="21"/>
        </w:rPr>
        <w:t xml:space="preserve">十</w:t>
      </w:r>
      <w:r>
        <w:rPr>
          <w:rFonts w:hint="eastAsia" w:ascii="宋体" w:hAnsi="宋体" w:eastAsia="宋体" w:cs="宋体"/>
          <w:b w:val="0"/>
          <w:sz w:val="21"/>
          <w:szCs w:val="21"/>
          <w:lang w:val="en-US" w:eastAsia="zh-CN"/>
        </w:rPr>
        <w:t xml:space="preserve">二</w:t>
      </w:r>
      <w:r>
        <w:rPr>
          <w:rFonts w:hint="eastAsia" w:ascii="宋体" w:hAnsi="宋体" w:eastAsia="宋体" w:cs="宋体"/>
          <w:b w:val="0"/>
          <w:sz w:val="21"/>
          <w:szCs w:val="21"/>
        </w:rPr>
        <w:t xml:space="preserve">、合同生效</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本合同自</w:t>
      </w:r>
      <w:r>
        <w:rPr>
          <w:rFonts w:hint="eastAsia" w:ascii="宋体" w:hAnsi="宋体" w:eastAsia="宋体" w:cs="宋体"/>
          <w:bCs/>
          <w:sz w:val="21"/>
          <w:szCs w:val="21"/>
          <w:u w:val="single"/>
        </w:rPr>
        <w:t xml:space="preserve">   双方签字盖章   </w:t>
      </w:r>
      <w:r>
        <w:rPr>
          <w:rFonts w:hint="eastAsia" w:ascii="宋体" w:hAnsi="宋体" w:eastAsia="宋体" w:cs="宋体"/>
          <w:bCs/>
          <w:sz w:val="21"/>
          <w:szCs w:val="21"/>
        </w:rPr>
        <w:t xml:space="preserve">生效。</w:t>
      </w:r>
      <w:r/>
    </w:p>
    <w:p>
      <w:pPr>
        <w:pStyle w:val="1103"/>
        <w:spacing w:before="120" w:after="120" w:line="360" w:lineRule="auto"/>
        <w:rPr>
          <w:rFonts w:hint="eastAsia" w:ascii="宋体" w:hAnsi="宋体" w:eastAsia="宋体" w:cs="宋体"/>
          <w:sz w:val="21"/>
          <w:szCs w:val="21"/>
        </w:rPr>
      </w:pPr>
      <w:r>
        <w:rPr>
          <w:rFonts w:hint="eastAsia" w:ascii="宋体" w:hAnsi="宋体" w:eastAsia="宋体" w:cs="宋体"/>
          <w:b w:val="0"/>
          <w:sz w:val="21"/>
          <w:szCs w:val="21"/>
        </w:rPr>
        <w:t xml:space="preserve">十三、合同份数</w:t>
      </w:r>
      <w:r/>
    </w:p>
    <w:p>
      <w:pPr>
        <w:ind w:left="0" w:right="0"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本合同一式</w:t>
      </w:r>
      <w:r>
        <w:rPr>
          <w:rFonts w:hint="eastAsia" w:ascii="宋体" w:hAnsi="宋体" w:eastAsia="宋体" w:cs="宋体"/>
          <w:bCs/>
          <w:sz w:val="21"/>
          <w:szCs w:val="21"/>
          <w:u w:val="single"/>
        </w:rPr>
        <w:t xml:space="preserve"> 捌 </w:t>
      </w:r>
      <w:r>
        <w:rPr>
          <w:rFonts w:hint="eastAsia" w:ascii="宋体" w:hAnsi="宋体" w:eastAsia="宋体" w:cs="宋体"/>
          <w:bCs/>
          <w:sz w:val="21"/>
          <w:szCs w:val="21"/>
        </w:rPr>
        <w:t xml:space="preserve">份，均具有同等法律效力，发包人执</w:t>
      </w:r>
      <w:r>
        <w:rPr>
          <w:rFonts w:hint="eastAsia" w:ascii="宋体" w:hAnsi="宋体" w:eastAsia="宋体" w:cs="宋体"/>
          <w:bCs/>
          <w:sz w:val="21"/>
          <w:szCs w:val="21"/>
          <w:u w:val="single"/>
        </w:rPr>
        <w:t xml:space="preserve"> 肆 </w:t>
      </w:r>
      <w:r>
        <w:rPr>
          <w:rFonts w:hint="eastAsia" w:ascii="宋体" w:hAnsi="宋体" w:eastAsia="宋体" w:cs="宋体"/>
          <w:bCs/>
          <w:sz w:val="21"/>
          <w:szCs w:val="21"/>
        </w:rPr>
        <w:t xml:space="preserve">份，承包人执</w:t>
      </w:r>
      <w:r>
        <w:rPr>
          <w:rFonts w:hint="eastAsia" w:ascii="宋体" w:hAnsi="宋体" w:eastAsia="宋体" w:cs="宋体"/>
          <w:bCs/>
          <w:sz w:val="21"/>
          <w:szCs w:val="21"/>
          <w:u w:val="single"/>
        </w:rPr>
        <w:t xml:space="preserve"> 肆 </w:t>
      </w:r>
      <w:r>
        <w:rPr>
          <w:rFonts w:hint="eastAsia" w:ascii="宋体" w:hAnsi="宋体" w:eastAsia="宋体" w:cs="宋体"/>
          <w:bCs/>
          <w:sz w:val="21"/>
          <w:szCs w:val="21"/>
        </w:rPr>
        <w:t xml:space="preserve">份。</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  (公章)             承包人：  (公章)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  法定代表人或其委托代理人：</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（签字）                    （签字）</w:t>
      </w:r>
      <w:r/>
    </w:p>
    <w:p>
      <w:pPr>
        <w:spacing w:line="360" w:lineRule="auto"/>
        <w:tabs>
          <w:tab w:val="left" w:pos="4410" w:leader="none"/>
        </w:tabs>
        <w:rPr>
          <w:rFonts w:hint="eastAsia" w:ascii="宋体" w:hAnsi="宋体" w:eastAsia="宋体" w:cs="宋体"/>
          <w:sz w:val="21"/>
          <w:szCs w:val="21"/>
        </w:rPr>
      </w:pPr>
      <w:r>
        <w:rPr>
          <w:rFonts w:hint="eastAsia" w:ascii="宋体" w:hAnsi="宋体" w:eastAsia="宋体" w:cs="宋体"/>
          <w:sz w:val="21"/>
          <w:szCs w:val="21"/>
        </w:rPr>
        <w:t xml:space="preserve">组织机构代码：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组织机构代码：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地  址：</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邮政编码：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邮政编码：</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法定代表人：</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委托代理人：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委托代理人：</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电  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电  话：</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传  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传  真：</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电子信箱：</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开户银行：</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开户银行：</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账  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账  号：</w:t>
      </w:r>
      <w:r>
        <w:rPr>
          <w:rFonts w:hint="eastAsia" w:ascii="宋体" w:hAnsi="宋体" w:eastAsia="宋体" w:cs="宋体"/>
          <w:sz w:val="21"/>
          <w:szCs w:val="21"/>
          <w:u w:val="single"/>
        </w:rPr>
        <w:t xml:space="preserve">     </w:t>
      </w:r>
      <w:r/>
    </w:p>
    <w:p>
      <w:pPr>
        <w:ind w:left="0" w:right="-36" w:firstLine="529"/>
        <w:spacing w:line="360" w:lineRule="auto"/>
        <w:tabs>
          <w:tab w:val="left" w:pos="0" w:leader="none"/>
        </w:tabs>
        <w:rPr>
          <w:rFonts w:hint="eastAsia" w:ascii="宋体" w:hAnsi="宋体" w:eastAsia="宋体" w:cs="宋体"/>
          <w:sz w:val="21"/>
          <w:szCs w:val="21"/>
          <w:highlight w:val="white"/>
        </w:rPr>
      </w:pPr>
      <w:r>
        <w:rPr>
          <w:rFonts w:hint="eastAsia" w:ascii="宋体" w:hAnsi="宋体" w:eastAsia="宋体" w:cs="宋体"/>
          <w:sz w:val="21"/>
          <w:szCs w:val="21"/>
          <w:highlight w:val="white"/>
        </w:rPr>
      </w:r>
      <w:r/>
    </w:p>
    <w:p>
      <w:pPr>
        <w:pStyle w:val="1102"/>
        <w:jc w:val="center"/>
        <w:pageBreakBefore/>
        <w:spacing w:line="240" w:lineRule="auto"/>
        <w:rPr>
          <w:rFonts w:hint="eastAsia" w:ascii="宋体" w:hAnsi="宋体" w:eastAsia="宋体" w:cs="宋体"/>
          <w:b/>
          <w:bCs/>
          <w:sz w:val="21"/>
          <w:szCs w:val="21"/>
        </w:rPr>
      </w:pPr>
      <w:r/>
      <w:bookmarkStart w:id="7" w:name="_Toc29811"/>
      <w:r>
        <w:rPr>
          <w:rFonts w:hint="eastAsia" w:ascii="宋体" w:hAnsi="宋体" w:eastAsia="宋体" w:cs="宋体"/>
          <w:b/>
          <w:bCs/>
          <w:sz w:val="21"/>
          <w:szCs w:val="21"/>
        </w:rPr>
        <w:t xml:space="preserve">第二部分 通用合同条款</w:t>
      </w:r>
      <w:bookmarkEnd w:id="7"/>
      <w:r/>
      <w:r/>
    </w:p>
    <w:p>
      <w:pPr>
        <w:ind w:left="0" w:right="0" w:firstLine="420"/>
        <w:spacing w:line="240" w:lineRule="auto"/>
        <w:rPr>
          <w:rFonts w:hint="eastAsia" w:ascii="宋体" w:hAnsi="宋体" w:eastAsia="宋体" w:cs="宋体"/>
          <w:sz w:val="21"/>
          <w:szCs w:val="21"/>
        </w:rPr>
      </w:pPr>
      <w:r>
        <w:rPr>
          <w:rFonts w:hint="eastAsia" w:ascii="宋体" w:hAnsi="宋体" w:eastAsia="宋体" w:cs="宋体"/>
          <w:sz w:val="21"/>
          <w:szCs w:val="21"/>
        </w:rPr>
      </w:r>
      <w:r/>
    </w:p>
    <w:p>
      <w:pPr>
        <w:ind w:left="0" w:right="0" w:firstLine="422"/>
        <w:spacing w:line="240" w:lineRule="auto"/>
        <w:rPr>
          <w:rFonts w:hint="eastAsia" w:ascii="宋体" w:hAnsi="宋体" w:eastAsia="宋体" w:cs="宋体"/>
          <w:sz w:val="21"/>
          <w:szCs w:val="21"/>
        </w:rPr>
      </w:pPr>
      <w:r>
        <w:rPr>
          <w:rFonts w:hint="eastAsia" w:ascii="宋体" w:hAnsi="宋体" w:eastAsia="宋体" w:cs="宋体"/>
          <w:b/>
          <w:sz w:val="21"/>
          <w:szCs w:val="21"/>
        </w:rPr>
        <w:t xml:space="preserve">      采用《建设工程施工合同（示范文本）》（GF—2017—0201）。</w:t>
      </w:r>
      <w:r/>
    </w:p>
    <w:p>
      <w:pPr>
        <w:pStyle w:val="1212"/>
        <w:ind w:left="0" w:right="0" w:firstLine="560"/>
        <w:spacing w:line="240" w:lineRule="auto"/>
        <w:rPr>
          <w:rFonts w:hint="eastAsia" w:ascii="宋体" w:hAnsi="宋体" w:eastAsia="宋体" w:cs="宋体"/>
          <w:b/>
          <w:sz w:val="21"/>
          <w:szCs w:val="21"/>
        </w:rPr>
      </w:pPr>
      <w:r>
        <w:rPr>
          <w:rFonts w:hint="eastAsia" w:ascii="宋体" w:hAnsi="宋体" w:eastAsia="宋体" w:cs="宋体"/>
          <w:b/>
          <w:sz w:val="21"/>
          <w:szCs w:val="21"/>
        </w:rPr>
      </w:r>
      <w:r/>
    </w:p>
    <w:p>
      <w:pPr>
        <w:ind w:left="0" w:right="0" w:firstLine="1041"/>
        <w:spacing w:line="240" w:lineRule="auto"/>
        <w:rPr>
          <w:rFonts w:hint="eastAsia" w:ascii="宋体" w:hAnsi="宋体" w:eastAsia="宋体" w:cs="宋体"/>
          <w:sz w:val="21"/>
          <w:szCs w:val="21"/>
        </w:rPr>
      </w:pPr>
      <w:r>
        <w:rPr>
          <w:rFonts w:hint="eastAsia" w:ascii="宋体" w:hAnsi="宋体" w:eastAsia="宋体" w:cs="宋体"/>
          <w:b/>
          <w:sz w:val="21"/>
          <w:szCs w:val="21"/>
          <w:u w:val="single"/>
        </w:rPr>
        <w:t xml:space="preserve">此部分在正式签订合同时应不加修改的、完整的装订在合同中。</w:t>
      </w:r>
      <w:r/>
    </w:p>
    <w:p>
      <w:pPr>
        <w:pStyle w:val="1102"/>
        <w:jc w:val="center"/>
        <w:pageBreakBefore/>
        <w:spacing w:line="240" w:lineRule="auto"/>
        <w:rPr>
          <w:rFonts w:hint="eastAsia" w:ascii="宋体" w:hAnsi="宋体" w:eastAsia="宋体" w:cs="宋体"/>
          <w:b/>
          <w:bCs/>
          <w:sz w:val="21"/>
          <w:szCs w:val="21"/>
        </w:rPr>
      </w:pPr>
      <w:r/>
      <w:bookmarkStart w:id="8" w:name="_Toc26392"/>
      <w:r>
        <w:rPr>
          <w:rFonts w:hint="eastAsia" w:ascii="宋体" w:hAnsi="宋体" w:eastAsia="宋体" w:cs="宋体"/>
          <w:b/>
          <w:bCs/>
          <w:sz w:val="21"/>
          <w:szCs w:val="21"/>
        </w:rPr>
        <w:t xml:space="preserve">第三部分 专用合同条款</w:t>
      </w:r>
      <w:bookmarkEnd w:id="8"/>
      <w:r/>
      <w:r/>
    </w:p>
    <w:p>
      <w:pPr>
        <w:pStyle w:val="1103"/>
        <w:spacing w:before="120" w:after="120" w:line="360" w:lineRule="auto"/>
        <w:rPr>
          <w:rFonts w:hint="eastAsia" w:ascii="宋体" w:hAnsi="宋体" w:eastAsia="宋体" w:cs="宋体"/>
          <w:sz w:val="21"/>
          <w:szCs w:val="21"/>
        </w:rPr>
      </w:pPr>
      <w:r>
        <w:rPr>
          <w:rFonts w:hint="eastAsia" w:ascii="宋体" w:hAnsi="宋体" w:eastAsia="宋体" w:cs="宋体"/>
          <w:b w:val="0"/>
          <w:sz w:val="21"/>
          <w:szCs w:val="21"/>
        </w:rPr>
        <w:t xml:space="preserve">1. 一般约定</w:t>
      </w:r>
      <w:r/>
    </w:p>
    <w:p>
      <w:pPr>
        <w:numPr>
          <w:ilvl w:val="0"/>
          <w:numId w:val="0"/>
        </w:num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1.1 词语定义</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1.1.1合同</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1.1.1.10其他合同文件包括：</w:t>
      </w:r>
      <w:r>
        <w:rPr>
          <w:rFonts w:hint="eastAsia" w:ascii="宋体" w:hAnsi="宋体" w:eastAsia="宋体" w:cs="宋体"/>
          <w:sz w:val="21"/>
          <w:szCs w:val="21"/>
          <w:u w:val="single"/>
        </w:rPr>
        <w:t xml:space="preserve">履行合同过程中双方书面确认的会议纪要、签证、设计变更</w:t>
      </w:r>
      <w:r>
        <w:rPr>
          <w:rFonts w:hint="eastAsia" w:ascii="宋体" w:hAnsi="宋体" w:eastAsia="宋体" w:cs="宋体"/>
          <w:color w:val="000000"/>
          <w:sz w:val="21"/>
          <w:szCs w:val="21"/>
          <w:u w:val="single"/>
          <w:lang w:bidi="ar"/>
        </w:rPr>
        <w:t xml:space="preserve">等资料</w:t>
      </w:r>
      <w:r>
        <w:rPr>
          <w:rFonts w:hint="eastAsia" w:ascii="宋体" w:hAnsi="宋体" w:eastAsia="宋体" w:cs="宋体"/>
          <w:sz w:val="21"/>
          <w:szCs w:val="21"/>
          <w:u w:val="single"/>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 合同当事人及其他相关方</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1.1.2.4监理人：</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1.1.2.5 设计人：</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1.1.3 工程和设备</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1.1.3.7 作为施工现场组成部分的其他场所包括：</w:t>
      </w:r>
      <w:r>
        <w:rPr>
          <w:rFonts w:hint="eastAsia" w:ascii="宋体" w:hAnsi="宋体" w:eastAsia="宋体" w:cs="宋体"/>
          <w:b w:val="0"/>
          <w:bCs/>
          <w:color w:val="000000"/>
          <w:sz w:val="21"/>
          <w:szCs w:val="21"/>
          <w:u w:val="single"/>
          <w:lang w:eastAsia="zh-CN"/>
        </w:rPr>
        <w:t xml:space="preserve">符合通用条款规定的发包方提供的施工场地</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1.1.3.9 永久占地包括：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1.1.3.10 临时占地包括：</w:t>
      </w:r>
      <w:r>
        <w:rPr>
          <w:rFonts w:hint="eastAsia" w:ascii="宋体" w:hAnsi="宋体" w:eastAsia="宋体" w:cs="宋体"/>
          <w:b w:val="0"/>
          <w:bCs/>
          <w:color w:val="000000"/>
          <w:sz w:val="21"/>
          <w:szCs w:val="21"/>
          <w:u w:val="single"/>
          <w:lang w:eastAsia="zh-CN"/>
        </w:rPr>
        <w:t xml:space="preserve">双方在合同履行过程中确定</w:t>
      </w:r>
      <w:r>
        <w:rPr>
          <w:rFonts w:hint="eastAsia" w:ascii="宋体" w:hAnsi="宋体" w:eastAsia="宋体" w:cs="宋体"/>
          <w:sz w:val="21"/>
          <w:szCs w:val="21"/>
        </w:rPr>
        <w:t xml:space="preserve">。</w:t>
      </w:r>
      <w:r/>
    </w:p>
    <w:p>
      <w:p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1.3法律 </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适用于合同的其他规范性文件：</w:t>
      </w:r>
      <w:r>
        <w:rPr>
          <w:rFonts w:hint="eastAsia" w:ascii="宋体" w:hAnsi="宋体" w:eastAsia="宋体" w:cs="宋体"/>
          <w:sz w:val="21"/>
          <w:szCs w:val="21"/>
          <w:u w:val="single"/>
        </w:rPr>
        <w:t xml:space="preserve">执行国家和地方现行标准、规范的相关规定。</w:t>
      </w:r>
      <w:r/>
    </w:p>
    <w:p>
      <w:p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1.4 标准和规范</w:t>
      </w:r>
      <w:r/>
    </w:p>
    <w:p>
      <w:pPr>
        <w:numPr>
          <w:ilvl w:val="0"/>
          <w:numId w:val="0"/>
        </w:num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1.4.1适用于工程的标准规范包括：</w:t>
      </w:r>
      <w:r>
        <w:rPr>
          <w:rFonts w:hint="eastAsia" w:ascii="宋体" w:hAnsi="宋体" w:eastAsia="宋体" w:cs="宋体"/>
          <w:b w:val="0"/>
          <w:bCs/>
          <w:color w:val="000000"/>
          <w:sz w:val="21"/>
          <w:szCs w:val="21"/>
          <w:u w:val="single"/>
          <w:lang w:eastAsia="zh-CN"/>
        </w:rPr>
        <w:t xml:space="preserve">执行国家和地方现行标准、规范的相关规定</w:t>
      </w:r>
      <w:r>
        <w:rPr>
          <w:rFonts w:hint="eastAsia" w:ascii="宋体" w:hAnsi="宋体" w:eastAsia="宋体" w:cs="宋体"/>
          <w:sz w:val="21"/>
          <w:szCs w:val="21"/>
          <w:u w:val="single"/>
        </w:rPr>
        <w:t xml:space="preserve">。</w:t>
      </w:r>
      <w:r/>
    </w:p>
    <w:p>
      <w:pPr>
        <w:numPr>
          <w:ilvl w:val="0"/>
          <w:numId w:val="0"/>
        </w:num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1.4.2 发包人提供国外标准、规范的名称：</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发包人提供国外标准、规范的份数：</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发包人提供国外标准、规范的名称：</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1.4.3发包人对工程的技术标准和功能要求的特殊要求：</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w:t>
      </w:r>
      <w:r/>
    </w:p>
    <w:p>
      <w:pPr>
        <w:numPr>
          <w:ilvl w:val="0"/>
          <w:numId w:val="0"/>
        </w:num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1.5 合同文件的优先顺序</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合同文件组成及优先顺序为：</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 1 ） 本合同协议书及补充协议书；</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 2 ） </w:t>
      </w:r>
      <w:r>
        <w:rPr>
          <w:rFonts w:hint="eastAsia" w:ascii="宋体" w:hAnsi="宋体" w:eastAsia="宋体" w:cs="宋体"/>
          <w:sz w:val="21"/>
          <w:szCs w:val="21"/>
          <w:u w:val="single"/>
          <w:lang w:eastAsia="zh-CN"/>
        </w:rPr>
        <w:t xml:space="preserve">成交通知书</w:t>
      </w:r>
      <w:r>
        <w:rPr>
          <w:rFonts w:hint="eastAsia" w:ascii="宋体" w:hAnsi="宋体" w:eastAsia="宋体" w:cs="宋体"/>
          <w:sz w:val="21"/>
          <w:szCs w:val="21"/>
          <w:u w:val="single"/>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 3 ） 投标函及其附录；</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 4 ） 专用合同条款及附件；</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 5 ） 通用合同条款；</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 6 ） </w:t>
      </w:r>
      <w:r>
        <w:rPr>
          <w:rFonts w:hint="eastAsia" w:ascii="宋体" w:hAnsi="宋体" w:eastAsia="宋体" w:cs="宋体"/>
          <w:sz w:val="21"/>
          <w:szCs w:val="21"/>
          <w:u w:val="single"/>
          <w:lang w:val="en-US" w:eastAsia="zh-CN"/>
        </w:rPr>
        <w:t xml:space="preserve">图纸或方案</w:t>
      </w:r>
      <w:r>
        <w:rPr>
          <w:rFonts w:hint="eastAsia" w:ascii="宋体" w:hAnsi="宋体" w:eastAsia="宋体" w:cs="宋体"/>
          <w:sz w:val="21"/>
          <w:szCs w:val="21"/>
          <w:u w:val="single"/>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 7 ）</w:t>
      </w:r>
      <w:r>
        <w:rPr>
          <w:rFonts w:hint="eastAsia" w:ascii="宋体" w:hAnsi="宋体" w:eastAsia="宋体" w:cs="宋体"/>
          <w:sz w:val="21"/>
          <w:szCs w:val="21"/>
          <w:u w:val="single"/>
          <w:lang w:eastAsia="zh-CN"/>
        </w:rPr>
        <w:t xml:space="preserve">竞争性磋商文件</w:t>
      </w:r>
      <w:r>
        <w:rPr>
          <w:rFonts w:hint="eastAsia" w:ascii="宋体" w:hAnsi="宋体" w:eastAsia="宋体" w:cs="宋体"/>
          <w:sz w:val="21"/>
          <w:szCs w:val="21"/>
          <w:u w:val="single"/>
        </w:rPr>
        <w:t xml:space="preserve">及答疑纪要、已标价工程量清单或预算书； </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 8 ） 其他合同文件。</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上述各项合同文件包括合同当事人就该项合同文件所作出的补充和修改，属于同一类的文件，应以最新签署的为准。在合同订立及履行过程中形成的与合同有关的文件如会议纪要、工程变更、工程洽商、签证、通知、信函、数据电文等均构成合同文件组成部分，并根据其性质确定优先解释顺序。</w:t>
      </w:r>
      <w:r/>
    </w:p>
    <w:p>
      <w:pPr>
        <w:numPr>
          <w:ilvl w:val="0"/>
          <w:numId w:val="0"/>
        </w:num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1.6 图纸和承包人文件</w:t>
      </w:r>
      <w:r>
        <w:rPr>
          <w:rFonts w:hint="eastAsia" w:ascii="宋体" w:hAnsi="宋体" w:eastAsia="宋体" w:cs="宋体"/>
          <w:sz w:val="21"/>
          <w:szCs w:val="21"/>
        </w:rPr>
        <w:tab/>
      </w:r>
      <w:r/>
    </w:p>
    <w:p>
      <w:pPr>
        <w:ind w:firstLine="420"/>
        <w:spacing w:after="0" w:line="360" w:lineRule="auto"/>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1.6.1图纸的提供</w:t>
      </w:r>
      <w:r/>
    </w:p>
    <w:p>
      <w:pPr>
        <w:ind w:firstLine="420"/>
        <w:spacing w:after="0" w:line="360" w:lineRule="auto"/>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发包人向承包人提供图纸的期限：</w:t>
      </w:r>
      <w:r>
        <w:rPr>
          <w:rFonts w:hint="eastAsia" w:ascii="宋体" w:hAnsi="宋体" w:eastAsia="宋体" w:cs="宋体"/>
          <w:b w:val="0"/>
          <w:bCs/>
          <w:color w:val="000000"/>
          <w:sz w:val="21"/>
          <w:szCs w:val="21"/>
          <w:u w:val="single"/>
          <w:lang w:eastAsia="zh-CN"/>
        </w:rPr>
        <w:t xml:space="preserve">/</w:t>
      </w:r>
      <w:r>
        <w:rPr>
          <w:rFonts w:hint="eastAsia" w:ascii="宋体" w:hAnsi="宋体" w:eastAsia="宋体" w:cs="宋体"/>
          <w:b w:val="0"/>
          <w:bCs/>
          <w:color w:val="000000"/>
          <w:sz w:val="21"/>
          <w:szCs w:val="21"/>
          <w:lang w:eastAsia="zh-CN"/>
        </w:rPr>
        <w:t xml:space="preserve">；</w:t>
      </w:r>
      <w:r/>
    </w:p>
    <w:p>
      <w:pPr>
        <w:ind w:firstLine="420"/>
        <w:spacing w:after="0" w:line="360" w:lineRule="auto"/>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发包人向承包人提供图纸的数量：</w:t>
      </w:r>
      <w:r>
        <w:rPr>
          <w:rFonts w:hint="eastAsia" w:ascii="宋体" w:hAnsi="宋体" w:eastAsia="宋体" w:cs="宋体"/>
          <w:b w:val="0"/>
          <w:bCs/>
          <w:color w:val="000000"/>
          <w:sz w:val="21"/>
          <w:szCs w:val="21"/>
          <w:u w:val="single"/>
          <w:lang w:eastAsia="zh-CN"/>
        </w:rPr>
        <w:t xml:space="preserve">/</w:t>
      </w:r>
      <w:r>
        <w:rPr>
          <w:rFonts w:hint="eastAsia" w:ascii="宋体" w:hAnsi="宋体" w:eastAsia="宋体" w:cs="宋体"/>
          <w:b w:val="0"/>
          <w:bCs/>
          <w:color w:val="000000"/>
          <w:sz w:val="21"/>
          <w:szCs w:val="21"/>
          <w:lang w:eastAsia="zh-CN"/>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b w:val="0"/>
          <w:bCs/>
          <w:color w:val="000000"/>
          <w:sz w:val="21"/>
          <w:szCs w:val="21"/>
          <w:lang w:eastAsia="zh-CN"/>
        </w:rPr>
        <w:t xml:space="preserve">发包人向承包人提供图纸的内容：</w:t>
      </w:r>
      <w:r>
        <w:rPr>
          <w:rFonts w:hint="eastAsia" w:ascii="宋体" w:hAnsi="宋体" w:eastAsia="宋体" w:cs="宋体"/>
          <w:b w:val="0"/>
          <w:bCs/>
          <w:color w:val="000000"/>
          <w:sz w:val="21"/>
          <w:szCs w:val="21"/>
          <w:u w:val="single"/>
          <w:lang w:eastAsia="zh-CN"/>
        </w:rPr>
        <w:t xml:space="preserve">/</w:t>
      </w:r>
      <w:r>
        <w:rPr>
          <w:rFonts w:hint="eastAsia" w:ascii="宋体" w:hAnsi="宋体" w:eastAsia="宋体" w:cs="宋体"/>
          <w:b w:val="0"/>
          <w:bCs/>
          <w:color w:val="000000"/>
          <w:sz w:val="21"/>
          <w:szCs w:val="21"/>
          <w:lang w:eastAsia="zh-CN"/>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1.6.4 承包人文件</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需要由承包人提供的文件，包括：</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①按 GB/T50502、本合同第二部分通用合同条款 7.1 和 7.2 编制施工组织设计、施工措施计划、施工方案报监理人审核和发包人确认； </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②由承包人办理的许可和批准的办理结果书面报送监理人审核和发包人确认、留存； </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③拟制施工人员名册（动态），并与为其办理工伤保险的有效证明一起报送监理人审核和发包人确认； </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⑤特殊工种作业人员资格证明报送监理人审核和发包人确认；</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⑦工程质量管理体系及措施文件、质量检查制度、质量控制文件，报送监理人审核和发包人确认；</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⑧工程安全管理体系及措施文件、安全检查制度、安全控制文件，报送监理人审核和发包人确认；</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⑨发包人管理需要的其他文件；</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⑩上述文件如发包人因管理需增加时，承包人有义务按发包人提出的形式、格式、数量、时间等要求提供。</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承包人提供的文件的期限为：</w:t>
      </w:r>
      <w:r>
        <w:rPr>
          <w:rFonts w:hint="eastAsia" w:ascii="宋体" w:hAnsi="宋体" w:eastAsia="宋体" w:cs="宋体"/>
          <w:sz w:val="21"/>
          <w:szCs w:val="21"/>
          <w:u w:val="single"/>
        </w:rPr>
        <w:t xml:space="preserve">合同签定后 7 日内</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承包人提供的文件的数量为：</w:t>
      </w:r>
      <w:r>
        <w:rPr>
          <w:rFonts w:hint="eastAsia" w:ascii="宋体" w:hAnsi="宋体" w:eastAsia="宋体" w:cs="宋体"/>
          <w:sz w:val="21"/>
          <w:szCs w:val="21"/>
          <w:u w:val="single"/>
        </w:rPr>
        <w:t xml:space="preserve">纸质版二套，电子版一套</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承包人提供的文件的形式为：</w:t>
      </w:r>
      <w:r>
        <w:rPr>
          <w:rFonts w:hint="eastAsia" w:ascii="宋体" w:hAnsi="宋体" w:eastAsia="宋体" w:cs="宋体"/>
          <w:sz w:val="21"/>
          <w:szCs w:val="21"/>
          <w:u w:val="single"/>
        </w:rPr>
        <w:t xml:space="preserve">纸质版、电子版</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发包人审批承包人文件的期限：</w:t>
      </w:r>
      <w:r>
        <w:rPr>
          <w:rFonts w:hint="eastAsia" w:ascii="宋体" w:hAnsi="宋体" w:eastAsia="宋体" w:cs="宋体"/>
          <w:sz w:val="21"/>
          <w:szCs w:val="21"/>
          <w:u w:val="single"/>
        </w:rPr>
        <w:t xml:space="preserve">7 个工作日内</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1.6.5 现场图纸准备</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关于现场图纸准备的约定</w:t>
      </w:r>
      <w:r>
        <w:rPr>
          <w:rFonts w:hint="eastAsia" w:ascii="宋体" w:hAnsi="宋体" w:eastAsia="宋体" w:cs="宋体"/>
          <w:sz w:val="21"/>
          <w:szCs w:val="21"/>
          <w:u w:val="single"/>
        </w:rPr>
        <w:t xml:space="preserve">：执行通用条款。</w:t>
      </w:r>
      <w:r/>
    </w:p>
    <w:p>
      <w:pPr>
        <w:numPr>
          <w:ilvl w:val="0"/>
          <w:numId w:val="0"/>
        </w:num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1.7 联络</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1.7.1发包人和承包人应当在</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5 </w:t>
      </w:r>
      <w:r>
        <w:rPr>
          <w:rFonts w:hint="eastAsia" w:ascii="宋体" w:hAnsi="宋体" w:eastAsia="宋体" w:cs="宋体"/>
          <w:sz w:val="21"/>
          <w:szCs w:val="21"/>
        </w:rPr>
        <w:t xml:space="preserve">天内将与合同有关的通知、批准、证明、证书、指示、指令、要求、请求、同意、意见、确定和决定等书面函件送达对方当事人。</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1.7.2 发包人接收文件的地点：</w:t>
      </w:r>
      <w:r>
        <w:rPr>
          <w:rFonts w:hint="eastAsia" w:ascii="宋体" w:hAnsi="宋体" w:eastAsia="宋体" w:cs="宋体"/>
          <w:sz w:val="21"/>
          <w:szCs w:val="21"/>
          <w:u w:val="single"/>
        </w:rPr>
        <w:t xml:space="preserve">发包人指定地点</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发包人指定的接收人为：</w:t>
      </w:r>
      <w:r>
        <w:rPr>
          <w:rFonts w:hint="eastAsia" w:ascii="宋体" w:hAnsi="宋体" w:eastAsia="宋体" w:cs="宋体"/>
          <w:sz w:val="21"/>
          <w:szCs w:val="21"/>
          <w:u w:val="single"/>
        </w:rPr>
        <w:t xml:space="preserve">发包人代表</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承包人接收文件的地点：</w:t>
      </w:r>
      <w:r>
        <w:rPr>
          <w:rFonts w:hint="eastAsia" w:ascii="宋体" w:hAnsi="宋体" w:eastAsia="宋体" w:cs="宋体"/>
          <w:color w:val="000000"/>
          <w:sz w:val="21"/>
          <w:szCs w:val="21"/>
          <w:u w:val="single"/>
        </w:rPr>
        <w:t xml:space="preserve">项目所在地、承包人住所或营业场所</w:t>
      </w:r>
      <w:r>
        <w:rPr>
          <w:rFonts w:hint="eastAsia" w:ascii="宋体" w:hAnsi="宋体" w:eastAsia="宋体" w:cs="宋体"/>
          <w:color w:val="000000"/>
          <w:sz w:val="21"/>
          <w:szCs w:val="21"/>
        </w:rPr>
        <w:t xml:space="preserve">；</w:t>
      </w:r>
      <w:r/>
    </w:p>
    <w:p>
      <w:pPr>
        <w:ind w:left="0" w:righ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承包人指定的接收人为：</w:t>
      </w:r>
      <w:r>
        <w:rPr>
          <w:rFonts w:hint="eastAsia" w:ascii="宋体" w:hAnsi="宋体" w:eastAsia="宋体" w:cs="宋体"/>
          <w:color w:val="000000"/>
          <w:sz w:val="21"/>
          <w:szCs w:val="21"/>
          <w:u w:val="single"/>
        </w:rPr>
        <w:t xml:space="preserve">项目经理或其授权接收人、法定代表人</w:t>
      </w:r>
      <w:r>
        <w:rPr>
          <w:rFonts w:hint="eastAsia" w:ascii="宋体" w:hAnsi="宋体" w:eastAsia="宋体" w:cs="宋体"/>
          <w:color w:val="000000"/>
          <w:sz w:val="21"/>
          <w:szCs w:val="21"/>
        </w:rPr>
        <w:t xml:space="preserve">。</w:t>
      </w:r>
      <w:r/>
    </w:p>
    <w:p>
      <w:pPr>
        <w:ind w:left="0" w:righ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监理人接收文件的地点：</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ind w:left="0" w:righ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监理人指定的接收人为：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numPr>
          <w:ilvl w:val="0"/>
          <w:numId w:val="0"/>
        </w:numPr>
        <w:ind w:left="0" w:right="0" w:firstLine="420"/>
        <w:spacing w:before="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1.10 交通运输</w:t>
      </w:r>
      <w:r/>
    </w:p>
    <w:p>
      <w:pPr>
        <w:numPr>
          <w:ilvl w:val="0"/>
          <w:numId w:val="0"/>
        </w:num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1.10.1 出入现场的权利</w:t>
      </w:r>
      <w:r/>
    </w:p>
    <w:p>
      <w:pPr>
        <w:numPr>
          <w:ilvl w:val="0"/>
          <w:numId w:val="0"/>
        </w:num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关于出入现场的权利的约定：</w:t>
      </w:r>
      <w:r>
        <w:rPr>
          <w:rFonts w:hint="eastAsia" w:ascii="宋体" w:hAnsi="宋体" w:eastAsia="宋体" w:cs="宋体"/>
          <w:sz w:val="21"/>
          <w:szCs w:val="21"/>
          <w:u w:val="single"/>
        </w:rPr>
        <w:t xml:space="preserve">由承包人按发包人要求负责取得出入施工现场所需的批准手续和全部权利，以及取得因施工所需其他基础设施的权利，并承担相关手续费用和建设费用，此费用包含在投标报价内。</w:t>
      </w:r>
      <w:r/>
    </w:p>
    <w:p>
      <w:pPr>
        <w:numPr>
          <w:ilvl w:val="0"/>
          <w:numId w:val="0"/>
        </w:num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1.10.3 场内交通</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关于场外交通和场内交通的边界的约定：</w:t>
      </w:r>
      <w:r>
        <w:rPr>
          <w:rFonts w:hint="eastAsia" w:ascii="宋体" w:hAnsi="宋体" w:eastAsia="宋体" w:cs="宋体"/>
          <w:sz w:val="21"/>
          <w:szCs w:val="21"/>
          <w:u w:val="single"/>
        </w:rPr>
        <w:t xml:space="preserve">以现场实际施工条件为准</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b w:val="0"/>
          <w:bCs/>
          <w:color w:val="000000"/>
          <w:sz w:val="21"/>
          <w:szCs w:val="21"/>
          <w:lang w:eastAsia="zh-CN"/>
        </w:rPr>
        <w:t xml:space="preserve">关于发包人向承包人免费提供满足工程施工需要的场内铺装、围墙和交通设施的约定：</w:t>
      </w:r>
      <w:r>
        <w:rPr>
          <w:rFonts w:hint="eastAsia" w:ascii="宋体" w:hAnsi="宋体" w:eastAsia="宋体" w:cs="宋体"/>
          <w:b w:val="0"/>
          <w:bCs/>
          <w:color w:val="000000"/>
          <w:sz w:val="21"/>
          <w:szCs w:val="21"/>
          <w:u w:val="single"/>
          <w:lang w:eastAsia="zh-CN"/>
        </w:rPr>
        <w:t xml:space="preserve">不提供，由承包人自费修建</w:t>
      </w:r>
      <w:r>
        <w:rPr>
          <w:rFonts w:hint="eastAsia" w:ascii="宋体" w:hAnsi="宋体" w:eastAsia="宋体" w:cs="宋体"/>
          <w:b w:val="0"/>
          <w:bCs/>
          <w:color w:val="000000"/>
          <w:sz w:val="21"/>
          <w:szCs w:val="21"/>
          <w:lang w:eastAsia="zh-CN"/>
        </w:rPr>
        <w:t xml:space="preserve">。</w:t>
      </w:r>
      <w:r>
        <w:rPr>
          <w:rFonts w:hint="eastAsia" w:ascii="宋体" w:hAnsi="宋体" w:eastAsia="宋体" w:cs="宋体"/>
          <w:sz w:val="21"/>
          <w:szCs w:val="21"/>
        </w:rPr>
        <w:t xml:space="preserve">  </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1.10.4超大件和超重件的运输</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运输超大件或超重件所需的道路和桥梁临时加固改造费用和其他有关费用由</w:t>
      </w:r>
      <w:r>
        <w:rPr>
          <w:rFonts w:hint="eastAsia" w:ascii="宋体" w:hAnsi="宋体" w:eastAsia="宋体" w:cs="宋体"/>
          <w:sz w:val="21"/>
          <w:szCs w:val="21"/>
          <w:u w:val="single"/>
        </w:rPr>
        <w:t xml:space="preserve">承包人</w:t>
      </w:r>
      <w:r>
        <w:rPr>
          <w:rFonts w:hint="eastAsia" w:ascii="宋体" w:hAnsi="宋体" w:eastAsia="宋体" w:cs="宋体"/>
          <w:sz w:val="21"/>
          <w:szCs w:val="21"/>
        </w:rPr>
        <w:t xml:space="preserve">承担。</w:t>
      </w:r>
      <w:r/>
    </w:p>
    <w:p>
      <w:pPr>
        <w:numPr>
          <w:ilvl w:val="0"/>
          <w:numId w:val="0"/>
        </w:num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1.11 知识产权</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t xml:space="preserve">。</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关于发包人提供的上述文件的使用限制的要求：</w:t>
      </w:r>
      <w:r>
        <w:rPr>
          <w:rFonts w:hint="eastAsia" w:ascii="宋体" w:hAnsi="宋体" w:eastAsia="宋体" w:cs="宋体"/>
          <w:sz w:val="21"/>
          <w:szCs w:val="21"/>
          <w:u w:val="single"/>
        </w:rPr>
        <w:t xml:space="preserve">执行通用条款</w:t>
      </w:r>
      <w:r>
        <w:rPr>
          <w:rFonts w:hint="eastAsia" w:ascii="宋体" w:hAnsi="宋体" w:eastAsia="宋体" w:cs="宋体"/>
          <w:sz w:val="21"/>
          <w:szCs w:val="21"/>
        </w:rPr>
        <w:t xml:space="preserve">。</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1.11.2 关于承包人为实施工程所编制文件的著作权的归属：</w:t>
      </w:r>
      <w:r>
        <w:rPr>
          <w:rFonts w:hint="eastAsia" w:ascii="宋体" w:hAnsi="宋体" w:eastAsia="宋体" w:cs="宋体"/>
          <w:sz w:val="21"/>
          <w:szCs w:val="21"/>
          <w:u w:val="single"/>
        </w:rPr>
        <w:t xml:space="preserve">执行通用条款</w:t>
      </w:r>
      <w:r>
        <w:rPr>
          <w:rFonts w:hint="eastAsia" w:ascii="宋体" w:hAnsi="宋体" w:eastAsia="宋体" w:cs="宋体"/>
          <w:sz w:val="21"/>
          <w:szCs w:val="21"/>
        </w:rPr>
        <w:t xml:space="preserve">。</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关于承包人提供的上述文件的使用限制的要求：</w:t>
      </w:r>
      <w:r>
        <w:rPr>
          <w:rFonts w:hint="eastAsia" w:ascii="宋体" w:hAnsi="宋体" w:eastAsia="宋体" w:cs="宋体"/>
          <w:sz w:val="21"/>
          <w:szCs w:val="21"/>
          <w:u w:val="single"/>
        </w:rPr>
        <w:t xml:space="preserve">执行通用条款</w:t>
      </w:r>
      <w:r>
        <w:rPr>
          <w:rFonts w:hint="eastAsia" w:ascii="宋体" w:hAnsi="宋体" w:eastAsia="宋体" w:cs="宋体"/>
          <w:sz w:val="21"/>
          <w:szCs w:val="21"/>
        </w:rPr>
        <w:t xml:space="preserve">。</w:t>
      </w:r>
      <w:r/>
    </w:p>
    <w:p>
      <w:pPr>
        <w:numPr>
          <w:ilvl w:val="0"/>
          <w:numId w:val="0"/>
        </w:num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1.11.4 承包人在施工过程中所采用的专利、专有技术、技术秘密的使用费的承担方式：</w:t>
      </w:r>
      <w:r>
        <w:rPr>
          <w:rFonts w:hint="eastAsia" w:ascii="宋体" w:hAnsi="宋体" w:eastAsia="宋体" w:cs="宋体"/>
          <w:sz w:val="21"/>
          <w:szCs w:val="21"/>
          <w:u w:val="single"/>
        </w:rPr>
        <w:t xml:space="preserve">执行通用条款</w:t>
      </w:r>
      <w:r>
        <w:rPr>
          <w:rFonts w:hint="eastAsia" w:ascii="宋体" w:hAnsi="宋体" w:eastAsia="宋体" w:cs="宋体"/>
          <w:sz w:val="21"/>
          <w:szCs w:val="21"/>
        </w:rPr>
        <w:t xml:space="preserve">。</w:t>
      </w:r>
      <w:r/>
    </w:p>
    <w:p>
      <w:pPr>
        <w:ind w:left="0" w:right="0" w:firstLine="420"/>
        <w:spacing w:before="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1.13工程量清单错误的修正</w:t>
      </w:r>
      <w:r/>
    </w:p>
    <w:p>
      <w:pPr>
        <w:ind w:left="0" w:righ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出现工程量清单错误时，是否调整合同价格：</w:t>
      </w:r>
      <w:r>
        <w:rPr>
          <w:rFonts w:hint="eastAsia" w:ascii="宋体" w:hAnsi="宋体" w:eastAsia="宋体" w:cs="宋体"/>
          <w:b/>
          <w:bCs w:val="0"/>
          <w:color w:val="000000"/>
          <w:sz w:val="21"/>
          <w:szCs w:val="21"/>
          <w:u w:val="single"/>
          <w:lang w:eastAsia="zh-CN"/>
        </w:rPr>
        <w:t xml:space="preserve">调整</w:t>
      </w:r>
      <w:r>
        <w:rPr>
          <w:rFonts w:hint="eastAsia" w:ascii="宋体" w:hAnsi="宋体" w:eastAsia="宋体" w:cs="宋体"/>
          <w:b w:val="0"/>
          <w:bCs/>
          <w:color w:val="000000"/>
          <w:sz w:val="21"/>
          <w:szCs w:val="21"/>
          <w:lang w:eastAsia="zh-CN"/>
        </w:rPr>
        <w:t xml:space="preserve">。</w:t>
      </w:r>
      <w:r/>
    </w:p>
    <w:p>
      <w:pPr>
        <w:ind w:right="0" w:firstLine="480"/>
        <w:spacing w:line="360" w:lineRule="auto"/>
        <w:rPr>
          <w:rFonts w:hint="eastAsia" w:ascii="宋体" w:hAnsi="宋体" w:eastAsia="宋体" w:cs="宋体"/>
          <w:sz w:val="21"/>
          <w:szCs w:val="21"/>
          <w:u w:val="single"/>
        </w:rPr>
      </w:pPr>
      <w:r>
        <w:rPr>
          <w:rFonts w:hint="eastAsia" w:ascii="宋体" w:hAnsi="宋体" w:eastAsia="宋体" w:cs="宋体"/>
          <w:color w:val="000000"/>
          <w:sz w:val="21"/>
          <w:szCs w:val="21"/>
          <w:u w:val="none"/>
        </w:rPr>
        <w:t xml:space="preserve">允许调整合同价格的工程量偏差范围：</w:t>
      </w:r>
      <w:r>
        <w:rPr>
          <w:rFonts w:hint="eastAsia" w:ascii="宋体" w:hAnsi="宋体" w:eastAsia="宋体" w:cs="宋体"/>
          <w:b/>
          <w:bCs/>
          <w:color w:val="000000"/>
          <w:sz w:val="21"/>
          <w:szCs w:val="21"/>
          <w:u w:val="single"/>
          <w:lang w:val="en-US" w:eastAsia="zh-CN"/>
        </w:rPr>
        <w:t xml:space="preserve">工程量清单存在缺</w:t>
      </w:r>
      <w:r>
        <w:rPr>
          <w:rFonts w:hint="eastAsia" w:ascii="宋体" w:hAnsi="宋体" w:eastAsia="宋体" w:cs="宋体"/>
          <w:b/>
          <w:bCs/>
          <w:sz w:val="21"/>
          <w:szCs w:val="21"/>
          <w:u w:val="single"/>
          <w:lang w:val="en-US" w:eastAsia="zh-CN"/>
        </w:rPr>
        <w:t xml:space="preserve">项、漏项、错误的</w:t>
      </w:r>
      <w:r>
        <w:rPr>
          <w:rFonts w:hint="eastAsia" w:ascii="宋体" w:hAnsi="宋体" w:eastAsia="宋体" w:cs="宋体"/>
          <w:b/>
          <w:bCs/>
          <w:sz w:val="21"/>
          <w:szCs w:val="21"/>
          <w:u w:val="single"/>
        </w:rPr>
        <w:t xml:space="preserve">。</w:t>
      </w:r>
      <w:r/>
    </w:p>
    <w:p>
      <w:pPr>
        <w:ind w:left="0" w:righ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 发包人</w:t>
      </w:r>
      <w:r/>
    </w:p>
    <w:p>
      <w:pPr>
        <w:ind w:left="0" w:righ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 发包人代表</w:t>
      </w:r>
      <w:r/>
    </w:p>
    <w:p>
      <w:pPr>
        <w:ind w:left="0" w:righ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发包人代表：</w:t>
      </w:r>
      <w:r/>
    </w:p>
    <w:p>
      <w:pPr>
        <w:ind w:left="0" w:righ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    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ind w:left="0" w:righ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身份证号：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ind w:left="0" w:righ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    务：</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ind w:left="0" w:righ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ind w:left="0" w:righ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电子信箱：</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ind w:left="0" w:righ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通信地址：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ind w:left="0" w:righ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发包人对发包人代表的授权范围如下：</w:t>
      </w:r>
      <w:r>
        <w:rPr>
          <w:rFonts w:hint="eastAsia" w:ascii="宋体" w:hAnsi="宋体" w:eastAsia="宋体" w:cs="宋体"/>
          <w:color w:val="000000"/>
          <w:sz w:val="21"/>
          <w:szCs w:val="21"/>
          <w:u w:val="single"/>
          <w:lang w:eastAsia="zh-CN"/>
        </w:rPr>
        <w:t xml:space="preserve">协助外部环境的协调与配合,主持工程的竣工验收；负责组织工程质量、进度、安全的检查监督。经发包人授权签署与工程投资有关的各种施工技术变更、施工技术方案会审纪要等，并签字确认经监理工程师核准的分项工程量报发包人核准。</w:t>
      </w:r>
      <w:r/>
    </w:p>
    <w:p>
      <w:pPr>
        <w:ind w:left="0" w:right="0" w:firstLine="420"/>
        <w:spacing w:line="360" w:lineRule="auto"/>
        <w:rPr>
          <w:rFonts w:hint="eastAsia" w:ascii="宋体" w:hAnsi="宋体" w:eastAsia="宋体" w:cs="宋体"/>
          <w:color w:val="000000"/>
          <w:sz w:val="21"/>
          <w:szCs w:val="21"/>
          <w:u w:val="none"/>
          <w:lang w:eastAsia="zh-CN"/>
        </w:rPr>
      </w:pPr>
      <w:r>
        <w:rPr>
          <w:rFonts w:hint="eastAsia" w:ascii="宋体" w:hAnsi="宋体" w:eastAsia="宋体" w:cs="宋体"/>
          <w:color w:val="000000"/>
          <w:sz w:val="21"/>
          <w:szCs w:val="21"/>
          <w:u w:val="none"/>
          <w:lang w:eastAsia="zh-CN"/>
        </w:rPr>
        <w:t xml:space="preserve">2.4 施工现场、施工条件和基础资料的提供</w:t>
      </w:r>
      <w:r/>
    </w:p>
    <w:p>
      <w:pPr>
        <w:ind w:left="0" w:right="0" w:firstLine="420"/>
        <w:spacing w:line="360" w:lineRule="auto"/>
        <w:rPr>
          <w:rFonts w:hint="eastAsia" w:ascii="宋体" w:hAnsi="宋体" w:eastAsia="宋体" w:cs="宋体"/>
          <w:color w:val="000000"/>
          <w:sz w:val="21"/>
          <w:szCs w:val="21"/>
          <w:u w:val="none"/>
          <w:lang w:eastAsia="zh-CN"/>
        </w:rPr>
      </w:pPr>
      <w:r>
        <w:rPr>
          <w:rFonts w:hint="eastAsia" w:ascii="宋体" w:hAnsi="宋体" w:eastAsia="宋体" w:cs="宋体"/>
          <w:color w:val="000000"/>
          <w:sz w:val="21"/>
          <w:szCs w:val="21"/>
          <w:u w:val="none"/>
          <w:lang w:eastAsia="zh-CN"/>
        </w:rPr>
        <w:t xml:space="preserve">2.4.1 提供施工现场</w:t>
      </w:r>
      <w:r/>
    </w:p>
    <w:p>
      <w:pPr>
        <w:ind w:left="0" w:right="0" w:firstLine="420"/>
        <w:spacing w:line="360" w:lineRule="auto"/>
        <w:rPr>
          <w:rFonts w:hint="eastAsia" w:ascii="宋体" w:hAnsi="宋体" w:eastAsia="宋体" w:cs="宋体"/>
          <w:color w:val="000000"/>
          <w:sz w:val="21"/>
          <w:szCs w:val="21"/>
          <w:u w:val="single"/>
          <w:lang w:eastAsia="zh-CN"/>
        </w:rPr>
      </w:pPr>
      <w:r>
        <w:rPr>
          <w:rFonts w:hint="eastAsia" w:ascii="宋体" w:hAnsi="宋体" w:eastAsia="宋体" w:cs="宋体"/>
          <w:color w:val="000000"/>
          <w:sz w:val="21"/>
          <w:szCs w:val="21"/>
          <w:u w:val="none"/>
          <w:lang w:eastAsia="zh-CN"/>
        </w:rPr>
        <w:t xml:space="preserve">关于发包人移交施工现场的期限要求：</w:t>
      </w:r>
      <w:r>
        <w:rPr>
          <w:rFonts w:hint="eastAsia" w:ascii="宋体" w:hAnsi="宋体" w:eastAsia="宋体" w:cs="宋体"/>
          <w:color w:val="000000"/>
          <w:sz w:val="21"/>
          <w:szCs w:val="21"/>
          <w:u w:val="single"/>
          <w:lang w:eastAsia="zh-CN"/>
        </w:rPr>
        <w:t xml:space="preserve">开工通知载明的开工日期 7 日前。</w:t>
      </w:r>
      <w:r/>
    </w:p>
    <w:p>
      <w:pPr>
        <w:ind w:left="0" w:right="0" w:firstLine="420"/>
        <w:spacing w:line="360" w:lineRule="auto"/>
        <w:rPr>
          <w:rFonts w:hint="eastAsia" w:ascii="宋体" w:hAnsi="宋体" w:eastAsia="宋体" w:cs="宋体"/>
          <w:color w:val="000000"/>
          <w:sz w:val="21"/>
          <w:szCs w:val="21"/>
          <w:u w:val="none"/>
          <w:lang w:eastAsia="zh-CN"/>
        </w:rPr>
      </w:pPr>
      <w:r>
        <w:rPr>
          <w:rFonts w:hint="eastAsia" w:ascii="宋体" w:hAnsi="宋体" w:eastAsia="宋体" w:cs="宋体"/>
          <w:color w:val="000000"/>
          <w:sz w:val="21"/>
          <w:szCs w:val="21"/>
          <w:u w:val="none"/>
          <w:lang w:eastAsia="zh-CN"/>
        </w:rPr>
        <w:t xml:space="preserve">2.4.2 提供施工条件</w:t>
      </w:r>
      <w:r/>
    </w:p>
    <w:p>
      <w:pPr>
        <w:ind w:left="0" w:right="0" w:firstLine="420"/>
        <w:spacing w:line="360" w:lineRule="auto"/>
        <w:rPr>
          <w:rFonts w:hint="eastAsia" w:ascii="宋体" w:hAnsi="宋体" w:eastAsia="宋体" w:cs="宋体"/>
          <w:color w:val="000000"/>
          <w:sz w:val="21"/>
          <w:szCs w:val="21"/>
          <w:u w:val="single"/>
          <w:lang w:eastAsia="zh-CN"/>
        </w:rPr>
      </w:pPr>
      <w:r>
        <w:rPr>
          <w:rFonts w:hint="eastAsia" w:ascii="宋体" w:hAnsi="宋体" w:eastAsia="宋体" w:cs="宋体"/>
          <w:color w:val="000000"/>
          <w:sz w:val="21"/>
          <w:szCs w:val="21"/>
          <w:u w:val="none"/>
          <w:lang w:eastAsia="zh-CN"/>
        </w:rPr>
        <w:t xml:space="preserve">关于发包人应负责提供施工所需要的条件，包括：</w:t>
      </w:r>
      <w:r>
        <w:rPr>
          <w:rFonts w:hint="eastAsia" w:ascii="宋体" w:hAnsi="宋体" w:eastAsia="宋体" w:cs="宋体"/>
          <w:color w:val="000000"/>
          <w:sz w:val="21"/>
          <w:szCs w:val="21"/>
          <w:u w:val="single"/>
          <w:lang w:eastAsia="zh-CN"/>
        </w:rPr>
        <w:t xml:space="preserve">发包人提供电源、水源，从水源、电源至用水、用电设备线路、管路的安装由承包人负责实施，其安装费、管材、线路、设备购置费等费用，无论承包人是否在投标报价中单独列支，发包人均认为此项费用已包含在投标报价中，不予另行支付。承包人的实际用电、用水费用（含分摊的线路、水费损耗费用）由其自行缴纳。承包人逾期缴纳，发包人有权从承包人工程款中直接扣除。</w:t>
      </w:r>
      <w:r/>
    </w:p>
    <w:p>
      <w:pPr>
        <w:pStyle w:val="1134"/>
        <w:ind w:left="0" w:firstLine="403"/>
        <w:keepLines w:val="0"/>
        <w:keepNext w:val="0"/>
        <w:spacing w:before="0" w:beforeAutospacing="0" w:after="0" w:afterAutospacing="0" w:line="336"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0"/>
          <w:szCs w:val="20"/>
          <w:u w:val="single"/>
        </w:rPr>
        <w:t xml:space="preserve">场外施工道路为市政现状，场内施工道路由承包人根据批准的施工组织设计在开工前自行完成，并满足施工要求及有关规定，此费用包含在投标报价内。</w:t>
      </w:r>
      <w:r/>
    </w:p>
    <w:p>
      <w:pPr>
        <w:pStyle w:val="1134"/>
        <w:ind w:left="0" w:firstLine="403"/>
        <w:keepLines w:val="0"/>
        <w:keepNext w:val="0"/>
        <w:spacing w:before="0" w:beforeAutospacing="0" w:after="0" w:afterAutospacing="0" w:line="336" w:lineRule="auto"/>
        <w:widowControl/>
        <w:rPr>
          <w:rFonts w:hint="eastAsia" w:eastAsia="宋体"/>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0"/>
          <w:szCs w:val="20"/>
          <w:u w:val="single"/>
        </w:rPr>
        <w:t xml:space="preserve">图纸会审和设计交底时间： 开工前一周内完成</w:t>
      </w:r>
      <w:r>
        <w:rPr>
          <w:rFonts w:hint="eastAsia" w:ascii="宋体" w:hAnsi="宋体" w:eastAsia="宋体" w:cs="宋体"/>
          <w:color w:val="000000"/>
          <w:sz w:val="20"/>
          <w:szCs w:val="20"/>
          <w:u w:val="single"/>
          <w:lang w:eastAsia="zh-CN"/>
        </w:rPr>
        <w:t xml:space="preserve">。</w:t>
      </w:r>
      <w:r/>
    </w:p>
    <w:p>
      <w:pPr>
        <w:pStyle w:val="1134"/>
        <w:ind w:left="0" w:firstLine="403"/>
        <w:keepLines w:val="0"/>
        <w:keepNext w:val="0"/>
        <w:spacing w:before="0" w:beforeAutospacing="0" w:after="0" w:afterAutospacing="0" w:line="336"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0"/>
          <w:szCs w:val="20"/>
          <w:u w:val="single"/>
        </w:rPr>
        <w:t xml:space="preserve">由承包人负责协调处理施工场地周围地下管线和邻近建筑物、构筑物（含文物保护建筑）、古树名木的保护工作。承包人根据施工需要进行保护，所需费用含在投标报价内。</w:t>
      </w:r>
      <w:r/>
    </w:p>
    <w:p>
      <w:pPr>
        <w:numPr>
          <w:ilvl w:val="0"/>
          <w:numId w:val="0"/>
        </w:numPr>
        <w:ind w:left="0" w:right="0" w:firstLine="420"/>
        <w:spacing w:before="0" w:after="120" w:line="360" w:lineRule="auto"/>
        <w:rPr>
          <w:rFonts w:hint="eastAsia" w:ascii="宋体" w:hAnsi="宋体" w:eastAsia="宋体" w:cs="宋体"/>
          <w:b w:val="0"/>
          <w:bCs/>
          <w:color w:val="000000"/>
          <w:sz w:val="21"/>
          <w:szCs w:val="21"/>
          <w:lang w:eastAsia="zh-CN"/>
        </w:rPr>
      </w:pPr>
      <w:r>
        <w:rPr>
          <w:rFonts w:hint="eastAsia" w:ascii="宋体" w:hAnsi="宋体" w:eastAsia="宋体" w:cs="宋体"/>
          <w:color w:val="000000"/>
          <w:sz w:val="20"/>
          <w:szCs w:val="20"/>
          <w:u w:val="single"/>
        </w:rPr>
        <w:t xml:space="preserve">施工期间的周边关系及第三方干扰等由承包人负责协调，所需费用含在投标报价内。</w:t>
      </w:r>
      <w:r/>
    </w:p>
    <w:p>
      <w:pPr>
        <w:numPr>
          <w:ilvl w:val="0"/>
          <w:numId w:val="0"/>
        </w:numPr>
        <w:ind w:left="0" w:right="0" w:firstLine="420"/>
        <w:spacing w:before="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 资金来源证明及支付担保</w:t>
      </w:r>
      <w:r/>
    </w:p>
    <w:p>
      <w:pPr>
        <w:ind w:left="0" w:righ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发包人提供资金来源证明的期限要求：</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发包人是否提供支付担保：</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发包人提供支付担保的形式：</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pStyle w:val="1103"/>
        <w:spacing w:before="120" w:after="120" w:line="360" w:lineRule="auto"/>
        <w:rPr>
          <w:rFonts w:hint="eastAsia" w:ascii="宋体" w:hAnsi="宋体" w:eastAsia="宋体" w:cs="宋体"/>
          <w:sz w:val="21"/>
          <w:szCs w:val="21"/>
        </w:rPr>
      </w:pPr>
      <w:r>
        <w:rPr>
          <w:rFonts w:hint="eastAsia" w:ascii="宋体" w:hAnsi="宋体" w:eastAsia="宋体" w:cs="宋体"/>
          <w:b w:val="0"/>
          <w:sz w:val="21"/>
          <w:szCs w:val="21"/>
        </w:rPr>
        <w:t xml:space="preserve">3. 承包人</w:t>
      </w:r>
      <w:r/>
    </w:p>
    <w:p>
      <w:pPr>
        <w:ind w:left="0" w:right="0" w:firstLine="420"/>
        <w:spacing w:before="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 承包人的一般义务</w:t>
      </w:r>
      <w:r/>
    </w:p>
    <w:p>
      <w:pPr>
        <w:ind w:firstLine="420"/>
        <w:spacing w:after="0" w:line="360" w:lineRule="auto"/>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1</w:t>
      </w:r>
      <w:r>
        <w:rPr>
          <w:rFonts w:hint="eastAsia" w:ascii="宋体" w:hAnsi="宋体" w:eastAsia="宋体" w:cs="宋体"/>
          <w:b w:val="0"/>
          <w:bCs/>
          <w:color w:val="000000"/>
          <w:sz w:val="21"/>
          <w:szCs w:val="21"/>
          <w:lang w:eastAsia="zh-CN"/>
        </w:rPr>
        <w:t xml:space="preserve">）承包人提交的竣工资料的内容：</w:t>
      </w:r>
      <w:r>
        <w:rPr>
          <w:rFonts w:hint="eastAsia" w:ascii="宋体" w:hAnsi="宋体" w:eastAsia="宋体" w:cs="宋体"/>
          <w:b w:val="0"/>
          <w:bCs/>
          <w:color w:val="000000"/>
          <w:sz w:val="21"/>
          <w:szCs w:val="21"/>
          <w:u w:val="single"/>
          <w:lang w:eastAsia="zh-CN"/>
        </w:rPr>
        <w:t xml:space="preserve">承包人按照GB/T50328-2001《建设工程文件归档整理规范》及江苏省相关法规、规范标准及本合同要求绘制竣工图及完整的工程技术档案、工程质量保修书及有关工程使用、保养、维护的说明</w:t>
      </w:r>
      <w:r>
        <w:rPr>
          <w:rFonts w:hint="eastAsia" w:ascii="宋体" w:hAnsi="宋体" w:eastAsia="宋体" w:cs="宋体"/>
          <w:b w:val="0"/>
          <w:bCs/>
          <w:color w:val="000000"/>
          <w:sz w:val="21"/>
          <w:szCs w:val="21"/>
          <w:lang w:eastAsia="zh-CN"/>
        </w:rPr>
        <w:t xml:space="preserve">。</w:t>
      </w:r>
      <w:r/>
    </w:p>
    <w:p>
      <w:pPr>
        <w:ind w:firstLine="420"/>
        <w:spacing w:after="0" w:line="360" w:lineRule="auto"/>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承包人需要提交的竣工资料套数：</w:t>
      </w:r>
      <w:r>
        <w:rPr>
          <w:rFonts w:hint="eastAsia" w:ascii="宋体" w:hAnsi="宋体" w:eastAsia="宋体" w:cs="宋体"/>
          <w:b w:val="0"/>
          <w:bCs/>
          <w:color w:val="000000"/>
          <w:sz w:val="21"/>
          <w:szCs w:val="21"/>
          <w:u w:val="single"/>
          <w:lang w:eastAsia="zh-CN"/>
        </w:rPr>
        <w:t xml:space="preserve">①满足行政主管部门要求；②向发包人提交盖承包人公章和工程竣工资料专用章的纸质版资料三套、电子文档资料一套；③承包人自留一套</w:t>
      </w:r>
      <w:r>
        <w:rPr>
          <w:rFonts w:hint="eastAsia" w:ascii="宋体" w:hAnsi="宋体" w:eastAsia="宋体" w:cs="宋体"/>
          <w:b w:val="0"/>
          <w:bCs/>
          <w:color w:val="000000"/>
          <w:sz w:val="21"/>
          <w:szCs w:val="21"/>
          <w:lang w:eastAsia="zh-CN"/>
        </w:rPr>
        <w:t xml:space="preserve">。</w:t>
      </w:r>
      <w:r/>
    </w:p>
    <w:p>
      <w:pPr>
        <w:ind w:left="638"/>
        <w:spacing w:after="0" w:line="360" w:lineRule="auto"/>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承包人提交的竣工资料的费用承担：</w:t>
      </w:r>
      <w:r>
        <w:rPr>
          <w:rFonts w:hint="eastAsia" w:ascii="宋体" w:hAnsi="宋体" w:eastAsia="宋体" w:cs="宋体"/>
          <w:b w:val="0"/>
          <w:bCs/>
          <w:color w:val="000000"/>
          <w:sz w:val="21"/>
          <w:szCs w:val="21"/>
          <w:u w:val="single"/>
          <w:lang w:eastAsia="zh-CN"/>
        </w:rPr>
        <w:t xml:space="preserve">承包人承担</w:t>
      </w:r>
      <w:r>
        <w:rPr>
          <w:rFonts w:hint="eastAsia" w:ascii="宋体" w:hAnsi="宋体" w:eastAsia="宋体" w:cs="宋体"/>
          <w:b w:val="0"/>
          <w:bCs/>
          <w:color w:val="000000"/>
          <w:sz w:val="21"/>
          <w:szCs w:val="21"/>
          <w:lang w:eastAsia="zh-CN"/>
        </w:rPr>
        <w:t xml:space="preserve">。</w:t>
      </w:r>
      <w:r/>
    </w:p>
    <w:p>
      <w:pPr>
        <w:ind w:left="638"/>
        <w:spacing w:after="0" w:line="360" w:lineRule="auto"/>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承包人提交的竣工资料移交时间：</w:t>
      </w:r>
      <w:r>
        <w:rPr>
          <w:rFonts w:hint="eastAsia" w:ascii="宋体" w:hAnsi="宋体" w:eastAsia="宋体" w:cs="宋体"/>
          <w:b w:val="0"/>
          <w:bCs/>
          <w:color w:val="000000"/>
          <w:sz w:val="21"/>
          <w:szCs w:val="21"/>
          <w:u w:val="single"/>
          <w:lang w:eastAsia="zh-CN"/>
        </w:rPr>
        <w:t xml:space="preserve">工程竣工验收合格之日起30天内完成移交</w:t>
      </w:r>
      <w:r>
        <w:rPr>
          <w:rFonts w:hint="eastAsia" w:ascii="宋体" w:hAnsi="宋体" w:eastAsia="宋体" w:cs="宋体"/>
          <w:b w:val="0"/>
          <w:bCs/>
          <w:color w:val="000000"/>
          <w:sz w:val="21"/>
          <w:szCs w:val="21"/>
          <w:lang w:eastAsia="zh-CN"/>
        </w:rPr>
        <w:t xml:space="preserve">。</w:t>
      </w:r>
      <w:r/>
    </w:p>
    <w:p>
      <w:pPr>
        <w:ind w:firstLine="630"/>
        <w:spacing w:after="0" w:line="360" w:lineRule="auto"/>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承包人提交的竣工资料形式要求：</w:t>
      </w:r>
      <w:r>
        <w:rPr>
          <w:rFonts w:hint="eastAsia" w:ascii="宋体" w:hAnsi="宋体" w:eastAsia="宋体" w:cs="宋体"/>
          <w:b w:val="0"/>
          <w:bCs/>
          <w:color w:val="000000"/>
          <w:sz w:val="21"/>
          <w:szCs w:val="21"/>
          <w:u w:val="single"/>
          <w:lang w:eastAsia="zh-CN"/>
        </w:rPr>
        <w:t xml:space="preserve">立卷、装订成册的纸质文档和电子文档</w:t>
      </w:r>
      <w:r>
        <w:rPr>
          <w:rFonts w:hint="eastAsia" w:ascii="宋体" w:hAnsi="宋体" w:eastAsia="宋体" w:cs="宋体"/>
          <w:b w:val="0"/>
          <w:bCs/>
          <w:color w:val="000000"/>
          <w:sz w:val="21"/>
          <w:szCs w:val="21"/>
          <w:lang w:eastAsia="zh-CN"/>
        </w:rPr>
        <w:t xml:space="preserve">。</w:t>
      </w:r>
      <w:r/>
    </w:p>
    <w:p>
      <w:pPr>
        <w:ind w:firstLine="420"/>
        <w:spacing w:after="0" w:line="360" w:lineRule="auto"/>
        <w:rPr>
          <w:rFonts w:hint="eastAsia" w:ascii="宋体" w:hAnsi="宋体" w:eastAsia="宋体" w:cs="宋体"/>
          <w:b w:val="0"/>
          <w:bCs/>
          <w:color w:val="000000"/>
          <w:sz w:val="21"/>
          <w:szCs w:val="21"/>
          <w:u w:val="single"/>
          <w:lang w:eastAsia="zh-CN"/>
        </w:rPr>
      </w:pP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2</w:t>
      </w:r>
      <w:r>
        <w:rPr>
          <w:rFonts w:hint="eastAsia" w:ascii="宋体" w:hAnsi="宋体" w:eastAsia="宋体" w:cs="宋体"/>
          <w:b w:val="0"/>
          <w:bCs/>
          <w:color w:val="000000"/>
          <w:sz w:val="21"/>
          <w:szCs w:val="21"/>
          <w:lang w:eastAsia="zh-CN"/>
        </w:rPr>
        <w:t xml:space="preserve">）承包人应履行的其他义务：</w:t>
      </w:r>
      <w:r>
        <w:rPr>
          <w:rFonts w:hint="eastAsia" w:ascii="宋体" w:hAnsi="宋体" w:eastAsia="宋体" w:cs="宋体"/>
          <w:b w:val="0"/>
          <w:bCs/>
          <w:color w:val="000000"/>
          <w:sz w:val="21"/>
          <w:szCs w:val="21"/>
          <w:u w:val="single"/>
          <w:lang w:eastAsia="zh-CN"/>
        </w:rPr>
        <w:t xml:space="preserve">承包人必须对工程现场施工人员全部实行实名制考勤管理，签订劳动合同，按月足额发放工资。</w:t>
      </w:r>
      <w:r/>
    </w:p>
    <w:p>
      <w:pPr>
        <w:ind w:left="0" w:right="0" w:firstLine="420"/>
        <w:spacing w:before="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 项目经理</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3.2.1 项目经理：</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姓    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身份证号：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建造师执业资格等级：</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建造师注册证书号：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建造师执业印章号：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安全生产考核合格证书号：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color w:val="000000"/>
          <w:sz w:val="21"/>
          <w:szCs w:val="21"/>
          <w:u w:val="single"/>
        </w:rPr>
      </w:pPr>
      <w:r>
        <w:rPr>
          <w:rFonts w:hint="eastAsia" w:ascii="宋体" w:hAnsi="宋体" w:eastAsia="宋体" w:cs="宋体"/>
          <w:sz w:val="21"/>
          <w:szCs w:val="21"/>
          <w:lang w:val="en-US" w:eastAsia="zh-CN"/>
        </w:rPr>
        <w:t xml:space="preserve">承包人对项目经理的授权范围如下：</w:t>
      </w:r>
      <w:r>
        <w:rPr>
          <w:rFonts w:hint="eastAsia" w:ascii="宋体" w:hAnsi="宋体" w:eastAsia="宋体" w:cs="宋体"/>
          <w:sz w:val="21"/>
          <w:szCs w:val="21"/>
          <w:u w:val="single"/>
          <w:lang w:val="en-US" w:eastAsia="zh-CN"/>
        </w:rPr>
        <w:t xml:space="preserve">1.领导、决策，调集企业所属各单位、各部门为项目进行全面服务和控制。2.代表承包人履行对业主的合约，并受业主委托</w:t>
      </w:r>
      <w:r>
        <w:rPr>
          <w:rFonts w:hint="eastAsia" w:ascii="宋体" w:hAnsi="宋体" w:eastAsia="宋体" w:cs="宋体"/>
          <w:sz w:val="21"/>
          <w:szCs w:val="21"/>
          <w:u w:val="single"/>
          <w:lang w:val="en-US" w:eastAsia="zh-CN"/>
        </w:rPr>
        <w:t xml:space="preserve">行使对项目所有分包商统一指挥、协调、管理权；3.负责组织编制与审批工程总体进度计划及其修订与调整；4.负责组织编制与审批质量保证计划及其修订与调整；5.负责组织编制与审批主要物资供应与采购计划及其修订与调整；6.负责组织编制与审批工程分包计划及其修订与调整；7.组织工程成本的分析、预测及控制，对项目资金管理与财务运作负责；8.与业主、监理保持经常沟通，了解业主需求，解决随时出现的问题，替业主排忧解难，保护业主利益；9.负责组织人力资源调配、内部和外部关系协调；遵照合同约定及施工组织设计中的内容实施于工程，当</w:t>
      </w:r>
      <w:r>
        <w:rPr>
          <w:rFonts w:hint="eastAsia" w:ascii="宋体" w:hAnsi="宋体" w:eastAsia="宋体" w:cs="宋体"/>
          <w:color w:val="000000"/>
          <w:sz w:val="21"/>
          <w:szCs w:val="21"/>
          <w:u w:val="single"/>
          <w:lang w:val="en-US" w:eastAsia="zh-CN"/>
        </w:rPr>
        <w:t xml:space="preserve">超出实施范围应向上级决策机构申报。 </w:t>
      </w:r>
      <w:r/>
    </w:p>
    <w:p>
      <w:pPr>
        <w:ind w:left="0" w:right="0" w:firstLine="42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lang w:val="en-US" w:eastAsia="zh-CN"/>
        </w:rPr>
        <w:t xml:space="preserve">关于项目经理每月在施工现场的时间要求：</w:t>
      </w:r>
      <w:r>
        <w:rPr>
          <w:rFonts w:hint="eastAsia" w:ascii="宋体" w:hAnsi="宋体" w:eastAsia="宋体" w:cs="宋体"/>
          <w:b w:val="0"/>
          <w:bCs/>
          <w:color w:val="000000"/>
          <w:sz w:val="21"/>
          <w:szCs w:val="21"/>
          <w:u w:val="single"/>
          <w:lang w:eastAsia="zh-CN"/>
        </w:rPr>
        <w:t xml:space="preserve">每天不少于8小时，每周不少于6天</w:t>
      </w:r>
      <w:r>
        <w:rPr>
          <w:rFonts w:hint="eastAsia" w:ascii="宋体" w:hAnsi="宋体" w:eastAsia="宋体" w:cs="宋体"/>
          <w:b w:val="0"/>
          <w:bCs/>
          <w:color w:val="000000"/>
          <w:sz w:val="21"/>
          <w:szCs w:val="21"/>
          <w:lang w:eastAsia="zh-CN"/>
        </w:rPr>
        <w:t xml:space="preserve">。</w:t>
      </w:r>
      <w:r/>
    </w:p>
    <w:p>
      <w:pPr>
        <w:ind w:left="0" w:righ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承包人未提交劳动合同，以及没有为项目经理缴纳社会保险证明的违约责任：</w:t>
      </w:r>
      <w:r>
        <w:rPr>
          <w:rFonts w:hint="eastAsia" w:ascii="宋体" w:hAnsi="宋体" w:eastAsia="宋体" w:cs="宋体"/>
          <w:b w:val="0"/>
          <w:bCs/>
          <w:color w:val="000000"/>
          <w:sz w:val="21"/>
          <w:szCs w:val="21"/>
          <w:u w:val="single"/>
          <w:lang w:eastAsia="zh-CN"/>
        </w:rPr>
        <w:t xml:space="preserve">承包人承担叁万元的违约金，责令限期提交劳动合同并补缴社会保险</w:t>
      </w:r>
      <w:r>
        <w:rPr>
          <w:rFonts w:hint="eastAsia" w:ascii="宋体" w:hAnsi="宋体" w:eastAsia="宋体" w:cs="宋体"/>
          <w:b w:val="0"/>
          <w:bCs/>
          <w:color w:val="000000"/>
          <w:sz w:val="21"/>
          <w:szCs w:val="21"/>
          <w:lang w:eastAsia="zh-CN"/>
        </w:rPr>
        <w:t xml:space="preserve">。</w:t>
      </w:r>
      <w:r/>
    </w:p>
    <w:p>
      <w:pPr>
        <w:ind w:left="0" w:righ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项目经理未经批准，擅自离开施工现场的违约责任：</w:t>
      </w:r>
      <w:r>
        <w:rPr>
          <w:rFonts w:hint="eastAsia" w:ascii="宋体" w:hAnsi="宋体" w:eastAsia="宋体" w:cs="宋体"/>
          <w:b w:val="0"/>
          <w:bCs/>
          <w:color w:val="000000"/>
          <w:sz w:val="21"/>
          <w:szCs w:val="21"/>
          <w:u w:val="single"/>
          <w:lang w:eastAsia="zh-CN"/>
        </w:rPr>
        <w:t xml:space="preserve">发包人有权要求承包人承担1000元/天的违约金，且承包人承担上述违约给发包人造成的一切损失</w:t>
      </w:r>
      <w:r>
        <w:rPr>
          <w:rFonts w:hint="eastAsia" w:ascii="宋体" w:hAnsi="宋体" w:eastAsia="宋体" w:cs="宋体"/>
          <w:b w:val="0"/>
          <w:bCs/>
          <w:color w:val="000000"/>
          <w:sz w:val="21"/>
          <w:szCs w:val="21"/>
          <w:lang w:eastAsia="zh-CN"/>
        </w:rPr>
        <w:t xml:space="preserve">。</w:t>
      </w:r>
      <w:r/>
    </w:p>
    <w:p>
      <w:pPr>
        <w:ind w:left="0" w:right="0" w:firstLine="420"/>
        <w:spacing w:line="360" w:lineRule="auto"/>
        <w:rPr>
          <w:rFonts w:hint="eastAsia" w:ascii="宋体" w:hAnsi="宋体" w:eastAsia="宋体" w:cs="宋体"/>
          <w:b w:val="0"/>
          <w:bCs/>
          <w:color w:val="000000"/>
          <w:sz w:val="21"/>
          <w:szCs w:val="21"/>
          <w:lang w:eastAsia="zh-CN"/>
        </w:rPr>
      </w:pPr>
      <w:r>
        <w:rPr>
          <w:rFonts w:hint="eastAsia" w:ascii="宋体" w:hAnsi="宋体" w:eastAsia="宋体" w:cs="宋体"/>
          <w:color w:val="000000"/>
          <w:sz w:val="21"/>
          <w:szCs w:val="21"/>
        </w:rPr>
        <w:t xml:space="preserve">3.2.3 承包人擅自更换项目经理的违约责任：</w:t>
      </w:r>
      <w:r>
        <w:rPr>
          <w:rFonts w:hint="eastAsia" w:ascii="宋体" w:hAnsi="宋体" w:eastAsia="宋体" w:cs="宋体"/>
          <w:b w:val="0"/>
          <w:bCs/>
          <w:color w:val="000000"/>
          <w:sz w:val="21"/>
          <w:szCs w:val="21"/>
          <w:u w:val="single"/>
          <w:lang w:eastAsia="zh-CN"/>
        </w:rPr>
        <w:t xml:space="preserve">发包人有权要求承包人承担伍万元的违约金，并有权解除合同并责令承包人退场，由此产生的一切损失及后果由承包人承担</w:t>
      </w:r>
      <w:r>
        <w:rPr>
          <w:rFonts w:hint="eastAsia" w:ascii="宋体" w:hAnsi="宋体" w:eastAsia="宋体" w:cs="宋体"/>
          <w:b w:val="0"/>
          <w:bCs/>
          <w:color w:val="000000"/>
          <w:sz w:val="21"/>
          <w:szCs w:val="21"/>
          <w:lang w:eastAsia="zh-CN"/>
        </w:rPr>
        <w:t xml:space="preserve">。</w:t>
      </w:r>
      <w:r/>
    </w:p>
    <w:p>
      <w:pPr>
        <w:ind w:firstLine="420"/>
        <w:spacing w:after="0" w:line="360" w:lineRule="auto"/>
        <w:rPr>
          <w:rFonts w:hint="eastAsia" w:ascii="宋体" w:hAnsi="宋体" w:eastAsia="宋体" w:cs="宋体"/>
          <w:b w:val="0"/>
          <w:bCs/>
          <w:color w:val="000000"/>
          <w:sz w:val="21"/>
          <w:szCs w:val="21"/>
          <w:u w:val="single"/>
          <w:lang w:eastAsia="zh-CN"/>
        </w:rPr>
        <w:outlineLvl w:val="0"/>
      </w:pPr>
      <w:r>
        <w:rPr>
          <w:rFonts w:hint="eastAsia" w:ascii="宋体" w:hAnsi="宋体" w:eastAsia="宋体" w:cs="宋体"/>
          <w:color w:val="000000"/>
          <w:sz w:val="21"/>
          <w:szCs w:val="21"/>
        </w:rPr>
        <w:t xml:space="preserve">3.2.4 承包人无正当理由拒绝更换项目经理的违约责任：</w:t>
      </w:r>
      <w:r>
        <w:rPr>
          <w:rFonts w:hint="eastAsia" w:ascii="宋体" w:hAnsi="宋体" w:eastAsia="宋体" w:cs="宋体"/>
          <w:b w:val="0"/>
          <w:bCs/>
          <w:color w:val="000000"/>
          <w:sz w:val="21"/>
          <w:szCs w:val="21"/>
          <w:u w:val="single"/>
          <w:lang w:eastAsia="zh-CN"/>
        </w:rPr>
        <w:t xml:space="preserve">在任何情况下，如果发包人认为项目经理不能胜任工作，有权以书面通知，要求承包人更换项目经理；承包人应在收到发包人通知之日起的 7 天内，按照发包人要求，提出新的人选，报发包人批准并办理相关变更备案手续后，即刻任命。承包人拒绝更换的，</w:t>
      </w:r>
      <w:r>
        <w:rPr>
          <w:rFonts w:hint="eastAsia" w:ascii="宋体" w:hAnsi="宋体" w:eastAsia="宋体" w:cs="宋体"/>
          <w:b w:val="0"/>
          <w:bCs/>
          <w:color w:val="000000"/>
          <w:sz w:val="21"/>
          <w:szCs w:val="21"/>
          <w:u w:val="single"/>
          <w:lang w:val="en-US" w:eastAsia="zh-CN"/>
        </w:rPr>
        <w:t xml:space="preserve">发包人有权要求承包人承担伍万元的违金，</w:t>
      </w:r>
      <w:r>
        <w:rPr>
          <w:rFonts w:hint="eastAsia" w:ascii="宋体" w:hAnsi="宋体" w:eastAsia="宋体" w:cs="宋体"/>
          <w:b w:val="0"/>
          <w:bCs/>
          <w:color w:val="000000"/>
          <w:sz w:val="21"/>
          <w:szCs w:val="21"/>
          <w:u w:val="single"/>
          <w:lang w:eastAsia="zh-CN"/>
        </w:rPr>
        <w:t xml:space="preserve">并有权解除合同并责令承包人退场，由此产生的一切损失及后果由承包人承担。</w:t>
      </w:r>
      <w:r/>
    </w:p>
    <w:p>
      <w:p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3.3 承包人人员</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3.3.1 承包人提交项目管理机构及施工现场管理人员安排报告的期限：</w:t>
      </w:r>
      <w:r>
        <w:rPr>
          <w:rFonts w:hint="eastAsia" w:ascii="宋体" w:hAnsi="宋体" w:eastAsia="宋体" w:cs="宋体"/>
          <w:sz w:val="21"/>
          <w:szCs w:val="21"/>
          <w:u w:val="single"/>
        </w:rPr>
        <w:t xml:space="preserve">合同签字生效后 7 天内。</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3.3.3 承包人无正当理由拒绝撤换主要施工管理人员的违约责任：</w:t>
      </w:r>
      <w:r>
        <w:rPr>
          <w:rFonts w:hint="eastAsia" w:ascii="宋体" w:hAnsi="宋体" w:eastAsia="宋体" w:cs="宋体"/>
          <w:sz w:val="21"/>
          <w:szCs w:val="21"/>
          <w:u w:val="single"/>
        </w:rPr>
        <w:t xml:space="preserve">在任何情况下，如果发包人认为施工管理人员不能胜任工作，有权以书面通知，要求承包人更换施工管理人员；承包人应在收到发包人通知之日起的 7 天内，按照发包人要求，提出新的人选，报发包人批准后，即刻任命。承包人拒绝更换的，承包人应承担</w:t>
      </w:r>
      <w:r>
        <w:rPr>
          <w:rFonts w:hint="eastAsia" w:ascii="宋体" w:hAnsi="宋体" w:eastAsia="宋体" w:cs="宋体"/>
          <w:sz w:val="21"/>
          <w:szCs w:val="21"/>
          <w:u w:val="single"/>
          <w:lang w:val="en-US" w:eastAsia="zh-CN"/>
        </w:rPr>
        <w:t xml:space="preserve">叁</w:t>
      </w:r>
      <w:r>
        <w:rPr>
          <w:rFonts w:hint="eastAsia" w:ascii="宋体" w:hAnsi="宋体" w:eastAsia="宋体" w:cs="宋体"/>
          <w:sz w:val="21"/>
          <w:szCs w:val="21"/>
          <w:u w:val="single"/>
        </w:rPr>
        <w:t xml:space="preserve">万元∕人次的违约金，由此产生的一切损失及后果由承包人承担。</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3.3.4 承包人主要施工管理人员离开施工现场的批准要求：</w:t>
      </w:r>
      <w:r>
        <w:rPr>
          <w:rFonts w:hint="eastAsia" w:ascii="宋体" w:hAnsi="宋体" w:eastAsia="宋体" w:cs="宋体"/>
          <w:sz w:val="21"/>
          <w:szCs w:val="21"/>
          <w:u w:val="single"/>
        </w:rPr>
        <w:t xml:space="preserve">由总监理工程师批准，发包人认可后方可离开。</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3.3.5 承包人擅自更换主要施工管理人员的违约责任：</w:t>
      </w:r>
      <w:r>
        <w:rPr>
          <w:rFonts w:hint="eastAsia" w:ascii="宋体" w:hAnsi="宋体" w:eastAsia="宋体" w:cs="宋体"/>
          <w:sz w:val="21"/>
          <w:szCs w:val="21"/>
          <w:u w:val="single"/>
        </w:rPr>
        <w:t xml:space="preserve">承包人的施工管理人员不能擅自更换，确须调整时，必须经发包人书面同意。否则承包人承担应</w:t>
      </w:r>
      <w:r>
        <w:rPr>
          <w:rFonts w:hint="eastAsia" w:ascii="宋体" w:hAnsi="宋体" w:eastAsia="宋体" w:cs="宋体"/>
          <w:sz w:val="21"/>
          <w:szCs w:val="21"/>
          <w:u w:val="single"/>
          <w:lang w:val="en-US" w:eastAsia="zh-CN"/>
        </w:rPr>
        <w:t xml:space="preserve">壹</w:t>
      </w:r>
      <w:r>
        <w:rPr>
          <w:rFonts w:hint="eastAsia" w:ascii="宋体" w:hAnsi="宋体" w:eastAsia="宋体" w:cs="宋体"/>
          <w:sz w:val="21"/>
          <w:szCs w:val="21"/>
          <w:u w:val="single"/>
        </w:rPr>
        <w:t xml:space="preserve">万元/人.次的违约金，由此产生的一切损失及后果由承包人承担。</w:t>
      </w:r>
      <w:r/>
    </w:p>
    <w:p>
      <w:pPr>
        <w:ind w:left="0" w:right="0" w:firstLine="420"/>
        <w:spacing w:line="360" w:lineRule="auto"/>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rPr>
        <w:t xml:space="preserve">承包人主要施工管理人员擅自离开施工现场的违约责任：</w:t>
      </w:r>
      <w:r>
        <w:rPr>
          <w:rFonts w:hint="eastAsia" w:ascii="宋体" w:hAnsi="宋体" w:eastAsia="宋体" w:cs="宋体"/>
          <w:b w:val="0"/>
          <w:bCs/>
          <w:color w:val="000000"/>
          <w:sz w:val="21"/>
          <w:szCs w:val="21"/>
          <w:highlight w:val="none"/>
          <w:u w:val="single"/>
          <w:lang w:eastAsia="zh-CN"/>
        </w:rPr>
        <w:t xml:space="preserve">承包人承担</w:t>
      </w:r>
      <w:r>
        <w:rPr>
          <w:rFonts w:hint="eastAsia" w:ascii="宋体" w:hAnsi="宋体" w:eastAsia="宋体" w:cs="宋体"/>
          <w:b w:val="0"/>
          <w:bCs/>
          <w:color w:val="000000"/>
          <w:sz w:val="21"/>
          <w:szCs w:val="21"/>
          <w:highlight w:val="none"/>
          <w:u w:val="single"/>
          <w:lang w:val="en-US" w:eastAsia="zh-CN"/>
        </w:rPr>
        <w:t xml:space="preserve">1000</w:t>
      </w:r>
      <w:r>
        <w:rPr>
          <w:rFonts w:hint="eastAsia" w:ascii="宋体" w:hAnsi="宋体" w:eastAsia="宋体" w:cs="宋体"/>
          <w:b w:val="0"/>
          <w:bCs/>
          <w:color w:val="000000"/>
          <w:sz w:val="21"/>
          <w:szCs w:val="21"/>
          <w:highlight w:val="none"/>
          <w:u w:val="single"/>
          <w:lang w:eastAsia="zh-CN"/>
        </w:rPr>
        <w:t xml:space="preserve">元/次的违约金，并承担上述违约给发包人造成的损失</w:t>
      </w:r>
      <w:r>
        <w:rPr>
          <w:rFonts w:hint="eastAsia" w:ascii="宋体" w:hAnsi="宋体" w:eastAsia="宋体" w:cs="宋体"/>
          <w:b w:val="0"/>
          <w:bCs/>
          <w:color w:val="000000"/>
          <w:sz w:val="21"/>
          <w:szCs w:val="21"/>
          <w:highlight w:val="none"/>
          <w:lang w:eastAsia="zh-CN"/>
        </w:rPr>
        <w:t xml:space="preserve">。</w:t>
      </w:r>
      <w:r/>
    </w:p>
    <w:p>
      <w:pPr>
        <w:ind w:left="0" w:right="0" w:firstLine="420"/>
        <w:spacing w:before="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 分包</w:t>
      </w:r>
      <w:r/>
    </w:p>
    <w:p>
      <w:pPr>
        <w:ind w:left="0" w:righ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3.5.1 分包的一般约定</w:t>
      </w:r>
      <w:r/>
    </w:p>
    <w:p>
      <w:pPr>
        <w:ind w:left="0" w:right="0"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禁止分包的工程包括：</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left="0" w:right="0"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主体结构、关键性工作的范围：</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left="0" w:righ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3.5.2分包的确定</w:t>
      </w:r>
      <w:r/>
    </w:p>
    <w:p>
      <w:pPr>
        <w:ind w:left="0" w:righ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允许分包的专业工程包括：</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left="0" w:righ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其他关于分包的约定：</w:t>
      </w:r>
      <w:r>
        <w:rPr>
          <w:rFonts w:hint="eastAsia" w:ascii="宋体" w:hAnsi="宋体" w:eastAsia="宋体" w:cs="宋体"/>
          <w:color w:val="000000"/>
          <w:sz w:val="21"/>
          <w:szCs w:val="21"/>
          <w:highlight w:val="none"/>
          <w:u w:val="single"/>
          <w:lang w:eastAsia="zh-CN"/>
        </w:rPr>
        <w:t xml:space="preserve">符合行业规范并经采购人认可</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left="0" w:righ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3.5.4 分包合同价款</w:t>
      </w:r>
      <w:r/>
    </w:p>
    <w:p>
      <w:pPr>
        <w:ind w:left="0" w:righ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关于分包合同价款支付的约定：</w:t>
      </w:r>
      <w:r>
        <w:rPr>
          <w:rFonts w:hint="eastAsia" w:ascii="宋体" w:hAnsi="宋体" w:eastAsia="宋体" w:cs="宋体"/>
          <w:b w:val="0"/>
          <w:bCs/>
          <w:color w:val="000000"/>
          <w:sz w:val="21"/>
          <w:szCs w:val="21"/>
          <w:highlight w:val="none"/>
          <w:u w:val="single"/>
          <w:lang w:eastAsia="zh-CN"/>
        </w:rPr>
        <w:t xml:space="preserve">本工程不允许承包方有任何形式的转包和未经发包方允许的分包，否则发包方有权终止合同，一切损失由承包方承担</w:t>
      </w:r>
      <w:r>
        <w:rPr>
          <w:rFonts w:hint="eastAsia" w:ascii="宋体" w:hAnsi="宋体" w:eastAsia="宋体" w:cs="宋体"/>
          <w:b w:val="0"/>
          <w:bCs/>
          <w:color w:val="000000"/>
          <w:sz w:val="21"/>
          <w:szCs w:val="21"/>
          <w:highlight w:val="none"/>
          <w:lang w:eastAsia="zh-CN"/>
        </w:rPr>
        <w:t xml:space="preserve">。</w:t>
      </w:r>
      <w:r/>
    </w:p>
    <w:p>
      <w:p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3.6 工程照管与成品、半成品保护</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承包人负责照管工程及工程相关的材料、工程设备的起始时间：</w:t>
      </w:r>
      <w:r>
        <w:rPr>
          <w:rFonts w:hint="eastAsia" w:ascii="宋体" w:hAnsi="宋体" w:eastAsia="宋体" w:cs="宋体"/>
          <w:b w:val="0"/>
          <w:bCs/>
          <w:color w:val="000000"/>
          <w:sz w:val="21"/>
          <w:szCs w:val="21"/>
          <w:u w:val="single"/>
          <w:lang w:eastAsia="zh-CN"/>
        </w:rPr>
        <w:t xml:space="preserve">设备、</w:t>
      </w:r>
      <w:r>
        <w:rPr>
          <w:rFonts w:hint="eastAsia" w:ascii="宋体" w:hAnsi="宋体" w:eastAsia="宋体" w:cs="宋体"/>
          <w:sz w:val="21"/>
          <w:szCs w:val="21"/>
          <w:u w:val="single"/>
        </w:rPr>
        <w:t xml:space="preserve">人员进场至工程移交/接收证书签发前由承包人负责照管，费用由承包人承担。</w:t>
      </w:r>
      <w:r/>
    </w:p>
    <w:p>
      <w:p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3.7 履约担保</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承包人是否提供履约担保：</w:t>
      </w:r>
      <w:r>
        <w:rPr>
          <w:rFonts w:hint="eastAsia" w:ascii="宋体" w:hAnsi="宋体" w:eastAsia="宋体" w:cs="宋体"/>
          <w:b w:val="0"/>
          <w:bCs/>
          <w:color w:val="000000"/>
          <w:sz w:val="21"/>
          <w:szCs w:val="21"/>
          <w:u w:val="single"/>
          <w:lang w:eastAsia="zh-CN"/>
        </w:rPr>
        <w:t xml:space="preserve">否</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承包人提供履约担保的形式、金额及期限的：</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pStyle w:val="1103"/>
        <w:spacing w:before="120" w:after="120" w:line="360" w:lineRule="auto"/>
        <w:rPr>
          <w:rFonts w:hint="eastAsia" w:ascii="宋体" w:hAnsi="宋体" w:eastAsia="宋体" w:cs="宋体"/>
          <w:sz w:val="21"/>
          <w:szCs w:val="21"/>
        </w:rPr>
      </w:pPr>
      <w:r>
        <w:rPr>
          <w:rFonts w:hint="eastAsia" w:ascii="宋体" w:hAnsi="宋体" w:eastAsia="宋体" w:cs="宋体"/>
          <w:b w:val="0"/>
          <w:sz w:val="21"/>
          <w:szCs w:val="21"/>
        </w:rPr>
        <w:t xml:space="preserve">4. 监理人</w:t>
      </w:r>
      <w:r/>
    </w:p>
    <w:p>
      <w:p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4.1监理人的一般规定</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关于监理人的监理内容：</w:t>
      </w:r>
      <w:r>
        <w:rPr>
          <w:rFonts w:hint="eastAsia" w:ascii="宋体" w:hAnsi="宋体" w:eastAsia="宋体" w:cs="宋体"/>
          <w:sz w:val="21"/>
          <w:szCs w:val="21"/>
          <w:u w:val="single"/>
        </w:rPr>
        <w:t xml:space="preserve">详见监理合同。</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关于监理人的监理权限：</w:t>
      </w:r>
      <w:r>
        <w:rPr>
          <w:rFonts w:hint="eastAsia" w:ascii="宋体" w:hAnsi="宋体" w:eastAsia="宋体" w:cs="宋体"/>
          <w:sz w:val="21"/>
          <w:szCs w:val="21"/>
          <w:u w:val="single"/>
        </w:rPr>
        <w:t xml:space="preserve">详见监理合同。</w:t>
      </w:r>
      <w:r>
        <w:rPr>
          <w:rFonts w:hint="eastAsia" w:ascii="宋体" w:hAnsi="宋体" w:eastAsia="宋体" w:cs="宋体"/>
          <w:sz w:val="21"/>
          <w:szCs w:val="21"/>
        </w:rPr>
        <w:t xml:space="preserve"> </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关于监理人在施工现场的办公场所、生活场所的提供和费用承担的约定：</w:t>
      </w:r>
      <w:r>
        <w:rPr>
          <w:rFonts w:hint="eastAsia" w:ascii="宋体" w:hAnsi="宋体" w:eastAsia="宋体" w:cs="宋体"/>
          <w:sz w:val="21"/>
          <w:szCs w:val="21"/>
          <w:u w:val="single"/>
        </w:rPr>
        <w:t xml:space="preserve">详见监理合同。</w:t>
      </w:r>
      <w:r/>
    </w:p>
    <w:p>
      <w:p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4.2 监理人员</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总监理工程师：</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姓    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职    务：</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监理工程师执业资格证书号：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通信地址：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ind w:firstLine="420"/>
        <w:spacing w:after="0" w:line="360" w:lineRule="auto"/>
        <w:rPr>
          <w:rFonts w:hint="eastAsia" w:ascii="宋体" w:hAnsi="宋体" w:eastAsia="宋体" w:cs="宋体"/>
          <w:b w:val="0"/>
          <w:bCs/>
          <w:color w:val="000000"/>
          <w:sz w:val="21"/>
          <w:szCs w:val="21"/>
          <w:u w:val="single"/>
          <w:lang w:eastAsia="zh-CN"/>
        </w:rPr>
      </w:pPr>
      <w:r>
        <w:rPr>
          <w:rFonts w:hint="eastAsia" w:ascii="宋体" w:hAnsi="宋体" w:eastAsia="宋体" w:cs="宋体"/>
          <w:color w:val="000000"/>
          <w:sz w:val="21"/>
          <w:szCs w:val="21"/>
        </w:rPr>
        <w:t xml:space="preserve">关于监理人的其他约定：</w:t>
      </w:r>
      <w:r>
        <w:rPr>
          <w:rFonts w:hint="eastAsia" w:ascii="宋体" w:hAnsi="宋体" w:eastAsia="宋体" w:cs="宋体"/>
          <w:b w:val="0"/>
          <w:bCs/>
          <w:color w:val="000000"/>
          <w:sz w:val="21"/>
          <w:szCs w:val="21"/>
          <w:lang w:eastAsia="zh-CN"/>
        </w:rPr>
        <w:t xml:space="preserve">关于监理人的其他约定：</w:t>
      </w:r>
      <w:r>
        <w:rPr>
          <w:rFonts w:hint="eastAsia" w:ascii="宋体" w:hAnsi="宋体" w:eastAsia="宋体" w:cs="宋体"/>
          <w:b w:val="0"/>
          <w:bCs/>
          <w:color w:val="000000"/>
          <w:sz w:val="21"/>
          <w:szCs w:val="21"/>
          <w:u w:val="single"/>
          <w:lang w:eastAsia="zh-CN"/>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纪要的签发；负责主持分部分项工程验收及工程竣工预验收，以及定期的现场施工调度会；参加发包人主持的竣工验收工作；发包人赋予的其他有关权利。</w:t>
      </w:r>
      <w:r/>
    </w:p>
    <w:p>
      <w:pPr>
        <w:ind w:left="0" w:right="0" w:firstLine="420"/>
        <w:spacing w:line="360" w:lineRule="auto"/>
        <w:rPr>
          <w:rFonts w:hint="eastAsia" w:ascii="宋体" w:hAnsi="宋体" w:eastAsia="宋体" w:cs="宋体"/>
          <w:color w:val="000000"/>
          <w:sz w:val="21"/>
          <w:szCs w:val="21"/>
        </w:rPr>
      </w:pPr>
      <w:r>
        <w:rPr>
          <w:rFonts w:hint="eastAsia" w:ascii="宋体" w:hAnsi="宋体" w:eastAsia="宋体" w:cs="宋体"/>
          <w:b w:val="0"/>
          <w:bCs/>
          <w:color w:val="000000"/>
          <w:sz w:val="21"/>
          <w:szCs w:val="21"/>
          <w:u w:val="single"/>
          <w:lang w:eastAsia="zh-CN"/>
        </w:rPr>
        <w:t xml:space="preserve">需要取得发包人批准监理人才能行使的职权：工程变更、工程量增减的签证、需增加工程费用的现场签证、形象进度工程量的核准、影响工期的签证及开工令、停复工令的签发</w:t>
      </w:r>
      <w:r>
        <w:rPr>
          <w:rFonts w:hint="eastAsia" w:ascii="宋体" w:hAnsi="宋体" w:eastAsia="宋体" w:cs="宋体"/>
          <w:b w:val="0"/>
          <w:bCs/>
          <w:color w:val="000000"/>
          <w:sz w:val="21"/>
          <w:szCs w:val="21"/>
          <w:lang w:eastAsia="zh-CN"/>
        </w:rPr>
        <w:t xml:space="preserve">。</w:t>
      </w:r>
      <w:r/>
    </w:p>
    <w:p>
      <w:pPr>
        <w:ind w:left="0" w:right="0" w:firstLine="420"/>
        <w:spacing w:before="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4.4 商定或确定</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在发包人和承包人不能通过协商达成一致意见时，发包人授权监理人对以下</w:t>
      </w:r>
      <w:r>
        <w:rPr>
          <w:rFonts w:hint="eastAsia" w:ascii="宋体" w:hAnsi="宋体" w:eastAsia="宋体" w:cs="宋体"/>
          <w:sz w:val="21"/>
          <w:szCs w:val="21"/>
        </w:rPr>
        <w:t xml:space="preserve">事项进行确定：</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pStyle w:val="1103"/>
        <w:spacing w:before="120" w:after="120" w:line="360" w:lineRule="auto"/>
        <w:rPr>
          <w:rFonts w:hint="eastAsia" w:ascii="宋体" w:hAnsi="宋体" w:eastAsia="宋体" w:cs="宋体"/>
          <w:sz w:val="21"/>
          <w:szCs w:val="21"/>
        </w:rPr>
      </w:pPr>
      <w:r>
        <w:rPr>
          <w:rFonts w:hint="eastAsia" w:ascii="宋体" w:hAnsi="宋体" w:eastAsia="宋体" w:cs="宋体"/>
          <w:b w:val="0"/>
          <w:sz w:val="21"/>
          <w:szCs w:val="21"/>
        </w:rPr>
        <w:t xml:space="preserve">5. 工程质量</w:t>
      </w:r>
      <w:r/>
    </w:p>
    <w:p>
      <w:pPr>
        <w:numPr>
          <w:ilvl w:val="0"/>
          <w:numId w:val="0"/>
        </w:num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5.1* 质量要求</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5.1.1 特殊质量标准和要求：</w:t>
      </w:r>
      <w:r>
        <w:rPr>
          <w:rFonts w:hint="eastAsia" w:ascii="宋体" w:hAnsi="宋体" w:eastAsia="宋体" w:cs="宋体"/>
          <w:sz w:val="21"/>
          <w:szCs w:val="21"/>
          <w:u w:val="single"/>
        </w:rPr>
        <w:t xml:space="preserve">    合格     </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关于工程奖项的约定：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 隐蔽工程检查</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5.3.2承包人提前通知监理人隐蔽工程检查的期限的约定：</w:t>
      </w:r>
      <w:r>
        <w:rPr>
          <w:rFonts w:hint="eastAsia" w:ascii="宋体" w:hAnsi="宋体" w:eastAsia="宋体" w:cs="宋体"/>
          <w:b w:val="0"/>
          <w:bCs/>
          <w:color w:val="000000"/>
          <w:sz w:val="21"/>
          <w:szCs w:val="21"/>
          <w:u w:val="single"/>
          <w:lang w:eastAsia="zh-CN"/>
        </w:rPr>
        <w:t xml:space="preserve">24小时</w:t>
      </w:r>
      <w:r>
        <w:rPr>
          <w:rFonts w:hint="eastAsia" w:ascii="宋体" w:hAnsi="宋体" w:eastAsia="宋体" w:cs="宋体"/>
          <w:color w:val="000000"/>
          <w:sz w:val="21"/>
          <w:szCs w:val="21"/>
        </w:rPr>
        <w:t xml:space="preserve">。</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监理人不能按时进行检查时，应提前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12</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小时提交书面延期要求。</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关于延期最长不得超过：</w:t>
      </w:r>
      <w:r>
        <w:rPr>
          <w:rFonts w:hint="eastAsia" w:ascii="宋体" w:hAnsi="宋体" w:eastAsia="宋体" w:cs="宋体"/>
          <w:color w:val="000000"/>
          <w:sz w:val="21"/>
          <w:szCs w:val="21"/>
          <w:u w:val="single"/>
        </w:rPr>
        <w:t xml:space="preserve">   48   </w:t>
      </w:r>
      <w:r>
        <w:rPr>
          <w:rFonts w:hint="eastAsia" w:ascii="宋体" w:hAnsi="宋体" w:eastAsia="宋体" w:cs="宋体"/>
          <w:color w:val="000000"/>
          <w:sz w:val="21"/>
          <w:szCs w:val="21"/>
        </w:rPr>
        <w:t xml:space="preserve">小时。</w:t>
      </w:r>
      <w:r/>
    </w:p>
    <w:p>
      <w:pPr>
        <w:pStyle w:val="1103"/>
        <w:spacing w:before="120" w:after="120" w:line="360" w:lineRule="auto"/>
        <w:rPr>
          <w:rFonts w:hint="eastAsia" w:ascii="宋体" w:hAnsi="宋体" w:eastAsia="宋体" w:cs="宋体"/>
          <w:color w:val="000000"/>
          <w:sz w:val="21"/>
          <w:szCs w:val="21"/>
        </w:rPr>
      </w:pPr>
      <w:r>
        <w:rPr>
          <w:rFonts w:hint="eastAsia" w:ascii="宋体" w:hAnsi="宋体" w:eastAsia="宋体" w:cs="宋体"/>
          <w:b w:val="0"/>
          <w:color w:val="000000"/>
          <w:sz w:val="21"/>
          <w:szCs w:val="21"/>
        </w:rPr>
        <w:t xml:space="preserve">6. 安全文明施工与环境保护</w:t>
      </w:r>
      <w:r/>
    </w:p>
    <w:p>
      <w:p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6.1安全文明施工</w:t>
      </w:r>
      <w:r/>
    </w:p>
    <w:p>
      <w:pPr>
        <w:ind w:firstLine="420"/>
        <w:spacing w:after="0" w:line="360" w:lineRule="auto"/>
        <w:rPr>
          <w:rFonts w:hint="eastAsia" w:ascii="宋体" w:hAnsi="宋体" w:eastAsia="宋体" w:cs="宋体"/>
          <w:b w:val="0"/>
          <w:bCs/>
          <w:color w:val="000000"/>
          <w:sz w:val="21"/>
          <w:szCs w:val="21"/>
          <w:u w:val="single"/>
          <w:lang w:eastAsia="zh-CN"/>
        </w:rPr>
      </w:pPr>
      <w:r>
        <w:rPr>
          <w:rFonts w:hint="eastAsia" w:ascii="宋体" w:hAnsi="宋体" w:eastAsia="宋体" w:cs="宋体"/>
          <w:b w:val="0"/>
          <w:bCs/>
          <w:color w:val="000000"/>
          <w:sz w:val="21"/>
          <w:szCs w:val="21"/>
          <w:lang w:eastAsia="zh-CN"/>
        </w:rPr>
        <w:t xml:space="preserve">6.1.1项目安全生产的达标目标及相应事项的约定：</w:t>
      </w:r>
      <w:r>
        <w:rPr>
          <w:rFonts w:hint="eastAsia" w:ascii="宋体" w:hAnsi="宋体" w:eastAsia="宋体" w:cs="宋体"/>
          <w:b w:val="0"/>
          <w:bCs/>
          <w:color w:val="000000"/>
          <w:sz w:val="21"/>
          <w:szCs w:val="21"/>
          <w:u w:val="single"/>
          <w:lang w:eastAsia="zh-CN"/>
        </w:rPr>
        <w:t xml:space="preserve">①达标目标为《建筑施工安全检查标准》（JGJ59-2011）及相关规范标准。其安全文明施工费用已经含在合同价款（即中标价）内。</w:t>
      </w:r>
      <w:r/>
    </w:p>
    <w:p>
      <w:pPr>
        <w:ind w:firstLine="420"/>
        <w:spacing w:after="0" w:line="360" w:lineRule="auto"/>
        <w:rPr>
          <w:rFonts w:hint="eastAsia" w:ascii="宋体" w:hAnsi="宋体" w:eastAsia="宋体" w:cs="宋体"/>
          <w:b w:val="0"/>
          <w:bCs/>
          <w:color w:val="000000"/>
          <w:sz w:val="21"/>
          <w:szCs w:val="21"/>
          <w:u w:val="single"/>
          <w:lang w:eastAsia="zh-CN"/>
        </w:rPr>
      </w:pPr>
      <w:r>
        <w:rPr>
          <w:rFonts w:hint="eastAsia" w:ascii="宋体" w:hAnsi="宋体" w:eastAsia="宋体" w:cs="宋体"/>
          <w:b w:val="0"/>
          <w:bCs/>
          <w:color w:val="000000"/>
          <w:sz w:val="21"/>
          <w:szCs w:val="21"/>
          <w:u w:val="single"/>
          <w:lang w:eastAsia="zh-CN"/>
        </w:rPr>
        <w:t xml:space="preserve">②开工通知载明的开工日期7天前提交安全技术措施或专项施工方案、安全生产责任制度、治安保卫制度及安全生产教育培训制度。</w:t>
      </w:r>
      <w:r/>
    </w:p>
    <w:p>
      <w:pPr>
        <w:ind w:firstLine="420"/>
        <w:spacing w:after="0" w:line="360" w:lineRule="auto"/>
        <w:rPr>
          <w:rFonts w:hint="eastAsia" w:ascii="宋体" w:hAnsi="宋体" w:eastAsia="宋体" w:cs="宋体"/>
          <w:b w:val="0"/>
          <w:bCs/>
          <w:color w:val="000000"/>
          <w:sz w:val="21"/>
          <w:szCs w:val="21"/>
          <w:u w:val="single"/>
          <w:lang w:eastAsia="zh-CN"/>
        </w:rPr>
      </w:pPr>
      <w:r>
        <w:rPr>
          <w:rFonts w:hint="eastAsia" w:ascii="宋体" w:hAnsi="宋体" w:eastAsia="宋体" w:cs="宋体"/>
          <w:b w:val="0"/>
          <w:bCs/>
          <w:color w:val="000000"/>
          <w:sz w:val="21"/>
          <w:szCs w:val="21"/>
          <w:u w:val="single"/>
          <w:lang w:eastAsia="zh-CN"/>
        </w:rPr>
        <w:t xml:space="preserve">③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二向招标方支付违约金。</w:t>
      </w:r>
      <w:r/>
    </w:p>
    <w:p>
      <w:pPr>
        <w:ind w:left="0" w:right="0" w:firstLine="420"/>
        <w:jc w:val="left"/>
        <w:spacing w:line="360" w:lineRule="auto"/>
        <w:rPr>
          <w:rFonts w:hint="eastAsia" w:ascii="宋体" w:hAnsi="宋体" w:eastAsia="宋体" w:cs="宋体"/>
          <w:b w:val="0"/>
          <w:bCs/>
          <w:color w:val="000000"/>
          <w:sz w:val="21"/>
          <w:szCs w:val="21"/>
          <w:u w:val="single"/>
          <w:lang w:eastAsia="zh-CN"/>
        </w:rPr>
      </w:pPr>
      <w:r>
        <w:rPr>
          <w:rFonts w:hint="eastAsia" w:ascii="宋体" w:hAnsi="宋体" w:eastAsia="宋体" w:cs="宋体"/>
          <w:b w:val="0"/>
          <w:bCs/>
          <w:color w:val="000000"/>
          <w:sz w:val="21"/>
          <w:szCs w:val="21"/>
          <w:u w:val="single"/>
          <w:lang w:eastAsia="zh-CN"/>
        </w:rPr>
        <w:t xml:space="preserve">④承包人若在施工期间因拖欠农民工工资问题上访，不得以任何理由及借口拖延处理。如因发包人未能按时拨付工程款造成上访的，发包人自愿接受并执行建设行政主管部门的处理意见；如因承包人未能按时支付工人工资而造成上访的且未能及时解决，因处理不力造成影响，每一例承包人按合同价款的百分之二向招标方支付违约金。</w:t>
      </w:r>
      <w:r/>
    </w:p>
    <w:p>
      <w:pPr>
        <w:ind w:left="0" w:right="0" w:firstLine="420"/>
        <w:jc w:val="left"/>
        <w:spacing w:line="360" w:lineRule="auto"/>
        <w:rPr>
          <w:rFonts w:hint="eastAsia" w:ascii="宋体" w:hAnsi="宋体" w:eastAsia="宋体" w:cs="宋体"/>
          <w:b w:val="0"/>
          <w:bCs/>
          <w:color w:val="000000"/>
          <w:sz w:val="21"/>
          <w:szCs w:val="21"/>
          <w:u w:val="single"/>
          <w:lang w:eastAsia="zh-CN"/>
        </w:rPr>
      </w:pPr>
      <w:r>
        <w:rPr>
          <w:rFonts w:hint="eastAsia" w:ascii="宋体" w:hAnsi="宋体" w:eastAsia="宋体" w:cs="宋体"/>
          <w:b w:val="0"/>
          <w:bCs/>
          <w:color w:val="000000"/>
          <w:sz w:val="21"/>
          <w:szCs w:val="21"/>
          <w:u w:val="single"/>
          <w:lang w:eastAsia="zh-CN"/>
        </w:rPr>
        <w:t xml:space="preserve">⑤扬尘防控环保要求必须符合</w:t>
      </w:r>
      <w:r>
        <w:rPr>
          <w:rFonts w:hint="eastAsia" w:ascii="宋体" w:hAnsi="宋体" w:eastAsia="宋体" w:cs="宋体"/>
          <w:b w:val="0"/>
          <w:bCs/>
          <w:color w:val="000000"/>
          <w:sz w:val="21"/>
          <w:szCs w:val="21"/>
          <w:u w:val="single"/>
          <w:lang w:val="en-US" w:eastAsia="zh-CN"/>
        </w:rPr>
        <w:t xml:space="preserve">甲方及当地相关部门要求，</w:t>
      </w:r>
      <w:r>
        <w:rPr>
          <w:rFonts w:hint="eastAsia" w:ascii="宋体" w:hAnsi="宋体" w:eastAsia="宋体" w:cs="宋体"/>
          <w:b w:val="0"/>
          <w:bCs/>
          <w:color w:val="000000"/>
          <w:sz w:val="21"/>
          <w:szCs w:val="21"/>
          <w:u w:val="single"/>
          <w:lang w:eastAsia="zh-CN"/>
        </w:rPr>
        <w:t xml:space="preserve">该费用已经包含在合同价格当中，结算不再增加此项费用。</w:t>
      </w:r>
      <w:r/>
    </w:p>
    <w:p>
      <w:pPr>
        <w:ind w:left="0" w:right="0" w:firstLine="420"/>
        <w:jc w:val="left"/>
        <w:spacing w:line="360" w:lineRule="auto"/>
        <w:rPr>
          <w:rFonts w:hint="eastAsia" w:ascii="宋体" w:hAnsi="宋体" w:eastAsia="宋体" w:cs="宋体"/>
          <w:b w:val="0"/>
          <w:bCs/>
          <w:color w:val="000000"/>
          <w:sz w:val="21"/>
          <w:szCs w:val="21"/>
          <w:u w:val="single"/>
          <w:lang w:val="en-US" w:eastAsia="zh-CN"/>
        </w:rPr>
      </w:pPr>
      <w:r>
        <w:rPr>
          <w:rFonts w:hint="eastAsia" w:ascii="宋体" w:hAnsi="宋体" w:eastAsia="宋体" w:cs="宋体"/>
          <w:b w:val="0"/>
          <w:bCs/>
          <w:color w:val="000000"/>
          <w:sz w:val="21"/>
          <w:szCs w:val="21"/>
          <w:u w:val="single"/>
          <w:lang w:val="en-US" w:eastAsia="zh-CN"/>
        </w:rPr>
        <w:t xml:space="preserve">⑥作业现场应落实安全文明措施，作业结束后保持现场清爽、干净，不得遗留垃圾、作业工具等物品；现场扬尘防控环保要求必须符合甲方及当地相关部门要求。</w:t>
      </w:r>
      <w:r/>
    </w:p>
    <w:p>
      <w:pPr>
        <w:ind w:left="0" w:right="0" w:firstLine="420"/>
        <w:jc w:val="left"/>
        <w:spacing w:line="360" w:lineRule="auto"/>
        <w:rPr>
          <w:rFonts w:ascii="宋体" w:hAnsi="宋体" w:eastAsia="宋体" w:cs="宋体"/>
          <w:b w:val="0"/>
          <w:bCs/>
          <w:color w:val="000000"/>
          <w:sz w:val="21"/>
          <w:szCs w:val="21"/>
          <w:u w:val="single"/>
          <w:lang w:val="en-US" w:eastAsia="zh-CN"/>
        </w:rPr>
      </w:pPr>
      <w:r>
        <w:rPr>
          <w:rFonts w:hint="eastAsia" w:ascii="宋体" w:hAnsi="宋体" w:eastAsia="宋体" w:cs="宋体"/>
          <w:b w:val="0"/>
          <w:bCs/>
          <w:color w:val="000000"/>
          <w:sz w:val="21"/>
          <w:szCs w:val="21"/>
          <w:u w:val="single"/>
          <w:lang w:val="en-US" w:eastAsia="zh-CN"/>
        </w:rPr>
        <w:t xml:space="preserve">⑦维修维护作业不得妨碍和阻断交通，尽量避开交通高峰时段，使用噪音较大的维修维护机械应避开居民夜间休息时间；在道路上作业时，应在作业点前合适的距离摆放警示交通标志，高峰时段应安排专人配合交警疏导交通；必要情况下与交警部门沟通，做好交通疏解工作。</w:t>
      </w:r>
      <w:r/>
    </w:p>
    <w:p>
      <w:pPr>
        <w:ind w:left="0" w:right="0" w:firstLine="420"/>
        <w:jc w:val="left"/>
        <w:spacing w:line="360" w:lineRule="auto"/>
        <w:rPr>
          <w:rFonts w:hint="eastAsia" w:ascii="宋体" w:hAnsi="宋体" w:eastAsia="宋体" w:cs="宋体"/>
          <w:b w:val="0"/>
          <w:bCs/>
          <w:color w:val="000000"/>
          <w:sz w:val="21"/>
          <w:szCs w:val="21"/>
          <w:u w:val="single"/>
          <w:lang w:eastAsia="zh-CN"/>
        </w:rPr>
      </w:pPr>
      <w:r>
        <w:rPr>
          <w:rFonts w:hint="eastAsia" w:ascii="宋体" w:hAnsi="宋体" w:eastAsia="宋体" w:cs="宋体"/>
          <w:b w:val="0"/>
          <w:bCs/>
          <w:color w:val="000000"/>
          <w:sz w:val="21"/>
          <w:szCs w:val="21"/>
          <w:u w:val="single"/>
          <w:lang w:val="en-US" w:eastAsia="zh-CN"/>
        </w:rPr>
        <w:t xml:space="preserve">⑧维修维护人员应严格遵守规程，安全规范作业，落实防护措施，严禁违规、冒险作业。若维修维护过程中发生人身、财产损失等安全事故，由成交供应商人承担一切法律、经济责任，采购人不承担任何责任。</w:t>
      </w:r>
      <w:r/>
    </w:p>
    <w:p>
      <w:pPr>
        <w:ind w:left="0" w:right="0" w:firstLine="420"/>
        <w:jc w:val="left"/>
        <w:spacing w:line="360" w:lineRule="auto"/>
        <w:rPr>
          <w:rFonts w:ascii="宋体" w:hAnsi="宋体" w:eastAsia="宋体" w:cs="宋体"/>
          <w:b w:val="0"/>
          <w:bCs/>
          <w:color w:val="000000"/>
          <w:sz w:val="21"/>
          <w:szCs w:val="21"/>
          <w:u w:val="single"/>
          <w:lang w:val="en-US" w:eastAsia="zh-CN"/>
        </w:rPr>
      </w:pPr>
      <w:r>
        <w:rPr>
          <w:rFonts w:ascii="宋体" w:hAnsi="宋体" w:eastAsia="宋体" w:cs="宋体"/>
          <w:b w:val="0"/>
          <w:bCs/>
          <w:color w:val="000000"/>
          <w:sz w:val="21"/>
          <w:szCs w:val="21"/>
          <w:u w:val="single"/>
          <w:lang w:val="en-US" w:eastAsia="zh-CN"/>
        </w:rPr>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6.1.4 关于治安保卫的特别约定：</w:t>
      </w:r>
      <w:r>
        <w:rPr>
          <w:rFonts w:hint="eastAsia" w:ascii="宋体" w:hAnsi="宋体" w:eastAsia="宋体" w:cs="宋体"/>
          <w:sz w:val="21"/>
          <w:szCs w:val="21"/>
          <w:u w:val="single"/>
        </w:rPr>
        <w:t xml:space="preserve">执行通用条款。</w:t>
      </w:r>
      <w:r/>
    </w:p>
    <w:p>
      <w:pPr>
        <w:ind w:firstLine="42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关于编制施工场地治安管理计划的约定：</w:t>
      </w:r>
      <w:r>
        <w:rPr>
          <w:rFonts w:hint="eastAsia" w:ascii="宋体" w:hAnsi="宋体" w:eastAsia="宋体" w:cs="宋体"/>
          <w:sz w:val="21"/>
          <w:szCs w:val="21"/>
          <w:u w:val="single"/>
        </w:rPr>
        <w:t xml:space="preserve">开工通知载明的开工日期 7 天前提交施工场地治安管理计划。</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6.1.5 文明施工</w:t>
      </w:r>
      <w:r/>
    </w:p>
    <w:p>
      <w:pPr>
        <w:ind w:left="0" w:right="0" w:firstLine="420"/>
        <w:jc w:val="left"/>
        <w:spacing w:line="360" w:lineRule="auto"/>
        <w:rPr>
          <w:rFonts w:hint="eastAsia" w:ascii="宋体" w:hAnsi="宋体" w:eastAsia="宋体" w:cs="宋体"/>
          <w:b w:val="0"/>
          <w:bCs/>
          <w:color w:val="000000"/>
          <w:sz w:val="21"/>
          <w:szCs w:val="21"/>
          <w:u w:val="single"/>
          <w:lang w:eastAsia="zh-CN"/>
        </w:rPr>
      </w:pPr>
      <w:r>
        <w:rPr>
          <w:rFonts w:hint="eastAsia" w:ascii="宋体" w:hAnsi="宋体" w:eastAsia="宋体" w:cs="宋体"/>
          <w:b w:val="0"/>
          <w:bCs/>
          <w:color w:val="000000"/>
          <w:sz w:val="21"/>
          <w:szCs w:val="21"/>
          <w:lang w:eastAsia="zh-CN"/>
        </w:rPr>
        <w:t xml:space="preserve">合同当事人对文明施工的要求：</w:t>
      </w:r>
      <w:r>
        <w:rPr>
          <w:rFonts w:hint="eastAsia" w:ascii="宋体" w:hAnsi="宋体" w:eastAsia="宋体" w:cs="宋体"/>
          <w:b w:val="0"/>
          <w:bCs/>
          <w:color w:val="000000"/>
          <w:sz w:val="21"/>
          <w:szCs w:val="21"/>
          <w:u w:val="single"/>
          <w:lang w:eastAsia="zh-CN"/>
        </w:rPr>
        <w:t xml:space="preserve">遵守并达到国家和工程所在地有关文明施工的要求及相关规定。</w:t>
      </w:r>
      <w:r/>
    </w:p>
    <w:p>
      <w:pPr>
        <w:ind w:left="0" w:right="0" w:firstLine="420"/>
        <w:jc w:val="left"/>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6.1.6 关于安全文明施工费支付比例和支付期限的约定：</w:t>
      </w:r>
      <w:r>
        <w:rPr>
          <w:rFonts w:hint="eastAsia" w:ascii="宋体" w:hAnsi="宋体" w:eastAsia="宋体" w:cs="宋体"/>
          <w:sz w:val="21"/>
          <w:szCs w:val="21"/>
          <w:u w:val="single"/>
        </w:rPr>
        <w:t xml:space="preserve">合同价（即中标价）款中已含，与合同价款同期支付。</w:t>
      </w:r>
      <w:r/>
    </w:p>
    <w:p>
      <w:pPr>
        <w:pStyle w:val="1103"/>
        <w:spacing w:before="120" w:after="120" w:line="360" w:lineRule="auto"/>
        <w:rPr>
          <w:rFonts w:hint="eastAsia" w:ascii="宋体" w:hAnsi="宋体" w:eastAsia="宋体" w:cs="宋体"/>
          <w:sz w:val="21"/>
          <w:szCs w:val="21"/>
        </w:rPr>
      </w:pPr>
      <w:r>
        <w:rPr>
          <w:rFonts w:hint="eastAsia" w:ascii="宋体" w:hAnsi="宋体" w:eastAsia="宋体" w:cs="宋体"/>
          <w:b w:val="0"/>
          <w:sz w:val="21"/>
          <w:szCs w:val="21"/>
        </w:rPr>
        <w:t xml:space="preserve">7. 工期和进度</w:t>
      </w:r>
      <w:r/>
    </w:p>
    <w:p>
      <w:pPr>
        <w:ind w:left="0" w:right="0" w:firstLine="420"/>
        <w:spacing w:before="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 施工组织设计</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7.1.1 合同当事人约定的施工组织设计应包括的其他内容：</w:t>
      </w:r>
      <w:r>
        <w:rPr>
          <w:rFonts w:hint="eastAsia" w:ascii="宋体" w:hAnsi="宋体" w:eastAsia="宋体" w:cs="宋体"/>
          <w:color w:val="000000"/>
          <w:sz w:val="21"/>
          <w:szCs w:val="21"/>
          <w:u w:val="single"/>
        </w:rPr>
        <w:t xml:space="preserve">执行通用条款。</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7.1.2 施工组织设计的提交和修改</w:t>
      </w:r>
      <w:r/>
    </w:p>
    <w:p>
      <w:pPr>
        <w:ind w:firstLine="420"/>
        <w:spacing w:after="0" w:line="360" w:lineRule="auto"/>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承包人提交详细施工组织设计的期限的约定：</w:t>
      </w:r>
      <w:r>
        <w:rPr>
          <w:rFonts w:hint="eastAsia" w:ascii="宋体" w:hAnsi="宋体" w:eastAsia="宋体" w:cs="宋体"/>
          <w:b w:val="0"/>
          <w:bCs/>
          <w:color w:val="000000"/>
          <w:sz w:val="21"/>
          <w:szCs w:val="21"/>
          <w:u w:val="single"/>
          <w:lang w:eastAsia="zh-CN"/>
        </w:rPr>
        <w:t xml:space="preserve">合同签订后5日内，但最迟不得晚于开工通知载明的开工日期前7天</w:t>
      </w:r>
      <w:r>
        <w:rPr>
          <w:rFonts w:hint="eastAsia" w:ascii="宋体" w:hAnsi="宋体" w:eastAsia="宋体" w:cs="宋体"/>
          <w:b w:val="0"/>
          <w:bCs/>
          <w:color w:val="000000"/>
          <w:sz w:val="21"/>
          <w:szCs w:val="21"/>
          <w:lang w:eastAsia="zh-CN"/>
        </w:rPr>
        <w:t xml:space="preserve">。</w:t>
      </w:r>
      <w:r/>
    </w:p>
    <w:p>
      <w:pPr>
        <w:ind w:firstLine="420"/>
        <w:spacing w:after="0" w:line="360" w:lineRule="auto"/>
        <w:rPr>
          <w:rFonts w:hint="eastAsia" w:ascii="宋体" w:hAnsi="宋体" w:eastAsia="宋体" w:cs="宋体"/>
          <w:color w:val="000000"/>
          <w:sz w:val="21"/>
          <w:szCs w:val="21"/>
        </w:rPr>
      </w:pPr>
      <w:r>
        <w:rPr>
          <w:rFonts w:hint="eastAsia" w:ascii="宋体" w:hAnsi="宋体" w:eastAsia="宋体" w:cs="宋体"/>
          <w:b w:val="0"/>
          <w:bCs/>
          <w:color w:val="000000"/>
          <w:sz w:val="21"/>
          <w:szCs w:val="21"/>
          <w:lang w:eastAsia="zh-CN"/>
        </w:rPr>
        <w:t xml:space="preserve">发包人和监理人在收到详细的施工组织设计后确认或提出修改意见的期限：</w:t>
      </w:r>
      <w:r>
        <w:rPr>
          <w:rFonts w:hint="eastAsia" w:ascii="宋体" w:hAnsi="宋体" w:eastAsia="宋体" w:cs="宋体"/>
          <w:b w:val="0"/>
          <w:bCs/>
          <w:color w:val="000000"/>
          <w:sz w:val="21"/>
          <w:szCs w:val="21"/>
          <w:u w:val="single"/>
          <w:lang w:eastAsia="zh-CN"/>
        </w:rPr>
        <w:t xml:space="preserve">收到后7天内</w:t>
      </w:r>
      <w:r>
        <w:rPr>
          <w:rFonts w:hint="eastAsia" w:ascii="宋体" w:hAnsi="宋体" w:eastAsia="宋体" w:cs="宋体"/>
          <w:b w:val="0"/>
          <w:bCs/>
          <w:color w:val="000000"/>
          <w:sz w:val="21"/>
          <w:szCs w:val="21"/>
          <w:lang w:eastAsia="zh-CN"/>
        </w:rPr>
        <w:t xml:space="preserve">。</w:t>
      </w:r>
      <w:r/>
    </w:p>
    <w:p>
      <w:pPr>
        <w:ind w:right="0" w:firstLine="420"/>
        <w:spacing w:before="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 施工进度计划</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7.2.2 施工进度计划的修订</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发包人和监理人在收到修订的施工进度计划后确认或提出修改意见的期限：</w:t>
      </w:r>
      <w:r>
        <w:rPr>
          <w:rFonts w:hint="eastAsia" w:ascii="宋体" w:hAnsi="宋体" w:eastAsia="宋体" w:cs="宋体"/>
          <w:color w:val="000000"/>
          <w:sz w:val="21"/>
          <w:szCs w:val="21"/>
          <w:u w:val="single"/>
        </w:rPr>
        <w:t xml:space="preserve">收到后 3 天内。施工期间，承包人每周</w:t>
      </w:r>
      <w:r>
        <w:rPr>
          <w:rFonts w:hint="eastAsia" w:ascii="宋体" w:hAnsi="宋体" w:eastAsia="宋体" w:cs="宋体"/>
          <w:color w:val="000000"/>
          <w:sz w:val="21"/>
          <w:szCs w:val="21"/>
          <w:u w:val="single"/>
          <w:lang w:val="en-US" w:eastAsia="zh-CN"/>
        </w:rPr>
        <w:t xml:space="preserve">或工作阶段</w:t>
      </w:r>
      <w:r>
        <w:rPr>
          <w:rFonts w:hint="eastAsia" w:ascii="宋体" w:hAnsi="宋体" w:eastAsia="宋体" w:cs="宋体"/>
          <w:color w:val="000000"/>
          <w:sz w:val="21"/>
          <w:szCs w:val="21"/>
          <w:u w:val="single"/>
        </w:rPr>
        <w:t xml:space="preserve">前向监理工程师报送下周</w:t>
      </w:r>
      <w:r>
        <w:rPr>
          <w:rFonts w:hint="eastAsia" w:ascii="宋体" w:hAnsi="宋体" w:eastAsia="宋体" w:cs="宋体"/>
          <w:color w:val="000000"/>
          <w:sz w:val="21"/>
          <w:szCs w:val="21"/>
          <w:u w:val="single"/>
          <w:lang w:val="en-US" w:eastAsia="zh-CN"/>
        </w:rPr>
        <w:t xml:space="preserve">或下一阶段</w:t>
      </w:r>
      <w:r>
        <w:rPr>
          <w:rFonts w:hint="eastAsia" w:ascii="宋体" w:hAnsi="宋体" w:eastAsia="宋体" w:cs="宋体"/>
          <w:color w:val="000000"/>
          <w:sz w:val="21"/>
          <w:szCs w:val="21"/>
          <w:u w:val="single"/>
        </w:rPr>
        <w:t xml:space="preserve">的“工程进度计</w:t>
      </w:r>
      <w:r>
        <w:rPr>
          <w:rFonts w:hint="eastAsia" w:ascii="宋体" w:hAnsi="宋体" w:eastAsia="宋体" w:cs="宋体"/>
          <w:sz w:val="21"/>
          <w:szCs w:val="21"/>
          <w:u w:val="single"/>
        </w:rPr>
        <w:t xml:space="preserve">划表”，经监理工程师审核和发包人代表确认后，应于 1 日内返回承包人；“工程进度计划表”如需修改时，应于当日发回承包人修改，承包人须于次日报送修改稿。</w:t>
      </w:r>
      <w:r/>
    </w:p>
    <w:p>
      <w:p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7.3 开工</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7.3.1 开工准备</w:t>
      </w:r>
      <w:r/>
    </w:p>
    <w:p>
      <w:pPr>
        <w:ind w:left="0" w:right="0" w:firstLine="645"/>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关于承包人提交工程开工报审表的期限：</w:t>
      </w:r>
      <w:r>
        <w:rPr>
          <w:rFonts w:hint="eastAsia" w:ascii="宋体" w:hAnsi="宋体" w:eastAsia="宋体" w:cs="宋体"/>
          <w:sz w:val="21"/>
          <w:szCs w:val="21"/>
          <w:u w:val="single"/>
        </w:rPr>
        <w:t xml:space="preserve">合同签订后、开工前</w:t>
      </w:r>
      <w:r>
        <w:rPr>
          <w:rFonts w:hint="eastAsia" w:ascii="宋体" w:hAnsi="宋体" w:eastAsia="宋体" w:cs="宋体"/>
          <w:sz w:val="21"/>
          <w:szCs w:val="21"/>
        </w:rPr>
        <w:t xml:space="preserve">。</w:t>
      </w:r>
      <w:r/>
    </w:p>
    <w:p>
      <w:pPr>
        <w:ind w:left="0" w:right="0" w:firstLine="645"/>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关于发包人应完成的其他开工准备工作及期限：</w:t>
      </w:r>
      <w:r>
        <w:rPr>
          <w:rFonts w:hint="eastAsia" w:ascii="宋体" w:hAnsi="宋体" w:eastAsia="宋体" w:cs="宋体"/>
          <w:b w:val="0"/>
          <w:bCs/>
          <w:color w:val="000000"/>
          <w:sz w:val="21"/>
          <w:szCs w:val="21"/>
          <w:u w:val="single"/>
          <w:lang w:eastAsia="zh-CN"/>
        </w:rPr>
        <w:t xml:space="preserve">一周内</w:t>
      </w:r>
      <w:r>
        <w:rPr>
          <w:rFonts w:hint="eastAsia" w:ascii="宋体" w:hAnsi="宋体" w:eastAsia="宋体" w:cs="宋体"/>
          <w:b w:val="0"/>
          <w:bCs/>
          <w:color w:val="000000"/>
          <w:sz w:val="21"/>
          <w:szCs w:val="21"/>
          <w:lang w:eastAsia="zh-CN"/>
        </w:rPr>
        <w:t xml:space="preserve">。</w:t>
      </w:r>
      <w:r/>
    </w:p>
    <w:p>
      <w:pPr>
        <w:ind w:left="0" w:right="0" w:firstLine="648"/>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关于承包人应完成的其他开工准备工作及期限：</w:t>
      </w:r>
      <w:r>
        <w:rPr>
          <w:rFonts w:hint="eastAsia" w:ascii="宋体" w:hAnsi="宋体" w:eastAsia="宋体" w:cs="宋体"/>
          <w:b w:val="0"/>
          <w:bCs/>
          <w:color w:val="000000"/>
          <w:sz w:val="21"/>
          <w:szCs w:val="21"/>
          <w:u w:val="single"/>
          <w:lang w:eastAsia="zh-CN"/>
        </w:rPr>
        <w:t xml:space="preserve">一周内</w:t>
      </w:r>
      <w:r>
        <w:rPr>
          <w:rFonts w:hint="eastAsia" w:ascii="宋体" w:hAnsi="宋体" w:eastAsia="宋体" w:cs="宋体"/>
          <w:b w:val="0"/>
          <w:bCs/>
          <w:color w:val="000000"/>
          <w:sz w:val="21"/>
          <w:szCs w:val="21"/>
          <w:lang w:eastAsia="zh-CN"/>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7.3.2开工通知</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因发包人原因造成监理人未能在计划开工日期之日起</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90</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天内发出开工通知的，承包人有权提出价格调整要求，或者解除合同。</w:t>
      </w:r>
      <w:r/>
    </w:p>
    <w:p>
      <w:p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7.4 测量放线</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7.4.1发包人通过监理人向承包人提供测量基准点、基准线和水准点及其书面资料的期限：</w:t>
      </w:r>
      <w:r>
        <w:rPr>
          <w:rFonts w:hint="eastAsia" w:ascii="宋体" w:hAnsi="宋体" w:eastAsia="宋体" w:cs="宋体"/>
          <w:sz w:val="21"/>
          <w:szCs w:val="21"/>
          <w:u w:val="single"/>
        </w:rPr>
        <w:t xml:space="preserve">合同签订后、开工前</w:t>
      </w:r>
      <w:r>
        <w:rPr>
          <w:rFonts w:hint="eastAsia" w:ascii="宋体" w:hAnsi="宋体" w:eastAsia="宋体" w:cs="宋体"/>
          <w:sz w:val="21"/>
          <w:szCs w:val="21"/>
        </w:rPr>
        <w:t xml:space="preserve">。</w:t>
      </w:r>
      <w:r/>
    </w:p>
    <w:p>
      <w:p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7.5 工期延误</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7.5.1 因发包人原因导致工期延误</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）因发包人原因导致工期延误的其他情形：</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u w:val="single"/>
        </w:rPr>
        <w:t xml:space="preserve">。</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7.5.2 因承包人原因导致工期延误</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因承包人原因造成工期延误，逾期竣工违约金的计算方法为：</w:t>
      </w:r>
      <w:r>
        <w:rPr>
          <w:rFonts w:hint="eastAsia" w:ascii="宋体" w:hAnsi="宋体" w:eastAsia="宋体" w:cs="宋体"/>
          <w:color w:val="000000"/>
          <w:sz w:val="21"/>
          <w:szCs w:val="21"/>
          <w:u w:val="single"/>
        </w:rPr>
        <w:t xml:space="preserve">每延误一天，由承包人向发包人按</w:t>
      </w:r>
      <w:r>
        <w:rPr>
          <w:rFonts w:hint="eastAsia" w:ascii="宋体" w:hAnsi="宋体" w:eastAsia="宋体" w:cs="宋体"/>
          <w:color w:val="000000"/>
          <w:sz w:val="21"/>
          <w:szCs w:val="21"/>
          <w:u w:val="single"/>
          <w:lang w:val="en-US" w:eastAsia="zh-CN"/>
        </w:rPr>
        <w:t xml:space="preserve">2000元/天</w:t>
      </w:r>
      <w:r>
        <w:rPr>
          <w:rFonts w:hint="eastAsia" w:ascii="宋体" w:hAnsi="宋体" w:eastAsia="宋体" w:cs="宋体"/>
          <w:color w:val="000000"/>
          <w:sz w:val="21"/>
          <w:szCs w:val="21"/>
          <w:u w:val="single"/>
        </w:rPr>
        <w:t xml:space="preserve">计算违约金，且发包人有权采取任何补救措施来弥补该延误，由此增加的费用由承包人承担。</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因承包人原因造成工期延误，逾期竣工违约金的上限：</w:t>
      </w:r>
      <w:r>
        <w:rPr>
          <w:rFonts w:hint="eastAsia" w:ascii="宋体" w:hAnsi="宋体" w:eastAsia="宋体" w:cs="宋体"/>
          <w:b w:val="0"/>
          <w:bCs/>
          <w:color w:val="000000"/>
          <w:sz w:val="21"/>
          <w:szCs w:val="21"/>
          <w:u w:val="single"/>
          <w:lang w:eastAsia="zh-CN"/>
        </w:rPr>
        <w:t xml:space="preserve">总额不超过合同价款的20%</w:t>
      </w:r>
      <w:r>
        <w:rPr>
          <w:rFonts w:hint="eastAsia" w:ascii="宋体" w:hAnsi="宋体" w:eastAsia="宋体" w:cs="宋体"/>
          <w:b w:val="0"/>
          <w:bCs/>
          <w:color w:val="000000"/>
          <w:sz w:val="21"/>
          <w:szCs w:val="21"/>
          <w:lang w:eastAsia="zh-CN"/>
        </w:rPr>
        <w:t xml:space="preserve">。</w:t>
      </w:r>
      <w:r/>
    </w:p>
    <w:p>
      <w:pPr>
        <w:ind w:left="0" w:right="0" w:firstLine="420"/>
        <w:spacing w:before="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7.6 不利物质条件</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不利物质条件的其他情形和有关约定：</w:t>
      </w:r>
      <w:r>
        <w:rPr>
          <w:rFonts w:hint="eastAsia" w:ascii="宋体" w:hAnsi="宋体" w:eastAsia="宋体" w:cs="宋体"/>
          <w:color w:val="000000"/>
          <w:sz w:val="21"/>
          <w:szCs w:val="21"/>
          <w:u w:val="single"/>
        </w:rPr>
        <w:t xml:space="preserve">执行通用条款</w:t>
      </w:r>
      <w:r>
        <w:rPr>
          <w:rFonts w:hint="eastAsia" w:ascii="宋体" w:hAnsi="宋体" w:eastAsia="宋体" w:cs="宋体"/>
          <w:b w:val="0"/>
          <w:bCs/>
          <w:color w:val="000000"/>
          <w:sz w:val="21"/>
          <w:szCs w:val="21"/>
          <w:lang w:eastAsia="zh-CN"/>
        </w:rPr>
        <w:t xml:space="preserve">。</w:t>
      </w:r>
      <w:r/>
    </w:p>
    <w:p>
      <w:pPr>
        <w:ind w:left="0" w:right="0" w:firstLine="420"/>
        <w:spacing w:before="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7.7异常恶劣的气候条件</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发包人和承包人同意以下情形视为异常恶劣的气候条件：</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异常恶劣的气候条件的认定标准，以政府有关部门的规定为准</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firstLine="420"/>
        <w:spacing w:after="0" w:line="360" w:lineRule="auto"/>
        <w:rPr>
          <w:rFonts w:hint="eastAsia" w:ascii="宋体" w:hAnsi="宋体" w:eastAsia="宋体" w:cs="宋体"/>
          <w:color w:val="c00000"/>
          <w:sz w:val="21"/>
          <w:szCs w:val="21"/>
        </w:rPr>
      </w:pPr>
      <w:r>
        <w:rPr>
          <w:rFonts w:hint="eastAsia" w:ascii="宋体" w:hAnsi="宋体" w:eastAsia="宋体" w:cs="宋体"/>
          <w:sz w:val="21"/>
          <w:szCs w:val="21"/>
        </w:rPr>
        <w:t xml:space="preserve">（3）</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numPr>
          <w:ilvl w:val="0"/>
          <w:numId w:val="0"/>
        </w:num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7.9 提前竣工的奖励</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7.9.2提前竣工的奖励：</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pStyle w:val="1103"/>
        <w:spacing w:before="120" w:after="120" w:line="360" w:lineRule="auto"/>
        <w:rPr>
          <w:rFonts w:hint="eastAsia" w:ascii="宋体" w:hAnsi="宋体" w:eastAsia="宋体" w:cs="宋体"/>
          <w:sz w:val="21"/>
          <w:szCs w:val="21"/>
        </w:rPr>
      </w:pPr>
      <w:r>
        <w:rPr>
          <w:rFonts w:hint="eastAsia" w:ascii="宋体" w:hAnsi="宋体" w:eastAsia="宋体" w:cs="宋体"/>
          <w:b w:val="0"/>
          <w:sz w:val="21"/>
          <w:szCs w:val="21"/>
        </w:rPr>
        <w:t xml:space="preserve">8. 材料与设备</w:t>
      </w:r>
      <w:r/>
    </w:p>
    <w:p>
      <w:p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8.4材料与工程设备的保管与使用</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8.4.1发包人供应的材料设备的保管费用的承担：</w:t>
      </w:r>
      <w:r>
        <w:rPr>
          <w:rFonts w:hint="eastAsia" w:ascii="宋体" w:hAnsi="宋体" w:eastAsia="宋体" w:cs="宋体"/>
          <w:sz w:val="21"/>
          <w:szCs w:val="21"/>
          <w:u w:val="single"/>
        </w:rPr>
        <w:t xml:space="preserve">由承包人承担</w:t>
      </w:r>
      <w:r>
        <w:rPr>
          <w:rFonts w:hint="eastAsia" w:ascii="宋体" w:hAnsi="宋体" w:eastAsia="宋体" w:cs="宋体"/>
          <w:sz w:val="21"/>
          <w:szCs w:val="21"/>
        </w:rPr>
        <w:t xml:space="preserve">。</w:t>
      </w:r>
      <w:r/>
    </w:p>
    <w:p>
      <w:pPr>
        <w:numPr>
          <w:ilvl w:val="0"/>
          <w:numId w:val="0"/>
        </w:num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8.6 样品</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8.6.1 样品的报送与封存</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需要承包人报送样品的材料或工程设备，样品的种类、名称、规格、数量要求：</w:t>
      </w:r>
      <w:r>
        <w:rPr>
          <w:rFonts w:hint="eastAsia" w:ascii="宋体" w:hAnsi="宋体" w:eastAsia="宋体" w:cs="宋体"/>
          <w:sz w:val="21"/>
          <w:szCs w:val="21"/>
          <w:u w:val="single"/>
        </w:rPr>
        <w:t xml:space="preserve">按管理部门和发包人要求。</w:t>
      </w:r>
      <w:r/>
    </w:p>
    <w:p>
      <w:pPr>
        <w:numPr>
          <w:ilvl w:val="0"/>
          <w:numId w:val="0"/>
        </w:num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8.8 施工设备和临时设施</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8.8.1 承包人提供的施工设备和临时设施</w:t>
      </w:r>
      <w:r/>
    </w:p>
    <w:p>
      <w:pPr>
        <w:ind w:left="0" w:right="0" w:firstLine="420"/>
        <w:jc w:val="left"/>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关于修建临时设施费用承担的约定：</w:t>
      </w:r>
      <w:r>
        <w:rPr>
          <w:rFonts w:hint="eastAsia" w:ascii="宋体" w:hAnsi="宋体" w:eastAsia="宋体" w:cs="宋体"/>
          <w:sz w:val="21"/>
          <w:szCs w:val="21"/>
          <w:u w:val="single"/>
        </w:rPr>
        <w:t xml:space="preserve">由承包人全额承担。</w:t>
      </w:r>
      <w:r/>
    </w:p>
    <w:p>
      <w:pPr>
        <w:ind w:left="0" w:right="0" w:firstLine="420"/>
        <w:jc w:val="left"/>
        <w:spacing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lang w:val="en-US" w:eastAsia="zh-CN"/>
        </w:rPr>
        <w:t xml:space="preserve">承包人提供的施工设备和临时设施关于修建临时设施费用承担的约定：</w:t>
      </w:r>
      <w:r>
        <w:rPr>
          <w:rFonts w:hint="eastAsia" w:ascii="宋体" w:hAnsi="宋体" w:eastAsia="宋体" w:cs="宋体"/>
          <w:sz w:val="21"/>
          <w:szCs w:val="21"/>
          <w:u w:val="single"/>
          <w:lang w:val="en-US" w:eastAsia="zh-CN"/>
        </w:rPr>
        <w:t xml:space="preserve">由承包人自行承担 。</w:t>
      </w:r>
      <w:r/>
    </w:p>
    <w:p>
      <w:pPr>
        <w:pStyle w:val="1103"/>
        <w:spacing w:before="120" w:after="120" w:line="360" w:lineRule="auto"/>
        <w:rPr>
          <w:rFonts w:hint="eastAsia" w:ascii="宋体" w:hAnsi="宋体" w:eastAsia="宋体" w:cs="宋体"/>
          <w:color w:val="000000"/>
          <w:sz w:val="21"/>
          <w:szCs w:val="21"/>
        </w:rPr>
      </w:pPr>
      <w:r>
        <w:rPr>
          <w:rFonts w:hint="eastAsia" w:ascii="宋体" w:hAnsi="宋体" w:eastAsia="宋体" w:cs="宋体"/>
          <w:b w:val="0"/>
          <w:sz w:val="21"/>
          <w:szCs w:val="21"/>
        </w:rPr>
        <w:t xml:space="preserve">9.</w:t>
      </w:r>
      <w:r>
        <w:rPr>
          <w:rFonts w:hint="eastAsia" w:ascii="宋体" w:hAnsi="宋体" w:eastAsia="宋体" w:cs="宋体"/>
          <w:b w:val="0"/>
          <w:color w:val="000000"/>
          <w:sz w:val="21"/>
          <w:szCs w:val="21"/>
        </w:rPr>
        <w:t xml:space="preserve"> 试验与检验</w:t>
      </w:r>
      <w:r/>
    </w:p>
    <w:p>
      <w:pPr>
        <w:ind w:left="0" w:right="0" w:firstLine="420"/>
        <w:spacing w:before="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9.1试验设备与试验人员</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9.1.2 试验设备</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施工现场需要配置的试验场所：</w:t>
      </w:r>
      <w:r>
        <w:rPr>
          <w:rFonts w:hint="eastAsia" w:ascii="宋体" w:hAnsi="宋体" w:eastAsia="宋体" w:cs="宋体"/>
          <w:b w:val="0"/>
          <w:bCs/>
          <w:color w:val="000000"/>
          <w:sz w:val="21"/>
          <w:szCs w:val="21"/>
          <w:u w:val="single"/>
          <w:lang w:eastAsia="zh-CN"/>
        </w:rPr>
        <w:t xml:space="preserve">根据实际现场需要按有关规定执行</w:t>
      </w:r>
      <w:r>
        <w:rPr>
          <w:rFonts w:hint="eastAsia" w:ascii="宋体" w:hAnsi="宋体" w:eastAsia="宋体" w:cs="宋体"/>
          <w:color w:val="000000"/>
          <w:sz w:val="21"/>
          <w:szCs w:val="21"/>
        </w:rPr>
        <w:t xml:space="preserve">。 </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施工现场需要配备的试验设备：</w:t>
      </w:r>
      <w:r>
        <w:rPr>
          <w:rFonts w:hint="eastAsia" w:ascii="宋体" w:hAnsi="宋体" w:eastAsia="宋体" w:cs="宋体"/>
          <w:b w:val="0"/>
          <w:bCs/>
          <w:color w:val="000000"/>
          <w:sz w:val="21"/>
          <w:szCs w:val="21"/>
          <w:u w:val="single"/>
          <w:lang w:eastAsia="zh-CN"/>
        </w:rPr>
        <w:t xml:space="preserve">根据实际现场需要按有关规定执行</w:t>
      </w:r>
      <w:r>
        <w:rPr>
          <w:rFonts w:hint="eastAsia" w:ascii="宋体" w:hAnsi="宋体" w:eastAsia="宋体" w:cs="宋体"/>
          <w:color w:val="000000"/>
          <w:sz w:val="21"/>
          <w:szCs w:val="21"/>
        </w:rPr>
        <w:t xml:space="preserve">。</w:t>
      </w:r>
      <w:r/>
    </w:p>
    <w:p>
      <w:pPr>
        <w:ind w:left="0" w:right="0" w:firstLine="420"/>
        <w:jc w:val="left"/>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施工现场需要具备的其他试验条件：</w:t>
      </w:r>
      <w:r>
        <w:rPr>
          <w:rFonts w:hint="eastAsia" w:ascii="宋体" w:hAnsi="宋体" w:eastAsia="宋体" w:cs="宋体"/>
          <w:b w:val="0"/>
          <w:bCs/>
          <w:color w:val="000000"/>
          <w:sz w:val="21"/>
          <w:szCs w:val="21"/>
          <w:u w:val="single"/>
          <w:lang w:eastAsia="zh-CN"/>
        </w:rPr>
        <w:t xml:space="preserve">根据实际现场需要按有关规定执行</w:t>
      </w:r>
      <w:r>
        <w:rPr>
          <w:rFonts w:hint="eastAsia" w:ascii="宋体" w:hAnsi="宋体" w:eastAsia="宋体" w:cs="宋体"/>
          <w:color w:val="000000"/>
          <w:sz w:val="21"/>
          <w:szCs w:val="21"/>
        </w:rPr>
        <w:t xml:space="preserve">。</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9.2 现场工艺试验 </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现场工艺试验的有关约定：</w:t>
      </w:r>
      <w:r>
        <w:rPr>
          <w:rFonts w:hint="eastAsia" w:ascii="宋体" w:hAnsi="宋体" w:eastAsia="宋体" w:cs="宋体"/>
          <w:color w:val="000000"/>
          <w:sz w:val="21"/>
          <w:szCs w:val="21"/>
          <w:u w:val="single"/>
          <w:lang w:val="en-US" w:eastAsia="zh-CN"/>
        </w:rPr>
        <w:t xml:space="preserve">承包人根据相关法律、标准和规范及按照监</w:t>
      </w:r>
      <w:r>
        <w:rPr>
          <w:rFonts w:hint="eastAsia" w:ascii="宋体" w:hAnsi="宋体" w:eastAsia="宋体" w:cs="宋体"/>
          <w:sz w:val="21"/>
          <w:szCs w:val="21"/>
          <w:u w:val="single"/>
          <w:lang w:val="en-US" w:eastAsia="zh-CN"/>
        </w:rPr>
        <w:t xml:space="preserve">理人指示进行试验并承担检测费用。</w:t>
      </w:r>
      <w:r/>
    </w:p>
    <w:p>
      <w:pPr>
        <w:pStyle w:val="1103"/>
        <w:spacing w:before="120" w:after="120" w:line="360" w:lineRule="auto"/>
        <w:rPr>
          <w:rFonts w:hint="eastAsia" w:ascii="宋体" w:hAnsi="宋体" w:eastAsia="宋体" w:cs="宋体"/>
          <w:sz w:val="21"/>
          <w:szCs w:val="21"/>
        </w:rPr>
      </w:pPr>
      <w:r>
        <w:rPr>
          <w:rFonts w:hint="eastAsia" w:ascii="宋体" w:hAnsi="宋体" w:eastAsia="宋体" w:cs="宋体"/>
          <w:b w:val="0"/>
          <w:sz w:val="21"/>
          <w:szCs w:val="21"/>
        </w:rPr>
        <w:t xml:space="preserve">10. 变更</w:t>
      </w:r>
      <w:r/>
    </w:p>
    <w:p>
      <w:p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10.1变更的范围</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关于变更的范围的约定：</w:t>
      </w:r>
      <w:r>
        <w:rPr>
          <w:rFonts w:hint="eastAsia" w:ascii="宋体" w:hAnsi="宋体" w:eastAsia="宋体" w:cs="宋体"/>
          <w:b w:val="0"/>
          <w:bCs/>
          <w:color w:val="000000"/>
          <w:sz w:val="21"/>
          <w:szCs w:val="21"/>
          <w:u w:val="single"/>
          <w:lang w:eastAsia="zh-CN"/>
        </w:rPr>
        <w:t xml:space="preserve">设计变更、现场</w:t>
      </w:r>
      <w:r>
        <w:rPr>
          <w:rFonts w:hint="eastAsia" w:ascii="宋体" w:hAnsi="宋体" w:eastAsia="宋体" w:cs="宋体"/>
          <w:b w:val="0"/>
          <w:bCs/>
          <w:color w:val="000000"/>
          <w:sz w:val="21"/>
          <w:szCs w:val="21"/>
          <w:u w:val="single"/>
          <w:lang w:val="en-US" w:eastAsia="zh-CN"/>
        </w:rPr>
        <w:t xml:space="preserve">签</w:t>
      </w:r>
      <w:r>
        <w:rPr>
          <w:rFonts w:hint="eastAsia" w:ascii="宋体" w:hAnsi="宋体" w:eastAsia="宋体" w:cs="宋体"/>
          <w:b w:val="0"/>
          <w:bCs/>
          <w:color w:val="000000"/>
          <w:sz w:val="21"/>
          <w:szCs w:val="21"/>
          <w:u w:val="single"/>
          <w:lang w:eastAsia="zh-CN"/>
        </w:rPr>
        <w:t xml:space="preserve">证和新增工程等变更均须经设计院（</w:t>
      </w:r>
      <w:r>
        <w:rPr>
          <w:rFonts w:hint="eastAsia" w:ascii="宋体" w:hAnsi="宋体" w:eastAsia="宋体" w:cs="宋体"/>
          <w:b w:val="0"/>
          <w:bCs/>
          <w:color w:val="000000"/>
          <w:sz w:val="21"/>
          <w:szCs w:val="21"/>
          <w:u w:val="single"/>
          <w:lang w:val="en-US" w:eastAsia="zh-CN"/>
        </w:rPr>
        <w:t xml:space="preserve">如有</w:t>
      </w:r>
      <w:r>
        <w:rPr>
          <w:rFonts w:hint="eastAsia" w:ascii="宋体" w:hAnsi="宋体" w:eastAsia="宋体" w:cs="宋体"/>
          <w:b w:val="0"/>
          <w:bCs/>
          <w:color w:val="000000"/>
          <w:sz w:val="21"/>
          <w:szCs w:val="21"/>
          <w:u w:val="single"/>
          <w:lang w:eastAsia="zh-CN"/>
        </w:rPr>
        <w:t xml:space="preserve">）、监理工程师和发包人代表签字认可并加盖电子签章，否则不作为结算调整依据,审计单位审核确认按招投标让利同比例下浮。承包人根据发包人书面确认的变更文件予以变更。变更文件中须明确原做法、变更后做法及工艺、材料名称、规格、品牌、尺寸等，标注要清晰</w:t>
      </w:r>
      <w:r>
        <w:rPr>
          <w:rFonts w:hint="eastAsia" w:ascii="宋体" w:hAnsi="宋体" w:eastAsia="宋体" w:cs="宋体"/>
          <w:b w:val="0"/>
          <w:bCs/>
          <w:color w:val="000000"/>
          <w:sz w:val="21"/>
          <w:szCs w:val="21"/>
          <w:lang w:eastAsia="zh-CN"/>
        </w:rPr>
        <w:t xml:space="preserve">。</w:t>
      </w:r>
      <w:r/>
    </w:p>
    <w:p>
      <w:pPr>
        <w:numPr>
          <w:ilvl w:val="0"/>
          <w:numId w:val="0"/>
        </w:numPr>
        <w:ind w:left="0" w:right="0" w:firstLine="420"/>
        <w:spacing w:before="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10.4 变更估价</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10.4.1 变更估价原则</w:t>
      </w:r>
      <w:r/>
    </w:p>
    <w:p>
      <w:pPr>
        <w:ind w:firstLine="420"/>
        <w:spacing w:after="0" w:line="360" w:lineRule="auto"/>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关于变更估价的约定：</w:t>
      </w:r>
      <w:r/>
    </w:p>
    <w:p>
      <w:pPr>
        <w:ind w:firstLine="420"/>
        <w:spacing w:after="0" w:line="360" w:lineRule="auto"/>
        <w:rPr>
          <w:rFonts w:hint="eastAsia" w:ascii="宋体" w:hAnsi="宋体" w:eastAsia="宋体" w:cs="宋体"/>
          <w:b w:val="0"/>
          <w:bCs/>
          <w:color w:val="000000"/>
          <w:sz w:val="21"/>
          <w:szCs w:val="21"/>
          <w:u w:val="single"/>
          <w:lang w:eastAsia="zh-CN"/>
        </w:rPr>
      </w:pPr>
      <w:r>
        <w:rPr>
          <w:rFonts w:hint="eastAsia" w:ascii="宋体" w:hAnsi="宋体" w:eastAsia="宋体" w:cs="宋体"/>
          <w:b w:val="0"/>
          <w:bCs/>
          <w:color w:val="000000"/>
          <w:sz w:val="21"/>
          <w:szCs w:val="21"/>
          <w:u w:val="single"/>
          <w:lang w:eastAsia="zh-CN"/>
        </w:rPr>
        <w:t xml:space="preserve">（1）已标价工程量清单或预算书有相同项目的，按照相同项目单价认定；若相同项目单价不一致的，按照最低的项目单价执行；</w:t>
      </w:r>
      <w:r/>
    </w:p>
    <w:p>
      <w:pPr>
        <w:ind w:firstLine="420"/>
        <w:spacing w:after="0" w:line="360" w:lineRule="auto"/>
        <w:rPr>
          <w:rFonts w:hint="eastAsia" w:ascii="宋体" w:hAnsi="宋体" w:eastAsia="宋体" w:cs="宋体"/>
          <w:b w:val="0"/>
          <w:bCs/>
          <w:color w:val="000000"/>
          <w:sz w:val="21"/>
          <w:szCs w:val="21"/>
          <w:u w:val="single"/>
          <w:lang w:eastAsia="zh-CN"/>
        </w:rPr>
      </w:pPr>
      <w:r>
        <w:rPr>
          <w:rFonts w:hint="eastAsia" w:ascii="宋体" w:hAnsi="宋体" w:eastAsia="宋体" w:cs="宋体"/>
          <w:b w:val="0"/>
          <w:bCs/>
          <w:color w:val="000000"/>
          <w:sz w:val="21"/>
          <w:szCs w:val="21"/>
          <w:u w:val="single"/>
          <w:lang w:eastAsia="zh-CN"/>
        </w:rPr>
        <w:t xml:space="preserve">（2）已标价工程量清单或预算书中无相同项目，但有类似项目的，参照类似项目的单价认定；若类似项目的单价不一致的，按照最低的项目单价执行；</w:t>
      </w:r>
      <w:r/>
    </w:p>
    <w:p>
      <w:pPr>
        <w:ind w:firstLine="420"/>
        <w:spacing w:after="0" w:line="360" w:lineRule="auto"/>
        <w:rPr>
          <w:rFonts w:hint="eastAsia" w:ascii="宋体" w:hAnsi="宋体" w:eastAsia="宋体" w:cs="宋体"/>
          <w:b w:val="0"/>
          <w:bCs/>
          <w:color w:val="000000"/>
          <w:sz w:val="21"/>
          <w:szCs w:val="21"/>
          <w:u w:val="single"/>
          <w:lang w:eastAsia="zh-CN"/>
        </w:rPr>
      </w:pPr>
      <w:r>
        <w:rPr>
          <w:rFonts w:hint="eastAsia" w:ascii="宋体" w:hAnsi="宋体" w:eastAsia="宋体" w:cs="宋体"/>
          <w:b w:val="0"/>
          <w:bCs/>
          <w:color w:val="000000"/>
          <w:sz w:val="21"/>
          <w:szCs w:val="21"/>
          <w:u w:val="single"/>
          <w:lang w:eastAsia="zh-CN"/>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ind w:firstLine="420"/>
        <w:spacing w:after="0" w:line="360" w:lineRule="auto"/>
        <w:rPr>
          <w:rFonts w:hint="eastAsia" w:ascii="宋体" w:hAnsi="宋体" w:eastAsia="宋体" w:cs="宋体"/>
          <w:b w:val="0"/>
          <w:bCs/>
          <w:color w:val="000000"/>
          <w:sz w:val="21"/>
          <w:szCs w:val="21"/>
          <w:u w:val="single"/>
          <w:lang w:eastAsia="zh-CN"/>
        </w:rPr>
      </w:pPr>
      <w:r>
        <w:rPr>
          <w:rFonts w:hint="eastAsia" w:ascii="宋体" w:hAnsi="宋体" w:eastAsia="宋体" w:cs="宋体"/>
          <w:b w:val="0"/>
          <w:bCs/>
          <w:color w:val="000000"/>
          <w:sz w:val="21"/>
          <w:szCs w:val="21"/>
          <w:u w:val="single"/>
          <w:lang w:eastAsia="zh-CN"/>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ind w:firstLine="420"/>
        <w:spacing w:after="0" w:line="360" w:lineRule="auto"/>
        <w:rPr>
          <w:rFonts w:hint="eastAsia" w:ascii="宋体" w:hAnsi="宋体" w:eastAsia="宋体" w:cs="宋体"/>
          <w:b w:val="0"/>
          <w:bCs/>
          <w:color w:val="000000"/>
          <w:sz w:val="21"/>
          <w:szCs w:val="21"/>
          <w:u w:val="single"/>
          <w:lang w:eastAsia="zh-CN"/>
        </w:rPr>
      </w:pPr>
      <w:r>
        <w:rPr>
          <w:rFonts w:hint="eastAsia" w:ascii="宋体" w:hAnsi="宋体" w:eastAsia="宋体" w:cs="宋体"/>
          <w:b w:val="0"/>
          <w:bCs/>
          <w:color w:val="000000"/>
          <w:sz w:val="21"/>
          <w:szCs w:val="21"/>
          <w:u w:val="single"/>
          <w:lang w:eastAsia="zh-CN"/>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ind w:firstLine="420"/>
        <w:spacing w:after="0" w:line="360" w:lineRule="auto"/>
        <w:rPr>
          <w:rFonts w:hint="eastAsia" w:ascii="宋体" w:hAnsi="宋体" w:eastAsia="宋体" w:cs="宋体"/>
          <w:b w:val="0"/>
          <w:bCs/>
          <w:color w:val="000000"/>
          <w:sz w:val="21"/>
          <w:szCs w:val="21"/>
          <w:u w:val="single"/>
          <w:lang w:eastAsia="zh-CN"/>
        </w:rPr>
      </w:pPr>
      <w:r>
        <w:rPr>
          <w:rFonts w:hint="eastAsia" w:ascii="宋体" w:hAnsi="宋体" w:eastAsia="宋体" w:cs="宋体"/>
          <w:b w:val="0"/>
          <w:bCs/>
          <w:color w:val="000000"/>
          <w:sz w:val="21"/>
          <w:szCs w:val="21"/>
          <w:u w:val="single"/>
          <w:lang w:eastAsia="zh-CN"/>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20"/>
        <w:spacing w:after="0" w:line="360" w:lineRule="auto"/>
        <w:rPr>
          <w:rFonts w:hint="eastAsia" w:ascii="宋体" w:hAnsi="宋体" w:eastAsia="宋体" w:cs="宋体"/>
          <w:b w:val="0"/>
          <w:bCs/>
          <w:color w:val="000000"/>
          <w:sz w:val="21"/>
          <w:szCs w:val="21"/>
          <w:u w:val="single"/>
          <w:lang w:eastAsia="zh-CN"/>
        </w:rPr>
      </w:pPr>
      <w:r>
        <w:rPr>
          <w:rFonts w:hint="eastAsia" w:ascii="宋体" w:hAnsi="宋体" w:eastAsia="宋体" w:cs="宋体"/>
          <w:b w:val="0"/>
          <w:bCs/>
          <w:color w:val="000000"/>
          <w:sz w:val="21"/>
          <w:szCs w:val="21"/>
          <w:u w:val="single"/>
          <w:lang w:eastAsia="zh-CN"/>
        </w:rPr>
        <w:t xml:space="preserve">④无法按照上述条款确定综合单价时，单价可按下列方式调整：综合单价=预算单价×（中标价-暂估价-暂列金额-不可竞争费）/（招标控制价-暂估价-暂列金额-不可竞争费）,预算单价由合同当事人（或审计单位）根据磋商文件规定编制。</w:t>
      </w:r>
      <w:r/>
    </w:p>
    <w:p>
      <w:p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10.5承包人的合理化建议</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监理人审查承包人合理化建议的期限：</w:t>
      </w:r>
      <w:r>
        <w:rPr>
          <w:rFonts w:hint="eastAsia" w:ascii="宋体" w:hAnsi="宋体" w:eastAsia="宋体" w:cs="宋体"/>
          <w:b w:val="0"/>
          <w:bCs/>
          <w:color w:val="000000"/>
          <w:sz w:val="21"/>
          <w:szCs w:val="21"/>
          <w:u w:val="single"/>
          <w:lang w:eastAsia="zh-CN"/>
        </w:rPr>
        <w:t xml:space="preserve">收到承包人书面合理化建议后7天内</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发包人审批承包人合理化建议的期限：</w:t>
      </w:r>
      <w:r>
        <w:rPr>
          <w:rFonts w:hint="eastAsia" w:ascii="宋体" w:hAnsi="宋体" w:eastAsia="宋体" w:cs="宋体"/>
          <w:b w:val="0"/>
          <w:bCs/>
          <w:color w:val="000000"/>
          <w:sz w:val="21"/>
          <w:szCs w:val="21"/>
          <w:u w:val="single"/>
          <w:lang w:eastAsia="zh-CN"/>
        </w:rPr>
        <w:t xml:space="preserve">收到承包人书面合理化建议后14天内（且已收到监理人书面意见）</w:t>
      </w:r>
      <w:r>
        <w:rPr>
          <w:rFonts w:hint="eastAsia" w:ascii="宋体" w:hAnsi="宋体" w:eastAsia="宋体" w:cs="宋体"/>
          <w:sz w:val="21"/>
          <w:szCs w:val="21"/>
        </w:rPr>
        <w:t xml:space="preserve">。</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承包人提出的合理化建议降低了合同价格或者提高了工程经济效益的奖励的方法和金额为：</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numPr>
          <w:ilvl w:val="0"/>
          <w:numId w:val="0"/>
        </w:num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10.7 暂估价</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10.7.1 依法必须招标的暂估价项目</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对于依法必须招标的暂估价项目的确认和批准采取第</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种方式确定。</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10.7.2 不属于依法必须招标的暂估价项目</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对于不属于依法必须招标的暂估价项目的确认和批准采取第</w:t>
      </w:r>
      <w:r>
        <w:rPr>
          <w:rFonts w:hint="eastAsia" w:ascii="宋体" w:hAnsi="宋体" w:eastAsia="宋体" w:cs="宋体"/>
          <w:sz w:val="21"/>
          <w:szCs w:val="21"/>
          <w:u w:val="single"/>
        </w:rPr>
        <w:t xml:space="preserve">  /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种方式确定。</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第3种方式：承包人直接实施的暂估价项目</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承包人直接实施的暂估价项目的约定：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10.8 暂列金额</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合同当事人关于暂列金额使用的约定：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pStyle w:val="1103"/>
        <w:spacing w:before="120" w:after="120" w:line="360" w:lineRule="auto"/>
        <w:rPr>
          <w:rFonts w:hint="eastAsia" w:ascii="宋体" w:hAnsi="宋体" w:eastAsia="宋体" w:cs="宋体"/>
          <w:sz w:val="21"/>
          <w:szCs w:val="21"/>
        </w:rPr>
      </w:pPr>
      <w:r>
        <w:rPr>
          <w:rFonts w:hint="eastAsia" w:ascii="宋体" w:hAnsi="宋体" w:eastAsia="宋体" w:cs="宋体"/>
          <w:b w:val="0"/>
          <w:sz w:val="21"/>
          <w:szCs w:val="21"/>
        </w:rPr>
        <w:t xml:space="preserve">11. 价格调整</w:t>
      </w:r>
      <w:r/>
    </w:p>
    <w:p>
      <w:p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11.1 市场价格波动引起的调整</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市场价格波动是否调整合同价格的约定：</w:t>
      </w:r>
      <w:r>
        <w:rPr>
          <w:rFonts w:hint="eastAsia" w:ascii="宋体" w:hAnsi="宋体" w:eastAsia="宋体" w:cs="宋体"/>
          <w:b/>
          <w:bCs/>
          <w:sz w:val="21"/>
          <w:szCs w:val="21"/>
          <w:u w:val="single"/>
          <w:lang w:val="en-US" w:eastAsia="zh-CN"/>
        </w:rPr>
        <w:t xml:space="preserve">不</w:t>
      </w:r>
      <w:r>
        <w:rPr>
          <w:rFonts w:hint="eastAsia" w:ascii="宋体" w:hAnsi="宋体" w:eastAsia="宋体" w:cs="宋体"/>
          <w:b/>
          <w:bCs/>
          <w:sz w:val="21"/>
          <w:szCs w:val="21"/>
          <w:u w:val="single"/>
        </w:rPr>
        <w:t xml:space="preserve">调整。</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因市场价格波动调整合同价格，采用以下第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种方式对合同价格进行调整：</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第1种方式：采用价格指数进行价格调整。</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关于各可调因子、定值和变值权重，以及基本价格指数及其来源的约定：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第2种方式：采用造价信息进行价格调整。</w:t>
      </w:r>
      <w:r/>
    </w:p>
    <w:p>
      <w:pPr>
        <w:ind w:left="0" w:right="0" w:firstLine="420"/>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（2）关于基准价格的约定：</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w:t>
      </w:r>
      <w:r/>
    </w:p>
    <w:p>
      <w:pPr>
        <w:ind w:firstLine="420"/>
        <w:spacing w:after="0" w:line="360" w:lineRule="auto"/>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b w:val="0"/>
          <w:bCs/>
          <w:color w:val="000000"/>
          <w:sz w:val="21"/>
          <w:szCs w:val="21"/>
          <w:u w:val="single"/>
          <w:lang w:eastAsia="zh-CN"/>
        </w:rPr>
        <w:t xml:space="preserve">/</w:t>
      </w:r>
      <w:r>
        <w:rPr>
          <w:rFonts w:hint="eastAsia" w:ascii="宋体" w:hAnsi="宋体" w:eastAsia="宋体" w:cs="宋体"/>
          <w:b w:val="0"/>
          <w:bCs/>
          <w:color w:val="000000"/>
          <w:sz w:val="21"/>
          <w:szCs w:val="21"/>
          <w:lang w:eastAsia="zh-CN"/>
        </w:rPr>
        <w:t xml:space="preserve">%时，或材料单价跌幅以已标价工程量清单或预算书中载明材料单价为基础超过</w:t>
      </w:r>
      <w:r>
        <w:rPr>
          <w:rFonts w:hint="eastAsia" w:ascii="宋体" w:hAnsi="宋体" w:eastAsia="宋体" w:cs="宋体"/>
          <w:b w:val="0"/>
          <w:bCs/>
          <w:color w:val="000000"/>
          <w:sz w:val="21"/>
          <w:szCs w:val="21"/>
          <w:u w:val="single"/>
          <w:lang w:eastAsia="zh-CN"/>
        </w:rPr>
        <w:t xml:space="preserve">/</w:t>
      </w:r>
      <w:r>
        <w:rPr>
          <w:rFonts w:hint="eastAsia" w:ascii="宋体" w:hAnsi="宋体" w:eastAsia="宋体" w:cs="宋体"/>
          <w:b w:val="0"/>
          <w:bCs/>
          <w:color w:val="000000"/>
          <w:sz w:val="21"/>
          <w:szCs w:val="21"/>
          <w:lang w:eastAsia="zh-CN"/>
        </w:rPr>
        <w:t xml:space="preserve">%时，其超过部分据实调整。</w:t>
      </w:r>
      <w:r/>
    </w:p>
    <w:p>
      <w:pPr>
        <w:ind w:firstLine="420"/>
        <w:spacing w:after="0" w:line="360" w:lineRule="auto"/>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b w:val="0"/>
          <w:bCs/>
          <w:color w:val="000000"/>
          <w:sz w:val="21"/>
          <w:szCs w:val="21"/>
          <w:u w:val="single"/>
          <w:lang w:eastAsia="zh-CN"/>
        </w:rPr>
        <w:t xml:space="preserve">/</w:t>
      </w:r>
      <w:r>
        <w:rPr>
          <w:rFonts w:hint="eastAsia" w:ascii="宋体" w:hAnsi="宋体" w:eastAsia="宋体" w:cs="宋体"/>
          <w:b w:val="0"/>
          <w:bCs/>
          <w:color w:val="000000"/>
          <w:sz w:val="21"/>
          <w:szCs w:val="21"/>
          <w:lang w:eastAsia="zh-CN"/>
        </w:rPr>
        <w:t xml:space="preserve">%时，材料单价涨幅以已标价工程量清单或预算书中载明材料单价为基础超过</w:t>
      </w:r>
      <w:r>
        <w:rPr>
          <w:rFonts w:hint="eastAsia" w:ascii="宋体" w:hAnsi="宋体" w:eastAsia="宋体" w:cs="宋体"/>
          <w:b w:val="0"/>
          <w:bCs/>
          <w:color w:val="000000"/>
          <w:sz w:val="21"/>
          <w:szCs w:val="21"/>
          <w:u w:val="single"/>
          <w:lang w:eastAsia="zh-CN"/>
        </w:rPr>
        <w:t xml:space="preserve">/</w:t>
      </w:r>
      <w:r>
        <w:rPr>
          <w:rFonts w:hint="eastAsia" w:ascii="宋体" w:hAnsi="宋体" w:eastAsia="宋体" w:cs="宋体"/>
          <w:b w:val="0"/>
          <w:bCs/>
          <w:color w:val="000000"/>
          <w:sz w:val="21"/>
          <w:szCs w:val="21"/>
          <w:lang w:eastAsia="zh-CN"/>
        </w:rPr>
        <w:t xml:space="preserve">%时，其超过部分据实调整。</w:t>
      </w:r>
      <w:r/>
    </w:p>
    <w:p>
      <w:pPr>
        <w:ind w:firstLine="420"/>
        <w:spacing w:after="0" w:line="360" w:lineRule="auto"/>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b w:val="0"/>
          <w:bCs/>
          <w:color w:val="000000"/>
          <w:sz w:val="21"/>
          <w:szCs w:val="21"/>
          <w:u w:val="single"/>
          <w:lang w:eastAsia="zh-CN"/>
        </w:rPr>
        <w:t xml:space="preserve">/</w:t>
      </w:r>
      <w:r>
        <w:rPr>
          <w:rFonts w:hint="eastAsia" w:ascii="宋体" w:hAnsi="宋体" w:eastAsia="宋体" w:cs="宋体"/>
          <w:b w:val="0"/>
          <w:bCs/>
          <w:color w:val="000000"/>
          <w:sz w:val="21"/>
          <w:szCs w:val="21"/>
          <w:lang w:eastAsia="zh-CN"/>
        </w:rPr>
        <w:t xml:space="preserve">%时，其超过部分据实调整。</w:t>
      </w:r>
      <w:r/>
    </w:p>
    <w:p>
      <w:pPr>
        <w:spacing w:after="0" w:line="360" w:lineRule="auto"/>
        <w:rPr>
          <w:rFonts w:hint="eastAsia" w:ascii="宋体" w:hAnsi="宋体" w:eastAsia="宋体" w:cs="宋体"/>
          <w:sz w:val="21"/>
          <w:szCs w:val="21"/>
          <w:lang w:val="en-US" w:eastAsia="zh-CN"/>
        </w:rPr>
      </w:pPr>
      <w:r>
        <w:rPr>
          <w:rFonts w:hint="eastAsia" w:ascii="宋体" w:hAnsi="宋体" w:eastAsia="宋体" w:cs="宋体"/>
          <w:b w:val="0"/>
          <w:bCs/>
          <w:color w:val="000000"/>
          <w:sz w:val="21"/>
          <w:szCs w:val="21"/>
          <w:lang w:eastAsia="zh-CN"/>
        </w:rPr>
        <w:t xml:space="preserve">第3种方式：其他价格调整方式：</w:t>
      </w:r>
      <w:r>
        <w:rPr>
          <w:rFonts w:hint="eastAsia" w:ascii="宋体" w:hAnsi="宋体" w:eastAsia="宋体" w:cs="宋体"/>
          <w:b w:val="0"/>
          <w:bCs/>
          <w:color w:val="000000"/>
          <w:sz w:val="21"/>
          <w:szCs w:val="21"/>
          <w:u w:val="single"/>
          <w:lang w:eastAsia="zh-CN"/>
        </w:rPr>
        <w:t xml:space="preserve">/</w:t>
      </w:r>
      <w:r>
        <w:rPr>
          <w:rFonts w:hint="eastAsia" w:ascii="宋体" w:hAnsi="宋体" w:eastAsia="宋体" w:cs="宋体"/>
          <w:b w:val="0"/>
          <w:bCs/>
          <w:color w:val="000000"/>
          <w:sz w:val="21"/>
          <w:szCs w:val="21"/>
          <w:lang w:eastAsia="zh-CN"/>
        </w:rPr>
        <w:t xml:space="preserve">。</w:t>
      </w:r>
      <w:r/>
    </w:p>
    <w:p>
      <w:pPr>
        <w:pStyle w:val="1103"/>
        <w:spacing w:before="120" w:after="120" w:line="360" w:lineRule="auto"/>
        <w:rPr>
          <w:rFonts w:hint="eastAsia" w:ascii="宋体" w:hAnsi="宋体" w:eastAsia="宋体" w:cs="宋体"/>
          <w:sz w:val="21"/>
          <w:szCs w:val="21"/>
        </w:rPr>
      </w:pPr>
      <w:r>
        <w:rPr>
          <w:rFonts w:hint="eastAsia" w:ascii="宋体" w:hAnsi="宋体" w:eastAsia="宋体" w:cs="宋体"/>
          <w:b w:val="0"/>
          <w:sz w:val="21"/>
          <w:szCs w:val="21"/>
        </w:rPr>
        <w:t xml:space="preserve">12. 合同价格、计量与支付</w:t>
      </w:r>
      <w:r/>
    </w:p>
    <w:p>
      <w:pPr>
        <w:ind w:left="0" w:right="0" w:firstLine="420"/>
        <w:spacing w:before="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12.1 合同价格形式</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1、单价合同。</w:t>
      </w:r>
      <w:r/>
    </w:p>
    <w:p>
      <w:pPr>
        <w:ind w:firstLine="420"/>
        <w:spacing w:after="0" w:line="360" w:lineRule="auto"/>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综合单价包含的风险范围：</w:t>
      </w:r>
      <w:r>
        <w:rPr>
          <w:rFonts w:hint="eastAsia" w:ascii="宋体" w:hAnsi="宋体" w:eastAsia="宋体" w:cs="宋体"/>
          <w:b w:val="0"/>
          <w:bCs/>
          <w:color w:val="000000"/>
          <w:sz w:val="21"/>
          <w:szCs w:val="21"/>
          <w:u w:val="single"/>
          <w:lang w:eastAsia="zh-CN"/>
        </w:rPr>
        <w:t xml:space="preserve">执行本工程磋商文件相关内容</w:t>
      </w:r>
      <w:r>
        <w:rPr>
          <w:rFonts w:hint="eastAsia" w:ascii="宋体" w:hAnsi="宋体" w:eastAsia="宋体" w:cs="宋体"/>
          <w:b w:val="0"/>
          <w:bCs/>
          <w:color w:val="000000"/>
          <w:sz w:val="21"/>
          <w:szCs w:val="21"/>
          <w:lang w:eastAsia="zh-CN"/>
        </w:rPr>
        <w:t xml:space="preserve">。</w:t>
      </w:r>
      <w:r/>
    </w:p>
    <w:p>
      <w:pPr>
        <w:ind w:firstLine="420"/>
        <w:spacing w:after="0" w:line="360" w:lineRule="auto"/>
        <w:rPr>
          <w:rFonts w:hint="eastAsia" w:ascii="宋体" w:hAnsi="宋体" w:eastAsia="宋体" w:cs="宋体"/>
          <w:b w:val="0"/>
          <w:bCs/>
          <w:color w:val="000000"/>
          <w:sz w:val="21"/>
          <w:szCs w:val="21"/>
          <w:u w:val="single"/>
          <w:lang w:eastAsia="zh-CN"/>
        </w:rPr>
      </w:pPr>
      <w:r>
        <w:rPr>
          <w:rFonts w:hint="eastAsia" w:ascii="宋体" w:hAnsi="宋体" w:eastAsia="宋体" w:cs="宋体"/>
          <w:b w:val="0"/>
          <w:bCs/>
          <w:color w:val="000000"/>
          <w:sz w:val="21"/>
          <w:szCs w:val="21"/>
          <w:lang w:eastAsia="zh-CN"/>
        </w:rPr>
        <w:t xml:space="preserve">风险费用的计算方法：</w:t>
      </w:r>
      <w:r>
        <w:rPr>
          <w:rFonts w:hint="eastAsia" w:ascii="宋体" w:hAnsi="宋体" w:eastAsia="宋体" w:cs="宋体"/>
          <w:b w:val="0"/>
          <w:bCs/>
          <w:color w:val="000000"/>
          <w:sz w:val="21"/>
          <w:szCs w:val="21"/>
          <w:u w:val="single"/>
          <w:lang w:eastAsia="zh-CN"/>
        </w:rPr>
        <w:t xml:space="preserve">①市场价格波动引起的调整，按第11.1款约定执行；</w:t>
      </w:r>
      <w:r/>
    </w:p>
    <w:p>
      <w:pPr>
        <w:ind w:firstLine="420"/>
        <w:spacing w:after="0" w:line="360" w:lineRule="auto"/>
        <w:rPr>
          <w:rFonts w:hint="eastAsia" w:ascii="宋体" w:hAnsi="宋体" w:eastAsia="宋体" w:cs="宋体"/>
          <w:b w:val="0"/>
          <w:bCs/>
          <w:color w:val="000000"/>
          <w:sz w:val="21"/>
          <w:szCs w:val="21"/>
          <w:u w:val="single"/>
          <w:lang w:eastAsia="zh-CN"/>
        </w:rPr>
      </w:pPr>
      <w:r>
        <w:rPr>
          <w:rFonts w:hint="eastAsia" w:ascii="宋体" w:hAnsi="宋体" w:eastAsia="宋体" w:cs="宋体"/>
          <w:b w:val="0"/>
          <w:bCs/>
          <w:color w:val="000000"/>
          <w:sz w:val="21"/>
          <w:szCs w:val="21"/>
          <w:u w:val="single"/>
          <w:lang w:eastAsia="zh-CN"/>
        </w:rPr>
        <w:t xml:space="preserve">②国家、江苏省、徐州市出台其他政策性调整文件的，按政策性调整文件执行；</w:t>
      </w:r>
      <w:r/>
    </w:p>
    <w:p>
      <w:pPr>
        <w:ind w:firstLine="420"/>
        <w:spacing w:after="0" w:line="360" w:lineRule="auto"/>
        <w:rPr>
          <w:rFonts w:hint="eastAsia" w:ascii="宋体" w:hAnsi="宋体" w:eastAsia="宋体" w:cs="宋体"/>
          <w:b w:val="0"/>
          <w:bCs/>
          <w:color w:val="000000"/>
          <w:sz w:val="21"/>
          <w:szCs w:val="21"/>
          <w:u w:val="single"/>
          <w:lang w:eastAsia="zh-CN"/>
        </w:rPr>
      </w:pPr>
      <w:r>
        <w:rPr>
          <w:rFonts w:hint="eastAsia" w:ascii="宋体" w:hAnsi="宋体" w:eastAsia="宋体" w:cs="宋体"/>
          <w:b w:val="0"/>
          <w:bCs/>
          <w:color w:val="000000"/>
          <w:sz w:val="21"/>
          <w:szCs w:val="21"/>
          <w:u w:val="single"/>
          <w:lang w:eastAsia="zh-CN"/>
        </w:rPr>
        <w:t xml:space="preserve">③工程量清单项目中特征描述不全的工序，或是常规工艺必须的工序，均已包含报价中；</w:t>
      </w:r>
      <w:r/>
    </w:p>
    <w:p>
      <w:pPr>
        <w:ind w:firstLine="420"/>
        <w:spacing w:after="0" w:line="360" w:lineRule="auto"/>
        <w:rPr>
          <w:rFonts w:hint="eastAsia" w:ascii="宋体" w:hAnsi="宋体" w:eastAsia="宋体" w:cs="宋体"/>
          <w:b w:val="0"/>
          <w:bCs/>
          <w:color w:val="000000"/>
          <w:sz w:val="21"/>
          <w:szCs w:val="21"/>
          <w:u w:val="single"/>
          <w:lang w:eastAsia="zh-CN"/>
        </w:rPr>
      </w:pPr>
      <w:r>
        <w:rPr>
          <w:rFonts w:hint="eastAsia" w:ascii="宋体" w:hAnsi="宋体" w:eastAsia="宋体" w:cs="宋体"/>
          <w:b w:val="0"/>
          <w:bCs/>
          <w:color w:val="000000"/>
          <w:sz w:val="21"/>
          <w:szCs w:val="21"/>
          <w:u w:val="single"/>
          <w:lang w:eastAsia="zh-CN"/>
        </w:rPr>
        <w:t xml:space="preserve">④承包人已对工程现场进行了实地踏勘，工程现场内的清表、清障，均由承包人负责，并已充分考虑在投标报价中。本工程现场因施工产生的垃圾，均由承包人负责外运，相关费用已由承包人充分考虑在投标报价中。</w:t>
      </w:r>
      <w:r/>
    </w:p>
    <w:p>
      <w:pPr>
        <w:ind w:firstLine="420"/>
        <w:spacing w:after="0" w:line="360" w:lineRule="auto"/>
        <w:rPr>
          <w:rFonts w:hint="eastAsia" w:ascii="宋体" w:hAnsi="宋体" w:eastAsia="宋体" w:cs="宋体"/>
          <w:b w:val="0"/>
          <w:bCs/>
          <w:color w:val="000000"/>
          <w:sz w:val="21"/>
          <w:szCs w:val="21"/>
          <w:u w:val="single"/>
          <w:lang w:eastAsia="zh-CN"/>
        </w:rPr>
      </w:pPr>
      <w:r>
        <w:rPr>
          <w:rFonts w:hint="eastAsia" w:ascii="宋体" w:hAnsi="宋体" w:eastAsia="宋体" w:cs="宋体"/>
          <w:b w:val="0"/>
          <w:bCs/>
          <w:color w:val="000000"/>
          <w:sz w:val="21"/>
          <w:szCs w:val="21"/>
          <w:u w:val="single"/>
          <w:lang w:eastAsia="zh-CN"/>
        </w:rPr>
        <w:t xml:space="preserve">⑤在施工过程中，发包人有权根据该工程的实际情况，对设计进行变更（增加或减少工程量、增加或取消部分分部分项工程项目），承包人不得以任何理由拒绝，除按磋商文件和合同约定在竣工结算时进行调整外，承包人不得提出任何索赔或赔偿。</w:t>
      </w:r>
      <w:r/>
    </w:p>
    <w:p>
      <w:pPr>
        <w:ind w:firstLine="420"/>
        <w:spacing w:after="0" w:line="360" w:lineRule="auto"/>
        <w:rPr>
          <w:rFonts w:hint="eastAsia" w:ascii="宋体" w:hAnsi="宋体" w:eastAsia="宋体" w:cs="宋体"/>
          <w:b w:val="0"/>
          <w:bCs/>
          <w:color w:val="000000"/>
          <w:sz w:val="21"/>
          <w:szCs w:val="21"/>
          <w:u w:val="single"/>
          <w:lang w:eastAsia="zh-CN"/>
        </w:rPr>
      </w:pPr>
      <w:r>
        <w:rPr>
          <w:rFonts w:hint="eastAsia" w:ascii="宋体" w:hAnsi="宋体" w:eastAsia="宋体" w:cs="宋体"/>
          <w:b w:val="0"/>
          <w:bCs/>
          <w:color w:val="000000"/>
          <w:sz w:val="21"/>
          <w:szCs w:val="21"/>
          <w:u w:val="single"/>
          <w:lang w:eastAsia="zh-CN"/>
        </w:rPr>
        <w:t xml:space="preserve">⑥在施工过程中，采购人有权根据该工程的实际情况，对原设计材料或设备进行变更（包括变更为认质认价材料、对材料或设备品种规格进行变更），中标人不得以任何理由拒绝，除按合同和本工程磋商文件约定在竣工结算时进行调整外，承包人不得提出任何索赔或赔偿。</w:t>
      </w:r>
      <w:r/>
    </w:p>
    <w:p>
      <w:pPr>
        <w:ind w:firstLine="420"/>
        <w:spacing w:after="0" w:line="360" w:lineRule="auto"/>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u w:val="single"/>
          <w:lang w:eastAsia="zh-CN"/>
        </w:rPr>
        <w:t xml:space="preserve">⑦施工时需做好防护措施保证周边安全，因承包人保障不利对发包人或第三方造成损失的，赔偿责任全部由承包人承担，若因此会增加费用，承包人已自行考虑在报价中，结算时不予调整</w:t>
      </w:r>
      <w:r>
        <w:rPr>
          <w:rFonts w:hint="eastAsia" w:ascii="宋体" w:hAnsi="宋体" w:eastAsia="宋体" w:cs="宋体"/>
          <w:b w:val="0"/>
          <w:bCs/>
          <w:color w:val="000000"/>
          <w:sz w:val="21"/>
          <w:szCs w:val="21"/>
          <w:lang w:eastAsia="zh-CN"/>
        </w:rPr>
        <w:t xml:space="preserve">。</w:t>
      </w:r>
      <w:r/>
    </w:p>
    <w:p>
      <w:pPr>
        <w:ind w:firstLine="420"/>
        <w:spacing w:after="0" w:line="360" w:lineRule="auto"/>
        <w:rPr>
          <w:rFonts w:hint="eastAsia" w:ascii="宋体" w:hAnsi="宋体" w:eastAsia="宋体" w:cs="宋体"/>
          <w:color w:val="000000"/>
          <w:sz w:val="21"/>
          <w:szCs w:val="21"/>
        </w:rPr>
      </w:pPr>
      <w:r>
        <w:rPr>
          <w:rFonts w:hint="eastAsia" w:ascii="宋体" w:hAnsi="宋体" w:eastAsia="宋体" w:cs="宋体"/>
          <w:b w:val="0"/>
          <w:bCs/>
          <w:color w:val="000000"/>
          <w:sz w:val="21"/>
          <w:szCs w:val="21"/>
          <w:lang w:eastAsia="zh-CN"/>
        </w:rPr>
        <w:t xml:space="preserve">风险范围以外合同价格的调整方法：</w:t>
      </w:r>
      <w:r>
        <w:rPr>
          <w:rFonts w:hint="eastAsia" w:ascii="宋体" w:hAnsi="宋体" w:eastAsia="宋体" w:cs="宋体"/>
          <w:b w:val="0"/>
          <w:bCs/>
          <w:color w:val="000000"/>
          <w:sz w:val="21"/>
          <w:szCs w:val="21"/>
          <w:u w:val="single"/>
          <w:lang w:eastAsia="zh-CN" w:bidi="ar"/>
        </w:rPr>
        <w:t xml:space="preserve">均由承包人承担</w:t>
      </w:r>
      <w:r>
        <w:rPr>
          <w:rFonts w:hint="eastAsia" w:ascii="宋体" w:hAnsi="宋体" w:eastAsia="宋体" w:cs="宋体"/>
          <w:b w:val="0"/>
          <w:bCs/>
          <w:color w:val="000000"/>
          <w:sz w:val="21"/>
          <w:szCs w:val="21"/>
          <w:lang w:eastAsia="zh-CN"/>
        </w:rPr>
        <w:t xml:space="preserve">。</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2、总价合同。</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总价包含的风险范围：</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风险费用的计算方法：</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风险范围以外合同价格的调整方法：</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3、其他价格方式：</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p>
    <w:p>
      <w:pPr>
        <w:ind w:left="0" w:right="0" w:firstLine="420"/>
        <w:spacing w:before="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12.2 预付款</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12.2.1 预付款的支付</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预付款支付比例或金额：</w:t>
      </w:r>
      <w:r>
        <w:rPr>
          <w:rFonts w:hint="eastAsia" w:ascii="宋体" w:hAnsi="宋体" w:eastAsia="宋体" w:cs="宋体"/>
          <w:color w:val="000000"/>
          <w:sz w:val="21"/>
          <w:szCs w:val="21"/>
          <w:u w:val="single"/>
          <w:lang w:val="en-US" w:eastAsia="zh-CN"/>
        </w:rPr>
        <w:t xml:space="preserve">/</w:t>
      </w:r>
      <w:r>
        <w:rPr>
          <w:rFonts w:hint="eastAsia" w:ascii="宋体" w:hAnsi="宋体" w:eastAsia="宋体" w:cs="宋体"/>
          <w:color w:val="000000"/>
          <w:sz w:val="21"/>
          <w:szCs w:val="21"/>
          <w:u w:val="none"/>
        </w:rPr>
        <w:t xml:space="preserve">。</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预付款支付期限：</w:t>
      </w:r>
      <w:r>
        <w:rPr>
          <w:rFonts w:hint="eastAsia" w:ascii="宋体" w:hAnsi="宋体" w:eastAsia="宋体" w:cs="宋体"/>
          <w:caps w:val="0"/>
          <w:smallCaps w:val="0"/>
          <w:strike w:val="0"/>
          <w:color w:val="000000"/>
          <w:spacing w:val="-3"/>
          <w:position w:val="0"/>
          <w:sz w:val="21"/>
          <w:szCs w:val="21"/>
          <w:u w:val="single"/>
          <w:vertAlign w:val="baseline"/>
          <w:rtl w:val="0"/>
          <w:lang w:val="en-US" w:eastAsia="zh-CN"/>
        </w:rPr>
        <w:t xml:space="preserve">/</w:t>
      </w:r>
      <w:r>
        <w:rPr>
          <w:rFonts w:hint="eastAsia" w:ascii="宋体" w:hAnsi="宋体" w:eastAsia="宋体" w:cs="宋体"/>
          <w:color w:val="000000"/>
          <w:sz w:val="21"/>
          <w:szCs w:val="21"/>
        </w:rPr>
        <w:t xml:space="preserve">。</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预付款扣回的方式：</w:t>
      </w:r>
      <w:r>
        <w:rPr>
          <w:rFonts w:hint="eastAsia" w:ascii="宋体" w:hAnsi="宋体" w:eastAsia="宋体" w:cs="宋体"/>
          <w:color w:val="000000"/>
          <w:sz w:val="21"/>
          <w:szCs w:val="21"/>
          <w:u w:val="single"/>
          <w:lang w:val="en-US" w:eastAsia="zh-CN"/>
        </w:rPr>
        <w:t xml:space="preserve">/</w:t>
      </w:r>
      <w:r>
        <w:rPr>
          <w:rFonts w:hint="eastAsia" w:ascii="宋体" w:hAnsi="宋体" w:eastAsia="宋体" w:cs="宋体"/>
          <w:color w:val="000000"/>
          <w:sz w:val="21"/>
          <w:szCs w:val="21"/>
          <w:u w:val="none"/>
        </w:rPr>
        <w:t xml:space="preserve">。</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12.2.2 预付款担保</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承包人提交预付款担保的期限：</w:t>
      </w:r>
      <w:r>
        <w:rPr>
          <w:rFonts w:hint="eastAsia" w:ascii="宋体" w:hAnsi="宋体" w:eastAsia="宋体" w:cs="宋体"/>
          <w:color w:val="000000"/>
          <w:sz w:val="21"/>
          <w:szCs w:val="21"/>
          <w:u w:val="single"/>
          <w:lang w:val="en-US" w:eastAsia="zh-CN"/>
        </w:rPr>
        <w:t xml:space="preserve">/</w:t>
      </w:r>
      <w:r>
        <w:rPr>
          <w:rFonts w:hint="eastAsia" w:ascii="宋体" w:hAnsi="宋体" w:eastAsia="宋体" w:cs="宋体"/>
          <w:color w:val="000000"/>
          <w:sz w:val="21"/>
          <w:szCs w:val="21"/>
        </w:rPr>
        <w:t xml:space="preserve">。</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预付款担保的形式为</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w:t>
      </w:r>
      <w:r>
        <w:rPr>
          <w:rFonts w:hint="eastAsia" w:ascii="宋体" w:hAnsi="宋体" w:eastAsia="宋体" w:cs="宋体"/>
          <w:color w:val="000000"/>
          <w:sz w:val="21"/>
          <w:szCs w:val="21"/>
          <w:u w:val="single"/>
        </w:rPr>
        <w:t xml:space="preserve">。</w:t>
      </w:r>
      <w:r/>
    </w:p>
    <w:p>
      <w:p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12.3 计量</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12.3.6 其他价格形式合同的计量</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其他价格形式的计量方式和程序：</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t xml:space="preserve">。</w:t>
      </w:r>
      <w:r/>
    </w:p>
    <w:p>
      <w:p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12.4 工程进度款支付</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12.4.1 付款周期</w:t>
      </w:r>
      <w:r/>
    </w:p>
    <w:p>
      <w:pPr>
        <w:pStyle w:val="1134"/>
        <w:ind w:firstLine="480"/>
        <w:spacing w:beforeAutospacing="0" w:afterAutospacing="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本合同总金额为人民币大写金额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元（小写金额：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元），经双方协商一致，选择以下第</w:t>
      </w:r>
      <w:r>
        <w:rPr>
          <w:rFonts w:hint="eastAsia" w:ascii="宋体" w:hAnsi="宋体" w:eastAsia="宋体" w:cs="宋体"/>
          <w:color w:val="000000"/>
          <w:sz w:val="21"/>
          <w:szCs w:val="21"/>
          <w:u w:val="single"/>
          <w:lang w:val="en-US" w:eastAsia="zh-CN"/>
        </w:rPr>
        <w:t xml:space="preserve">  二  </w:t>
      </w:r>
      <w:r>
        <w:rPr>
          <w:rFonts w:hint="eastAsia" w:ascii="宋体" w:hAnsi="宋体" w:eastAsia="宋体" w:cs="宋体"/>
          <w:color w:val="000000"/>
          <w:sz w:val="21"/>
          <w:szCs w:val="21"/>
        </w:rPr>
        <w:t xml:space="preserve">种付款方式：</w:t>
      </w:r>
      <w:r/>
    </w:p>
    <w:p>
      <w:pPr>
        <w:pStyle w:val="1134"/>
        <w:ind w:right="6" w:firstLine="420"/>
        <w:jc w:val="both"/>
        <w:spacing w:beforeAutospacing="0" w:after="200" w:afterAutospacing="0"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付款方式一：提交预付款保函的</w:t>
      </w:r>
      <w:r/>
    </w:p>
    <w:p>
      <w:pPr>
        <w:pStyle w:val="1134"/>
        <w:ind w:firstLine="480"/>
        <w:spacing w:beforeAutospacing="0" w:afterAutospacing="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合同价款的百分之五十(</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0%)作为预付款即￥</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，大写：人民币</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元整，在双方签订合同15个工作日内且乙方提供对应金额的增值税发票后（或乙方向甲方出具等额预付款保函后），由甲方办理政府采购资金结算手续，经审核后支付给乙方。</w:t>
      </w:r>
      <w:r/>
    </w:p>
    <w:p>
      <w:pPr>
        <w:pStyle w:val="1134"/>
        <w:ind w:firstLine="470"/>
        <w:jc w:val="both"/>
        <w:spacing w:beforeAutospacing="0" w:afterAutospacing="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工程完工，经财政评审后付至审定价的百分之百（100%）即￥</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，大写：人民币</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元整，由买方办理政府采购资金结算手续，经审核后支付给卖方。</w:t>
      </w:r>
      <w:r/>
    </w:p>
    <w:p>
      <w:pPr>
        <w:pStyle w:val="1134"/>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shd w:val="clear" w:color="auto" w:fill="ffffff"/>
        </w:rPr>
        <w:t xml:space="preserve">付款方式二：不提交预付款保函的</w:t>
      </w:r>
      <w:r/>
    </w:p>
    <w:p>
      <w:pPr>
        <w:pStyle w:val="1134"/>
        <w:ind w:firstLine="480"/>
        <w:spacing w:beforeAutospacing="0" w:afterAutospacing="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合同价款的百分之十(</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0%)作为预付款即￥</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，大写：人民币</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元整，在双方签订合同15个工作日内且乙方提供对应金额的增值税发票后，由甲方办理政府采购资金结算手续，经审核后支付给乙方。</w:t>
      </w:r>
      <w:r/>
    </w:p>
    <w:p>
      <w:pPr>
        <w:pStyle w:val="1134"/>
        <w:ind w:firstLine="480"/>
        <w:spacing w:beforeAutospacing="0" w:afterAutospacing="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w:t>
      </w:r>
      <w:r>
        <w:rPr>
          <w:rFonts w:hint="eastAsia" w:ascii="宋体" w:hAnsi="宋体" w:eastAsia="宋体" w:cs="宋体"/>
          <w:color w:val="000000"/>
          <w:sz w:val="21"/>
          <w:szCs w:val="21"/>
          <w:lang w:val="en-US" w:eastAsia="zh-CN"/>
        </w:rPr>
        <w:t xml:space="preserve">竣工验收合格</w:t>
      </w:r>
      <w:r>
        <w:rPr>
          <w:rFonts w:hint="eastAsia" w:ascii="宋体" w:hAnsi="宋体" w:eastAsia="宋体" w:cs="宋体"/>
          <w:color w:val="000000"/>
          <w:sz w:val="21"/>
          <w:szCs w:val="21"/>
        </w:rPr>
        <w:t xml:space="preserve">后</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经结算审计并出具结算审计报告</w:t>
      </w:r>
      <w:r>
        <w:rPr>
          <w:rFonts w:hint="eastAsia" w:ascii="宋体" w:hAnsi="宋体" w:eastAsia="宋体" w:cs="宋体"/>
          <w:color w:val="000000"/>
          <w:sz w:val="21"/>
          <w:szCs w:val="21"/>
        </w:rPr>
        <w:t xml:space="preserve">，双方确认审定结算价</w:t>
      </w:r>
      <w:r>
        <w:rPr>
          <w:rFonts w:hint="eastAsia" w:ascii="宋体" w:hAnsi="宋体" w:eastAsia="宋体" w:cs="宋体"/>
          <w:color w:val="000000"/>
          <w:sz w:val="21"/>
          <w:szCs w:val="21"/>
          <w:lang w:val="en-US" w:eastAsia="zh-CN"/>
        </w:rPr>
        <w:t xml:space="preserve">后</w:t>
      </w:r>
      <w:r>
        <w:rPr>
          <w:rFonts w:hint="eastAsia" w:ascii="宋体" w:hAnsi="宋体" w:eastAsia="宋体" w:cs="宋体"/>
          <w:color w:val="000000"/>
          <w:sz w:val="21"/>
          <w:szCs w:val="21"/>
        </w:rPr>
        <w:t xml:space="preserve">30日内，由甲方办理政府采购资金结算手续，经审核后支付至</w:t>
      </w:r>
      <w:r>
        <w:rPr>
          <w:rFonts w:hint="eastAsia" w:ascii="宋体" w:hAnsi="宋体" w:eastAsia="宋体" w:cs="宋体"/>
          <w:color w:val="000000"/>
          <w:sz w:val="21"/>
          <w:szCs w:val="21"/>
          <w:lang w:val="en-US" w:eastAsia="zh-CN"/>
        </w:rPr>
        <w:t xml:space="preserve">双方认可的</w:t>
      </w:r>
      <w:r>
        <w:rPr>
          <w:rFonts w:hint="eastAsia" w:ascii="宋体" w:hAnsi="宋体" w:eastAsia="宋体" w:cs="宋体"/>
          <w:color w:val="000000"/>
          <w:sz w:val="21"/>
          <w:szCs w:val="21"/>
        </w:rPr>
        <w:t xml:space="preserve">结算价的</w:t>
      </w:r>
      <w:r>
        <w:rPr>
          <w:rFonts w:hint="eastAsia" w:ascii="宋体" w:hAnsi="宋体" w:eastAsia="宋体" w:cs="宋体"/>
          <w:color w:val="000000"/>
          <w:sz w:val="21"/>
          <w:szCs w:val="21"/>
          <w:lang w:val="en-US" w:eastAsia="zh-CN"/>
        </w:rPr>
        <w:t xml:space="preserve">100</w:t>
      </w:r>
      <w:r>
        <w:rPr>
          <w:rFonts w:hint="eastAsia" w:ascii="宋体" w:hAnsi="宋体" w:eastAsia="宋体" w:cs="宋体"/>
          <w:color w:val="000000"/>
          <w:sz w:val="21"/>
          <w:szCs w:val="21"/>
        </w:rPr>
        <w:t xml:space="preserve">%。</w:t>
      </w:r>
      <w:r/>
    </w:p>
    <w:p>
      <w:pPr>
        <w:pStyle w:val="1134"/>
        <w:ind w:firstLine="480"/>
        <w:spacing w:beforeAutospacing="0" w:afterAutospacing="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其他约定：</w:t>
      </w:r>
      <w:r/>
    </w:p>
    <w:p>
      <w:pPr>
        <w:pStyle w:val="1134"/>
        <w:ind w:firstLine="480"/>
        <w:spacing w:beforeAutospacing="0" w:afterAutospacing="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付款程序遵循甲方财政付款程序。</w:t>
      </w:r>
      <w:r/>
    </w:p>
    <w:p>
      <w:pPr>
        <w:pStyle w:val="1134"/>
        <w:ind w:firstLine="480"/>
        <w:spacing w:beforeAutospacing="0" w:afterAutospacing="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合同履行过程中合同价款的调整均在竣工结算时调整，合同履行过程中不预付该款项。</w:t>
      </w:r>
      <w:r/>
    </w:p>
    <w:p>
      <w:pPr>
        <w:pStyle w:val="1134"/>
        <w:ind w:firstLine="480"/>
        <w:spacing w:beforeAutospacing="0" w:afterAutospacing="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合同约定的承包人应承担的违约金及各项费用，发包人有权从工程款中直接扣除。</w:t>
      </w:r>
      <w:r/>
    </w:p>
    <w:p>
      <w:pPr>
        <w:pStyle w:val="1134"/>
        <w:ind w:firstLine="480"/>
        <w:spacing w:beforeAutospacing="0" w:afterAutospacing="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进度款与质量挂钩，如果所完成工程的质量达不到验收规范要求，发包人有权暂缓支付该部分工程款，待承包人整改完成符合验收规范要求后再行支付。</w:t>
      </w:r>
      <w:r/>
    </w:p>
    <w:p>
      <w:pPr>
        <w:pStyle w:val="1134"/>
        <w:ind w:firstLine="480"/>
        <w:spacing w:beforeAutospacing="0" w:afterAutospacing="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发包人在每次付款前，承包人应提交符合税务要求的合法合规票据，否则发包人有权拒付，由此造成的法律后果由承包人承担。</w:t>
      </w:r>
      <w:r/>
    </w:p>
    <w:p>
      <w:pPr>
        <w:ind w:right="0"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12.4.2 进度付款申请单的编制</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关于进度付款申请单编制的约定：</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none"/>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12.4.3 进度付款申请单的提交</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（1）单价合同进度付款申请单提交的约定：</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（2）总价合同进度付款申请单提交的约定：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（3）其他价格形式合同进度付款申请单提交的约定：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12.4.4 进度款审核和支付</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（1）监理人审查并报送发包人的期限：</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发包人完成审批并签发进度款支付证书的期限：</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（2）发包人支付进度款的期限：</w:t>
      </w:r>
      <w:r>
        <w:rPr>
          <w:rFonts w:hint="eastAsia" w:ascii="宋体" w:hAnsi="宋体" w:eastAsia="宋体" w:cs="宋体"/>
          <w:sz w:val="21"/>
          <w:szCs w:val="21"/>
          <w:u w:val="single"/>
        </w:rPr>
        <w:t xml:space="preserve">  /  </w:t>
      </w:r>
      <w:r>
        <w:rPr>
          <w:rFonts w:hint="eastAsia" w:ascii="宋体" w:hAnsi="宋体" w:eastAsia="宋体" w:cs="宋体"/>
          <w:sz w:val="21"/>
          <w:szCs w:val="21"/>
          <w:u w:val="none"/>
        </w:rPr>
        <w:t xml:space="preserve">。</w:t>
      </w:r>
      <w:r>
        <w:rPr>
          <w:rFonts w:hint="eastAsia" w:ascii="宋体" w:hAnsi="宋体" w:eastAsia="宋体" w:cs="宋体"/>
          <w:sz w:val="21"/>
          <w:szCs w:val="21"/>
        </w:rPr>
        <w:t xml:space="preserve"> </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发包人逾期支付进度款的违约金的计算方式：</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w:t>
      </w:r>
      <w:r/>
    </w:p>
    <w:p>
      <w:pPr>
        <w:ind w:left="0" w:right="0" w:firstLine="525"/>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12.4.6 支付分解表的编制</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2、总价合同支付分解表的编制与审批：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3、单价合同的总价项目支付分解表的编制与审批：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pStyle w:val="1103"/>
        <w:spacing w:before="120" w:after="120" w:line="360" w:lineRule="auto"/>
        <w:rPr>
          <w:rFonts w:hint="eastAsia" w:ascii="宋体" w:hAnsi="宋体" w:eastAsia="宋体" w:cs="宋体"/>
          <w:sz w:val="21"/>
          <w:szCs w:val="21"/>
        </w:rPr>
      </w:pPr>
      <w:r>
        <w:rPr>
          <w:rFonts w:hint="eastAsia" w:ascii="宋体" w:hAnsi="宋体" w:eastAsia="宋体" w:cs="宋体"/>
          <w:b w:val="0"/>
          <w:sz w:val="21"/>
          <w:szCs w:val="21"/>
        </w:rPr>
        <w:t xml:space="preserve">13. 验收和工程试车</w:t>
      </w:r>
      <w:r/>
    </w:p>
    <w:p>
      <w:p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13.1 分部分项工程验收</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13.1.2监理人不能按时进行验收时，应提前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 xml:space="preserve">小时提交书面延期要求。</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关于延期最长不得超过：</w:t>
      </w:r>
      <w:r>
        <w:rPr>
          <w:rFonts w:hint="eastAsia" w:ascii="宋体" w:hAnsi="宋体" w:eastAsia="宋体" w:cs="宋体"/>
          <w:sz w:val="21"/>
          <w:szCs w:val="21"/>
          <w:u w:val="single"/>
        </w:rPr>
        <w:t xml:space="preserve">   48   </w:t>
      </w:r>
      <w:r>
        <w:rPr>
          <w:rFonts w:hint="eastAsia" w:ascii="宋体" w:hAnsi="宋体" w:eastAsia="宋体" w:cs="宋体"/>
          <w:sz w:val="21"/>
          <w:szCs w:val="21"/>
        </w:rPr>
        <w:t xml:space="preserve">小时。</w:t>
      </w:r>
      <w:r/>
    </w:p>
    <w:p>
      <w:p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13.2 竣工验收</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13.2.2竣工验收程序</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关于竣工验收程序的约定：</w:t>
      </w:r>
      <w:r/>
    </w:p>
    <w:p>
      <w:pPr>
        <w:ind w:firstLine="48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1、验收时间：</w:t>
      </w:r>
      <w:r>
        <w:rPr>
          <w:rFonts w:hint="eastAsia" w:ascii="宋体" w:hAnsi="宋体" w:eastAsia="宋体" w:cs="宋体"/>
          <w:color w:val="000000"/>
          <w:sz w:val="21"/>
          <w:szCs w:val="21"/>
          <w:highlight w:val="none"/>
          <w:u w:val="single"/>
          <w:lang w:val="en-US" w:eastAsia="zh-CN"/>
        </w:rPr>
        <w:t xml:space="preserve">预计2027年6月。</w:t>
      </w:r>
      <w:r/>
    </w:p>
    <w:p>
      <w:pPr>
        <w:ind w:firstLine="48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2、验收地点：</w:t>
      </w:r>
      <w:r>
        <w:rPr>
          <w:rFonts w:hint="eastAsia" w:ascii="宋体" w:hAnsi="宋体" w:eastAsia="宋体" w:cs="宋体"/>
          <w:color w:val="000000"/>
          <w:sz w:val="21"/>
          <w:szCs w:val="21"/>
          <w:highlight w:val="none"/>
          <w:u w:val="single"/>
          <w:lang w:val="en-US" w:eastAsia="zh-CN"/>
        </w:rPr>
        <w:t xml:space="preserve">徐州市铜山城区</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lang w:val="en-US" w:eastAsia="zh-CN"/>
        </w:rPr>
        <w:t xml:space="preserve">具体范围</w:t>
      </w:r>
      <w:r>
        <w:rPr>
          <w:rFonts w:hint="eastAsia" w:ascii="宋体" w:hAnsi="宋体" w:eastAsia="宋体" w:cs="宋体"/>
          <w:color w:val="000000"/>
          <w:sz w:val="21"/>
          <w:szCs w:val="21"/>
          <w:highlight w:val="none"/>
          <w:u w:val="single"/>
          <w:lang w:val="en-US" w:eastAsia="zh-CN"/>
        </w:rPr>
        <w:t xml:space="preserve">北至</w:t>
      </w:r>
      <w:r>
        <w:rPr>
          <w:rFonts w:hint="eastAsia" w:ascii="宋体" w:hAnsi="宋体" w:eastAsia="宋体" w:cs="宋体"/>
          <w:color w:val="000000"/>
          <w:sz w:val="21"/>
          <w:szCs w:val="21"/>
          <w:highlight w:val="none"/>
          <w:u w:val="single"/>
          <w:lang w:val="en-US" w:eastAsia="zh-CN"/>
        </w:rPr>
        <w:t xml:space="preserve">学苑</w:t>
      </w:r>
      <w:r>
        <w:rPr>
          <w:rFonts w:hint="eastAsia" w:ascii="宋体" w:hAnsi="宋体" w:eastAsia="宋体" w:cs="宋体"/>
          <w:color w:val="000000"/>
          <w:sz w:val="21"/>
          <w:szCs w:val="21"/>
          <w:highlight w:val="none"/>
          <w:u w:val="single"/>
          <w:lang w:val="en-US" w:eastAsia="zh-CN"/>
        </w:rPr>
        <w:t xml:space="preserve">路</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lang w:val="en-US" w:eastAsia="zh-CN"/>
        </w:rPr>
        <w:t xml:space="preserve">南至</w:t>
      </w:r>
      <w:r>
        <w:rPr>
          <w:rFonts w:hint="eastAsia" w:ascii="宋体" w:hAnsi="宋体" w:eastAsia="宋体" w:cs="宋体"/>
          <w:color w:val="000000"/>
          <w:sz w:val="21"/>
          <w:szCs w:val="21"/>
          <w:highlight w:val="none"/>
          <w:u w:val="single"/>
          <w:lang w:val="en-US" w:eastAsia="zh-CN"/>
        </w:rPr>
        <w:t xml:space="preserve">珠江西路</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lang w:val="en-US" w:eastAsia="zh-CN"/>
        </w:rPr>
        <w:t xml:space="preserve">东至</w:t>
      </w:r>
      <w:r>
        <w:rPr>
          <w:rFonts w:hint="eastAsia" w:ascii="宋体" w:hAnsi="宋体" w:eastAsia="宋体" w:cs="宋体"/>
          <w:color w:val="000000"/>
          <w:sz w:val="21"/>
          <w:szCs w:val="21"/>
          <w:highlight w:val="none"/>
          <w:u w:val="single"/>
          <w:lang w:val="en-US" w:eastAsia="zh-CN"/>
        </w:rPr>
        <w:t xml:space="preserve">天津</w:t>
      </w:r>
      <w:r>
        <w:rPr>
          <w:rFonts w:hint="eastAsia" w:ascii="宋体" w:hAnsi="宋体" w:eastAsia="宋体" w:cs="宋体"/>
          <w:color w:val="000000"/>
          <w:sz w:val="21"/>
          <w:szCs w:val="21"/>
          <w:highlight w:val="none"/>
          <w:u w:val="single"/>
          <w:lang w:val="en-US" w:eastAsia="zh-CN"/>
        </w:rPr>
        <w:t xml:space="preserve">路</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lang w:val="en-US" w:eastAsia="zh-CN"/>
        </w:rPr>
        <w:t xml:space="preserve">西至</w:t>
      </w:r>
      <w:r>
        <w:rPr>
          <w:rFonts w:hint="eastAsia" w:ascii="宋体" w:hAnsi="宋体" w:eastAsia="宋体" w:cs="宋体"/>
          <w:color w:val="000000"/>
          <w:sz w:val="21"/>
          <w:szCs w:val="21"/>
          <w:highlight w:val="none"/>
          <w:u w:val="single"/>
          <w:lang w:val="en-US" w:eastAsia="zh-CN"/>
        </w:rPr>
        <w:t xml:space="preserve">大学路</w:t>
      </w:r>
      <w:r>
        <w:rPr>
          <w:rFonts w:hint="eastAsia" w:ascii="宋体" w:hAnsi="宋体" w:eastAsia="宋体" w:cs="宋体"/>
          <w:color w:val="000000"/>
          <w:sz w:val="21"/>
          <w:szCs w:val="21"/>
          <w:highlight w:val="none"/>
          <w:u w:val="single"/>
          <w:lang w:val="en-US" w:eastAsia="zh-CN"/>
        </w:rPr>
        <w:t xml:space="preserve">。</w:t>
      </w:r>
      <w:r/>
    </w:p>
    <w:p>
      <w:pPr>
        <w:ind w:firstLine="48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3、验收主体：</w:t>
      </w:r>
      <w:r>
        <w:rPr>
          <w:rFonts w:hint="eastAsia" w:ascii="宋体" w:hAnsi="宋体" w:eastAsia="宋体" w:cs="宋体"/>
          <w:color w:val="000000"/>
          <w:sz w:val="21"/>
          <w:szCs w:val="21"/>
          <w:highlight w:val="none"/>
          <w:u w:val="single"/>
          <w:lang w:val="en-US" w:eastAsia="zh-CN"/>
        </w:rPr>
        <w:t xml:space="preserve">由徐州市铜山区城市管理局负责组织验收。</w:t>
      </w:r>
      <w:r/>
    </w:p>
    <w:p>
      <w:pPr>
        <w:ind w:firstLine="48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4、验收方式：</w:t>
      </w:r>
      <w:r>
        <w:rPr>
          <w:rFonts w:hint="eastAsia" w:ascii="宋体" w:hAnsi="宋体" w:eastAsia="宋体" w:cs="宋体"/>
          <w:color w:val="000000"/>
          <w:sz w:val="21"/>
          <w:szCs w:val="21"/>
          <w:highlight w:val="none"/>
          <w:u w:val="single"/>
          <w:lang w:val="en-US" w:eastAsia="zh-CN"/>
        </w:rPr>
        <w:t xml:space="preserve">鉴于养护维修工程点位分散、时效性较强，为及时确认维修点位、实体质量及工程</w:t>
        <mc:AlternateContent>
          <mc:Choice Requires="wpg">
            <w:drawing>
              <wp:inline xmlns:wp="http://schemas.openxmlformats.org/drawingml/2006/wordprocessingDrawing" distT="0" distB="0" distL="0" distR="0">
                <wp:extent cx="723900" cy="72390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98073" name=""/>
                        <pic:cNvPicPr>
                          <a:picLocks noChangeAspect="1"/>
                        </pic:cNvPicPr>
                        <pic:nvPr/>
                      </pic:nvPicPr>
                      <pic:blipFill>
                        <a:blip r:embed="rId23"/>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7.0pt;height:57.0pt;mso-wrap-distance-left:0.0pt;mso-wrap-distance-top:0.0pt;mso-wrap-distance-right:0.0pt;mso-wrap-distance-bottom:0.0pt;" stroked="false">
                <v:path textboxrect="0,0,0,0"/>
                <v:imagedata r:id="rId23" o:title=""/>
              </v:shape>
            </w:pict>
          </mc:Fallback>
        </mc:AlternateContent>
        <w:t xml:space="preserve">量，在合同期内，将对维修养护工程进行过程验收，由采购人组织施工单位、监理单位等相关验收小组人员现场进行验收。</w:t>
      </w:r>
      <w:r/>
    </w:p>
    <w:p>
      <w:pPr>
        <w:ind w:firstLine="48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5、验收内容：</w:t>
      </w:r>
      <w:r>
        <w:rPr>
          <w:rFonts w:hint="eastAsia" w:ascii="宋体" w:hAnsi="宋体" w:eastAsia="宋体" w:cs="宋体"/>
          <w:color w:val="000000"/>
          <w:sz w:val="21"/>
          <w:szCs w:val="21"/>
          <w:highlight w:val="none"/>
          <w:u w:val="single"/>
          <w:lang w:val="en-US" w:eastAsia="zh-CN"/>
        </w:rPr>
        <w:t xml:space="preserve">包含学苑路至军用铁路道路维修；军用铁路以南道路维修，结合实际情况的维修养护进行验收。①对工程的整体质量进行审验；②对项目工程量进行审查。</w:t>
      </w:r>
      <w:r/>
    </w:p>
    <w:p>
      <w:pPr>
        <w:ind w:left="0" w:right="0" w:firstLine="420"/>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6、验收标准：</w:t>
      </w:r>
      <w:r>
        <w:rPr>
          <w:rFonts w:hint="eastAsia" w:ascii="宋体" w:hAnsi="宋体" w:eastAsia="宋体" w:cs="宋体"/>
          <w:color w:val="000000"/>
          <w:sz w:val="21"/>
          <w:szCs w:val="21"/>
          <w:highlight w:val="none"/>
          <w:u w:val="single"/>
          <w:lang w:val="en-US" w:eastAsia="zh-CN"/>
        </w:rPr>
        <w:t xml:space="preserve">依据GB50300-2013《建筑工程施工质量验收统一标准》及相关行业标准要求，达到合同约定合格标准。</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发包人不按照本项约定组织竣工验收、颁发工程接收证书的违约金的计算方法：</w:t>
      </w:r>
      <w:r>
        <w:rPr>
          <w:rFonts w:hint="eastAsia" w:ascii="宋体" w:hAnsi="宋体" w:eastAsia="宋体" w:cs="宋体"/>
          <w:sz w:val="21"/>
          <w:szCs w:val="21"/>
          <w:u w:val="single"/>
        </w:rPr>
        <w:t xml:space="preserve">执行通用条款</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13.2.5移交、接收全部与部分工程</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承包人向发包人移交工程的期限：</w:t>
      </w:r>
      <w:r>
        <w:rPr>
          <w:rFonts w:hint="eastAsia" w:ascii="宋体" w:hAnsi="宋体" w:eastAsia="宋体" w:cs="宋体"/>
          <w:b w:val="0"/>
          <w:bCs/>
          <w:color w:val="000000"/>
          <w:sz w:val="21"/>
          <w:szCs w:val="21"/>
          <w:u w:val="single"/>
          <w:lang w:eastAsia="zh-CN"/>
        </w:rPr>
        <w:t xml:space="preserve">发包人收到《工程移交证书》并签发《工程接收证书》后10个工作日内</w:t>
      </w:r>
      <w:r>
        <w:rPr>
          <w:rFonts w:hint="eastAsia" w:ascii="宋体" w:hAnsi="宋体" w:eastAsia="宋体" w:cs="宋体"/>
          <w:color w:val="000000"/>
          <w:sz w:val="21"/>
          <w:szCs w:val="21"/>
        </w:rPr>
        <w:t xml:space="preserve">。</w:t>
      </w:r>
      <w:r/>
    </w:p>
    <w:p>
      <w:pPr>
        <w:ind w:firstLine="420"/>
        <w:spacing w:after="0" w:line="360" w:lineRule="auto"/>
        <w:rPr>
          <w:rFonts w:hint="eastAsia" w:ascii="宋体" w:hAnsi="宋体" w:eastAsia="宋体" w:cs="宋体"/>
          <w:b w:val="0"/>
          <w:bCs/>
          <w:color w:val="000000"/>
          <w:sz w:val="21"/>
          <w:szCs w:val="21"/>
          <w:u w:val="single"/>
          <w:lang w:eastAsia="zh-CN"/>
        </w:rPr>
      </w:pPr>
      <w:r>
        <w:rPr>
          <w:rFonts w:hint="eastAsia" w:ascii="宋体" w:hAnsi="宋体" w:eastAsia="宋体" w:cs="宋体"/>
          <w:b w:val="0"/>
          <w:bCs/>
          <w:color w:val="000000"/>
          <w:sz w:val="21"/>
          <w:szCs w:val="21"/>
          <w:u w:val="single"/>
          <w:lang w:eastAsia="zh-CN"/>
        </w:rPr>
        <w:t xml:space="preserve">发包人未按本合同约定接收全部或部分工程的，违约金的计算方法为：每逾期一天，应以签约合同价为基数，按照中国人民银行发布的同期同类贷款基准利率支付违约金。</w:t>
      </w:r>
      <w:r/>
    </w:p>
    <w:p>
      <w:pPr>
        <w:ind w:firstLine="420"/>
        <w:spacing w:after="0" w:line="360" w:lineRule="auto"/>
        <w:rPr>
          <w:rFonts w:hint="eastAsia" w:ascii="宋体" w:hAnsi="宋体" w:eastAsia="宋体" w:cs="宋体"/>
          <w:b w:val="0"/>
          <w:bCs/>
          <w:color w:val="000000"/>
          <w:sz w:val="21"/>
          <w:szCs w:val="21"/>
          <w:u w:val="single"/>
          <w:lang w:eastAsia="zh-CN"/>
        </w:rPr>
      </w:pPr>
      <w:r>
        <w:rPr>
          <w:rFonts w:hint="eastAsia" w:ascii="宋体" w:hAnsi="宋体" w:eastAsia="宋体" w:cs="宋体"/>
          <w:b w:val="0"/>
          <w:bCs/>
          <w:color w:val="000000"/>
          <w:sz w:val="21"/>
          <w:szCs w:val="21"/>
          <w:u w:val="single"/>
          <w:lang w:eastAsia="zh-CN"/>
        </w:rPr>
        <w:t xml:space="preserve">承包人未按时移交工程的，违约金的计算方法为：每逾期一天，应以签约合同价为基数，按每日2‰向发包人支付违约金。</w:t>
      </w:r>
      <w:r/>
    </w:p>
    <w:p>
      <w:pPr>
        <w:ind w:left="0" w:right="0" w:firstLine="420"/>
        <w:spacing w:before="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13.3 工程试车</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13.3.1 试车程序</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工程试车内容：</w:t>
      </w:r>
      <w:r>
        <w:rPr>
          <w:rFonts w:hint="eastAsia" w:ascii="宋体" w:hAnsi="宋体" w:eastAsia="宋体" w:cs="宋体"/>
          <w:b w:val="0"/>
          <w:bCs/>
          <w:color w:val="000000"/>
          <w:sz w:val="21"/>
          <w:szCs w:val="21"/>
          <w:u w:val="single"/>
          <w:lang w:eastAsia="zh-CN"/>
        </w:rPr>
        <w:t xml:space="preserve">执行通用条款</w:t>
      </w:r>
      <w:r>
        <w:rPr>
          <w:rFonts w:hint="eastAsia" w:ascii="宋体" w:hAnsi="宋体" w:eastAsia="宋体" w:cs="宋体"/>
          <w:color w:val="000000"/>
          <w:sz w:val="21"/>
          <w:szCs w:val="21"/>
        </w:rPr>
        <w:t xml:space="preserve">。</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（1）单机无负荷试车费用由</w:t>
      </w:r>
      <w:r>
        <w:rPr>
          <w:rFonts w:hint="eastAsia" w:ascii="宋体" w:hAnsi="宋体" w:eastAsia="宋体" w:cs="宋体"/>
          <w:color w:val="000000"/>
          <w:sz w:val="21"/>
          <w:szCs w:val="21"/>
          <w:u w:val="single"/>
        </w:rPr>
        <w:t xml:space="preserve"> </w:t>
      </w:r>
      <w:r>
        <w:rPr>
          <w:rFonts w:hint="eastAsia" w:ascii="宋体" w:hAnsi="宋体" w:eastAsia="宋体" w:cs="宋体"/>
          <w:b w:val="0"/>
          <w:bCs/>
          <w:color w:val="000000"/>
          <w:sz w:val="21"/>
          <w:szCs w:val="21"/>
          <w:u w:val="single"/>
          <w:lang w:eastAsia="zh-CN"/>
        </w:rPr>
        <w:t xml:space="preserve">承包人</w:t>
      </w:r>
      <w:r>
        <w:rPr>
          <w:rFonts w:hint="eastAsia" w:ascii="宋体" w:hAnsi="宋体" w:eastAsia="宋体" w:cs="宋体"/>
          <w:color w:val="000000"/>
          <w:sz w:val="21"/>
          <w:szCs w:val="21"/>
        </w:rPr>
        <w:t xml:space="preserve">承担；</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（2）无负荷联动试车费用由</w:t>
      </w:r>
      <w:r>
        <w:rPr>
          <w:rFonts w:hint="eastAsia" w:ascii="宋体" w:hAnsi="宋体" w:eastAsia="宋体" w:cs="宋体"/>
          <w:color w:val="000000"/>
          <w:sz w:val="21"/>
          <w:szCs w:val="21"/>
          <w:u w:val="single"/>
        </w:rPr>
        <w:t xml:space="preserve"> </w:t>
      </w:r>
      <w:r>
        <w:rPr>
          <w:rFonts w:hint="eastAsia" w:ascii="宋体" w:hAnsi="宋体" w:eastAsia="宋体" w:cs="宋体"/>
          <w:b w:val="0"/>
          <w:bCs/>
          <w:color w:val="000000"/>
          <w:sz w:val="21"/>
          <w:szCs w:val="21"/>
          <w:u w:val="single"/>
          <w:lang w:eastAsia="zh-CN"/>
        </w:rPr>
        <w:t xml:space="preserve">承包人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承担。</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13.3.3 投料试车</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关于投料试车相关事项的约定：</w:t>
      </w:r>
      <w:r>
        <w:rPr>
          <w:rFonts w:hint="eastAsia" w:ascii="宋体" w:hAnsi="宋体" w:eastAsia="宋体" w:cs="宋体"/>
          <w:b w:val="0"/>
          <w:bCs/>
          <w:color w:val="000000"/>
          <w:sz w:val="21"/>
          <w:szCs w:val="21"/>
          <w:u w:val="single"/>
          <w:lang w:eastAsia="zh-CN"/>
        </w:rPr>
        <w:t xml:space="preserve">执行通用条款</w:t>
      </w:r>
      <w:r>
        <w:rPr>
          <w:rFonts w:hint="eastAsia" w:ascii="宋体" w:hAnsi="宋体" w:eastAsia="宋体" w:cs="宋体"/>
          <w:color w:val="000000"/>
          <w:sz w:val="21"/>
          <w:szCs w:val="21"/>
        </w:rPr>
        <w:t xml:space="preserve">。</w:t>
      </w:r>
      <w:r/>
    </w:p>
    <w:p>
      <w:pPr>
        <w:numPr>
          <w:ilvl w:val="0"/>
          <w:numId w:val="0"/>
        </w:numPr>
        <w:ind w:left="0" w:right="0" w:firstLine="420"/>
        <w:spacing w:before="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13.6 竣工退场</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13.6.1 竣工退场</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承包人完成竣工退场的期限：</w:t>
      </w:r>
      <w:r>
        <w:rPr>
          <w:rFonts w:hint="eastAsia" w:ascii="宋体" w:hAnsi="宋体" w:eastAsia="宋体" w:cs="宋体"/>
          <w:b w:val="0"/>
          <w:bCs/>
          <w:color w:val="000000"/>
          <w:sz w:val="21"/>
          <w:szCs w:val="21"/>
          <w:u w:val="single"/>
          <w:lang w:eastAsia="zh-CN"/>
        </w:rPr>
        <w:t xml:space="preserve">颁发工程接收证书后9日内竣工退场，并清理完毕施工现场</w:t>
      </w:r>
      <w:r>
        <w:rPr>
          <w:rFonts w:hint="eastAsia" w:ascii="宋体" w:hAnsi="宋体" w:eastAsia="宋体" w:cs="宋体"/>
          <w:color w:val="000000"/>
          <w:sz w:val="21"/>
          <w:szCs w:val="21"/>
        </w:rPr>
        <w:t xml:space="preserve">。</w:t>
      </w:r>
      <w:r/>
    </w:p>
    <w:p>
      <w:pPr>
        <w:pStyle w:val="1103"/>
        <w:spacing w:before="120" w:after="120" w:line="360" w:lineRule="auto"/>
        <w:rPr>
          <w:rFonts w:hint="eastAsia" w:ascii="宋体" w:hAnsi="宋体" w:eastAsia="宋体" w:cs="宋体"/>
          <w:color w:val="000000"/>
          <w:sz w:val="21"/>
          <w:szCs w:val="21"/>
        </w:rPr>
      </w:pPr>
      <w:r>
        <w:rPr>
          <w:rFonts w:hint="eastAsia" w:ascii="宋体" w:hAnsi="宋体" w:eastAsia="宋体" w:cs="宋体"/>
          <w:b w:val="0"/>
          <w:color w:val="000000"/>
          <w:sz w:val="21"/>
          <w:szCs w:val="21"/>
        </w:rPr>
        <w:t xml:space="preserve">14. 竣工结算</w:t>
      </w:r>
      <w:r/>
    </w:p>
    <w:p>
      <w:pPr>
        <w:ind w:left="0" w:right="0" w:firstLine="420"/>
        <w:spacing w:before="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14.1 竣工结算申请</w:t>
      </w:r>
      <w:r/>
    </w:p>
    <w:p>
      <w:pPr>
        <w:ind w:left="0" w:right="0" w:firstLine="420"/>
        <w:jc w:val="left"/>
        <w:spacing w:line="360" w:lineRule="auto"/>
        <w:rPr>
          <w:rFonts w:hint="eastAsia" w:ascii="宋体" w:hAnsi="宋体" w:eastAsia="宋体" w:cs="宋体"/>
          <w:color w:val="000000"/>
          <w:sz w:val="21"/>
          <w:szCs w:val="21"/>
          <w:u w:val="single"/>
          <w:lang w:eastAsia="zh-CN"/>
        </w:rPr>
      </w:pPr>
      <w:r>
        <w:rPr>
          <w:rFonts w:hint="eastAsia" w:ascii="宋体" w:hAnsi="宋体" w:eastAsia="宋体" w:cs="宋体"/>
          <w:color w:val="000000"/>
          <w:sz w:val="21"/>
          <w:szCs w:val="21"/>
        </w:rPr>
        <w:t xml:space="preserve">承包人提交竣工结算申请单的期限：</w:t>
      </w:r>
      <w:r>
        <w:rPr>
          <w:rFonts w:hint="eastAsia" w:ascii="宋体" w:hAnsi="宋体" w:eastAsia="宋体" w:cs="宋体"/>
          <w:b w:val="0"/>
          <w:bCs/>
          <w:color w:val="000000"/>
          <w:sz w:val="21"/>
          <w:szCs w:val="21"/>
          <w:u w:val="single"/>
          <w:lang w:eastAsia="zh-CN"/>
        </w:rPr>
        <w:t xml:space="preserve">执行通用条款；竣工结算申请单的资料清单：按发包人要求办理；竣工结算申请单的资料份数：一式</w:t>
      </w:r>
      <w:r>
        <w:rPr>
          <w:rFonts w:hint="eastAsia" w:ascii="宋体" w:hAnsi="宋体" w:eastAsia="宋体" w:cs="宋体"/>
          <w:b w:val="0"/>
          <w:bCs/>
          <w:color w:val="000000"/>
          <w:sz w:val="21"/>
          <w:szCs w:val="21"/>
          <w:u w:val="single"/>
          <w:lang w:val="en-US" w:eastAsia="zh-CN"/>
        </w:rPr>
        <w:t xml:space="preserve">贰</w:t>
      </w:r>
      <w:r>
        <w:rPr>
          <w:rFonts w:hint="eastAsia" w:ascii="宋体" w:hAnsi="宋体" w:eastAsia="宋体" w:cs="宋体"/>
          <w:b w:val="0"/>
          <w:bCs/>
          <w:color w:val="000000"/>
          <w:sz w:val="21"/>
          <w:szCs w:val="21"/>
          <w:u w:val="single"/>
          <w:lang w:eastAsia="zh-CN"/>
        </w:rPr>
        <w:t xml:space="preserve">份</w:t>
      </w:r>
      <w:r>
        <w:rPr>
          <w:rFonts w:hint="eastAsia" w:ascii="宋体" w:hAnsi="宋体" w:eastAsia="宋体" w:cs="宋体"/>
          <w:color w:val="000000"/>
          <w:sz w:val="21"/>
          <w:szCs w:val="21"/>
          <w:u w:val="single"/>
          <w:lang w:val="en-US" w:eastAsia="zh-CN"/>
        </w:rPr>
        <w:t xml:space="preserve">。</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竣工结算申请单应包括的内容：</w:t>
      </w:r>
      <w:r>
        <w:rPr>
          <w:rFonts w:hint="eastAsia" w:ascii="宋体" w:hAnsi="宋体" w:eastAsia="宋体" w:cs="宋体"/>
          <w:b w:val="0"/>
          <w:bCs/>
          <w:color w:val="000000"/>
          <w:sz w:val="21"/>
          <w:szCs w:val="21"/>
          <w:u w:val="single"/>
          <w:lang w:eastAsia="zh-CN"/>
        </w:rPr>
        <w:t xml:space="preserve">执行通用条款和发包人要求</w:t>
      </w:r>
      <w:r>
        <w:rPr>
          <w:rFonts w:hint="eastAsia" w:ascii="宋体" w:hAnsi="宋体" w:eastAsia="宋体" w:cs="宋体"/>
          <w:color w:val="000000"/>
          <w:sz w:val="21"/>
          <w:szCs w:val="21"/>
          <w:u w:val="none"/>
        </w:rPr>
        <w:t xml:space="preserve">。</w:t>
      </w:r>
      <w:r/>
    </w:p>
    <w:p>
      <w:pPr>
        <w:numPr>
          <w:ilvl w:val="0"/>
          <w:numId w:val="0"/>
        </w:numPr>
        <w:ind w:left="0" w:right="0" w:firstLine="420"/>
        <w:spacing w:before="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14.2 竣工结算审核</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发包人审批竣工付款申请单的期限：</w:t>
      </w:r>
      <w:r>
        <w:rPr>
          <w:rFonts w:hint="eastAsia" w:ascii="宋体" w:hAnsi="宋体" w:eastAsia="宋体" w:cs="宋体"/>
          <w:b w:val="0"/>
          <w:bCs/>
          <w:color w:val="000000"/>
          <w:sz w:val="21"/>
          <w:szCs w:val="21"/>
          <w:u w:val="single"/>
          <w:lang w:eastAsia="zh-CN"/>
        </w:rPr>
        <w:t xml:space="preserve">执行通用条款</w:t>
      </w:r>
      <w:r>
        <w:rPr>
          <w:rFonts w:hint="eastAsia" w:ascii="宋体" w:hAnsi="宋体" w:eastAsia="宋体" w:cs="宋体"/>
          <w:sz w:val="21"/>
          <w:szCs w:val="21"/>
          <w:u w:val="none"/>
        </w:rPr>
        <w:t xml:space="preserve">。</w:t>
      </w:r>
      <w:r>
        <w:rPr>
          <w:rFonts w:hint="eastAsia" w:ascii="宋体" w:hAnsi="宋体" w:eastAsia="宋体" w:cs="宋体"/>
          <w:sz w:val="21"/>
          <w:szCs w:val="21"/>
        </w:rPr>
        <w:t xml:space="preserve"> </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发包人完成竣工付款的期限：</w:t>
      </w:r>
      <w:r>
        <w:rPr>
          <w:rFonts w:hint="eastAsia" w:ascii="宋体" w:hAnsi="宋体" w:eastAsia="宋体" w:cs="宋体"/>
          <w:b w:val="0"/>
          <w:bCs/>
          <w:color w:val="000000"/>
          <w:sz w:val="21"/>
          <w:szCs w:val="21"/>
          <w:u w:val="single"/>
          <w:lang w:eastAsia="zh-CN"/>
        </w:rPr>
        <w:t xml:space="preserve">执行通用条款</w:t>
      </w:r>
      <w:r>
        <w:rPr>
          <w:rFonts w:hint="eastAsia" w:ascii="宋体" w:hAnsi="宋体" w:eastAsia="宋体" w:cs="宋体"/>
          <w:sz w:val="21"/>
          <w:szCs w:val="21"/>
          <w:u w:val="none"/>
        </w:rPr>
        <w:t xml:space="preserve">。</w:t>
      </w:r>
      <w:r>
        <w:rPr>
          <w:rFonts w:hint="eastAsia" w:ascii="宋体" w:hAnsi="宋体" w:eastAsia="宋体" w:cs="宋体"/>
          <w:sz w:val="21"/>
          <w:szCs w:val="21"/>
        </w:rPr>
        <w:t xml:space="preserve"> </w:t>
      </w:r>
      <w:r/>
    </w:p>
    <w:p>
      <w:pPr>
        <w:ind w:righ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关于竣工付款证书异议部分复核的方式和程序：</w:t>
      </w:r>
      <w:r>
        <w:rPr>
          <w:rFonts w:hint="eastAsia" w:ascii="宋体" w:hAnsi="宋体" w:eastAsia="宋体" w:cs="宋体"/>
          <w:sz w:val="21"/>
          <w:szCs w:val="21"/>
          <w:u w:val="single"/>
        </w:rPr>
        <w:t xml:space="preserve">执行通用条款</w:t>
      </w:r>
      <w:r>
        <w:rPr>
          <w:rFonts w:hint="eastAsia" w:ascii="宋体" w:hAnsi="宋体" w:eastAsia="宋体" w:cs="宋体"/>
          <w:sz w:val="21"/>
          <w:szCs w:val="21"/>
        </w:rPr>
        <w:t xml:space="preserve">。 </w:t>
      </w:r>
      <w:r/>
    </w:p>
    <w:p>
      <w:p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14.4 最终结清</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14.4.1 最终结清申请单</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承包人提交最终结清申请单的份数：</w:t>
      </w:r>
      <w:r>
        <w:rPr>
          <w:rFonts w:hint="eastAsia" w:ascii="宋体" w:hAnsi="宋体" w:eastAsia="宋体" w:cs="宋体"/>
          <w:sz w:val="21"/>
          <w:szCs w:val="21"/>
          <w:u w:val="single"/>
        </w:rPr>
        <w:t xml:space="preserve">一式肆份</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承包人提交最终结算申请单的期限：</w:t>
      </w:r>
      <w:r>
        <w:rPr>
          <w:rFonts w:hint="eastAsia" w:ascii="宋体" w:hAnsi="宋体" w:eastAsia="宋体" w:cs="宋体"/>
          <w:b w:val="0"/>
          <w:bCs/>
          <w:color w:val="000000"/>
          <w:sz w:val="21"/>
          <w:szCs w:val="21"/>
          <w:u w:val="single"/>
          <w:lang w:eastAsia="zh-CN"/>
        </w:rPr>
        <w:t xml:space="preserve">执行通用条款</w:t>
      </w:r>
      <w:r>
        <w:rPr>
          <w:rFonts w:hint="eastAsia" w:ascii="宋体" w:hAnsi="宋体" w:eastAsia="宋体" w:cs="宋体"/>
          <w:sz w:val="21"/>
          <w:szCs w:val="21"/>
          <w:u w:val="none"/>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14.4.2 最终结清证书和支付</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（1）发包人完成最终结清申请单的审批并颁发最终结清证书的期限：</w:t>
      </w:r>
      <w:r>
        <w:rPr>
          <w:rFonts w:hint="eastAsia" w:ascii="宋体" w:hAnsi="宋体" w:eastAsia="宋体" w:cs="宋体"/>
          <w:b w:val="0"/>
          <w:bCs/>
          <w:color w:val="000000"/>
          <w:sz w:val="21"/>
          <w:szCs w:val="21"/>
          <w:u w:val="single"/>
          <w:lang w:eastAsia="zh-CN"/>
        </w:rPr>
        <w:t xml:space="preserve">执行通用条款</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（2）发包人完成支付的期限：</w:t>
      </w:r>
      <w:r>
        <w:rPr>
          <w:rFonts w:hint="eastAsia" w:ascii="宋体" w:hAnsi="宋体" w:eastAsia="宋体" w:cs="宋体"/>
          <w:sz w:val="21"/>
          <w:szCs w:val="21"/>
          <w:u w:val="single"/>
          <w:lang w:val="en-US" w:eastAsia="zh-CN"/>
        </w:rPr>
        <w:t xml:space="preserve"> </w:t>
      </w:r>
      <w:r>
        <w:rPr>
          <w:rFonts w:hint="eastAsia" w:ascii="宋体" w:hAnsi="宋体" w:eastAsia="宋体" w:cs="宋体"/>
          <w:b w:val="0"/>
          <w:bCs/>
          <w:color w:val="000000"/>
          <w:sz w:val="21"/>
          <w:szCs w:val="21"/>
          <w:u w:val="single"/>
          <w:lang w:eastAsia="zh-CN"/>
        </w:rPr>
        <w:t xml:space="preserve">执行通用条款</w:t>
      </w:r>
      <w:r>
        <w:rPr>
          <w:rFonts w:hint="eastAsia" w:ascii="宋体" w:hAnsi="宋体" w:eastAsia="宋体" w:cs="宋体"/>
          <w:sz w:val="21"/>
          <w:szCs w:val="21"/>
          <w:u w:val="none"/>
        </w:rPr>
        <w:t xml:space="preserve">。</w:t>
      </w:r>
      <w:r/>
    </w:p>
    <w:p>
      <w:pPr>
        <w:pStyle w:val="1103"/>
        <w:spacing w:before="120" w:after="120" w:line="360" w:lineRule="auto"/>
        <w:rPr>
          <w:rFonts w:hint="eastAsia" w:ascii="宋体" w:hAnsi="宋体" w:eastAsia="宋体" w:cs="宋体"/>
          <w:sz w:val="21"/>
          <w:szCs w:val="21"/>
        </w:rPr>
      </w:pPr>
      <w:r>
        <w:rPr>
          <w:rFonts w:hint="eastAsia" w:ascii="宋体" w:hAnsi="宋体" w:eastAsia="宋体" w:cs="宋体"/>
          <w:b w:val="0"/>
          <w:sz w:val="21"/>
          <w:szCs w:val="21"/>
        </w:rPr>
        <w:t xml:space="preserve">15. 缺陷责任期与保修</w:t>
      </w:r>
      <w:r/>
    </w:p>
    <w:p>
      <w:p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15.2缺陷责任期</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缺陷责任期的具体期限：</w:t>
      </w:r>
      <w:r>
        <w:rPr>
          <w:rFonts w:hint="eastAsia" w:ascii="宋体" w:hAnsi="宋体" w:eastAsia="宋体" w:cs="宋体"/>
          <w:color w:val="000000"/>
          <w:sz w:val="21"/>
          <w:szCs w:val="21"/>
          <w:u w:val="single"/>
          <w:lang w:val="en-US" w:eastAsia="zh-CN"/>
        </w:rPr>
        <w:t xml:space="preserve">24</w:t>
      </w:r>
      <w:r>
        <w:rPr>
          <w:rFonts w:hint="eastAsia" w:ascii="宋体" w:hAnsi="宋体" w:eastAsia="宋体" w:cs="宋体"/>
          <w:color w:val="000000"/>
          <w:sz w:val="21"/>
          <w:szCs w:val="21"/>
          <w:u w:val="single"/>
        </w:rPr>
        <w:t xml:space="preserve">个月</w:t>
      </w:r>
      <w:r>
        <w:rPr>
          <w:rFonts w:hint="eastAsia" w:ascii="宋体" w:hAnsi="宋体" w:eastAsia="宋体" w:cs="宋体"/>
          <w:color w:val="000000"/>
          <w:sz w:val="21"/>
          <w:szCs w:val="21"/>
          <w:u w:val="single"/>
          <w:lang w:eastAsia="zh-CN"/>
        </w:rPr>
        <w:t xml:space="preserve">，</w:t>
      </w:r>
      <w:r>
        <w:rPr>
          <w:rFonts w:hint="eastAsia" w:ascii="宋体" w:hAnsi="宋体" w:eastAsia="宋体" w:cs="宋体"/>
          <w:b w:val="0"/>
          <w:bCs/>
          <w:color w:val="000000"/>
          <w:sz w:val="21"/>
          <w:szCs w:val="21"/>
          <w:u w:val="single"/>
          <w:lang w:eastAsia="zh-CN"/>
        </w:rPr>
        <w:t xml:space="preserve">从竣工验收合格之日起计算</w:t>
      </w:r>
      <w:r>
        <w:rPr>
          <w:rFonts w:hint="eastAsia" w:ascii="宋体" w:hAnsi="宋体" w:eastAsia="宋体" w:cs="宋体"/>
          <w:color w:val="000000"/>
          <w:sz w:val="21"/>
          <w:szCs w:val="21"/>
        </w:rPr>
        <w:t xml:space="preserve">。</w:t>
      </w:r>
      <w:r/>
    </w:p>
    <w:p>
      <w:pPr>
        <w:numPr>
          <w:ilvl w:val="0"/>
          <w:numId w:val="0"/>
        </w:num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15.3 质量保证金</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关于是否扣留质量保证金的约定：</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。在工程项目竣工前，承包人按专用合同条款第3.7条提供履约担保的，发包人不得同时预留工程质量保证金。</w:t>
      </w:r>
      <w:r/>
    </w:p>
    <w:p>
      <w:pPr>
        <w:numPr>
          <w:ilvl w:val="0"/>
          <w:numId w:val="0"/>
        </w:num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15.3.1 承包人提供质量保证金的方式</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质量保证金采用以下第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种方式：</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（1）质量保证金保函，保证金额为：</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%的工程款；</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（3）其他方式:</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numPr>
          <w:ilvl w:val="0"/>
          <w:numId w:val="0"/>
        </w:num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15.3.2 质量保证金的扣留 </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质量保证金的扣留采取以下第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种方式：</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（1）在支付工程进度款时逐次扣留，在此情形下，质量保证金的计算基数不包括预付款的支付、扣回以及价格调整的金额；</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（2）工程竣工结算时一次性扣留质量保证金；</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（3）其他扣留方式:</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关于质量保证金的补充约定：</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15.4保修</w:t>
      </w:r>
      <w:r/>
    </w:p>
    <w:p>
      <w:pPr>
        <w:ind w:left="0" w:right="0" w:firstLine="409"/>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15.4.1 保修责任</w:t>
      </w:r>
      <w:r/>
    </w:p>
    <w:p>
      <w:pPr>
        <w:ind w:left="0" w:right="0" w:firstLine="409"/>
        <w:jc w:val="left"/>
        <w:spacing w:line="360" w:lineRule="auto"/>
        <w:rPr>
          <w:rFonts w:hint="eastAsia" w:ascii="宋体" w:hAnsi="宋体" w:eastAsia="宋体" w:cs="宋体"/>
          <w:sz w:val="21"/>
          <w:szCs w:val="21"/>
          <w:u w:val="single"/>
        </w:rPr>
      </w:pPr>
      <w:r>
        <w:rPr>
          <w:rFonts w:hint="eastAsia" w:ascii="宋体" w:hAnsi="宋体" w:eastAsia="宋体" w:cs="宋体"/>
          <w:color w:val="000000"/>
          <w:sz w:val="21"/>
          <w:szCs w:val="21"/>
        </w:rPr>
        <w:t xml:space="preserve">工程保修期为：</w:t>
      </w:r>
      <w:r>
        <w:rPr>
          <w:rFonts w:hint="eastAsia" w:ascii="宋体" w:hAnsi="宋体" w:eastAsia="宋体" w:cs="宋体"/>
          <w:sz w:val="21"/>
          <w:szCs w:val="21"/>
          <w:u w:val="single"/>
        </w:rPr>
        <w:t xml:space="preserve"> </w:t>
      </w:r>
      <w:r>
        <w:rPr>
          <w:rFonts w:hint="eastAsia" w:ascii="宋体" w:hAnsi="宋体" w:eastAsia="宋体" w:cs="宋体"/>
          <w:b w:val="0"/>
          <w:bCs/>
          <w:color w:val="000000"/>
          <w:sz w:val="21"/>
          <w:szCs w:val="21"/>
          <w:u w:val="single"/>
          <w:lang w:eastAsia="zh-CN"/>
        </w:rPr>
        <w:t xml:space="preserve">24个月，从竣工验收合格之日起计算</w:t>
      </w:r>
      <w:r>
        <w:rPr>
          <w:rFonts w:hint="eastAsia" w:ascii="宋体" w:hAnsi="宋体" w:eastAsia="宋体" w:cs="宋体"/>
          <w:sz w:val="21"/>
          <w:szCs w:val="21"/>
          <w:u w:val="single"/>
        </w:rPr>
        <w:t xml:space="preserve">。</w:t>
      </w:r>
      <w:r/>
    </w:p>
    <w:p>
      <w:pPr>
        <w:ind w:left="0" w:right="0" w:firstLine="409"/>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15.4.3 修复通知</w:t>
      </w:r>
      <w:r/>
    </w:p>
    <w:p>
      <w:pPr>
        <w:ind w:left="0" w:right="0" w:firstLine="409"/>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承包人收到保修通知并到达工程现场的合理时间：</w:t>
      </w:r>
      <w:r>
        <w:rPr>
          <w:rFonts w:hint="eastAsia" w:ascii="宋体" w:hAnsi="宋体" w:eastAsia="宋体" w:cs="宋体"/>
          <w:color w:val="000000"/>
          <w:sz w:val="21"/>
          <w:szCs w:val="21"/>
          <w:u w:val="single"/>
          <w:lang w:val="en-US" w:eastAsia="zh-CN"/>
        </w:rPr>
        <w:t xml:space="preserve">2</w:t>
      </w:r>
      <w:r>
        <w:rPr>
          <w:rFonts w:hint="eastAsia" w:ascii="宋体" w:hAnsi="宋体" w:eastAsia="宋体" w:cs="宋体"/>
          <w:color w:val="000000"/>
          <w:sz w:val="21"/>
          <w:szCs w:val="21"/>
          <w:u w:val="single"/>
        </w:rPr>
        <w:t xml:space="preserve">个小时内</w:t>
      </w:r>
      <w:r>
        <w:rPr>
          <w:rFonts w:hint="eastAsia" w:ascii="宋体" w:hAnsi="宋体" w:eastAsia="宋体" w:cs="宋体"/>
          <w:color w:val="000000"/>
          <w:sz w:val="21"/>
          <w:szCs w:val="21"/>
        </w:rPr>
        <w:t xml:space="preserve">。</w:t>
      </w:r>
      <w:r/>
    </w:p>
    <w:p>
      <w:pPr>
        <w:pStyle w:val="1103"/>
        <w:spacing w:before="120" w:after="120" w:line="360" w:lineRule="auto"/>
        <w:rPr>
          <w:rFonts w:hint="eastAsia" w:ascii="宋体" w:hAnsi="宋体" w:eastAsia="宋体" w:cs="宋体"/>
          <w:sz w:val="21"/>
          <w:szCs w:val="21"/>
        </w:rPr>
      </w:pPr>
      <w:r>
        <w:rPr>
          <w:rFonts w:hint="eastAsia" w:ascii="宋体" w:hAnsi="宋体" w:eastAsia="宋体" w:cs="宋体"/>
          <w:b w:val="0"/>
          <w:sz w:val="21"/>
          <w:szCs w:val="21"/>
        </w:rPr>
        <w:t xml:space="preserve">16. 违约</w:t>
      </w:r>
      <w:r/>
    </w:p>
    <w:p>
      <w:pPr>
        <w:numPr>
          <w:ilvl w:val="0"/>
          <w:numId w:val="0"/>
        </w:num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16.1 发包人违约</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16.1.1发包人违约的情形</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发包人违约的其他情形：</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1050" w:right="0" w:hanging="105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    16.1.2 发包人违约的责任</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发包人违约责任的承担方式和计算方法：</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（1）因发包人原因未能在计划开工日期前7天内下达开工通知的违约责任：</w:t>
      </w:r>
      <w:r>
        <w:rPr>
          <w:rFonts w:hint="eastAsia" w:ascii="宋体" w:hAnsi="宋体" w:eastAsia="宋体" w:cs="宋体"/>
          <w:b w:val="0"/>
          <w:bCs/>
          <w:color w:val="000000"/>
          <w:sz w:val="21"/>
          <w:szCs w:val="21"/>
          <w:u w:val="single"/>
          <w:lang w:eastAsia="zh-CN"/>
        </w:rPr>
        <w:t xml:space="preserve">开工时间及工期顺延</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（2）因发包人原因未能按合同约定支付合同价款的违约责任：</w:t>
      </w:r>
      <w:r>
        <w:rPr>
          <w:rFonts w:hint="eastAsia" w:ascii="宋体" w:hAnsi="宋体" w:eastAsia="宋体" w:cs="宋体"/>
          <w:color w:val="000000"/>
          <w:sz w:val="21"/>
          <w:szCs w:val="21"/>
          <w:u w:val="single"/>
          <w:lang w:val="en-US" w:eastAsia="zh-CN"/>
        </w:rPr>
        <w:t xml:space="preserve">另行协商</w:t>
      </w:r>
      <w:r>
        <w:rPr>
          <w:rFonts w:hint="eastAsia" w:ascii="宋体" w:hAnsi="宋体" w:eastAsia="宋体" w:cs="宋体"/>
          <w:color w:val="000000"/>
          <w:sz w:val="21"/>
          <w:szCs w:val="21"/>
          <w:u w:val="none"/>
          <w:lang w:val="en-US" w:eastAsia="zh-CN"/>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（3）发包人违反第10.1款〔变更的范围〕第（2）项约定，自行实施被取消的工作或转由他人实施的违约责任：</w:t>
      </w:r>
      <w:r>
        <w:rPr>
          <w:rFonts w:hint="eastAsia" w:ascii="宋体" w:hAnsi="宋体" w:eastAsia="宋体" w:cs="宋体"/>
          <w:b w:val="0"/>
          <w:bCs/>
          <w:color w:val="000000"/>
          <w:sz w:val="21"/>
          <w:szCs w:val="21"/>
          <w:u w:val="single"/>
          <w:lang w:eastAsia="zh-CN"/>
        </w:rPr>
        <w:t xml:space="preserve">本工程项目均由承包人实施</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val="0"/>
          <w:bCs w:val="0"/>
          <w:color w:val="000000"/>
          <w:sz w:val="21"/>
          <w:szCs w:val="21"/>
          <w:u w:val="single"/>
          <w:lang w:val="en-US" w:eastAsia="zh-CN"/>
        </w:rPr>
        <w:t xml:space="preserve">/</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（5）因发包人违反合同约定造成暂停施工的违约责任：</w:t>
      </w:r>
      <w:r>
        <w:rPr>
          <w:rFonts w:hint="eastAsia" w:ascii="宋体" w:hAnsi="宋体" w:eastAsia="宋体" w:cs="宋体"/>
          <w:b w:val="0"/>
          <w:bCs/>
          <w:color w:val="000000"/>
          <w:sz w:val="21"/>
          <w:szCs w:val="21"/>
          <w:u w:val="single"/>
          <w:lang w:eastAsia="zh-CN"/>
        </w:rPr>
        <w:t xml:space="preserve">工期顺延，造成承包人损失的，发包人应按相关规定赔偿其直接损失</w:t>
      </w:r>
      <w:r>
        <w:rPr>
          <w:rFonts w:hint="eastAsia" w:ascii="宋体" w:hAnsi="宋体" w:eastAsia="宋体" w:cs="宋体"/>
          <w:sz w:val="21"/>
          <w:szCs w:val="21"/>
        </w:rPr>
        <w:t xml:space="preserve">。</w:t>
      </w:r>
      <w:r/>
    </w:p>
    <w:p>
      <w:pPr>
        <w:ind w:left="210" w:right="0" w:firstLine="21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（6）发包人无正当理由没有在约定期限内发出复工指示，导致承包人无法复工的违约责任：</w:t>
      </w:r>
      <w:r>
        <w:rPr>
          <w:rFonts w:hint="eastAsia" w:ascii="宋体" w:hAnsi="宋体" w:eastAsia="宋体" w:cs="宋体"/>
          <w:b w:val="0"/>
          <w:bCs/>
          <w:color w:val="000000"/>
          <w:sz w:val="21"/>
          <w:szCs w:val="21"/>
          <w:u w:val="single"/>
          <w:lang w:eastAsia="zh-CN"/>
        </w:rPr>
        <w:t xml:space="preserve">工期顺延</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（7）其他：</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16.1.3 因发包人违约解除合同</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承包人按16.1.1项〔发包人违约的情形〕约定暂停施工满</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9</w:t>
      </w:r>
      <w:r>
        <w:rPr>
          <w:rFonts w:hint="eastAsia" w:ascii="宋体" w:hAnsi="宋体" w:eastAsia="宋体" w:cs="宋体"/>
          <w:sz w:val="21"/>
          <w:szCs w:val="21"/>
          <w:u w:val="single"/>
        </w:rPr>
        <w:t xml:space="preserve">0  </w:t>
      </w:r>
      <w:r>
        <w:rPr>
          <w:rFonts w:hint="eastAsia" w:ascii="宋体" w:hAnsi="宋体" w:eastAsia="宋体" w:cs="宋体"/>
          <w:sz w:val="21"/>
          <w:szCs w:val="21"/>
        </w:rPr>
        <w:t xml:space="preserve">天后发包人仍不纠正其违约行为并致使合同目的不能实现的，承包人有权解除合同。</w:t>
      </w:r>
      <w:r/>
    </w:p>
    <w:p>
      <w:pPr>
        <w:numPr>
          <w:ilvl w:val="0"/>
          <w:numId w:val="0"/>
        </w:num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16.2 承包人违约</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16.2.1 承包人违约的情形</w:t>
      </w:r>
      <w:r/>
    </w:p>
    <w:p>
      <w:pPr>
        <w:ind w:left="0" w:right="0" w:firstLine="420"/>
        <w:jc w:val="left"/>
        <w:spacing w:line="360" w:lineRule="auto"/>
        <w:rPr>
          <w:rFonts w:hint="eastAsia" w:ascii="宋体" w:hAnsi="宋体" w:eastAsia="宋体" w:cs="宋体"/>
          <w:b w:val="0"/>
          <w:bCs/>
          <w:color w:val="000000"/>
          <w:sz w:val="21"/>
          <w:szCs w:val="21"/>
          <w:highlight w:val="none"/>
          <w:u w:val="single"/>
          <w:lang w:eastAsia="zh-CN"/>
        </w:rPr>
      </w:pPr>
      <w:r>
        <w:rPr>
          <w:rFonts w:hint="eastAsia" w:ascii="宋体" w:hAnsi="宋体" w:eastAsia="宋体" w:cs="宋体"/>
          <w:sz w:val="21"/>
          <w:szCs w:val="21"/>
        </w:rPr>
        <w:t xml:space="preserve">承包人违约的其他情形：</w:t>
      </w:r>
      <w:r>
        <w:rPr>
          <w:rFonts w:hint="eastAsia" w:ascii="宋体" w:hAnsi="宋体" w:eastAsia="宋体" w:cs="宋体"/>
          <w:sz w:val="21"/>
          <w:szCs w:val="21"/>
          <w:u w:val="single"/>
        </w:rPr>
        <w:t xml:space="preserve">①承包人在中标后，未能按规定的时间办理相关手续、缴纳相关费用；②没有合理的原因而未能按期开工；③承包人无正当理由停工；④拒绝或不遵照发包人要求整改、更换或拆除有缺陷的工程，或执行（整改）不力的；⑤中标后被发现有出卖资质、</w:t>
      </w:r>
      <w:r>
        <w:rPr>
          <w:rFonts w:hint="eastAsia" w:ascii="宋体" w:hAnsi="宋体" w:eastAsia="宋体" w:cs="宋体"/>
          <w:sz w:val="21"/>
          <w:szCs w:val="21"/>
          <w:highlight w:val="none"/>
          <w:u w:val="single"/>
        </w:rPr>
        <w:t xml:space="preserve">非法挂靠行为的；⑥其他执行通用条款和专用条款约定</w:t>
      </w:r>
      <w:r>
        <w:rPr>
          <w:rFonts w:hint="eastAsia" w:ascii="宋体" w:hAnsi="宋体" w:eastAsia="宋体" w:cs="宋体"/>
          <w:sz w:val="21"/>
          <w:szCs w:val="21"/>
          <w:highlight w:val="none"/>
          <w:u w:val="none"/>
        </w:rPr>
        <w:t xml:space="preserve">。</w:t>
      </w:r>
      <w:r/>
    </w:p>
    <w:p>
      <w:pPr>
        <w:ind w:left="0" w:right="0"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16.2.2承包人违约的责任</w:t>
      </w:r>
      <w:r/>
    </w:p>
    <w:p>
      <w:pPr>
        <w:ind w:left="0" w:right="0"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承包人违约责任的承担方式和计算方法：</w:t>
      </w:r>
      <w:r/>
    </w:p>
    <w:p>
      <w:pPr>
        <w:ind w:left="0" w:right="0" w:firstLine="420"/>
        <w:jc w:val="left"/>
        <w:spacing w:line="360" w:lineRule="auto"/>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u w:val="single"/>
          <w:lang w:eastAsia="zh-CN"/>
        </w:rPr>
        <w:t xml:space="preserve">1、因承包人自身原因，对同一分项工程连续三次或连续验收项目达二次验收不合格,发包人将对承包人给予每次壹万元违约金,直至解除本合同。</w:t>
      </w:r>
      <w:r/>
    </w:p>
    <w:p>
      <w:pPr>
        <w:ind w:left="0" w:right="0" w:firstLine="420"/>
        <w:jc w:val="left"/>
        <w:spacing w:line="360" w:lineRule="auto"/>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u w:val="single"/>
          <w:lang w:eastAsia="zh-CN"/>
        </w:rPr>
        <w:t xml:space="preserve">②因承包人自身原因，达不到合同约定的工程质量标准，同时承包人自愿进行整改的，对发包人使用造成影响，其整改所需时间计算在合同总工期内。因此而造成的工期延误按前述有关条款进行处罚。</w:t>
      </w:r>
      <w:r/>
    </w:p>
    <w:p>
      <w:pPr>
        <w:ind w:left="0" w:right="0" w:firstLine="420"/>
        <w:jc w:val="left"/>
        <w:spacing w:line="360" w:lineRule="auto"/>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u w:val="single"/>
          <w:lang w:eastAsia="zh-CN"/>
        </w:rPr>
        <w:t xml:space="preserve">③承包人不得有转包和违法分包行为。此种行为一旦发生，发包人有权按该部分造价的5%对承包人处以罚款，直至解除本合同。由此产生的一切经济损失由承包人负担。</w:t>
      </w:r>
      <w:r/>
    </w:p>
    <w:p>
      <w:pPr>
        <w:ind w:left="0" w:right="0" w:firstLine="420"/>
        <w:jc w:val="left"/>
        <w:spacing w:line="360" w:lineRule="auto"/>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u w:val="single"/>
          <w:lang w:eastAsia="zh-CN"/>
        </w:rPr>
        <w:t xml:space="preserve">④中标项目经理不能亲临施工现场组织本工程项目的施工或发包人发现有挂靠的现象，发包人将有权取消其中标资格或解除与承包人签定的合同，所造成的一切损失由承包人承担。具体约定为：</w:t>
      </w:r>
      <w:r/>
    </w:p>
    <w:p>
      <w:pPr>
        <w:ind w:left="0" w:right="0" w:firstLine="420"/>
        <w:jc w:val="left"/>
        <w:spacing w:line="360" w:lineRule="auto"/>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u w:val="single"/>
          <w:lang w:eastAsia="zh-CN"/>
        </w:rPr>
        <w:t xml:space="preserve">1)承包人的项目部技术经济管理人员必须全部按投标承诺名单按时到位。项目经理在现场施工期间如有特殊情况需离开，必须向发包人请假并经同意后方可离场。管理班子的到位率要达到90%以上，其他人员到位率不少于70％。班组长及特殊工种作业人员必须为本企业正式员工。</w:t>
      </w:r>
      <w:r/>
    </w:p>
    <w:p>
      <w:pPr>
        <w:ind w:left="0" w:right="0" w:firstLine="420"/>
        <w:jc w:val="left"/>
        <w:spacing w:line="360" w:lineRule="auto"/>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u w:val="single"/>
          <w:lang w:eastAsia="zh-CN"/>
        </w:rPr>
        <w:t xml:space="preserve">2）在本工程竣工前，承包人在投标书中所安排的注册建造师、技术负责人、施工员、质检员、安全员不得到其他工程兼职，否则，一经发现，视作违约，按每发现一人次支付违约金500元人民币处理，情节严重的，发包人可中止合同，承包人承担一切责任和损失。</w:t>
      </w:r>
      <w:r/>
    </w:p>
    <w:p>
      <w:pPr>
        <w:ind w:left="0" w:right="0" w:firstLine="420"/>
        <w:jc w:val="left"/>
        <w:spacing w:line="360" w:lineRule="auto"/>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u w:val="single"/>
          <w:lang w:eastAsia="zh-CN"/>
        </w:rPr>
        <w:t xml:space="preserve">3）承包人承诺在本工程竣工前，注册建造师、技术负责人及五大员坚守本工程，并且每个月的出勤天数不少于25天，由总监理工程师负责对其考勤，若发现注册建造师、技术负责人出勤天数少于25天，【除参照苏建招（2005）580号文件规定情形外】，并自愿支付违约金1000元人民币/天；若发现质检员、施工员、材料员、安全员出勤天数少于25天，【除参照苏建招（2005）580号文件规定情形外】，并自愿支付违约金500元/天人民币。</w:t>
      </w:r>
      <w:r/>
    </w:p>
    <w:p>
      <w:pPr>
        <w:ind w:left="0" w:right="0" w:firstLine="420"/>
        <w:jc w:val="left"/>
        <w:spacing w:line="360" w:lineRule="auto"/>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u w:val="single"/>
          <w:lang w:eastAsia="zh-CN"/>
        </w:rPr>
        <w:t xml:space="preserve">4）承包人应严格遵守发包人的规章制度，项目管理人员应按发包人规定参加考勤。如因承包人原因不能按期完成本合同工程，发包人有权中途终止合同（因不可抗力因素造成的除外），但应及时以书面形式通知承包人。由此造成的一切损失，均由承包人承担。</w:t>
      </w:r>
      <w:r/>
    </w:p>
    <w:p>
      <w:pPr>
        <w:ind w:left="0" w:right="0" w:firstLine="420"/>
        <w:jc w:val="left"/>
        <w:spacing w:line="360" w:lineRule="auto"/>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u w:val="single"/>
          <w:lang w:eastAsia="zh-CN"/>
        </w:rPr>
        <w:t xml:space="preserve">2、数字化派遣工单超期结案一个，罚款</w:t>
      </w:r>
      <w:r>
        <w:rPr>
          <w:rFonts w:hint="eastAsia" w:ascii="宋体" w:hAnsi="宋体" w:eastAsia="宋体" w:cs="宋体"/>
          <w:sz w:val="21"/>
          <w:szCs w:val="21"/>
          <w:highlight w:val="none"/>
          <w:u w:val="single"/>
          <w:lang w:val="en-US" w:eastAsia="zh-CN"/>
        </w:rPr>
        <w:t xml:space="preserve">200</w:t>
      </w:r>
      <w:r>
        <w:rPr>
          <w:rFonts w:hint="eastAsia" w:ascii="宋体" w:hAnsi="宋体" w:eastAsia="宋体" w:cs="宋体"/>
          <w:sz w:val="21"/>
          <w:szCs w:val="21"/>
          <w:highlight w:val="none"/>
          <w:u w:val="single"/>
          <w:lang w:eastAsia="zh-CN"/>
        </w:rPr>
        <w:t xml:space="preserve">元；数字化派遣工单</w:t>
      </w:r>
      <w:r>
        <w:rPr>
          <w:rFonts w:hint="eastAsia" w:ascii="宋体" w:hAnsi="宋体" w:eastAsia="宋体" w:cs="宋体"/>
          <w:sz w:val="21"/>
          <w:szCs w:val="21"/>
          <w:highlight w:val="none"/>
          <w:u w:val="single"/>
          <w:lang w:val="en-US" w:eastAsia="zh-CN"/>
        </w:rPr>
        <w:t xml:space="preserve">返工案件</w:t>
      </w:r>
      <w:r>
        <w:rPr>
          <w:rFonts w:hint="eastAsia" w:ascii="宋体" w:hAnsi="宋体" w:eastAsia="宋体" w:cs="宋体"/>
          <w:sz w:val="21"/>
          <w:szCs w:val="21"/>
          <w:highlight w:val="none"/>
          <w:u w:val="single"/>
          <w:lang w:eastAsia="zh-CN"/>
        </w:rPr>
        <w:t xml:space="preserve">一个，罚款500元，罚款金额从工程款中直接扣除。</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16.2.3 因承包人违约解除合同</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关于承包人违约解除合同的特别约定：</w:t>
      </w:r>
      <w:r>
        <w:rPr>
          <w:rFonts w:hint="eastAsia" w:ascii="宋体" w:hAnsi="宋体" w:eastAsia="宋体" w:cs="宋体"/>
          <w:b w:val="0"/>
          <w:bCs/>
          <w:color w:val="000000"/>
          <w:sz w:val="21"/>
          <w:szCs w:val="21"/>
          <w:u w:val="single"/>
          <w:lang w:eastAsia="zh-CN"/>
        </w:rPr>
        <w:t xml:space="preserve">承包人无条件退场。合同约定的违约金不足以赔偿发包人损失的，发包人有权索赔</w:t>
      </w:r>
      <w:r>
        <w:rPr>
          <w:rFonts w:hint="eastAsia" w:ascii="宋体" w:hAnsi="宋体" w:eastAsia="宋体" w:cs="宋体"/>
          <w:sz w:val="21"/>
          <w:szCs w:val="21"/>
          <w:u w:val="none"/>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发包人继续使用承包人在施工现场的材料、设备、临时工程、承包人文件和由承包人或以其名义编制的其他文件的费用承担方式：</w:t>
      </w:r>
      <w:r>
        <w:rPr>
          <w:rFonts w:hint="eastAsia" w:ascii="宋体" w:hAnsi="宋体" w:eastAsia="宋体" w:cs="宋体"/>
          <w:b w:val="0"/>
          <w:bCs/>
          <w:color w:val="000000"/>
          <w:sz w:val="21"/>
          <w:szCs w:val="21"/>
          <w:u w:val="single"/>
          <w:lang w:eastAsia="zh-CN"/>
        </w:rPr>
        <w:t xml:space="preserve">无偿使用</w:t>
      </w:r>
      <w:r>
        <w:rPr>
          <w:rFonts w:hint="eastAsia" w:ascii="宋体" w:hAnsi="宋体" w:eastAsia="宋体" w:cs="宋体"/>
          <w:sz w:val="21"/>
          <w:szCs w:val="21"/>
          <w:u w:val="none"/>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17. 不可抗力 </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17.1 不可抗力的确认</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除通用合同条款约定的不可抗力事件之外，视为不可抗力的其他情形：</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17.4 因不可抗力解除合同</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合同解除后，发包人应在商定或确定发包人应支付款项后</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60</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天内完成款项的支付。</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18. 保险</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18.1 工程保险</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关于工程保险的特别约定：</w:t>
      </w:r>
      <w:r>
        <w:rPr>
          <w:rFonts w:hint="eastAsia" w:ascii="宋体" w:hAnsi="宋体" w:eastAsia="宋体" w:cs="宋体"/>
          <w:b w:val="0"/>
          <w:bCs/>
          <w:color w:val="000000"/>
          <w:sz w:val="21"/>
          <w:szCs w:val="21"/>
          <w:u w:val="single"/>
          <w:lang w:eastAsia="zh-CN"/>
        </w:rPr>
        <w:t xml:space="preserve">承包人应投保建筑工程一切险或安装工程一切险并承担因投保产生的保险费和其他相关费用</w:t>
      </w:r>
      <w:r>
        <w:rPr>
          <w:rFonts w:hint="eastAsia" w:ascii="宋体" w:hAnsi="宋体" w:eastAsia="宋体" w:cs="宋体"/>
          <w:sz w:val="21"/>
          <w:szCs w:val="21"/>
          <w:u w:val="single"/>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18.3 其他保险</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关于其他保险的约定：</w:t>
      </w:r>
      <w:r>
        <w:rPr>
          <w:rFonts w:hint="eastAsia" w:ascii="宋体" w:hAnsi="宋体" w:eastAsia="宋体" w:cs="宋体"/>
          <w:sz w:val="21"/>
          <w:szCs w:val="21"/>
          <w:u w:val="single"/>
        </w:rPr>
        <w:t xml:space="preserve"> </w:t>
      </w:r>
      <w:r>
        <w:rPr>
          <w:rFonts w:hint="eastAsia" w:ascii="宋体" w:hAnsi="宋体" w:eastAsia="宋体" w:cs="宋体"/>
          <w:b w:val="0"/>
          <w:bCs/>
          <w:color w:val="000000"/>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承包人是否应为其施工设备等办理财产保险：</w:t>
      </w:r>
      <w:r>
        <w:rPr>
          <w:rFonts w:hint="eastAsia" w:ascii="宋体" w:hAnsi="宋体" w:eastAsia="宋体" w:cs="宋体"/>
          <w:sz w:val="21"/>
          <w:szCs w:val="21"/>
          <w:u w:val="single"/>
        </w:rPr>
        <w:t xml:space="preserve">执行通用条款。</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18.7 通知义务</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关于变更保险合同时的通知义务的约定：</w:t>
      </w:r>
      <w:r>
        <w:rPr>
          <w:rFonts w:hint="eastAsia" w:ascii="宋体" w:hAnsi="宋体" w:eastAsia="宋体" w:cs="宋体"/>
          <w:sz w:val="21"/>
          <w:szCs w:val="21"/>
          <w:u w:val="single"/>
        </w:rPr>
        <w:t xml:space="preserve">执行通用条款。</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20. 争议解决</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20.3 争议评审</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合同当事人是否同意将工程争议提交争议评审小组决定：</w:t>
      </w:r>
      <w:r>
        <w:rPr>
          <w:rFonts w:hint="eastAsia" w:ascii="宋体" w:hAnsi="宋体" w:eastAsia="宋体" w:cs="宋体"/>
          <w:sz w:val="21"/>
          <w:szCs w:val="21"/>
          <w:u w:val="single"/>
        </w:rPr>
        <w:t xml:space="preserve">否 。</w:t>
      </w:r>
      <w:r/>
    </w:p>
    <w:p>
      <w:pPr>
        <w:numPr>
          <w:ilvl w:val="0"/>
          <w:numId w:val="0"/>
        </w:num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20.3.1 争议评审小组的确定</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争议评审小组成员的确定：</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选定争议评审员的期限：</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争议评审小组成员的报酬承担方式：</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其他事项的约定：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numPr>
          <w:ilvl w:val="0"/>
          <w:numId w:val="0"/>
        </w:num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20.3.2 争议评审小组的决定</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合同当事人关于本项的约定：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numPr>
          <w:ilvl w:val="0"/>
          <w:numId w:val="0"/>
        </w:num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20.4仲裁或诉讼</w:t>
      </w:r>
      <w:r/>
    </w:p>
    <w:p>
      <w:pPr>
        <w:ind w:left="0" w:right="0" w:firstLine="420"/>
        <w:spacing w:before="0" w:after="120" w:line="360" w:lineRule="auto"/>
        <w:rPr>
          <w:rFonts w:hint="eastAsia" w:ascii="宋体" w:hAnsi="宋体" w:eastAsia="宋体" w:cs="宋体"/>
          <w:sz w:val="21"/>
          <w:szCs w:val="21"/>
        </w:rPr>
      </w:pPr>
      <w:r>
        <w:rPr>
          <w:rFonts w:hint="eastAsia" w:ascii="宋体" w:hAnsi="宋体" w:eastAsia="宋体" w:cs="宋体"/>
          <w:sz w:val="21"/>
          <w:szCs w:val="21"/>
        </w:rPr>
        <w:t xml:space="preserve">因合同及合同有关事项发生的争议，按下列第</w:t>
      </w:r>
      <w:r>
        <w:rPr>
          <w:rFonts w:hint="eastAsia" w:ascii="宋体" w:hAnsi="宋体" w:eastAsia="宋体" w:cs="宋体"/>
          <w:sz w:val="21"/>
          <w:szCs w:val="21"/>
          <w:u w:val="single"/>
        </w:rPr>
        <w:t xml:space="preserve">   2  </w:t>
      </w:r>
      <w:r>
        <w:rPr>
          <w:rFonts w:hint="eastAsia" w:ascii="宋体" w:hAnsi="宋体" w:eastAsia="宋体" w:cs="宋体"/>
          <w:sz w:val="21"/>
          <w:szCs w:val="21"/>
        </w:rPr>
        <w:t xml:space="preserve">种方式解决：</w:t>
      </w:r>
      <w:r/>
    </w:p>
    <w:p>
      <w:pPr>
        <w:ind w:left="0" w:righ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（1）向</w:t>
      </w:r>
      <w:r>
        <w:rPr>
          <w:rFonts w:hint="eastAsia" w:ascii="宋体" w:hAnsi="宋体" w:eastAsia="宋体" w:cs="宋体"/>
          <w:sz w:val="21"/>
          <w:szCs w:val="21"/>
          <w:u w:val="single"/>
          <w:lang w:val="en-US" w:eastAsia="zh-CN"/>
        </w:rPr>
        <w:t xml:space="preserve">   </w:t>
      </w:r>
      <w:r>
        <w:rPr>
          <w:rFonts w:hint="eastAsia" w:ascii="宋体" w:hAnsi="宋体" w:eastAsia="宋体" w:cs="宋体"/>
          <w:b w:val="0"/>
          <w:bCs/>
          <w:color w:val="000000"/>
          <w:sz w:val="21"/>
          <w:szCs w:val="21"/>
          <w:u w:val="single"/>
          <w:lang w:val="en-US" w:eastAsia="zh-CN"/>
        </w:rPr>
        <w:t xml:space="preserve">/    </w:t>
      </w:r>
      <w:r>
        <w:rPr>
          <w:rFonts w:hint="eastAsia" w:ascii="宋体" w:hAnsi="宋体" w:eastAsia="宋体" w:cs="宋体"/>
          <w:sz w:val="21"/>
          <w:szCs w:val="21"/>
        </w:rPr>
        <w:t xml:space="preserve">仲裁委员会申请仲裁；</w:t>
      </w:r>
      <w:r/>
    </w:p>
    <w:p>
      <w:pPr>
        <w:ind w:left="0" w:righ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（2）向</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项目所在地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人民法院起诉。</w:t>
      </w:r>
      <w:r/>
    </w:p>
    <w:p>
      <w:pPr>
        <w:numPr>
          <w:ilvl w:val="0"/>
          <w:numId w:val="7"/>
        </w:numPr>
        <w:ind w:left="0" w:right="0" w:firstLine="422"/>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补充条款： </w:t>
      </w:r>
      <w:r/>
    </w:p>
    <w:p>
      <w:pPr>
        <w:ind w:left="210" w:right="0" w:firstLine="420"/>
        <w:spacing w:line="360" w:lineRule="auto"/>
        <w:rPr>
          <w:rFonts w:hint="eastAsia" w:ascii="宋体" w:hAnsi="宋体" w:eastAsia="宋体" w:cs="宋体"/>
          <w:sz w:val="21"/>
          <w:szCs w:val="21"/>
        </w:rPr>
      </w:pPr>
      <w:r>
        <w:rPr>
          <w:rFonts w:hint="eastAsia" w:ascii="宋体" w:hAnsi="宋体" w:eastAsia="宋体" w:cs="宋体"/>
          <w:bCs/>
          <w:sz w:val="21"/>
          <w:szCs w:val="21"/>
          <w:u w:val="single"/>
        </w:rPr>
        <w:t xml:space="preserve">（1）、承包人对工程建设期间扬尘治理工作负主体责任。应制定具体的施工现场扬尘污染防治专项方案，按照承包工程范围做好扬尘污染防治措施的落实。方案必须符合我市“徐空气提升办【2018】11号”和“徐城管发【2018】55号”关于扬尘管控的相关规定要求。</w:t>
      </w:r>
      <w:r/>
    </w:p>
    <w:p>
      <w:pPr>
        <w:ind w:left="210" w:right="0" w:firstLine="420"/>
        <w:spacing w:line="360" w:lineRule="auto"/>
        <w:rPr>
          <w:rFonts w:hint="eastAsia" w:ascii="宋体" w:hAnsi="宋体" w:eastAsia="宋体" w:cs="宋体"/>
          <w:sz w:val="21"/>
          <w:szCs w:val="21"/>
        </w:rPr>
      </w:pPr>
      <w:r>
        <w:rPr>
          <w:rFonts w:hint="eastAsia" w:ascii="宋体" w:hAnsi="宋体" w:eastAsia="宋体" w:cs="宋体"/>
          <w:bCs/>
          <w:sz w:val="21"/>
          <w:szCs w:val="21"/>
          <w:u w:val="single"/>
        </w:rPr>
        <w:t xml:space="preserve">（2）、农忙季节不得停工。</w:t>
      </w:r>
      <w:r/>
    </w:p>
    <w:p>
      <w:pPr>
        <w:ind w:left="210" w:right="0" w:firstLine="420"/>
        <w:spacing w:line="360" w:lineRule="auto"/>
        <w:rPr>
          <w:rFonts w:hint="eastAsia" w:ascii="宋体" w:hAnsi="宋体" w:eastAsia="宋体" w:cs="宋体"/>
          <w:sz w:val="21"/>
          <w:szCs w:val="21"/>
        </w:rPr>
      </w:pPr>
      <w:r>
        <w:rPr>
          <w:rFonts w:hint="eastAsia" w:ascii="宋体" w:hAnsi="宋体" w:eastAsia="宋体" w:cs="宋体"/>
          <w:bCs/>
          <w:sz w:val="21"/>
          <w:szCs w:val="21"/>
          <w:u w:val="single"/>
        </w:rPr>
        <w:t xml:space="preserve">(</w:t>
      </w:r>
      <w:r>
        <w:rPr>
          <w:rFonts w:hint="eastAsia" w:ascii="宋体" w:hAnsi="宋体" w:eastAsia="宋体" w:cs="宋体"/>
          <w:bCs/>
          <w:sz w:val="21"/>
          <w:szCs w:val="21"/>
          <w:u w:val="single"/>
          <w:lang w:val="en-US" w:eastAsia="zh-CN"/>
        </w:rPr>
        <w:t xml:space="preserve">3</w:t>
      </w:r>
      <w:r>
        <w:rPr>
          <w:rFonts w:hint="eastAsia" w:ascii="宋体" w:hAnsi="宋体" w:eastAsia="宋体" w:cs="宋体"/>
          <w:bCs/>
          <w:sz w:val="21"/>
          <w:szCs w:val="21"/>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left="210" w:right="0" w:firstLine="420"/>
        <w:spacing w:line="360" w:lineRule="auto"/>
        <w:rPr>
          <w:rFonts w:hint="eastAsia" w:ascii="宋体" w:hAnsi="宋体" w:eastAsia="宋体" w:cs="宋体"/>
          <w:sz w:val="21"/>
          <w:szCs w:val="21"/>
        </w:rPr>
      </w:pPr>
      <w:r>
        <w:rPr>
          <w:rFonts w:hint="eastAsia" w:ascii="宋体" w:hAnsi="宋体" w:eastAsia="宋体" w:cs="宋体"/>
          <w:bCs/>
          <w:sz w:val="21"/>
          <w:szCs w:val="21"/>
          <w:u w:val="single"/>
        </w:rPr>
        <w:t xml:space="preserve">(6)、对发包人支付的工程款，承包人应优先用于支付工人劳动报酬；承包人如有拖欠、克扣工人劳动报酬的行为并造成社会不良影响的，发包人有权在承包人工程款中扣除相应款项，同时承包人还应赔偿因此给发包人造成的一切损失。发生农民工群访事件的（5 人以上），每次向发包人支付5万元的违约金。</w:t>
      </w:r>
      <w:r/>
    </w:p>
    <w:p>
      <w:pPr>
        <w:ind w:left="210" w:right="0" w:firstLine="420"/>
        <w:spacing w:line="360" w:lineRule="auto"/>
        <w:rPr>
          <w:rFonts w:hint="eastAsia" w:ascii="宋体" w:hAnsi="宋体" w:eastAsia="宋体" w:cs="宋体"/>
          <w:sz w:val="21"/>
          <w:szCs w:val="21"/>
        </w:rPr>
      </w:pPr>
      <w:r>
        <w:rPr>
          <w:rFonts w:hint="eastAsia" w:ascii="宋体" w:hAnsi="宋体" w:eastAsia="宋体" w:cs="宋体"/>
          <w:bCs/>
          <w:sz w:val="21"/>
          <w:szCs w:val="21"/>
          <w:u w:val="single"/>
        </w:rPr>
        <w:t xml:space="preserve">(</w:t>
      </w:r>
      <w:r>
        <w:rPr>
          <w:rFonts w:hint="eastAsia" w:ascii="宋体" w:hAnsi="宋体" w:eastAsia="宋体" w:cs="宋体"/>
          <w:bCs/>
          <w:sz w:val="21"/>
          <w:szCs w:val="21"/>
          <w:u w:val="single"/>
          <w:lang w:val="en-US" w:eastAsia="zh-CN"/>
        </w:rPr>
        <w:t xml:space="preserve">7</w:t>
      </w:r>
      <w:r>
        <w:rPr>
          <w:rFonts w:hint="eastAsia" w:ascii="宋体" w:hAnsi="宋体" w:eastAsia="宋体" w:cs="宋体"/>
          <w:bCs/>
          <w:sz w:val="21"/>
          <w:szCs w:val="21"/>
          <w:u w:val="single"/>
        </w:rPr>
        <w:t xml:space="preserve">)、施工期间，承包人不得辱骂、殴打、威胁发包人、监理人及审计人员，如若发生将支付发包人1万元/次的违约金，停止支付工程款，并追究其法律责任，直至承包人向发包人保证此类事件不再发生。</w:t>
      </w:r>
      <w:r/>
    </w:p>
    <w:p>
      <w:pPr>
        <w:ind w:left="210" w:right="0" w:firstLine="420"/>
        <w:spacing w:line="360" w:lineRule="auto"/>
        <w:rPr>
          <w:rFonts w:hint="eastAsia" w:ascii="宋体" w:hAnsi="宋体" w:eastAsia="宋体" w:cs="宋体"/>
          <w:sz w:val="21"/>
          <w:szCs w:val="21"/>
        </w:rPr>
      </w:pPr>
      <w:r>
        <w:rPr>
          <w:rFonts w:hint="eastAsia" w:ascii="宋体" w:hAnsi="宋体" w:eastAsia="宋体" w:cs="宋体"/>
          <w:bCs/>
          <w:sz w:val="21"/>
          <w:szCs w:val="21"/>
          <w:u w:val="single"/>
        </w:rPr>
        <w:t xml:space="preserve">(</w:t>
      </w:r>
      <w:r>
        <w:rPr>
          <w:rFonts w:hint="eastAsia" w:ascii="宋体" w:hAnsi="宋体" w:eastAsia="宋体" w:cs="宋体"/>
          <w:bCs/>
          <w:sz w:val="21"/>
          <w:szCs w:val="21"/>
          <w:u w:val="single"/>
          <w:lang w:val="en-US" w:eastAsia="zh-CN"/>
        </w:rPr>
        <w:t xml:space="preserve">8</w:t>
      </w:r>
      <w:r>
        <w:rPr>
          <w:rFonts w:hint="eastAsia" w:ascii="宋体" w:hAnsi="宋体" w:eastAsia="宋体" w:cs="宋体"/>
          <w:bCs/>
          <w:sz w:val="21"/>
          <w:szCs w:val="21"/>
          <w:u w:val="single"/>
        </w:rPr>
        <w:t xml:space="preserve">)、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210" w:right="0" w:firstLine="420"/>
        <w:spacing w:line="360" w:lineRule="auto"/>
        <w:rPr>
          <w:rFonts w:hint="eastAsia" w:ascii="宋体" w:hAnsi="宋体" w:eastAsia="宋体" w:cs="宋体"/>
          <w:sz w:val="21"/>
          <w:szCs w:val="21"/>
        </w:rPr>
      </w:pPr>
      <w:r>
        <w:rPr>
          <w:rFonts w:hint="eastAsia" w:ascii="宋体" w:hAnsi="宋体" w:eastAsia="宋体" w:cs="宋体"/>
          <w:bCs/>
          <w:sz w:val="21"/>
          <w:szCs w:val="21"/>
          <w:u w:val="single"/>
        </w:rPr>
        <w:t xml:space="preserve">(</w:t>
      </w:r>
      <w:r>
        <w:rPr>
          <w:rFonts w:hint="eastAsia" w:ascii="宋体" w:hAnsi="宋体" w:eastAsia="宋体" w:cs="宋体"/>
          <w:bCs/>
          <w:sz w:val="21"/>
          <w:szCs w:val="21"/>
          <w:u w:val="single"/>
          <w:lang w:val="en-US" w:eastAsia="zh-CN"/>
        </w:rPr>
        <w:t xml:space="preserve">9</w:t>
      </w:r>
      <w:r>
        <w:rPr>
          <w:rFonts w:hint="eastAsia" w:ascii="宋体" w:hAnsi="宋体" w:eastAsia="宋体" w:cs="宋体"/>
          <w:bCs/>
          <w:sz w:val="21"/>
          <w:szCs w:val="21"/>
          <w:u w:val="single"/>
        </w:rPr>
        <w:t xml:space="preserve">)、保修期内因承包人原因造成的工程质量问题给发包人、业主或他人造成财产损失和人身伤害的，由承包人承担一切责任。</w:t>
      </w:r>
      <w:r/>
    </w:p>
    <w:p>
      <w:pPr>
        <w:ind w:left="210" w:right="0" w:firstLine="420"/>
        <w:spacing w:line="360" w:lineRule="auto"/>
        <w:rPr>
          <w:rFonts w:hint="eastAsia" w:ascii="宋体" w:hAnsi="宋体" w:eastAsia="宋体" w:cs="宋体"/>
          <w:sz w:val="21"/>
          <w:szCs w:val="21"/>
        </w:rPr>
      </w:pPr>
      <w:r>
        <w:rPr>
          <w:rFonts w:hint="eastAsia" w:ascii="宋体" w:hAnsi="宋体" w:eastAsia="宋体" w:cs="宋体"/>
          <w:bCs/>
          <w:sz w:val="21"/>
          <w:szCs w:val="21"/>
          <w:u w:val="single"/>
        </w:rPr>
        <w:t xml:space="preserve">(1</w:t>
      </w:r>
      <w:r>
        <w:rPr>
          <w:rFonts w:hint="eastAsia" w:ascii="宋体" w:hAnsi="宋体" w:eastAsia="宋体" w:cs="宋体"/>
          <w:bCs/>
          <w:sz w:val="21"/>
          <w:szCs w:val="21"/>
          <w:u w:val="single"/>
          <w:lang w:val="en-US" w:eastAsia="zh-CN"/>
        </w:rPr>
        <w:t xml:space="preserve">0</w:t>
      </w:r>
      <w:r>
        <w:rPr>
          <w:rFonts w:hint="eastAsia" w:ascii="宋体" w:hAnsi="宋体" w:eastAsia="宋体" w:cs="宋体"/>
          <w:bCs/>
          <w:sz w:val="21"/>
          <w:szCs w:val="21"/>
          <w:u w:val="single"/>
        </w:rPr>
        <w:t xml:space="preserve">)、因承包人原因造成工期延误而产生的赔付费用由承包人承担。</w:t>
      </w:r>
      <w:r/>
    </w:p>
    <w:p>
      <w:pPr>
        <w:ind w:left="210" w:right="0" w:firstLine="420"/>
        <w:spacing w:line="360" w:lineRule="auto"/>
        <w:rPr>
          <w:rFonts w:hint="eastAsia" w:ascii="宋体" w:hAnsi="宋体" w:eastAsia="宋体" w:cs="宋体"/>
          <w:sz w:val="21"/>
          <w:szCs w:val="21"/>
        </w:rPr>
      </w:pPr>
      <w:r>
        <w:rPr>
          <w:rFonts w:hint="eastAsia" w:ascii="宋体" w:hAnsi="宋体" w:eastAsia="宋体" w:cs="宋体"/>
          <w:bCs/>
          <w:sz w:val="21"/>
          <w:szCs w:val="21"/>
          <w:u w:val="single"/>
        </w:rPr>
        <w:t xml:space="preserve">(1</w:t>
      </w:r>
      <w:r>
        <w:rPr>
          <w:rFonts w:hint="eastAsia" w:ascii="宋体" w:hAnsi="宋体" w:eastAsia="宋体" w:cs="宋体"/>
          <w:bCs/>
          <w:sz w:val="21"/>
          <w:szCs w:val="21"/>
          <w:u w:val="single"/>
          <w:lang w:val="en-US" w:eastAsia="zh-CN"/>
        </w:rPr>
        <w:t xml:space="preserve">1</w:t>
      </w:r>
      <w:r>
        <w:rPr>
          <w:rFonts w:hint="eastAsia" w:ascii="宋体" w:hAnsi="宋体" w:eastAsia="宋体" w:cs="宋体"/>
          <w:bCs/>
          <w:sz w:val="21"/>
          <w:szCs w:val="21"/>
          <w:u w:val="single"/>
        </w:rPr>
        <w:t xml:space="preserve">)、本合同履行期间，承包人与第三方产生的债权、债务均由承包人自行解决，与发包人无关。</w:t>
      </w:r>
      <w:r/>
    </w:p>
    <w:p>
      <w:pPr>
        <w:ind w:left="210" w:right="0" w:firstLine="420"/>
        <w:spacing w:line="360" w:lineRule="auto"/>
        <w:rPr>
          <w:rFonts w:hint="eastAsia" w:ascii="宋体" w:hAnsi="宋体" w:eastAsia="宋体" w:cs="宋体"/>
          <w:sz w:val="21"/>
          <w:szCs w:val="21"/>
        </w:rPr>
      </w:pPr>
      <w:r>
        <w:rPr>
          <w:rFonts w:hint="eastAsia" w:ascii="宋体" w:hAnsi="宋体" w:eastAsia="宋体" w:cs="宋体"/>
          <w:bCs/>
          <w:sz w:val="21"/>
          <w:szCs w:val="21"/>
          <w:u w:val="single"/>
        </w:rPr>
        <w:t xml:space="preserve">(1</w:t>
      </w:r>
      <w:r>
        <w:rPr>
          <w:rFonts w:hint="eastAsia" w:ascii="宋体" w:hAnsi="宋体" w:eastAsia="宋体" w:cs="宋体"/>
          <w:bCs/>
          <w:sz w:val="21"/>
          <w:szCs w:val="21"/>
          <w:u w:val="single"/>
          <w:lang w:val="en-US" w:eastAsia="zh-CN"/>
        </w:rPr>
        <w:t xml:space="preserve">2</w:t>
      </w:r>
      <w:r>
        <w:rPr>
          <w:rFonts w:hint="eastAsia" w:ascii="宋体" w:hAnsi="宋体" w:eastAsia="宋体" w:cs="宋体"/>
          <w:bCs/>
          <w:sz w:val="21"/>
          <w:szCs w:val="21"/>
          <w:u w:val="single"/>
        </w:rPr>
        <w:t xml:space="preserve">)、中标后被发现有出卖资质、非法挂靠行为的中标人（承包人）,发包人有权单方解除施工合同，清退施工人员并按合同总价的5%收取违约金，在这种情况下，承包人必须在10日内退场，并且不得提出任何对发包人不利的要求。</w:t>
      </w:r>
      <w:r/>
    </w:p>
    <w:p>
      <w:pPr>
        <w:ind w:left="210" w:right="0" w:firstLine="420"/>
        <w:spacing w:line="360" w:lineRule="auto"/>
        <w:rPr>
          <w:rFonts w:hint="eastAsia" w:ascii="宋体" w:hAnsi="宋体" w:eastAsia="宋体" w:cs="宋体"/>
          <w:sz w:val="21"/>
          <w:szCs w:val="21"/>
        </w:rPr>
      </w:pPr>
      <w:r>
        <w:rPr>
          <w:rFonts w:hint="eastAsia" w:ascii="宋体" w:hAnsi="宋体" w:eastAsia="宋体" w:cs="宋体"/>
          <w:bCs/>
          <w:sz w:val="21"/>
          <w:szCs w:val="21"/>
          <w:u w:val="single"/>
        </w:rPr>
        <w:t xml:space="preserve">(1</w:t>
      </w:r>
      <w:r>
        <w:rPr>
          <w:rFonts w:hint="eastAsia" w:ascii="宋体" w:hAnsi="宋体" w:eastAsia="宋体" w:cs="宋体"/>
          <w:bCs/>
          <w:sz w:val="21"/>
          <w:szCs w:val="21"/>
          <w:u w:val="single"/>
          <w:lang w:val="en-US" w:eastAsia="zh-CN"/>
        </w:rPr>
        <w:t xml:space="preserve">3</w:t>
      </w:r>
      <w:r>
        <w:rPr>
          <w:rFonts w:hint="eastAsia" w:ascii="宋体" w:hAnsi="宋体" w:eastAsia="宋体" w:cs="宋体"/>
          <w:bCs/>
          <w:sz w:val="21"/>
          <w:szCs w:val="21"/>
          <w:u w:val="single"/>
        </w:rPr>
        <w:t xml:space="preserve">)、当工程到达某一付款节点，而发包人资金尚未拨付下来，承包人在施工期间保证不得以资金等任何原因为借口，拖延工期或擅自停工。否则，每拖延一天承包人愿承担合同总价1‰的违约金。</w:t>
      </w:r>
      <w:r/>
    </w:p>
    <w:p>
      <w:pPr>
        <w:ind w:left="210" w:right="0" w:firstLine="420"/>
        <w:spacing w:line="360" w:lineRule="auto"/>
        <w:rPr>
          <w:rFonts w:hint="eastAsia" w:ascii="宋体" w:hAnsi="宋体" w:eastAsia="宋体" w:cs="宋体"/>
          <w:sz w:val="21"/>
          <w:szCs w:val="21"/>
        </w:rPr>
      </w:pPr>
      <w:r>
        <w:rPr>
          <w:rFonts w:hint="eastAsia" w:ascii="宋体" w:hAnsi="宋体" w:eastAsia="宋体" w:cs="宋体"/>
          <w:bCs/>
          <w:sz w:val="21"/>
          <w:szCs w:val="21"/>
          <w:u w:val="single"/>
        </w:rPr>
        <w:t xml:space="preserve">(1</w:t>
      </w:r>
      <w:r>
        <w:rPr>
          <w:rFonts w:hint="eastAsia" w:ascii="宋体" w:hAnsi="宋体" w:eastAsia="宋体" w:cs="宋体"/>
          <w:bCs/>
          <w:sz w:val="21"/>
          <w:szCs w:val="21"/>
          <w:u w:val="single"/>
          <w:lang w:val="en-US" w:eastAsia="zh-CN"/>
        </w:rPr>
        <w:t xml:space="preserve">4</w:t>
      </w:r>
      <w:r>
        <w:rPr>
          <w:rFonts w:hint="eastAsia" w:ascii="宋体" w:hAnsi="宋体" w:eastAsia="宋体" w:cs="宋体"/>
          <w:bCs/>
          <w:sz w:val="21"/>
          <w:szCs w:val="21"/>
          <w:u w:val="single"/>
        </w:rPr>
        <w:t xml:space="preserve">)、在施工过程中必须配合建设单位、发包方工期要求并按发包方指令时限完成。</w:t>
      </w:r>
      <w:r/>
    </w:p>
    <w:p>
      <w:pPr>
        <w:ind w:left="210" w:right="0" w:firstLine="420"/>
        <w:spacing w:line="360" w:lineRule="auto"/>
        <w:rPr>
          <w:rFonts w:hint="eastAsia" w:ascii="宋体" w:hAnsi="宋体" w:eastAsia="宋体" w:cs="宋体"/>
          <w:sz w:val="21"/>
          <w:szCs w:val="21"/>
        </w:rPr>
      </w:pPr>
      <w:r>
        <w:rPr>
          <w:rFonts w:hint="eastAsia" w:ascii="宋体" w:hAnsi="宋体" w:eastAsia="宋体" w:cs="宋体"/>
          <w:bCs/>
          <w:sz w:val="21"/>
          <w:szCs w:val="21"/>
          <w:u w:val="single"/>
        </w:rPr>
        <w:t xml:space="preserve">(1</w:t>
      </w:r>
      <w:r>
        <w:rPr>
          <w:rFonts w:hint="eastAsia" w:ascii="宋体" w:hAnsi="宋体" w:eastAsia="宋体" w:cs="宋体"/>
          <w:bCs/>
          <w:sz w:val="21"/>
          <w:szCs w:val="21"/>
          <w:u w:val="single"/>
          <w:lang w:val="en-US" w:eastAsia="zh-CN"/>
        </w:rPr>
        <w:t xml:space="preserve">5</w:t>
      </w:r>
      <w:r>
        <w:rPr>
          <w:rFonts w:hint="eastAsia" w:ascii="宋体" w:hAnsi="宋体" w:eastAsia="宋体" w:cs="宋体"/>
          <w:bCs/>
          <w:sz w:val="21"/>
          <w:szCs w:val="21"/>
          <w:u w:val="single"/>
        </w:rPr>
        <w:t xml:space="preserve">)、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210" w:right="0" w:firstLine="420"/>
        <w:spacing w:line="360" w:lineRule="auto"/>
        <w:rPr>
          <w:rFonts w:hint="eastAsia" w:ascii="宋体" w:hAnsi="宋体" w:eastAsia="宋体" w:cs="宋体"/>
          <w:sz w:val="21"/>
          <w:szCs w:val="21"/>
        </w:rPr>
      </w:pPr>
      <w:r>
        <w:rPr>
          <w:rFonts w:hint="eastAsia" w:ascii="宋体" w:hAnsi="宋体" w:eastAsia="宋体" w:cs="宋体"/>
          <w:bCs/>
          <w:sz w:val="21"/>
          <w:szCs w:val="21"/>
          <w:u w:val="single"/>
        </w:rPr>
        <w:t xml:space="preserve">(</w:t>
      </w:r>
      <w:r>
        <w:rPr>
          <w:rFonts w:hint="eastAsia" w:ascii="宋体" w:hAnsi="宋体" w:eastAsia="宋体" w:cs="宋体"/>
          <w:bCs/>
          <w:sz w:val="21"/>
          <w:szCs w:val="21"/>
          <w:u w:val="single"/>
          <w:lang w:val="en-US" w:eastAsia="zh-CN"/>
        </w:rPr>
        <w:t xml:space="preserve">16</w:t>
      </w:r>
      <w:r>
        <w:rPr>
          <w:rFonts w:hint="eastAsia" w:ascii="宋体" w:hAnsi="宋体" w:eastAsia="宋体" w:cs="宋体"/>
          <w:bCs/>
          <w:sz w:val="21"/>
          <w:szCs w:val="21"/>
          <w:u w:val="single"/>
        </w:rPr>
        <w:t xml:space="preserve">)、为保证施工质量，施工难点以及容易发生质量通病的地方，承包方应先报施工方案经建设单位、发包方、监理确认，发包方根据实际情况要求承包方无偿做施工样板，样板经发包方验收合格后承包方方可按样板进行大面积施工。</w:t>
      </w:r>
      <w:r/>
    </w:p>
    <w:p>
      <w:pPr>
        <w:ind w:left="210" w:right="0" w:firstLine="420"/>
        <w:spacing w:line="360" w:lineRule="auto"/>
        <w:rPr>
          <w:rFonts w:hint="eastAsia" w:ascii="宋体" w:hAnsi="宋体" w:eastAsia="宋体" w:cs="宋体"/>
          <w:bCs/>
          <w:sz w:val="21"/>
          <w:szCs w:val="21"/>
          <w:highlight w:val="none"/>
          <w:u w:val="single"/>
        </w:rPr>
      </w:pPr>
      <w:r>
        <w:rPr>
          <w:rFonts w:hint="eastAsia" w:ascii="宋体" w:hAnsi="宋体" w:eastAsia="宋体" w:cs="宋体"/>
          <w:bCs/>
          <w:sz w:val="21"/>
          <w:szCs w:val="21"/>
          <w:u w:val="single"/>
        </w:rPr>
        <w:t xml:space="preserve">(</w:t>
      </w:r>
      <w:r>
        <w:rPr>
          <w:rFonts w:hint="eastAsia" w:ascii="宋体" w:hAnsi="宋体" w:eastAsia="宋体" w:cs="宋体"/>
          <w:bCs/>
          <w:sz w:val="21"/>
          <w:szCs w:val="21"/>
          <w:u w:val="single"/>
          <w:lang w:val="en-US" w:eastAsia="zh-CN"/>
        </w:rPr>
        <w:t xml:space="preserve">17</w:t>
      </w:r>
      <w:r>
        <w:rPr>
          <w:rFonts w:hint="eastAsia" w:ascii="宋体" w:hAnsi="宋体" w:eastAsia="宋体" w:cs="宋体"/>
          <w:bCs/>
          <w:sz w:val="21"/>
          <w:szCs w:val="21"/>
          <w:u w:val="single"/>
        </w:rPr>
        <w:t xml:space="preserve">)、承包人发生转包、分包及借用资质的行为，承包人应承担工程合同价的5%违约金，发包人有权责承包人其限期整改，对整改确无实质进展的，发包人将终止合同，并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w:t>
      </w:r>
      <w:r>
        <w:rPr>
          <w:rFonts w:hint="eastAsia" w:ascii="宋体" w:hAnsi="宋体" w:eastAsia="宋体" w:cs="宋体"/>
          <w:bCs/>
          <w:sz w:val="21"/>
          <w:szCs w:val="21"/>
          <w:highlight w:val="none"/>
          <w:u w:val="single"/>
        </w:rPr>
        <w:t xml:space="preserve">外，承包人承担合同价的5%的违约金。</w:t>
      </w:r>
      <w:r/>
    </w:p>
    <w:p>
      <w:pPr>
        <w:ind w:left="0" w:right="0" w:firstLine="420"/>
        <w:jc w:val="left"/>
        <w:spacing w:line="360" w:lineRule="auto"/>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18</w:t>
      </w:r>
      <w:r>
        <w:rPr>
          <w:rFonts w:hint="eastAsia" w:ascii="宋体" w:hAnsi="宋体" w:eastAsia="宋体" w:cs="宋体"/>
          <w:sz w:val="21"/>
          <w:szCs w:val="21"/>
          <w:highlight w:val="none"/>
          <w:u w:val="single"/>
          <w:lang w:eastAsia="zh-CN"/>
        </w:rPr>
        <w:t xml:space="preserve">）本合同未涉及之处或与</w:t>
      </w:r>
      <w:r>
        <w:rPr>
          <w:rFonts w:hint="eastAsia" w:ascii="宋体" w:hAnsi="宋体" w:eastAsia="宋体" w:cs="宋体"/>
          <w:sz w:val="21"/>
          <w:szCs w:val="21"/>
          <w:highlight w:val="none"/>
          <w:u w:val="single"/>
          <w:lang w:eastAsia="zh-CN"/>
        </w:rPr>
        <w:t xml:space="preserve">磋商</w:t>
      </w:r>
      <w:r>
        <w:rPr>
          <w:rFonts w:hint="eastAsia" w:ascii="宋体" w:hAnsi="宋体" w:eastAsia="宋体" w:cs="宋体"/>
          <w:sz w:val="21"/>
          <w:szCs w:val="21"/>
          <w:highlight w:val="none"/>
          <w:u w:val="single"/>
          <w:lang w:eastAsia="zh-CN"/>
        </w:rPr>
        <w:t xml:space="preserve">文件实质性内容不一致之处，执行</w:t>
      </w:r>
      <w:r>
        <w:rPr>
          <w:rFonts w:hint="eastAsia" w:ascii="宋体" w:hAnsi="宋体" w:eastAsia="宋体" w:cs="宋体"/>
          <w:sz w:val="21"/>
          <w:szCs w:val="21"/>
          <w:highlight w:val="none"/>
          <w:u w:val="single"/>
          <w:lang w:eastAsia="zh-CN"/>
        </w:rPr>
        <w:t xml:space="preserve">磋商</w:t>
      </w:r>
      <w:r>
        <w:rPr>
          <w:rFonts w:hint="eastAsia" w:ascii="宋体" w:hAnsi="宋体" w:eastAsia="宋体" w:cs="宋体"/>
          <w:sz w:val="21"/>
          <w:szCs w:val="21"/>
          <w:highlight w:val="none"/>
          <w:u w:val="single"/>
          <w:lang w:eastAsia="zh-CN"/>
        </w:rPr>
        <w:t xml:space="preserve">文件的规定；本合同及</w:t>
      </w:r>
      <w:r>
        <w:rPr>
          <w:rFonts w:hint="eastAsia" w:ascii="宋体" w:hAnsi="宋体" w:eastAsia="宋体" w:cs="宋体"/>
          <w:sz w:val="21"/>
          <w:szCs w:val="21"/>
          <w:highlight w:val="none"/>
          <w:u w:val="single"/>
          <w:lang w:eastAsia="zh-CN"/>
        </w:rPr>
        <w:t xml:space="preserve">磋商</w:t>
      </w:r>
      <w:r>
        <w:rPr>
          <w:rFonts w:hint="eastAsia" w:ascii="宋体" w:hAnsi="宋体" w:eastAsia="宋体" w:cs="宋体"/>
          <w:sz w:val="21"/>
          <w:szCs w:val="21"/>
          <w:highlight w:val="none"/>
          <w:u w:val="single"/>
          <w:lang w:eastAsia="zh-CN"/>
        </w:rPr>
        <w:t xml:space="preserve">文件未涉及之处，执行国家、江苏省及徐州市相关文件、规范。</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178" w:lineRule="exact"/>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sectPr>
          <w:footerReference w:type="default" r:id="rId15"/>
          <w:footnotePr/>
          <w:endnotePr/>
          <w:type w:val="nextPage"/>
          <w:pgSz w:w="11907" w:h="16840" w:orient="portrait"/>
          <w:pgMar w:top="1440" w:right="1080" w:bottom="1440" w:left="1080" w:header="0" w:footer="849" w:gutter="0"/>
          <w:cols w:num="1" w:sep="0" w:space="1701" w:equalWidth="1"/>
          <w:docGrid w:linePitch="360"/>
        </w:sectPr>
      </w:pPr>
      <w:r>
        <w:rPr>
          <w:color w:val="000000"/>
          <w:highlight w:val="none"/>
        </w:rPr>
      </w:r>
      <w:r/>
    </w:p>
    <w:p>
      <w:pPr>
        <w:spacing w:before="35" w:line="225" w:lineRule="auto"/>
        <w:rPr>
          <w:rFonts w:ascii="宋体" w:hAnsi="宋体" w:eastAsia="宋体" w:cs="宋体"/>
          <w:b w:val="0"/>
          <w:bCs w:val="0"/>
          <w:color w:val="000000"/>
          <w:spacing w:val="15"/>
          <w:sz w:val="24"/>
          <w:szCs w:val="24"/>
          <w:highlight w:val="none"/>
          <w:lang w:val="en-US" w:eastAsia="zh-CN"/>
        </w:rPr>
      </w:pPr>
      <w:r>
        <w:rPr>
          <w:rFonts w:hint="eastAsia" w:ascii="宋体" w:hAnsi="宋体" w:cs="宋体"/>
          <w:b w:val="0"/>
          <w:bCs w:val="0"/>
          <w:color w:val="000000"/>
          <w:spacing w:val="15"/>
          <w:sz w:val="24"/>
          <w:szCs w:val="24"/>
          <w:highlight w:val="none"/>
          <w:lang w:val="en-US" w:eastAsia="zh-CN"/>
        </w:rPr>
        <w:t xml:space="preserve">附件1：</w:t>
      </w:r>
      <w:r/>
    </w:p>
    <w:p>
      <w:pPr>
        <w:ind w:left="2998"/>
        <w:spacing w:before="35" w:line="225" w:lineRule="auto"/>
        <w:rPr>
          <w:rFonts w:ascii="宋体" w:hAnsi="宋体" w:cs="宋体"/>
          <w:b/>
          <w:bCs/>
          <w:color w:val="000000"/>
          <w:spacing w:val="15"/>
          <w:sz w:val="24"/>
          <w:szCs w:val="24"/>
          <w:highlight w:val="none"/>
        </w:rPr>
      </w:pPr>
      <w:r>
        <w:rPr>
          <w:rFonts w:ascii="宋体" w:hAnsi="宋体" w:cs="宋体"/>
          <w:b/>
          <w:bCs/>
          <w:color w:val="000000"/>
          <w:spacing w:val="15"/>
          <w:sz w:val="24"/>
          <w:szCs w:val="24"/>
          <w:highlight w:val="none"/>
        </w:rPr>
      </w:r>
      <w:r/>
    </w:p>
    <w:p>
      <w:pPr>
        <w:ind w:left="2998"/>
        <w:spacing w:before="35" w:line="225" w:lineRule="auto"/>
        <w:rPr>
          <w:rFonts w:ascii="宋体" w:hAnsi="宋体" w:cs="宋体"/>
          <w:b/>
          <w:bCs/>
          <w:color w:val="000000"/>
          <w:sz w:val="24"/>
          <w:szCs w:val="24"/>
          <w:highlight w:val="none"/>
        </w:rPr>
      </w:pPr>
      <w:r>
        <w:rPr>
          <w:rFonts w:ascii="宋体" w:hAnsi="宋体" w:cs="宋体"/>
          <w:b/>
          <w:bCs/>
          <w:color w:val="000000"/>
          <w:spacing w:val="15"/>
          <w:sz w:val="24"/>
          <w:szCs w:val="24"/>
          <w:highlight w:val="none"/>
        </w:rPr>
        <w:t xml:space="preserve">发</w:t>
      </w:r>
      <w:r>
        <w:rPr>
          <w:rFonts w:ascii="宋体" w:hAnsi="宋体" w:cs="宋体"/>
          <w:b/>
          <w:bCs/>
          <w:color w:val="000000"/>
          <w:spacing w:val="8"/>
          <w:sz w:val="24"/>
          <w:szCs w:val="24"/>
          <w:highlight w:val="none"/>
        </w:rPr>
        <w:t xml:space="preserve">包人供应材料设备一览表</w:t>
      </w:r>
      <w:r/>
    </w:p>
    <w:p>
      <w:pPr>
        <w:rPr>
          <w:color w:val="000000"/>
          <w:highlight w:val="none"/>
        </w:rPr>
      </w:pPr>
      <w:r>
        <w:rPr>
          <w:color w:val="000000"/>
          <w:highlight w:val="none"/>
        </w:rPr>
      </w:r>
      <w:r/>
    </w:p>
    <w:tbl>
      <w:tblPr>
        <w:tblStyle w:val="1078"/>
        <w:tblpPr w:horzAnchor="page" w:tblpX="1413" w:vertAnchor="text" w:tblpY="146" w:leftFromText="180" w:topFromText="0" w:rightFromText="180" w:bottomFromText="0"/>
        <w:tblW w:w="90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W w:w="863" w:type="dxa"/>
            <w:vAlign w:val="center"/>
            <w:textDirection w:val="lrTb"/>
            <w:noWrap w:val="false"/>
          </w:tcPr>
          <w:p>
            <w:pPr>
              <w:ind w:right="93"/>
              <w:jc w:val="center"/>
              <w:spacing w:before="91" w:line="302" w:lineRule="auto"/>
              <w:rPr>
                <w:rFonts w:ascii="宋体" w:hAnsi="宋体" w:cs="宋体"/>
                <w:color w:val="000000"/>
                <w:spacing w:val="-7"/>
                <w:sz w:val="24"/>
                <w:highlight w:val="none"/>
              </w:rPr>
            </w:pPr>
            <w:r>
              <w:rPr>
                <w:rFonts w:ascii="宋体" w:hAnsi="宋体" w:cs="宋体"/>
                <w:color w:val="000000"/>
                <w:spacing w:val="-7"/>
                <w:sz w:val="24"/>
                <w:highlight w:val="none"/>
              </w:rPr>
              <w:t xml:space="preserve">序号</w:t>
            </w:r>
            <w:r/>
          </w:p>
        </w:tc>
        <w:tc>
          <w:tcPr>
            <w:tcW w:w="1272" w:type="dxa"/>
            <w:vAlign w:val="center"/>
            <w:textDirection w:val="lrTb"/>
            <w:noWrap w:val="false"/>
          </w:tcPr>
          <w:p>
            <w:pPr>
              <w:ind w:left="92" w:right="93" w:firstLine="2"/>
              <w:jc w:val="center"/>
              <w:spacing w:before="91" w:line="302" w:lineRule="auto"/>
              <w:rPr>
                <w:rFonts w:ascii="宋体" w:hAnsi="宋体" w:cs="宋体"/>
                <w:color w:val="000000"/>
                <w:spacing w:val="-7"/>
                <w:sz w:val="24"/>
                <w:highlight w:val="none"/>
              </w:rPr>
            </w:pPr>
            <w:r>
              <w:rPr>
                <w:rFonts w:ascii="宋体" w:hAnsi="宋体" w:cs="宋体"/>
                <w:color w:val="000000"/>
                <w:spacing w:val="-7"/>
                <w:sz w:val="24"/>
                <w:highlight w:val="none"/>
              </w:rPr>
              <w:t xml:space="preserve">材料、设 备品种</w:t>
            </w:r>
            <w:r/>
          </w:p>
        </w:tc>
        <w:tc>
          <w:tcPr>
            <w:tcW w:w="864" w:type="dxa"/>
            <w:vAlign w:val="center"/>
            <w:textDirection w:val="lrTb"/>
            <w:noWrap w:val="false"/>
          </w:tcPr>
          <w:p>
            <w:pPr>
              <w:ind w:left="92" w:right="93" w:firstLine="2"/>
              <w:jc w:val="center"/>
              <w:spacing w:before="91" w:line="302" w:lineRule="auto"/>
              <w:rPr>
                <w:rFonts w:ascii="宋体" w:hAnsi="宋体" w:cs="宋体"/>
                <w:color w:val="000000"/>
                <w:spacing w:val="-7"/>
                <w:sz w:val="24"/>
                <w:highlight w:val="none"/>
              </w:rPr>
            </w:pPr>
            <w:r>
              <w:rPr>
                <w:rFonts w:ascii="宋体" w:hAnsi="宋体" w:cs="宋体"/>
                <w:color w:val="000000"/>
                <w:spacing w:val="-7"/>
                <w:sz w:val="24"/>
                <w:highlight w:val="none"/>
              </w:rPr>
              <w:t xml:space="preserve">规格 型号</w:t>
            </w:r>
            <w:r/>
          </w:p>
        </w:tc>
        <w:tc>
          <w:tcPr>
            <w:tcW w:w="899" w:type="dxa"/>
            <w:vAlign w:val="center"/>
            <w:textDirection w:val="lrTb"/>
            <w:noWrap w:val="false"/>
          </w:tcPr>
          <w:p>
            <w:pPr>
              <w:ind w:right="93"/>
              <w:jc w:val="center"/>
              <w:spacing w:before="91" w:line="302" w:lineRule="auto"/>
              <w:rPr>
                <w:rFonts w:ascii="宋体" w:hAnsi="宋体" w:cs="宋体"/>
                <w:color w:val="000000"/>
                <w:spacing w:val="-7"/>
                <w:sz w:val="24"/>
                <w:highlight w:val="none"/>
              </w:rPr>
            </w:pPr>
            <w:r>
              <w:rPr>
                <w:rFonts w:ascii="宋体" w:hAnsi="宋体" w:cs="宋体"/>
                <w:color w:val="000000"/>
                <w:spacing w:val="-7"/>
                <w:sz w:val="24"/>
                <w:highlight w:val="none"/>
              </w:rPr>
              <w:t xml:space="preserve">单位</w:t>
            </w:r>
            <w:r/>
          </w:p>
        </w:tc>
        <w:tc>
          <w:tcPr>
            <w:tcW w:w="723" w:type="dxa"/>
            <w:vAlign w:val="center"/>
            <w:textDirection w:val="tbRlV"/>
            <w:noWrap w:val="false"/>
          </w:tcPr>
          <w:p>
            <w:pPr>
              <w:ind w:left="92" w:right="93" w:firstLine="2"/>
              <w:jc w:val="center"/>
              <w:spacing w:before="91" w:line="302" w:lineRule="auto"/>
              <w:rPr>
                <w:rFonts w:ascii="宋体" w:hAnsi="宋体" w:cs="宋体"/>
                <w:color w:val="000000"/>
                <w:spacing w:val="-7"/>
                <w:sz w:val="24"/>
                <w:highlight w:val="none"/>
              </w:rPr>
            </w:pPr>
            <w:r>
              <w:rPr>
                <w:rFonts w:ascii="宋体" w:hAnsi="宋体" w:cs="宋体"/>
                <w:color w:val="000000"/>
                <w:spacing w:val="-7"/>
                <w:sz w:val="24"/>
                <w:highlight w:val="none"/>
              </w:rPr>
              <w:t xml:space="preserve">数 量</w:t>
            </w:r>
            <w:r/>
          </w:p>
        </w:tc>
        <w:tc>
          <w:tcPr>
            <w:tcW w:w="1084" w:type="dxa"/>
            <w:vAlign w:val="center"/>
            <w:textDirection w:val="lrTb"/>
            <w:noWrap w:val="false"/>
          </w:tcPr>
          <w:p>
            <w:pPr>
              <w:ind w:right="93"/>
              <w:jc w:val="center"/>
              <w:spacing w:before="91" w:line="302" w:lineRule="auto"/>
              <w:rPr>
                <w:rFonts w:ascii="宋体" w:hAnsi="宋体" w:cs="宋体"/>
                <w:color w:val="000000"/>
                <w:spacing w:val="-7"/>
                <w:sz w:val="24"/>
                <w:highlight w:val="none"/>
              </w:rPr>
            </w:pPr>
            <w:r>
              <w:rPr>
                <w:rFonts w:ascii="宋体" w:hAnsi="宋体" w:cs="宋体"/>
                <w:color w:val="000000"/>
                <w:spacing w:val="-7"/>
                <w:sz w:val="24"/>
                <w:highlight w:val="none"/>
              </w:rPr>
              <w:t xml:space="preserve">单(元)</w:t>
            </w:r>
            <w:r/>
          </w:p>
        </w:tc>
        <w:tc>
          <w:tcPr>
            <w:tcW w:w="848" w:type="dxa"/>
            <w:vAlign w:val="center"/>
            <w:textDirection w:val="lrTb"/>
            <w:noWrap w:val="false"/>
          </w:tcPr>
          <w:p>
            <w:pPr>
              <w:ind w:left="92" w:right="93" w:firstLine="2"/>
              <w:jc w:val="center"/>
              <w:spacing w:before="91" w:line="302" w:lineRule="auto"/>
              <w:rPr>
                <w:rFonts w:ascii="宋体" w:hAnsi="宋体" w:cs="宋体"/>
                <w:color w:val="000000"/>
                <w:spacing w:val="-7"/>
                <w:sz w:val="24"/>
                <w:highlight w:val="none"/>
              </w:rPr>
            </w:pPr>
            <w:r>
              <w:rPr>
                <w:rFonts w:ascii="宋体" w:hAnsi="宋体" w:cs="宋体"/>
                <w:color w:val="000000"/>
                <w:spacing w:val="-7"/>
                <w:sz w:val="24"/>
                <w:highlight w:val="none"/>
              </w:rPr>
              <w:t xml:space="preserve">质量 等级</w:t>
            </w:r>
            <w:r/>
          </w:p>
        </w:tc>
        <w:tc>
          <w:tcPr>
            <w:tcW w:w="985" w:type="dxa"/>
            <w:vAlign w:val="center"/>
            <w:textDirection w:val="lrTb"/>
            <w:noWrap w:val="false"/>
          </w:tcPr>
          <w:p>
            <w:pPr>
              <w:ind w:left="92" w:right="93" w:firstLine="2"/>
              <w:jc w:val="center"/>
              <w:spacing w:before="91" w:line="302" w:lineRule="auto"/>
              <w:rPr>
                <w:rFonts w:ascii="宋体" w:hAnsi="宋体" w:cs="宋体"/>
                <w:color w:val="000000"/>
                <w:spacing w:val="-7"/>
                <w:sz w:val="24"/>
                <w:highlight w:val="none"/>
              </w:rPr>
            </w:pPr>
            <w:r>
              <w:rPr>
                <w:rFonts w:ascii="宋体" w:hAnsi="宋体" w:cs="宋体"/>
                <w:color w:val="000000"/>
                <w:spacing w:val="-7"/>
                <w:sz w:val="24"/>
                <w:highlight w:val="none"/>
              </w:rPr>
              <w:t xml:space="preserve">供应</w:t>
            </w:r>
            <w:r/>
          </w:p>
          <w:p>
            <w:pPr>
              <w:ind w:left="92" w:right="93" w:firstLine="2"/>
              <w:jc w:val="center"/>
              <w:spacing w:before="91" w:line="302" w:lineRule="auto"/>
              <w:rPr>
                <w:rFonts w:ascii="宋体" w:hAnsi="宋体" w:cs="宋体"/>
                <w:color w:val="000000"/>
                <w:spacing w:val="-7"/>
                <w:sz w:val="24"/>
                <w:highlight w:val="none"/>
              </w:rPr>
            </w:pPr>
            <w:r>
              <w:rPr>
                <w:rFonts w:ascii="宋体" w:hAnsi="宋体" w:cs="宋体"/>
                <w:color w:val="000000"/>
                <w:spacing w:val="-7"/>
                <w:sz w:val="24"/>
                <w:highlight w:val="none"/>
              </w:rPr>
              <w:t xml:space="preserve">时间</w:t>
            </w:r>
            <w:r/>
          </w:p>
        </w:tc>
        <w:tc>
          <w:tcPr>
            <w:tcW w:w="873" w:type="dxa"/>
            <w:vAlign w:val="center"/>
            <w:textDirection w:val="lrTb"/>
            <w:noWrap w:val="false"/>
          </w:tcPr>
          <w:p>
            <w:pPr>
              <w:ind w:left="92" w:right="93" w:firstLine="2"/>
              <w:jc w:val="center"/>
              <w:spacing w:before="91" w:line="302" w:lineRule="auto"/>
              <w:rPr>
                <w:rFonts w:ascii="宋体" w:hAnsi="宋体" w:cs="宋体"/>
                <w:color w:val="000000"/>
                <w:spacing w:val="-7"/>
                <w:sz w:val="24"/>
                <w:highlight w:val="none"/>
              </w:rPr>
            </w:pPr>
            <w:r>
              <w:rPr>
                <w:rFonts w:ascii="宋体" w:hAnsi="宋体" w:cs="宋体"/>
                <w:color w:val="000000"/>
                <w:spacing w:val="-7"/>
                <w:sz w:val="24"/>
                <w:highlight w:val="none"/>
              </w:rPr>
              <w:t xml:space="preserve">送达 地点</w:t>
            </w:r>
            <w:r/>
          </w:p>
        </w:tc>
        <w:tc>
          <w:tcPr>
            <w:tcW w:w="687" w:type="dxa"/>
            <w:vAlign w:val="center"/>
            <w:textDirection w:val="tbRlV"/>
            <w:noWrap w:val="false"/>
          </w:tcPr>
          <w:p>
            <w:pPr>
              <w:ind w:left="92" w:right="93" w:firstLine="2"/>
              <w:jc w:val="center"/>
              <w:spacing w:before="91" w:line="302" w:lineRule="auto"/>
              <w:rPr>
                <w:rFonts w:ascii="宋体" w:hAnsi="宋体" w:cs="宋体"/>
                <w:color w:val="000000"/>
                <w:spacing w:val="-7"/>
                <w:sz w:val="24"/>
                <w:highlight w:val="none"/>
              </w:rPr>
            </w:pPr>
            <w:r>
              <w:rPr>
                <w:rFonts w:ascii="宋体" w:hAnsi="宋体" w:cs="宋体"/>
                <w:color w:val="000000"/>
                <w:spacing w:val="-7"/>
                <w:sz w:val="24"/>
                <w:highlight w:val="none"/>
              </w:rPr>
              <w:t xml:space="preserve">备 注</w:t>
            </w:r>
            <w:r/>
          </w:p>
        </w:tc>
      </w:tr>
      <w:tr>
        <w:trPr>
          <w:trHeight w:val="606"/>
        </w:trPr>
        <w:tc>
          <w:tcPr>
            <w:tcW w:w="863" w:type="dxa"/>
            <w:vAlign w:val="top"/>
            <w:textDirection w:val="lrTb"/>
            <w:noWrap w:val="false"/>
          </w:tcPr>
          <w:p>
            <w:pPr>
              <w:rPr>
                <w:color w:val="000000"/>
                <w:highlight w:val="none"/>
              </w:rPr>
            </w:pPr>
            <w:r>
              <w:rPr>
                <w:color w:val="000000"/>
                <w:highlight w:val="none"/>
              </w:rPr>
            </w:r>
            <w:r/>
          </w:p>
        </w:tc>
        <w:tc>
          <w:tcPr>
            <w:tcW w:w="1272" w:type="dxa"/>
            <w:vAlign w:val="top"/>
            <w:textDirection w:val="lrTb"/>
            <w:noWrap w:val="false"/>
          </w:tcPr>
          <w:p>
            <w:pPr>
              <w:rPr>
                <w:color w:val="000000"/>
                <w:highlight w:val="none"/>
              </w:rPr>
            </w:pPr>
            <w:r>
              <w:rPr>
                <w:color w:val="000000"/>
                <w:highlight w:val="none"/>
              </w:rPr>
            </w:r>
            <w:r/>
          </w:p>
        </w:tc>
        <w:tc>
          <w:tcPr>
            <w:tcW w:w="864" w:type="dxa"/>
            <w:vAlign w:val="top"/>
            <w:textDirection w:val="lrTb"/>
            <w:noWrap w:val="false"/>
          </w:tcPr>
          <w:p>
            <w:pPr>
              <w:rPr>
                <w:color w:val="000000"/>
                <w:highlight w:val="none"/>
              </w:rPr>
            </w:pPr>
            <w:r>
              <w:rPr>
                <w:color w:val="000000"/>
                <w:highlight w:val="none"/>
              </w:rPr>
            </w:r>
            <w:r/>
          </w:p>
        </w:tc>
        <w:tc>
          <w:tcPr>
            <w:tcW w:w="899" w:type="dxa"/>
            <w:vAlign w:val="top"/>
            <w:textDirection w:val="lrTb"/>
            <w:noWrap w:val="false"/>
          </w:tcPr>
          <w:p>
            <w:pPr>
              <w:rPr>
                <w:color w:val="000000"/>
                <w:highlight w:val="none"/>
              </w:rPr>
            </w:pPr>
            <w:r>
              <w:rPr>
                <w:color w:val="000000"/>
                <w:highlight w:val="none"/>
              </w:rPr>
            </w:r>
            <w:r/>
          </w:p>
        </w:tc>
        <w:tc>
          <w:tcPr>
            <w:tcW w:w="723" w:type="dxa"/>
            <w:vAlign w:val="top"/>
            <w:textDirection w:val="lrTb"/>
            <w:noWrap w:val="false"/>
          </w:tcPr>
          <w:p>
            <w:pPr>
              <w:rPr>
                <w:color w:val="000000"/>
                <w:highlight w:val="none"/>
              </w:rPr>
            </w:pPr>
            <w:r>
              <w:rPr>
                <w:color w:val="000000"/>
                <w:highlight w:val="none"/>
              </w:rPr>
            </w:r>
            <w:r/>
          </w:p>
        </w:tc>
        <w:tc>
          <w:tcPr>
            <w:tcW w:w="108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985" w:type="dxa"/>
            <w:vAlign w:val="top"/>
            <w:textDirection w:val="lrTb"/>
            <w:noWrap w:val="false"/>
          </w:tcPr>
          <w:p>
            <w:pPr>
              <w:rPr>
                <w:color w:val="000000"/>
                <w:highlight w:val="none"/>
              </w:rPr>
            </w:pPr>
            <w:r>
              <w:rPr>
                <w:color w:val="000000"/>
                <w:highlight w:val="none"/>
              </w:rPr>
            </w:r>
            <w:r/>
          </w:p>
        </w:tc>
        <w:tc>
          <w:tcPr>
            <w:tcW w:w="873" w:type="dxa"/>
            <w:vAlign w:val="top"/>
            <w:textDirection w:val="lrTb"/>
            <w:noWrap w:val="false"/>
          </w:tcPr>
          <w:p>
            <w:pPr>
              <w:rPr>
                <w:color w:val="000000"/>
                <w:highlight w:val="none"/>
              </w:rPr>
            </w:pPr>
            <w:r>
              <w:rPr>
                <w:color w:val="000000"/>
                <w:highlight w:val="none"/>
              </w:rPr>
            </w:r>
            <w:r/>
          </w:p>
        </w:tc>
        <w:tc>
          <w:tcPr>
            <w:tcW w:w="687" w:type="dxa"/>
            <w:vAlign w:val="top"/>
            <w:textDirection w:val="lrTb"/>
            <w:noWrap w:val="false"/>
          </w:tcPr>
          <w:p>
            <w:pPr>
              <w:rPr>
                <w:color w:val="000000"/>
                <w:highlight w:val="none"/>
              </w:rPr>
            </w:pPr>
            <w:r>
              <w:rPr>
                <w:color w:val="000000"/>
                <w:highlight w:val="none"/>
              </w:rPr>
            </w:r>
            <w:r/>
          </w:p>
        </w:tc>
      </w:tr>
      <w:tr>
        <w:trPr>
          <w:trHeight w:val="577"/>
        </w:trPr>
        <w:tc>
          <w:tcPr>
            <w:tcW w:w="863" w:type="dxa"/>
            <w:vAlign w:val="top"/>
            <w:textDirection w:val="lrTb"/>
            <w:noWrap w:val="false"/>
          </w:tcPr>
          <w:p>
            <w:pPr>
              <w:rPr>
                <w:color w:val="000000"/>
                <w:highlight w:val="none"/>
              </w:rPr>
            </w:pPr>
            <w:r>
              <w:rPr>
                <w:color w:val="000000"/>
                <w:highlight w:val="none"/>
              </w:rPr>
            </w:r>
            <w:r/>
          </w:p>
        </w:tc>
        <w:tc>
          <w:tcPr>
            <w:tcW w:w="1272" w:type="dxa"/>
            <w:vAlign w:val="top"/>
            <w:textDirection w:val="lrTb"/>
            <w:noWrap w:val="false"/>
          </w:tcPr>
          <w:p>
            <w:pPr>
              <w:rPr>
                <w:color w:val="000000"/>
                <w:highlight w:val="none"/>
              </w:rPr>
            </w:pPr>
            <w:r>
              <w:rPr>
                <w:color w:val="000000"/>
                <w:highlight w:val="none"/>
              </w:rPr>
            </w:r>
            <w:r/>
          </w:p>
        </w:tc>
        <w:tc>
          <w:tcPr>
            <w:tcW w:w="864" w:type="dxa"/>
            <w:vAlign w:val="top"/>
            <w:textDirection w:val="lrTb"/>
            <w:noWrap w:val="false"/>
          </w:tcPr>
          <w:p>
            <w:pPr>
              <w:rPr>
                <w:color w:val="000000"/>
                <w:highlight w:val="none"/>
              </w:rPr>
            </w:pPr>
            <w:r>
              <w:rPr>
                <w:color w:val="000000"/>
                <w:highlight w:val="none"/>
              </w:rPr>
            </w:r>
            <w:r/>
          </w:p>
        </w:tc>
        <w:tc>
          <w:tcPr>
            <w:tcW w:w="899" w:type="dxa"/>
            <w:vAlign w:val="top"/>
            <w:textDirection w:val="lrTb"/>
            <w:noWrap w:val="false"/>
          </w:tcPr>
          <w:p>
            <w:pPr>
              <w:rPr>
                <w:color w:val="000000"/>
                <w:highlight w:val="none"/>
              </w:rPr>
            </w:pPr>
            <w:r>
              <w:rPr>
                <w:color w:val="000000"/>
                <w:highlight w:val="none"/>
              </w:rPr>
            </w:r>
            <w:r/>
          </w:p>
        </w:tc>
        <w:tc>
          <w:tcPr>
            <w:tcW w:w="723" w:type="dxa"/>
            <w:vAlign w:val="top"/>
            <w:textDirection w:val="lrTb"/>
            <w:noWrap w:val="false"/>
          </w:tcPr>
          <w:p>
            <w:pPr>
              <w:rPr>
                <w:color w:val="000000"/>
                <w:highlight w:val="none"/>
              </w:rPr>
            </w:pPr>
            <w:r>
              <w:rPr>
                <w:color w:val="000000"/>
                <w:highlight w:val="none"/>
              </w:rPr>
            </w:r>
            <w:r/>
          </w:p>
        </w:tc>
        <w:tc>
          <w:tcPr>
            <w:tcW w:w="108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985" w:type="dxa"/>
            <w:vAlign w:val="top"/>
            <w:textDirection w:val="lrTb"/>
            <w:noWrap w:val="false"/>
          </w:tcPr>
          <w:p>
            <w:pPr>
              <w:rPr>
                <w:color w:val="000000"/>
                <w:highlight w:val="none"/>
              </w:rPr>
            </w:pPr>
            <w:r>
              <w:rPr>
                <w:color w:val="000000"/>
                <w:highlight w:val="none"/>
              </w:rPr>
            </w:r>
            <w:r/>
          </w:p>
        </w:tc>
        <w:tc>
          <w:tcPr>
            <w:tcW w:w="873" w:type="dxa"/>
            <w:vAlign w:val="top"/>
            <w:textDirection w:val="lrTb"/>
            <w:noWrap w:val="false"/>
          </w:tcPr>
          <w:p>
            <w:pPr>
              <w:rPr>
                <w:color w:val="000000"/>
                <w:highlight w:val="none"/>
              </w:rPr>
            </w:pPr>
            <w:r>
              <w:rPr>
                <w:color w:val="000000"/>
                <w:highlight w:val="none"/>
              </w:rPr>
            </w:r>
            <w:r/>
          </w:p>
        </w:tc>
        <w:tc>
          <w:tcPr>
            <w:tcW w:w="687" w:type="dxa"/>
            <w:vAlign w:val="top"/>
            <w:textDirection w:val="lrTb"/>
            <w:noWrap w:val="false"/>
          </w:tcPr>
          <w:p>
            <w:pPr>
              <w:rPr>
                <w:color w:val="000000"/>
                <w:highlight w:val="none"/>
              </w:rPr>
            </w:pPr>
            <w:r>
              <w:rPr>
                <w:color w:val="000000"/>
                <w:highlight w:val="none"/>
              </w:rPr>
            </w:r>
            <w:r/>
          </w:p>
        </w:tc>
      </w:tr>
      <w:tr>
        <w:trPr>
          <w:trHeight w:val="577"/>
        </w:trPr>
        <w:tc>
          <w:tcPr>
            <w:tcW w:w="863" w:type="dxa"/>
            <w:vAlign w:val="top"/>
            <w:textDirection w:val="lrTb"/>
            <w:noWrap w:val="false"/>
          </w:tcPr>
          <w:p>
            <w:pPr>
              <w:rPr>
                <w:color w:val="000000"/>
                <w:highlight w:val="none"/>
              </w:rPr>
            </w:pPr>
            <w:r>
              <w:rPr>
                <w:color w:val="000000"/>
                <w:highlight w:val="none"/>
              </w:rPr>
            </w:r>
            <w:r/>
          </w:p>
        </w:tc>
        <w:tc>
          <w:tcPr>
            <w:tcW w:w="1272" w:type="dxa"/>
            <w:vAlign w:val="top"/>
            <w:textDirection w:val="lrTb"/>
            <w:noWrap w:val="false"/>
          </w:tcPr>
          <w:p>
            <w:pPr>
              <w:rPr>
                <w:color w:val="000000"/>
                <w:highlight w:val="none"/>
              </w:rPr>
            </w:pPr>
            <w:r>
              <w:rPr>
                <w:color w:val="000000"/>
                <w:highlight w:val="none"/>
              </w:rPr>
            </w:r>
            <w:r/>
          </w:p>
        </w:tc>
        <w:tc>
          <w:tcPr>
            <w:tcW w:w="864" w:type="dxa"/>
            <w:vAlign w:val="top"/>
            <w:textDirection w:val="lrTb"/>
            <w:noWrap w:val="false"/>
          </w:tcPr>
          <w:p>
            <w:pPr>
              <w:rPr>
                <w:color w:val="000000"/>
                <w:highlight w:val="none"/>
              </w:rPr>
            </w:pPr>
            <w:r>
              <w:rPr>
                <w:color w:val="000000"/>
                <w:highlight w:val="none"/>
              </w:rPr>
            </w:r>
            <w:r/>
          </w:p>
        </w:tc>
        <w:tc>
          <w:tcPr>
            <w:tcW w:w="899" w:type="dxa"/>
            <w:vAlign w:val="top"/>
            <w:textDirection w:val="lrTb"/>
            <w:noWrap w:val="false"/>
          </w:tcPr>
          <w:p>
            <w:pPr>
              <w:rPr>
                <w:color w:val="000000"/>
                <w:highlight w:val="none"/>
              </w:rPr>
            </w:pPr>
            <w:r>
              <w:rPr>
                <w:color w:val="000000"/>
                <w:highlight w:val="none"/>
              </w:rPr>
            </w:r>
            <w:r/>
          </w:p>
        </w:tc>
        <w:tc>
          <w:tcPr>
            <w:tcW w:w="723" w:type="dxa"/>
            <w:vAlign w:val="top"/>
            <w:textDirection w:val="lrTb"/>
            <w:noWrap w:val="false"/>
          </w:tcPr>
          <w:p>
            <w:pPr>
              <w:rPr>
                <w:color w:val="000000"/>
                <w:highlight w:val="none"/>
              </w:rPr>
            </w:pPr>
            <w:r>
              <w:rPr>
                <w:color w:val="000000"/>
                <w:highlight w:val="none"/>
              </w:rPr>
            </w:r>
            <w:r/>
          </w:p>
        </w:tc>
        <w:tc>
          <w:tcPr>
            <w:tcW w:w="108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985" w:type="dxa"/>
            <w:vAlign w:val="top"/>
            <w:textDirection w:val="lrTb"/>
            <w:noWrap w:val="false"/>
          </w:tcPr>
          <w:p>
            <w:pPr>
              <w:rPr>
                <w:color w:val="000000"/>
                <w:highlight w:val="none"/>
              </w:rPr>
            </w:pPr>
            <w:r>
              <w:rPr>
                <w:color w:val="000000"/>
                <w:highlight w:val="none"/>
              </w:rPr>
            </w:r>
            <w:r/>
          </w:p>
        </w:tc>
        <w:tc>
          <w:tcPr>
            <w:tcW w:w="873" w:type="dxa"/>
            <w:vAlign w:val="top"/>
            <w:textDirection w:val="lrTb"/>
            <w:noWrap w:val="false"/>
          </w:tcPr>
          <w:p>
            <w:pPr>
              <w:rPr>
                <w:color w:val="000000"/>
                <w:highlight w:val="none"/>
              </w:rPr>
            </w:pPr>
            <w:r>
              <w:rPr>
                <w:color w:val="000000"/>
                <w:highlight w:val="none"/>
              </w:rPr>
            </w:r>
            <w:r/>
          </w:p>
        </w:tc>
        <w:tc>
          <w:tcPr>
            <w:tcW w:w="687" w:type="dxa"/>
            <w:vAlign w:val="top"/>
            <w:textDirection w:val="lrTb"/>
            <w:noWrap w:val="false"/>
          </w:tcPr>
          <w:p>
            <w:pPr>
              <w:rPr>
                <w:color w:val="000000"/>
                <w:highlight w:val="none"/>
              </w:rPr>
            </w:pPr>
            <w:r>
              <w:rPr>
                <w:color w:val="000000"/>
                <w:highlight w:val="none"/>
              </w:rPr>
            </w:r>
            <w:r/>
          </w:p>
        </w:tc>
      </w:tr>
      <w:tr>
        <w:trPr>
          <w:trHeight w:val="577"/>
        </w:trPr>
        <w:tc>
          <w:tcPr>
            <w:tcW w:w="863" w:type="dxa"/>
            <w:vAlign w:val="top"/>
            <w:textDirection w:val="lrTb"/>
            <w:noWrap w:val="false"/>
          </w:tcPr>
          <w:p>
            <w:pPr>
              <w:rPr>
                <w:color w:val="000000"/>
                <w:highlight w:val="none"/>
              </w:rPr>
            </w:pPr>
            <w:r>
              <w:rPr>
                <w:color w:val="000000"/>
                <w:highlight w:val="none"/>
              </w:rPr>
            </w:r>
            <w:r/>
          </w:p>
        </w:tc>
        <w:tc>
          <w:tcPr>
            <w:tcW w:w="1272" w:type="dxa"/>
            <w:vAlign w:val="top"/>
            <w:textDirection w:val="lrTb"/>
            <w:noWrap w:val="false"/>
          </w:tcPr>
          <w:p>
            <w:pPr>
              <w:rPr>
                <w:color w:val="000000"/>
                <w:highlight w:val="none"/>
              </w:rPr>
            </w:pPr>
            <w:r>
              <w:rPr>
                <w:color w:val="000000"/>
                <w:highlight w:val="none"/>
              </w:rPr>
            </w:r>
            <w:r/>
          </w:p>
        </w:tc>
        <w:tc>
          <w:tcPr>
            <w:tcW w:w="864" w:type="dxa"/>
            <w:vAlign w:val="top"/>
            <w:textDirection w:val="lrTb"/>
            <w:noWrap w:val="false"/>
          </w:tcPr>
          <w:p>
            <w:pPr>
              <w:rPr>
                <w:color w:val="000000"/>
                <w:highlight w:val="none"/>
              </w:rPr>
            </w:pPr>
            <w:r>
              <w:rPr>
                <w:color w:val="000000"/>
                <w:highlight w:val="none"/>
              </w:rPr>
            </w:r>
            <w:r/>
          </w:p>
        </w:tc>
        <w:tc>
          <w:tcPr>
            <w:tcW w:w="899" w:type="dxa"/>
            <w:vAlign w:val="top"/>
            <w:textDirection w:val="lrTb"/>
            <w:noWrap w:val="false"/>
          </w:tcPr>
          <w:p>
            <w:pPr>
              <w:rPr>
                <w:color w:val="000000"/>
                <w:highlight w:val="none"/>
              </w:rPr>
            </w:pPr>
            <w:r>
              <w:rPr>
                <w:color w:val="000000"/>
                <w:highlight w:val="none"/>
              </w:rPr>
            </w:r>
            <w:r/>
          </w:p>
        </w:tc>
        <w:tc>
          <w:tcPr>
            <w:tcW w:w="723" w:type="dxa"/>
            <w:vAlign w:val="top"/>
            <w:textDirection w:val="lrTb"/>
            <w:noWrap w:val="false"/>
          </w:tcPr>
          <w:p>
            <w:pPr>
              <w:rPr>
                <w:color w:val="000000"/>
                <w:highlight w:val="none"/>
              </w:rPr>
            </w:pPr>
            <w:r>
              <w:rPr>
                <w:color w:val="000000"/>
                <w:highlight w:val="none"/>
              </w:rPr>
            </w:r>
            <w:r/>
          </w:p>
        </w:tc>
        <w:tc>
          <w:tcPr>
            <w:tcW w:w="108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985" w:type="dxa"/>
            <w:vAlign w:val="top"/>
            <w:textDirection w:val="lrTb"/>
            <w:noWrap w:val="false"/>
          </w:tcPr>
          <w:p>
            <w:pPr>
              <w:rPr>
                <w:color w:val="000000"/>
                <w:highlight w:val="none"/>
              </w:rPr>
            </w:pPr>
            <w:r>
              <w:rPr>
                <w:color w:val="000000"/>
                <w:highlight w:val="none"/>
              </w:rPr>
            </w:r>
            <w:r/>
          </w:p>
        </w:tc>
        <w:tc>
          <w:tcPr>
            <w:tcW w:w="873" w:type="dxa"/>
            <w:vAlign w:val="top"/>
            <w:textDirection w:val="lrTb"/>
            <w:noWrap w:val="false"/>
          </w:tcPr>
          <w:p>
            <w:pPr>
              <w:rPr>
                <w:color w:val="000000"/>
                <w:highlight w:val="none"/>
              </w:rPr>
            </w:pPr>
            <w:r>
              <w:rPr>
                <w:color w:val="000000"/>
                <w:highlight w:val="none"/>
              </w:rPr>
            </w:r>
            <w:r/>
          </w:p>
        </w:tc>
        <w:tc>
          <w:tcPr>
            <w:tcW w:w="687" w:type="dxa"/>
            <w:vAlign w:val="top"/>
            <w:textDirection w:val="lrTb"/>
            <w:noWrap w:val="false"/>
          </w:tcPr>
          <w:p>
            <w:pPr>
              <w:rPr>
                <w:color w:val="000000"/>
                <w:highlight w:val="none"/>
              </w:rPr>
            </w:pPr>
            <w:r>
              <w:rPr>
                <w:color w:val="000000"/>
                <w:highlight w:val="none"/>
              </w:rPr>
            </w:r>
            <w:r/>
          </w:p>
        </w:tc>
      </w:tr>
      <w:tr>
        <w:trPr>
          <w:trHeight w:val="577"/>
        </w:trPr>
        <w:tc>
          <w:tcPr>
            <w:tcW w:w="863" w:type="dxa"/>
            <w:vAlign w:val="top"/>
            <w:textDirection w:val="lrTb"/>
            <w:noWrap w:val="false"/>
          </w:tcPr>
          <w:p>
            <w:pPr>
              <w:rPr>
                <w:color w:val="000000"/>
                <w:highlight w:val="none"/>
              </w:rPr>
            </w:pPr>
            <w:r>
              <w:rPr>
                <w:color w:val="000000"/>
                <w:highlight w:val="none"/>
              </w:rPr>
            </w:r>
            <w:r/>
          </w:p>
        </w:tc>
        <w:tc>
          <w:tcPr>
            <w:tcW w:w="1272" w:type="dxa"/>
            <w:vAlign w:val="top"/>
            <w:textDirection w:val="lrTb"/>
            <w:noWrap w:val="false"/>
          </w:tcPr>
          <w:p>
            <w:pPr>
              <w:rPr>
                <w:color w:val="000000"/>
                <w:highlight w:val="none"/>
              </w:rPr>
            </w:pPr>
            <w:r>
              <w:rPr>
                <w:color w:val="000000"/>
                <w:highlight w:val="none"/>
              </w:rPr>
            </w:r>
            <w:r/>
          </w:p>
        </w:tc>
        <w:tc>
          <w:tcPr>
            <w:tcW w:w="864" w:type="dxa"/>
            <w:vAlign w:val="top"/>
            <w:textDirection w:val="lrTb"/>
            <w:noWrap w:val="false"/>
          </w:tcPr>
          <w:p>
            <w:pPr>
              <w:rPr>
                <w:color w:val="000000"/>
                <w:highlight w:val="none"/>
              </w:rPr>
            </w:pPr>
            <w:r>
              <w:rPr>
                <w:color w:val="000000"/>
                <w:highlight w:val="none"/>
              </w:rPr>
            </w:r>
            <w:r/>
          </w:p>
        </w:tc>
        <w:tc>
          <w:tcPr>
            <w:tcW w:w="899" w:type="dxa"/>
            <w:vAlign w:val="top"/>
            <w:textDirection w:val="lrTb"/>
            <w:noWrap w:val="false"/>
          </w:tcPr>
          <w:p>
            <w:pPr>
              <w:rPr>
                <w:color w:val="000000"/>
                <w:highlight w:val="none"/>
              </w:rPr>
            </w:pPr>
            <w:r>
              <w:rPr>
                <w:color w:val="000000"/>
                <w:highlight w:val="none"/>
              </w:rPr>
            </w:r>
            <w:r/>
          </w:p>
        </w:tc>
        <w:tc>
          <w:tcPr>
            <w:tcW w:w="723" w:type="dxa"/>
            <w:vAlign w:val="top"/>
            <w:textDirection w:val="lrTb"/>
            <w:noWrap w:val="false"/>
          </w:tcPr>
          <w:p>
            <w:pPr>
              <w:rPr>
                <w:color w:val="000000"/>
                <w:highlight w:val="none"/>
              </w:rPr>
            </w:pPr>
            <w:r>
              <w:rPr>
                <w:color w:val="000000"/>
                <w:highlight w:val="none"/>
              </w:rPr>
            </w:r>
            <w:r/>
          </w:p>
        </w:tc>
        <w:tc>
          <w:tcPr>
            <w:tcW w:w="108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985" w:type="dxa"/>
            <w:vAlign w:val="top"/>
            <w:textDirection w:val="lrTb"/>
            <w:noWrap w:val="false"/>
          </w:tcPr>
          <w:p>
            <w:pPr>
              <w:rPr>
                <w:color w:val="000000"/>
                <w:highlight w:val="none"/>
              </w:rPr>
            </w:pPr>
            <w:r>
              <w:rPr>
                <w:color w:val="000000"/>
                <w:highlight w:val="none"/>
              </w:rPr>
            </w:r>
            <w:r/>
          </w:p>
        </w:tc>
        <w:tc>
          <w:tcPr>
            <w:tcW w:w="873" w:type="dxa"/>
            <w:vAlign w:val="top"/>
            <w:textDirection w:val="lrTb"/>
            <w:noWrap w:val="false"/>
          </w:tcPr>
          <w:p>
            <w:pPr>
              <w:rPr>
                <w:color w:val="000000"/>
                <w:highlight w:val="none"/>
              </w:rPr>
            </w:pPr>
            <w:r>
              <w:rPr>
                <w:color w:val="000000"/>
                <w:highlight w:val="none"/>
              </w:rPr>
            </w:r>
            <w:r/>
          </w:p>
        </w:tc>
        <w:tc>
          <w:tcPr>
            <w:tcW w:w="687" w:type="dxa"/>
            <w:vAlign w:val="top"/>
            <w:textDirection w:val="lrTb"/>
            <w:noWrap w:val="false"/>
          </w:tcPr>
          <w:p>
            <w:pPr>
              <w:rPr>
                <w:color w:val="000000"/>
                <w:highlight w:val="none"/>
              </w:rPr>
            </w:pPr>
            <w:r>
              <w:rPr>
                <w:color w:val="000000"/>
                <w:highlight w:val="none"/>
              </w:rPr>
            </w:r>
            <w:r/>
          </w:p>
        </w:tc>
      </w:tr>
      <w:tr>
        <w:trPr>
          <w:trHeight w:val="577"/>
        </w:trPr>
        <w:tc>
          <w:tcPr>
            <w:tcW w:w="863" w:type="dxa"/>
            <w:vAlign w:val="top"/>
            <w:textDirection w:val="lrTb"/>
            <w:noWrap w:val="false"/>
          </w:tcPr>
          <w:p>
            <w:pPr>
              <w:rPr>
                <w:color w:val="000000"/>
                <w:highlight w:val="none"/>
              </w:rPr>
            </w:pPr>
            <w:r>
              <w:rPr>
                <w:color w:val="000000"/>
                <w:highlight w:val="none"/>
              </w:rPr>
            </w:r>
            <w:r/>
          </w:p>
        </w:tc>
        <w:tc>
          <w:tcPr>
            <w:tcW w:w="1272" w:type="dxa"/>
            <w:vAlign w:val="top"/>
            <w:textDirection w:val="lrTb"/>
            <w:noWrap w:val="false"/>
          </w:tcPr>
          <w:p>
            <w:pPr>
              <w:rPr>
                <w:color w:val="000000"/>
                <w:highlight w:val="none"/>
              </w:rPr>
            </w:pPr>
            <w:r>
              <w:rPr>
                <w:color w:val="000000"/>
                <w:highlight w:val="none"/>
              </w:rPr>
            </w:r>
            <w:r/>
          </w:p>
        </w:tc>
        <w:tc>
          <w:tcPr>
            <w:tcW w:w="864" w:type="dxa"/>
            <w:vAlign w:val="top"/>
            <w:textDirection w:val="lrTb"/>
            <w:noWrap w:val="false"/>
          </w:tcPr>
          <w:p>
            <w:pPr>
              <w:rPr>
                <w:color w:val="000000"/>
                <w:highlight w:val="none"/>
              </w:rPr>
            </w:pPr>
            <w:r>
              <w:rPr>
                <w:color w:val="000000"/>
                <w:highlight w:val="none"/>
              </w:rPr>
            </w:r>
            <w:r/>
          </w:p>
        </w:tc>
        <w:tc>
          <w:tcPr>
            <w:tcW w:w="899" w:type="dxa"/>
            <w:vAlign w:val="top"/>
            <w:textDirection w:val="lrTb"/>
            <w:noWrap w:val="false"/>
          </w:tcPr>
          <w:p>
            <w:pPr>
              <w:rPr>
                <w:color w:val="000000"/>
                <w:highlight w:val="none"/>
              </w:rPr>
            </w:pPr>
            <w:r>
              <w:rPr>
                <w:color w:val="000000"/>
                <w:highlight w:val="none"/>
              </w:rPr>
            </w:r>
            <w:r/>
          </w:p>
        </w:tc>
        <w:tc>
          <w:tcPr>
            <w:tcW w:w="723" w:type="dxa"/>
            <w:vAlign w:val="top"/>
            <w:textDirection w:val="lrTb"/>
            <w:noWrap w:val="false"/>
          </w:tcPr>
          <w:p>
            <w:pPr>
              <w:rPr>
                <w:color w:val="000000"/>
                <w:highlight w:val="none"/>
              </w:rPr>
            </w:pPr>
            <w:r>
              <w:rPr>
                <w:color w:val="000000"/>
                <w:highlight w:val="none"/>
              </w:rPr>
            </w:r>
            <w:r/>
          </w:p>
        </w:tc>
        <w:tc>
          <w:tcPr>
            <w:tcW w:w="108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985" w:type="dxa"/>
            <w:vAlign w:val="top"/>
            <w:textDirection w:val="lrTb"/>
            <w:noWrap w:val="false"/>
          </w:tcPr>
          <w:p>
            <w:pPr>
              <w:rPr>
                <w:color w:val="000000"/>
                <w:highlight w:val="none"/>
              </w:rPr>
            </w:pPr>
            <w:r>
              <w:rPr>
                <w:color w:val="000000"/>
                <w:highlight w:val="none"/>
              </w:rPr>
            </w:r>
            <w:r/>
          </w:p>
        </w:tc>
        <w:tc>
          <w:tcPr>
            <w:tcW w:w="873" w:type="dxa"/>
            <w:vAlign w:val="top"/>
            <w:textDirection w:val="lrTb"/>
            <w:noWrap w:val="false"/>
          </w:tcPr>
          <w:p>
            <w:pPr>
              <w:rPr>
                <w:color w:val="000000"/>
                <w:highlight w:val="none"/>
              </w:rPr>
            </w:pPr>
            <w:r>
              <w:rPr>
                <w:color w:val="000000"/>
                <w:highlight w:val="none"/>
              </w:rPr>
            </w:r>
            <w:r/>
          </w:p>
        </w:tc>
        <w:tc>
          <w:tcPr>
            <w:tcW w:w="687" w:type="dxa"/>
            <w:vAlign w:val="top"/>
            <w:textDirection w:val="lrTb"/>
            <w:noWrap w:val="false"/>
          </w:tcPr>
          <w:p>
            <w:pPr>
              <w:rPr>
                <w:color w:val="000000"/>
                <w:highlight w:val="none"/>
              </w:rPr>
            </w:pPr>
            <w:r>
              <w:rPr>
                <w:color w:val="000000"/>
                <w:highlight w:val="none"/>
              </w:rPr>
            </w:r>
            <w:r/>
          </w:p>
        </w:tc>
      </w:tr>
      <w:tr>
        <w:trPr>
          <w:trHeight w:val="577"/>
        </w:trPr>
        <w:tc>
          <w:tcPr>
            <w:tcW w:w="863" w:type="dxa"/>
            <w:vAlign w:val="top"/>
            <w:textDirection w:val="lrTb"/>
            <w:noWrap w:val="false"/>
          </w:tcPr>
          <w:p>
            <w:pPr>
              <w:rPr>
                <w:color w:val="000000"/>
                <w:highlight w:val="none"/>
              </w:rPr>
            </w:pPr>
            <w:r>
              <w:rPr>
                <w:color w:val="000000"/>
                <w:highlight w:val="none"/>
              </w:rPr>
            </w:r>
            <w:r/>
          </w:p>
        </w:tc>
        <w:tc>
          <w:tcPr>
            <w:tcW w:w="1272" w:type="dxa"/>
            <w:vAlign w:val="top"/>
            <w:textDirection w:val="lrTb"/>
            <w:noWrap w:val="false"/>
          </w:tcPr>
          <w:p>
            <w:pPr>
              <w:rPr>
                <w:color w:val="000000"/>
                <w:highlight w:val="none"/>
              </w:rPr>
            </w:pPr>
            <w:r>
              <w:rPr>
                <w:color w:val="000000"/>
                <w:highlight w:val="none"/>
              </w:rPr>
            </w:r>
            <w:r/>
          </w:p>
        </w:tc>
        <w:tc>
          <w:tcPr>
            <w:tcW w:w="864" w:type="dxa"/>
            <w:vAlign w:val="top"/>
            <w:textDirection w:val="lrTb"/>
            <w:noWrap w:val="false"/>
          </w:tcPr>
          <w:p>
            <w:pPr>
              <w:rPr>
                <w:color w:val="000000"/>
                <w:highlight w:val="none"/>
              </w:rPr>
            </w:pPr>
            <w:r>
              <w:rPr>
                <w:color w:val="000000"/>
                <w:highlight w:val="none"/>
              </w:rPr>
            </w:r>
            <w:r/>
          </w:p>
        </w:tc>
        <w:tc>
          <w:tcPr>
            <w:tcW w:w="899" w:type="dxa"/>
            <w:vAlign w:val="top"/>
            <w:textDirection w:val="lrTb"/>
            <w:noWrap w:val="false"/>
          </w:tcPr>
          <w:p>
            <w:pPr>
              <w:rPr>
                <w:color w:val="000000"/>
                <w:highlight w:val="none"/>
              </w:rPr>
            </w:pPr>
            <w:r>
              <w:rPr>
                <w:color w:val="000000"/>
                <w:highlight w:val="none"/>
              </w:rPr>
            </w:r>
            <w:r/>
          </w:p>
        </w:tc>
        <w:tc>
          <w:tcPr>
            <w:tcW w:w="723" w:type="dxa"/>
            <w:vAlign w:val="top"/>
            <w:textDirection w:val="lrTb"/>
            <w:noWrap w:val="false"/>
          </w:tcPr>
          <w:p>
            <w:pPr>
              <w:rPr>
                <w:color w:val="000000"/>
                <w:highlight w:val="none"/>
              </w:rPr>
            </w:pPr>
            <w:r>
              <w:rPr>
                <w:color w:val="000000"/>
                <w:highlight w:val="none"/>
              </w:rPr>
            </w:r>
            <w:r/>
          </w:p>
        </w:tc>
        <w:tc>
          <w:tcPr>
            <w:tcW w:w="108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985" w:type="dxa"/>
            <w:vAlign w:val="top"/>
            <w:textDirection w:val="lrTb"/>
            <w:noWrap w:val="false"/>
          </w:tcPr>
          <w:p>
            <w:pPr>
              <w:rPr>
                <w:color w:val="000000"/>
                <w:highlight w:val="none"/>
              </w:rPr>
            </w:pPr>
            <w:r>
              <w:rPr>
                <w:color w:val="000000"/>
                <w:highlight w:val="none"/>
              </w:rPr>
            </w:r>
            <w:r/>
          </w:p>
        </w:tc>
        <w:tc>
          <w:tcPr>
            <w:tcW w:w="873" w:type="dxa"/>
            <w:vAlign w:val="top"/>
            <w:textDirection w:val="lrTb"/>
            <w:noWrap w:val="false"/>
          </w:tcPr>
          <w:p>
            <w:pPr>
              <w:rPr>
                <w:color w:val="000000"/>
                <w:highlight w:val="none"/>
              </w:rPr>
            </w:pPr>
            <w:r>
              <w:rPr>
                <w:color w:val="000000"/>
                <w:highlight w:val="none"/>
              </w:rPr>
            </w:r>
            <w:r/>
          </w:p>
        </w:tc>
        <w:tc>
          <w:tcPr>
            <w:tcW w:w="687" w:type="dxa"/>
            <w:vAlign w:val="top"/>
            <w:textDirection w:val="lrTb"/>
            <w:noWrap w:val="false"/>
          </w:tcPr>
          <w:p>
            <w:pPr>
              <w:rPr>
                <w:color w:val="000000"/>
                <w:highlight w:val="none"/>
              </w:rPr>
            </w:pPr>
            <w:r>
              <w:rPr>
                <w:color w:val="000000"/>
                <w:highlight w:val="none"/>
              </w:rPr>
            </w:r>
            <w:r/>
          </w:p>
        </w:tc>
      </w:tr>
      <w:tr>
        <w:trPr>
          <w:trHeight w:val="577"/>
        </w:trPr>
        <w:tc>
          <w:tcPr>
            <w:tcW w:w="863" w:type="dxa"/>
            <w:vAlign w:val="top"/>
            <w:textDirection w:val="lrTb"/>
            <w:noWrap w:val="false"/>
          </w:tcPr>
          <w:p>
            <w:pPr>
              <w:rPr>
                <w:color w:val="000000"/>
                <w:highlight w:val="none"/>
              </w:rPr>
            </w:pPr>
            <w:r>
              <w:rPr>
                <w:color w:val="000000"/>
                <w:highlight w:val="none"/>
              </w:rPr>
            </w:r>
            <w:r/>
          </w:p>
        </w:tc>
        <w:tc>
          <w:tcPr>
            <w:tcW w:w="1272" w:type="dxa"/>
            <w:vAlign w:val="top"/>
            <w:textDirection w:val="lrTb"/>
            <w:noWrap w:val="false"/>
          </w:tcPr>
          <w:p>
            <w:pPr>
              <w:rPr>
                <w:color w:val="000000"/>
                <w:highlight w:val="none"/>
              </w:rPr>
            </w:pPr>
            <w:r>
              <w:rPr>
                <w:color w:val="000000"/>
                <w:highlight w:val="none"/>
              </w:rPr>
            </w:r>
            <w:r/>
          </w:p>
        </w:tc>
        <w:tc>
          <w:tcPr>
            <w:tcW w:w="864" w:type="dxa"/>
            <w:vAlign w:val="top"/>
            <w:textDirection w:val="lrTb"/>
            <w:noWrap w:val="false"/>
          </w:tcPr>
          <w:p>
            <w:pPr>
              <w:rPr>
                <w:color w:val="000000"/>
                <w:highlight w:val="none"/>
              </w:rPr>
            </w:pPr>
            <w:r>
              <w:rPr>
                <w:color w:val="000000"/>
                <w:highlight w:val="none"/>
              </w:rPr>
            </w:r>
            <w:r/>
          </w:p>
        </w:tc>
        <w:tc>
          <w:tcPr>
            <w:tcW w:w="899" w:type="dxa"/>
            <w:vAlign w:val="top"/>
            <w:textDirection w:val="lrTb"/>
            <w:noWrap w:val="false"/>
          </w:tcPr>
          <w:p>
            <w:pPr>
              <w:rPr>
                <w:color w:val="000000"/>
                <w:highlight w:val="none"/>
              </w:rPr>
            </w:pPr>
            <w:r>
              <w:rPr>
                <w:color w:val="000000"/>
                <w:highlight w:val="none"/>
              </w:rPr>
            </w:r>
            <w:r/>
          </w:p>
        </w:tc>
        <w:tc>
          <w:tcPr>
            <w:tcW w:w="723" w:type="dxa"/>
            <w:vAlign w:val="top"/>
            <w:textDirection w:val="lrTb"/>
            <w:noWrap w:val="false"/>
          </w:tcPr>
          <w:p>
            <w:pPr>
              <w:rPr>
                <w:color w:val="000000"/>
                <w:highlight w:val="none"/>
              </w:rPr>
            </w:pPr>
            <w:r>
              <w:rPr>
                <w:color w:val="000000"/>
                <w:highlight w:val="none"/>
              </w:rPr>
            </w:r>
            <w:r/>
          </w:p>
        </w:tc>
        <w:tc>
          <w:tcPr>
            <w:tcW w:w="108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985" w:type="dxa"/>
            <w:vAlign w:val="top"/>
            <w:textDirection w:val="lrTb"/>
            <w:noWrap w:val="false"/>
          </w:tcPr>
          <w:p>
            <w:pPr>
              <w:rPr>
                <w:color w:val="000000"/>
                <w:highlight w:val="none"/>
              </w:rPr>
            </w:pPr>
            <w:r>
              <w:rPr>
                <w:color w:val="000000"/>
                <w:highlight w:val="none"/>
              </w:rPr>
            </w:r>
            <w:r/>
          </w:p>
        </w:tc>
        <w:tc>
          <w:tcPr>
            <w:tcW w:w="873" w:type="dxa"/>
            <w:vAlign w:val="top"/>
            <w:textDirection w:val="lrTb"/>
            <w:noWrap w:val="false"/>
          </w:tcPr>
          <w:p>
            <w:pPr>
              <w:rPr>
                <w:color w:val="000000"/>
                <w:highlight w:val="none"/>
              </w:rPr>
            </w:pPr>
            <w:r>
              <w:rPr>
                <w:color w:val="000000"/>
                <w:highlight w:val="none"/>
              </w:rPr>
            </w:r>
            <w:r/>
          </w:p>
        </w:tc>
        <w:tc>
          <w:tcPr>
            <w:tcW w:w="687" w:type="dxa"/>
            <w:vAlign w:val="top"/>
            <w:textDirection w:val="lrTb"/>
            <w:noWrap w:val="false"/>
          </w:tcPr>
          <w:p>
            <w:pPr>
              <w:rPr>
                <w:color w:val="000000"/>
                <w:highlight w:val="none"/>
              </w:rPr>
            </w:pPr>
            <w:r>
              <w:rPr>
                <w:color w:val="000000"/>
                <w:highlight w:val="none"/>
              </w:rPr>
            </w:r>
            <w:r/>
          </w:p>
        </w:tc>
      </w:tr>
      <w:tr>
        <w:trPr>
          <w:trHeight w:val="593"/>
        </w:trPr>
        <w:tc>
          <w:tcPr>
            <w:tcW w:w="863" w:type="dxa"/>
            <w:vAlign w:val="top"/>
            <w:textDirection w:val="lrTb"/>
            <w:noWrap w:val="false"/>
          </w:tcPr>
          <w:p>
            <w:pPr>
              <w:rPr>
                <w:color w:val="000000"/>
                <w:highlight w:val="none"/>
              </w:rPr>
            </w:pPr>
            <w:r>
              <w:rPr>
                <w:color w:val="000000"/>
                <w:highlight w:val="none"/>
              </w:rPr>
            </w:r>
            <w:r/>
          </w:p>
        </w:tc>
        <w:tc>
          <w:tcPr>
            <w:tcW w:w="1272" w:type="dxa"/>
            <w:vAlign w:val="top"/>
            <w:textDirection w:val="lrTb"/>
            <w:noWrap w:val="false"/>
          </w:tcPr>
          <w:p>
            <w:pPr>
              <w:rPr>
                <w:color w:val="000000"/>
                <w:highlight w:val="none"/>
              </w:rPr>
            </w:pPr>
            <w:r>
              <w:rPr>
                <w:color w:val="000000"/>
                <w:highlight w:val="none"/>
              </w:rPr>
            </w:r>
            <w:r/>
          </w:p>
        </w:tc>
        <w:tc>
          <w:tcPr>
            <w:tcW w:w="864" w:type="dxa"/>
            <w:vAlign w:val="top"/>
            <w:textDirection w:val="lrTb"/>
            <w:noWrap w:val="false"/>
          </w:tcPr>
          <w:p>
            <w:pPr>
              <w:rPr>
                <w:color w:val="000000"/>
                <w:highlight w:val="none"/>
              </w:rPr>
            </w:pPr>
            <w:r>
              <w:rPr>
                <w:color w:val="000000"/>
                <w:highlight w:val="none"/>
              </w:rPr>
            </w:r>
            <w:r/>
          </w:p>
        </w:tc>
        <w:tc>
          <w:tcPr>
            <w:tcW w:w="899" w:type="dxa"/>
            <w:vAlign w:val="top"/>
            <w:textDirection w:val="lrTb"/>
            <w:noWrap w:val="false"/>
          </w:tcPr>
          <w:p>
            <w:pPr>
              <w:rPr>
                <w:color w:val="000000"/>
                <w:highlight w:val="none"/>
              </w:rPr>
            </w:pPr>
            <w:r>
              <w:rPr>
                <w:color w:val="000000"/>
                <w:highlight w:val="none"/>
              </w:rPr>
            </w:r>
            <w:r/>
          </w:p>
        </w:tc>
        <w:tc>
          <w:tcPr>
            <w:tcW w:w="723" w:type="dxa"/>
            <w:vAlign w:val="top"/>
            <w:textDirection w:val="lrTb"/>
            <w:noWrap w:val="false"/>
          </w:tcPr>
          <w:p>
            <w:pPr>
              <w:rPr>
                <w:color w:val="000000"/>
                <w:highlight w:val="none"/>
              </w:rPr>
            </w:pPr>
            <w:r>
              <w:rPr>
                <w:color w:val="000000"/>
                <w:highlight w:val="none"/>
              </w:rPr>
            </w:r>
            <w:r/>
          </w:p>
        </w:tc>
        <w:tc>
          <w:tcPr>
            <w:tcW w:w="108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985" w:type="dxa"/>
            <w:vAlign w:val="top"/>
            <w:textDirection w:val="lrTb"/>
            <w:noWrap w:val="false"/>
          </w:tcPr>
          <w:p>
            <w:pPr>
              <w:rPr>
                <w:color w:val="000000"/>
                <w:highlight w:val="none"/>
              </w:rPr>
            </w:pPr>
            <w:r>
              <w:rPr>
                <w:color w:val="000000"/>
                <w:highlight w:val="none"/>
              </w:rPr>
            </w:r>
            <w:r/>
          </w:p>
        </w:tc>
        <w:tc>
          <w:tcPr>
            <w:tcW w:w="873" w:type="dxa"/>
            <w:vAlign w:val="top"/>
            <w:textDirection w:val="lrTb"/>
            <w:noWrap w:val="false"/>
          </w:tcPr>
          <w:p>
            <w:pPr>
              <w:rPr>
                <w:color w:val="000000"/>
                <w:highlight w:val="none"/>
              </w:rPr>
            </w:pPr>
            <w:r>
              <w:rPr>
                <w:color w:val="000000"/>
                <w:highlight w:val="none"/>
              </w:rPr>
            </w:r>
            <w:r/>
          </w:p>
        </w:tc>
        <w:tc>
          <w:tcPr>
            <w:tcW w:w="687" w:type="dxa"/>
            <w:vAlign w:val="top"/>
            <w:textDirection w:val="lrTb"/>
            <w:noWrap w:val="false"/>
          </w:tcPr>
          <w:p>
            <w:pPr>
              <w:rPr>
                <w:color w:val="000000"/>
                <w:highlight w:val="none"/>
              </w:rPr>
            </w:pPr>
            <w:r>
              <w:rPr>
                <w:color w:val="000000"/>
                <w:highlight w:val="none"/>
              </w:rPr>
            </w:r>
            <w:r/>
          </w:p>
        </w:tc>
      </w:tr>
      <w:tr>
        <w:trPr>
          <w:trHeight w:val="577"/>
        </w:trPr>
        <w:tc>
          <w:tcPr>
            <w:tcW w:w="863" w:type="dxa"/>
            <w:vAlign w:val="top"/>
            <w:textDirection w:val="lrTb"/>
            <w:noWrap w:val="false"/>
          </w:tcPr>
          <w:p>
            <w:pPr>
              <w:rPr>
                <w:color w:val="000000"/>
                <w:highlight w:val="none"/>
              </w:rPr>
            </w:pPr>
            <w:r>
              <w:rPr>
                <w:color w:val="000000"/>
                <w:highlight w:val="none"/>
              </w:rPr>
            </w:r>
            <w:r/>
          </w:p>
        </w:tc>
        <w:tc>
          <w:tcPr>
            <w:tcW w:w="1272" w:type="dxa"/>
            <w:vAlign w:val="top"/>
            <w:textDirection w:val="lrTb"/>
            <w:noWrap w:val="false"/>
          </w:tcPr>
          <w:p>
            <w:pPr>
              <w:rPr>
                <w:color w:val="000000"/>
                <w:highlight w:val="none"/>
              </w:rPr>
            </w:pPr>
            <w:r>
              <w:rPr>
                <w:color w:val="000000"/>
                <w:highlight w:val="none"/>
              </w:rPr>
            </w:r>
            <w:r/>
          </w:p>
        </w:tc>
        <w:tc>
          <w:tcPr>
            <w:tcW w:w="864" w:type="dxa"/>
            <w:vAlign w:val="top"/>
            <w:textDirection w:val="lrTb"/>
            <w:noWrap w:val="false"/>
          </w:tcPr>
          <w:p>
            <w:pPr>
              <w:rPr>
                <w:color w:val="000000"/>
                <w:highlight w:val="none"/>
              </w:rPr>
            </w:pPr>
            <w:r>
              <w:rPr>
                <w:color w:val="000000"/>
                <w:highlight w:val="none"/>
              </w:rPr>
            </w:r>
            <w:r/>
          </w:p>
        </w:tc>
        <w:tc>
          <w:tcPr>
            <w:tcW w:w="899" w:type="dxa"/>
            <w:vAlign w:val="top"/>
            <w:textDirection w:val="lrTb"/>
            <w:noWrap w:val="false"/>
          </w:tcPr>
          <w:p>
            <w:pPr>
              <w:rPr>
                <w:color w:val="000000"/>
                <w:highlight w:val="none"/>
              </w:rPr>
            </w:pPr>
            <w:r>
              <w:rPr>
                <w:color w:val="000000"/>
                <w:highlight w:val="none"/>
              </w:rPr>
            </w:r>
            <w:r/>
          </w:p>
        </w:tc>
        <w:tc>
          <w:tcPr>
            <w:tcW w:w="723" w:type="dxa"/>
            <w:vAlign w:val="top"/>
            <w:textDirection w:val="lrTb"/>
            <w:noWrap w:val="false"/>
          </w:tcPr>
          <w:p>
            <w:pPr>
              <w:rPr>
                <w:color w:val="000000"/>
                <w:highlight w:val="none"/>
              </w:rPr>
            </w:pPr>
            <w:r>
              <w:rPr>
                <w:color w:val="000000"/>
                <w:highlight w:val="none"/>
              </w:rPr>
            </w:r>
            <w:r/>
          </w:p>
        </w:tc>
        <w:tc>
          <w:tcPr>
            <w:tcW w:w="108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985" w:type="dxa"/>
            <w:vAlign w:val="top"/>
            <w:textDirection w:val="lrTb"/>
            <w:noWrap w:val="false"/>
          </w:tcPr>
          <w:p>
            <w:pPr>
              <w:rPr>
                <w:color w:val="000000"/>
                <w:highlight w:val="none"/>
              </w:rPr>
            </w:pPr>
            <w:r>
              <w:rPr>
                <w:color w:val="000000"/>
                <w:highlight w:val="none"/>
              </w:rPr>
            </w:r>
            <w:r/>
          </w:p>
        </w:tc>
        <w:tc>
          <w:tcPr>
            <w:tcW w:w="873" w:type="dxa"/>
            <w:vAlign w:val="top"/>
            <w:textDirection w:val="lrTb"/>
            <w:noWrap w:val="false"/>
          </w:tcPr>
          <w:p>
            <w:pPr>
              <w:rPr>
                <w:color w:val="000000"/>
                <w:highlight w:val="none"/>
              </w:rPr>
            </w:pPr>
            <w:r>
              <w:rPr>
                <w:color w:val="000000"/>
                <w:highlight w:val="none"/>
              </w:rPr>
            </w:r>
            <w:r/>
          </w:p>
        </w:tc>
        <w:tc>
          <w:tcPr>
            <w:tcW w:w="687" w:type="dxa"/>
            <w:vAlign w:val="top"/>
            <w:textDirection w:val="lrTb"/>
            <w:noWrap w:val="false"/>
          </w:tcPr>
          <w:p>
            <w:pPr>
              <w:rPr>
                <w:color w:val="000000"/>
                <w:highlight w:val="none"/>
              </w:rPr>
            </w:pPr>
            <w:r>
              <w:rPr>
                <w:color w:val="000000"/>
                <w:highlight w:val="none"/>
              </w:rPr>
            </w:r>
            <w:r/>
          </w:p>
        </w:tc>
      </w:tr>
      <w:tr>
        <w:trPr>
          <w:trHeight w:val="594"/>
        </w:trPr>
        <w:tc>
          <w:tcPr>
            <w:tcW w:w="863" w:type="dxa"/>
            <w:vAlign w:val="top"/>
            <w:textDirection w:val="lrTb"/>
            <w:noWrap w:val="false"/>
          </w:tcPr>
          <w:p>
            <w:pPr>
              <w:rPr>
                <w:color w:val="000000"/>
                <w:highlight w:val="none"/>
              </w:rPr>
            </w:pPr>
            <w:r>
              <w:rPr>
                <w:color w:val="000000"/>
                <w:highlight w:val="none"/>
              </w:rPr>
            </w:r>
            <w:r/>
          </w:p>
        </w:tc>
        <w:tc>
          <w:tcPr>
            <w:tcW w:w="1272" w:type="dxa"/>
            <w:vAlign w:val="top"/>
            <w:textDirection w:val="lrTb"/>
            <w:noWrap w:val="false"/>
          </w:tcPr>
          <w:p>
            <w:pPr>
              <w:rPr>
                <w:color w:val="000000"/>
                <w:highlight w:val="none"/>
              </w:rPr>
            </w:pPr>
            <w:r>
              <w:rPr>
                <w:color w:val="000000"/>
                <w:highlight w:val="none"/>
              </w:rPr>
            </w:r>
            <w:r/>
          </w:p>
        </w:tc>
        <w:tc>
          <w:tcPr>
            <w:tcW w:w="864" w:type="dxa"/>
            <w:vAlign w:val="top"/>
            <w:textDirection w:val="lrTb"/>
            <w:noWrap w:val="false"/>
          </w:tcPr>
          <w:p>
            <w:pPr>
              <w:rPr>
                <w:color w:val="000000"/>
                <w:highlight w:val="none"/>
              </w:rPr>
            </w:pPr>
            <w:r>
              <w:rPr>
                <w:color w:val="000000"/>
                <w:highlight w:val="none"/>
              </w:rPr>
            </w:r>
            <w:r/>
          </w:p>
        </w:tc>
        <w:tc>
          <w:tcPr>
            <w:tcW w:w="899" w:type="dxa"/>
            <w:vAlign w:val="top"/>
            <w:textDirection w:val="lrTb"/>
            <w:noWrap w:val="false"/>
          </w:tcPr>
          <w:p>
            <w:pPr>
              <w:rPr>
                <w:color w:val="000000"/>
                <w:highlight w:val="none"/>
              </w:rPr>
            </w:pPr>
            <w:r>
              <w:rPr>
                <w:color w:val="000000"/>
                <w:highlight w:val="none"/>
              </w:rPr>
            </w:r>
            <w:r/>
          </w:p>
        </w:tc>
        <w:tc>
          <w:tcPr>
            <w:tcW w:w="723" w:type="dxa"/>
            <w:vAlign w:val="top"/>
            <w:textDirection w:val="lrTb"/>
            <w:noWrap w:val="false"/>
          </w:tcPr>
          <w:p>
            <w:pPr>
              <w:rPr>
                <w:color w:val="000000"/>
                <w:highlight w:val="none"/>
              </w:rPr>
            </w:pPr>
            <w:r>
              <w:rPr>
                <w:color w:val="000000"/>
                <w:highlight w:val="none"/>
              </w:rPr>
            </w:r>
            <w:r/>
          </w:p>
        </w:tc>
        <w:tc>
          <w:tcPr>
            <w:tcW w:w="108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985" w:type="dxa"/>
            <w:vAlign w:val="top"/>
            <w:textDirection w:val="lrTb"/>
            <w:noWrap w:val="false"/>
          </w:tcPr>
          <w:p>
            <w:pPr>
              <w:rPr>
                <w:color w:val="000000"/>
                <w:highlight w:val="none"/>
              </w:rPr>
            </w:pPr>
            <w:r>
              <w:rPr>
                <w:color w:val="000000"/>
                <w:highlight w:val="none"/>
              </w:rPr>
            </w:r>
            <w:r/>
          </w:p>
        </w:tc>
        <w:tc>
          <w:tcPr>
            <w:tcW w:w="873" w:type="dxa"/>
            <w:vAlign w:val="top"/>
            <w:textDirection w:val="lrTb"/>
            <w:noWrap w:val="false"/>
          </w:tcPr>
          <w:p>
            <w:pPr>
              <w:rPr>
                <w:color w:val="000000"/>
                <w:highlight w:val="none"/>
              </w:rPr>
            </w:pPr>
            <w:r>
              <w:rPr>
                <w:color w:val="000000"/>
                <w:highlight w:val="none"/>
              </w:rPr>
            </w:r>
            <w:r/>
          </w:p>
        </w:tc>
        <w:tc>
          <w:tcPr>
            <w:tcW w:w="687" w:type="dxa"/>
            <w:vAlign w:val="top"/>
            <w:textDirection w:val="lrTb"/>
            <w:noWrap w:val="false"/>
          </w:tcPr>
          <w:p>
            <w:pPr>
              <w:rPr>
                <w:color w:val="000000"/>
                <w:highlight w:val="none"/>
              </w:rPr>
            </w:pPr>
            <w:r>
              <w:rPr>
                <w:color w:val="000000"/>
                <w:highlight w:val="none"/>
              </w:rPr>
            </w:r>
            <w:r/>
          </w:p>
        </w:tc>
      </w:tr>
      <w:tr>
        <w:trPr>
          <w:trHeight w:val="593"/>
        </w:trPr>
        <w:tc>
          <w:tcPr>
            <w:tcW w:w="863" w:type="dxa"/>
            <w:vAlign w:val="top"/>
            <w:textDirection w:val="lrTb"/>
            <w:noWrap w:val="false"/>
          </w:tcPr>
          <w:p>
            <w:pPr>
              <w:rPr>
                <w:color w:val="000000"/>
                <w:highlight w:val="none"/>
              </w:rPr>
            </w:pPr>
            <w:r>
              <w:rPr>
                <w:color w:val="000000"/>
                <w:highlight w:val="none"/>
              </w:rPr>
            </w:r>
            <w:r/>
          </w:p>
        </w:tc>
        <w:tc>
          <w:tcPr>
            <w:tcW w:w="1272" w:type="dxa"/>
            <w:vAlign w:val="top"/>
            <w:textDirection w:val="lrTb"/>
            <w:noWrap w:val="false"/>
          </w:tcPr>
          <w:p>
            <w:pPr>
              <w:rPr>
                <w:color w:val="000000"/>
                <w:highlight w:val="none"/>
              </w:rPr>
            </w:pPr>
            <w:r>
              <w:rPr>
                <w:color w:val="000000"/>
                <w:highlight w:val="none"/>
              </w:rPr>
            </w:r>
            <w:r/>
          </w:p>
        </w:tc>
        <w:tc>
          <w:tcPr>
            <w:tcW w:w="864" w:type="dxa"/>
            <w:vAlign w:val="top"/>
            <w:textDirection w:val="lrTb"/>
            <w:noWrap w:val="false"/>
          </w:tcPr>
          <w:p>
            <w:pPr>
              <w:rPr>
                <w:color w:val="000000"/>
                <w:highlight w:val="none"/>
              </w:rPr>
            </w:pPr>
            <w:r>
              <w:rPr>
                <w:color w:val="000000"/>
                <w:highlight w:val="none"/>
              </w:rPr>
            </w:r>
            <w:r/>
          </w:p>
        </w:tc>
        <w:tc>
          <w:tcPr>
            <w:tcW w:w="899" w:type="dxa"/>
            <w:vAlign w:val="top"/>
            <w:textDirection w:val="lrTb"/>
            <w:noWrap w:val="false"/>
          </w:tcPr>
          <w:p>
            <w:pPr>
              <w:rPr>
                <w:color w:val="000000"/>
                <w:highlight w:val="none"/>
              </w:rPr>
            </w:pPr>
            <w:r>
              <w:rPr>
                <w:color w:val="000000"/>
                <w:highlight w:val="none"/>
              </w:rPr>
            </w:r>
            <w:r/>
          </w:p>
        </w:tc>
        <w:tc>
          <w:tcPr>
            <w:tcW w:w="723" w:type="dxa"/>
            <w:vAlign w:val="top"/>
            <w:textDirection w:val="lrTb"/>
            <w:noWrap w:val="false"/>
          </w:tcPr>
          <w:p>
            <w:pPr>
              <w:rPr>
                <w:color w:val="000000"/>
                <w:highlight w:val="none"/>
              </w:rPr>
            </w:pPr>
            <w:r>
              <w:rPr>
                <w:color w:val="000000"/>
                <w:highlight w:val="none"/>
              </w:rPr>
            </w:r>
            <w:r/>
          </w:p>
        </w:tc>
        <w:tc>
          <w:tcPr>
            <w:tcW w:w="108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985" w:type="dxa"/>
            <w:vAlign w:val="top"/>
            <w:textDirection w:val="lrTb"/>
            <w:noWrap w:val="false"/>
          </w:tcPr>
          <w:p>
            <w:pPr>
              <w:rPr>
                <w:color w:val="000000"/>
                <w:highlight w:val="none"/>
              </w:rPr>
            </w:pPr>
            <w:r>
              <w:rPr>
                <w:color w:val="000000"/>
                <w:highlight w:val="none"/>
              </w:rPr>
            </w:r>
            <w:r/>
          </w:p>
        </w:tc>
        <w:tc>
          <w:tcPr>
            <w:tcW w:w="873" w:type="dxa"/>
            <w:vAlign w:val="top"/>
            <w:textDirection w:val="lrTb"/>
            <w:noWrap w:val="false"/>
          </w:tcPr>
          <w:p>
            <w:pPr>
              <w:rPr>
                <w:color w:val="000000"/>
                <w:highlight w:val="none"/>
              </w:rPr>
            </w:pPr>
            <w:r>
              <w:rPr>
                <w:color w:val="000000"/>
                <w:highlight w:val="none"/>
              </w:rPr>
            </w:r>
            <w:r/>
          </w:p>
        </w:tc>
        <w:tc>
          <w:tcPr>
            <w:tcW w:w="687" w:type="dxa"/>
            <w:vAlign w:val="top"/>
            <w:textDirection w:val="lrTb"/>
            <w:noWrap w:val="false"/>
          </w:tcPr>
          <w:p>
            <w:pPr>
              <w:rPr>
                <w:color w:val="000000"/>
                <w:highlight w:val="none"/>
              </w:rPr>
            </w:pPr>
            <w:r>
              <w:rPr>
                <w:color w:val="000000"/>
                <w:highlight w:val="none"/>
              </w:rPr>
            </w:r>
            <w:r/>
          </w:p>
        </w:tc>
      </w:tr>
      <w:tr>
        <w:trPr>
          <w:trHeight w:val="593"/>
        </w:trPr>
        <w:tc>
          <w:tcPr>
            <w:tcW w:w="863" w:type="dxa"/>
            <w:vAlign w:val="top"/>
            <w:textDirection w:val="lrTb"/>
            <w:noWrap w:val="false"/>
          </w:tcPr>
          <w:p>
            <w:pPr>
              <w:rPr>
                <w:color w:val="000000"/>
                <w:highlight w:val="none"/>
              </w:rPr>
            </w:pPr>
            <w:r>
              <w:rPr>
                <w:color w:val="000000"/>
                <w:highlight w:val="none"/>
              </w:rPr>
            </w:r>
            <w:r/>
          </w:p>
        </w:tc>
        <w:tc>
          <w:tcPr>
            <w:tcW w:w="1272" w:type="dxa"/>
            <w:vAlign w:val="top"/>
            <w:textDirection w:val="lrTb"/>
            <w:noWrap w:val="false"/>
          </w:tcPr>
          <w:p>
            <w:pPr>
              <w:rPr>
                <w:color w:val="000000"/>
                <w:highlight w:val="none"/>
              </w:rPr>
            </w:pPr>
            <w:r>
              <w:rPr>
                <w:color w:val="000000"/>
                <w:highlight w:val="none"/>
              </w:rPr>
            </w:r>
            <w:r/>
          </w:p>
        </w:tc>
        <w:tc>
          <w:tcPr>
            <w:tcW w:w="864" w:type="dxa"/>
            <w:vAlign w:val="top"/>
            <w:textDirection w:val="lrTb"/>
            <w:noWrap w:val="false"/>
          </w:tcPr>
          <w:p>
            <w:pPr>
              <w:rPr>
                <w:color w:val="000000"/>
                <w:highlight w:val="none"/>
              </w:rPr>
            </w:pPr>
            <w:r>
              <w:rPr>
                <w:color w:val="000000"/>
                <w:highlight w:val="none"/>
              </w:rPr>
            </w:r>
            <w:r/>
          </w:p>
        </w:tc>
        <w:tc>
          <w:tcPr>
            <w:tcW w:w="899" w:type="dxa"/>
            <w:vAlign w:val="top"/>
            <w:textDirection w:val="lrTb"/>
            <w:noWrap w:val="false"/>
          </w:tcPr>
          <w:p>
            <w:pPr>
              <w:rPr>
                <w:color w:val="000000"/>
                <w:highlight w:val="none"/>
              </w:rPr>
            </w:pPr>
            <w:r>
              <w:rPr>
                <w:color w:val="000000"/>
                <w:highlight w:val="none"/>
              </w:rPr>
            </w:r>
            <w:r/>
          </w:p>
        </w:tc>
        <w:tc>
          <w:tcPr>
            <w:tcW w:w="723" w:type="dxa"/>
            <w:vAlign w:val="top"/>
            <w:textDirection w:val="lrTb"/>
            <w:noWrap w:val="false"/>
          </w:tcPr>
          <w:p>
            <w:pPr>
              <w:rPr>
                <w:color w:val="000000"/>
                <w:highlight w:val="none"/>
              </w:rPr>
            </w:pPr>
            <w:r>
              <w:rPr>
                <w:color w:val="000000"/>
                <w:highlight w:val="none"/>
              </w:rPr>
            </w:r>
            <w:r/>
          </w:p>
        </w:tc>
        <w:tc>
          <w:tcPr>
            <w:tcW w:w="108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985" w:type="dxa"/>
            <w:vAlign w:val="top"/>
            <w:textDirection w:val="lrTb"/>
            <w:noWrap w:val="false"/>
          </w:tcPr>
          <w:p>
            <w:pPr>
              <w:rPr>
                <w:color w:val="000000"/>
                <w:highlight w:val="none"/>
              </w:rPr>
            </w:pPr>
            <w:r>
              <w:rPr>
                <w:color w:val="000000"/>
                <w:highlight w:val="none"/>
              </w:rPr>
            </w:r>
            <w:r/>
          </w:p>
        </w:tc>
        <w:tc>
          <w:tcPr>
            <w:tcW w:w="873" w:type="dxa"/>
            <w:vAlign w:val="top"/>
            <w:textDirection w:val="lrTb"/>
            <w:noWrap w:val="false"/>
          </w:tcPr>
          <w:p>
            <w:pPr>
              <w:rPr>
                <w:color w:val="000000"/>
                <w:highlight w:val="none"/>
              </w:rPr>
            </w:pPr>
            <w:r>
              <w:rPr>
                <w:color w:val="000000"/>
                <w:highlight w:val="none"/>
              </w:rPr>
            </w:r>
            <w:r/>
          </w:p>
        </w:tc>
        <w:tc>
          <w:tcPr>
            <w:tcW w:w="687" w:type="dxa"/>
            <w:vAlign w:val="top"/>
            <w:textDirection w:val="lrTb"/>
            <w:noWrap w:val="false"/>
          </w:tcPr>
          <w:p>
            <w:pPr>
              <w:rPr>
                <w:color w:val="000000"/>
                <w:highlight w:val="none"/>
              </w:rPr>
            </w:pPr>
            <w:r>
              <w:rPr>
                <w:color w:val="000000"/>
                <w:highlight w:val="none"/>
              </w:rPr>
            </w:r>
            <w:r/>
          </w:p>
        </w:tc>
      </w:tr>
      <w:tr>
        <w:trPr>
          <w:trHeight w:val="593"/>
        </w:trPr>
        <w:tc>
          <w:tcPr>
            <w:tcW w:w="863" w:type="dxa"/>
            <w:vAlign w:val="top"/>
            <w:textDirection w:val="lrTb"/>
            <w:noWrap w:val="false"/>
          </w:tcPr>
          <w:p>
            <w:pPr>
              <w:rPr>
                <w:color w:val="000000"/>
                <w:highlight w:val="none"/>
              </w:rPr>
            </w:pPr>
            <w:r>
              <w:rPr>
                <w:color w:val="000000"/>
                <w:highlight w:val="none"/>
              </w:rPr>
            </w:r>
            <w:r/>
          </w:p>
        </w:tc>
        <w:tc>
          <w:tcPr>
            <w:tcW w:w="1272" w:type="dxa"/>
            <w:vAlign w:val="top"/>
            <w:textDirection w:val="lrTb"/>
            <w:noWrap w:val="false"/>
          </w:tcPr>
          <w:p>
            <w:pPr>
              <w:rPr>
                <w:color w:val="000000"/>
                <w:highlight w:val="none"/>
              </w:rPr>
            </w:pPr>
            <w:r>
              <w:rPr>
                <w:color w:val="000000"/>
                <w:highlight w:val="none"/>
              </w:rPr>
            </w:r>
            <w:r/>
          </w:p>
        </w:tc>
        <w:tc>
          <w:tcPr>
            <w:tcW w:w="864" w:type="dxa"/>
            <w:vAlign w:val="top"/>
            <w:textDirection w:val="lrTb"/>
            <w:noWrap w:val="false"/>
          </w:tcPr>
          <w:p>
            <w:pPr>
              <w:rPr>
                <w:color w:val="000000"/>
                <w:highlight w:val="none"/>
              </w:rPr>
            </w:pPr>
            <w:r>
              <w:rPr>
                <w:color w:val="000000"/>
                <w:highlight w:val="none"/>
              </w:rPr>
            </w:r>
            <w:r/>
          </w:p>
        </w:tc>
        <w:tc>
          <w:tcPr>
            <w:tcW w:w="899" w:type="dxa"/>
            <w:vAlign w:val="top"/>
            <w:textDirection w:val="lrTb"/>
            <w:noWrap w:val="false"/>
          </w:tcPr>
          <w:p>
            <w:pPr>
              <w:rPr>
                <w:color w:val="000000"/>
                <w:highlight w:val="none"/>
              </w:rPr>
            </w:pPr>
            <w:r>
              <w:rPr>
                <w:color w:val="000000"/>
                <w:highlight w:val="none"/>
              </w:rPr>
            </w:r>
            <w:r/>
          </w:p>
        </w:tc>
        <w:tc>
          <w:tcPr>
            <w:tcW w:w="723" w:type="dxa"/>
            <w:vAlign w:val="top"/>
            <w:textDirection w:val="lrTb"/>
            <w:noWrap w:val="false"/>
          </w:tcPr>
          <w:p>
            <w:pPr>
              <w:rPr>
                <w:color w:val="000000"/>
                <w:highlight w:val="none"/>
              </w:rPr>
            </w:pPr>
            <w:r>
              <w:rPr>
                <w:color w:val="000000"/>
                <w:highlight w:val="none"/>
              </w:rPr>
            </w:r>
            <w:r/>
          </w:p>
        </w:tc>
        <w:tc>
          <w:tcPr>
            <w:tcW w:w="108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985" w:type="dxa"/>
            <w:vAlign w:val="top"/>
            <w:textDirection w:val="lrTb"/>
            <w:noWrap w:val="false"/>
          </w:tcPr>
          <w:p>
            <w:pPr>
              <w:rPr>
                <w:color w:val="000000"/>
                <w:highlight w:val="none"/>
              </w:rPr>
            </w:pPr>
            <w:r>
              <w:rPr>
                <w:color w:val="000000"/>
                <w:highlight w:val="none"/>
              </w:rPr>
            </w:r>
            <w:r/>
          </w:p>
        </w:tc>
        <w:tc>
          <w:tcPr>
            <w:tcW w:w="873" w:type="dxa"/>
            <w:vAlign w:val="top"/>
            <w:textDirection w:val="lrTb"/>
            <w:noWrap w:val="false"/>
          </w:tcPr>
          <w:p>
            <w:pPr>
              <w:rPr>
                <w:color w:val="000000"/>
                <w:highlight w:val="none"/>
              </w:rPr>
            </w:pPr>
            <w:r>
              <w:rPr>
                <w:color w:val="000000"/>
                <w:highlight w:val="none"/>
              </w:rPr>
            </w:r>
            <w:r/>
          </w:p>
        </w:tc>
        <w:tc>
          <w:tcPr>
            <w:tcW w:w="687" w:type="dxa"/>
            <w:vAlign w:val="top"/>
            <w:textDirection w:val="lrTb"/>
            <w:noWrap w:val="false"/>
          </w:tcPr>
          <w:p>
            <w:pPr>
              <w:rPr>
                <w:color w:val="000000"/>
                <w:highlight w:val="none"/>
              </w:rPr>
            </w:pPr>
            <w:r>
              <w:rPr>
                <w:color w:val="000000"/>
                <w:highlight w:val="none"/>
              </w:rPr>
            </w:r>
            <w:r/>
          </w:p>
        </w:tc>
      </w:tr>
      <w:tr>
        <w:trPr>
          <w:trHeight w:val="593"/>
        </w:trPr>
        <w:tc>
          <w:tcPr>
            <w:tcW w:w="863" w:type="dxa"/>
            <w:vAlign w:val="top"/>
            <w:textDirection w:val="lrTb"/>
            <w:noWrap w:val="false"/>
          </w:tcPr>
          <w:p>
            <w:pPr>
              <w:rPr>
                <w:color w:val="000000"/>
                <w:highlight w:val="none"/>
              </w:rPr>
            </w:pPr>
            <w:r>
              <w:rPr>
                <w:color w:val="000000"/>
                <w:highlight w:val="none"/>
              </w:rPr>
            </w:r>
            <w:r/>
          </w:p>
        </w:tc>
        <w:tc>
          <w:tcPr>
            <w:tcW w:w="1272" w:type="dxa"/>
            <w:vAlign w:val="top"/>
            <w:textDirection w:val="lrTb"/>
            <w:noWrap w:val="false"/>
          </w:tcPr>
          <w:p>
            <w:pPr>
              <w:rPr>
                <w:color w:val="000000"/>
                <w:highlight w:val="none"/>
              </w:rPr>
            </w:pPr>
            <w:r>
              <w:rPr>
                <w:color w:val="000000"/>
                <w:highlight w:val="none"/>
              </w:rPr>
            </w:r>
            <w:r/>
          </w:p>
        </w:tc>
        <w:tc>
          <w:tcPr>
            <w:tcW w:w="864" w:type="dxa"/>
            <w:vAlign w:val="top"/>
            <w:textDirection w:val="lrTb"/>
            <w:noWrap w:val="false"/>
          </w:tcPr>
          <w:p>
            <w:pPr>
              <w:rPr>
                <w:color w:val="000000"/>
                <w:highlight w:val="none"/>
              </w:rPr>
            </w:pPr>
            <w:r>
              <w:rPr>
                <w:color w:val="000000"/>
                <w:highlight w:val="none"/>
              </w:rPr>
            </w:r>
            <w:r/>
          </w:p>
        </w:tc>
        <w:tc>
          <w:tcPr>
            <w:tcW w:w="899" w:type="dxa"/>
            <w:vAlign w:val="top"/>
            <w:textDirection w:val="lrTb"/>
            <w:noWrap w:val="false"/>
          </w:tcPr>
          <w:p>
            <w:pPr>
              <w:rPr>
                <w:color w:val="000000"/>
                <w:highlight w:val="none"/>
              </w:rPr>
            </w:pPr>
            <w:r>
              <w:rPr>
                <w:color w:val="000000"/>
                <w:highlight w:val="none"/>
              </w:rPr>
            </w:r>
            <w:r/>
          </w:p>
        </w:tc>
        <w:tc>
          <w:tcPr>
            <w:tcW w:w="723" w:type="dxa"/>
            <w:vAlign w:val="top"/>
            <w:textDirection w:val="lrTb"/>
            <w:noWrap w:val="false"/>
          </w:tcPr>
          <w:p>
            <w:pPr>
              <w:rPr>
                <w:color w:val="000000"/>
                <w:highlight w:val="none"/>
              </w:rPr>
            </w:pPr>
            <w:r>
              <w:rPr>
                <w:color w:val="000000"/>
                <w:highlight w:val="none"/>
              </w:rPr>
            </w:r>
            <w:r/>
          </w:p>
        </w:tc>
        <w:tc>
          <w:tcPr>
            <w:tcW w:w="108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985" w:type="dxa"/>
            <w:vAlign w:val="top"/>
            <w:textDirection w:val="lrTb"/>
            <w:noWrap w:val="false"/>
          </w:tcPr>
          <w:p>
            <w:pPr>
              <w:rPr>
                <w:color w:val="000000"/>
                <w:highlight w:val="none"/>
              </w:rPr>
            </w:pPr>
            <w:r>
              <w:rPr>
                <w:color w:val="000000"/>
                <w:highlight w:val="none"/>
              </w:rPr>
            </w:r>
            <w:r/>
          </w:p>
        </w:tc>
        <w:tc>
          <w:tcPr>
            <w:tcW w:w="873" w:type="dxa"/>
            <w:vAlign w:val="top"/>
            <w:textDirection w:val="lrTb"/>
            <w:noWrap w:val="false"/>
          </w:tcPr>
          <w:p>
            <w:pPr>
              <w:rPr>
                <w:color w:val="000000"/>
                <w:highlight w:val="none"/>
              </w:rPr>
            </w:pPr>
            <w:r>
              <w:rPr>
                <w:color w:val="000000"/>
                <w:highlight w:val="none"/>
              </w:rPr>
            </w:r>
            <w:r/>
          </w:p>
        </w:tc>
        <w:tc>
          <w:tcPr>
            <w:tcW w:w="687" w:type="dxa"/>
            <w:vAlign w:val="top"/>
            <w:textDirection w:val="lrTb"/>
            <w:noWrap w:val="false"/>
          </w:tcPr>
          <w:p>
            <w:pPr>
              <w:rPr>
                <w:color w:val="000000"/>
                <w:highlight w:val="none"/>
              </w:rPr>
            </w:pPr>
            <w:r>
              <w:rPr>
                <w:color w:val="000000"/>
                <w:highlight w:val="none"/>
              </w:rPr>
            </w:r>
            <w:r/>
          </w:p>
        </w:tc>
      </w:tr>
    </w:tbl>
    <w:p>
      <w:pPr>
        <w:spacing w:before="35" w:line="225" w:lineRule="auto"/>
        <w:rPr>
          <w:rFonts w:ascii="宋体" w:hAnsi="宋体" w:eastAsia="宋体" w:cs="宋体"/>
          <w:b w:val="0"/>
          <w:bCs w:val="0"/>
          <w:color w:val="000000"/>
          <w:spacing w:val="15"/>
          <w:sz w:val="24"/>
          <w:szCs w:val="24"/>
          <w:highlight w:val="none"/>
          <w:lang w:val="en-US" w:eastAsia="zh-CN"/>
        </w:rPr>
      </w:pPr>
      <w:r>
        <w:rPr>
          <w:rFonts w:hint="eastAsia" w:ascii="宋体" w:hAnsi="宋体" w:cs="宋体"/>
          <w:color w:val="000000"/>
          <w:sz w:val="24"/>
          <w:szCs w:val="24"/>
          <w:highlight w:val="none"/>
        </w:rPr>
        <w:br w:type="page" w:clear="all"/>
      </w:r>
      <w:r>
        <w:rPr>
          <w:rFonts w:hint="eastAsia" w:ascii="宋体" w:hAnsi="宋体" w:cs="宋体"/>
          <w:b w:val="0"/>
          <w:bCs w:val="0"/>
          <w:color w:val="000000"/>
          <w:spacing w:val="15"/>
          <w:sz w:val="24"/>
          <w:szCs w:val="24"/>
          <w:highlight w:val="none"/>
          <w:lang w:val="en-US" w:eastAsia="zh-CN"/>
        </w:rPr>
        <w:t xml:space="preserve">附件2：</w:t>
      </w:r>
      <w:r/>
    </w:p>
    <w:p>
      <w:pPr>
        <w:ind w:left="2531"/>
        <w:spacing w:before="205" w:line="225" w:lineRule="auto"/>
        <w:rPr>
          <w:rFonts w:ascii="宋体" w:hAnsi="宋体" w:cs="宋体"/>
          <w:b/>
          <w:bCs/>
          <w:color w:val="000000"/>
          <w:sz w:val="24"/>
          <w:szCs w:val="24"/>
          <w:highlight w:val="none"/>
        </w:rPr>
      </w:pPr>
      <w:r>
        <w:rPr>
          <w:rFonts w:ascii="宋体" w:hAnsi="宋体" w:cs="宋体"/>
          <w:b/>
          <w:bCs/>
          <w:color w:val="000000"/>
          <w:spacing w:val="13"/>
          <w:sz w:val="24"/>
          <w:szCs w:val="24"/>
          <w:highlight w:val="none"/>
        </w:rPr>
        <w:t xml:space="preserve">承</w:t>
      </w:r>
      <w:r>
        <w:rPr>
          <w:rFonts w:ascii="宋体" w:hAnsi="宋体" w:cs="宋体"/>
          <w:b/>
          <w:bCs/>
          <w:color w:val="000000"/>
          <w:spacing w:val="9"/>
          <w:sz w:val="24"/>
          <w:szCs w:val="24"/>
          <w:highlight w:val="none"/>
        </w:rPr>
        <w:t xml:space="preserve">包人用于本工程施工的机械设备表</w:t>
      </w:r>
      <w:r/>
    </w:p>
    <w:p>
      <w:pPr>
        <w:spacing w:line="111" w:lineRule="exact"/>
        <w:rPr>
          <w:color w:val="000000"/>
          <w:highlight w:val="none"/>
        </w:rPr>
      </w:pPr>
      <w:r>
        <w:rPr>
          <w:color w:val="000000"/>
          <w:highlight w:val="none"/>
        </w:rPr>
      </w:r>
      <w:r/>
    </w:p>
    <w:tbl>
      <w:tblPr>
        <w:tblStyle w:val="1078"/>
        <w:tblW w:w="93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7"/>
        <w:gridCol w:w="1414"/>
        <w:gridCol w:w="848"/>
        <w:gridCol w:w="1055"/>
        <w:gridCol w:w="878"/>
        <w:gridCol w:w="1017"/>
        <w:gridCol w:w="1476"/>
        <w:gridCol w:w="1017"/>
        <w:gridCol w:w="933"/>
      </w:tblGrid>
      <w:tr>
        <w:trPr>
          <w:jc w:val="center"/>
          <w:trHeight w:val="1000"/>
        </w:trPr>
        <w:tc>
          <w:tcPr>
            <w:tcW w:w="707" w:type="dxa"/>
            <w:vAlign w:val="top"/>
            <w:textDirection w:val="lrTb"/>
            <w:noWrap w:val="false"/>
          </w:tcPr>
          <w:p>
            <w:pPr>
              <w:spacing w:line="263" w:lineRule="auto"/>
              <w:rPr>
                <w:color w:val="000000"/>
                <w:sz w:val="24"/>
                <w:highlight w:val="none"/>
              </w:rPr>
            </w:pPr>
            <w:r>
              <w:rPr>
                <w:color w:val="000000"/>
                <w:sz w:val="24"/>
                <w:highlight w:val="none"/>
              </w:rPr>
            </w:r>
            <w:r/>
          </w:p>
          <w:p>
            <w:pPr>
              <w:spacing w:before="91" w:line="221" w:lineRule="auto"/>
              <w:rPr>
                <w:rFonts w:ascii="宋体" w:hAnsi="宋体" w:cs="宋体"/>
                <w:color w:val="000000"/>
                <w:sz w:val="24"/>
                <w:highlight w:val="none"/>
              </w:rPr>
            </w:pPr>
            <w:r>
              <w:rPr>
                <w:rFonts w:ascii="宋体" w:hAnsi="宋体" w:cs="宋体"/>
                <w:color w:val="000000"/>
                <w:spacing w:val="-5"/>
                <w:sz w:val="24"/>
                <w:highlight w:val="none"/>
              </w:rPr>
              <w:t xml:space="preserve">序</w:t>
            </w:r>
            <w:r>
              <w:rPr>
                <w:rFonts w:ascii="宋体" w:hAnsi="宋体" w:cs="宋体"/>
                <w:color w:val="000000"/>
                <w:spacing w:val="-4"/>
                <w:sz w:val="24"/>
                <w:highlight w:val="none"/>
              </w:rPr>
              <w:t xml:space="preserve">号</w:t>
            </w:r>
            <w:r/>
          </w:p>
        </w:tc>
        <w:tc>
          <w:tcPr>
            <w:tcW w:w="1414" w:type="dxa"/>
            <w:vAlign w:val="top"/>
            <w:textDirection w:val="lrTb"/>
            <w:noWrap w:val="false"/>
          </w:tcPr>
          <w:p>
            <w:pPr>
              <w:ind w:left="288" w:right="149" w:hanging="146"/>
              <w:spacing w:before="138" w:line="284" w:lineRule="auto"/>
              <w:rPr>
                <w:rFonts w:ascii="宋体" w:hAnsi="宋体" w:cs="宋体"/>
                <w:color w:val="000000"/>
                <w:sz w:val="24"/>
                <w:highlight w:val="none"/>
              </w:rPr>
            </w:pPr>
            <w:r>
              <w:rPr>
                <w:rFonts w:ascii="宋体" w:hAnsi="宋体" w:cs="宋体"/>
                <w:color w:val="000000"/>
                <w:spacing w:val="-3"/>
                <w:sz w:val="24"/>
                <w:highlight w:val="none"/>
              </w:rPr>
              <w:t xml:space="preserve">机</w:t>
            </w:r>
            <w:r>
              <w:rPr>
                <w:rFonts w:ascii="宋体" w:hAnsi="宋体" w:cs="宋体"/>
                <w:color w:val="000000"/>
                <w:spacing w:val="-2"/>
                <w:sz w:val="24"/>
                <w:highlight w:val="none"/>
              </w:rPr>
              <w:t xml:space="preserve">械或设</w:t>
            </w:r>
            <w:r>
              <w:rPr>
                <w:rFonts w:ascii="宋体" w:hAnsi="宋体" w:cs="宋体"/>
                <w:color w:val="000000"/>
                <w:sz w:val="24"/>
                <w:highlight w:val="none"/>
              </w:rPr>
              <w:t xml:space="preserve"> </w:t>
            </w:r>
            <w:r>
              <w:rPr>
                <w:rFonts w:ascii="宋体" w:hAnsi="宋体" w:cs="宋体"/>
                <w:color w:val="000000"/>
                <w:spacing w:val="-5"/>
                <w:sz w:val="24"/>
                <w:highlight w:val="none"/>
              </w:rPr>
              <w:t xml:space="preserve">备</w:t>
            </w:r>
            <w:r>
              <w:rPr>
                <w:rFonts w:ascii="宋体" w:hAnsi="宋体" w:cs="宋体"/>
                <w:color w:val="000000"/>
                <w:spacing w:val="-4"/>
                <w:sz w:val="24"/>
                <w:highlight w:val="none"/>
              </w:rPr>
              <w:t xml:space="preserve">名称</w:t>
            </w:r>
            <w:r/>
          </w:p>
        </w:tc>
        <w:tc>
          <w:tcPr>
            <w:tcW w:w="848" w:type="dxa"/>
            <w:vAlign w:val="top"/>
            <w:textDirection w:val="lrTb"/>
            <w:noWrap w:val="false"/>
          </w:tcPr>
          <w:p>
            <w:pPr>
              <w:ind w:left="151" w:right="143" w:hanging="7"/>
              <w:spacing w:before="138" w:line="284" w:lineRule="auto"/>
              <w:rPr>
                <w:rFonts w:ascii="宋体" w:hAnsi="宋体" w:cs="宋体"/>
                <w:color w:val="000000"/>
                <w:sz w:val="24"/>
                <w:highlight w:val="none"/>
              </w:rPr>
            </w:pPr>
            <w:r>
              <w:rPr>
                <w:rFonts w:ascii="宋体" w:hAnsi="宋体" w:cs="宋体"/>
                <w:color w:val="000000"/>
                <w:spacing w:val="-6"/>
                <w:sz w:val="24"/>
                <w:highlight w:val="none"/>
              </w:rPr>
              <w:t xml:space="preserve">规</w:t>
            </w:r>
            <w:r>
              <w:rPr>
                <w:rFonts w:ascii="宋体" w:hAnsi="宋体" w:cs="宋体"/>
                <w:color w:val="000000"/>
                <w:spacing w:val="-5"/>
                <w:sz w:val="24"/>
                <w:highlight w:val="none"/>
              </w:rPr>
              <w:t xml:space="preserve">格</w:t>
            </w:r>
            <w:r>
              <w:rPr>
                <w:rFonts w:ascii="宋体" w:hAnsi="宋体" w:cs="宋体"/>
                <w:color w:val="000000"/>
                <w:sz w:val="24"/>
                <w:highlight w:val="none"/>
              </w:rPr>
              <w:t xml:space="preserve"> </w:t>
            </w:r>
            <w:r>
              <w:rPr>
                <w:rFonts w:ascii="宋体" w:hAnsi="宋体" w:cs="宋体"/>
                <w:color w:val="000000"/>
                <w:spacing w:val="-9"/>
                <w:sz w:val="24"/>
                <w:highlight w:val="none"/>
              </w:rPr>
              <w:t xml:space="preserve">型号</w:t>
            </w:r>
            <w:r/>
          </w:p>
        </w:tc>
        <w:tc>
          <w:tcPr>
            <w:tcW w:w="1055" w:type="dxa"/>
            <w:vAlign w:val="top"/>
            <w:textDirection w:val="lrTb"/>
            <w:noWrap w:val="false"/>
          </w:tcPr>
          <w:p>
            <w:pPr>
              <w:spacing w:line="262" w:lineRule="auto"/>
              <w:rPr>
                <w:color w:val="000000"/>
                <w:sz w:val="24"/>
                <w:highlight w:val="none"/>
              </w:rPr>
            </w:pPr>
            <w:r>
              <w:rPr>
                <w:color w:val="000000"/>
                <w:sz w:val="24"/>
                <w:highlight w:val="none"/>
              </w:rPr>
            </w:r>
            <w:r/>
          </w:p>
          <w:p>
            <w:pPr>
              <w:ind w:left="253"/>
              <w:spacing w:before="91" w:line="220" w:lineRule="auto"/>
              <w:rPr>
                <w:rFonts w:ascii="宋体" w:hAnsi="宋体" w:cs="宋体"/>
                <w:color w:val="000000"/>
                <w:sz w:val="24"/>
                <w:highlight w:val="none"/>
              </w:rPr>
            </w:pPr>
            <w:r>
              <w:rPr>
                <w:rFonts w:ascii="宋体" w:hAnsi="宋体" w:cs="宋体"/>
                <w:color w:val="000000"/>
                <w:spacing w:val="-7"/>
                <w:sz w:val="24"/>
                <w:highlight w:val="none"/>
              </w:rPr>
              <w:t xml:space="preserve">数</w:t>
            </w:r>
            <w:r>
              <w:rPr>
                <w:rFonts w:ascii="宋体" w:hAnsi="宋体" w:cs="宋体"/>
                <w:color w:val="000000"/>
                <w:spacing w:val="-5"/>
                <w:sz w:val="24"/>
                <w:highlight w:val="none"/>
              </w:rPr>
              <w:t xml:space="preserve">量</w:t>
            </w:r>
            <w:r/>
          </w:p>
        </w:tc>
        <w:tc>
          <w:tcPr>
            <w:tcW w:w="878" w:type="dxa"/>
            <w:vAlign w:val="top"/>
            <w:textDirection w:val="lrTb"/>
            <w:noWrap w:val="false"/>
          </w:tcPr>
          <w:p>
            <w:pPr>
              <w:spacing w:line="262" w:lineRule="auto"/>
              <w:rPr>
                <w:color w:val="000000"/>
                <w:sz w:val="24"/>
                <w:highlight w:val="none"/>
              </w:rPr>
            </w:pPr>
            <w:r>
              <w:rPr>
                <w:color w:val="000000"/>
                <w:sz w:val="24"/>
                <w:highlight w:val="none"/>
              </w:rPr>
            </w:r>
            <w:r/>
          </w:p>
          <w:p>
            <w:pPr>
              <w:ind w:left="165"/>
              <w:spacing w:before="91" w:line="220" w:lineRule="auto"/>
              <w:rPr>
                <w:rFonts w:ascii="宋体" w:hAnsi="宋体" w:cs="宋体"/>
                <w:color w:val="000000"/>
                <w:sz w:val="24"/>
                <w:highlight w:val="none"/>
              </w:rPr>
            </w:pPr>
            <w:r>
              <w:rPr>
                <w:rFonts w:ascii="宋体" w:hAnsi="宋体" w:cs="宋体"/>
                <w:color w:val="000000"/>
                <w:spacing w:val="-6"/>
                <w:sz w:val="24"/>
                <w:highlight w:val="none"/>
              </w:rPr>
              <w:t xml:space="preserve">产</w:t>
            </w:r>
            <w:r>
              <w:rPr>
                <w:rFonts w:ascii="宋体" w:hAnsi="宋体" w:cs="宋体"/>
                <w:color w:val="000000"/>
                <w:spacing w:val="-4"/>
                <w:sz w:val="24"/>
                <w:highlight w:val="none"/>
              </w:rPr>
              <w:t xml:space="preserve">地</w:t>
            </w:r>
            <w:r/>
          </w:p>
        </w:tc>
        <w:tc>
          <w:tcPr>
            <w:tcW w:w="1017" w:type="dxa"/>
            <w:vAlign w:val="top"/>
            <w:textDirection w:val="lrTb"/>
            <w:noWrap w:val="false"/>
          </w:tcPr>
          <w:p>
            <w:pPr>
              <w:ind w:left="238"/>
              <w:spacing w:before="137" w:line="439" w:lineRule="exact"/>
              <w:rPr>
                <w:rFonts w:ascii="宋体" w:hAnsi="宋体" w:cs="宋体"/>
                <w:color w:val="000000"/>
                <w:sz w:val="24"/>
                <w:highlight w:val="none"/>
              </w:rPr>
            </w:pPr>
            <w:r>
              <w:rPr>
                <w:rFonts w:ascii="宋体" w:hAnsi="宋体" w:cs="宋体"/>
                <w:color w:val="000000"/>
                <w:spacing w:val="-6"/>
                <w:position w:val="11"/>
                <w:sz w:val="24"/>
                <w:highlight w:val="none"/>
              </w:rPr>
              <w:t xml:space="preserve">制</w:t>
            </w:r>
            <w:r>
              <w:rPr>
                <w:rFonts w:ascii="宋体" w:hAnsi="宋体" w:cs="宋体"/>
                <w:color w:val="000000"/>
                <w:spacing w:val="-5"/>
                <w:position w:val="11"/>
                <w:sz w:val="24"/>
                <w:highlight w:val="none"/>
              </w:rPr>
              <w:t xml:space="preserve">造</w:t>
            </w:r>
            <w:r/>
          </w:p>
          <w:p>
            <w:pPr>
              <w:ind w:left="238"/>
              <w:spacing w:before="1" w:line="219" w:lineRule="auto"/>
              <w:rPr>
                <w:rFonts w:ascii="宋体" w:hAnsi="宋体" w:cs="宋体"/>
                <w:color w:val="000000"/>
                <w:sz w:val="24"/>
                <w:highlight w:val="none"/>
              </w:rPr>
            </w:pPr>
            <w:r>
              <w:rPr>
                <w:rFonts w:ascii="宋体" w:hAnsi="宋体" w:cs="宋体"/>
                <w:color w:val="000000"/>
                <w:spacing w:val="-6"/>
                <w:sz w:val="24"/>
                <w:highlight w:val="none"/>
              </w:rPr>
              <w:t xml:space="preserve">年</w:t>
            </w:r>
            <w:r>
              <w:rPr>
                <w:rFonts w:ascii="宋体" w:hAnsi="宋体" w:cs="宋体"/>
                <w:color w:val="000000"/>
                <w:spacing w:val="-5"/>
                <w:sz w:val="24"/>
                <w:highlight w:val="none"/>
              </w:rPr>
              <w:t xml:space="preserve">份</w:t>
            </w:r>
            <w:r/>
          </w:p>
        </w:tc>
        <w:tc>
          <w:tcPr>
            <w:tcW w:w="1476" w:type="dxa"/>
            <w:vAlign w:val="top"/>
            <w:textDirection w:val="lrTb"/>
            <w:noWrap w:val="false"/>
          </w:tcPr>
          <w:p>
            <w:pPr>
              <w:ind w:left="190"/>
              <w:spacing w:before="137" w:line="220" w:lineRule="auto"/>
              <w:rPr>
                <w:rFonts w:ascii="宋体" w:hAnsi="宋体" w:cs="宋体"/>
                <w:color w:val="000000"/>
                <w:sz w:val="24"/>
                <w:highlight w:val="none"/>
              </w:rPr>
            </w:pPr>
            <w:r>
              <w:rPr>
                <w:rFonts w:ascii="宋体" w:hAnsi="宋体" w:cs="宋体"/>
                <w:color w:val="000000"/>
                <w:spacing w:val="-4"/>
                <w:sz w:val="24"/>
                <w:highlight w:val="none"/>
              </w:rPr>
              <w:t xml:space="preserve">额</w:t>
            </w:r>
            <w:r>
              <w:rPr>
                <w:rFonts w:ascii="宋体" w:hAnsi="宋体" w:cs="宋体"/>
                <w:color w:val="000000"/>
                <w:spacing w:val="-2"/>
                <w:sz w:val="24"/>
                <w:highlight w:val="none"/>
              </w:rPr>
              <w:t xml:space="preserve">定功率</w:t>
            </w:r>
            <w:r/>
          </w:p>
          <w:p>
            <w:pPr>
              <w:ind w:left="518"/>
              <w:spacing w:before="105" w:line="223" w:lineRule="auto"/>
              <w:rPr>
                <w:rFonts w:ascii="宋体" w:hAnsi="宋体" w:cs="宋体"/>
                <w:color w:val="000000"/>
                <w:sz w:val="24"/>
                <w:highlight w:val="none"/>
              </w:rPr>
            </w:pPr>
            <w:r>
              <w:rPr>
                <w:rFonts w:ascii="宋体" w:hAnsi="宋体" w:cs="宋体"/>
                <w:color w:val="000000"/>
                <w:spacing w:val="-18"/>
                <w:sz w:val="24"/>
                <w:highlight w:val="none"/>
              </w:rPr>
              <w:t xml:space="preserve">(</w:t>
            </w:r>
            <w:r>
              <w:rPr>
                <w:rFonts w:ascii="宋体" w:hAnsi="宋体" w:cs="宋体"/>
                <w:color w:val="000000"/>
                <w:spacing w:val="-14"/>
                <w:sz w:val="24"/>
                <w:highlight w:val="none"/>
              </w:rPr>
              <w:t xml:space="preserve">kW)</w:t>
            </w:r>
            <w:r/>
          </w:p>
        </w:tc>
        <w:tc>
          <w:tcPr>
            <w:tcW w:w="1017" w:type="dxa"/>
            <w:vAlign w:val="top"/>
            <w:textDirection w:val="lrTb"/>
            <w:noWrap w:val="false"/>
          </w:tcPr>
          <w:p>
            <w:pPr>
              <w:ind w:left="245"/>
              <w:spacing w:before="137" w:line="439" w:lineRule="exact"/>
              <w:rPr>
                <w:rFonts w:ascii="宋体" w:hAnsi="宋体" w:cs="宋体"/>
                <w:color w:val="000000"/>
                <w:sz w:val="24"/>
                <w:highlight w:val="none"/>
              </w:rPr>
            </w:pPr>
            <w:r>
              <w:rPr>
                <w:rFonts w:ascii="宋体" w:hAnsi="宋体" w:cs="宋体"/>
                <w:color w:val="000000"/>
                <w:spacing w:val="-7"/>
                <w:position w:val="11"/>
                <w:sz w:val="24"/>
                <w:highlight w:val="none"/>
              </w:rPr>
              <w:t xml:space="preserve">生</w:t>
            </w:r>
            <w:r>
              <w:rPr>
                <w:rFonts w:ascii="宋体" w:hAnsi="宋体" w:cs="宋体"/>
                <w:color w:val="000000"/>
                <w:spacing w:val="-5"/>
                <w:position w:val="11"/>
                <w:sz w:val="24"/>
                <w:highlight w:val="none"/>
              </w:rPr>
              <w:t xml:space="preserve">产</w:t>
            </w:r>
            <w:r/>
          </w:p>
          <w:p>
            <w:pPr>
              <w:ind w:left="254"/>
              <w:spacing w:before="1" w:line="219" w:lineRule="auto"/>
              <w:rPr>
                <w:rFonts w:ascii="宋体" w:hAnsi="宋体" w:cs="宋体"/>
                <w:color w:val="000000"/>
                <w:sz w:val="24"/>
                <w:highlight w:val="none"/>
              </w:rPr>
            </w:pPr>
            <w:r>
              <w:rPr>
                <w:rFonts w:ascii="宋体" w:hAnsi="宋体" w:cs="宋体"/>
                <w:color w:val="000000"/>
                <w:spacing w:val="-11"/>
                <w:sz w:val="24"/>
                <w:highlight w:val="none"/>
              </w:rPr>
              <w:t xml:space="preserve">能</w:t>
            </w:r>
            <w:r>
              <w:rPr>
                <w:rFonts w:ascii="宋体" w:hAnsi="宋体" w:cs="宋体"/>
                <w:color w:val="000000"/>
                <w:spacing w:val="-10"/>
                <w:sz w:val="24"/>
                <w:highlight w:val="none"/>
              </w:rPr>
              <w:t xml:space="preserve">力</w:t>
            </w:r>
            <w:r/>
          </w:p>
        </w:tc>
        <w:tc>
          <w:tcPr>
            <w:tcW w:w="933" w:type="dxa"/>
            <w:vAlign w:val="top"/>
            <w:textDirection w:val="lrTb"/>
            <w:noWrap w:val="false"/>
          </w:tcPr>
          <w:p>
            <w:pPr>
              <w:spacing w:line="263" w:lineRule="auto"/>
              <w:rPr>
                <w:color w:val="000000"/>
                <w:sz w:val="24"/>
                <w:highlight w:val="none"/>
              </w:rPr>
            </w:pPr>
            <w:r>
              <w:rPr>
                <w:color w:val="000000"/>
                <w:sz w:val="24"/>
                <w:highlight w:val="none"/>
              </w:rPr>
            </w:r>
            <w:r/>
          </w:p>
          <w:p>
            <w:pPr>
              <w:ind w:left="199"/>
              <w:spacing w:before="91" w:line="221" w:lineRule="auto"/>
              <w:rPr>
                <w:rFonts w:ascii="宋体" w:hAnsi="宋体" w:cs="宋体"/>
                <w:color w:val="000000"/>
                <w:sz w:val="24"/>
                <w:highlight w:val="none"/>
              </w:rPr>
            </w:pPr>
            <w:r>
              <w:rPr>
                <w:rFonts w:ascii="宋体" w:hAnsi="宋体" w:cs="宋体"/>
                <w:color w:val="000000"/>
                <w:spacing w:val="-7"/>
                <w:sz w:val="24"/>
                <w:highlight w:val="none"/>
              </w:rPr>
              <w:t xml:space="preserve">备</w:t>
            </w:r>
            <w:r>
              <w:rPr>
                <w:rFonts w:ascii="宋体" w:hAnsi="宋体" w:cs="宋体"/>
                <w:color w:val="000000"/>
                <w:spacing w:val="-6"/>
                <w:sz w:val="24"/>
                <w:highlight w:val="none"/>
              </w:rPr>
              <w:t xml:space="preserve">注</w:t>
            </w:r>
            <w:r/>
          </w:p>
        </w:tc>
      </w:tr>
      <w:tr>
        <w:trPr>
          <w:jc w:val="center"/>
          <w:trHeight w:val="578"/>
        </w:trPr>
        <w:tc>
          <w:tcPr>
            <w:tcW w:w="707" w:type="dxa"/>
            <w:vAlign w:val="top"/>
            <w:textDirection w:val="lrTb"/>
            <w:noWrap w:val="false"/>
          </w:tcPr>
          <w:p>
            <w:pPr>
              <w:rPr>
                <w:color w:val="000000"/>
                <w:highlight w:val="none"/>
              </w:rPr>
            </w:pPr>
            <w:r>
              <w:rPr>
                <w:color w:val="000000"/>
                <w:highlight w:val="none"/>
              </w:rPr>
            </w:r>
            <w:r/>
          </w:p>
        </w:tc>
        <w:tc>
          <w:tcPr>
            <w:tcW w:w="141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1055" w:type="dxa"/>
            <w:vAlign w:val="top"/>
            <w:textDirection w:val="lrTb"/>
            <w:noWrap w:val="false"/>
          </w:tcPr>
          <w:p>
            <w:pPr>
              <w:rPr>
                <w:color w:val="000000"/>
                <w:highlight w:val="none"/>
              </w:rPr>
            </w:pPr>
            <w:r>
              <w:rPr>
                <w:color w:val="000000"/>
                <w:highlight w:val="none"/>
              </w:rPr>
            </w:r>
            <w:r/>
          </w:p>
        </w:tc>
        <w:tc>
          <w:tcPr>
            <w:tcW w:w="878"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1476"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933" w:type="dxa"/>
            <w:vAlign w:val="top"/>
            <w:textDirection w:val="lrTb"/>
            <w:noWrap w:val="false"/>
          </w:tcPr>
          <w:p>
            <w:pPr>
              <w:rPr>
                <w:color w:val="000000"/>
                <w:highlight w:val="none"/>
              </w:rPr>
            </w:pPr>
            <w:r>
              <w:rPr>
                <w:color w:val="000000"/>
                <w:highlight w:val="none"/>
              </w:rPr>
            </w:r>
            <w:r/>
          </w:p>
        </w:tc>
      </w:tr>
      <w:tr>
        <w:trPr>
          <w:jc w:val="center"/>
          <w:trHeight w:val="576"/>
        </w:trPr>
        <w:tc>
          <w:tcPr>
            <w:tcW w:w="707" w:type="dxa"/>
            <w:vAlign w:val="top"/>
            <w:textDirection w:val="lrTb"/>
            <w:noWrap w:val="false"/>
          </w:tcPr>
          <w:p>
            <w:pPr>
              <w:rPr>
                <w:color w:val="000000"/>
                <w:highlight w:val="none"/>
              </w:rPr>
            </w:pPr>
            <w:r>
              <w:rPr>
                <w:color w:val="000000"/>
                <w:highlight w:val="none"/>
              </w:rPr>
            </w:r>
            <w:r/>
          </w:p>
        </w:tc>
        <w:tc>
          <w:tcPr>
            <w:tcW w:w="141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1055" w:type="dxa"/>
            <w:vAlign w:val="top"/>
            <w:textDirection w:val="lrTb"/>
            <w:noWrap w:val="false"/>
          </w:tcPr>
          <w:p>
            <w:pPr>
              <w:rPr>
                <w:color w:val="000000"/>
                <w:highlight w:val="none"/>
              </w:rPr>
            </w:pPr>
            <w:r>
              <w:rPr>
                <w:color w:val="000000"/>
                <w:highlight w:val="none"/>
              </w:rPr>
            </w:r>
            <w:r/>
          </w:p>
        </w:tc>
        <w:tc>
          <w:tcPr>
            <w:tcW w:w="878"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1476"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933" w:type="dxa"/>
            <w:vAlign w:val="top"/>
            <w:textDirection w:val="lrTb"/>
            <w:noWrap w:val="false"/>
          </w:tcPr>
          <w:p>
            <w:pPr>
              <w:rPr>
                <w:color w:val="000000"/>
                <w:highlight w:val="none"/>
              </w:rPr>
            </w:pPr>
            <w:r>
              <w:rPr>
                <w:color w:val="000000"/>
                <w:highlight w:val="none"/>
              </w:rPr>
            </w:r>
            <w:r/>
          </w:p>
        </w:tc>
      </w:tr>
      <w:tr>
        <w:trPr>
          <w:jc w:val="center"/>
          <w:trHeight w:val="577"/>
        </w:trPr>
        <w:tc>
          <w:tcPr>
            <w:tcW w:w="707" w:type="dxa"/>
            <w:vAlign w:val="top"/>
            <w:textDirection w:val="lrTb"/>
            <w:noWrap w:val="false"/>
          </w:tcPr>
          <w:p>
            <w:pPr>
              <w:rPr>
                <w:color w:val="000000"/>
                <w:highlight w:val="none"/>
              </w:rPr>
            </w:pPr>
            <w:r>
              <w:rPr>
                <w:color w:val="000000"/>
                <w:highlight w:val="none"/>
              </w:rPr>
            </w:r>
            <w:r/>
          </w:p>
        </w:tc>
        <w:tc>
          <w:tcPr>
            <w:tcW w:w="141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1055" w:type="dxa"/>
            <w:vAlign w:val="top"/>
            <w:textDirection w:val="lrTb"/>
            <w:noWrap w:val="false"/>
          </w:tcPr>
          <w:p>
            <w:pPr>
              <w:rPr>
                <w:color w:val="000000"/>
                <w:highlight w:val="none"/>
              </w:rPr>
            </w:pPr>
            <w:r>
              <w:rPr>
                <w:color w:val="000000"/>
                <w:highlight w:val="none"/>
              </w:rPr>
            </w:r>
            <w:r/>
          </w:p>
        </w:tc>
        <w:tc>
          <w:tcPr>
            <w:tcW w:w="878"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1476"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933" w:type="dxa"/>
            <w:vAlign w:val="top"/>
            <w:textDirection w:val="lrTb"/>
            <w:noWrap w:val="false"/>
          </w:tcPr>
          <w:p>
            <w:pPr>
              <w:rPr>
                <w:color w:val="000000"/>
                <w:highlight w:val="none"/>
              </w:rPr>
            </w:pPr>
            <w:r>
              <w:rPr>
                <w:color w:val="000000"/>
                <w:highlight w:val="none"/>
              </w:rPr>
            </w:r>
            <w:r/>
          </w:p>
        </w:tc>
      </w:tr>
      <w:tr>
        <w:trPr>
          <w:jc w:val="center"/>
          <w:trHeight w:val="576"/>
        </w:trPr>
        <w:tc>
          <w:tcPr>
            <w:tcW w:w="707" w:type="dxa"/>
            <w:vAlign w:val="top"/>
            <w:textDirection w:val="lrTb"/>
            <w:noWrap w:val="false"/>
          </w:tcPr>
          <w:p>
            <w:pPr>
              <w:rPr>
                <w:color w:val="000000"/>
                <w:highlight w:val="none"/>
              </w:rPr>
            </w:pPr>
            <w:r>
              <w:rPr>
                <w:color w:val="000000"/>
                <w:highlight w:val="none"/>
              </w:rPr>
            </w:r>
            <w:r/>
          </w:p>
        </w:tc>
        <w:tc>
          <w:tcPr>
            <w:tcW w:w="141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1055" w:type="dxa"/>
            <w:vAlign w:val="top"/>
            <w:textDirection w:val="lrTb"/>
            <w:noWrap w:val="false"/>
          </w:tcPr>
          <w:p>
            <w:pPr>
              <w:rPr>
                <w:color w:val="000000"/>
                <w:highlight w:val="none"/>
              </w:rPr>
            </w:pPr>
            <w:r>
              <w:rPr>
                <w:color w:val="000000"/>
                <w:highlight w:val="none"/>
              </w:rPr>
            </w:r>
            <w:r/>
          </w:p>
        </w:tc>
        <w:tc>
          <w:tcPr>
            <w:tcW w:w="878"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1476"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933" w:type="dxa"/>
            <w:vAlign w:val="top"/>
            <w:textDirection w:val="lrTb"/>
            <w:noWrap w:val="false"/>
          </w:tcPr>
          <w:p>
            <w:pPr>
              <w:rPr>
                <w:color w:val="000000"/>
                <w:highlight w:val="none"/>
              </w:rPr>
            </w:pPr>
            <w:r>
              <w:rPr>
                <w:color w:val="000000"/>
                <w:highlight w:val="none"/>
              </w:rPr>
            </w:r>
            <w:r/>
          </w:p>
        </w:tc>
      </w:tr>
      <w:tr>
        <w:trPr>
          <w:jc w:val="center"/>
          <w:trHeight w:val="577"/>
        </w:trPr>
        <w:tc>
          <w:tcPr>
            <w:tcW w:w="707" w:type="dxa"/>
            <w:vAlign w:val="top"/>
            <w:textDirection w:val="lrTb"/>
            <w:noWrap w:val="false"/>
          </w:tcPr>
          <w:p>
            <w:pPr>
              <w:rPr>
                <w:color w:val="000000"/>
                <w:highlight w:val="none"/>
              </w:rPr>
            </w:pPr>
            <w:r>
              <w:rPr>
                <w:color w:val="000000"/>
                <w:highlight w:val="none"/>
              </w:rPr>
            </w:r>
            <w:r/>
          </w:p>
        </w:tc>
        <w:tc>
          <w:tcPr>
            <w:tcW w:w="141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1055" w:type="dxa"/>
            <w:vAlign w:val="top"/>
            <w:textDirection w:val="lrTb"/>
            <w:noWrap w:val="false"/>
          </w:tcPr>
          <w:p>
            <w:pPr>
              <w:rPr>
                <w:color w:val="000000"/>
                <w:highlight w:val="none"/>
              </w:rPr>
            </w:pPr>
            <w:r>
              <w:rPr>
                <w:color w:val="000000"/>
                <w:highlight w:val="none"/>
              </w:rPr>
            </w:r>
            <w:r/>
          </w:p>
        </w:tc>
        <w:tc>
          <w:tcPr>
            <w:tcW w:w="878"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1476"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933" w:type="dxa"/>
            <w:vAlign w:val="top"/>
            <w:textDirection w:val="lrTb"/>
            <w:noWrap w:val="false"/>
          </w:tcPr>
          <w:p>
            <w:pPr>
              <w:rPr>
                <w:color w:val="000000"/>
                <w:highlight w:val="none"/>
              </w:rPr>
            </w:pPr>
            <w:r>
              <w:rPr>
                <w:color w:val="000000"/>
                <w:highlight w:val="none"/>
              </w:rPr>
            </w:r>
            <w:r/>
          </w:p>
        </w:tc>
      </w:tr>
      <w:tr>
        <w:trPr>
          <w:jc w:val="center"/>
          <w:trHeight w:val="577"/>
        </w:trPr>
        <w:tc>
          <w:tcPr>
            <w:tcW w:w="707" w:type="dxa"/>
            <w:vAlign w:val="top"/>
            <w:textDirection w:val="lrTb"/>
            <w:noWrap w:val="false"/>
          </w:tcPr>
          <w:p>
            <w:pPr>
              <w:rPr>
                <w:color w:val="000000"/>
                <w:highlight w:val="none"/>
              </w:rPr>
            </w:pPr>
            <w:r>
              <w:rPr>
                <w:color w:val="000000"/>
                <w:highlight w:val="none"/>
              </w:rPr>
            </w:r>
            <w:r/>
          </w:p>
        </w:tc>
        <w:tc>
          <w:tcPr>
            <w:tcW w:w="141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1055" w:type="dxa"/>
            <w:vAlign w:val="top"/>
            <w:textDirection w:val="lrTb"/>
            <w:noWrap w:val="false"/>
          </w:tcPr>
          <w:p>
            <w:pPr>
              <w:rPr>
                <w:color w:val="000000"/>
                <w:highlight w:val="none"/>
              </w:rPr>
            </w:pPr>
            <w:r>
              <w:rPr>
                <w:color w:val="000000"/>
                <w:highlight w:val="none"/>
              </w:rPr>
            </w:r>
            <w:r/>
          </w:p>
        </w:tc>
        <w:tc>
          <w:tcPr>
            <w:tcW w:w="878"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1476"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933" w:type="dxa"/>
            <w:vAlign w:val="top"/>
            <w:textDirection w:val="lrTb"/>
            <w:noWrap w:val="false"/>
          </w:tcPr>
          <w:p>
            <w:pPr>
              <w:rPr>
                <w:color w:val="000000"/>
                <w:highlight w:val="none"/>
              </w:rPr>
            </w:pPr>
            <w:r>
              <w:rPr>
                <w:color w:val="000000"/>
                <w:highlight w:val="none"/>
              </w:rPr>
            </w:r>
            <w:r/>
          </w:p>
        </w:tc>
      </w:tr>
      <w:tr>
        <w:trPr>
          <w:jc w:val="center"/>
          <w:trHeight w:val="577"/>
        </w:trPr>
        <w:tc>
          <w:tcPr>
            <w:tcW w:w="707" w:type="dxa"/>
            <w:vAlign w:val="top"/>
            <w:textDirection w:val="lrTb"/>
            <w:noWrap w:val="false"/>
          </w:tcPr>
          <w:p>
            <w:pPr>
              <w:rPr>
                <w:color w:val="000000"/>
                <w:highlight w:val="none"/>
              </w:rPr>
            </w:pPr>
            <w:r>
              <w:rPr>
                <w:color w:val="000000"/>
                <w:highlight w:val="none"/>
              </w:rPr>
            </w:r>
            <w:r/>
          </w:p>
        </w:tc>
        <w:tc>
          <w:tcPr>
            <w:tcW w:w="141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1055" w:type="dxa"/>
            <w:vAlign w:val="top"/>
            <w:textDirection w:val="lrTb"/>
            <w:noWrap w:val="false"/>
          </w:tcPr>
          <w:p>
            <w:pPr>
              <w:rPr>
                <w:color w:val="000000"/>
                <w:highlight w:val="none"/>
              </w:rPr>
            </w:pPr>
            <w:r>
              <w:rPr>
                <w:color w:val="000000"/>
                <w:highlight w:val="none"/>
              </w:rPr>
            </w:r>
            <w:r/>
          </w:p>
        </w:tc>
        <w:tc>
          <w:tcPr>
            <w:tcW w:w="878"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1476"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933" w:type="dxa"/>
            <w:vAlign w:val="top"/>
            <w:textDirection w:val="lrTb"/>
            <w:noWrap w:val="false"/>
          </w:tcPr>
          <w:p>
            <w:pPr>
              <w:rPr>
                <w:color w:val="000000"/>
                <w:highlight w:val="none"/>
              </w:rPr>
            </w:pPr>
            <w:r>
              <w:rPr>
                <w:color w:val="000000"/>
                <w:highlight w:val="none"/>
              </w:rPr>
            </w:r>
            <w:r/>
          </w:p>
        </w:tc>
      </w:tr>
      <w:tr>
        <w:trPr>
          <w:jc w:val="center"/>
          <w:trHeight w:val="577"/>
        </w:trPr>
        <w:tc>
          <w:tcPr>
            <w:tcW w:w="707" w:type="dxa"/>
            <w:vAlign w:val="top"/>
            <w:textDirection w:val="lrTb"/>
            <w:noWrap w:val="false"/>
          </w:tcPr>
          <w:p>
            <w:pPr>
              <w:rPr>
                <w:color w:val="000000"/>
                <w:highlight w:val="none"/>
              </w:rPr>
            </w:pPr>
            <w:r>
              <w:rPr>
                <w:color w:val="000000"/>
                <w:highlight w:val="none"/>
              </w:rPr>
            </w:r>
            <w:r/>
          </w:p>
        </w:tc>
        <w:tc>
          <w:tcPr>
            <w:tcW w:w="141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1055" w:type="dxa"/>
            <w:vAlign w:val="top"/>
            <w:textDirection w:val="lrTb"/>
            <w:noWrap w:val="false"/>
          </w:tcPr>
          <w:p>
            <w:pPr>
              <w:rPr>
                <w:color w:val="000000"/>
                <w:highlight w:val="none"/>
              </w:rPr>
            </w:pPr>
            <w:r>
              <w:rPr>
                <w:color w:val="000000"/>
                <w:highlight w:val="none"/>
              </w:rPr>
            </w:r>
            <w:r/>
          </w:p>
        </w:tc>
        <w:tc>
          <w:tcPr>
            <w:tcW w:w="878"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1476"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933" w:type="dxa"/>
            <w:vAlign w:val="top"/>
            <w:textDirection w:val="lrTb"/>
            <w:noWrap w:val="false"/>
          </w:tcPr>
          <w:p>
            <w:pPr>
              <w:rPr>
                <w:color w:val="000000"/>
                <w:highlight w:val="none"/>
              </w:rPr>
            </w:pPr>
            <w:r>
              <w:rPr>
                <w:color w:val="000000"/>
                <w:highlight w:val="none"/>
              </w:rPr>
            </w:r>
            <w:r/>
          </w:p>
        </w:tc>
      </w:tr>
      <w:tr>
        <w:trPr>
          <w:jc w:val="center"/>
          <w:trHeight w:val="576"/>
        </w:trPr>
        <w:tc>
          <w:tcPr>
            <w:tcW w:w="707" w:type="dxa"/>
            <w:vAlign w:val="top"/>
            <w:textDirection w:val="lrTb"/>
            <w:noWrap w:val="false"/>
          </w:tcPr>
          <w:p>
            <w:pPr>
              <w:rPr>
                <w:color w:val="000000"/>
                <w:highlight w:val="none"/>
              </w:rPr>
            </w:pPr>
            <w:r>
              <w:rPr>
                <w:color w:val="000000"/>
                <w:highlight w:val="none"/>
              </w:rPr>
            </w:r>
            <w:r/>
          </w:p>
        </w:tc>
        <w:tc>
          <w:tcPr>
            <w:tcW w:w="141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1055" w:type="dxa"/>
            <w:vAlign w:val="top"/>
            <w:textDirection w:val="lrTb"/>
            <w:noWrap w:val="false"/>
          </w:tcPr>
          <w:p>
            <w:pPr>
              <w:rPr>
                <w:color w:val="000000"/>
                <w:highlight w:val="none"/>
              </w:rPr>
            </w:pPr>
            <w:r>
              <w:rPr>
                <w:color w:val="000000"/>
                <w:highlight w:val="none"/>
              </w:rPr>
            </w:r>
            <w:r/>
          </w:p>
        </w:tc>
        <w:tc>
          <w:tcPr>
            <w:tcW w:w="878"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1476"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933" w:type="dxa"/>
            <w:vAlign w:val="top"/>
            <w:textDirection w:val="lrTb"/>
            <w:noWrap w:val="false"/>
          </w:tcPr>
          <w:p>
            <w:pPr>
              <w:rPr>
                <w:color w:val="000000"/>
                <w:highlight w:val="none"/>
              </w:rPr>
            </w:pPr>
            <w:r>
              <w:rPr>
                <w:color w:val="000000"/>
                <w:highlight w:val="none"/>
              </w:rPr>
            </w:r>
            <w:r/>
          </w:p>
        </w:tc>
      </w:tr>
      <w:tr>
        <w:trPr>
          <w:jc w:val="center"/>
          <w:trHeight w:val="577"/>
        </w:trPr>
        <w:tc>
          <w:tcPr>
            <w:tcW w:w="707" w:type="dxa"/>
            <w:vAlign w:val="top"/>
            <w:textDirection w:val="lrTb"/>
            <w:noWrap w:val="false"/>
          </w:tcPr>
          <w:p>
            <w:pPr>
              <w:rPr>
                <w:color w:val="000000"/>
                <w:highlight w:val="none"/>
              </w:rPr>
            </w:pPr>
            <w:r>
              <w:rPr>
                <w:color w:val="000000"/>
                <w:highlight w:val="none"/>
              </w:rPr>
            </w:r>
            <w:r/>
          </w:p>
        </w:tc>
        <w:tc>
          <w:tcPr>
            <w:tcW w:w="141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1055" w:type="dxa"/>
            <w:vAlign w:val="top"/>
            <w:textDirection w:val="lrTb"/>
            <w:noWrap w:val="false"/>
          </w:tcPr>
          <w:p>
            <w:pPr>
              <w:rPr>
                <w:color w:val="000000"/>
                <w:highlight w:val="none"/>
              </w:rPr>
            </w:pPr>
            <w:r>
              <w:rPr>
                <w:color w:val="000000"/>
                <w:highlight w:val="none"/>
              </w:rPr>
            </w:r>
            <w:r/>
          </w:p>
        </w:tc>
        <w:tc>
          <w:tcPr>
            <w:tcW w:w="878"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1476"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933" w:type="dxa"/>
            <w:vAlign w:val="top"/>
            <w:textDirection w:val="lrTb"/>
            <w:noWrap w:val="false"/>
          </w:tcPr>
          <w:p>
            <w:pPr>
              <w:rPr>
                <w:color w:val="000000"/>
                <w:highlight w:val="none"/>
              </w:rPr>
            </w:pPr>
            <w:r>
              <w:rPr>
                <w:color w:val="000000"/>
                <w:highlight w:val="none"/>
              </w:rPr>
            </w:r>
            <w:r/>
          </w:p>
        </w:tc>
      </w:tr>
      <w:tr>
        <w:trPr>
          <w:jc w:val="center"/>
          <w:trHeight w:val="577"/>
        </w:trPr>
        <w:tc>
          <w:tcPr>
            <w:tcW w:w="707" w:type="dxa"/>
            <w:vAlign w:val="top"/>
            <w:textDirection w:val="lrTb"/>
            <w:noWrap w:val="false"/>
          </w:tcPr>
          <w:p>
            <w:pPr>
              <w:rPr>
                <w:color w:val="000000"/>
                <w:highlight w:val="none"/>
              </w:rPr>
            </w:pPr>
            <w:r>
              <w:rPr>
                <w:color w:val="000000"/>
                <w:highlight w:val="none"/>
              </w:rPr>
            </w:r>
            <w:r/>
          </w:p>
        </w:tc>
        <w:tc>
          <w:tcPr>
            <w:tcW w:w="141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1055" w:type="dxa"/>
            <w:vAlign w:val="top"/>
            <w:textDirection w:val="lrTb"/>
            <w:noWrap w:val="false"/>
          </w:tcPr>
          <w:p>
            <w:pPr>
              <w:rPr>
                <w:color w:val="000000"/>
                <w:highlight w:val="none"/>
              </w:rPr>
            </w:pPr>
            <w:r>
              <w:rPr>
                <w:color w:val="000000"/>
                <w:highlight w:val="none"/>
              </w:rPr>
            </w:r>
            <w:r/>
          </w:p>
        </w:tc>
        <w:tc>
          <w:tcPr>
            <w:tcW w:w="878"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1476"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933" w:type="dxa"/>
            <w:vAlign w:val="top"/>
            <w:textDirection w:val="lrTb"/>
            <w:noWrap w:val="false"/>
          </w:tcPr>
          <w:p>
            <w:pPr>
              <w:rPr>
                <w:color w:val="000000"/>
                <w:highlight w:val="none"/>
              </w:rPr>
            </w:pPr>
            <w:r>
              <w:rPr>
                <w:color w:val="000000"/>
                <w:highlight w:val="none"/>
              </w:rPr>
            </w:r>
            <w:r/>
          </w:p>
        </w:tc>
      </w:tr>
      <w:tr>
        <w:trPr>
          <w:jc w:val="center"/>
          <w:trHeight w:val="577"/>
        </w:trPr>
        <w:tc>
          <w:tcPr>
            <w:tcW w:w="707" w:type="dxa"/>
            <w:vAlign w:val="top"/>
            <w:textDirection w:val="lrTb"/>
            <w:noWrap w:val="false"/>
          </w:tcPr>
          <w:p>
            <w:pPr>
              <w:rPr>
                <w:color w:val="000000"/>
                <w:highlight w:val="none"/>
              </w:rPr>
            </w:pPr>
            <w:r>
              <w:rPr>
                <w:color w:val="000000"/>
                <w:highlight w:val="none"/>
              </w:rPr>
            </w:r>
            <w:r/>
          </w:p>
        </w:tc>
        <w:tc>
          <w:tcPr>
            <w:tcW w:w="141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1055" w:type="dxa"/>
            <w:vAlign w:val="top"/>
            <w:textDirection w:val="lrTb"/>
            <w:noWrap w:val="false"/>
          </w:tcPr>
          <w:p>
            <w:pPr>
              <w:rPr>
                <w:color w:val="000000"/>
                <w:highlight w:val="none"/>
              </w:rPr>
            </w:pPr>
            <w:r>
              <w:rPr>
                <w:color w:val="000000"/>
                <w:highlight w:val="none"/>
              </w:rPr>
            </w:r>
            <w:r/>
          </w:p>
        </w:tc>
        <w:tc>
          <w:tcPr>
            <w:tcW w:w="878"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1476"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933" w:type="dxa"/>
            <w:vAlign w:val="top"/>
            <w:textDirection w:val="lrTb"/>
            <w:noWrap w:val="false"/>
          </w:tcPr>
          <w:p>
            <w:pPr>
              <w:rPr>
                <w:color w:val="000000"/>
                <w:highlight w:val="none"/>
              </w:rPr>
            </w:pPr>
            <w:r>
              <w:rPr>
                <w:color w:val="000000"/>
                <w:highlight w:val="none"/>
              </w:rPr>
            </w:r>
            <w:r/>
          </w:p>
        </w:tc>
      </w:tr>
      <w:tr>
        <w:trPr>
          <w:jc w:val="center"/>
          <w:trHeight w:val="577"/>
        </w:trPr>
        <w:tc>
          <w:tcPr>
            <w:tcW w:w="707" w:type="dxa"/>
            <w:vAlign w:val="top"/>
            <w:textDirection w:val="lrTb"/>
            <w:noWrap w:val="false"/>
          </w:tcPr>
          <w:p>
            <w:pPr>
              <w:rPr>
                <w:color w:val="000000"/>
                <w:highlight w:val="none"/>
              </w:rPr>
            </w:pPr>
            <w:r>
              <w:rPr>
                <w:color w:val="000000"/>
                <w:highlight w:val="none"/>
              </w:rPr>
            </w:r>
            <w:r/>
          </w:p>
        </w:tc>
        <w:tc>
          <w:tcPr>
            <w:tcW w:w="141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1055" w:type="dxa"/>
            <w:vAlign w:val="top"/>
            <w:textDirection w:val="lrTb"/>
            <w:noWrap w:val="false"/>
          </w:tcPr>
          <w:p>
            <w:pPr>
              <w:rPr>
                <w:color w:val="000000"/>
                <w:highlight w:val="none"/>
              </w:rPr>
            </w:pPr>
            <w:r>
              <w:rPr>
                <w:color w:val="000000"/>
                <w:highlight w:val="none"/>
              </w:rPr>
            </w:r>
            <w:r/>
          </w:p>
        </w:tc>
        <w:tc>
          <w:tcPr>
            <w:tcW w:w="878"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1476"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933" w:type="dxa"/>
            <w:vAlign w:val="top"/>
            <w:textDirection w:val="lrTb"/>
            <w:noWrap w:val="false"/>
          </w:tcPr>
          <w:p>
            <w:pPr>
              <w:rPr>
                <w:color w:val="000000"/>
                <w:highlight w:val="none"/>
              </w:rPr>
            </w:pPr>
            <w:r>
              <w:rPr>
                <w:color w:val="000000"/>
                <w:highlight w:val="none"/>
              </w:rPr>
            </w:r>
            <w:r/>
          </w:p>
        </w:tc>
      </w:tr>
      <w:tr>
        <w:trPr>
          <w:jc w:val="center"/>
          <w:trHeight w:val="577"/>
        </w:trPr>
        <w:tc>
          <w:tcPr>
            <w:tcW w:w="707" w:type="dxa"/>
            <w:vAlign w:val="top"/>
            <w:textDirection w:val="lrTb"/>
            <w:noWrap w:val="false"/>
          </w:tcPr>
          <w:p>
            <w:pPr>
              <w:rPr>
                <w:color w:val="000000"/>
                <w:highlight w:val="none"/>
              </w:rPr>
            </w:pPr>
            <w:r>
              <w:rPr>
                <w:color w:val="000000"/>
                <w:highlight w:val="none"/>
              </w:rPr>
            </w:r>
            <w:r/>
          </w:p>
        </w:tc>
        <w:tc>
          <w:tcPr>
            <w:tcW w:w="141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1055" w:type="dxa"/>
            <w:vAlign w:val="top"/>
            <w:textDirection w:val="lrTb"/>
            <w:noWrap w:val="false"/>
          </w:tcPr>
          <w:p>
            <w:pPr>
              <w:rPr>
                <w:color w:val="000000"/>
                <w:highlight w:val="none"/>
              </w:rPr>
            </w:pPr>
            <w:r>
              <w:rPr>
                <w:color w:val="000000"/>
                <w:highlight w:val="none"/>
              </w:rPr>
            </w:r>
            <w:r/>
          </w:p>
        </w:tc>
        <w:tc>
          <w:tcPr>
            <w:tcW w:w="878"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1476"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933" w:type="dxa"/>
            <w:vAlign w:val="top"/>
            <w:textDirection w:val="lrTb"/>
            <w:noWrap w:val="false"/>
          </w:tcPr>
          <w:p>
            <w:pPr>
              <w:rPr>
                <w:color w:val="000000"/>
                <w:highlight w:val="none"/>
              </w:rPr>
            </w:pPr>
            <w:r>
              <w:rPr>
                <w:color w:val="000000"/>
                <w:highlight w:val="none"/>
              </w:rPr>
            </w:r>
            <w:r/>
          </w:p>
        </w:tc>
      </w:tr>
      <w:tr>
        <w:trPr>
          <w:jc w:val="center"/>
          <w:trHeight w:val="577"/>
        </w:trPr>
        <w:tc>
          <w:tcPr>
            <w:tcW w:w="707" w:type="dxa"/>
            <w:vAlign w:val="top"/>
            <w:textDirection w:val="lrTb"/>
            <w:noWrap w:val="false"/>
          </w:tcPr>
          <w:p>
            <w:pPr>
              <w:rPr>
                <w:color w:val="000000"/>
                <w:highlight w:val="none"/>
              </w:rPr>
            </w:pPr>
            <w:r>
              <w:rPr>
                <w:color w:val="000000"/>
                <w:highlight w:val="none"/>
              </w:rPr>
            </w:r>
            <w:r/>
          </w:p>
        </w:tc>
        <w:tc>
          <w:tcPr>
            <w:tcW w:w="141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1055" w:type="dxa"/>
            <w:vAlign w:val="top"/>
            <w:textDirection w:val="lrTb"/>
            <w:noWrap w:val="false"/>
          </w:tcPr>
          <w:p>
            <w:pPr>
              <w:rPr>
                <w:color w:val="000000"/>
                <w:highlight w:val="none"/>
              </w:rPr>
            </w:pPr>
            <w:r>
              <w:rPr>
                <w:color w:val="000000"/>
                <w:highlight w:val="none"/>
              </w:rPr>
            </w:r>
            <w:r/>
          </w:p>
        </w:tc>
        <w:tc>
          <w:tcPr>
            <w:tcW w:w="878"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1476"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933" w:type="dxa"/>
            <w:vAlign w:val="top"/>
            <w:textDirection w:val="lrTb"/>
            <w:noWrap w:val="false"/>
          </w:tcPr>
          <w:p>
            <w:pPr>
              <w:rPr>
                <w:color w:val="000000"/>
                <w:highlight w:val="none"/>
              </w:rPr>
            </w:pPr>
            <w:r>
              <w:rPr>
                <w:color w:val="000000"/>
                <w:highlight w:val="none"/>
              </w:rPr>
            </w:r>
            <w:r/>
          </w:p>
        </w:tc>
      </w:tr>
      <w:tr>
        <w:trPr>
          <w:jc w:val="center"/>
          <w:trHeight w:val="576"/>
        </w:trPr>
        <w:tc>
          <w:tcPr>
            <w:tcW w:w="707" w:type="dxa"/>
            <w:vAlign w:val="top"/>
            <w:textDirection w:val="lrTb"/>
            <w:noWrap w:val="false"/>
          </w:tcPr>
          <w:p>
            <w:pPr>
              <w:rPr>
                <w:color w:val="000000"/>
                <w:highlight w:val="none"/>
              </w:rPr>
            </w:pPr>
            <w:r>
              <w:rPr>
                <w:color w:val="000000"/>
                <w:highlight w:val="none"/>
              </w:rPr>
            </w:r>
            <w:r/>
          </w:p>
        </w:tc>
        <w:tc>
          <w:tcPr>
            <w:tcW w:w="141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1055" w:type="dxa"/>
            <w:vAlign w:val="top"/>
            <w:textDirection w:val="lrTb"/>
            <w:noWrap w:val="false"/>
          </w:tcPr>
          <w:p>
            <w:pPr>
              <w:rPr>
                <w:color w:val="000000"/>
                <w:highlight w:val="none"/>
              </w:rPr>
            </w:pPr>
            <w:r>
              <w:rPr>
                <w:color w:val="000000"/>
                <w:highlight w:val="none"/>
              </w:rPr>
            </w:r>
            <w:r/>
          </w:p>
        </w:tc>
        <w:tc>
          <w:tcPr>
            <w:tcW w:w="878"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1476"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933" w:type="dxa"/>
            <w:vAlign w:val="top"/>
            <w:textDirection w:val="lrTb"/>
            <w:noWrap w:val="false"/>
          </w:tcPr>
          <w:p>
            <w:pPr>
              <w:rPr>
                <w:color w:val="000000"/>
                <w:highlight w:val="none"/>
              </w:rPr>
            </w:pPr>
            <w:r>
              <w:rPr>
                <w:color w:val="000000"/>
                <w:highlight w:val="none"/>
              </w:rPr>
            </w:r>
            <w:r/>
          </w:p>
        </w:tc>
      </w:tr>
      <w:tr>
        <w:trPr>
          <w:jc w:val="center"/>
          <w:trHeight w:val="598"/>
        </w:trPr>
        <w:tc>
          <w:tcPr>
            <w:tcW w:w="707" w:type="dxa"/>
            <w:vAlign w:val="top"/>
            <w:textDirection w:val="lrTb"/>
            <w:noWrap w:val="false"/>
          </w:tcPr>
          <w:p>
            <w:pPr>
              <w:rPr>
                <w:color w:val="000000"/>
                <w:highlight w:val="none"/>
              </w:rPr>
            </w:pPr>
            <w:r>
              <w:rPr>
                <w:color w:val="000000"/>
                <w:highlight w:val="none"/>
              </w:rPr>
            </w:r>
            <w:r/>
          </w:p>
        </w:tc>
        <w:tc>
          <w:tcPr>
            <w:tcW w:w="1414" w:type="dxa"/>
            <w:vAlign w:val="top"/>
            <w:textDirection w:val="lrTb"/>
            <w:noWrap w:val="false"/>
          </w:tcPr>
          <w:p>
            <w:pPr>
              <w:rPr>
                <w:color w:val="000000"/>
                <w:highlight w:val="none"/>
              </w:rPr>
            </w:pPr>
            <w:r>
              <w:rPr>
                <w:color w:val="000000"/>
                <w:highlight w:val="none"/>
              </w:rPr>
            </w:r>
            <w:r/>
          </w:p>
        </w:tc>
        <w:tc>
          <w:tcPr>
            <w:tcW w:w="848" w:type="dxa"/>
            <w:vAlign w:val="top"/>
            <w:textDirection w:val="lrTb"/>
            <w:noWrap w:val="false"/>
          </w:tcPr>
          <w:p>
            <w:pPr>
              <w:rPr>
                <w:color w:val="000000"/>
                <w:highlight w:val="none"/>
              </w:rPr>
            </w:pPr>
            <w:r>
              <w:rPr>
                <w:color w:val="000000"/>
                <w:highlight w:val="none"/>
              </w:rPr>
            </w:r>
            <w:r/>
          </w:p>
        </w:tc>
        <w:tc>
          <w:tcPr>
            <w:tcW w:w="1055" w:type="dxa"/>
            <w:vAlign w:val="top"/>
            <w:textDirection w:val="lrTb"/>
            <w:noWrap w:val="false"/>
          </w:tcPr>
          <w:p>
            <w:pPr>
              <w:rPr>
                <w:color w:val="000000"/>
                <w:highlight w:val="none"/>
              </w:rPr>
            </w:pPr>
            <w:r>
              <w:rPr>
                <w:color w:val="000000"/>
                <w:highlight w:val="none"/>
              </w:rPr>
            </w:r>
            <w:r/>
          </w:p>
        </w:tc>
        <w:tc>
          <w:tcPr>
            <w:tcW w:w="878"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1476" w:type="dxa"/>
            <w:vAlign w:val="top"/>
            <w:textDirection w:val="lrTb"/>
            <w:noWrap w:val="false"/>
          </w:tcPr>
          <w:p>
            <w:pPr>
              <w:rPr>
                <w:color w:val="000000"/>
                <w:highlight w:val="none"/>
              </w:rPr>
            </w:pPr>
            <w:r>
              <w:rPr>
                <w:color w:val="000000"/>
                <w:highlight w:val="none"/>
              </w:rPr>
            </w:r>
            <w:r/>
          </w:p>
        </w:tc>
        <w:tc>
          <w:tcPr>
            <w:tcW w:w="1017" w:type="dxa"/>
            <w:vAlign w:val="top"/>
            <w:textDirection w:val="lrTb"/>
            <w:noWrap w:val="false"/>
          </w:tcPr>
          <w:p>
            <w:pPr>
              <w:rPr>
                <w:color w:val="000000"/>
                <w:highlight w:val="none"/>
              </w:rPr>
            </w:pPr>
            <w:r>
              <w:rPr>
                <w:color w:val="000000"/>
                <w:highlight w:val="none"/>
              </w:rPr>
            </w:r>
            <w:r/>
          </w:p>
        </w:tc>
        <w:tc>
          <w:tcPr>
            <w:tcW w:w="933" w:type="dxa"/>
            <w:vAlign w:val="top"/>
            <w:textDirection w:val="lrTb"/>
            <w:noWrap w:val="false"/>
          </w:tcPr>
          <w:p>
            <w:pPr>
              <w:rPr>
                <w:color w:val="000000"/>
                <w:highlight w:val="none"/>
              </w:rPr>
            </w:pPr>
            <w:r>
              <w:rPr>
                <w:color w:val="000000"/>
                <w:highlight w:val="none"/>
              </w:rPr>
            </w:r>
            <w:r/>
          </w:p>
        </w:tc>
      </w:tr>
    </w:tbl>
    <w:p>
      <w:pPr>
        <w:rPr>
          <w:color w:val="000000"/>
          <w:highlight w:val="none"/>
        </w:rPr>
      </w:pPr>
      <w:r>
        <w:rPr>
          <w:color w:val="000000"/>
          <w:highlight w:val="none"/>
        </w:rPr>
      </w:r>
      <w:r/>
    </w:p>
    <w:p>
      <w:pPr>
        <w:rPr>
          <w:color w:val="000000"/>
          <w:highlight w:val="none"/>
        </w:rPr>
        <w:sectPr>
          <w:footerReference w:type="default" r:id="rId16"/>
          <w:footnotePr/>
          <w:endnotePr/>
          <w:type w:val="nextPage"/>
          <w:pgSz w:w="11907" w:h="16840" w:orient="portrait"/>
          <w:pgMar w:top="1440" w:right="1080" w:bottom="1440" w:left="1080" w:header="0" w:footer="849" w:gutter="0"/>
          <w:cols w:num="1" w:sep="0" w:space="1701" w:equalWidth="1"/>
          <w:docGrid w:linePitch="360"/>
        </w:sectPr>
      </w:pPr>
      <w:r>
        <w:rPr>
          <w:color w:val="000000"/>
          <w:highlight w:val="none"/>
        </w:rPr>
      </w:r>
      <w:r/>
    </w:p>
    <w:p>
      <w:pPr>
        <w:spacing w:line="258" w:lineRule="auto"/>
        <w:rPr>
          <w:rFonts w:ascii="宋体" w:hAnsi="宋体" w:cs="宋体"/>
          <w:color w:val="000000"/>
          <w:sz w:val="24"/>
          <w:szCs w:val="24"/>
          <w:highlight w:val="none"/>
        </w:rPr>
      </w:pPr>
      <w:r>
        <w:rPr>
          <w:rFonts w:ascii="宋体" w:hAnsi="宋体" w:cs="宋体"/>
          <w:color w:val="000000"/>
          <w:spacing w:val="-17"/>
          <w:sz w:val="24"/>
          <w:szCs w:val="24"/>
          <w:highlight w:val="none"/>
        </w:rPr>
        <w:t xml:space="preserve">附</w:t>
      </w:r>
      <w:r>
        <w:rPr>
          <w:rFonts w:ascii="宋体" w:hAnsi="宋体" w:cs="宋体"/>
          <w:color w:val="000000"/>
          <w:spacing w:val="-16"/>
          <w:sz w:val="24"/>
          <w:szCs w:val="24"/>
          <w:highlight w:val="none"/>
        </w:rPr>
        <w:t xml:space="preserve">件</w:t>
      </w:r>
      <w:r>
        <w:rPr>
          <w:rFonts w:hint="eastAsia" w:ascii="宋体" w:hAnsi="宋体" w:cs="宋体"/>
          <w:color w:val="000000"/>
          <w:spacing w:val="-16"/>
          <w:sz w:val="24"/>
          <w:szCs w:val="24"/>
          <w:highlight w:val="none"/>
          <w:lang w:val="en-US" w:eastAsia="zh-CN"/>
        </w:rPr>
        <w:t xml:space="preserve">3</w:t>
      </w:r>
      <w:r>
        <w:rPr>
          <w:rFonts w:ascii="宋体" w:hAnsi="宋体" w:cs="宋体"/>
          <w:color w:val="000000"/>
          <w:spacing w:val="-16"/>
          <w:sz w:val="24"/>
          <w:szCs w:val="24"/>
          <w:highlight w:val="none"/>
        </w:rPr>
        <w:t xml:space="preserve">：</w:t>
      </w:r>
      <w:r/>
    </w:p>
    <w:p>
      <w:pPr>
        <w:jc w:val="center"/>
        <w:spacing w:before="156" w:after="156" w:line="440" w:lineRule="exact"/>
        <w:rPr>
          <w:rFonts w:ascii="宋体" w:hAnsi="宋体" w:cs="宋体"/>
          <w:b/>
          <w:bCs/>
          <w:color w:val="000000"/>
          <w:sz w:val="24"/>
          <w:szCs w:val="24"/>
          <w:highlight w:val="none"/>
        </w:rPr>
      </w:pPr>
      <w:r>
        <w:rPr>
          <w:rFonts w:ascii="宋体" w:hAnsi="宋体" w:cs="宋体"/>
          <w:b/>
          <w:bCs/>
          <w:color w:val="000000"/>
          <w:spacing w:val="9"/>
          <w:sz w:val="24"/>
          <w:szCs w:val="24"/>
          <w:highlight w:val="none"/>
        </w:rPr>
        <w:t xml:space="preserve">承包人主要施工管理人员表</w:t>
      </w:r>
      <w:r/>
    </w:p>
    <w:tbl>
      <w:tblPr>
        <w:tblStyle w:val="1078"/>
        <w:tblW w:w="98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176"/>
              <w:ind w:left="63" w:right="63"/>
              <w:jc w:val="center"/>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名 称</w:t>
            </w:r>
            <w:r/>
          </w:p>
        </w:tc>
        <w:tc>
          <w:tcPr>
            <w:tcW w:w="1418" w:type="dxa"/>
            <w:vAlign w:val="center"/>
            <w:textDirection w:val="lrTb"/>
            <w:noWrap w:val="false"/>
          </w:tcPr>
          <w:p>
            <w:pPr>
              <w:pStyle w:val="1176"/>
              <w:ind w:left="63" w:right="63"/>
              <w:jc w:val="center"/>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姓名</w:t>
            </w:r>
            <w:r/>
          </w:p>
        </w:tc>
        <w:tc>
          <w:tcPr>
            <w:tcW w:w="1134" w:type="dxa"/>
            <w:vAlign w:val="center"/>
            <w:textDirection w:val="lrTb"/>
            <w:noWrap w:val="false"/>
          </w:tcPr>
          <w:p>
            <w:pPr>
              <w:pStyle w:val="1176"/>
              <w:ind w:left="63" w:right="63"/>
              <w:jc w:val="center"/>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职务</w:t>
            </w:r>
            <w:r/>
          </w:p>
        </w:tc>
        <w:tc>
          <w:tcPr>
            <w:tcW w:w="1134" w:type="dxa"/>
            <w:vAlign w:val="center"/>
            <w:textDirection w:val="lrTb"/>
            <w:noWrap w:val="false"/>
          </w:tcPr>
          <w:p>
            <w:pPr>
              <w:pStyle w:val="1176"/>
              <w:ind w:left="63" w:right="63"/>
              <w:jc w:val="center"/>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职称</w:t>
            </w:r>
            <w:r/>
          </w:p>
        </w:tc>
        <w:tc>
          <w:tcPr>
            <w:tcW w:w="4252" w:type="dxa"/>
            <w:vAlign w:val="center"/>
            <w:textDirection w:val="lrTb"/>
            <w:noWrap w:val="false"/>
          </w:tcPr>
          <w:p>
            <w:pPr>
              <w:pStyle w:val="1176"/>
              <w:ind w:left="63" w:right="63"/>
              <w:jc w:val="center"/>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一、总部人员</w:t>
            </w:r>
            <w:r/>
          </w:p>
        </w:tc>
      </w:tr>
      <w:tr>
        <w:trPr>
          <w:jc w:val="center"/>
        </w:trPr>
        <w:tc>
          <w:tcPr>
            <w:tcW w:w="1871"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项目主管</w:t>
            </w:r>
            <w:r/>
          </w:p>
        </w:tc>
        <w:tc>
          <w:tcPr>
            <w:tcW w:w="1418"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871"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871"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其他人员</w:t>
            </w:r>
            <w:r/>
          </w:p>
        </w:tc>
        <w:tc>
          <w:tcPr>
            <w:tcW w:w="1418"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871"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jc w:val="center"/>
        </w:trPr>
        <w:tc>
          <w:tcPr>
            <w:gridSpan w:val="5"/>
            <w:tcW w:w="9809"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二、现场人员</w:t>
            </w:r>
            <w:r/>
          </w:p>
        </w:tc>
      </w:tr>
      <w:tr>
        <w:trPr>
          <w:jc w:val="center"/>
        </w:trPr>
        <w:tc>
          <w:tcPr>
            <w:tcW w:w="1871"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项目经理</w:t>
            </w:r>
            <w:r/>
          </w:p>
        </w:tc>
        <w:tc>
          <w:tcPr>
            <w:tcW w:w="1418"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871"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技术负责人</w:t>
            </w:r>
            <w:r/>
          </w:p>
        </w:tc>
        <w:tc>
          <w:tcPr>
            <w:tcW w:w="1418"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871"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造价管理</w:t>
            </w:r>
            <w:r/>
          </w:p>
        </w:tc>
        <w:tc>
          <w:tcPr>
            <w:tcW w:w="1418"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871"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质量管理</w:t>
            </w:r>
            <w:r/>
          </w:p>
        </w:tc>
        <w:tc>
          <w:tcPr>
            <w:tcW w:w="1418"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871"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材料管理</w:t>
            </w:r>
            <w:r/>
          </w:p>
        </w:tc>
        <w:tc>
          <w:tcPr>
            <w:tcW w:w="1418"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871"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施工管理</w:t>
            </w:r>
            <w:r/>
          </w:p>
        </w:tc>
        <w:tc>
          <w:tcPr>
            <w:tcW w:w="1418"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871"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安全管理</w:t>
            </w:r>
            <w:r/>
          </w:p>
        </w:tc>
        <w:tc>
          <w:tcPr>
            <w:tcW w:w="1418"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871" w:type="dxa"/>
            <w:vAlign w:val="center"/>
            <w:vMerge w:val="restart"/>
            <w:textDirection w:val="lrTb"/>
            <w:noWrap w:val="false"/>
          </w:tcPr>
          <w:p>
            <w:pPr>
              <w:pStyle w:val="1176"/>
              <w:ind w:left="63" w:right="63"/>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其他人员</w:t>
            </w:r>
            <w:r/>
          </w:p>
        </w:tc>
        <w:tc>
          <w:tcPr>
            <w:tcW w:w="1418"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871" w:type="dxa"/>
            <w:vAlign w:val="center"/>
            <w:vMerge w:val="continue"/>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871" w:type="dxa"/>
            <w:vAlign w:val="center"/>
            <w:vMerge w:val="continue"/>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871" w:type="dxa"/>
            <w:vAlign w:val="center"/>
            <w:vMerge w:val="continue"/>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871" w:type="dxa"/>
            <w:vAlign w:val="center"/>
            <w:vMerge w:val="continue"/>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jc w:val="center"/>
        </w:trPr>
        <w:tc>
          <w:tcPr>
            <w:tcW w:w="1871" w:type="dxa"/>
            <w:vAlign w:val="center"/>
            <w:vMerge w:val="continue"/>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17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bl>
    <w:p>
      <w:pP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br w:type="page" w:clear="all"/>
      </w:r>
      <w:r>
        <w:rPr>
          <w:rFonts w:hint="eastAsia" w:ascii="宋体" w:hAnsi="宋体" w:cs="宋体"/>
          <w:color w:val="000000"/>
          <w:sz w:val="24"/>
          <w:szCs w:val="24"/>
          <w:highlight w:val="none"/>
        </w:rPr>
        <w:t xml:space="preserve">附</w:t>
      </w:r>
      <w:bookmarkStart w:id="9" w:name="_Toc296347225"/>
      <w:r/>
      <w:bookmarkStart w:id="10" w:name="_Toc296503226"/>
      <w:r/>
      <w:bookmarkStart w:id="11" w:name="_Toc296944565"/>
      <w:r/>
      <w:bookmarkStart w:id="12" w:name="_Toc296346727"/>
      <w:r/>
      <w:bookmarkStart w:id="13" w:name="_Toc267261693"/>
      <w:r/>
      <w:bookmarkStart w:id="14" w:name="_Toc296891266"/>
      <w:r/>
      <w:bookmarkStart w:id="15" w:name="_Toc296891054"/>
      <w:r>
        <w:rPr>
          <w:rFonts w:hint="eastAsia" w:ascii="宋体" w:hAnsi="宋体" w:cs="宋体"/>
          <w:color w:val="000000"/>
          <w:sz w:val="24"/>
          <w:szCs w:val="24"/>
          <w:highlight w:val="none"/>
        </w:rPr>
        <w:t xml:space="preserve">件</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w:t>
      </w:r>
      <w:bookmarkEnd w:id="9"/>
      <w:r/>
      <w:bookmarkEnd w:id="10"/>
      <w:r/>
      <w:bookmarkEnd w:id="11"/>
      <w:r/>
      <w:bookmarkEnd w:id="12"/>
      <w:r/>
      <w:bookmarkEnd w:id="13"/>
      <w:r/>
      <w:bookmarkEnd w:id="14"/>
      <w:r/>
      <w:bookmarkEnd w:id="15"/>
      <w:r>
        <w:rPr>
          <w:rFonts w:hint="eastAsia" w:ascii="宋体" w:hAnsi="宋体" w:cs="宋体"/>
          <w:color w:val="000000"/>
          <w:sz w:val="24"/>
          <w:szCs w:val="24"/>
          <w:highlight w:val="none"/>
        </w:rPr>
        <w:t xml:space="preserve">    </w:t>
      </w:r>
      <w:r/>
    </w:p>
    <w:p>
      <w:pPr>
        <w:ind w:left="0" w:right="593" w:firstLine="562"/>
        <w:jc w:val="center"/>
        <w:spacing w:before="32" w:after="0"/>
        <w:rPr>
          <w:rFonts w:hint="eastAsia" w:ascii="宋体" w:hAnsi="宋体" w:eastAsia="宋体" w:cs="宋体"/>
          <w:sz w:val="24"/>
          <w:szCs w:val="24"/>
        </w:rPr>
      </w:pPr>
      <w:r>
        <w:rPr>
          <w:rFonts w:hint="eastAsia" w:ascii="宋体" w:hAnsi="宋体" w:eastAsia="宋体" w:cs="宋体"/>
          <w:b/>
          <w:sz w:val="24"/>
          <w:szCs w:val="24"/>
        </w:rPr>
        <w:t xml:space="preserve">工程质量保修书</w:t>
      </w:r>
      <w:r/>
    </w:p>
    <w:p>
      <w:pPr>
        <w:pStyle w:val="1115"/>
        <w:ind w:left="63" w:right="63" w:firstLine="422"/>
        <w:spacing w:before="1" w:after="60"/>
        <w:rPr>
          <w:rFonts w:hint="eastAsia" w:ascii="宋体" w:hAnsi="宋体" w:eastAsia="宋体" w:cs="宋体"/>
          <w:b/>
          <w:sz w:val="24"/>
          <w:szCs w:val="24"/>
        </w:rPr>
      </w:pPr>
      <w:r>
        <w:rPr>
          <w:rFonts w:hint="eastAsia" w:ascii="宋体" w:hAnsi="宋体" w:eastAsia="宋体" w:cs="宋体"/>
          <w:b/>
          <w:sz w:val="24"/>
          <w:szCs w:val="24"/>
        </w:rPr>
      </w:r>
      <w:r/>
    </w:p>
    <w:p>
      <w:pPr>
        <w:pStyle w:val="1115"/>
        <w:ind w:left="63" w:right="63"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发包人（全称）：</w:t>
      </w:r>
      <w:r/>
    </w:p>
    <w:p>
      <w:pPr>
        <w:pStyle w:val="1115"/>
        <w:ind w:left="63" w:right="63"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承包人（全称）：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pStyle w:val="1115"/>
        <w:ind w:left="63" w:right="63" w:firstLine="420"/>
        <w:jc w:val="left"/>
        <w:spacing w:before="1" w:after="60" w:line="360" w:lineRule="auto"/>
        <w:rPr>
          <w:rFonts w:hint="eastAsia" w:ascii="宋体" w:hAnsi="宋体" w:eastAsia="宋体" w:cs="宋体"/>
          <w:sz w:val="21"/>
          <w:szCs w:val="21"/>
        </w:rPr>
      </w:pPr>
      <w:r>
        <w:rPr>
          <w:rFonts w:hint="eastAsia" w:ascii="宋体" w:hAnsi="宋体" w:eastAsia="宋体" w:cs="宋体"/>
          <w:sz w:val="21"/>
          <w:szCs w:val="21"/>
        </w:rPr>
        <w:t xml:space="preserve">发包人和承包人根据《中华人民共和国建筑法》和《建设工程质量管理条例》，经协商一致就</w:t>
      </w:r>
      <w:r>
        <w:rPr>
          <w:rFonts w:hint="eastAsia" w:ascii="宋体" w:hAnsi="宋体" w:eastAsia="宋体" w:cs="宋体"/>
          <w:sz w:val="21"/>
          <w:szCs w:val="21"/>
          <w:u w:val="single"/>
        </w:rPr>
        <w:t xml:space="preserve">（工程全称）</w:t>
      </w:r>
      <w:r>
        <w:rPr>
          <w:rFonts w:hint="eastAsia" w:ascii="宋体" w:hAnsi="宋体" w:eastAsia="宋体" w:cs="宋体"/>
          <w:sz w:val="21"/>
          <w:szCs w:val="21"/>
        </w:rPr>
        <w:t xml:space="preserve"> 签订工程质量保修书。</w:t>
      </w:r>
      <w:r/>
    </w:p>
    <w:p>
      <w:pPr>
        <w:pStyle w:val="1115"/>
        <w:ind w:left="63" w:right="63"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一、工程质量保修范围和内容</w:t>
      </w:r>
      <w:r/>
    </w:p>
    <w:p>
      <w:pPr>
        <w:pStyle w:val="1115"/>
        <w:ind w:left="63" w:right="63" w:firstLine="420"/>
        <w:jc w:val="left"/>
        <w:spacing w:before="139" w:after="60"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承包人在质量保修期内，按照有关法律规定和合同约定，承担工程质量保</w:t>
      </w:r>
      <w:r>
        <w:rPr>
          <w:rFonts w:hint="eastAsia" w:ascii="宋体" w:hAnsi="宋体" w:eastAsia="宋体" w:cs="宋体"/>
          <w:color w:val="000000"/>
          <w:sz w:val="21"/>
          <w:szCs w:val="21"/>
        </w:rPr>
        <w:t xml:space="preserve">修责任。</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质量保修范围包括</w:t>
      </w:r>
      <w:r>
        <w:rPr>
          <w:rFonts w:hint="eastAsia" w:ascii="宋体" w:hAnsi="宋体" w:eastAsia="宋体" w:cs="宋体"/>
          <w:color w:val="000000"/>
          <w:sz w:val="21"/>
          <w:szCs w:val="21"/>
          <w:lang w:val="en-US" w:eastAsia="zh-CN"/>
        </w:rPr>
        <w:t xml:space="preserve">采购人派遣工单、网络舆情、</w:t>
      </w:r>
      <w:r>
        <w:rPr>
          <w:rFonts w:hint="eastAsia" w:ascii="宋体" w:hAnsi="宋体" w:eastAsia="宋体" w:cs="宋体"/>
          <w:color w:val="000000"/>
          <w:sz w:val="21"/>
          <w:szCs w:val="21"/>
          <w:lang w:eastAsia="zh-CN"/>
        </w:rPr>
        <w:t xml:space="preserve">“12345”热线工单、</w:t>
      </w:r>
      <w:r>
        <w:rPr>
          <w:rFonts w:hint="eastAsia" w:ascii="宋体" w:hAnsi="宋体" w:eastAsia="宋体" w:cs="宋体"/>
          <w:color w:val="000000"/>
          <w:sz w:val="21"/>
          <w:szCs w:val="21"/>
          <w:lang w:val="en-US" w:eastAsia="zh-CN"/>
        </w:rPr>
        <w:t xml:space="preserve">数字化平台派单、社情民意</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交警部门来函及迎检重大活动</w:t>
      </w:r>
      <w:r>
        <w:rPr>
          <w:rFonts w:hint="eastAsia" w:ascii="宋体" w:hAnsi="宋体" w:eastAsia="宋体" w:cs="宋体"/>
          <w:color w:val="000000"/>
          <w:sz w:val="21"/>
          <w:szCs w:val="21"/>
          <w:lang w:eastAsia="zh-CN"/>
        </w:rPr>
        <w:t xml:space="preserve">等涉及到铜山城区范围内的道路基础设施维修养护等内容</w:t>
      </w:r>
      <w:r>
        <w:rPr>
          <w:rFonts w:hint="eastAsia" w:ascii="宋体" w:hAnsi="宋体" w:eastAsia="宋体" w:cs="宋体"/>
          <w:color w:val="000000"/>
          <w:sz w:val="21"/>
          <w:szCs w:val="21"/>
        </w:rPr>
        <w:t xml:space="preserve">以及双方约定的其他项目。具体保修的内容，双方约定如下：</w:t>
      </w:r>
      <w:r/>
    </w:p>
    <w:p>
      <w:pPr>
        <w:ind w:left="0" w:righ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lang w:eastAsia="zh-CN"/>
        </w:rPr>
        <w:t xml:space="preserve">具体内容详见工程量清单及相关工单、</w:t>
      </w:r>
      <w:r>
        <w:rPr>
          <w:rFonts w:hint="eastAsia" w:ascii="宋体" w:hAnsi="宋体" w:eastAsia="宋体" w:cs="宋体"/>
          <w:color w:val="000000"/>
          <w:sz w:val="21"/>
          <w:szCs w:val="21"/>
          <w:u w:val="single"/>
        </w:rPr>
        <w:t xml:space="preserve">施工图</w:t>
      </w:r>
      <w:r>
        <w:rPr>
          <w:rFonts w:hint="eastAsia" w:ascii="宋体" w:hAnsi="宋体" w:eastAsia="宋体" w:cs="宋体"/>
          <w:color w:val="000000"/>
          <w:sz w:val="21"/>
          <w:szCs w:val="21"/>
          <w:u w:val="single"/>
          <w:lang w:val="en-US" w:eastAsia="zh-CN"/>
        </w:rPr>
        <w:t xml:space="preserve">或者方案</w:t>
      </w:r>
      <w:r>
        <w:rPr>
          <w:rFonts w:hint="eastAsia" w:ascii="宋体" w:hAnsi="宋体" w:eastAsia="宋体" w:cs="宋体"/>
          <w:color w:val="000000"/>
          <w:sz w:val="21"/>
          <w:szCs w:val="21"/>
          <w:u w:val="single"/>
        </w:rPr>
        <w:t xml:space="preserve">所含的全部内容。</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p>
    <w:p>
      <w:pPr>
        <w:pStyle w:val="1115"/>
        <w:ind w:left="63" w:right="63"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二、质量保修期</w:t>
      </w:r>
      <w:r/>
    </w:p>
    <w:p>
      <w:pPr>
        <w:pStyle w:val="1115"/>
        <w:ind w:left="420" w:right="63" w:firstLine="420"/>
        <w:jc w:val="left"/>
        <w:spacing w:before="139" w:after="60" w:line="360" w:lineRule="auto"/>
        <w:rPr>
          <w:rFonts w:hint="eastAsia" w:ascii="宋体" w:hAnsi="宋体" w:eastAsia="宋体" w:cs="宋体"/>
          <w:sz w:val="21"/>
          <w:szCs w:val="21"/>
        </w:rPr>
      </w:pPr>
      <w:r>
        <w:rPr>
          <w:rFonts w:hint="eastAsia" w:ascii="宋体" w:hAnsi="宋体" w:eastAsia="宋体" w:cs="宋体"/>
          <w:sz w:val="21"/>
          <w:szCs w:val="21"/>
        </w:rPr>
        <w:t xml:space="preserve">根据《建设工程质量管理条例》及有关规定，工程的质量保修期如下：</w:t>
      </w:r>
      <w:r/>
    </w:p>
    <w:p>
      <w:pPr>
        <w:pStyle w:val="1115"/>
        <w:numPr>
          <w:ilvl w:val="0"/>
          <w:numId w:val="8"/>
        </w:numPr>
        <w:ind w:left="425" w:right="63" w:firstLine="420"/>
        <w:jc w:val="left"/>
        <w:spacing w:before="139" w:after="0" w:line="360" w:lineRule="auto"/>
        <w:tabs>
          <w:tab w:val="left" w:pos="979" w:leader="none"/>
        </w:tabs>
        <w:rPr>
          <w:rFonts w:hint="eastAsia" w:ascii="宋体" w:hAnsi="宋体" w:eastAsia="宋体" w:cs="宋体"/>
          <w:sz w:val="21"/>
          <w:szCs w:val="21"/>
        </w:rPr>
      </w:pPr>
      <w:r>
        <w:rPr>
          <w:rFonts w:hint="eastAsia" w:ascii="宋体" w:hAnsi="宋体" w:eastAsia="宋体" w:cs="宋体"/>
          <w:sz w:val="21"/>
          <w:szCs w:val="21"/>
        </w:rPr>
        <w:t xml:space="preserve">地基基础工程和主体结构工程为设计文件规定的工程合理使用年限；</w:t>
      </w:r>
      <w:r/>
    </w:p>
    <w:p>
      <w:pPr>
        <w:pStyle w:val="1115"/>
        <w:numPr>
          <w:ilvl w:val="0"/>
          <w:numId w:val="8"/>
        </w:numPr>
        <w:ind w:left="425" w:right="63" w:firstLine="420"/>
        <w:jc w:val="left"/>
        <w:spacing w:before="139" w:after="0" w:line="360" w:lineRule="auto"/>
        <w:tabs>
          <w:tab w:val="left" w:pos="979" w:leader="none"/>
        </w:tabs>
        <w:rPr>
          <w:rFonts w:hint="eastAsia" w:ascii="宋体" w:hAnsi="宋体" w:eastAsia="宋体" w:cs="宋体"/>
          <w:sz w:val="21"/>
          <w:szCs w:val="21"/>
        </w:rPr>
      </w:pPr>
      <w:r>
        <w:rPr>
          <w:rFonts w:hint="eastAsia" w:ascii="宋体" w:hAnsi="宋体" w:eastAsia="宋体" w:cs="宋体"/>
          <w:sz w:val="21"/>
          <w:szCs w:val="21"/>
        </w:rPr>
        <w:t xml:space="preserve">屋面防水工程、有防水要求的卫生间、房间和外墙面的防渗为</w:t>
      </w:r>
      <w:r>
        <w:rPr>
          <w:rFonts w:hint="eastAsia" w:ascii="宋体" w:hAnsi="宋体" w:eastAsia="宋体" w:cs="宋体"/>
          <w:sz w:val="21"/>
          <w:szCs w:val="21"/>
          <w:u w:val="single"/>
        </w:rPr>
        <w:t xml:space="preserve"> 5</w:t>
      </w:r>
      <w:r>
        <w:rPr>
          <w:rFonts w:hint="eastAsia" w:ascii="宋体" w:hAnsi="宋体" w:eastAsia="宋体" w:cs="宋体"/>
          <w:sz w:val="21"/>
          <w:szCs w:val="21"/>
        </w:rPr>
        <w:t xml:space="preserve">年；</w:t>
      </w:r>
      <w:r/>
    </w:p>
    <w:p>
      <w:pPr>
        <w:pStyle w:val="1115"/>
        <w:numPr>
          <w:ilvl w:val="0"/>
          <w:numId w:val="8"/>
        </w:numPr>
        <w:ind w:left="425" w:right="63" w:firstLine="420"/>
        <w:jc w:val="left"/>
        <w:spacing w:before="139" w:after="0" w:line="360" w:lineRule="auto"/>
        <w:tabs>
          <w:tab w:val="left" w:pos="979" w:leader="none"/>
        </w:tabs>
        <w:rPr>
          <w:rFonts w:hint="eastAsia" w:ascii="宋体" w:hAnsi="宋体" w:eastAsia="宋体" w:cs="宋体"/>
          <w:sz w:val="21"/>
          <w:szCs w:val="21"/>
        </w:rPr>
      </w:pPr>
      <w:r>
        <w:rPr>
          <w:rFonts w:hint="eastAsia" w:ascii="宋体" w:hAnsi="宋体" w:eastAsia="宋体" w:cs="宋体"/>
          <w:sz w:val="21"/>
          <w:szCs w:val="21"/>
        </w:rPr>
        <w:t xml:space="preserve">装修工程为</w:t>
      </w:r>
      <w:r>
        <w:rPr>
          <w:rFonts w:hint="eastAsia" w:ascii="宋体" w:hAnsi="宋体" w:eastAsia="宋体" w:cs="宋体"/>
          <w:sz w:val="21"/>
          <w:szCs w:val="21"/>
          <w:u w:val="single"/>
        </w:rPr>
        <w:t xml:space="preserve">  2</w:t>
      </w:r>
      <w:r>
        <w:rPr>
          <w:rFonts w:hint="eastAsia" w:ascii="宋体" w:hAnsi="宋体" w:eastAsia="宋体" w:cs="宋体"/>
          <w:sz w:val="21"/>
          <w:szCs w:val="21"/>
        </w:rPr>
        <w:t xml:space="preserve">年；</w:t>
      </w:r>
      <w:r/>
    </w:p>
    <w:p>
      <w:pPr>
        <w:pStyle w:val="1115"/>
        <w:numPr>
          <w:ilvl w:val="0"/>
          <w:numId w:val="8"/>
        </w:numPr>
        <w:ind w:left="425" w:right="63" w:firstLine="420"/>
        <w:jc w:val="left"/>
        <w:spacing w:before="139" w:after="0" w:line="360" w:lineRule="auto"/>
        <w:tabs>
          <w:tab w:val="left" w:pos="979" w:leader="none"/>
        </w:tabs>
        <w:rPr>
          <w:rFonts w:hint="eastAsia" w:ascii="宋体" w:hAnsi="宋体" w:eastAsia="宋体" w:cs="宋体"/>
          <w:sz w:val="21"/>
          <w:szCs w:val="21"/>
        </w:rPr>
      </w:pPr>
      <w:r>
        <w:rPr>
          <w:rFonts w:hint="eastAsia" w:ascii="宋体" w:hAnsi="宋体" w:eastAsia="宋体" w:cs="宋体"/>
          <w:sz w:val="21"/>
          <w:szCs w:val="21"/>
        </w:rPr>
        <w:t xml:space="preserve">电气管线、给排水管道、设备安装工程为</w:t>
      </w:r>
      <w:r>
        <w:rPr>
          <w:rFonts w:hint="eastAsia" w:ascii="宋体" w:hAnsi="宋体" w:eastAsia="宋体" w:cs="宋体"/>
          <w:sz w:val="21"/>
          <w:szCs w:val="21"/>
          <w:u w:val="single"/>
        </w:rPr>
        <w:t xml:space="preserve"> 2 </w:t>
      </w:r>
      <w:r>
        <w:rPr>
          <w:rFonts w:hint="eastAsia" w:ascii="宋体" w:hAnsi="宋体" w:eastAsia="宋体" w:cs="宋体"/>
          <w:sz w:val="21"/>
          <w:szCs w:val="21"/>
        </w:rPr>
        <w:t xml:space="preserve">年；</w:t>
      </w:r>
      <w:r/>
    </w:p>
    <w:p>
      <w:pPr>
        <w:pStyle w:val="1115"/>
        <w:numPr>
          <w:ilvl w:val="0"/>
          <w:numId w:val="8"/>
        </w:numPr>
        <w:ind w:left="425" w:right="63" w:firstLine="420"/>
        <w:jc w:val="left"/>
        <w:spacing w:before="139" w:after="0" w:line="360" w:lineRule="auto"/>
        <w:tabs>
          <w:tab w:val="left" w:pos="979" w:leader="none"/>
        </w:tabs>
        <w:rPr>
          <w:rFonts w:hint="eastAsia" w:ascii="宋体" w:hAnsi="宋体" w:eastAsia="宋体" w:cs="宋体"/>
          <w:sz w:val="21"/>
          <w:szCs w:val="21"/>
        </w:rPr>
      </w:pPr>
      <w:r>
        <w:rPr>
          <w:rFonts w:hint="eastAsia" w:ascii="宋体" w:hAnsi="宋体" w:eastAsia="宋体" w:cs="宋体"/>
          <w:sz w:val="21"/>
          <w:szCs w:val="21"/>
        </w:rPr>
        <w:t xml:space="preserve">供热与供冷系统为</w:t>
      </w:r>
      <w:r>
        <w:rPr>
          <w:rFonts w:hint="eastAsia" w:ascii="宋体" w:hAnsi="宋体" w:eastAsia="宋体" w:cs="宋体"/>
          <w:sz w:val="21"/>
          <w:szCs w:val="21"/>
          <w:u w:val="single"/>
        </w:rPr>
        <w:t xml:space="preserve">  2</w:t>
      </w:r>
      <w:r>
        <w:rPr>
          <w:rFonts w:hint="eastAsia" w:ascii="宋体" w:hAnsi="宋体" w:eastAsia="宋体" w:cs="宋体"/>
          <w:sz w:val="21"/>
          <w:szCs w:val="21"/>
          <w:u w:val="single"/>
        </w:rPr>
        <w:tab/>
      </w:r>
      <w:r>
        <w:rPr>
          <w:rFonts w:hint="eastAsia" w:ascii="宋体" w:hAnsi="宋体" w:eastAsia="宋体" w:cs="宋体"/>
          <w:sz w:val="21"/>
          <w:szCs w:val="21"/>
        </w:rPr>
        <w:t xml:space="preserve">个采暖期、供冷期；</w:t>
      </w:r>
      <w:r/>
    </w:p>
    <w:p>
      <w:pPr>
        <w:pStyle w:val="1115"/>
        <w:numPr>
          <w:ilvl w:val="0"/>
          <w:numId w:val="8"/>
        </w:numPr>
        <w:ind w:left="425" w:right="63" w:firstLine="420"/>
        <w:jc w:val="left"/>
        <w:spacing w:before="139" w:after="0" w:line="360" w:lineRule="auto"/>
        <w:tabs>
          <w:tab w:val="left" w:pos="979" w:leader="none"/>
        </w:tabs>
        <w:rPr>
          <w:rFonts w:hint="eastAsia" w:ascii="宋体" w:hAnsi="宋体" w:eastAsia="宋体" w:cs="宋体"/>
          <w:sz w:val="21"/>
          <w:szCs w:val="21"/>
        </w:rPr>
      </w:pPr>
      <w:r>
        <w:rPr>
          <w:rFonts w:hint="eastAsia" w:ascii="宋体" w:hAnsi="宋体" w:eastAsia="宋体" w:cs="宋体"/>
          <w:sz w:val="21"/>
          <w:szCs w:val="21"/>
        </w:rPr>
        <w:t xml:space="preserve">给排水设施、道路等配套工程为</w:t>
      </w:r>
      <w:r>
        <w:rPr>
          <w:rFonts w:hint="eastAsia" w:ascii="宋体" w:hAnsi="宋体" w:eastAsia="宋体" w:cs="宋体"/>
          <w:sz w:val="21"/>
          <w:szCs w:val="21"/>
          <w:u w:val="single"/>
        </w:rPr>
        <w:t xml:space="preserve"> 2</w:t>
      </w:r>
      <w:r>
        <w:rPr>
          <w:rFonts w:hint="eastAsia" w:ascii="宋体" w:hAnsi="宋体" w:eastAsia="宋体" w:cs="宋体"/>
          <w:sz w:val="21"/>
          <w:szCs w:val="21"/>
          <w:u w:val="single"/>
        </w:rPr>
        <w:tab/>
      </w:r>
      <w:r>
        <w:rPr>
          <w:rFonts w:hint="eastAsia" w:ascii="宋体" w:hAnsi="宋体" w:eastAsia="宋体" w:cs="宋体"/>
          <w:sz w:val="21"/>
          <w:szCs w:val="21"/>
        </w:rPr>
        <w:t xml:space="preserve">年；</w:t>
      </w:r>
      <w:r/>
    </w:p>
    <w:p>
      <w:pPr>
        <w:pStyle w:val="1115"/>
        <w:numPr>
          <w:ilvl w:val="0"/>
          <w:numId w:val="8"/>
        </w:numPr>
        <w:ind w:left="425" w:right="63" w:firstLine="420"/>
        <w:jc w:val="left"/>
        <w:spacing w:before="139" w:after="0" w:line="360" w:lineRule="auto"/>
        <w:tabs>
          <w:tab w:val="left" w:pos="979" w:leader="none"/>
        </w:tabs>
        <w:rPr>
          <w:rFonts w:hint="eastAsia" w:ascii="宋体" w:hAnsi="宋体" w:eastAsia="宋体" w:cs="宋体"/>
          <w:sz w:val="21"/>
          <w:szCs w:val="21"/>
        </w:rPr>
      </w:pPr>
      <w:r>
        <w:rPr>
          <w:rFonts w:hint="eastAsia" w:ascii="宋体" w:hAnsi="宋体" w:eastAsia="宋体" w:cs="宋体"/>
          <w:sz w:val="21"/>
          <w:szCs w:val="21"/>
        </w:rPr>
        <w:t xml:space="preserve">门窗工程为</w:t>
      </w:r>
      <w:r>
        <w:rPr>
          <w:rFonts w:hint="eastAsia" w:ascii="宋体" w:hAnsi="宋体" w:eastAsia="宋体" w:cs="宋体"/>
          <w:sz w:val="21"/>
          <w:szCs w:val="21"/>
          <w:u w:val="single"/>
        </w:rPr>
        <w:t xml:space="preserve"> 2 </w:t>
      </w:r>
      <w:r>
        <w:rPr>
          <w:rFonts w:hint="eastAsia" w:ascii="宋体" w:hAnsi="宋体" w:eastAsia="宋体" w:cs="宋体"/>
          <w:sz w:val="21"/>
          <w:szCs w:val="21"/>
        </w:rPr>
        <w:t xml:space="preserve">年；</w:t>
      </w:r>
      <w:r/>
    </w:p>
    <w:p>
      <w:pPr>
        <w:pStyle w:val="1115"/>
        <w:numPr>
          <w:ilvl w:val="0"/>
          <w:numId w:val="8"/>
        </w:numPr>
        <w:ind w:left="425" w:right="63" w:firstLine="420"/>
        <w:jc w:val="left"/>
        <w:spacing w:before="139" w:after="0" w:line="360" w:lineRule="auto"/>
        <w:tabs>
          <w:tab w:val="left" w:pos="979" w:leader="none"/>
        </w:tabs>
        <w:rPr>
          <w:rFonts w:hint="eastAsia" w:ascii="宋体" w:hAnsi="宋体" w:eastAsia="宋体" w:cs="宋体"/>
          <w:sz w:val="21"/>
          <w:szCs w:val="21"/>
        </w:rPr>
      </w:pPr>
      <w:r>
        <w:rPr>
          <w:rFonts w:hint="eastAsia" w:ascii="宋体" w:hAnsi="宋体" w:eastAsia="宋体" w:cs="宋体"/>
          <w:sz w:val="21"/>
          <w:szCs w:val="21"/>
        </w:rPr>
        <w:t xml:space="preserve">其他项目保修期限约定如下：</w:t>
      </w:r>
      <w:r/>
    </w:p>
    <w:p>
      <w:pPr>
        <w:pStyle w:val="1115"/>
        <w:ind w:left="420" w:right="63" w:firstLine="420"/>
        <w:jc w:val="both"/>
        <w:spacing w:before="139" w:after="0" w:line="360" w:lineRule="auto"/>
        <w:tabs>
          <w:tab w:val="left" w:pos="1084" w:leader="none"/>
          <w:tab w:val="left" w:pos="4546" w:leader="none"/>
        </w:tabs>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本工程的质保期为</w:t>
      </w:r>
      <w:r>
        <w:rPr>
          <w:rFonts w:hint="eastAsia" w:ascii="宋体" w:hAnsi="宋体" w:eastAsia="宋体" w:cs="宋体"/>
          <w:color w:val="000000"/>
          <w:sz w:val="21"/>
          <w:szCs w:val="21"/>
          <w:u w:val="single"/>
          <w:lang w:val="en-US" w:eastAsia="zh-CN"/>
        </w:rPr>
        <w:t xml:space="preserve"> 2 </w:t>
      </w:r>
      <w:r>
        <w:rPr>
          <w:rFonts w:hint="eastAsia" w:ascii="宋体" w:hAnsi="宋体" w:eastAsia="宋体" w:cs="宋体"/>
          <w:color w:val="000000"/>
          <w:sz w:val="21"/>
          <w:szCs w:val="21"/>
          <w:u w:val="single"/>
        </w:rPr>
        <w:t xml:space="preserve">年</w:t>
      </w:r>
      <w:r>
        <w:rPr>
          <w:rFonts w:hint="eastAsia" w:ascii="宋体" w:hAnsi="宋体" w:eastAsia="宋体" w:cs="宋体"/>
          <w:color w:val="000000"/>
          <w:sz w:val="21"/>
          <w:szCs w:val="21"/>
        </w:rPr>
        <w:t xml:space="preserve">。</w:t>
      </w:r>
      <w:r/>
    </w:p>
    <w:p>
      <w:pPr>
        <w:pStyle w:val="1115"/>
        <w:ind w:left="63" w:right="63" w:firstLine="420"/>
        <w:jc w:val="both"/>
        <w:spacing w:before="139" w:after="0" w:line="360" w:lineRule="auto"/>
        <w:tabs>
          <w:tab w:val="left" w:pos="1084" w:leader="none"/>
          <w:tab w:val="left" w:pos="4546" w:leader="none"/>
        </w:tabs>
        <w:rPr>
          <w:rFonts w:hint="eastAsia" w:ascii="宋体" w:hAnsi="宋体" w:eastAsia="宋体" w:cs="宋体"/>
          <w:sz w:val="21"/>
          <w:szCs w:val="21"/>
        </w:rPr>
      </w:pPr>
      <w:r>
        <w:rPr>
          <w:rFonts w:hint="eastAsia" w:ascii="宋体" w:hAnsi="宋体" w:eastAsia="宋体" w:cs="宋体"/>
          <w:sz w:val="21"/>
          <w:szCs w:val="21"/>
        </w:rPr>
        <w:t xml:space="preserve">质量保修期自工程竣工验收合格之日起计算。</w:t>
      </w:r>
      <w:r/>
    </w:p>
    <w:p>
      <w:pPr>
        <w:pStyle w:val="1115"/>
        <w:ind w:left="63" w:right="63" w:firstLine="420"/>
        <w:jc w:val="both"/>
        <w:spacing w:before="139" w:after="0" w:line="360" w:lineRule="auto"/>
        <w:tabs>
          <w:tab w:val="left" w:pos="1084" w:leader="none"/>
          <w:tab w:val="left" w:pos="4546" w:leader="none"/>
        </w:tabs>
        <w:rPr>
          <w:rFonts w:hint="eastAsia" w:ascii="宋体" w:hAnsi="宋体" w:eastAsia="宋体" w:cs="宋体"/>
          <w:sz w:val="21"/>
          <w:szCs w:val="21"/>
        </w:rPr>
      </w:pPr>
      <w:r>
        <w:rPr>
          <w:rFonts w:hint="eastAsia" w:ascii="宋体" w:hAnsi="宋体" w:eastAsia="宋体" w:cs="宋体"/>
          <w:sz w:val="21"/>
          <w:szCs w:val="21"/>
        </w:rPr>
        <w:t xml:space="preserve">三、缺陷责任期</w:t>
      </w:r>
      <w:r/>
    </w:p>
    <w:p>
      <w:pPr>
        <w:pStyle w:val="1115"/>
        <w:ind w:left="63" w:right="63" w:firstLine="420"/>
        <w:jc w:val="both"/>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工程缺陷责任期为</w:t>
      </w:r>
      <w:r>
        <w:rPr>
          <w:rFonts w:hint="eastAsia" w:ascii="宋体" w:hAnsi="宋体" w:eastAsia="宋体" w:cs="宋体"/>
          <w:color w:val="000000"/>
          <w:sz w:val="21"/>
          <w:szCs w:val="21"/>
          <w:u w:val="single"/>
          <w:lang w:val="en-US" w:eastAsia="zh-CN"/>
        </w:rPr>
        <w:t xml:space="preserve">24</w:t>
      </w:r>
      <w:r>
        <w:rPr>
          <w:rFonts w:hint="eastAsia" w:ascii="宋体" w:hAnsi="宋体" w:eastAsia="宋体" w:cs="宋体"/>
          <w:color w:val="000000"/>
          <w:sz w:val="21"/>
          <w:szCs w:val="21"/>
        </w:rPr>
        <w:t xml:space="preserve">个月</w:t>
      </w:r>
      <w:r>
        <w:rPr>
          <w:rFonts w:hint="eastAsia" w:ascii="宋体" w:hAnsi="宋体" w:eastAsia="宋体" w:cs="宋体"/>
          <w:sz w:val="21"/>
          <w:szCs w:val="21"/>
        </w:rPr>
        <w:t xml:space="preserve">，缺陷责任期自工程通过竣工验收之日起计算。单位工程先于全部工程进行验收，单位工程缺陷责任期自单位工程验收合格之日起算。</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缺陷责任期终止后，由承包人提出退款申请，发包人在收到退款申请后30日内退还剩余的质量保证金。 </w:t>
      </w:r>
      <w:r/>
    </w:p>
    <w:p>
      <w:pPr>
        <w:pStyle w:val="1115"/>
        <w:ind w:left="63" w:right="63"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四、质量保修责任</w:t>
      </w:r>
      <w:r/>
    </w:p>
    <w:p>
      <w:pPr>
        <w:pStyle w:val="1289"/>
        <w:jc w:val="left"/>
        <w:spacing w:line="360" w:lineRule="auto"/>
        <w:tabs>
          <w:tab w:val="left" w:pos="1094" w:leader="none"/>
        </w:tabs>
        <w:rPr>
          <w:rFonts w:hint="eastAsia" w:ascii="宋体" w:hAnsi="宋体" w:eastAsia="宋体" w:cs="宋体"/>
          <w:sz w:val="21"/>
          <w:szCs w:val="21"/>
        </w:rPr>
      </w:pPr>
      <w:r>
        <w:rPr>
          <w:rFonts w:hint="eastAsia" w:ascii="宋体" w:hAnsi="宋体" w:eastAsia="宋体" w:cs="宋体"/>
          <w:sz w:val="21"/>
          <w:szCs w:val="21"/>
        </w:rPr>
        <w:t xml:space="preserve">1. 属于保修范围、内容的项目，承包人应当在接到保修通知之日起 7 天内派人保修。承包人不在约定期限内派人保修的，发包人可以委托他人修理。</w:t>
      </w:r>
      <w:r/>
    </w:p>
    <w:p>
      <w:pPr>
        <w:pStyle w:val="1289"/>
        <w:jc w:val="left"/>
        <w:spacing w:line="360" w:lineRule="auto"/>
        <w:tabs>
          <w:tab w:val="left" w:pos="1094" w:leader="none"/>
        </w:tabs>
        <w:rPr>
          <w:rFonts w:hint="eastAsia" w:ascii="宋体" w:hAnsi="宋体" w:eastAsia="宋体" w:cs="宋体"/>
          <w:sz w:val="21"/>
          <w:szCs w:val="21"/>
        </w:rPr>
      </w:pPr>
      <w:r>
        <w:rPr>
          <w:rFonts w:hint="eastAsia" w:ascii="宋体" w:hAnsi="宋体" w:eastAsia="宋体" w:cs="宋体"/>
          <w:sz w:val="21"/>
          <w:szCs w:val="21"/>
        </w:rPr>
        <w:t xml:space="preserve">2. 发生紧急事故需抢修的，承包人在接到事故通知后，应当立即到达事故现场抢修。</w:t>
      </w:r>
      <w:r/>
    </w:p>
    <w:p>
      <w:pPr>
        <w:pStyle w:val="1289"/>
        <w:jc w:val="left"/>
        <w:spacing w:line="360" w:lineRule="auto"/>
        <w:tabs>
          <w:tab w:val="left" w:pos="1094" w:leader="none"/>
        </w:tabs>
        <w:rPr>
          <w:rFonts w:hint="eastAsia" w:ascii="宋体" w:hAnsi="宋体" w:eastAsia="宋体" w:cs="宋体"/>
          <w:sz w:val="21"/>
          <w:szCs w:val="21"/>
        </w:rPr>
      </w:pPr>
      <w:r>
        <w:rPr>
          <w:rFonts w:hint="eastAsia" w:ascii="宋体" w:hAnsi="宋体" w:eastAsia="宋体" w:cs="宋体"/>
          <w:sz w:val="21"/>
          <w:szCs w:val="21"/>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289"/>
        <w:jc w:val="left"/>
        <w:spacing w:line="360" w:lineRule="auto"/>
        <w:tabs>
          <w:tab w:val="left" w:pos="1094" w:leader="none"/>
        </w:tabs>
        <w:rPr>
          <w:rFonts w:hint="eastAsia" w:ascii="宋体" w:hAnsi="宋体" w:eastAsia="宋体" w:cs="宋体"/>
          <w:sz w:val="21"/>
          <w:szCs w:val="21"/>
        </w:rPr>
      </w:pPr>
      <w:r>
        <w:rPr>
          <w:rFonts w:hint="eastAsia" w:ascii="宋体" w:hAnsi="宋体" w:eastAsia="宋体" w:cs="宋体"/>
          <w:sz w:val="21"/>
          <w:szCs w:val="21"/>
        </w:rPr>
        <w:t xml:space="preserve">4. 质量保修完成后，由发包人组织验收。</w:t>
      </w:r>
      <w:r/>
    </w:p>
    <w:p>
      <w:pPr>
        <w:pStyle w:val="1289"/>
        <w:ind w:left="0" w:right="5209" w:firstLine="420"/>
        <w:jc w:val="left"/>
        <w:spacing w:before="60" w:after="0" w:line="360" w:lineRule="auto"/>
        <w:tabs>
          <w:tab w:val="left" w:pos="1084" w:leader="none"/>
        </w:tabs>
        <w:rPr>
          <w:rFonts w:hint="eastAsia" w:ascii="宋体" w:hAnsi="宋体" w:eastAsia="宋体" w:cs="宋体"/>
          <w:sz w:val="21"/>
          <w:szCs w:val="21"/>
        </w:rPr>
      </w:pPr>
      <w:r>
        <w:rPr>
          <w:rFonts w:hint="eastAsia" w:ascii="宋体" w:hAnsi="宋体" w:eastAsia="宋体" w:cs="宋体"/>
          <w:sz w:val="21"/>
          <w:szCs w:val="21"/>
        </w:rPr>
        <w:t xml:space="preserve">五、保修费用</w:t>
      </w:r>
      <w:r/>
    </w:p>
    <w:p>
      <w:pPr>
        <w:pStyle w:val="1115"/>
        <w:ind w:left="63" w:right="63"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保修费用由造成质量缺陷的责任方承担。</w:t>
      </w:r>
      <w:r/>
    </w:p>
    <w:p>
      <w:pPr>
        <w:pStyle w:val="1115"/>
        <w:ind w:left="63" w:right="63" w:firstLine="422"/>
        <w:jc w:val="both"/>
        <w:spacing w:before="142" w:after="60" w:line="360" w:lineRule="auto"/>
        <w:tabs>
          <w:tab w:val="left" w:pos="6231" w:leader="none"/>
          <w:tab w:val="left" w:pos="7909" w:leader="none"/>
        </w:tabs>
        <w:rPr>
          <w:rFonts w:hint="eastAsia" w:ascii="宋体" w:hAnsi="宋体" w:eastAsia="宋体" w:cs="宋体"/>
          <w:sz w:val="21"/>
          <w:szCs w:val="21"/>
          <w:highlight w:val="none"/>
        </w:rPr>
      </w:pPr>
      <w:r>
        <w:rPr>
          <w:rFonts w:hint="eastAsia" w:ascii="宋体" w:hAnsi="宋体" w:eastAsia="宋体" w:cs="宋体"/>
          <w:b/>
          <w:sz w:val="21"/>
          <w:szCs w:val="21"/>
        </w:rPr>
        <w:t xml:space="preserve">六</w:t>
      </w:r>
      <w:r>
        <w:rPr>
          <w:rFonts w:hint="eastAsia" w:ascii="宋体" w:hAnsi="宋体" w:eastAsia="宋体" w:cs="宋体"/>
          <w:sz w:val="21"/>
          <w:szCs w:val="21"/>
        </w:rPr>
        <w:t xml:space="preserve">、双方约定的其他工程质量保修事项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施工合同专用条款中对质量保修有规定的，按照专用条款的规定执行</w:t>
      </w:r>
      <w:r>
        <w:rPr>
          <w:rFonts w:hint="eastAsia" w:ascii="宋体" w:hAnsi="宋体" w:eastAsia="宋体" w:cs="宋体"/>
          <w:sz w:val="21"/>
          <w:szCs w:val="21"/>
          <w:highlight w:val="none"/>
        </w:rPr>
        <w:t xml:space="preserve">。</w:t>
      </w:r>
      <w:r/>
    </w:p>
    <w:p>
      <w:pPr>
        <w:pStyle w:val="1115"/>
        <w:ind w:left="63" w:right="63" w:firstLine="420"/>
        <w:jc w:val="both"/>
        <w:spacing w:before="1" w:after="60" w:line="360" w:lineRule="auto"/>
        <w:rPr>
          <w:rFonts w:hint="eastAsia" w:ascii="宋体" w:hAnsi="宋体" w:eastAsia="宋体" w:cs="宋体"/>
          <w:sz w:val="21"/>
          <w:szCs w:val="21"/>
        </w:rPr>
      </w:pPr>
      <w:r>
        <w:rPr>
          <w:rFonts w:hint="eastAsia" w:ascii="宋体" w:hAnsi="宋体" w:eastAsia="宋体" w:cs="宋体"/>
          <w:sz w:val="21"/>
          <w:szCs w:val="21"/>
        </w:rPr>
        <w:t xml:space="preserve">工程质量保修书由发包人、承包人在工程竣工验收前共同签署，作为施工合同附件，其有效期限至保修期满。</w:t>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0" w:right="0"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15"/>
        <w:ind w:left="0" w:right="63" w:firstLine="0"/>
        <w:jc w:val="left"/>
        <w:spacing w:before="13" w:after="60"/>
        <w:rPr>
          <w:rFonts w:hint="eastAsia" w:ascii="宋体" w:hAnsi="宋体" w:eastAsia="宋体" w:cs="宋体"/>
          <w:sz w:val="21"/>
          <w:szCs w:val="21"/>
        </w:rPr>
      </w:pPr>
      <w:r>
        <w:rPr>
          <w:rFonts w:hint="eastAsia" w:ascii="宋体" w:hAnsi="宋体" w:eastAsia="宋体" w:cs="宋体"/>
          <w:sz w:val="21"/>
          <w:szCs w:val="21"/>
        </w:rPr>
        <w:t xml:space="preserve">发包人（公章）：                           承包人（公章）：</w:t>
      </w:r>
      <w:bookmarkStart w:id="16" w:name="_TOC_250007"/>
      <w:r/>
      <w:bookmarkEnd w:id="16"/>
      <w:r/>
      <w:r/>
    </w:p>
    <w:p>
      <w:pPr>
        <w:pStyle w:val="1115"/>
        <w:ind w:left="0" w:right="63" w:firstLine="0"/>
        <w:jc w:val="left"/>
        <w:spacing w:before="13" w:after="60"/>
        <w:rPr>
          <w:rFonts w:hint="eastAsia" w:ascii="宋体" w:hAnsi="宋体" w:eastAsia="宋体" w:cs="宋体"/>
          <w:sz w:val="21"/>
          <w:szCs w:val="21"/>
        </w:rPr>
      </w:pPr>
      <w:r>
        <w:rPr>
          <w:rFonts w:hint="eastAsia" w:ascii="宋体" w:hAnsi="宋体" w:eastAsia="宋体" w:cs="宋体"/>
          <w:sz w:val="21"/>
          <w:szCs w:val="21"/>
        </w:rPr>
        <w:t xml:space="preserve">地址：                                     地址：</w:t>
      </w:r>
      <w:r/>
    </w:p>
    <w:p>
      <w:pPr>
        <w:pStyle w:val="1115"/>
        <w:ind w:left="0" w:right="63" w:firstLine="0"/>
        <w:jc w:val="left"/>
        <w:spacing w:before="13" w:after="60"/>
        <w:rPr>
          <w:rFonts w:hint="eastAsia" w:ascii="宋体" w:hAnsi="宋体" w:eastAsia="宋体" w:cs="宋体"/>
          <w:sz w:val="21"/>
          <w:szCs w:val="21"/>
        </w:rPr>
      </w:pPr>
      <w:r>
        <w:rPr>
          <w:rFonts w:hint="eastAsia" w:ascii="宋体" w:hAnsi="宋体" w:eastAsia="宋体" w:cs="宋体"/>
          <w:sz w:val="21"/>
          <w:szCs w:val="21"/>
        </w:rPr>
        <w:t xml:space="preserve">法定代表人（签字）：                       法定代表人（签字）：</w:t>
      </w:r>
      <w:r/>
    </w:p>
    <w:p>
      <w:pPr>
        <w:pStyle w:val="1115"/>
        <w:ind w:left="0" w:right="63" w:firstLine="0"/>
        <w:jc w:val="left"/>
        <w:spacing w:before="13" w:after="60"/>
        <w:rPr>
          <w:rFonts w:hint="eastAsia" w:ascii="宋体" w:hAnsi="宋体" w:eastAsia="宋体" w:cs="宋体"/>
          <w:sz w:val="21"/>
          <w:szCs w:val="21"/>
        </w:rPr>
      </w:pPr>
      <w:r>
        <w:rPr>
          <w:rFonts w:hint="eastAsia" w:ascii="宋体" w:hAnsi="宋体" w:eastAsia="宋体" w:cs="宋体"/>
          <w:sz w:val="21"/>
          <w:szCs w:val="21"/>
        </w:rPr>
        <w:t xml:space="preserve">委托代理人（签字）：                       委托代理人（签字）：</w:t>
      </w:r>
      <w:r/>
    </w:p>
    <w:p>
      <w:pPr>
        <w:pStyle w:val="1115"/>
        <w:ind w:left="0" w:right="63" w:firstLine="0"/>
        <w:jc w:val="left"/>
        <w:spacing w:before="13" w:after="60"/>
        <w:rPr>
          <w:rFonts w:hint="eastAsia" w:ascii="宋体" w:hAnsi="宋体" w:eastAsia="宋体" w:cs="宋体"/>
          <w:sz w:val="21"/>
          <w:szCs w:val="21"/>
        </w:rPr>
      </w:pPr>
      <w:r>
        <w:rPr>
          <w:rFonts w:hint="eastAsia" w:ascii="宋体" w:hAnsi="宋体" w:eastAsia="宋体" w:cs="宋体"/>
          <w:sz w:val="21"/>
          <w:szCs w:val="21"/>
        </w:rPr>
        <w:t xml:space="preserve">电话：                                     电话：</w:t>
      </w:r>
      <w:r/>
    </w:p>
    <w:p>
      <w:pPr>
        <w:pStyle w:val="1115"/>
        <w:ind w:left="0" w:right="63" w:firstLine="0"/>
        <w:jc w:val="left"/>
        <w:spacing w:before="13" w:after="60"/>
        <w:rPr>
          <w:rFonts w:hint="eastAsia" w:ascii="宋体" w:hAnsi="宋体" w:eastAsia="宋体" w:cs="宋体"/>
          <w:sz w:val="21"/>
          <w:szCs w:val="21"/>
        </w:rPr>
      </w:pPr>
      <w:r>
        <w:rPr>
          <w:rFonts w:hint="eastAsia" w:ascii="宋体" w:hAnsi="宋体" w:eastAsia="宋体" w:cs="宋体"/>
          <w:sz w:val="21"/>
          <w:szCs w:val="21"/>
        </w:rPr>
        <w:t xml:space="preserve">传真：                                     传真：</w:t>
      </w:r>
      <w:r/>
    </w:p>
    <w:p>
      <w:pPr>
        <w:pStyle w:val="1115"/>
        <w:ind w:left="0" w:right="63" w:firstLine="0"/>
        <w:jc w:val="left"/>
        <w:spacing w:before="13" w:after="60"/>
        <w:rPr>
          <w:rFonts w:hint="eastAsia" w:ascii="宋体" w:hAnsi="宋体" w:eastAsia="宋体" w:cs="宋体"/>
          <w:sz w:val="21"/>
          <w:szCs w:val="21"/>
        </w:rPr>
      </w:pPr>
      <w:r>
        <w:rPr>
          <w:rFonts w:hint="eastAsia" w:ascii="宋体" w:hAnsi="宋体" w:eastAsia="宋体" w:cs="宋体"/>
          <w:sz w:val="21"/>
          <w:szCs w:val="21"/>
        </w:rPr>
        <w:t xml:space="preserve">开户银行：                                 开户银行：</w:t>
      </w:r>
      <w:r/>
    </w:p>
    <w:p>
      <w:pPr>
        <w:pStyle w:val="1115"/>
        <w:ind w:left="0" w:right="63" w:firstLine="0"/>
        <w:jc w:val="left"/>
        <w:spacing w:before="13" w:after="60"/>
        <w:rPr>
          <w:rFonts w:hint="eastAsia" w:ascii="宋体" w:hAnsi="宋体" w:eastAsia="宋体" w:cs="宋体"/>
          <w:sz w:val="21"/>
          <w:szCs w:val="21"/>
        </w:rPr>
      </w:pPr>
      <w:r>
        <w:rPr>
          <w:rFonts w:hint="eastAsia" w:ascii="宋体" w:hAnsi="宋体" w:eastAsia="宋体" w:cs="宋体"/>
          <w:sz w:val="21"/>
          <w:szCs w:val="21"/>
        </w:rPr>
        <w:t xml:space="preserve">账号：                                     账号：</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rPr>
        <w:t xml:space="preserve">邮政编码：                                 邮政编码：</w:t>
      </w:r>
      <w:r/>
    </w:p>
    <w:p>
      <w:pPr>
        <w:spacing w:line="520" w:lineRule="exact"/>
        <w:rPr>
          <w:rFonts w:ascii="宋体" w:hAnsi="宋体" w:cs="宋体"/>
          <w:color w:val="000000"/>
          <w:sz w:val="24"/>
          <w:highlight w:val="none"/>
        </w:rPr>
      </w:pPr>
      <w:r>
        <w:rPr>
          <w:rFonts w:ascii="宋体" w:hAnsi="宋体" w:cs="宋体"/>
          <w:color w:val="000000"/>
          <w:sz w:val="24"/>
          <w:highlight w:val="none"/>
        </w:rPr>
      </w:r>
      <w:r/>
    </w:p>
    <w:p>
      <w:pPr>
        <w:spacing w:line="259" w:lineRule="auto"/>
        <w:rPr>
          <w:color w:val="000000"/>
          <w:highlight w:val="none"/>
        </w:rPr>
      </w:pPr>
      <w:r>
        <w:rPr>
          <w:color w:val="000000"/>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w:t>
      </w:r>
      <w:r/>
    </w:p>
    <w:p>
      <w:pPr>
        <w:jc w:val="center"/>
        <w:spacing w:line="312" w:lineRule="auto"/>
        <w:rPr>
          <w:rFonts w:ascii="宋体" w:hAnsi="宋体" w:cs="宋体"/>
          <w:b/>
          <w:bCs/>
          <w:color w:val="000000"/>
          <w:sz w:val="24"/>
          <w:highlight w:val="none"/>
        </w:rPr>
      </w:pPr>
      <w:r>
        <w:rPr>
          <w:rFonts w:hint="eastAsia" w:ascii="宋体" w:hAnsi="宋体" w:cs="宋体"/>
          <w:b/>
          <w:bCs/>
          <w:color w:val="000000"/>
          <w:sz w:val="24"/>
          <w:highlight w:val="none"/>
        </w:rPr>
        <w:t xml:space="preserve">工程廉洁承诺书</w:t>
      </w:r>
      <w:r/>
    </w:p>
    <w:p>
      <w:pPr>
        <w:ind w:left="1928" w:hanging="1928"/>
        <w:spacing w:line="360" w:lineRule="auto"/>
        <w:rPr>
          <w:rFonts w:ascii="宋体" w:hAnsi="宋体" w:cs="宋体"/>
          <w:b/>
          <w:color w:val="000000"/>
          <w:sz w:val="21"/>
          <w:szCs w:val="21"/>
          <w:highlight w:val="none"/>
          <w:u w:val="single"/>
        </w:rPr>
      </w:pPr>
      <w:r>
        <w:rPr>
          <w:rFonts w:hint="eastAsia" w:ascii="宋体" w:hAnsi="宋体" w:cs="宋体"/>
          <w:b/>
          <w:color w:val="000000"/>
          <w:sz w:val="21"/>
          <w:szCs w:val="21"/>
          <w:highlight w:val="none"/>
        </w:rPr>
        <w:t xml:space="preserve">工程项目名称：</w:t>
      </w:r>
      <w:r>
        <w:rPr>
          <w:rFonts w:hint="eastAsia" w:ascii="宋体" w:hAnsi="宋体" w:cs="宋体"/>
          <w:b/>
          <w:color w:val="000000"/>
          <w:sz w:val="21"/>
          <w:szCs w:val="21"/>
          <w:highlight w:val="none"/>
          <w:u w:val="single"/>
        </w:rPr>
        <w:t xml:space="preserve">  </w:t>
      </w:r>
      <w:r/>
    </w:p>
    <w:p>
      <w:pPr>
        <w:ind w:left="1928" w:hanging="1928"/>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工程项目地址：      </w:t>
      </w:r>
      <w:r/>
    </w:p>
    <w:p>
      <w:pPr>
        <w:spacing w:line="312" w:lineRule="auto"/>
        <w:rPr>
          <w:rFonts w:ascii="宋体" w:hAnsi="宋体" w:cs="宋体"/>
          <w:color w:val="000000"/>
          <w:sz w:val="21"/>
          <w:szCs w:val="21"/>
          <w:highlight w:val="none"/>
          <w:u w:val="single"/>
        </w:rPr>
      </w:pPr>
      <w:r>
        <w:rPr>
          <w:rFonts w:hint="eastAsia" w:ascii="宋体" w:hAnsi="宋体" w:cs="宋体"/>
          <w:b/>
          <w:color w:val="000000"/>
          <w:sz w:val="21"/>
          <w:szCs w:val="21"/>
          <w:highlight w:val="none"/>
        </w:rPr>
        <w:t xml:space="preserve">发包人</w:t>
      </w:r>
      <w:r>
        <w:rPr>
          <w:rFonts w:hint="eastAsia" w:ascii="宋体" w:hAnsi="宋体" w:cs="宋体"/>
          <w:color w:val="000000"/>
          <w:sz w:val="21"/>
          <w:szCs w:val="21"/>
          <w:highlight w:val="none"/>
        </w:rPr>
        <w:t xml:space="preserve">（以下简称甲方）</w:t>
      </w:r>
      <w:r>
        <w:rPr>
          <w:rFonts w:hint="eastAsia" w:ascii="宋体" w:hAnsi="宋体" w:cs="宋体"/>
          <w:b/>
          <w:color w:val="000000"/>
          <w:sz w:val="21"/>
          <w:szCs w:val="21"/>
          <w:highlight w:val="none"/>
        </w:rPr>
        <w:t xml:space="preserve">：</w:t>
      </w:r>
      <w:r>
        <w:rPr>
          <w:rFonts w:hint="eastAsia" w:ascii="宋体" w:hAnsi="宋体" w:cs="宋体"/>
          <w:b/>
          <w:color w:val="000000"/>
          <w:sz w:val="21"/>
          <w:szCs w:val="21"/>
          <w:highlight w:val="none"/>
          <w:u w:val="single"/>
        </w:rPr>
        <w:t xml:space="preserve">           </w:t>
      </w:r>
      <w:r/>
    </w:p>
    <w:p>
      <w:pPr>
        <w:spacing w:line="312"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承包人</w:t>
      </w:r>
      <w:r>
        <w:rPr>
          <w:rFonts w:hint="eastAsia" w:ascii="宋体" w:hAnsi="宋体" w:cs="宋体"/>
          <w:color w:val="000000"/>
          <w:sz w:val="21"/>
          <w:szCs w:val="21"/>
          <w:highlight w:val="none"/>
        </w:rPr>
        <w:t xml:space="preserve">（以下简称乙方）：　</w:t>
      </w:r>
      <w:r/>
    </w:p>
    <w:p>
      <w:pPr>
        <w:ind w:firstLine="480"/>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协议书。</w:t>
      </w:r>
      <w:r/>
    </w:p>
    <w:p>
      <w:pPr>
        <w:ind w:firstLine="482"/>
        <w:spacing w:line="312"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第一条 甲乙双方的责任</w:t>
      </w:r>
      <w:r/>
    </w:p>
    <w:p>
      <w:pPr>
        <w:ind w:firstLine="480"/>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（一）应严格遵守国家关于市场准入、项目招标投标、工程建设、施工安装和市场活动等有关法律、法规，相关政策，以及廉政建设的各项规定。</w:t>
      </w:r>
      <w:r/>
    </w:p>
    <w:p>
      <w:pPr>
        <w:ind w:firstLine="480"/>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（二）严格执行建设工程项目承发包合同文件，自觉按合同办事。</w:t>
      </w:r>
      <w:r/>
    </w:p>
    <w:p>
      <w:pPr>
        <w:ind w:firstLine="480"/>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（三）业务活动必须坚持公开、公平、公正、诚信、透明的原则（除法律法规另有规定者外），不得为获取不正当的利益，损害国家、集体和对方利益，不得违反工程建设管理、施工安装的规章制度。</w:t>
      </w:r>
      <w:r/>
    </w:p>
    <w:p>
      <w:pPr>
        <w:ind w:firstLine="480"/>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（四）发现对方在业务活动中有违规、违纪、违法行为的，应及时提醒对方，情节严重的，应向其上级主管部门或纪检监察、司法等有关机关举报。</w:t>
      </w:r>
      <w:r/>
    </w:p>
    <w:p>
      <w:pPr>
        <w:ind w:firstLine="482"/>
        <w:spacing w:line="312"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第二条 甲方的责任</w:t>
      </w:r>
      <w:r/>
    </w:p>
    <w:p>
      <w:pPr>
        <w:ind w:firstLine="480"/>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甲方的领导和从事该建设工程项目的工作人员，在工程建设的事前、事中、事后应遵守以下规定：</w:t>
      </w:r>
      <w:r/>
    </w:p>
    <w:p>
      <w:pPr>
        <w:ind w:firstLine="480"/>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（一）不准向乙方和相关单位索要或接受回扣、礼金、有价证券、贵重物品和好处费、感谢费等。</w:t>
      </w:r>
      <w:r/>
    </w:p>
    <w:p>
      <w:pPr>
        <w:ind w:firstLine="480"/>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（二）不准在乙方和相关单位报销任何应由甲方或个人支付的费用。</w:t>
      </w:r>
      <w:r/>
    </w:p>
    <w:p>
      <w:pPr>
        <w:ind w:firstLine="480"/>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（三）不准要求、暗示和接受乙方和相关单位为个人装修住房、婚丧嫁娶、配偶子女的工作安排以及出国（境）、旅游等提供方便。</w:t>
      </w:r>
      <w:r/>
    </w:p>
    <w:p>
      <w:pPr>
        <w:ind w:firstLine="480"/>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（四）不准参加有可能影响公正执行公务的乙方和相关单位的宴请和健身、娱乐等活动。</w:t>
      </w:r>
      <w:r/>
    </w:p>
    <w:p>
      <w:pPr>
        <w:ind w:firstLine="480"/>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82"/>
        <w:spacing w:line="312"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第三条 乙方的责任</w:t>
      </w:r>
      <w:r/>
    </w:p>
    <w:p>
      <w:pPr>
        <w:ind w:firstLine="480"/>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应与甲方保持正常的业务交往，按照有关法律法规和程序开展业务工作，严格执行工程建设的有关方针、政策，尤其是有关建筑施工安装的强制性标准和规范，并遵守以下规定：</w:t>
      </w:r>
      <w:r/>
    </w:p>
    <w:p>
      <w:pPr>
        <w:ind w:firstLine="480"/>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（一）不准以任何理由向甲方、相关单位及其工作人员索要、接受或赠送礼金、有价证券、贵重物品和回扣、好处费、感谢费等。</w:t>
      </w:r>
      <w:r/>
    </w:p>
    <w:p>
      <w:pPr>
        <w:ind w:firstLine="480"/>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（二）不准以任何理由为甲方和相关单位报销应由对方或个人支付的费用。</w:t>
      </w:r>
      <w:r/>
    </w:p>
    <w:p>
      <w:pPr>
        <w:ind w:firstLine="480"/>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（三）不准接受或暗示为甲方、相关单位或个人装修住房、婚丧嫁娶、配偶子女的工作安排以及出国（境）、旅游等提供方便。</w:t>
      </w:r>
      <w:r/>
    </w:p>
    <w:p>
      <w:pPr>
        <w:ind w:firstLine="480"/>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（四）不准以任何理由为甲方、相关单位或个人组织有可能影响公正执行公务的宴请、健身、娱乐等活动。</w:t>
      </w:r>
      <w:r/>
    </w:p>
    <w:p>
      <w:pPr>
        <w:ind w:firstLine="482"/>
        <w:spacing w:line="312"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第四条 违约责任</w:t>
      </w:r>
      <w:r/>
    </w:p>
    <w:p>
      <w:pPr>
        <w:ind w:firstLine="480"/>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一）甲方工作人员有违反本协议书第一、二条责任行为的，按照管理权限，依据有关法律法规和规定给予党纪、政纪处分或组织处理；涉嫌犯罪的，移交司法机关追究刑事责任；给乙方单位造成经济损失的，应予以赔偿。</w:t>
      </w:r>
      <w:r/>
    </w:p>
    <w:p>
      <w:pPr>
        <w:ind w:firstLine="480"/>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二）乙方工作人员有违反本协议书第一、三条责任行为的，按照管理权限，依据有关法律法规和规定给予党纪、政纪处分或组织处理；涉嫌犯罪的，移交司法机关追究刑事责任；给甲方单位造成经济损失的，应予以赔偿。</w:t>
      </w:r>
      <w:r/>
    </w:p>
    <w:p>
      <w:pPr>
        <w:ind w:firstLine="482"/>
        <w:spacing w:line="312"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第五条 </w:t>
      </w:r>
      <w:r>
        <w:rPr>
          <w:rFonts w:hint="eastAsia" w:ascii="宋体" w:hAnsi="宋体" w:cs="宋体"/>
          <w:color w:val="000000"/>
          <w:sz w:val="21"/>
          <w:szCs w:val="21"/>
          <w:highlight w:val="none"/>
        </w:rPr>
        <w:t xml:space="preserve">本协议书作为工程施工合同的附件，与工程施工合同具有同等法律效力。经双方签署后立即生效。</w:t>
      </w:r>
      <w:r/>
    </w:p>
    <w:p>
      <w:pPr>
        <w:ind w:firstLine="482"/>
        <w:spacing w:line="312"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第六条</w:t>
      </w:r>
      <w:r>
        <w:rPr>
          <w:rFonts w:hint="eastAsia" w:ascii="宋体" w:hAnsi="宋体" w:cs="宋体"/>
          <w:color w:val="000000"/>
          <w:sz w:val="21"/>
          <w:szCs w:val="21"/>
          <w:highlight w:val="none"/>
        </w:rPr>
        <w:t xml:space="preserve"> 本协议书的有效期为双方签署之日起至该工程项目竣工验收合格时止。</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46"/>
        <w:ind w:left="0" w:firstLine="0"/>
        <w:jc w:val="center"/>
        <w:spacing w:after="312" w:line="360" w:lineRule="auto"/>
        <w:rPr>
          <w:rFonts w:hint="eastAsia" w:ascii="宋体" w:hAnsi="宋体" w:eastAsia="宋体" w:cs="宋体"/>
          <w:sz w:val="24"/>
          <w:szCs w:val="24"/>
          <w:highlight w:val="none"/>
          <w:lang w:val="en-US" w:eastAsia="zh-CN"/>
        </w:rPr>
        <w:sectPr>
          <w:headerReference w:type="default" r:id="rId11"/>
          <w:footerReference w:type="default" r:id="rId17"/>
          <w:footerReference w:type="first" r:id="rId18"/>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sz w:val="24"/>
          <w:szCs w:val="24"/>
          <w:highlight w:val="none"/>
          <w:lang w:val="en-US" w:eastAsia="zh-CN"/>
        </w:rPr>
      </w:r>
      <w:r/>
    </w:p>
    <w:p>
      <w:pPr>
        <w:pStyle w:val="1146"/>
        <w:ind w:left="0" w:firstLine="0"/>
        <w:jc w:val="center"/>
        <w:spacing w:after="312" w:line="360" w:lineRule="auto"/>
        <w:rPr>
          <w:rFonts w:hint="eastAsia" w:ascii="宋体" w:hAnsi="宋体" w:eastAsia="宋体" w:cs="宋体"/>
          <w:b/>
          <w:color w:val="000000"/>
          <w:sz w:val="24"/>
          <w:szCs w:val="24"/>
          <w:highlight w:val="none"/>
        </w:rPr>
      </w:pPr>
      <w:r>
        <w:rPr>
          <w:rFonts w:hint="eastAsia" w:hAnsi="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、承诺书</w:t>
      </w:r>
      <w:r/>
    </w:p>
    <w:p>
      <w:pPr>
        <w:pStyle w:val="1158"/>
        <w:keepLines w:val="0"/>
        <w:keepNext w:val="0"/>
        <w:pageBreakBefore w:val="0"/>
        <w:spacing w:line="312" w:lineRule="auto"/>
        <w:widowControl w:val="off"/>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rPr>
        <w:t xml:space="preserve">致</w:t>
      </w:r>
      <w:r>
        <w:rPr>
          <w:rFonts w:hint="eastAsia" w:ascii="宋体" w:hAnsi="宋体" w:eastAsia="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徐州市铜山区城市管理局</w:t>
      </w:r>
      <w:r>
        <w:rPr>
          <w:rFonts w:hint="eastAsia" w:ascii="宋体" w:hAnsi="宋体" w:eastAsia="宋体" w:cs="宋体"/>
          <w:b/>
          <w:bCs/>
          <w:color w:val="000000"/>
          <w:sz w:val="24"/>
          <w:szCs w:val="24"/>
          <w:highlight w:val="none"/>
          <w:u w:val="single"/>
        </w:rPr>
        <w:t xml:space="preserve">：</w:t>
      </w:r>
      <w:r/>
    </w:p>
    <w:p>
      <w:pPr>
        <w:pStyle w:val="1158"/>
        <w:ind w:firstLine="480"/>
        <w:jc w:val="lef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bCs/>
          <w:color w:val="000000"/>
          <w:sz w:val="24"/>
          <w:szCs w:val="24"/>
          <w:highlight w:val="none"/>
        </w:rPr>
        <w:t xml:space="preserve">磋商文件</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JSZC-320312-HZGC-C2026-0008</w:t>
      </w:r>
      <w:r>
        <w:rPr>
          <w:rFonts w:hint="eastAsia" w:ascii="宋体" w:hAnsi="宋体" w:eastAsia="宋体" w:cs="宋体"/>
          <w:color w:val="000000"/>
          <w:sz w:val="24"/>
          <w:szCs w:val="24"/>
          <w:highlight w:val="none"/>
        </w:rPr>
        <w:t xml:space="preserve">）要求，本供应商正式提交以下首次响应文件。</w:t>
      </w:r>
      <w:r/>
    </w:p>
    <w:p>
      <w:pPr>
        <w:pStyle w:val="131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4" name="直接连接符 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000000"/>
          <w:sz w:val="24"/>
          <w:szCs w:val="24"/>
          <w:highlight w:val="none"/>
        </w:rPr>
        <w:t xml:space="preserve">（1）承诺书； </w:t>
      </w:r>
      <w:r/>
    </w:p>
    <w:p>
      <w:pPr>
        <w:pStyle w:val="131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（2）磋商报价表； </w:t>
      </w:r>
      <w:r/>
    </w:p>
    <w:p>
      <w:pPr>
        <w:pStyle w:val="131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（3）偏离表；</w:t>
      </w:r>
      <w:r/>
    </w:p>
    <w:p>
      <w:pPr>
        <w:pStyle w:val="131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（4）磋商</w:t>
      </w:r>
      <w:r>
        <w:rPr>
          <w:rFonts w:hint="eastAsia" w:ascii="宋体" w:hAnsi="宋体" w:eastAsia="宋体" w:cs="宋体"/>
          <w:bCs/>
          <w:color w:val="000000"/>
          <w:sz w:val="24"/>
          <w:szCs w:val="24"/>
          <w:highlight w:val="none"/>
        </w:rPr>
        <w:t xml:space="preserve">文件</w:t>
      </w:r>
      <w:r>
        <w:rPr>
          <w:rFonts w:hint="eastAsia" w:ascii="宋体" w:hAnsi="宋体" w:eastAsia="宋体" w:cs="宋体"/>
          <w:color w:val="000000"/>
          <w:sz w:val="24"/>
          <w:szCs w:val="24"/>
          <w:highlight w:val="none"/>
        </w:rPr>
        <w:t xml:space="preserve">要求提供的其他响应文件。</w:t>
      </w:r>
      <w:r/>
    </w:p>
    <w:p>
      <w:pPr>
        <w:pStyle w:val="131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我单位符合《中华人民共和国政府采购法》第二十二条的规定，符合本项目供应商资格要求。</w:t>
      </w:r>
      <w:r/>
    </w:p>
    <w:p>
      <w:pPr>
        <w:pStyle w:val="131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我单位按照磋商文件的要求编制响应文件，并对其提交的响应文件的真实性、合法性承担法律责任。</w:t>
      </w:r>
      <w:r/>
    </w:p>
    <w:p>
      <w:pPr>
        <w:pStyle w:val="1158"/>
        <w:ind w:right="29"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供应商兹宣布同意如下: </w:t>
      </w:r>
      <w:r/>
    </w:p>
    <w:p>
      <w:pPr>
        <w:pStyle w:val="131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1312;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000000"/>
          <w:sz w:val="24"/>
          <w:szCs w:val="24"/>
          <w:highlight w:val="none"/>
        </w:rPr>
        <w:t xml:space="preserve">一、完全承担根据《磋商文件》规定完成合同的责任和义务（如有偏离，将全部填写在偏离表中）。</w:t>
      </w:r>
      <w:r/>
    </w:p>
    <w:p>
      <w:pPr>
        <w:pStyle w:val="131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none"/>
        </w:rPr>
        <w:t xml:space="preserve">二、保证所提供的响应文件及所有材料的真实、合法、有效，并对其负责。</w:t>
      </w:r>
      <w:r/>
    </w:p>
    <w:p>
      <w:pPr>
        <w:pStyle w:val="1158"/>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三、已详细审核竞争性磋商文件（含竞争性磋商文件的澄清或者修改），本供应商完全理解并同意放弃对这方面不明及误解的权利。</w:t>
      </w:r>
      <w:r/>
    </w:p>
    <w:p>
      <w:pPr>
        <w:pStyle w:val="1158"/>
        <w:ind w:right="29"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四、所供货物保证符合国家有关产品质量、性能和安全标准，无权利瑕疵。</w:t>
      </w:r>
      <w:r/>
    </w:p>
    <w:p>
      <w:pPr>
        <w:pStyle w:val="1158"/>
        <w:ind w:right="29"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五、报价有效期为</w:t>
      </w: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个工作日。</w:t>
      </w:r>
      <w:r/>
    </w:p>
    <w:p>
      <w:pPr>
        <w:pStyle w:val="1158"/>
        <w:ind w:right="29"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六、同意向贵方提供贵方可能要求的与本次磋商采购有关的任何证据或资料。</w:t>
      </w:r>
      <w:r/>
    </w:p>
    <w:p>
      <w:pPr>
        <w:pStyle w:val="1158"/>
        <w:ind w:right="29"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七、完全理解贵方不一定要接受最低的报价或收到的任何报价。</w:t>
      </w:r>
      <w:r/>
    </w:p>
    <w:p>
      <w:pPr>
        <w:ind w:firstLine="480"/>
        <w:keepLines w:val="0"/>
        <w:keepNext w:val="0"/>
        <w:pageBreakBefore w:val="0"/>
        <w:spacing w:line="312"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八、采购人或采购代理机构有权将我单位本项目的《磋商报价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pStyle w:val="1158"/>
        <w:ind w:right="29"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158"/>
        <w:ind w:right="29"/>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8"/>
        <w:ind w:right="29"/>
        <w:jc w:val="center"/>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供应商（电子签章）：</w:t>
      </w:r>
      <w:r/>
    </w:p>
    <w:p>
      <w:pPr>
        <w:pStyle w:val="1158"/>
        <w:jc w:val="center"/>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w:t>
      </w:r>
      <w:r/>
    </w:p>
    <w:p>
      <w:pPr>
        <w:pStyle w:val="1158"/>
        <w:jc w:val="center"/>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移动电话：</w:t>
      </w:r>
      <w:r/>
    </w:p>
    <w:p>
      <w:pPr>
        <w:pStyle w:val="1158"/>
        <w:ind w:right="29"/>
        <w:jc w:val="center"/>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年  月  日</w:t>
      </w:r>
      <w:r/>
    </w:p>
    <w:p>
      <w:pPr>
        <w:pStyle w:val="1158"/>
        <w:numPr>
          <w:ilvl w:val="0"/>
          <w:numId w:val="9"/>
        </w:num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color w:val="000000"/>
          <w:sz w:val="24"/>
          <w:szCs w:val="24"/>
          <w:highlight w:val="none"/>
        </w:rPr>
        <w:t xml:space="preserve">《法定代表人授权书》</w:t>
      </w:r>
      <w:r/>
    </w:p>
    <w:p>
      <w:pPr>
        <w:jc w:val="center"/>
        <w:spacing w:line="360" w:lineRule="auto"/>
        <w:shd w:val="clear" w:color="auto" w:fill="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法定代表人授权书</w:t>
      </w:r>
      <w:r/>
    </w:p>
    <w:p>
      <w:pPr>
        <w:pStyle w:val="1134"/>
        <w:jc w:val="both"/>
        <w:keepLines w:val="0"/>
        <w:keepNext w:val="0"/>
        <w:spacing w:before="0" w:beforeAutospacing="0" w:after="0" w:afterAutospacing="0" w:line="47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委托人：</w:t>
      </w:r>
      <w:r/>
    </w:p>
    <w:p>
      <w:pPr>
        <w:pStyle w:val="1134"/>
        <w:jc w:val="both"/>
        <w:keepLines w:val="0"/>
        <w:keepNext w:val="0"/>
        <w:spacing w:before="0" w:beforeAutospacing="0" w:after="0" w:afterAutospacing="0" w:line="47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地址：</w:t>
      </w:r>
      <w:r/>
    </w:p>
    <w:p>
      <w:pPr>
        <w:pStyle w:val="1134"/>
        <w:jc w:val="both"/>
        <w:keepLines w:val="0"/>
        <w:keepNext w:val="0"/>
        <w:spacing w:before="0" w:beforeAutospacing="0" w:after="0" w:afterAutospacing="0" w:line="47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         职务：</w:t>
      </w:r>
      <w:r/>
    </w:p>
    <w:p>
      <w:pPr>
        <w:pStyle w:val="1134"/>
        <w:jc w:val="both"/>
        <w:keepLines w:val="0"/>
        <w:keepNext w:val="0"/>
        <w:spacing w:before="0" w:beforeAutospacing="0" w:after="0" w:afterAutospacing="0" w:line="47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统一社会信用代码：</w:t>
      </w:r>
      <w:r/>
    </w:p>
    <w:p>
      <w:pPr>
        <w:pStyle w:val="1134"/>
        <w:jc w:val="both"/>
        <w:keepLines w:val="0"/>
        <w:keepNext w:val="0"/>
        <w:spacing w:before="0" w:beforeAutospacing="0" w:after="0" w:afterAutospacing="0" w:line="47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受托人：                   性别：男（女）</w:t>
      </w:r>
      <w:r/>
    </w:p>
    <w:p>
      <w:pPr>
        <w:pStyle w:val="1134"/>
        <w:jc w:val="both"/>
        <w:keepLines w:val="0"/>
        <w:keepNext w:val="0"/>
        <w:spacing w:before="0" w:beforeAutospacing="0" w:after="0" w:afterAutospacing="0" w:line="47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年龄：  岁                 民族：   族</w:t>
      </w:r>
      <w:r/>
    </w:p>
    <w:p>
      <w:pPr>
        <w:pStyle w:val="1134"/>
        <w:jc w:val="both"/>
        <w:keepLines w:val="0"/>
        <w:keepNext w:val="0"/>
        <w:spacing w:before="0" w:beforeAutospacing="0" w:after="0" w:afterAutospacing="0" w:line="47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职务：</w:t>
      </w:r>
      <w:r/>
    </w:p>
    <w:p>
      <w:pPr>
        <w:pStyle w:val="1134"/>
        <w:jc w:val="both"/>
        <w:keepLines w:val="0"/>
        <w:keepNext w:val="0"/>
        <w:spacing w:before="0" w:beforeAutospacing="0" w:after="0" w:afterAutospacing="0" w:line="47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身份证号：</w:t>
      </w:r>
      <w:r/>
    </w:p>
    <w:p>
      <w:pPr>
        <w:pStyle w:val="1134"/>
        <w:ind w:left="0" w:firstLine="600"/>
        <w:jc w:val="both"/>
        <w:keepLines w:val="0"/>
        <w:keepNext w:val="0"/>
        <w:spacing w:before="0" w:beforeAutospacing="0" w:after="0" w:afterAutospacing="0" w:line="47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兹委托（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）全权代表我企业（公司）参与（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）的招、投标活动及签订合同。（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）以我企业（公司）名义所为的法律行为及签署的文件，我企业（公司）均予以认可。有关法律责任均由我企业（公司）承担。（</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）无转委托权。</w:t>
      </w:r>
      <w:r/>
    </w:p>
    <w:p>
      <w:pPr>
        <w:pStyle w:val="1134"/>
        <w:ind w:left="0" w:firstLine="600"/>
        <w:jc w:val="both"/>
        <w:keepLines w:val="0"/>
        <w:keepNext w:val="0"/>
        <w:spacing w:before="0" w:beforeAutospacing="0" w:after="0" w:afterAutospacing="0" w:line="47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委托期限自</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日起至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日止。</w:t>
      </w:r>
      <w:r/>
    </w:p>
    <w:p>
      <w:pPr>
        <w:pStyle w:val="1134"/>
        <w:ind w:left="0" w:firstLine="630"/>
        <w:jc w:val="both"/>
        <w:keepLines w:val="0"/>
        <w:keepNext w:val="0"/>
        <w:spacing w:before="0" w:beforeAutospacing="0" w:after="0" w:afterAutospacing="0" w:line="47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特此授权委托。</w:t>
      </w:r>
      <w:r/>
    </w:p>
    <w:p>
      <w:pPr>
        <w:pStyle w:val="1134"/>
        <w:ind w:left="0" w:firstLine="600"/>
        <w:jc w:val="both"/>
        <w:keepLines w:val="0"/>
        <w:keepNext w:val="0"/>
        <w:spacing w:before="0" w:beforeAutospacing="0" w:after="0" w:afterAutospacing="0" w:line="47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134"/>
        <w:ind w:left="0" w:firstLine="600"/>
        <w:jc w:val="both"/>
        <w:keepLines w:val="0"/>
        <w:keepNext w:val="0"/>
        <w:spacing w:before="0" w:beforeAutospacing="0" w:after="0" w:afterAutospacing="0" w:line="47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委托人（电子签章）：</w:t>
      </w:r>
      <w:r/>
    </w:p>
    <w:p>
      <w:pPr>
        <w:pStyle w:val="1134"/>
        <w:ind w:left="0" w:firstLine="600"/>
        <w:jc w:val="both"/>
        <w:keepLines w:val="0"/>
        <w:keepNext w:val="0"/>
        <w:spacing w:before="0" w:beforeAutospacing="0" w:after="0" w:afterAutospacing="0" w:line="47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134"/>
        <w:ind w:left="0" w:firstLine="600"/>
        <w:jc w:val="both"/>
        <w:keepLines w:val="0"/>
        <w:keepNext w:val="0"/>
        <w:spacing w:before="0" w:beforeAutospacing="0" w:after="0" w:afterAutospacing="0" w:line="47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法定代表人（签字或盖章）： </w:t>
      </w:r>
      <w:r/>
    </w:p>
    <w:p>
      <w:pPr>
        <w:pStyle w:val="1134"/>
        <w:ind w:left="0" w:firstLine="600"/>
        <w:jc w:val="both"/>
        <w:keepLines w:val="0"/>
        <w:keepNext w:val="0"/>
        <w:spacing w:before="0" w:beforeAutospacing="0" w:after="0" w:afterAutospacing="0" w:line="47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134"/>
        <w:ind w:left="0" w:firstLine="600"/>
        <w:jc w:val="both"/>
        <w:keepLines w:val="0"/>
        <w:keepNext w:val="0"/>
        <w:spacing w:before="0" w:beforeAutospacing="0" w:after="0" w:afterAutospacing="0" w:line="47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受托人（签字或盖章）：</w:t>
      </w:r>
      <w:r/>
    </w:p>
    <w:p>
      <w:pPr>
        <w:pStyle w:val="1134"/>
        <w:ind w:left="0" w:firstLine="600"/>
        <w:jc w:val="both"/>
        <w:keepLines w:val="0"/>
        <w:keepNext w:val="0"/>
        <w:spacing w:before="0" w:beforeAutospacing="0" w:after="0" w:afterAutospacing="0" w:line="47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134"/>
        <w:ind w:left="0" w:right="33" w:firstLine="602"/>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受托人联系方式：      邮箱：</w:t>
      </w:r>
      <w:r/>
    </w:p>
    <w:p>
      <w:pPr>
        <w:pStyle w:val="1134"/>
        <w:ind w:left="0" w:firstLine="600"/>
        <w:jc w:val="both"/>
        <w:keepLines w:val="0"/>
        <w:keepNext w:val="0"/>
        <w:spacing w:before="0" w:beforeAutospacing="0" w:after="0" w:afterAutospacing="0" w:line="47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134"/>
        <w:ind w:left="0" w:right="600" w:firstLine="6150"/>
        <w:jc w:val="both"/>
        <w:keepLines w:val="0"/>
        <w:keepNext w:val="0"/>
        <w:spacing w:before="0" w:beforeAutospacing="0" w:after="0" w:afterAutospacing="0" w:line="47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年 月 日 </w:t>
      </w:r>
      <w:r/>
    </w:p>
    <w:p>
      <w:pPr>
        <w:pStyle w:val="1134"/>
        <w:jc w:val="center"/>
        <w:keepLines w:val="0"/>
        <w:keepNext w:val="0"/>
        <w:spacing w:before="0" w:beforeAutospacing="0" w:after="0" w:afterAutospacing="0" w:line="47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(受托人身份证扫描件附后)</w:t>
      </w:r>
      <w:r/>
    </w:p>
    <w:p>
      <w:pPr>
        <w:pStyle w:val="11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6"/>
        <w:jc w:val="center"/>
        <w:spacing w:line="360" w:lineRule="auto"/>
        <w:shd w:val="clear" w:color="auto" w:fill="auto"/>
        <w:rPr>
          <w:rFonts w:ascii="宋体" w:hAnsi="宋体" w:eastAsia="宋体" w:cs="宋体"/>
          <w:color w:val="000000"/>
          <w:sz w:val="24"/>
          <w:highlight w:val="none"/>
        </w:rPr>
      </w:pPr>
      <w:r/>
      <w:bookmarkStart w:id="17" w:name="_Toc16340"/>
      <w:r>
        <w:rPr>
          <w:rFonts w:hint="eastAsia" w:ascii="仿宋" w:hAnsi="仿宋" w:eastAsia="仿宋" w:cs="仿宋"/>
          <w:b/>
          <w:color w:val="000000"/>
          <w:sz w:val="30"/>
          <w:szCs w:val="30"/>
          <w:lang w:eastAsia="zh-CN"/>
        </w:rPr>
        <w:br w:type="page" w:clear="all"/>
      </w:r>
      <w:bookmarkEnd w:id="17"/>
      <w:r>
        <w:rPr>
          <w:rFonts w:hint="eastAsia" w:ascii="宋体" w:hAnsi="宋体" w:eastAsia="宋体" w:cs="宋体"/>
          <w:bCs/>
          <w:color w:val="000000"/>
          <w:sz w:val="24"/>
          <w:highlight w:val="none"/>
        </w:rPr>
        <w:t xml:space="preserve">（2）</w:t>
      </w:r>
      <w:r>
        <w:rPr>
          <w:rFonts w:hint="eastAsia" w:ascii="宋体" w:hAnsi="宋体" w:eastAsia="宋体" w:cs="宋体"/>
          <w:color w:val="000000"/>
          <w:sz w:val="24"/>
          <w:highlight w:val="none"/>
        </w:rPr>
        <w:t xml:space="preserve">法定代表人身份证明书</w:t>
      </w:r>
      <w:r/>
    </w:p>
    <w:p>
      <w:pPr>
        <w:jc w:val="center"/>
        <w:spacing w:line="360" w:lineRule="auto"/>
        <w:shd w:val="clear" w:color="auto" w:fill="auto"/>
        <w:widowControl w:val="off"/>
        <w:rPr>
          <w:rFonts w:ascii="宋体" w:hAnsi="宋体" w:eastAsia="宋体" w:cs="宋体"/>
          <w:bCs/>
          <w:color w:val="000000"/>
          <w:sz w:val="24"/>
          <w:szCs w:val="24"/>
          <w:highlight w:val="none"/>
          <w:lang w:val="en-US" w:eastAsia="zh-CN" w:bidi="ar-SA"/>
        </w:rPr>
      </w:pPr>
      <w:r>
        <w:rPr>
          <w:rFonts w:ascii="宋体" w:hAnsi="宋体" w:eastAsia="宋体" w:cs="宋体"/>
          <w:bCs/>
          <w:color w:val="000000"/>
          <w:sz w:val="24"/>
          <w:szCs w:val="24"/>
          <w:highlight w:val="none"/>
          <w:lang w:val="en-US" w:eastAsia="zh-CN" w:bidi="ar-SA"/>
        </w:rPr>
      </w:r>
      <w:r/>
    </w:p>
    <w:p>
      <w:pPr>
        <w:ind w:firstLine="480"/>
        <w:jc w:val="both"/>
        <w:spacing w:line="360" w:lineRule="auto"/>
        <w:shd w:val="clear" w:color="auto" w:fill="auto"/>
        <w:widowControl w:val="off"/>
        <w:tabs>
          <w:tab w:val="left" w:pos="720" w:leader="none"/>
          <w:tab w:val="left" w:pos="9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单位名称：</w:t>
      </w:r>
      <w:r/>
    </w:p>
    <w:p>
      <w:pPr>
        <w:ind w:firstLine="480"/>
        <w:jc w:val="both"/>
        <w:spacing w:line="360" w:lineRule="auto"/>
        <w:shd w:val="clear" w:color="auto" w:fill="auto"/>
        <w:widowControl w:val="off"/>
        <w:tabs>
          <w:tab w:val="left" w:pos="720" w:leader="none"/>
          <w:tab w:val="left" w:pos="9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地址：</w:t>
      </w:r>
      <w:r/>
    </w:p>
    <w:p>
      <w:pPr>
        <w:ind w:firstLine="480"/>
        <w:jc w:val="both"/>
        <w:spacing w:line="360" w:lineRule="auto"/>
        <w:shd w:val="clear" w:color="auto" w:fill="auto"/>
        <w:widowControl w:val="off"/>
        <w:tabs>
          <w:tab w:val="left" w:pos="720" w:leader="none"/>
          <w:tab w:val="left" w:pos="9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姓名：            性别：    </w:t>
      </w:r>
      <w:r/>
    </w:p>
    <w:p>
      <w:pPr>
        <w:jc w:val="both"/>
        <w:spacing w:line="360" w:lineRule="auto"/>
        <w:shd w:val="clear" w:color="auto" w:fill="auto"/>
        <w:widowControl w:val="off"/>
        <w:tabs>
          <w:tab w:val="left" w:pos="720" w:leader="none"/>
          <w:tab w:val="left" w:pos="9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身份证号：        职务：</w:t>
      </w:r>
      <w:r/>
    </w:p>
    <w:p>
      <w:pPr>
        <w:ind w:firstLine="480"/>
        <w:jc w:val="both"/>
        <w:spacing w:line="360" w:lineRule="auto"/>
        <w:shd w:val="clear" w:color="auto" w:fill="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系我司的法定代表人。为签署（</w:t>
      </w:r>
      <w:r>
        <w:rPr>
          <w:rFonts w:hint="eastAsia" w:ascii="宋体" w:hAnsi="宋体" w:eastAsia="宋体" w:cs="宋体"/>
          <w:color w:val="000000"/>
          <w:sz w:val="24"/>
          <w:szCs w:val="24"/>
          <w:highlight w:val="none"/>
          <w:u w:val="none"/>
          <w:lang w:val="en-US" w:eastAsia="zh-CN" w:bidi="ar-SA"/>
        </w:rPr>
        <w:t xml:space="preserve">项目编号：</w:t>
      </w:r>
      <w:r>
        <w:rPr>
          <w:rFonts w:hint="eastAsia" w:ascii="宋体" w:hAnsi="宋体" w:eastAsia="宋体" w:cs="宋体"/>
          <w:color w:val="000000"/>
          <w:sz w:val="24"/>
          <w:szCs w:val="24"/>
          <w:highlight w:val="none"/>
          <w:u w:val="single"/>
          <w:lang w:val="en-US" w:eastAsia="zh-CN" w:bidi="ar-SA"/>
        </w:rPr>
        <w:t xml:space="preserve">JSZC-320312-HZGC-C2026-0008</w:t>
      </w:r>
      <w:r>
        <w:rPr>
          <w:rFonts w:hint="eastAsia" w:ascii="宋体" w:hAnsi="宋体" w:eastAsia="宋体" w:cs="宋体"/>
          <w:color w:val="000000"/>
          <w:sz w:val="24"/>
          <w:szCs w:val="24"/>
          <w:highlight w:val="none"/>
          <w:lang w:val="en-US" w:eastAsia="zh-CN" w:bidi="ar-SA"/>
        </w:rPr>
        <w:t xml:space="preserve">，项目名称：</w:t>
      </w:r>
      <w:r>
        <w:rPr>
          <w:rFonts w:hint="eastAsia" w:ascii="宋体" w:hAnsi="宋体" w:eastAsia="宋体" w:cs="宋体"/>
          <w:color w:val="000000"/>
          <w:sz w:val="24"/>
          <w:szCs w:val="24"/>
          <w:highlight w:val="none"/>
          <w:u w:val="single"/>
          <w:lang w:val="en-US" w:eastAsia="zh-CN" w:bidi="ar-SA"/>
        </w:rPr>
        <w:t xml:space="preserve">铜山城区道路基础设施维修养护项目</w:t>
      </w:r>
      <w:r>
        <w:rPr>
          <w:rFonts w:hint="eastAsia" w:ascii="宋体" w:hAnsi="宋体" w:eastAsia="宋体" w:cs="宋体"/>
          <w:color w:val="000000"/>
          <w:sz w:val="24"/>
          <w:szCs w:val="24"/>
          <w:highlight w:val="none"/>
          <w:lang w:val="en-US" w:eastAsia="zh-CN" w:bidi="ar-SA"/>
        </w:rPr>
        <w:t xml:space="preserve">）项目投标文件、进行合同谈判、签署合同和处理与之有关的一切事务。</w:t>
      </w:r>
      <w:r/>
    </w:p>
    <w:p>
      <w:pPr>
        <w:jc w:val="both"/>
        <w:spacing w:line="360" w:lineRule="auto"/>
        <w:shd w:val="clear" w:color="auto" w:fill="auto"/>
        <w:widowControl w:val="off"/>
        <w:tabs>
          <w:tab w:val="left" w:pos="720" w:leader="none"/>
          <w:tab w:val="left" w:pos="900" w:leader="none"/>
        </w:tabs>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ind w:firstLine="480"/>
        <w:jc w:val="both"/>
        <w:spacing w:line="360" w:lineRule="auto"/>
        <w:shd w:val="clear" w:color="auto" w:fill="auto"/>
        <w:widowControl w:val="off"/>
        <w:tabs>
          <w:tab w:val="left" w:pos="720" w:leader="none"/>
          <w:tab w:val="left" w:pos="9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特此证明。</w:t>
      </w:r>
      <w:r/>
    </w:p>
    <w:p>
      <w:pPr>
        <w:ind w:firstLine="480"/>
        <w:jc w:val="both"/>
        <w:spacing w:line="360" w:lineRule="auto"/>
        <w:shd w:val="clear" w:color="auto" w:fill="auto"/>
        <w:widowControl w:val="off"/>
        <w:tabs>
          <w:tab w:val="left" w:pos="720" w:leader="none"/>
          <w:tab w:val="left" w:pos="900" w:leader="none"/>
        </w:tabs>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right"/>
        <w:spacing w:line="360" w:lineRule="auto"/>
        <w:shd w:val="clear" w:color="auto" w:fill="auto"/>
        <w:widowControl w:val="off"/>
        <w:tabs>
          <w:tab w:val="left" w:pos="720" w:leader="none"/>
          <w:tab w:val="left" w:pos="900" w:leader="none"/>
        </w:tabs>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ind w:firstLine="420"/>
        <w:spacing w:after="120" w:line="360" w:lineRule="auto"/>
        <w:shd w:val="clear" w:color="auto" w:fill="auto"/>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p>
      <w:pPr>
        <w:ind w:firstLine="3240"/>
        <w:jc w:val="center"/>
        <w:spacing w:line="360" w:lineRule="auto"/>
        <w:shd w:val="clear" w:color="auto" w:fill="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（盖电子签章）</w:t>
      </w:r>
      <w:r/>
    </w:p>
    <w:p>
      <w:pPr>
        <w:jc w:val="right"/>
        <w:spacing w:line="360" w:lineRule="auto"/>
        <w:shd w:val="clear" w:color="auto" w:fill="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法定代表人：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（签字或电子签章）</w:t>
      </w:r>
      <w:r/>
    </w:p>
    <w:p>
      <w:pPr>
        <w:ind w:firstLine="3360"/>
        <w:jc w:val="right"/>
        <w:spacing w:line="360" w:lineRule="auto"/>
        <w:shd w:val="clear" w:color="auto" w:fill="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p>
    <w:p>
      <w:pPr>
        <w:jc w:val="both"/>
        <w:spacing w:line="360" w:lineRule="auto"/>
        <w:shd w:val="clear" w:color="auto" w:fill="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ind w:firstLine="480"/>
        <w:jc w:val="both"/>
        <w:spacing w:line="360" w:lineRule="auto"/>
        <w:shd w:val="clear" w:color="auto" w:fill="auto"/>
        <w:widowControl w:val="off"/>
        <w:tabs>
          <w:tab w:val="left" w:pos="720" w:leader="none"/>
          <w:tab w:val="left" w:pos="9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(法定代表人身份证</w:t>
      </w:r>
      <w:r>
        <w:rPr>
          <w:rFonts w:hint="eastAsia" w:ascii="宋体" w:hAnsi="宋体" w:eastAsia="宋体" w:cs="宋体"/>
          <w:bCs/>
          <w:color w:val="000000"/>
          <w:sz w:val="24"/>
          <w:szCs w:val="24"/>
          <w:highlight w:val="none"/>
          <w:lang w:val="en-US" w:eastAsia="zh-CN" w:bidi="ar-SA"/>
        </w:rPr>
        <w:t xml:space="preserve">复印件</w:t>
      </w:r>
      <w:r>
        <w:rPr>
          <w:rFonts w:hint="eastAsia" w:ascii="宋体" w:hAnsi="宋体" w:eastAsia="宋体" w:cs="宋体"/>
          <w:color w:val="000000"/>
          <w:sz w:val="24"/>
          <w:szCs w:val="24"/>
          <w:highlight w:val="none"/>
          <w:lang w:val="en-US" w:eastAsia="zh-CN" w:bidi="ar-SA"/>
        </w:rPr>
        <w:t xml:space="preserve">附后）</w:t>
      </w:r>
      <w:r/>
    </w:p>
    <w:p>
      <w:pPr>
        <w:sectPr>
          <w:footerReference w:type="default" r:id="rId19"/>
          <w:footnotePr/>
          <w:endnotePr/>
          <w:type w:val="nextPage"/>
          <w:pgSz w:w="11906" w:h="16838" w:orient="portrait"/>
          <w:pgMar w:top="1440" w:right="1451" w:bottom="1440" w:left="1480" w:header="851" w:footer="992" w:gutter="0"/>
          <w:cols w:num="1" w:sep="0" w:space="1701" w:equalWidth="1"/>
          <w:docGrid w:linePitch="360"/>
        </w:sectPr>
      </w:pPr>
      <w:r/>
      <w:r/>
    </w:p>
    <w:p>
      <w:pPr>
        <w:pStyle w:val="1158"/>
        <w:jc w:val="center"/>
        <w:spacing w:before="156" w:after="156" w:line="440" w:lineRule="exact"/>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lang w:eastAsia="zh-CN"/>
        </w:rPr>
        <w:t xml:space="preserve">具备履行合同所必需的设备和专业技术能力的书面声明</w:t>
      </w:r>
      <w:r/>
    </w:p>
    <w:p>
      <w:pPr>
        <w:pStyle w:val="1158"/>
        <w:jc w:val="center"/>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（附证明材料原件的扫描件）</w:t>
      </w:r>
      <w:r/>
    </w:p>
    <w:p>
      <w:pPr>
        <w:spacing w:before="220" w:line="25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 </w:t>
      </w:r>
      <w:r/>
    </w:p>
    <w:p>
      <w:pPr>
        <w:spacing w:line="360" w:lineRule="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项目名称：</w:t>
      </w:r>
      <w:r>
        <w:rPr>
          <w:rFonts w:hint="eastAsia" w:ascii="宋体" w:hAnsi="宋体" w:cs="宋体"/>
          <w:sz w:val="24"/>
          <w:szCs w:val="24"/>
          <w:lang w:eastAsia="zh-CN"/>
        </w:rPr>
        <w:t xml:space="preserve">铜山城区道路基础设施维修养护项目</w:t>
      </w:r>
      <w:r>
        <w:rPr>
          <w:rFonts w:hint="eastAsia" w:ascii="宋体" w:hAnsi="宋体" w:eastAsia="宋体" w:cs="宋体"/>
          <w:sz w:val="24"/>
          <w:szCs w:val="24"/>
          <w:lang w:eastAsia="zh-CN"/>
        </w:rPr>
        <w:t xml:space="preserve">  </w:t>
      </w:r>
      <w:r>
        <w:rPr>
          <w:rFonts w:hint="eastAsia" w:ascii="宋体" w:hAnsi="宋体" w:eastAsia="宋体" w:cs="宋体"/>
          <w:sz w:val="24"/>
          <w:szCs w:val="24"/>
          <w:u w:val="single"/>
          <w:lang w:eastAsia="zh-CN"/>
        </w:rPr>
        <w:t xml:space="preserve">            </w:t>
      </w:r>
      <w:r/>
    </w:p>
    <w:p>
      <w:pPr>
        <w:pStyle w:val="1158"/>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lang w:eastAsia="zh-CN"/>
        </w:rPr>
        <w:t xml:space="preserve">项目编号：</w:t>
      </w:r>
      <w:r>
        <w:rPr>
          <w:rFonts w:hint="eastAsia" w:ascii="宋体" w:hAnsi="宋体" w:eastAsia="宋体" w:cs="宋体"/>
          <w:color w:val="000000"/>
          <w:sz w:val="24"/>
          <w:szCs w:val="24"/>
          <w:highlight w:val="none"/>
          <w:lang w:eastAsia="zh-CN"/>
        </w:rPr>
        <w:t xml:space="preserve">JSZC-320312-HZGC-C2026-0008</w:t>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              </w:t>
      </w:r>
      <w:r/>
    </w:p>
    <w:p>
      <w:pPr>
        <w:pStyle w:val="1158"/>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供应商郑重声明：供应商具备履行合同（项目名称：</w:t>
      </w:r>
      <w:r>
        <w:rPr>
          <w:rFonts w:hint="eastAsia" w:ascii="宋体" w:hAnsi="宋体" w:cs="宋体"/>
          <w:sz w:val="24"/>
          <w:szCs w:val="24"/>
          <w:u w:val="single"/>
          <w:lang w:eastAsia="zh-CN"/>
        </w:rPr>
        <w:t xml:space="preserve">铜山城区道路基础设施维修养护项目</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lang w:eastAsia="zh-CN"/>
        </w:rPr>
        <w:t xml:space="preserve">项目编号：</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highlight w:val="none"/>
          <w:lang w:eastAsia="zh-CN"/>
        </w:rPr>
        <w:t xml:space="preserve">）</w:t>
      </w:r>
      <w:r>
        <w:rPr>
          <w:rFonts w:hint="eastAsia" w:ascii="宋体" w:hAnsi="宋体" w:cs="宋体"/>
          <w:sz w:val="24"/>
          <w:szCs w:val="24"/>
          <w:lang w:val="en-US" w:eastAsia="zh-CN"/>
        </w:rPr>
        <w:t xml:space="preserve"> </w:t>
      </w:r>
      <w:r>
        <w:rPr>
          <w:rFonts w:hint="eastAsia" w:ascii="宋体" w:hAnsi="宋体" w:eastAsia="宋体" w:cs="宋体"/>
          <w:sz w:val="24"/>
          <w:szCs w:val="24"/>
          <w:lang w:eastAsia="zh-CN"/>
        </w:rPr>
        <w:t xml:space="preserve">所必需的设备和专业技术能力，具体为：</w:t>
      </w:r>
      <w:r/>
    </w:p>
    <w:p>
      <w:pPr>
        <w:ind w:firstLine="560"/>
        <w:spacing w:line="480" w:lineRule="exact"/>
        <w:rPr>
          <w:rFonts w:hint="eastAsia" w:ascii="宋体" w:hAnsi="宋体" w:eastAsia="宋体" w:cs="宋体"/>
          <w:sz w:val="24"/>
        </w:rPr>
      </w:pPr>
      <w:r>
        <w:rPr>
          <w:rFonts w:hint="eastAsia" w:ascii="宋体" w:hAnsi="宋体" w:eastAsia="宋体" w:cs="宋体"/>
          <w:sz w:val="24"/>
        </w:rPr>
        <w:t xml:space="preserve">设备：</w:t>
      </w:r>
      <w:r/>
    </w:p>
    <w:p>
      <w:pPr>
        <w:ind w:firstLine="560"/>
        <w:spacing w:line="48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 （证明材料复印件附后）</w:t>
      </w:r>
      <w:r/>
    </w:p>
    <w:p>
      <w:pPr>
        <w:ind w:firstLine="560"/>
        <w:spacing w:line="48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 （证明材料复印件附后）</w:t>
      </w:r>
      <w:r/>
    </w:p>
    <w:p>
      <w:pPr>
        <w:ind w:firstLine="560"/>
        <w:spacing w:line="480"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 （证明材料复印件附后）</w:t>
      </w:r>
      <w:r/>
    </w:p>
    <w:p>
      <w:pPr>
        <w:ind w:firstLine="560"/>
        <w:spacing w:line="480" w:lineRule="exact"/>
        <w:rPr>
          <w:rFonts w:hint="eastAsia" w:ascii="宋体" w:hAnsi="宋体" w:eastAsia="宋体" w:cs="宋体"/>
          <w:sz w:val="24"/>
        </w:rPr>
      </w:pPr>
      <w:r>
        <w:rPr>
          <w:rFonts w:hint="eastAsia" w:ascii="宋体" w:hAnsi="宋体" w:eastAsia="宋体" w:cs="宋体"/>
          <w:sz w:val="24"/>
        </w:rPr>
        <w:t xml:space="preserve">…………</w:t>
      </w:r>
      <w:r/>
    </w:p>
    <w:p>
      <w:pPr>
        <w:ind w:firstLine="560"/>
        <w:spacing w:line="480" w:lineRule="exact"/>
        <w:rPr>
          <w:rFonts w:hint="eastAsia" w:ascii="宋体" w:hAnsi="宋体" w:eastAsia="宋体" w:cs="宋体"/>
          <w:sz w:val="24"/>
        </w:rPr>
      </w:pPr>
      <w:r>
        <w:rPr>
          <w:rFonts w:hint="eastAsia" w:ascii="宋体" w:hAnsi="宋体" w:eastAsia="宋体" w:cs="宋体"/>
          <w:sz w:val="24"/>
        </w:rPr>
        <w:t xml:space="preserve">专业技术能力：</w:t>
      </w:r>
      <w:r/>
    </w:p>
    <w:p>
      <w:pPr>
        <w:ind w:firstLine="560"/>
        <w:spacing w:line="480" w:lineRule="exact"/>
        <w:rPr>
          <w:rFonts w:hint="eastAsia" w:ascii="宋体" w:hAnsi="宋体" w:eastAsia="宋体" w:cs="宋体"/>
          <w:sz w:val="24"/>
          <w:u w:val="none"/>
        </w:rPr>
      </w:pPr>
      <w:r>
        <w:rPr>
          <w:rFonts w:hint="eastAsia" w:ascii="宋体" w:hAnsi="宋体" w:eastAsia="宋体" w:cs="宋体"/>
          <w:sz w:val="24"/>
          <w:u w:val="none"/>
          <w:lang w:val="en-US" w:eastAsia="zh-CN"/>
        </w:rPr>
        <w:t xml:space="preserve">1、</w:t>
      </w:r>
      <w:r>
        <w:rPr>
          <w:rFonts w:hint="eastAsia" w:ascii="宋体" w:hAnsi="宋体" w:eastAsia="宋体" w:cs="宋体"/>
          <w:sz w:val="24"/>
          <w:u w:val="single"/>
        </w:rPr>
        <w:t xml:space="preserve">                         </w:t>
      </w:r>
      <w:r>
        <w:rPr>
          <w:rFonts w:hint="eastAsia" w:ascii="宋体" w:hAnsi="宋体" w:eastAsia="宋体" w:cs="宋体"/>
          <w:sz w:val="24"/>
          <w:u w:val="none"/>
        </w:rPr>
        <w:t xml:space="preserve"> （证明材料复印件附后）</w:t>
      </w:r>
      <w:r/>
    </w:p>
    <w:p>
      <w:pPr>
        <w:ind w:firstLine="560"/>
        <w:spacing w:line="480" w:lineRule="exact"/>
        <w:rPr>
          <w:rFonts w:hint="eastAsia" w:ascii="宋体" w:hAnsi="宋体" w:eastAsia="宋体" w:cs="宋体"/>
          <w:sz w:val="24"/>
          <w:u w:val="single"/>
        </w:rPr>
      </w:pPr>
      <w:r>
        <w:rPr>
          <w:rFonts w:hint="eastAsia" w:ascii="宋体" w:hAnsi="宋体" w:eastAsia="宋体" w:cs="宋体"/>
          <w:sz w:val="24"/>
          <w:u w:val="none"/>
        </w:rPr>
        <w:t xml:space="preserve">2、</w:t>
      </w:r>
      <w:r>
        <w:rPr>
          <w:rFonts w:hint="eastAsia" w:ascii="宋体" w:hAnsi="宋体" w:eastAsia="宋体" w:cs="宋体"/>
          <w:sz w:val="24"/>
          <w:u w:val="single"/>
        </w:rPr>
        <w:t xml:space="preserve">                          </w:t>
      </w:r>
      <w:r>
        <w:rPr>
          <w:rFonts w:hint="eastAsia" w:ascii="宋体" w:hAnsi="宋体" w:eastAsia="宋体" w:cs="宋体"/>
          <w:sz w:val="24"/>
          <w:u w:val="none"/>
        </w:rPr>
        <w:t xml:space="preserve"> （证明材料复印件附后）</w:t>
      </w:r>
      <w:r/>
    </w:p>
    <w:p>
      <w:pPr>
        <w:ind w:firstLine="560"/>
        <w:spacing w:line="480" w:lineRule="exact"/>
        <w:rPr>
          <w:rFonts w:hint="eastAsia" w:ascii="宋体" w:hAnsi="宋体" w:eastAsia="宋体" w:cs="宋体"/>
          <w:sz w:val="24"/>
        </w:rPr>
      </w:pPr>
      <w:r>
        <w:rPr>
          <w:rFonts w:hint="eastAsia" w:ascii="宋体" w:hAnsi="宋体" w:eastAsia="宋体" w:cs="宋体"/>
          <w:sz w:val="24"/>
          <w:u w:val="none"/>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 （证明材料复印件附后）</w:t>
      </w:r>
      <w:r/>
    </w:p>
    <w:p>
      <w:pPr>
        <w:ind w:firstLine="560"/>
        <w:spacing w:line="480" w:lineRule="exact"/>
        <w:rPr>
          <w:rFonts w:hint="eastAsia" w:ascii="宋体" w:hAnsi="宋体" w:eastAsia="宋体" w:cs="宋体"/>
          <w:sz w:val="24"/>
        </w:rPr>
      </w:pPr>
      <w:r>
        <w:rPr>
          <w:rFonts w:hint="eastAsia" w:ascii="宋体" w:hAnsi="宋体" w:eastAsia="宋体" w:cs="宋体"/>
          <w:sz w:val="24"/>
        </w:rPr>
        <w:t xml:space="preserve">…………</w:t>
      </w:r>
      <w:r/>
    </w:p>
    <w:p>
      <w:pPr>
        <w:pStyle w:val="1158"/>
        <w:ind w:right="-334" w:firstLine="480"/>
        <w:spacing w:line="360" w:lineRule="auto"/>
        <w:rPr>
          <w:rFonts w:ascii="宋体" w:hAnsi="宋体"/>
          <w:b/>
          <w:sz w:val="24"/>
          <w:szCs w:val="24"/>
          <w:lang w:val="en-US" w:eastAsia="zh-CN"/>
        </w:rPr>
      </w:pPr>
      <w:r>
        <w:rPr>
          <w:rFonts w:ascii="宋体" w:hAnsi="宋体"/>
          <w:b/>
          <w:sz w:val="24"/>
          <w:szCs w:val="24"/>
          <w:lang w:val="en-US" w:eastAsia="zh-CN"/>
        </w:rPr>
      </w:r>
      <w:r/>
    </w:p>
    <w:p>
      <w:pPr>
        <w:pStyle w:val="1158"/>
        <w:ind w:right="-334" w:firstLine="482"/>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p>
      <w:pPr>
        <w:ind w:firstLine="60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60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特此声明。</w:t>
      </w:r>
      <w:r/>
    </w:p>
    <w:p>
      <w:pPr>
        <w:ind w:firstLine="60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供应商对上述声明的真实性负责。如有虚假，将依法承担相应责任。</w:t>
      </w:r>
      <w:r/>
    </w:p>
    <w:p>
      <w:pPr>
        <w:ind w:firstLine="3750"/>
        <w:spacing w:line="30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3900"/>
        <w:jc w:val="right"/>
        <w:spacing w:line="300" w:lineRule="auto"/>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 xml:space="preserve">供应商</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（电子签章） </w:t>
      </w:r>
      <w:r/>
    </w:p>
    <w:p>
      <w:pPr>
        <w:pStyle w:val="1158"/>
        <w:jc w:val="right"/>
        <w:spacing w:line="480" w:lineRule="auto"/>
        <w:widowControl w:val="off"/>
        <w:rPr>
          <w:rStyle w:val="1251"/>
          <w:rFonts w:ascii="宋体" w:hAnsi="宋体"/>
          <w:color w:val="000000"/>
          <w:sz w:val="24"/>
          <w:highlight w:val="non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日期：   年  月  日</w:t>
      </w:r>
      <w:r>
        <w:rPr>
          <w:rFonts w:hint="eastAsia" w:ascii="宋体" w:hAnsi="宋体" w:eastAsia="宋体" w:cs="宋体"/>
          <w:b/>
          <w:color w:val="000000"/>
          <w:sz w:val="24"/>
          <w:szCs w:val="24"/>
          <w:highlight w:val="none"/>
        </w:rPr>
        <w:br w:type="page" w:clear="all"/>
      </w:r>
      <w:r>
        <w:rPr>
          <w:rFonts w:hint="eastAsia" w:ascii="宋体" w:hAnsi="宋体" w:eastAsia="宋体" w:cs="宋体"/>
          <w:b/>
          <w:bCs/>
          <w:color w:val="000000"/>
          <w:sz w:val="24"/>
          <w:szCs w:val="24"/>
          <w:highlight w:val="none"/>
        </w:rPr>
        <w:t xml:space="preserve">1</w:t>
      </w:r>
      <w:r>
        <w:rPr>
          <w:rFonts w:hint="eastAsia" w:ascii="宋体" w:hAnsi="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供应商参加政府采购活动前3年内在经营活动中没有重大违法记录的书面</w:t>
      </w:r>
      <w:r/>
    </w:p>
    <w:p>
      <w:pPr>
        <w:pStyle w:val="115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我单位在参加</w:t>
      </w:r>
      <w:r>
        <w:rPr>
          <w:rStyle w:val="1251"/>
          <w:rFonts w:hint="eastAsia" w:ascii="宋体" w:hAnsi="宋体"/>
          <w:color w:val="000000"/>
          <w:sz w:val="24"/>
          <w:highlight w:val="none"/>
          <w:u w:val="single"/>
        </w:rPr>
        <w:t xml:space="preserve">铜山城区道路基础设施维修养护项目</w:t>
      </w:r>
      <w:r>
        <w:rPr>
          <w:rFonts w:hint="eastAsia" w:ascii="宋体" w:hAnsi="宋体" w:eastAsia="宋体" w:cs="宋体"/>
          <w:color w:val="000000"/>
          <w:sz w:val="24"/>
          <w:szCs w:val="24"/>
          <w:highlight w:val="none"/>
        </w:rPr>
        <w:t xml:space="preserve">（项目编号：</w:t>
      </w:r>
      <w:r>
        <w:rPr>
          <w:rStyle w:val="1251"/>
          <w:rFonts w:hint="eastAsia" w:ascii="宋体" w:hAnsi="宋体" w:eastAsia="宋体"/>
          <w:color w:val="000000"/>
          <w:sz w:val="24"/>
          <w:highlight w:val="none"/>
          <w:u w:val="single"/>
          <w:lang w:eastAsia="zh-CN"/>
        </w:rPr>
        <w:t xml:space="preserve">JSZC-320312-HZGC-C2026-0008</w:t>
      </w:r>
      <w:r>
        <w:rPr>
          <w:rFonts w:hint="eastAsia" w:ascii="宋体" w:hAnsi="宋体" w:eastAsia="宋体" w:cs="宋体"/>
          <w:color w:val="0000ff"/>
          <w:sz w:val="24"/>
          <w:szCs w:val="24"/>
          <w:highlight w:val="none"/>
        </w:rPr>
        <w:t xml:space="preserve">）</w:t>
      </w:r>
      <w:r>
        <w:rPr>
          <w:rFonts w:hint="eastAsia" w:ascii="宋体" w:hAnsi="宋体" w:eastAsia="宋体" w:cs="宋体"/>
          <w:color w:val="000000"/>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158"/>
        <w:ind w:firstLine="720"/>
        <w:jc w:val="left"/>
        <w:spacing w:before="100" w:beforeAutospacing="1" w:after="100" w:afterAutospacing="1"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我单位对上述声明的真实性负责。如有虚假，将依法承担相应责任。</w:t>
      </w:r>
      <w:r/>
    </w:p>
    <w:p>
      <w:pPr>
        <w:pStyle w:val="1158"/>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1158"/>
        <w:ind w:right="29"/>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供应商（电子签章）：</w:t>
      </w:r>
      <w:r/>
    </w:p>
    <w:p>
      <w:pPr>
        <w:pStyle w:val="1158"/>
        <w:ind w:right="29"/>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pStyle w:val="1158"/>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p>
    <w:p>
      <w:pPr>
        <w:pStyle w:val="1158"/>
        <w:ind w:right="29"/>
        <w:jc w:val="center"/>
        <w:spacing w:line="480" w:lineRule="auto"/>
        <w:rPr>
          <w:rFonts w:hint="eastAsia" w:ascii="宋体" w:hAnsi="宋体" w:eastAsia="宋体" w:cs="宋体"/>
          <w:color w:val="000000"/>
          <w:sz w:val="24"/>
          <w:szCs w:val="24"/>
          <w:highlight w:val="none"/>
        </w:rPr>
      </w:pPr>
      <w:r>
        <w:rPr>
          <w:rFonts w:hint="eastAsia" w:ascii="宋体" w:hAnsi="宋体" w:cs="宋体"/>
          <w:b/>
          <w:color w:val="000000"/>
          <w:sz w:val="24"/>
          <w:szCs w:val="24"/>
          <w:highlight w:val="none"/>
          <w:lang w:val="en-US" w:eastAsia="zh-CN"/>
        </w:rPr>
        <w:t xml:space="preserve">11</w:t>
      </w:r>
      <w:r>
        <w:rPr>
          <w:rFonts w:hint="eastAsia" w:ascii="宋体" w:hAnsi="宋体" w:eastAsia="宋体" w:cs="宋体"/>
          <w:b/>
          <w:color w:val="000000"/>
          <w:sz w:val="24"/>
          <w:szCs w:val="24"/>
          <w:highlight w:val="none"/>
        </w:rPr>
        <w:t xml:space="preserve">、中小企业声明函</w:t>
      </w:r>
      <w:r/>
    </w:p>
    <w:p>
      <w:pPr>
        <w:pStyle w:val="1158"/>
        <w:jc w:val="left"/>
        <w:spacing w:line="480" w:lineRule="auto"/>
        <w:widowControl w:val="off"/>
        <w:rPr>
          <w:rStyle w:val="1251"/>
          <w:rFonts w:ascii="宋体" w:hAnsi="宋体"/>
          <w:color w:val="000000"/>
          <w:sz w:val="24"/>
          <w:highlight w:val="none"/>
        </w:rPr>
      </w:pPr>
      <w:r>
        <w:rPr>
          <w:rStyle w:val="1251"/>
          <w:rFonts w:ascii="宋体" w:hAnsi="宋体"/>
          <w:color w:val="000000"/>
          <w:sz w:val="24"/>
          <w:highlight w:val="none"/>
        </w:rPr>
        <w:t xml:space="preserve">项目名称：</w:t>
      </w:r>
      <w:r>
        <w:rPr>
          <w:rStyle w:val="1251"/>
          <w:rFonts w:hint="eastAsia" w:ascii="宋体" w:hAnsi="宋体"/>
          <w:color w:val="000000"/>
          <w:sz w:val="24"/>
          <w:highlight w:val="none"/>
        </w:rPr>
        <w:t xml:space="preserve">铜山城区道路基础设施维修养护项目</w:t>
      </w:r>
      <w:r/>
    </w:p>
    <w:p>
      <w:pPr>
        <w:pStyle w:val="1158"/>
        <w:jc w:val="left"/>
        <w:spacing w:line="360" w:lineRule="auto"/>
        <w:rPr>
          <w:rStyle w:val="1251"/>
          <w:rFonts w:hint="eastAsia" w:ascii="宋体" w:hAnsi="宋体"/>
          <w:color w:val="000000"/>
          <w:sz w:val="24"/>
          <w:highlight w:val="none"/>
          <w:lang w:eastAsia="zh-CN"/>
        </w:rPr>
      </w:pPr>
      <w:r>
        <w:rPr>
          <w:rStyle w:val="1251"/>
          <w:rFonts w:ascii="宋体" w:hAnsi="宋体"/>
          <w:color w:val="000000"/>
          <w:sz w:val="24"/>
          <w:highlight w:val="none"/>
        </w:rPr>
        <w:t xml:space="preserve">项目编号：</w:t>
      </w:r>
      <w:r>
        <w:rPr>
          <w:rFonts w:hint="eastAsia" w:ascii="宋体" w:hAnsi="宋体" w:eastAsia="宋体" w:cs="宋体"/>
          <w:color w:val="000000"/>
          <w:sz w:val="24"/>
          <w:szCs w:val="24"/>
          <w:highlight w:val="none"/>
          <w:lang w:eastAsia="zh-CN"/>
        </w:rPr>
        <w:t xml:space="preserve">JSZC-320312-HZGC-C2026-0008</w:t>
      </w:r>
      <w:r/>
    </w:p>
    <w:p>
      <w:pPr>
        <w:pStyle w:val="1158"/>
        <w:jc w:val="left"/>
        <w:spacing w:line="480" w:lineRule="auto"/>
        <w:widowControl w:val="off"/>
        <w:rPr>
          <w:rStyle w:val="1251"/>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p>
      <w:pPr>
        <w:pStyle w:val="1158"/>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ascii="宋体" w:hAnsi="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ascii="宋体" w:hAnsi="宋体"/>
          <w:color w:val="000000"/>
          <w:sz w:val="24"/>
          <w:szCs w:val="24"/>
          <w:highlight w:val="none"/>
          <w:u w:val="single"/>
        </w:rPr>
        <w:t xml:space="preserve">项目名称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）采购活动，工程的施工单位全部为符合政策要求的中小企业。相关企业的具体情况如下：</w:t>
      </w:r>
      <w:r/>
    </w:p>
    <w:p>
      <w:pPr>
        <w:pStyle w:val="1158"/>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color w:val="000000"/>
          <w:sz w:val="24"/>
          <w:szCs w:val="24"/>
          <w:highlight w:val="none"/>
          <w:u w:val="single"/>
        </w:rPr>
        <w:t xml:space="preserve">标的名称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建筑业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中型企业、</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小型企业、</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微型企业，</w:t>
      </w:r>
      <w:r>
        <w:rPr>
          <w:rFonts w:hint="eastAsia" w:ascii="宋体" w:hAnsi="宋体" w:eastAsia="宋体" w:cs="宋体"/>
          <w:b/>
          <w:bCs/>
          <w:color w:val="000000"/>
          <w:sz w:val="24"/>
          <w:szCs w:val="24"/>
          <w:highlight w:val="none"/>
        </w:rPr>
        <w:t xml:space="preserve">请勾选</w:t>
      </w:r>
      <w:r>
        <w:rPr>
          <w:rFonts w:hint="eastAsia" w:ascii="宋体" w:hAnsi="宋体" w:eastAsia="宋体" w:cs="宋体"/>
          <w:color w:val="000000"/>
          <w:sz w:val="24"/>
          <w:szCs w:val="24"/>
          <w:highlight w:val="none"/>
        </w:rPr>
        <w:t xml:space="preserve">！）；</w:t>
      </w:r>
      <w:r/>
    </w:p>
    <w:p>
      <w:pPr>
        <w:pStyle w:val="1158"/>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以上企业，不属于大企业的分支机构，不存在控股股东为大企业的情形，也不存在与大企业的负责人为同一人的情形。</w:t>
      </w:r>
      <w:r/>
    </w:p>
    <w:p>
      <w:pPr>
        <w:pStyle w:val="1158"/>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pStyle w:val="1168"/>
        <w:rPr>
          <w:rFonts w:hint="eastAsia"/>
        </w:rPr>
      </w:pPr>
      <w:r>
        <w:rPr>
          <w:rFonts w:hint="eastAsia"/>
        </w:rPr>
      </w:r>
      <w:r/>
    </w:p>
    <w:p>
      <w:pPr>
        <w:pStyle w:val="1158"/>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8"/>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8"/>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8"/>
        <w:ind w:right="29" w:firstLine="48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企业名称（电子签章）：</w:t>
      </w:r>
      <w:r/>
    </w:p>
    <w:p>
      <w:pPr>
        <w:pStyle w:val="1158"/>
        <w:ind w:right="29" w:firstLine="48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日期： 年  月  日</w:t>
      </w:r>
      <w:r/>
    </w:p>
    <w:p>
      <w:pPr>
        <w:pStyle w:val="1305"/>
        <w:ind w:left="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5"/>
        <w:ind w:left="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注：本项目采购项目属性</w:t>
      </w:r>
      <w:r>
        <w:rPr>
          <w:rFonts w:hint="eastAsia" w:ascii="宋体" w:hAnsi="宋体" w:eastAsia="宋体" w:cs="宋体"/>
          <w:b/>
          <w:bCs/>
          <w:sz w:val="24"/>
          <w:szCs w:val="24"/>
          <w:highlight w:val="none"/>
        </w:rPr>
        <w:t xml:space="preserve">为：建筑业。</w:t>
      </w:r>
      <w:r/>
    </w:p>
    <w:p>
      <w:pPr>
        <w:pStyle w:val="1134"/>
        <w:ind w:left="0" w:right="0" w:firstLine="482"/>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shd w:val="clear" w:color="auto" w:fill="ffffff"/>
        </w:rPr>
        <w:t xml:space="preserve">说明：</w:t>
      </w:r>
      <w:r/>
    </w:p>
    <w:p>
      <w:pPr>
        <w:pStyle w:val="1134"/>
        <w:ind w:left="0" w:firstLine="48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shd w:val="clear" w:color="auto" w:fill="ffffff"/>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134"/>
        <w:ind w:left="0" w:firstLine="48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shd w:val="clear" w:color="auto" w:fill="ffffff"/>
        </w:rPr>
        <w:t xml:space="preserve">2、从业人员、营业收入、资产总额填报响应供应商上一年度数据，无上一年度数据的新成立企业可不填报。</w:t>
      </w:r>
      <w:r/>
    </w:p>
    <w:p>
      <w:pPr>
        <w:pStyle w:val="1134"/>
        <w:ind w:left="0" w:firstLine="48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shd w:val="clear" w:color="auto" w:fill="ffffff"/>
        </w:rPr>
        <w:t xml:space="preserve">3、成交供应商为小型、微型企业的，采购人或者其委托的采购代理机构有权随中标、成交结果同时公告其《中小企业声明函》，接受社会监督。</w:t>
      </w:r>
      <w:r/>
    </w:p>
    <w:p>
      <w:pPr>
        <w:pStyle w:val="1134"/>
        <w:ind w:left="0" w:firstLine="482"/>
        <w:jc w:val="both"/>
        <w:keepLines w:val="0"/>
        <w:keepNext w:val="0"/>
        <w:spacing w:before="0" w:beforeAutospacing="0" w:after="0" w:afterAutospacing="0"/>
        <w:shd w:val="clear" w:color="auto" w:fill="ffffff"/>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shd w:val="clear" w:color="auto" w:fill="ffffff"/>
        </w:rPr>
        <w:t xml:space="preserve">4、执行江苏省财政厅关于进一步加大政府采购支持中小企业力度的通知（苏财购〔2022〕45号）的规定。</w:t>
      </w:r>
      <w:r/>
    </w:p>
    <w:p>
      <w:pPr>
        <w:pStyle w:val="1134"/>
        <w:ind w:left="0" w:firstLine="482"/>
        <w:jc w:val="both"/>
        <w:keepLines w:val="0"/>
        <w:keepNext w:val="0"/>
        <w:spacing w:before="0" w:beforeAutospacing="0" w:after="0" w:afterAutospacing="0"/>
        <w:shd w:val="clear" w:color="auto" w:fill="ffffff"/>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shd w:val="clear" w:color="auto" w:fill="ffffff"/>
        </w:rPr>
        <w:t xml:space="preserve">5、响应供应商提供的《中小企业声明函》与事实不符的，依照《中华人民共和国政府采购法》第七十七条第一款的规定追究法律责任。</w:t>
      </w:r>
      <w:r/>
    </w:p>
    <w:p>
      <w:pPr>
        <w:pStyle w:val="1134"/>
        <w:ind w:left="0" w:right="0" w:firstLine="482"/>
        <w:jc w:val="both"/>
        <w:keepLines w:val="0"/>
        <w:keepNext w:val="0"/>
        <w:spacing w:before="0" w:beforeAutospacing="0" w:after="0" w:afterAutospacing="0" w:line="0" w:lineRule="atLeast"/>
        <w:shd w:val="clear" w:color="auto" w:fill="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shd w:val="clear" w:color="auto" w:fill="ffffff"/>
        </w:rPr>
        <w:t xml:space="preserve">《中小企业声明函》查询渠道用微信搜索“中小企业规模类型自测小程序”看下列截图</w:t>
      </w:r>
      <w:r>
        <w:rPr>
          <w:rFonts w:hint="eastAsia" w:ascii="宋体" w:hAnsi="宋体" w:eastAsia="宋体" w:cs="宋体"/>
          <w:b/>
          <w:bCs/>
          <w:color w:val="000000"/>
          <w:sz w:val="24"/>
          <w:szCs w:val="24"/>
        </w:rPr>
        <w:t xml:space="preserve">：</w:t>
      </w:r>
      <w:r/>
    </w:p>
    <w:p>
      <w:pPr>
        <w:pStyle w:val="1134"/>
        <w:ind w:left="0" w:firstLine="512"/>
        <w:jc w:val="both"/>
        <w:keepLines w:val="0"/>
        <w:keepNext w:val="0"/>
        <w:spacing w:before="0" w:beforeAutospacing="0" w:after="0" w:afterAutospacing="0" w:line="273" w:lineRule="auto"/>
        <w:shd w:val="clear" w:color="auto" w:fill="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如有疑问，可与市工信局中小企业综合协调处咨询联系。联系电话：0516-83861958。</w:t>
      </w:r>
      <w:r/>
    </w:p>
    <w:p>
      <w:pPr>
        <w:pStyle w:val="1158"/>
        <w:jc w:val="both"/>
        <w:spacing w:line="360" w:lineRule="auto"/>
        <w:rPr>
          <w:rFonts w:hint="eastAsia" w:ascii="宋体" w:hAnsi="宋体" w:eastAsia="宋体" w:cs="宋体"/>
          <w:b/>
          <w:color w:val="000000"/>
          <w:sz w:val="24"/>
          <w:szCs w:val="24"/>
          <w:highlight w:val="none"/>
        </w:rPr>
        <w:sectPr>
          <w:headerReference w:type="default" r:id="rId12"/>
          <w:footerReference w:type="default" r:id="rId20"/>
          <w:footnotePr/>
          <w:endnotePr/>
          <w:type w:val="nextPage"/>
          <w:pgSz w:w="11906" w:h="16838" w:orient="portrait"/>
          <w:pgMar w:top="1134" w:right="1797" w:bottom="1134" w:left="1797" w:header="851" w:footer="992" w:gutter="0"/>
          <w:cols w:num="1" w:sep="0" w:space="1701" w:equalWidth="1"/>
          <w:docGrid w:linePitch="360"/>
          <w:titlePg/>
        </w:sectPr>
      </w:pPr>
      <w:r>
        <w:rPr>
          <w:lang w:eastAsia="zh-CN"/>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1405255</wp:posOffset>
                </wp:positionH>
                <wp:positionV relativeFrom="paragraph">
                  <wp:posOffset>78740</wp:posOffset>
                </wp:positionV>
                <wp:extent cx="2736215" cy="592010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9"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4"/>
                        <a:stretch/>
                      </pic:blipFill>
                      <pic:spPr bwMode="auto">
                        <a:xfrm>
                          <a:off x="0" y="0"/>
                          <a:ext cx="2736215" cy="5920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0288;o:allowoverlap:true;o:allowincell:true;mso-position-horizontal-relative:text;margin-left:110.6pt;mso-position-horizontal:absolute;mso-position-vertical-relative:text;margin-top:6.2pt;mso-position-vertical:absolute;width:215.4pt;height:466.1pt;mso-wrap-distance-left:0.0pt;mso-wrap-distance-top:0.0pt;mso-wrap-distance-right:0.0pt;mso-wrap-distance-bottom:0.0pt;" wrapcoords="99963 -8 0 0 0 100000 99963 100009 37 100009 100000 100000 100000 0 37 -8 99963 -8" stroked="f">
                <v:path textboxrect="0,0,0,0"/>
                <w10:wrap type="tight"/>
                <v:imagedata r:id="rId24" o:title=""/>
              </v:shape>
            </w:pict>
          </mc:Fallback>
        </mc:AlternateContent>
      </w:r>
      <w:r/>
    </w:p>
    <w:p>
      <w:pPr>
        <w:pStyle w:val="1158"/>
        <w:ind w:right="29"/>
        <w:jc w:val="center"/>
        <w:spacing w:line="480" w:lineRule="auto"/>
        <w:rPr>
          <w:rFonts w:hint="eastAsia" w:ascii="宋体" w:hAnsi="宋体" w:eastAsia="宋体" w:cs="宋体"/>
          <w:b/>
          <w:color w:val="000000"/>
          <w:sz w:val="24"/>
          <w:szCs w:val="24"/>
          <w:highlight w:val="none"/>
        </w:rPr>
      </w:pPr>
      <w:r/>
      <w:bookmarkStart w:id="18" w:name="OLE_LINK13"/>
      <w:r/>
      <w:bookmarkStart w:id="19" w:name="OLE_LINK14"/>
      <w:r>
        <w:rPr>
          <w:rFonts w:hint="eastAsia" w:ascii="宋体" w:hAnsi="宋体" w:cs="宋体"/>
          <w:b/>
          <w:color w:val="000000"/>
          <w:sz w:val="24"/>
          <w:szCs w:val="24"/>
          <w:highlight w:val="none"/>
          <w:lang w:val="en-US" w:eastAsia="zh-CN"/>
        </w:rPr>
        <w:t xml:space="preserve">12</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残疾人福利性单位声明函</w:t>
      </w:r>
      <w:bookmarkEnd w:id="18"/>
      <w:r/>
      <w:bookmarkEnd w:id="19"/>
      <w:r/>
      <w:r/>
    </w:p>
    <w:p>
      <w:pPr>
        <w:pStyle w:val="1158"/>
        <w:ind w:right="29"/>
        <w:jc w:val="center"/>
        <w:spacing w:line="48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（注：如供应商不属于残疾人福利性单位，不需提供此声明函）</w:t>
      </w:r>
      <w:r/>
    </w:p>
    <w:p>
      <w:pPr>
        <w:pStyle w:val="1158"/>
        <w:jc w:val="left"/>
        <w:spacing w:line="480" w:lineRule="auto"/>
        <w:widowControl w:val="off"/>
        <w:rPr>
          <w:rStyle w:val="1251"/>
          <w:rFonts w:ascii="宋体" w:hAnsi="宋体"/>
          <w:color w:val="000000"/>
          <w:sz w:val="24"/>
          <w:highlight w:val="none"/>
        </w:rPr>
      </w:pPr>
      <w:r>
        <w:rPr>
          <w:rFonts w:ascii="宋体" w:hAnsi="宋体"/>
          <w:color w:val="000000"/>
          <w:sz w:val="24"/>
          <w:highlight w:val="none"/>
        </w:rPr>
      </w:r>
      <w:r/>
    </w:p>
    <w:p>
      <w:pPr>
        <w:pStyle w:val="1158"/>
        <w:jc w:val="left"/>
        <w:spacing w:line="480" w:lineRule="auto"/>
        <w:widowControl w:val="off"/>
        <w:rPr>
          <w:rStyle w:val="1251"/>
          <w:rFonts w:ascii="宋体" w:hAnsi="宋体"/>
          <w:color w:val="000000"/>
          <w:sz w:val="24"/>
          <w:highlight w:val="none"/>
        </w:rPr>
      </w:pPr>
      <w:r>
        <w:rPr>
          <w:rStyle w:val="1251"/>
          <w:rFonts w:ascii="宋体" w:hAnsi="宋体"/>
          <w:color w:val="000000"/>
          <w:sz w:val="24"/>
          <w:highlight w:val="none"/>
        </w:rPr>
        <w:t xml:space="preserve">项目名称：</w:t>
      </w:r>
      <w:r>
        <w:rPr>
          <w:rStyle w:val="1251"/>
          <w:rFonts w:hint="eastAsia" w:ascii="宋体" w:hAnsi="宋体"/>
          <w:color w:val="000000"/>
          <w:sz w:val="24"/>
          <w:highlight w:val="none"/>
        </w:rPr>
        <w:t xml:space="preserve">铜山城区道路基础设施维修养护项目</w:t>
      </w:r>
      <w:r/>
    </w:p>
    <w:p>
      <w:pPr>
        <w:pStyle w:val="1158"/>
        <w:jc w:val="left"/>
        <w:spacing w:line="360" w:lineRule="auto"/>
        <w:rPr>
          <w:rStyle w:val="1251"/>
          <w:rFonts w:hint="eastAsia" w:ascii="宋体" w:hAnsi="宋体" w:eastAsia="宋体"/>
          <w:color w:val="000000"/>
          <w:sz w:val="24"/>
          <w:highlight w:val="none"/>
          <w:lang w:eastAsia="zh-CN"/>
        </w:rPr>
      </w:pPr>
      <w:r>
        <w:rPr>
          <w:rStyle w:val="1251"/>
          <w:rFonts w:ascii="宋体" w:hAnsi="宋体"/>
          <w:color w:val="000000"/>
          <w:sz w:val="24"/>
          <w:highlight w:val="none"/>
        </w:rPr>
        <w:t xml:space="preserve">项目编号：</w:t>
      </w:r>
      <w:r>
        <w:rPr>
          <w:rFonts w:hint="eastAsia" w:ascii="宋体" w:hAnsi="宋体" w:eastAsia="宋体" w:cs="宋体"/>
          <w:color w:val="000000"/>
          <w:sz w:val="24"/>
          <w:szCs w:val="24"/>
          <w:highlight w:val="none"/>
          <w:lang w:eastAsia="zh-CN"/>
        </w:rPr>
        <w:t xml:space="preserve">JSZC-320312-HZGC-C2026-0008</w:t>
      </w:r>
      <w:r/>
    </w:p>
    <w:p>
      <w:pPr>
        <w:pStyle w:val="1158"/>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rPr>
        <w:t xml:space="preserve">〔2017〕 141</w:t>
      </w:r>
      <w:r>
        <w:rPr>
          <w:rFonts w:hint="eastAsia" w:ascii="宋体" w:hAnsi="宋体" w:eastAsia="宋体" w:cs="宋体"/>
          <w:color w:val="000000"/>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58"/>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本单位对上述声明的真实性负责。如有虚假，将依法承担相应责任。</w:t>
      </w:r>
      <w:r/>
    </w:p>
    <w:p>
      <w:pPr>
        <w:pStyle w:val="1158"/>
        <w:ind w:right="1560" w:firstLine="504"/>
        <w:spacing w:line="360" w:lineRule="auto"/>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单位名称（电子签章）：</w:t>
      </w:r>
      <w:r/>
    </w:p>
    <w:p>
      <w:pPr>
        <w:pStyle w:val="1158"/>
        <w:ind w:right="1560" w:firstLine="504"/>
        <w:spacing w:line="360" w:lineRule="auto"/>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日  期：  年  月  日</w:t>
      </w:r>
      <w:r/>
    </w:p>
    <w:p>
      <w:pPr>
        <w:pStyle w:val="1155"/>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享受政府采购支持政策的残疾人福利性单位应当同时满足以下条件：</w:t>
      </w:r>
      <w:r/>
    </w:p>
    <w:p>
      <w:pPr>
        <w:pStyle w:val="11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（一）安置的残疾人占本单位在职职工人数的比例不低于25%（含25%），并且安置的残疾人人数不少于10人（含10人）；</w:t>
      </w:r>
      <w:r/>
    </w:p>
    <w:p>
      <w:pPr>
        <w:pStyle w:val="11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（二）依法与安置的每位残疾人签订了一年以上（含一年）的劳动合同或服务协议；</w:t>
      </w:r>
      <w:r/>
    </w:p>
    <w:p>
      <w:pPr>
        <w:pStyle w:val="11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（三）为安置的每位残疾人按月足额缴纳了基本养老保险、基本医疗保险、失业保险、工伤保险和生育保险等社会保险费；</w:t>
      </w:r>
      <w:r/>
    </w:p>
    <w:p>
      <w:pPr>
        <w:pStyle w:val="11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（四）通过银行等金融机构向安置的每位残疾人，按月支付了不低于单位所在区县适用的经省级人民政府批准的月最低工资标准的工资；</w:t>
      </w:r>
      <w:r/>
    </w:p>
    <w:p>
      <w:pPr>
        <w:pStyle w:val="11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11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具体以《财政部 民政部 中国残疾人联合会关于促进残疾人就业政府采购政策的通知》（财库〔2017〕141号）规定为准。</w:t>
      </w:r>
      <w:r/>
    </w:p>
    <w:p>
      <w:pPr>
        <w:pStyle w:val="11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p>
    <w:p>
      <w:pPr>
        <w:pStyle w:val="11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中标、成交供应商为残疾人福利性单位的，采购人或者其委托的采购代理机构有权随中标、成交结果同时公告其《残疾人福利性单位声明函》，接受社会监督。</w:t>
      </w:r>
      <w:r/>
    </w:p>
    <w:p>
      <w:pPr>
        <w:pStyle w:val="11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供应商提供的《残疾人福利性单位声明函》与事实不符的，依照《政府采购法》第七十七条第一款的规定追究法律责任。</w:t>
      </w:r>
      <w:r/>
    </w:p>
    <w:p>
      <w:pPr>
        <w:pStyle w:val="1158"/>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cs="宋体"/>
          <w:b/>
          <w:color w:val="000000"/>
          <w:sz w:val="24"/>
          <w:szCs w:val="24"/>
          <w:highlight w:val="none"/>
          <w:lang w:val="en-US" w:eastAsia="zh-CN"/>
        </w:rPr>
        <w:t xml:space="preserve">13</w:t>
      </w:r>
      <w:r>
        <w:rPr>
          <w:rFonts w:hint="eastAsia" w:ascii="宋体" w:hAnsi="宋体" w:eastAsia="宋体" w:cs="宋体"/>
          <w:b/>
          <w:color w:val="000000"/>
          <w:sz w:val="24"/>
          <w:szCs w:val="24"/>
          <w:highlight w:val="none"/>
        </w:rPr>
        <w:t xml:space="preserve">、代理服务收费标准</w:t>
      </w:r>
      <w:r/>
    </w:p>
    <w:tbl>
      <w:tblPr>
        <w:tblStyle w:val="107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5"/>
        <w:gridCol w:w="2706"/>
      </w:tblGrid>
      <w:tr>
        <w:trPr>
          <w:jc w:val="center"/>
          <w:trHeight w:val="487"/>
        </w:trPr>
        <w:tc>
          <w:tcPr>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中标金额</w:t>
            </w:r>
            <w:r/>
          </w:p>
        </w:tc>
        <w:tc>
          <w:tcPr>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费率</w:t>
            </w:r>
            <w:r/>
          </w:p>
        </w:tc>
      </w:tr>
      <w:tr>
        <w:trPr>
          <w:jc w:val="center"/>
          <w:trHeight w:val="407"/>
        </w:trPr>
        <w:tc>
          <w:tcPr>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最低收费金额（每个委托项目）</w:t>
            </w:r>
            <w:r/>
          </w:p>
        </w:tc>
        <w:tc>
          <w:tcPr>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5000元</w:t>
            </w:r>
            <w:r/>
          </w:p>
        </w:tc>
      </w:tr>
      <w:tr>
        <w:trPr>
          <w:jc w:val="center"/>
          <w:trHeight w:val="23"/>
        </w:trPr>
        <w:tc>
          <w:tcPr>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50万元以下（含50万元）</w:t>
            </w:r>
            <w:r/>
          </w:p>
        </w:tc>
        <w:tc>
          <w:tcPr>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w:t>
            </w:r>
            <w:r/>
          </w:p>
        </w:tc>
      </w:tr>
      <w:tr>
        <w:trPr>
          <w:jc w:val="center"/>
          <w:trHeight w:val="23"/>
        </w:trPr>
        <w:tc>
          <w:tcPr>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50-400万元（含400万元）</w:t>
            </w:r>
            <w:r/>
          </w:p>
        </w:tc>
        <w:tc>
          <w:tcPr>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w:t>
            </w:r>
            <w:r/>
          </w:p>
        </w:tc>
      </w:tr>
      <w:tr>
        <w:trPr>
          <w:jc w:val="center"/>
          <w:trHeight w:val="23"/>
        </w:trPr>
        <w:tc>
          <w:tcPr>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400-1000万元（含1000万元）</w:t>
            </w:r>
            <w:r/>
          </w:p>
        </w:tc>
        <w:tc>
          <w:tcPr>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p>
        </w:tc>
      </w:tr>
      <w:tr>
        <w:trPr>
          <w:jc w:val="center"/>
          <w:trHeight w:val="23"/>
        </w:trPr>
        <w:tc>
          <w:tcPr>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1000-5000万元（含5000万元）</w:t>
            </w:r>
            <w:r/>
          </w:p>
        </w:tc>
        <w:tc>
          <w:tcPr>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0.8%</w:t>
            </w:r>
            <w:r/>
          </w:p>
        </w:tc>
      </w:tr>
      <w:tr>
        <w:trPr>
          <w:jc w:val="center"/>
          <w:trHeight w:val="23"/>
        </w:trPr>
        <w:tc>
          <w:tcPr>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5000-1亿元（含1亿元）</w:t>
            </w:r>
            <w:r/>
          </w:p>
        </w:tc>
        <w:tc>
          <w:tcPr>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0.25%</w:t>
            </w:r>
            <w:r/>
          </w:p>
        </w:tc>
      </w:tr>
      <w:tr>
        <w:trPr>
          <w:jc w:val="center"/>
          <w:trHeight w:val="23"/>
        </w:trPr>
        <w:tc>
          <w:tcPr>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1-10亿元（含10亿元）</w:t>
            </w:r>
            <w:r/>
          </w:p>
        </w:tc>
        <w:tc>
          <w:tcPr>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0.05%</w:t>
            </w:r>
            <w:r/>
          </w:p>
        </w:tc>
      </w:tr>
      <w:tr>
        <w:trPr>
          <w:jc w:val="center"/>
          <w:trHeight w:val="23"/>
        </w:trPr>
        <w:tc>
          <w:tcPr>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10-50亿元（含50亿元）</w:t>
            </w:r>
            <w:r/>
          </w:p>
        </w:tc>
        <w:tc>
          <w:tcPr>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0.01%</w:t>
            </w:r>
            <w:r/>
          </w:p>
        </w:tc>
      </w:tr>
      <w:tr>
        <w:trPr>
          <w:jc w:val="center"/>
          <w:trHeight w:val="23"/>
        </w:trPr>
        <w:tc>
          <w:tcPr>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50亿元以上</w:t>
            </w:r>
            <w:r/>
          </w:p>
        </w:tc>
        <w:tc>
          <w:tcPr>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0.005%</w:t>
            </w:r>
            <w:r/>
          </w:p>
        </w:tc>
      </w:tr>
    </w:tbl>
    <w:p>
      <w:pPr>
        <w:ind w:firstLine="600"/>
        <w:keepLines w:val="0"/>
        <w:keepNext w:val="0"/>
        <w:pageBreakBefore w:val="0"/>
        <w:spacing w:line="340" w:lineRule="exact"/>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p>
      <w:pPr>
        <w:ind w:firstLine="56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2.代理服务费按差额定率累进法计算。</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3.代理服务费基准金额(按差额定率累进法计算的)=中标金额(按差额定率累进法计算的)*费率(%)</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4.代理服务费应收取金额=代理服务费基准金额(按差额定率累进法计算的)的合计数。</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5.定点类等无金额或事先不能计算出价格总额的项目，按中标(成交)金额100万元计算。</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6.有分包(分标段)的按一个项目计算。</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7.以上价格为协会指导价，双方可根据项目难易程度和优质优价原则协商确定。</w:t>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代理服务费用缴纳账户信息：</w:t>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账户名称：江苏淮中工程管理咨询有限公司 </w:t>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银行账号：539174723267</w:t>
      </w:r>
      <w:r/>
    </w:p>
    <w:p>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开户银行：中国银行股份有限公司徐州铜山支行</w:t>
      </w:r>
      <w:r>
        <w:rPr>
          <w:rFonts w:hint="eastAsia" w:ascii="宋体" w:hAnsi="宋体" w:eastAsia="宋体" w:cs="宋体"/>
          <w:color w:val="000000"/>
          <w:sz w:val="24"/>
          <w:szCs w:val="24"/>
          <w:highlight w:val="none"/>
        </w:rPr>
        <w:br w:type="page" w:clear="all"/>
      </w:r>
      <w:r/>
    </w:p>
    <w:p>
      <w:pPr>
        <w:pStyle w:val="1158"/>
        <w:jc w:val="center"/>
        <w:spacing w:line="360" w:lineRule="auto"/>
        <w:widowControl/>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14</w:t>
      </w:r>
      <w:r>
        <w:rPr>
          <w:rFonts w:hint="eastAsia" w:ascii="宋体" w:hAnsi="宋体" w:eastAsia="宋体" w:cs="宋体"/>
          <w:b/>
          <w:color w:val="000000"/>
          <w:sz w:val="24"/>
          <w:szCs w:val="24"/>
          <w:highlight w:val="none"/>
        </w:rPr>
        <w:t xml:space="preserve">、预付款保函支付条款模板</w:t>
      </w:r>
      <w:r/>
    </w:p>
    <w:p>
      <w:pPr>
        <w:pStyle w:val="1158"/>
        <w:ind w:firstLine="565"/>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158"/>
        <w:ind w:firstLine="484"/>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符合条件一：提交预付款保函的</w:t>
      </w:r>
      <w:r/>
    </w:p>
    <w:p>
      <w:pPr>
        <w:pStyle w:val="1158"/>
        <w:ind w:firstLine="482"/>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1158"/>
        <w:ind w:left="140"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乙方需提交的支付文件：乙方出具的全额正式发票。</w:t>
      </w:r>
      <w:r/>
    </w:p>
    <w:p>
      <w:pPr>
        <w:pStyle w:val="1158"/>
        <w:ind w:left="140"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1158"/>
        <w:ind w:firstLine="484"/>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p>
    <w:p>
      <w:pPr>
        <w:pStyle w:val="1158"/>
        <w:ind w:firstLine="484"/>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符合条件二：不提交预付款保函的</w:t>
      </w:r>
      <w:r/>
    </w:p>
    <w:p>
      <w:pPr>
        <w:pStyle w:val="1158"/>
        <w:ind w:firstLine="482"/>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1158"/>
        <w:ind w:left="140"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乙方需提交的支付文件：乙方出具的全额正式发票。</w:t>
      </w:r>
      <w:r/>
    </w:p>
    <w:p>
      <w:pPr>
        <w:pStyle w:val="1158"/>
        <w:ind w:left="140"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1158"/>
        <w:ind w:firstLine="484"/>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p>
    <w:p>
      <w:pPr>
        <w:pStyle w:val="1158"/>
        <w:ind w:left="140" w:firstLine="484"/>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p>
    <w:p>
      <w:pPr>
        <w:pStyle w:val="1158"/>
        <w:ind w:left="140"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1、付款条件一中，出具预付款保函后支付的合同款应当与保函金额一致。</w:t>
      </w:r>
      <w:r/>
    </w:p>
    <w:p>
      <w:pPr>
        <w:pStyle w:val="1158"/>
        <w:ind w:left="140" w:firstLine="482"/>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2、付款条件二中，预付款比例设定应符合《关于做好政府采购支持企业发展有关事项的通知》(苏财购〔2020〕52号)要求。</w:t>
      </w:r>
      <w:r/>
    </w:p>
    <w:p>
      <w:pPr>
        <w:pStyle w:val="11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57"/>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2"/>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15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2"/>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Tahoma">
    <w:panose1 w:val="020B0604030504040204"/>
  </w:font>
  <w:font w:name="黑体">
    <w:panose1 w:val="02010609060101010101"/>
  </w:font>
  <w:font w:name="仿宋_GB2312">
    <w:panose1 w:val="02010609060101010101"/>
  </w:font>
  <w:font w:name="Cambria">
    <w:panose1 w:val="02040503050406030204"/>
  </w:font>
  <w:font w:name="Courier New">
    <w:panose1 w:val="02070309020205020404"/>
  </w:font>
  <w:font w:name="Calibri">
    <w:panose1 w:val="020F050202020403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5"/>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5"/>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tabs>
        <w:tab w:val="center" w:pos="4153" w:leader="none"/>
        <w:tab w:val="right" w:pos="8306"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5"/>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5"/>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5"/>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5"/>
                    </w:pPr>
                    <w:r>
                      <w:fldChar w:fldCharType="begin"/>
                    </w:r>
                    <w:r>
                      <w:instrText xml:space="preserve"> PAGE  \* MERGEFORMAT </w:instrText>
                    </w:r>
                    <w:r>
                      <w:fldChar w:fldCharType="separate"/>
                    </w:r>
                    <w:r>
                      <w:t xml:space="preserve">59</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6"/>
                            <w:tabs>
                              <w:tab w:val="clear" w:pos="7143" w:leader="none"/>
                              <w:tab w:val="clear" w:pos="14287" w:leader="none"/>
                            </w:tabs>
                          </w:pPr>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6"/>
                      <w:tabs>
                        <w:tab w:val="clear" w:pos="7143" w:leader="none"/>
                        <w:tab w:val="clear" w:pos="14287" w:leader="none"/>
                      </w:tabs>
                    </w:pPr>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5"/>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5"/>
                    </w:pPr>
                    <w:r>
                      <w:fldChar w:fldCharType="begin"/>
                    </w:r>
                    <w:r>
                      <w:instrText xml:space="preserve"> PAGE  \* MERGEFORMAT </w:instrText>
                    </w:r>
                    <w:r>
                      <w:fldChar w:fldCharType="separate"/>
                    </w:r>
                    <w:r>
                      <w:t xml:space="preserve">58</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6"/>
                            <w:tabs>
                              <w:tab w:val="clear" w:pos="7143" w:leader="none"/>
                              <w:tab w:val="clear" w:pos="14287" w:leader="none"/>
                            </w:tabs>
                          </w:pPr>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6"/>
                      <w:tabs>
                        <w:tab w:val="clear" w:pos="7143" w:leader="none"/>
                        <w:tab w:val="clear" w:pos="14287" w:leader="none"/>
                      </w:tabs>
                    </w:pPr>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5"/>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5"/>
                    </w:pPr>
                    <w:r>
                      <w:fldChar w:fldCharType="begin"/>
                    </w:r>
                    <w:r>
                      <w:instrText xml:space="preserve"> PAGE  \* MERGEFORMAT </w:instrText>
                    </w:r>
                    <w:r>
                      <w:fldChar w:fldCharType="separate"/>
                    </w:r>
                    <w:r>
                      <w:t xml:space="preserve">68</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6"/>
                            <w:tabs>
                              <w:tab w:val="clear" w:pos="7143" w:leader="none"/>
                              <w:tab w:val="clear" w:pos="14287" w:leader="none"/>
                            </w:tabs>
                          </w:pPr>
                          <w:r/>
                          <w:r/>
                        </w:p>
                        <w:p>
                          <w:r/>
                          <w:r/>
                        </w:p>
                        <w:p>
                          <w:r/>
                          <w:r/>
                        </w:p>
                      </w:txbxContent>
                    </wps:txbx>
                    <wps:bodyPr wrap="none" lIns="0" tIns="0" rIns="0" bIns="0" upright="1">
                      <a:spAutoFit/>
                    </wps:bodyPr>
                  </wps:wsp>
                </a:graphicData>
              </a:graphic>
            </wp:anchor>
          </w:drawing>
        </mc:Choice>
        <mc:Fallback>
          <w:pict>
            <v:shape id="shape 10" o:spid="_x0000_s1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6"/>
                      <w:tabs>
                        <w:tab w:val="clear" w:pos="7143" w:leader="none"/>
                        <w:tab w:val="clear" w:pos="14287" w:leader="none"/>
                      </w:tabs>
                    </w:pPr>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4"/>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4"/>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4"/>
      <w:jc w:val="right"/>
      <w:pBdr>
        <w:bottom w:val="none" w:color="000000" w:sz="0" w:space="1"/>
      </w:pBdr>
    </w:pPr>
    <w:r>
      <w:t xml:space="preserve">                                       </w:t>
    </w:r>
    <w:r/>
  </w:p>
  <w:p>
    <w:pPr>
      <w:pStyle w:val="1324"/>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4"/>
      <w:jc w:val="right"/>
      <w:pBdr>
        <w:bottom w:val="none" w:color="000000" w:sz="0" w:space="1"/>
      </w:pBdr>
    </w:pPr>
    <w:r>
      <w:t xml:space="preserve">                                       </w:t>
    </w:r>
    <w:r/>
  </w:p>
  <w:p>
    <w:pPr>
      <w:pStyle w:val="13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299"/>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pStyle w:val="115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1"/>
      <w:numFmt w:val="decimal"/>
      <w:isLgl w:val="false"/>
      <w:suff w:val="tab"/>
      <w:lvlText w:val="%1."/>
      <w:lvlJc w:val="left"/>
      <w:pPr>
        <w:ind w:left="0" w:firstLine="0"/>
        <w:tabs>
          <w:tab w:val="left" w:pos="21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tabs>
          <w:tab w:val="left" w:pos="210" w:leader="none"/>
        </w:tabs>
      </w:pPr>
      <w:rPr>
        <w:rFonts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7" w:default="1">
    <w:name w:val="Normal"/>
    <w:link w:val="1267"/>
    <w:uiPriority w:val="0"/>
    <w:qFormat/>
    <w:rPr>
      <w:rFonts w:hint="default" w:ascii="Times New Roman" w:hAnsi="Times New Roman" w:eastAsia="宋体" w:cs="Times New Roman"/>
      <w:lang w:val="en-US" w:eastAsia="zh-CN" w:bidi="ar-SA"/>
    </w:rPr>
  </w:style>
  <w:style w:type="paragraph" w:styleId="1068">
    <w:name w:val="Heading 1"/>
    <w:basedOn w:val="1067"/>
    <w:next w:val="1067"/>
    <w:uiPriority w:val="9"/>
    <w:qFormat/>
    <w:pPr>
      <w:keepLines/>
      <w:keepNext/>
      <w:spacing w:before="480" w:after="200"/>
      <w:outlineLvl w:val="0"/>
    </w:pPr>
    <w:rPr>
      <w:rFonts w:ascii="Arial" w:hAnsi="Arial" w:eastAsia="Arial" w:cs="Arial"/>
      <w:sz w:val="40"/>
      <w:szCs w:val="40"/>
    </w:rPr>
  </w:style>
  <w:style w:type="paragraph" w:styleId="1069">
    <w:name w:val="Heading 2"/>
    <w:basedOn w:val="1067"/>
    <w:next w:val="1067"/>
    <w:uiPriority w:val="9"/>
    <w:unhideWhenUsed/>
    <w:qFormat/>
    <w:pPr>
      <w:keepLines/>
      <w:keepNext/>
      <w:spacing w:before="360" w:after="200"/>
      <w:outlineLvl w:val="1"/>
    </w:pPr>
    <w:rPr>
      <w:rFonts w:ascii="Arial" w:hAnsi="Arial" w:eastAsia="Arial" w:cs="Arial"/>
      <w:sz w:val="34"/>
    </w:rPr>
  </w:style>
  <w:style w:type="paragraph" w:styleId="1070">
    <w:name w:val="Heading 3"/>
    <w:basedOn w:val="1067"/>
    <w:next w:val="1067"/>
    <w:uiPriority w:val="9"/>
    <w:unhideWhenUsed/>
    <w:qFormat/>
    <w:pPr>
      <w:keepLines/>
      <w:keepNext/>
      <w:spacing w:before="320" w:after="200"/>
      <w:outlineLvl w:val="2"/>
    </w:pPr>
    <w:rPr>
      <w:rFonts w:ascii="Arial" w:hAnsi="Arial" w:eastAsia="Arial" w:cs="Arial"/>
      <w:sz w:val="30"/>
      <w:szCs w:val="30"/>
    </w:rPr>
  </w:style>
  <w:style w:type="paragraph" w:styleId="1071">
    <w:name w:val="Heading 4"/>
    <w:basedOn w:val="1067"/>
    <w:next w:val="1067"/>
    <w:uiPriority w:val="9"/>
    <w:unhideWhenUsed/>
    <w:qFormat/>
    <w:pPr>
      <w:keepLines/>
      <w:keepNext/>
      <w:spacing w:before="320" w:after="200"/>
      <w:outlineLvl w:val="3"/>
    </w:pPr>
    <w:rPr>
      <w:rFonts w:ascii="Arial" w:hAnsi="Arial" w:eastAsia="Arial" w:cs="Arial"/>
      <w:b/>
      <w:bCs/>
      <w:sz w:val="26"/>
      <w:szCs w:val="26"/>
    </w:rPr>
  </w:style>
  <w:style w:type="paragraph" w:styleId="1072">
    <w:name w:val="Heading 5"/>
    <w:basedOn w:val="1067"/>
    <w:next w:val="1067"/>
    <w:uiPriority w:val="9"/>
    <w:unhideWhenUsed/>
    <w:qFormat/>
    <w:pPr>
      <w:keepLines/>
      <w:keepNext/>
      <w:spacing w:before="320" w:after="200"/>
      <w:outlineLvl w:val="4"/>
    </w:pPr>
    <w:rPr>
      <w:rFonts w:ascii="Arial" w:hAnsi="Arial" w:eastAsia="Arial" w:cs="Arial"/>
      <w:b/>
      <w:bCs/>
      <w:sz w:val="24"/>
      <w:szCs w:val="24"/>
    </w:rPr>
  </w:style>
  <w:style w:type="paragraph" w:styleId="1073">
    <w:name w:val="Heading 6"/>
    <w:basedOn w:val="1067"/>
    <w:next w:val="1067"/>
    <w:uiPriority w:val="9"/>
    <w:unhideWhenUsed/>
    <w:qFormat/>
    <w:pPr>
      <w:keepLines/>
      <w:keepNext/>
      <w:spacing w:before="320" w:after="200"/>
      <w:outlineLvl w:val="5"/>
    </w:pPr>
    <w:rPr>
      <w:rFonts w:ascii="Arial" w:hAnsi="Arial" w:eastAsia="Arial" w:cs="Arial"/>
      <w:b/>
      <w:bCs/>
      <w:sz w:val="22"/>
      <w:szCs w:val="22"/>
    </w:rPr>
  </w:style>
  <w:style w:type="paragraph" w:styleId="1074">
    <w:name w:val="Heading 7"/>
    <w:basedOn w:val="1067"/>
    <w:next w:val="1067"/>
    <w:uiPriority w:val="9"/>
    <w:unhideWhenUsed/>
    <w:qFormat/>
    <w:pPr>
      <w:keepLines/>
      <w:keepNext/>
      <w:spacing w:before="320" w:after="200"/>
      <w:outlineLvl w:val="6"/>
    </w:pPr>
    <w:rPr>
      <w:rFonts w:ascii="Arial" w:hAnsi="Arial" w:eastAsia="Arial" w:cs="Arial"/>
      <w:b/>
      <w:bCs/>
      <w:i/>
      <w:iCs/>
      <w:sz w:val="22"/>
      <w:szCs w:val="22"/>
    </w:rPr>
  </w:style>
  <w:style w:type="paragraph" w:styleId="1075">
    <w:name w:val="Heading 8"/>
    <w:basedOn w:val="1067"/>
    <w:next w:val="1067"/>
    <w:uiPriority w:val="9"/>
    <w:unhideWhenUsed/>
    <w:qFormat/>
    <w:pPr>
      <w:keepLines/>
      <w:keepNext/>
      <w:spacing w:before="320" w:after="200"/>
      <w:outlineLvl w:val="7"/>
    </w:pPr>
    <w:rPr>
      <w:rFonts w:ascii="Arial" w:hAnsi="Arial" w:eastAsia="Arial" w:cs="Arial"/>
      <w:i/>
      <w:iCs/>
      <w:sz w:val="22"/>
      <w:szCs w:val="22"/>
    </w:rPr>
  </w:style>
  <w:style w:type="paragraph" w:styleId="1076">
    <w:name w:val="Heading 9"/>
    <w:basedOn w:val="1067"/>
    <w:next w:val="1067"/>
    <w:uiPriority w:val="9"/>
    <w:unhideWhenUsed/>
    <w:qFormat/>
    <w:pPr>
      <w:keepLines/>
      <w:keepNext/>
      <w:spacing w:before="320" w:after="200"/>
      <w:outlineLvl w:val="8"/>
    </w:pPr>
    <w:rPr>
      <w:rFonts w:ascii="Arial" w:hAnsi="Arial" w:eastAsia="Arial" w:cs="Arial"/>
      <w:i/>
      <w:iCs/>
      <w:sz w:val="21"/>
      <w:szCs w:val="21"/>
    </w:rPr>
  </w:style>
  <w:style w:type="character" w:styleId="1077" w:default="1">
    <w:name w:val="Default Paragraph Font"/>
    <w:uiPriority w:val="1"/>
    <w:semiHidden/>
    <w:unhideWhenUsed/>
  </w:style>
  <w:style w:type="table" w:styleId="1078" w:default="1">
    <w:name w:val="Normal Table"/>
    <w:uiPriority w:val="99"/>
    <w:semiHidden/>
    <w:unhideWhenUsed/>
    <w:tblPr>
      <w:tblCellMar>
        <w:left w:w="108" w:type="dxa"/>
        <w:top w:w="0" w:type="dxa"/>
        <w:right w:w="108" w:type="dxa"/>
        <w:bottom w:w="0" w:type="dxa"/>
      </w:tblCellMar>
    </w:tblPr>
  </w:style>
  <w:style w:type="paragraph" w:styleId="1079">
    <w:name w:val="toc 7"/>
    <w:basedOn w:val="1067"/>
    <w:next w:val="1067"/>
    <w:uiPriority w:val="39"/>
    <w:unhideWhenUsed/>
    <w:qFormat/>
    <w:pPr>
      <w:ind w:left="1701" w:right="0" w:firstLine="0"/>
      <w:spacing w:after="57"/>
    </w:pPr>
  </w:style>
  <w:style w:type="paragraph" w:styleId="1080">
    <w:name w:val="Caption"/>
    <w:basedOn w:val="1067"/>
    <w:next w:val="10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81">
    <w:name w:val="toc 5"/>
    <w:basedOn w:val="1067"/>
    <w:next w:val="1067"/>
    <w:uiPriority w:val="39"/>
    <w:unhideWhenUsed/>
    <w:pPr>
      <w:ind w:left="1134" w:right="0" w:firstLine="0"/>
      <w:spacing w:after="57"/>
    </w:pPr>
  </w:style>
  <w:style w:type="paragraph" w:styleId="1082">
    <w:name w:val="toc 3"/>
    <w:basedOn w:val="1067"/>
    <w:next w:val="1067"/>
    <w:uiPriority w:val="39"/>
    <w:unhideWhenUsed/>
    <w:pPr>
      <w:ind w:left="567" w:right="0" w:firstLine="0"/>
      <w:spacing w:after="57"/>
    </w:pPr>
  </w:style>
  <w:style w:type="paragraph" w:styleId="1083">
    <w:name w:val="toc 8"/>
    <w:basedOn w:val="1067"/>
    <w:next w:val="1067"/>
    <w:uiPriority w:val="39"/>
    <w:unhideWhenUsed/>
    <w:pPr>
      <w:ind w:left="1984" w:right="0" w:firstLine="0"/>
      <w:spacing w:after="57"/>
    </w:pPr>
  </w:style>
  <w:style w:type="paragraph" w:styleId="1084">
    <w:name w:val="endnote text"/>
    <w:basedOn w:val="1067"/>
    <w:uiPriority w:val="99"/>
    <w:semiHidden/>
    <w:unhideWhenUsed/>
    <w:pPr>
      <w:spacing w:after="0" w:line="240" w:lineRule="auto"/>
    </w:pPr>
    <w:rPr>
      <w:sz w:val="20"/>
    </w:rPr>
  </w:style>
  <w:style w:type="paragraph" w:styleId="1085">
    <w:name w:val="Footer"/>
    <w:basedOn w:val="1067"/>
    <w:uiPriority w:val="99"/>
    <w:unhideWhenUsed/>
    <w:pPr>
      <w:spacing w:after="0" w:line="240" w:lineRule="auto"/>
      <w:tabs>
        <w:tab w:val="center" w:pos="7143" w:leader="none"/>
        <w:tab w:val="right" w:pos="14287" w:leader="none"/>
      </w:tabs>
    </w:pPr>
  </w:style>
  <w:style w:type="paragraph" w:styleId="1086">
    <w:name w:val="Header"/>
    <w:basedOn w:val="1067"/>
    <w:uiPriority w:val="99"/>
    <w:unhideWhenUsed/>
    <w:pPr>
      <w:spacing w:after="0" w:line="240" w:lineRule="auto"/>
      <w:tabs>
        <w:tab w:val="center" w:pos="7143" w:leader="none"/>
        <w:tab w:val="right" w:pos="14287" w:leader="none"/>
      </w:tabs>
    </w:pPr>
  </w:style>
  <w:style w:type="paragraph" w:styleId="1087">
    <w:name w:val="toc 1"/>
    <w:basedOn w:val="1067"/>
    <w:next w:val="1067"/>
    <w:uiPriority w:val="39"/>
    <w:unhideWhenUsed/>
    <w:pPr>
      <w:ind w:left="0" w:right="0" w:firstLine="0"/>
      <w:spacing w:after="57"/>
    </w:pPr>
  </w:style>
  <w:style w:type="paragraph" w:styleId="1088">
    <w:name w:val="toc 4"/>
    <w:basedOn w:val="1067"/>
    <w:next w:val="1067"/>
    <w:uiPriority w:val="39"/>
    <w:unhideWhenUsed/>
    <w:pPr>
      <w:ind w:left="850" w:right="0" w:firstLine="0"/>
      <w:spacing w:after="57"/>
    </w:pPr>
  </w:style>
  <w:style w:type="paragraph" w:styleId="1089">
    <w:name w:val="Subtitle"/>
    <w:basedOn w:val="1067"/>
    <w:next w:val="1067"/>
    <w:uiPriority w:val="11"/>
    <w:qFormat/>
    <w:pPr>
      <w:spacing w:before="200" w:after="200"/>
    </w:pPr>
    <w:rPr>
      <w:sz w:val="24"/>
      <w:szCs w:val="24"/>
    </w:rPr>
  </w:style>
  <w:style w:type="paragraph" w:styleId="1090">
    <w:name w:val="footnote text"/>
    <w:basedOn w:val="1067"/>
    <w:uiPriority w:val="99"/>
    <w:semiHidden/>
    <w:unhideWhenUsed/>
    <w:pPr>
      <w:spacing w:after="40" w:line="240" w:lineRule="auto"/>
    </w:pPr>
    <w:rPr>
      <w:sz w:val="18"/>
    </w:rPr>
  </w:style>
  <w:style w:type="paragraph" w:styleId="1091">
    <w:name w:val="toc 6"/>
    <w:basedOn w:val="1067"/>
    <w:next w:val="1067"/>
    <w:uiPriority w:val="39"/>
    <w:unhideWhenUsed/>
    <w:pPr>
      <w:ind w:left="1417" w:right="0" w:firstLine="0"/>
      <w:spacing w:after="57"/>
    </w:pPr>
  </w:style>
  <w:style w:type="paragraph" w:styleId="1092">
    <w:name w:val="table of figures"/>
    <w:basedOn w:val="1067"/>
    <w:next w:val="1067"/>
    <w:uiPriority w:val="99"/>
    <w:unhideWhenUsed/>
    <w:qFormat/>
    <w:pPr>
      <w:spacing w:after="0" w:afterAutospacing="0"/>
    </w:pPr>
  </w:style>
  <w:style w:type="paragraph" w:styleId="1093">
    <w:name w:val="toc 2"/>
    <w:basedOn w:val="1067"/>
    <w:next w:val="1067"/>
    <w:uiPriority w:val="39"/>
    <w:unhideWhenUsed/>
    <w:pPr>
      <w:ind w:left="283" w:right="0" w:firstLine="0"/>
      <w:spacing w:after="57"/>
    </w:pPr>
  </w:style>
  <w:style w:type="paragraph" w:styleId="1094">
    <w:name w:val="toc 9"/>
    <w:basedOn w:val="1067"/>
    <w:next w:val="1067"/>
    <w:uiPriority w:val="39"/>
    <w:unhideWhenUsed/>
    <w:pPr>
      <w:ind w:left="2268" w:right="0" w:firstLine="0"/>
      <w:spacing w:after="57"/>
    </w:pPr>
  </w:style>
  <w:style w:type="paragraph" w:styleId="1095">
    <w:name w:val="Title"/>
    <w:basedOn w:val="1067"/>
    <w:next w:val="1067"/>
    <w:uiPriority w:val="10"/>
    <w:qFormat/>
    <w:pPr>
      <w:contextualSpacing/>
      <w:spacing w:before="300" w:after="200"/>
    </w:pPr>
    <w:rPr>
      <w:sz w:val="48"/>
      <w:szCs w:val="48"/>
    </w:rPr>
  </w:style>
  <w:style w:type="table" w:styleId="10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7">
    <w:name w:val="endnote reference"/>
    <w:uiPriority w:val="99"/>
    <w:semiHidden/>
    <w:unhideWhenUsed/>
    <w:rPr>
      <w:vertAlign w:val="superscript"/>
    </w:rPr>
  </w:style>
  <w:style w:type="character" w:styleId="1098">
    <w:name w:val="Hyperlink"/>
    <w:uiPriority w:val="99"/>
    <w:unhideWhenUsed/>
    <w:qFormat/>
    <w:rPr>
      <w:color w:val="0000ff" w:themeColor="hyperlink"/>
      <w:u w:val="single"/>
      <w14:textFill>
        <w14:solidFill>
          <w14:schemeClr w14:val="hlink"/>
        </w14:solidFill>
      </w14:textFill>
    </w:rPr>
  </w:style>
  <w:style w:type="character" w:styleId="1099">
    <w:name w:val="footnote reference"/>
    <w:uiPriority w:val="99"/>
    <w:unhideWhenUsed/>
    <w:rPr>
      <w:vertAlign w:val="superscript"/>
    </w:rPr>
  </w:style>
  <w:style w:type="paragraph" w:styleId="1100" w:customStyle="1">
    <w:name w:val="标题 112"/>
    <w:basedOn w:val="1067"/>
    <w:next w:val="1067"/>
    <w:uiPriority w:val="9"/>
    <w:qFormat/>
    <w:pPr>
      <w:keepLines/>
      <w:keepNext/>
      <w:spacing w:before="480" w:after="200"/>
      <w:outlineLvl w:val="0"/>
    </w:pPr>
    <w:rPr>
      <w:rFonts w:ascii="Arial" w:hAnsi="Arial" w:eastAsia="Arial" w:cs="Arial"/>
      <w:sz w:val="40"/>
      <w:szCs w:val="40"/>
    </w:rPr>
  </w:style>
  <w:style w:type="paragraph" w:styleId="1101" w:customStyle="1">
    <w:name w:val="标题 2111"/>
    <w:basedOn w:val="1067"/>
    <w:next w:val="1067"/>
    <w:uiPriority w:val="9"/>
    <w:unhideWhenUsed/>
    <w:qFormat/>
    <w:pPr>
      <w:keepLines/>
      <w:keepNext/>
      <w:spacing w:before="360" w:after="200"/>
      <w:outlineLvl w:val="1"/>
    </w:pPr>
    <w:rPr>
      <w:rFonts w:ascii="Arial" w:hAnsi="Arial" w:eastAsia="Arial" w:cs="Arial"/>
      <w:sz w:val="34"/>
    </w:rPr>
  </w:style>
  <w:style w:type="paragraph" w:styleId="1102" w:customStyle="1">
    <w:name w:val="标题 312"/>
    <w:basedOn w:val="1067"/>
    <w:next w:val="1067"/>
    <w:uiPriority w:val="9"/>
    <w:unhideWhenUsed/>
    <w:qFormat/>
    <w:pPr>
      <w:keepLines/>
      <w:keepNext/>
      <w:spacing w:before="320" w:after="200"/>
      <w:outlineLvl w:val="2"/>
    </w:pPr>
    <w:rPr>
      <w:rFonts w:ascii="Arial" w:hAnsi="Arial" w:eastAsia="Arial" w:cs="Arial"/>
      <w:sz w:val="30"/>
      <w:szCs w:val="30"/>
    </w:rPr>
  </w:style>
  <w:style w:type="paragraph" w:styleId="1103" w:customStyle="1">
    <w:name w:val="标题 4111"/>
    <w:basedOn w:val="1067"/>
    <w:next w:val="1067"/>
    <w:uiPriority w:val="9"/>
    <w:unhideWhenUsed/>
    <w:qFormat/>
    <w:pPr>
      <w:keepLines/>
      <w:keepNext/>
      <w:spacing w:before="320" w:after="200"/>
      <w:outlineLvl w:val="3"/>
    </w:pPr>
    <w:rPr>
      <w:rFonts w:ascii="Arial" w:hAnsi="Arial" w:eastAsia="Arial" w:cs="Arial"/>
      <w:b/>
      <w:bCs/>
      <w:sz w:val="26"/>
      <w:szCs w:val="26"/>
    </w:rPr>
  </w:style>
  <w:style w:type="paragraph" w:styleId="1104" w:customStyle="1">
    <w:name w:val="标题 512"/>
    <w:basedOn w:val="1067"/>
    <w:next w:val="1067"/>
    <w:uiPriority w:val="9"/>
    <w:unhideWhenUsed/>
    <w:qFormat/>
    <w:pPr>
      <w:keepLines/>
      <w:keepNext/>
      <w:spacing w:before="320" w:after="200"/>
      <w:outlineLvl w:val="4"/>
    </w:pPr>
    <w:rPr>
      <w:rFonts w:ascii="Arial" w:hAnsi="Arial" w:eastAsia="Arial" w:cs="Arial"/>
      <w:b/>
      <w:bCs/>
      <w:sz w:val="24"/>
      <w:szCs w:val="24"/>
    </w:rPr>
  </w:style>
  <w:style w:type="paragraph" w:styleId="1105" w:customStyle="1">
    <w:name w:val="标题 612"/>
    <w:basedOn w:val="1067"/>
    <w:next w:val="1067"/>
    <w:uiPriority w:val="9"/>
    <w:unhideWhenUsed/>
    <w:qFormat/>
    <w:pPr>
      <w:keepLines/>
      <w:keepNext/>
      <w:spacing w:before="320" w:after="200"/>
      <w:outlineLvl w:val="5"/>
    </w:pPr>
    <w:rPr>
      <w:rFonts w:ascii="Arial" w:hAnsi="Arial" w:eastAsia="Arial" w:cs="Arial"/>
      <w:b/>
      <w:bCs/>
      <w:sz w:val="22"/>
      <w:szCs w:val="22"/>
    </w:rPr>
  </w:style>
  <w:style w:type="paragraph" w:styleId="1106" w:customStyle="1">
    <w:name w:val="标题 712"/>
    <w:basedOn w:val="1067"/>
    <w:next w:val="1067"/>
    <w:uiPriority w:val="9"/>
    <w:unhideWhenUsed/>
    <w:qFormat/>
    <w:pPr>
      <w:keepLines/>
      <w:keepNext/>
      <w:spacing w:before="320" w:after="200"/>
      <w:outlineLvl w:val="6"/>
    </w:pPr>
    <w:rPr>
      <w:rFonts w:ascii="Arial" w:hAnsi="Arial" w:eastAsia="Arial" w:cs="Arial"/>
      <w:b/>
      <w:bCs/>
      <w:i/>
      <w:iCs/>
      <w:sz w:val="22"/>
      <w:szCs w:val="22"/>
    </w:rPr>
  </w:style>
  <w:style w:type="paragraph" w:styleId="1107" w:customStyle="1">
    <w:name w:val="标题 812"/>
    <w:basedOn w:val="1067"/>
    <w:next w:val="1067"/>
    <w:uiPriority w:val="9"/>
    <w:unhideWhenUsed/>
    <w:qFormat/>
    <w:pPr>
      <w:keepLines/>
      <w:keepNext/>
      <w:spacing w:before="320" w:after="200"/>
      <w:outlineLvl w:val="7"/>
    </w:pPr>
    <w:rPr>
      <w:rFonts w:ascii="Arial" w:hAnsi="Arial" w:eastAsia="Arial" w:cs="Arial"/>
      <w:i/>
      <w:iCs/>
      <w:sz w:val="22"/>
      <w:szCs w:val="22"/>
    </w:rPr>
  </w:style>
  <w:style w:type="paragraph" w:styleId="1108" w:customStyle="1">
    <w:name w:val="标题 912"/>
    <w:basedOn w:val="1067"/>
    <w:next w:val="1067"/>
    <w:uiPriority w:val="9"/>
    <w:unhideWhenUsed/>
    <w:qFormat/>
    <w:pPr>
      <w:keepLines/>
      <w:keepNext/>
      <w:spacing w:before="320" w:after="200"/>
      <w:outlineLvl w:val="8"/>
    </w:pPr>
    <w:rPr>
      <w:rFonts w:ascii="Arial" w:hAnsi="Arial" w:eastAsia="Arial" w:cs="Arial"/>
      <w:i/>
      <w:iCs/>
      <w:sz w:val="21"/>
      <w:szCs w:val="21"/>
    </w:rPr>
  </w:style>
  <w:style w:type="character" w:styleId="1109" w:customStyle="1">
    <w:name w:val="默认段落字体12"/>
    <w:link w:val="1067"/>
    <w:uiPriority w:val="1"/>
    <w:unhideWhenUsed/>
    <w:qFormat/>
  </w:style>
  <w:style w:type="table" w:styleId="1110" w:customStyle="1">
    <w:name w:val="普通表格13"/>
    <w:uiPriority w:val="99"/>
    <w:unhideWhenUsed/>
    <w:qFormat/>
    <w:tblPr/>
  </w:style>
  <w:style w:type="paragraph" w:styleId="1111" w:customStyle="1">
    <w:name w:val="目录 711"/>
    <w:basedOn w:val="1067"/>
    <w:next w:val="1067"/>
    <w:uiPriority w:val="39"/>
    <w:unhideWhenUsed/>
    <w:qFormat/>
    <w:pPr>
      <w:ind w:left="1701" w:right="0" w:firstLine="0"/>
      <w:spacing w:after="57"/>
    </w:pPr>
  </w:style>
  <w:style w:type="paragraph" w:styleId="1112" w:customStyle="1">
    <w:name w:val="正文缩进1"/>
    <w:basedOn w:val="1067"/>
    <w:uiPriority w:val="0"/>
    <w:qFormat/>
    <w:pPr>
      <w:ind w:firstLine="420"/>
    </w:pPr>
  </w:style>
  <w:style w:type="paragraph" w:styleId="1113" w:customStyle="1">
    <w:name w:val="题注12"/>
    <w:basedOn w:val="1067"/>
    <w:next w:val="1067"/>
    <w:uiPriority w:val="35"/>
    <w:unhideWhenUsed/>
    <w:qFormat/>
    <w:pPr>
      <w:spacing w:line="276" w:lineRule="auto"/>
    </w:pPr>
    <w:rPr>
      <w:b/>
      <w:bCs/>
      <w:color w:val="4f81bd"/>
      <w:sz w:val="18"/>
      <w:szCs w:val="18"/>
    </w:rPr>
  </w:style>
  <w:style w:type="paragraph" w:styleId="1114" w:customStyle="1">
    <w:name w:val="文档结构图11"/>
    <w:basedOn w:val="1067"/>
    <w:uiPriority w:val="0"/>
    <w:qFormat/>
    <w:rPr>
      <w:rFonts w:ascii="宋体" w:hAnsi="Calibri"/>
      <w:sz w:val="18"/>
      <w:szCs w:val="18"/>
    </w:rPr>
  </w:style>
  <w:style w:type="paragraph" w:styleId="1115" w:customStyle="1">
    <w:name w:val="正文文本112"/>
    <w:basedOn w:val="1067"/>
    <w:next w:val="1116"/>
    <w:uiPriority w:val="0"/>
    <w:qFormat/>
    <w:pPr>
      <w:spacing w:after="120"/>
    </w:pPr>
  </w:style>
  <w:style w:type="paragraph" w:styleId="111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117" w:customStyle="1">
    <w:name w:val="正文文本缩进111"/>
    <w:basedOn w:val="1067"/>
    <w:uiPriority w:val="0"/>
    <w:qFormat/>
    <w:pPr>
      <w:ind w:left="420"/>
      <w:spacing w:after="120"/>
    </w:pPr>
  </w:style>
  <w:style w:type="paragraph" w:styleId="1118" w:customStyle="1">
    <w:name w:val="文本块12"/>
    <w:basedOn w:val="1067"/>
    <w:next w:val="1067"/>
    <w:uiPriority w:val="0"/>
    <w:unhideWhenUsed/>
    <w:qFormat/>
    <w:pPr>
      <w:ind w:left="420" w:right="33"/>
      <w:jc w:val="left"/>
    </w:pPr>
    <w:rPr>
      <w:sz w:val="24"/>
      <w:szCs w:val="20"/>
    </w:rPr>
  </w:style>
  <w:style w:type="paragraph" w:styleId="1119" w:customStyle="1">
    <w:name w:val="目录 511"/>
    <w:basedOn w:val="1067"/>
    <w:next w:val="1067"/>
    <w:uiPriority w:val="39"/>
    <w:unhideWhenUsed/>
    <w:qFormat/>
    <w:pPr>
      <w:ind w:left="1134" w:right="0" w:firstLine="0"/>
      <w:spacing w:after="57"/>
    </w:pPr>
  </w:style>
  <w:style w:type="paragraph" w:styleId="1120" w:customStyle="1">
    <w:name w:val="目录 311"/>
    <w:basedOn w:val="1067"/>
    <w:next w:val="1067"/>
    <w:uiPriority w:val="39"/>
    <w:unhideWhenUsed/>
    <w:qFormat/>
    <w:pPr>
      <w:ind w:left="567" w:right="0" w:firstLine="0"/>
      <w:spacing w:after="57"/>
    </w:pPr>
  </w:style>
  <w:style w:type="paragraph" w:styleId="1121" w:customStyle="1">
    <w:name w:val="目录 811"/>
    <w:basedOn w:val="1067"/>
    <w:next w:val="1067"/>
    <w:uiPriority w:val="39"/>
    <w:unhideWhenUsed/>
    <w:qFormat/>
    <w:pPr>
      <w:ind w:left="1984" w:right="0" w:firstLine="0"/>
      <w:spacing w:after="57"/>
    </w:pPr>
  </w:style>
  <w:style w:type="paragraph" w:styleId="1122" w:customStyle="1">
    <w:name w:val="尾注文本111"/>
    <w:basedOn w:val="1067"/>
    <w:uiPriority w:val="99"/>
    <w:unhideWhenUsed/>
    <w:qFormat/>
    <w:pPr>
      <w:spacing w:after="0" w:line="240" w:lineRule="auto"/>
    </w:pPr>
    <w:rPr>
      <w:sz w:val="20"/>
    </w:rPr>
  </w:style>
  <w:style w:type="paragraph" w:styleId="1123" w:customStyle="1">
    <w:name w:val="页脚112"/>
    <w:basedOn w:val="1067"/>
    <w:uiPriority w:val="99"/>
    <w:unhideWhenUsed/>
    <w:qFormat/>
    <w:pPr>
      <w:spacing w:after="0" w:line="240" w:lineRule="auto"/>
      <w:tabs>
        <w:tab w:val="center" w:pos="7143" w:leader="none"/>
        <w:tab w:val="right" w:pos="14287" w:leader="none"/>
      </w:tabs>
    </w:pPr>
  </w:style>
  <w:style w:type="paragraph" w:styleId="1124" w:customStyle="1">
    <w:name w:val="寄信人地址111"/>
    <w:basedOn w:val="1067"/>
    <w:uiPriority w:val="0"/>
    <w:qFormat/>
    <w:rPr>
      <w:rFonts w:ascii="Arial" w:hAnsi="Arial"/>
    </w:rPr>
  </w:style>
  <w:style w:type="paragraph" w:styleId="1125" w:customStyle="1">
    <w:name w:val="页眉13"/>
    <w:basedOn w:val="1067"/>
    <w:uiPriority w:val="99"/>
    <w:unhideWhenUsed/>
    <w:qFormat/>
    <w:pPr>
      <w:spacing w:after="0" w:line="240" w:lineRule="auto"/>
      <w:tabs>
        <w:tab w:val="center" w:pos="7143" w:leader="none"/>
        <w:tab w:val="right" w:pos="14287" w:leader="none"/>
      </w:tabs>
    </w:pPr>
  </w:style>
  <w:style w:type="paragraph" w:styleId="1126" w:customStyle="1">
    <w:name w:val="目录 111"/>
    <w:basedOn w:val="1067"/>
    <w:next w:val="1067"/>
    <w:uiPriority w:val="39"/>
    <w:unhideWhenUsed/>
    <w:qFormat/>
    <w:pPr>
      <w:ind w:left="0" w:right="0" w:firstLine="0"/>
      <w:spacing w:after="57"/>
    </w:pPr>
  </w:style>
  <w:style w:type="paragraph" w:styleId="1127" w:customStyle="1">
    <w:name w:val="目录 412"/>
    <w:basedOn w:val="1067"/>
    <w:next w:val="1067"/>
    <w:uiPriority w:val="39"/>
    <w:unhideWhenUsed/>
    <w:qFormat/>
    <w:pPr>
      <w:ind w:left="850" w:right="0" w:firstLine="0"/>
      <w:spacing w:after="57"/>
    </w:pPr>
  </w:style>
  <w:style w:type="paragraph" w:styleId="1128" w:customStyle="1">
    <w:name w:val="副标题11"/>
    <w:basedOn w:val="1067"/>
    <w:next w:val="1067"/>
    <w:uiPriority w:val="11"/>
    <w:qFormat/>
    <w:pPr>
      <w:spacing w:before="200" w:after="200"/>
    </w:pPr>
    <w:rPr>
      <w:sz w:val="24"/>
      <w:szCs w:val="24"/>
    </w:rPr>
  </w:style>
  <w:style w:type="paragraph" w:styleId="1129" w:customStyle="1">
    <w:name w:val="脚注文本111"/>
    <w:basedOn w:val="1067"/>
    <w:uiPriority w:val="99"/>
    <w:unhideWhenUsed/>
    <w:qFormat/>
    <w:pPr>
      <w:spacing w:after="40" w:line="240" w:lineRule="auto"/>
    </w:pPr>
    <w:rPr>
      <w:sz w:val="18"/>
    </w:rPr>
  </w:style>
  <w:style w:type="paragraph" w:styleId="1130" w:customStyle="1">
    <w:name w:val="目录 612"/>
    <w:basedOn w:val="1067"/>
    <w:next w:val="1067"/>
    <w:uiPriority w:val="39"/>
    <w:unhideWhenUsed/>
    <w:qFormat/>
    <w:pPr>
      <w:ind w:left="1417" w:right="0" w:firstLine="0"/>
      <w:spacing w:after="57"/>
    </w:pPr>
  </w:style>
  <w:style w:type="paragraph" w:styleId="1131" w:customStyle="1">
    <w:name w:val="图表目录11"/>
    <w:basedOn w:val="1067"/>
    <w:next w:val="1067"/>
    <w:uiPriority w:val="99"/>
    <w:unhideWhenUsed/>
    <w:qFormat/>
    <w:pPr>
      <w:spacing w:after="0" w:afterAutospacing="0"/>
    </w:pPr>
  </w:style>
  <w:style w:type="paragraph" w:styleId="1132" w:customStyle="1">
    <w:name w:val="目录 211"/>
    <w:basedOn w:val="1067"/>
    <w:next w:val="1067"/>
    <w:uiPriority w:val="39"/>
    <w:unhideWhenUsed/>
    <w:qFormat/>
    <w:pPr>
      <w:ind w:left="283" w:right="0" w:firstLine="0"/>
      <w:spacing w:after="57"/>
    </w:pPr>
  </w:style>
  <w:style w:type="paragraph" w:styleId="1133" w:customStyle="1">
    <w:name w:val="目录 912"/>
    <w:basedOn w:val="1067"/>
    <w:next w:val="1067"/>
    <w:uiPriority w:val="39"/>
    <w:unhideWhenUsed/>
    <w:qFormat/>
    <w:pPr>
      <w:ind w:left="2268" w:right="0" w:firstLine="0"/>
      <w:spacing w:after="57"/>
    </w:pPr>
  </w:style>
  <w:style w:type="paragraph" w:styleId="1134" w:customStyle="1">
    <w:name w:val="普通(网站)111"/>
    <w:basedOn w:val="1067"/>
    <w:uiPriority w:val="99"/>
    <w:unhideWhenUsed/>
    <w:qFormat/>
    <w:pPr>
      <w:ind w:left="0" w:right="0"/>
      <w:jc w:val="left"/>
      <w:spacing w:before="100" w:beforeAutospacing="1" w:after="100" w:afterAutospacing="1"/>
    </w:pPr>
    <w:rPr>
      <w:sz w:val="24"/>
      <w:lang w:val="en-US" w:eastAsia="zh-CN" w:bidi="ar"/>
    </w:rPr>
  </w:style>
  <w:style w:type="paragraph" w:styleId="1135" w:customStyle="1">
    <w:name w:val="标题11"/>
    <w:basedOn w:val="1067"/>
    <w:next w:val="1067"/>
    <w:uiPriority w:val="10"/>
    <w:qFormat/>
    <w:pPr>
      <w:contextualSpacing/>
      <w:spacing w:before="300" w:after="200"/>
    </w:pPr>
    <w:rPr>
      <w:sz w:val="48"/>
      <w:szCs w:val="48"/>
    </w:rPr>
  </w:style>
  <w:style w:type="paragraph" w:styleId="1136" w:customStyle="1">
    <w:name w:val="正文首行缩进111"/>
    <w:basedOn w:val="1115"/>
    <w:uiPriority w:val="0"/>
    <w:qFormat/>
    <w:pPr>
      <w:ind w:firstLine="420"/>
    </w:pPr>
  </w:style>
  <w:style w:type="paragraph" w:styleId="1137" w:customStyle="1">
    <w:name w:val="正文首行缩进 212"/>
    <w:basedOn w:val="1117"/>
    <w:next w:val="1067"/>
    <w:uiPriority w:val="0"/>
    <w:qFormat/>
    <w:pPr>
      <w:ind w:firstLine="420"/>
    </w:pPr>
  </w:style>
  <w:style w:type="table" w:styleId="1138" w:customStyle="1">
    <w:name w:val="网格型13"/>
    <w:uiPriority w:val="59"/>
    <w:qFormat/>
    <w:pPr>
      <w:spacing w:after="0" w:line="240" w:lineRule="auto"/>
    </w:pPr>
    <w:tblPr/>
  </w:style>
  <w:style w:type="character" w:styleId="1139" w:customStyle="1">
    <w:name w:val="尾注引用11"/>
    <w:link w:val="1067"/>
    <w:uiPriority w:val="99"/>
    <w:unhideWhenUsed/>
    <w:qFormat/>
    <w:rPr>
      <w:vertAlign w:val="superscript"/>
    </w:rPr>
  </w:style>
  <w:style w:type="character" w:styleId="1140" w:customStyle="1">
    <w:name w:val="超链接112"/>
    <w:link w:val="1067"/>
    <w:uiPriority w:val="99"/>
    <w:unhideWhenUsed/>
    <w:qFormat/>
    <w:rPr>
      <w:color w:val="0000ff"/>
      <w:u w:val="single"/>
    </w:rPr>
  </w:style>
  <w:style w:type="character" w:styleId="1141" w:customStyle="1">
    <w:name w:val="脚注引用12"/>
    <w:link w:val="1067"/>
    <w:uiPriority w:val="99"/>
    <w:unhideWhenUsed/>
    <w:qFormat/>
    <w:rPr>
      <w:vertAlign w:val="superscript"/>
    </w:rPr>
  </w:style>
  <w:style w:type="character" w:styleId="1142" w:customStyle="1">
    <w:name w:val="要点1"/>
    <w:basedOn w:val="1143"/>
    <w:link w:val="1067"/>
    <w:uiPriority w:val="22"/>
    <w:qFormat/>
    <w:rPr>
      <w:b/>
      <w:bCs/>
    </w:rPr>
  </w:style>
  <w:style w:type="character" w:styleId="1143" w:customStyle="1">
    <w:name w:val="默认段落字体11"/>
    <w:link w:val="1067"/>
    <w:uiPriority w:val="1"/>
    <w:unhideWhenUsed/>
    <w:qFormat/>
  </w:style>
  <w:style w:type="paragraph" w:styleId="1144" w:customStyle="1">
    <w:name w:val="文本块111"/>
    <w:basedOn w:val="1067"/>
    <w:next w:val="1067"/>
    <w:uiPriority w:val="6"/>
    <w:unhideWhenUsed/>
    <w:qFormat/>
    <w:pPr>
      <w:ind w:left="1440" w:right="1440"/>
      <w:spacing w:after="120"/>
    </w:pPr>
  </w:style>
  <w:style w:type="paragraph" w:styleId="1145" w:customStyle="1">
    <w:name w:val="标题1"/>
    <w:next w:val="1146"/>
    <w:link w:val="1149"/>
    <w:uiPriority w:val="10"/>
    <w:qFormat/>
    <w:pPr>
      <w:contextualSpacing/>
      <w:spacing w:before="300" w:after="200"/>
    </w:pPr>
    <w:rPr>
      <w:rFonts w:hint="default" w:ascii="Times New Roman" w:hAnsi="Times New Roman" w:eastAsia="宋体" w:cs="Times New Roman"/>
      <w:sz w:val="48"/>
      <w:szCs w:val="48"/>
      <w:lang w:bidi="ar-SA"/>
    </w:rPr>
  </w:style>
  <w:style w:type="paragraph" w:styleId="1146" w:customStyle="1">
    <w:name w:val="纯文本1"/>
    <w:basedOn w:val="1147"/>
    <w:link w:val="1150"/>
    <w:uiPriority w:val="0"/>
    <w:qFormat/>
    <w:rPr>
      <w:rFonts w:ascii="宋体" w:hAnsi="Courier New"/>
    </w:rPr>
  </w:style>
  <w:style w:type="paragraph" w:styleId="1147" w:customStyle="1">
    <w:name w:val="正文12"/>
    <w:next w:val="114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148" w:customStyle="1">
    <w:name w:val="文本块11"/>
    <w:basedOn w:val="1147"/>
    <w:uiPriority w:val="0"/>
    <w:qFormat/>
    <w:pPr>
      <w:ind w:left="420" w:right="33"/>
      <w:jc w:val="left"/>
    </w:pPr>
    <w:rPr>
      <w:szCs w:val="20"/>
    </w:rPr>
  </w:style>
  <w:style w:type="character" w:styleId="1149" w:customStyle="1">
    <w:name w:val="标题 Char"/>
    <w:link w:val="1145"/>
    <w:uiPriority w:val="10"/>
    <w:qFormat/>
    <w:rPr>
      <w:sz w:val="48"/>
      <w:szCs w:val="48"/>
      <w:lang w:bidi="ar-SA"/>
    </w:rPr>
  </w:style>
  <w:style w:type="character" w:styleId="1150" w:customStyle="1">
    <w:name w:val="纯文本 Char"/>
    <w:link w:val="1146"/>
    <w:uiPriority w:val="0"/>
    <w:qFormat/>
    <w:rPr>
      <w:rFonts w:ascii="宋体" w:hAnsi="Courier New" w:eastAsia="宋体"/>
      <w:sz w:val="21"/>
      <w:szCs w:val="21"/>
      <w:lang w:bidi="ar-SA"/>
    </w:rPr>
  </w:style>
  <w:style w:type="paragraph" w:styleId="1151" w:customStyle="1">
    <w:name w:val="正文文本111"/>
    <w:basedOn w:val="1147"/>
    <w:next w:val="1147"/>
    <w:uiPriority w:val="0"/>
    <w:qFormat/>
  </w:style>
  <w:style w:type="paragraph" w:styleId="1152" w:customStyle="1">
    <w:name w:val="脚注文本1"/>
    <w:basedOn w:val="1153"/>
    <w:next w:val="1161"/>
    <w:link w:val="1167"/>
    <w:uiPriority w:val="99"/>
    <w:unhideWhenUsed/>
    <w:qFormat/>
    <w:pPr>
      <w:spacing w:after="40" w:line="240" w:lineRule="auto"/>
    </w:pPr>
    <w:rPr>
      <w:sz w:val="18"/>
    </w:rPr>
  </w:style>
  <w:style w:type="paragraph" w:styleId="1153" w:customStyle="1">
    <w:name w:val="正文1"/>
    <w:basedOn w:val="1154"/>
    <w:next w:val="1160"/>
    <w:link w:val="1166"/>
    <w:uiPriority w:val="0"/>
    <w:qFormat/>
    <w:pPr>
      <w:jc w:val="both"/>
      <w:widowControl w:val="off"/>
    </w:pPr>
    <w:rPr>
      <w:rFonts w:ascii="Times New Roman" w:hAnsi="Times New Roman" w:eastAsia="宋体" w:cs="Times New Roman"/>
      <w:sz w:val="21"/>
      <w:szCs w:val="24"/>
      <w:lang w:val="en-US" w:eastAsia="zh-CN" w:bidi="ar-SA"/>
    </w:rPr>
  </w:style>
  <w:style w:type="paragraph" w:styleId="1154" w:customStyle="1">
    <w:name w:val="正文111"/>
    <w:next w:val="11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5" w:customStyle="1">
    <w:name w:val="正文文本缩进1"/>
    <w:basedOn w:val="1156"/>
    <w:next w:val="1159"/>
    <w:link w:val="1164"/>
    <w:uiPriority w:val="0"/>
    <w:qFormat/>
    <w:pPr>
      <w:ind w:left="420"/>
      <w:spacing w:after="120"/>
    </w:pPr>
  </w:style>
  <w:style w:type="paragraph" w:styleId="1156" w:customStyle="1">
    <w:name w:val="正文1111"/>
    <w:next w:val="11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7" w:customStyle="1">
    <w:name w:val="标题 21"/>
    <w:basedOn w:val="1158"/>
    <w:next w:val="1153"/>
    <w:link w:val="116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158" w:customStyle="1">
    <w:name w:val="正文11"/>
    <w:next w:val="1155"/>
    <w:link w:val="1162"/>
    <w:uiPriority w:val="0"/>
    <w:qFormat/>
    <w:pPr>
      <w:jc w:val="both"/>
      <w:widowControl w:val="off"/>
    </w:pPr>
    <w:rPr>
      <w:rFonts w:hint="default" w:ascii="Times New Roman" w:hAnsi="Times New Roman" w:eastAsia="宋体" w:cs="Times New Roman"/>
      <w:sz w:val="21"/>
      <w:szCs w:val="21"/>
      <w:lang w:bidi="ar-SA"/>
    </w:rPr>
  </w:style>
  <w:style w:type="paragraph" w:styleId="1159" w:customStyle="1">
    <w:name w:val="寄信人地址1"/>
    <w:basedOn w:val="1158"/>
    <w:uiPriority w:val="0"/>
    <w:qFormat/>
    <w:rPr>
      <w:rFonts w:ascii="Arial" w:hAnsi="Arial"/>
    </w:rPr>
  </w:style>
  <w:style w:type="paragraph" w:styleId="1160" w:customStyle="1">
    <w:name w:val="正文文本 21"/>
    <w:uiPriority w:val="0"/>
    <w:qFormat/>
    <w:pPr>
      <w:jc w:val="center"/>
      <w:widowControl w:val="off"/>
    </w:pPr>
    <w:rPr>
      <w:rFonts w:hint="default" w:ascii="Calibri" w:hAnsi="Calibri" w:eastAsia="宋体" w:cs="Times New Roman"/>
      <w:b/>
      <w:bCs/>
      <w:sz w:val="20"/>
      <w:szCs w:val="20"/>
      <w:lang w:eastAsia="zh-CN"/>
    </w:rPr>
  </w:style>
  <w:style w:type="paragraph" w:styleId="1161" w:customStyle="1">
    <w:name w:val="索引 51"/>
    <w:basedOn w:val="1154"/>
    <w:next w:val="1153"/>
    <w:uiPriority w:val="0"/>
    <w:qFormat/>
    <w:pPr>
      <w:ind w:left="798"/>
      <w:jc w:val="left"/>
    </w:pPr>
    <w:rPr>
      <w:rFonts w:ascii="Calibri" w:hAnsi="Calibri"/>
    </w:rPr>
  </w:style>
  <w:style w:type="character" w:styleId="1162" w:customStyle="1">
    <w:name w:val="批注引用1"/>
    <w:link w:val="1158"/>
    <w:uiPriority w:val="0"/>
    <w:qFormat/>
    <w:rPr>
      <w:sz w:val="21"/>
      <w:szCs w:val="21"/>
      <w:lang w:bidi="ar-SA"/>
    </w:rPr>
  </w:style>
  <w:style w:type="character" w:styleId="1163" w:customStyle="1">
    <w:name w:val="标题 2 Char"/>
    <w:link w:val="1157"/>
    <w:uiPriority w:val="0"/>
    <w:qFormat/>
    <w:rPr>
      <w:rFonts w:ascii="Cambria" w:hAnsi="Cambria"/>
      <w:b/>
      <w:bCs/>
      <w:sz w:val="28"/>
      <w:szCs w:val="32"/>
    </w:rPr>
  </w:style>
  <w:style w:type="character" w:styleId="1164" w:customStyle="1">
    <w:name w:val="正文文本缩进 Char"/>
    <w:basedOn w:val="1165"/>
    <w:link w:val="1155"/>
    <w:uiPriority w:val="0"/>
    <w:qFormat/>
    <w:rPr>
      <w:sz w:val="21"/>
      <w:szCs w:val="24"/>
    </w:rPr>
  </w:style>
  <w:style w:type="character" w:styleId="1165" w:customStyle="1">
    <w:name w:val="默认段落字体1"/>
    <w:link w:val="1067"/>
    <w:uiPriority w:val="0"/>
    <w:semiHidden/>
    <w:qFormat/>
  </w:style>
  <w:style w:type="character" w:styleId="1166" w:customStyle="1">
    <w:name w:val="超链接1"/>
    <w:link w:val="1153"/>
    <w:uiPriority w:val="0"/>
    <w:qFormat/>
    <w:rPr>
      <w:sz w:val="21"/>
      <w:szCs w:val="24"/>
      <w:lang w:val="en-US" w:eastAsia="zh-CN" w:bidi="ar-SA"/>
    </w:rPr>
  </w:style>
  <w:style w:type="character" w:styleId="1167" w:customStyle="1">
    <w:name w:val="脚注文本 Char"/>
    <w:link w:val="1152"/>
    <w:uiPriority w:val="99"/>
    <w:qFormat/>
    <w:rPr>
      <w:sz w:val="18"/>
    </w:rPr>
  </w:style>
  <w:style w:type="paragraph" w:styleId="1168" w:customStyle="1">
    <w:name w:val="文本块1"/>
    <w:basedOn w:val="1154"/>
    <w:uiPriority w:val="0"/>
    <w:qFormat/>
    <w:pPr>
      <w:ind w:left="567" w:right="454" w:firstLine="498"/>
      <w:jc w:val="left"/>
      <w:widowControl/>
    </w:pPr>
    <w:rPr>
      <w:rFonts w:ascii="仿宋_GB2312" w:eastAsia="仿宋_GB2312"/>
      <w:sz w:val="30"/>
      <w:szCs w:val="20"/>
    </w:rPr>
  </w:style>
  <w:style w:type="paragraph" w:styleId="1169" w:customStyle="1">
    <w:name w:val="标题 41"/>
    <w:basedOn w:val="1147"/>
    <w:next w:val="1158"/>
    <w:uiPriority w:val="0"/>
    <w:qFormat/>
    <w:pPr>
      <w:keepLines/>
      <w:keepNext/>
      <w:spacing w:before="280" w:after="290" w:line="372" w:lineRule="auto"/>
      <w:outlineLvl w:val="3"/>
    </w:pPr>
    <w:rPr>
      <w:rFonts w:ascii="Cambria" w:hAnsi="Cambria" w:eastAsia="宋体"/>
      <w:b/>
      <w:bCs/>
      <w:sz w:val="28"/>
      <w:szCs w:val="28"/>
    </w:rPr>
  </w:style>
  <w:style w:type="paragraph" w:styleId="1170" w:customStyle="1">
    <w:name w:val="正文文本1"/>
    <w:basedOn w:val="1158"/>
    <w:next w:val="1171"/>
    <w:uiPriority w:val="0"/>
    <w:qFormat/>
    <w:pPr>
      <w:spacing w:after="120"/>
    </w:pPr>
  </w:style>
  <w:style w:type="paragraph" w:styleId="1171" w:customStyle="1">
    <w:name w:val="一级条标题"/>
    <w:basedOn w:val="1172"/>
    <w:next w:val="117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72" w:customStyle="1">
    <w:name w:val="章标题"/>
    <w:next w:val="106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73" w:customStyle="1">
    <w:name w:val="段"/>
    <w:basedOn w:val="1153"/>
    <w:next w:val="1067"/>
    <w:uiPriority w:val="0"/>
    <w:qFormat/>
    <w:pPr>
      <w:ind w:firstLine="200"/>
      <w:widowControl/>
    </w:pPr>
    <w:rPr>
      <w:rFonts w:ascii="宋体"/>
      <w:sz w:val="20"/>
      <w:szCs w:val="20"/>
    </w:rPr>
  </w:style>
  <w:style w:type="paragraph" w:styleId="1174" w:customStyle="1">
    <w:name w:val="目录 11"/>
    <w:basedOn w:val="1175"/>
    <w:next w:val="1147"/>
    <w:uiPriority w:val="39"/>
    <w:unhideWhenUsed/>
    <w:qFormat/>
    <w:pPr>
      <w:ind w:left="0" w:right="0" w:firstLine="0"/>
      <w:spacing w:after="57"/>
    </w:pPr>
    <w:rPr>
      <w:rFonts w:ascii="Times New Roman" w:hAnsi="Times New Roman" w:eastAsia="宋体" w:cs="Times New Roman"/>
    </w:rPr>
  </w:style>
  <w:style w:type="paragraph" w:styleId="1175" w:customStyle="1">
    <w:name w:val="正文112"/>
    <w:next w:val="11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6" w:customStyle="1">
    <w:name w:val="正文文本11"/>
    <w:basedOn w:val="1175"/>
    <w:next w:val="1158"/>
    <w:uiPriority w:val="0"/>
    <w:qFormat/>
    <w:pPr>
      <w:spacing w:after="120"/>
    </w:pPr>
  </w:style>
  <w:style w:type="paragraph" w:styleId="1177" w:customStyle="1">
    <w:name w:val="文本块2"/>
    <w:basedOn w:val="1154"/>
    <w:uiPriority w:val="0"/>
    <w:qFormat/>
    <w:pPr>
      <w:ind w:left="420" w:right="33"/>
      <w:jc w:val="left"/>
    </w:pPr>
    <w:rPr>
      <w:sz w:val="24"/>
      <w:szCs w:val="20"/>
    </w:rPr>
  </w:style>
  <w:style w:type="paragraph" w:styleId="1178" w:customStyle="1">
    <w:name w:val="标题 211"/>
    <w:basedOn w:val="1067"/>
    <w:next w:val="1156"/>
    <w:link w:val="1179"/>
    <w:uiPriority w:val="9"/>
    <w:qFormat/>
    <w:pPr>
      <w:keepLines/>
      <w:keepNext/>
      <w:spacing w:before="360" w:after="200"/>
      <w:outlineLvl w:val="1"/>
    </w:pPr>
    <w:rPr>
      <w:rFonts w:ascii="Arial" w:hAnsi="Arial" w:eastAsia="Arial"/>
      <w:sz w:val="34"/>
    </w:rPr>
  </w:style>
  <w:style w:type="character" w:styleId="1179" w:customStyle="1">
    <w:name w:val="标题 2 Char1"/>
    <w:link w:val="1178"/>
    <w:uiPriority w:val="9"/>
    <w:qFormat/>
    <w:rPr>
      <w:rFonts w:ascii="Arial" w:hAnsi="Arial" w:eastAsia="Arial" w:cs="Arial"/>
      <w:sz w:val="34"/>
    </w:rPr>
  </w:style>
  <w:style w:type="paragraph" w:styleId="1180" w:customStyle="1">
    <w:name w:val="正文首行缩进 211"/>
    <w:basedOn w:val="1181"/>
    <w:next w:val="1067"/>
    <w:uiPriority w:val="99"/>
    <w:qFormat/>
    <w:pPr>
      <w:ind w:firstLine="420"/>
    </w:pPr>
    <w:rPr>
      <w:rFonts w:ascii="Times New Roman"/>
      <w:sz w:val="28"/>
    </w:rPr>
  </w:style>
  <w:style w:type="paragraph" w:styleId="1181" w:customStyle="1">
    <w:name w:val="正文文本缩进11"/>
    <w:basedOn w:val="1158"/>
    <w:next w:val="1067"/>
    <w:uiPriority w:val="0"/>
    <w:qFormat/>
    <w:pPr>
      <w:ind w:left="420"/>
      <w:spacing w:after="120"/>
    </w:pPr>
  </w:style>
  <w:style w:type="paragraph" w:styleId="1182" w:customStyle="1">
    <w:name w:val="寄信人地址11"/>
    <w:basedOn w:val="1067"/>
    <w:uiPriority w:val="0"/>
    <w:qFormat/>
    <w:rPr>
      <w:rFonts w:ascii="Arial" w:hAnsi="Arial" w:eastAsia="宋体" w:cs="Times New Roman"/>
      <w:lang w:bidi="ar-SA"/>
    </w:rPr>
  </w:style>
  <w:style w:type="paragraph" w:styleId="1183" w:customStyle="1">
    <w:name w:val="标题 1111"/>
    <w:basedOn w:val="1067"/>
    <w:next w:val="1067"/>
    <w:link w:val="1184"/>
    <w:uiPriority w:val="9"/>
    <w:qFormat/>
    <w:pPr>
      <w:keepLines/>
      <w:keepNext/>
      <w:spacing w:before="480" w:after="200"/>
      <w:outlineLvl w:val="0"/>
    </w:pPr>
    <w:rPr>
      <w:rFonts w:ascii="Arial" w:hAnsi="Arial" w:eastAsia="Arial" w:cs="Arial"/>
      <w:sz w:val="40"/>
      <w:szCs w:val="40"/>
    </w:rPr>
  </w:style>
  <w:style w:type="character" w:styleId="1184" w:customStyle="1">
    <w:name w:val="Heading 1 Char"/>
    <w:link w:val="1183"/>
    <w:uiPriority w:val="9"/>
    <w:qFormat/>
    <w:rPr>
      <w:rFonts w:ascii="Arial" w:hAnsi="Arial" w:eastAsia="Arial" w:cs="Arial"/>
      <w:sz w:val="40"/>
      <w:szCs w:val="40"/>
    </w:rPr>
  </w:style>
  <w:style w:type="paragraph" w:styleId="1185" w:customStyle="1">
    <w:name w:val="标题 212"/>
    <w:basedOn w:val="1067"/>
    <w:next w:val="1067"/>
    <w:link w:val="1186"/>
    <w:uiPriority w:val="9"/>
    <w:unhideWhenUsed/>
    <w:qFormat/>
    <w:pPr>
      <w:keepLines/>
      <w:keepNext/>
      <w:spacing w:before="360" w:after="200"/>
      <w:outlineLvl w:val="1"/>
    </w:pPr>
    <w:rPr>
      <w:rFonts w:ascii="Arial" w:hAnsi="Arial" w:eastAsia="Arial" w:cs="Arial"/>
      <w:sz w:val="34"/>
    </w:rPr>
  </w:style>
  <w:style w:type="character" w:styleId="1186" w:customStyle="1">
    <w:name w:val="Heading 2 Char"/>
    <w:link w:val="1185"/>
    <w:uiPriority w:val="9"/>
    <w:qFormat/>
    <w:rPr>
      <w:rFonts w:ascii="Arial" w:hAnsi="Arial" w:eastAsia="Arial" w:cs="Arial"/>
      <w:sz w:val="34"/>
    </w:rPr>
  </w:style>
  <w:style w:type="paragraph" w:styleId="1187" w:customStyle="1">
    <w:name w:val="标题 3111"/>
    <w:basedOn w:val="1067"/>
    <w:next w:val="1067"/>
    <w:link w:val="1188"/>
    <w:uiPriority w:val="9"/>
    <w:unhideWhenUsed/>
    <w:qFormat/>
    <w:pPr>
      <w:keepLines/>
      <w:keepNext/>
      <w:spacing w:before="320" w:after="200"/>
      <w:outlineLvl w:val="2"/>
    </w:pPr>
    <w:rPr>
      <w:rFonts w:ascii="Arial" w:hAnsi="Arial" w:eastAsia="Arial" w:cs="Arial"/>
      <w:sz w:val="30"/>
      <w:szCs w:val="30"/>
    </w:rPr>
  </w:style>
  <w:style w:type="character" w:styleId="1188" w:customStyle="1">
    <w:name w:val="Heading 3 Char"/>
    <w:link w:val="1187"/>
    <w:uiPriority w:val="9"/>
    <w:qFormat/>
    <w:rPr>
      <w:rFonts w:ascii="Arial" w:hAnsi="Arial" w:eastAsia="Arial" w:cs="Arial"/>
      <w:sz w:val="30"/>
      <w:szCs w:val="30"/>
    </w:rPr>
  </w:style>
  <w:style w:type="paragraph" w:styleId="1189" w:customStyle="1">
    <w:name w:val="标题 412"/>
    <w:basedOn w:val="1067"/>
    <w:next w:val="1067"/>
    <w:link w:val="1190"/>
    <w:uiPriority w:val="9"/>
    <w:unhideWhenUsed/>
    <w:qFormat/>
    <w:pPr>
      <w:keepLines/>
      <w:keepNext/>
      <w:spacing w:before="320" w:after="200"/>
      <w:outlineLvl w:val="3"/>
    </w:pPr>
    <w:rPr>
      <w:rFonts w:ascii="Arial" w:hAnsi="Arial" w:eastAsia="Arial" w:cs="Arial"/>
      <w:b/>
      <w:bCs/>
      <w:sz w:val="26"/>
      <w:szCs w:val="26"/>
    </w:rPr>
  </w:style>
  <w:style w:type="character" w:styleId="1190" w:customStyle="1">
    <w:name w:val="Heading 4 Char"/>
    <w:link w:val="1189"/>
    <w:uiPriority w:val="9"/>
    <w:qFormat/>
    <w:rPr>
      <w:rFonts w:ascii="Arial" w:hAnsi="Arial" w:eastAsia="Arial" w:cs="Arial"/>
      <w:b/>
      <w:bCs/>
      <w:sz w:val="26"/>
      <w:szCs w:val="26"/>
    </w:rPr>
  </w:style>
  <w:style w:type="paragraph" w:styleId="1191" w:customStyle="1">
    <w:name w:val="标题 511"/>
    <w:basedOn w:val="1067"/>
    <w:next w:val="1067"/>
    <w:link w:val="1192"/>
    <w:uiPriority w:val="9"/>
    <w:unhideWhenUsed/>
    <w:qFormat/>
    <w:pPr>
      <w:keepLines/>
      <w:keepNext/>
      <w:spacing w:before="320" w:after="200"/>
      <w:outlineLvl w:val="4"/>
    </w:pPr>
    <w:rPr>
      <w:rFonts w:ascii="Arial" w:hAnsi="Arial" w:eastAsia="Arial" w:cs="Arial"/>
      <w:b/>
      <w:bCs/>
      <w:sz w:val="24"/>
      <w:szCs w:val="24"/>
    </w:rPr>
  </w:style>
  <w:style w:type="character" w:styleId="1192" w:customStyle="1">
    <w:name w:val="Heading 5 Char"/>
    <w:link w:val="1191"/>
    <w:uiPriority w:val="9"/>
    <w:qFormat/>
    <w:rPr>
      <w:rFonts w:ascii="Arial" w:hAnsi="Arial" w:eastAsia="Arial" w:cs="Arial"/>
      <w:b/>
      <w:bCs/>
      <w:sz w:val="24"/>
      <w:szCs w:val="24"/>
    </w:rPr>
  </w:style>
  <w:style w:type="paragraph" w:styleId="1193" w:customStyle="1">
    <w:name w:val="标题 611"/>
    <w:basedOn w:val="1067"/>
    <w:next w:val="1067"/>
    <w:link w:val="1194"/>
    <w:uiPriority w:val="9"/>
    <w:unhideWhenUsed/>
    <w:qFormat/>
    <w:pPr>
      <w:keepLines/>
      <w:keepNext/>
      <w:spacing w:before="320" w:after="200"/>
      <w:outlineLvl w:val="5"/>
    </w:pPr>
    <w:rPr>
      <w:rFonts w:ascii="Arial" w:hAnsi="Arial" w:eastAsia="Arial" w:cs="Arial"/>
      <w:b/>
      <w:bCs/>
      <w:sz w:val="22"/>
      <w:szCs w:val="22"/>
    </w:rPr>
  </w:style>
  <w:style w:type="character" w:styleId="1194" w:customStyle="1">
    <w:name w:val="Heading 6 Char"/>
    <w:link w:val="1193"/>
    <w:uiPriority w:val="9"/>
    <w:qFormat/>
    <w:rPr>
      <w:rFonts w:ascii="Arial" w:hAnsi="Arial" w:eastAsia="Arial" w:cs="Arial"/>
      <w:b/>
      <w:bCs/>
      <w:sz w:val="22"/>
      <w:szCs w:val="22"/>
    </w:rPr>
  </w:style>
  <w:style w:type="paragraph" w:styleId="1195" w:customStyle="1">
    <w:name w:val="标题 711"/>
    <w:basedOn w:val="1067"/>
    <w:next w:val="1067"/>
    <w:link w:val="1196"/>
    <w:uiPriority w:val="9"/>
    <w:unhideWhenUsed/>
    <w:qFormat/>
    <w:pPr>
      <w:keepLines/>
      <w:keepNext/>
      <w:spacing w:before="320" w:after="200"/>
      <w:outlineLvl w:val="6"/>
    </w:pPr>
    <w:rPr>
      <w:rFonts w:ascii="Arial" w:hAnsi="Arial" w:eastAsia="Arial" w:cs="Arial"/>
      <w:b/>
      <w:bCs/>
      <w:i/>
      <w:iCs/>
      <w:sz w:val="22"/>
      <w:szCs w:val="22"/>
    </w:rPr>
  </w:style>
  <w:style w:type="character" w:styleId="1196" w:customStyle="1">
    <w:name w:val="Heading 7 Char"/>
    <w:link w:val="1195"/>
    <w:uiPriority w:val="9"/>
    <w:qFormat/>
    <w:rPr>
      <w:rFonts w:ascii="Arial" w:hAnsi="Arial" w:eastAsia="Arial" w:cs="Arial"/>
      <w:b/>
      <w:bCs/>
      <w:i/>
      <w:iCs/>
      <w:sz w:val="22"/>
      <w:szCs w:val="22"/>
    </w:rPr>
  </w:style>
  <w:style w:type="paragraph" w:styleId="1197" w:customStyle="1">
    <w:name w:val="标题 811"/>
    <w:basedOn w:val="1067"/>
    <w:next w:val="1067"/>
    <w:link w:val="1198"/>
    <w:uiPriority w:val="9"/>
    <w:unhideWhenUsed/>
    <w:qFormat/>
    <w:pPr>
      <w:keepLines/>
      <w:keepNext/>
      <w:spacing w:before="320" w:after="200"/>
      <w:outlineLvl w:val="7"/>
    </w:pPr>
    <w:rPr>
      <w:rFonts w:ascii="Arial" w:hAnsi="Arial" w:eastAsia="Arial" w:cs="Arial"/>
      <w:i/>
      <w:iCs/>
      <w:sz w:val="22"/>
      <w:szCs w:val="22"/>
    </w:rPr>
  </w:style>
  <w:style w:type="character" w:styleId="1198" w:customStyle="1">
    <w:name w:val="Heading 8 Char"/>
    <w:link w:val="1197"/>
    <w:uiPriority w:val="9"/>
    <w:qFormat/>
    <w:rPr>
      <w:rFonts w:ascii="Arial" w:hAnsi="Arial" w:eastAsia="Arial" w:cs="Arial"/>
      <w:i/>
      <w:iCs/>
      <w:sz w:val="22"/>
      <w:szCs w:val="22"/>
    </w:rPr>
  </w:style>
  <w:style w:type="paragraph" w:styleId="1199" w:customStyle="1">
    <w:name w:val="标题 911"/>
    <w:basedOn w:val="1067"/>
    <w:next w:val="1067"/>
    <w:link w:val="1200"/>
    <w:uiPriority w:val="9"/>
    <w:unhideWhenUsed/>
    <w:qFormat/>
    <w:pPr>
      <w:keepLines/>
      <w:keepNext/>
      <w:spacing w:before="320" w:after="200"/>
      <w:outlineLvl w:val="8"/>
    </w:pPr>
    <w:rPr>
      <w:rFonts w:ascii="Arial" w:hAnsi="Arial" w:eastAsia="Arial" w:cs="Arial"/>
      <w:i/>
      <w:iCs/>
      <w:sz w:val="21"/>
      <w:szCs w:val="21"/>
    </w:rPr>
  </w:style>
  <w:style w:type="character" w:styleId="1200" w:customStyle="1">
    <w:name w:val="Heading 9 Char"/>
    <w:link w:val="1199"/>
    <w:uiPriority w:val="9"/>
    <w:qFormat/>
    <w:rPr>
      <w:rFonts w:ascii="Arial" w:hAnsi="Arial" w:eastAsia="Arial" w:cs="Arial"/>
      <w:i/>
      <w:iCs/>
      <w:sz w:val="21"/>
      <w:szCs w:val="21"/>
    </w:rPr>
  </w:style>
  <w:style w:type="character" w:styleId="1201" w:customStyle="1">
    <w:name w:val="默认段落字体111"/>
    <w:link w:val="1067"/>
    <w:uiPriority w:val="1"/>
    <w:unhideWhenUsed/>
    <w:qFormat/>
  </w:style>
  <w:style w:type="table" w:styleId="1202" w:customStyle="1">
    <w:name w:val="普通表格12"/>
    <w:uiPriority w:val="99"/>
    <w:unhideWhenUsed/>
    <w:qFormat/>
    <w:tblPr/>
  </w:style>
  <w:style w:type="character" w:styleId="1203" w:customStyle="1">
    <w:name w:val="HTML 代码1"/>
    <w:basedOn w:val="1143"/>
    <w:link w:val="1067"/>
    <w:uiPriority w:val="99"/>
    <w:unhideWhenUsed/>
    <w:qFormat/>
    <w:rPr>
      <w:rFonts w:ascii="monospace" w:hAnsi="monospace" w:eastAsia="monospace" w:cs="monospace"/>
      <w:sz w:val="21"/>
      <w:szCs w:val="21"/>
    </w:rPr>
  </w:style>
  <w:style w:type="character" w:styleId="1204" w:customStyle="1">
    <w:name w:val="超链接111"/>
    <w:link w:val="1067"/>
    <w:uiPriority w:val="99"/>
    <w:unhideWhenUsed/>
    <w:qFormat/>
    <w:rPr>
      <w:color w:val="0000ff"/>
      <w:u w:val="single"/>
    </w:rPr>
  </w:style>
  <w:style w:type="character" w:styleId="1205" w:customStyle="1">
    <w:name w:val="Caption Char"/>
    <w:link w:val="1206"/>
    <w:uiPriority w:val="99"/>
    <w:qFormat/>
  </w:style>
  <w:style w:type="paragraph" w:styleId="1206" w:customStyle="1">
    <w:name w:val="页脚111"/>
    <w:basedOn w:val="1067"/>
    <w:link w:val="1205"/>
    <w:uiPriority w:val="99"/>
    <w:unhideWhenUsed/>
    <w:qFormat/>
    <w:pPr>
      <w:spacing w:after="0" w:line="240" w:lineRule="auto"/>
      <w:tabs>
        <w:tab w:val="center" w:pos="7143" w:leader="none"/>
        <w:tab w:val="right" w:pos="14287" w:leader="none"/>
      </w:tabs>
    </w:pPr>
  </w:style>
  <w:style w:type="character" w:styleId="1207" w:customStyle="1">
    <w:name w:val="副标题 Char"/>
    <w:link w:val="1208"/>
    <w:uiPriority w:val="11"/>
    <w:qFormat/>
    <w:rPr>
      <w:sz w:val="24"/>
      <w:szCs w:val="24"/>
      <w:lang w:bidi="ar-SA"/>
    </w:rPr>
  </w:style>
  <w:style w:type="paragraph" w:styleId="1208" w:customStyle="1">
    <w:name w:val="副标题1"/>
    <w:link w:val="1207"/>
    <w:uiPriority w:val="11"/>
    <w:qFormat/>
    <w:pPr>
      <w:spacing w:before="200" w:after="200"/>
    </w:pPr>
    <w:rPr>
      <w:rFonts w:hint="default" w:ascii="Times New Roman" w:hAnsi="Times New Roman" w:eastAsia="宋体" w:cs="Times New Roman"/>
      <w:sz w:val="24"/>
      <w:szCs w:val="24"/>
      <w:lang w:bidi="ar-SA"/>
    </w:rPr>
  </w:style>
  <w:style w:type="character" w:styleId="1209" w:customStyle="1">
    <w:name w:val="页码111"/>
    <w:link w:val="1067"/>
    <w:uiPriority w:val="0"/>
    <w:qFormat/>
  </w:style>
  <w:style w:type="character" w:styleId="1210" w:customStyle="1">
    <w:name w:val="尾注引用1"/>
    <w:link w:val="1067"/>
    <w:uiPriority w:val="99"/>
    <w:unhideWhenUsed/>
    <w:qFormat/>
    <w:rPr>
      <w:vertAlign w:val="superscript"/>
    </w:rPr>
  </w:style>
  <w:style w:type="character" w:styleId="1211" w:customStyle="1">
    <w:name w:val="正文首行缩进 2 Char"/>
    <w:basedOn w:val="1164"/>
    <w:link w:val="1212"/>
    <w:uiPriority w:val="0"/>
    <w:qFormat/>
  </w:style>
  <w:style w:type="paragraph" w:styleId="1212" w:customStyle="1">
    <w:name w:val="正文首行缩进 21"/>
    <w:basedOn w:val="1155"/>
    <w:next w:val="1067"/>
    <w:link w:val="1211"/>
    <w:uiPriority w:val="0"/>
    <w:qFormat/>
    <w:pPr>
      <w:ind w:firstLine="420"/>
    </w:pPr>
  </w:style>
  <w:style w:type="character" w:styleId="1213" w:customStyle="1">
    <w:name w:val="批注文字 Char"/>
    <w:link w:val="1214"/>
    <w:uiPriority w:val="0"/>
    <w:qFormat/>
    <w:rPr>
      <w:sz w:val="21"/>
      <w:szCs w:val="24"/>
    </w:rPr>
  </w:style>
  <w:style w:type="paragraph" w:styleId="1214" w:customStyle="1">
    <w:name w:val="批注文字1"/>
    <w:basedOn w:val="1158"/>
    <w:link w:val="1213"/>
    <w:uiPriority w:val="0"/>
    <w:qFormat/>
    <w:pPr>
      <w:jc w:val="left"/>
    </w:pPr>
    <w:rPr>
      <w:szCs w:val="24"/>
    </w:rPr>
  </w:style>
  <w:style w:type="character" w:styleId="1215" w:customStyle="1">
    <w:name w:val="普通(网站) Char"/>
    <w:basedOn w:val="1165"/>
    <w:link w:val="1216"/>
    <w:uiPriority w:val="0"/>
    <w:qFormat/>
    <w:rPr>
      <w:rFonts w:ascii="宋体" w:hAnsi="宋体"/>
      <w:sz w:val="24"/>
      <w:szCs w:val="24"/>
    </w:rPr>
  </w:style>
  <w:style w:type="paragraph" w:styleId="1216" w:customStyle="1">
    <w:name w:val="普通(网站)1"/>
    <w:basedOn w:val="1158"/>
    <w:link w:val="1215"/>
    <w:uiPriority w:val="0"/>
    <w:qFormat/>
    <w:pPr>
      <w:jc w:val="left"/>
      <w:spacing w:before="100" w:beforeAutospacing="1" w:after="100" w:afterAutospacing="1"/>
      <w:widowControl/>
    </w:pPr>
    <w:rPr>
      <w:rFonts w:ascii="宋体" w:hAnsi="宋体"/>
      <w:sz w:val="24"/>
    </w:rPr>
  </w:style>
  <w:style w:type="character" w:styleId="1217" w:customStyle="1">
    <w:name w:val="Header Char"/>
    <w:link w:val="1218"/>
    <w:uiPriority w:val="99"/>
    <w:qFormat/>
  </w:style>
  <w:style w:type="paragraph" w:styleId="1218" w:customStyle="1">
    <w:name w:val="页眉12"/>
    <w:basedOn w:val="1067"/>
    <w:link w:val="1217"/>
    <w:uiPriority w:val="99"/>
    <w:unhideWhenUsed/>
    <w:qFormat/>
    <w:pPr>
      <w:spacing w:after="0" w:line="240" w:lineRule="auto"/>
      <w:tabs>
        <w:tab w:val="center" w:pos="7143" w:leader="none"/>
        <w:tab w:val="right" w:pos="14287" w:leader="none"/>
      </w:tabs>
    </w:pPr>
  </w:style>
  <w:style w:type="character" w:styleId="1219" w:customStyle="1">
    <w:name w:val="已访问的超链接1"/>
    <w:basedOn w:val="1143"/>
    <w:link w:val="1067"/>
    <w:uiPriority w:val="99"/>
    <w:unhideWhenUsed/>
    <w:qFormat/>
    <w:rPr>
      <w:color w:val="0084ff"/>
      <w:u w:val="none"/>
    </w:rPr>
  </w:style>
  <w:style w:type="character" w:styleId="1220" w:customStyle="1">
    <w:name w:val="HTML 键盘1"/>
    <w:basedOn w:val="1143"/>
    <w:link w:val="1067"/>
    <w:uiPriority w:val="99"/>
    <w:unhideWhenUsed/>
    <w:qFormat/>
    <w:rPr>
      <w:rFonts w:ascii="monospace" w:hAnsi="monospace" w:eastAsia="monospace" w:cs="monospace"/>
      <w:sz w:val="21"/>
      <w:szCs w:val="21"/>
    </w:rPr>
  </w:style>
  <w:style w:type="character" w:styleId="1221" w:customStyle="1">
    <w:name w:val="Footnote Text Char"/>
    <w:link w:val="1222"/>
    <w:uiPriority w:val="99"/>
    <w:qFormat/>
    <w:rPr>
      <w:sz w:val="18"/>
    </w:rPr>
  </w:style>
  <w:style w:type="paragraph" w:styleId="1222" w:customStyle="1">
    <w:name w:val="脚注文本11"/>
    <w:basedOn w:val="1067"/>
    <w:next w:val="1223"/>
    <w:link w:val="1221"/>
    <w:uiPriority w:val="99"/>
    <w:unhideWhenUsed/>
    <w:qFormat/>
    <w:pPr>
      <w:spacing w:after="40" w:line="240" w:lineRule="auto"/>
    </w:pPr>
    <w:rPr>
      <w:sz w:val="18"/>
    </w:rPr>
  </w:style>
  <w:style w:type="paragraph" w:styleId="1223" w:customStyle="1">
    <w:name w:val="索引 511"/>
    <w:basedOn w:val="1067"/>
    <w:next w:val="1067"/>
    <w:uiPriority w:val="0"/>
    <w:qFormat/>
    <w:pPr>
      <w:ind w:left="798"/>
      <w:jc w:val="left"/>
    </w:pPr>
    <w:rPr>
      <w:rFonts w:ascii="Calibri" w:hAnsi="Calibri"/>
    </w:rPr>
  </w:style>
  <w:style w:type="character" w:styleId="1224" w:customStyle="1">
    <w:name w:val="Footer Char"/>
    <w:link w:val="1067"/>
    <w:uiPriority w:val="99"/>
    <w:qFormat/>
  </w:style>
  <w:style w:type="character" w:styleId="1225" w:customStyle="1">
    <w:name w:val="脚注引用11"/>
    <w:link w:val="1067"/>
    <w:uiPriority w:val="99"/>
    <w:unhideWhenUsed/>
    <w:qFormat/>
    <w:rPr>
      <w:vertAlign w:val="superscript"/>
    </w:rPr>
  </w:style>
  <w:style w:type="character" w:styleId="1226" w:customStyle="1">
    <w:name w:val="Subtitle Char"/>
    <w:link w:val="1227"/>
    <w:uiPriority w:val="11"/>
    <w:qFormat/>
    <w:rPr>
      <w:sz w:val="24"/>
      <w:szCs w:val="24"/>
    </w:rPr>
  </w:style>
  <w:style w:type="paragraph" w:styleId="1227" w:customStyle="1">
    <w:name w:val="副标题2"/>
    <w:basedOn w:val="1067"/>
    <w:next w:val="1067"/>
    <w:link w:val="1226"/>
    <w:uiPriority w:val="11"/>
    <w:qFormat/>
    <w:pPr>
      <w:spacing w:before="200" w:after="200"/>
    </w:pPr>
    <w:rPr>
      <w:sz w:val="24"/>
      <w:szCs w:val="24"/>
    </w:rPr>
  </w:style>
  <w:style w:type="character" w:styleId="1228" w:customStyle="1">
    <w:name w:val="批注框文本 Char"/>
    <w:link w:val="1229"/>
    <w:uiPriority w:val="0"/>
    <w:qFormat/>
    <w:rPr>
      <w:sz w:val="18"/>
      <w:szCs w:val="18"/>
    </w:rPr>
  </w:style>
  <w:style w:type="paragraph" w:styleId="1229" w:customStyle="1">
    <w:name w:val="批注框文本1"/>
    <w:basedOn w:val="1158"/>
    <w:link w:val="1228"/>
    <w:uiPriority w:val="0"/>
    <w:qFormat/>
    <w:rPr>
      <w:sz w:val="18"/>
      <w:szCs w:val="18"/>
    </w:rPr>
  </w:style>
  <w:style w:type="character" w:styleId="1230" w:customStyle="1">
    <w:name w:val="标题 1 Char"/>
    <w:link w:val="1231"/>
    <w:uiPriority w:val="9"/>
    <w:qFormat/>
    <w:rPr>
      <w:rFonts w:ascii="Arial" w:hAnsi="Arial" w:eastAsia="Arial"/>
      <w:sz w:val="40"/>
      <w:szCs w:val="40"/>
      <w:lang w:bidi="ar-SA"/>
    </w:rPr>
  </w:style>
  <w:style w:type="paragraph" w:styleId="1231" w:customStyle="1">
    <w:name w:val="标题 111"/>
    <w:next w:val="1067"/>
    <w:link w:val="1230"/>
    <w:uiPriority w:val="9"/>
    <w:qFormat/>
    <w:pPr>
      <w:keepLines/>
      <w:keepNext/>
      <w:spacing w:before="480" w:after="200"/>
      <w:outlineLvl w:val="0"/>
    </w:pPr>
    <w:rPr>
      <w:rFonts w:hint="default" w:ascii="Arial" w:hAnsi="Arial" w:eastAsia="Arial" w:cs="Times New Roman"/>
      <w:sz w:val="40"/>
      <w:szCs w:val="40"/>
      <w:lang w:bidi="ar-SA"/>
    </w:rPr>
  </w:style>
  <w:style w:type="character" w:styleId="1232" w:customStyle="1">
    <w:name w:val="尾注引用2"/>
    <w:link w:val="1067"/>
    <w:uiPriority w:val="99"/>
    <w:unhideWhenUsed/>
    <w:qFormat/>
    <w:rPr>
      <w:vertAlign w:val="superscript"/>
    </w:rPr>
  </w:style>
  <w:style w:type="character" w:styleId="1233" w:customStyle="1">
    <w:name w:val="HTML 样本1"/>
    <w:basedOn w:val="1143"/>
    <w:link w:val="1067"/>
    <w:uiPriority w:val="99"/>
    <w:unhideWhenUsed/>
    <w:qFormat/>
    <w:rPr>
      <w:rFonts w:ascii="monospace" w:hAnsi="monospace" w:eastAsia="monospace" w:cs="monospace"/>
      <w:sz w:val="21"/>
      <w:szCs w:val="21"/>
    </w:rPr>
  </w:style>
  <w:style w:type="character" w:styleId="1234" w:customStyle="1">
    <w:name w:val="页码1"/>
    <w:basedOn w:val="1165"/>
    <w:link w:val="1067"/>
    <w:uiPriority w:val="0"/>
    <w:qFormat/>
  </w:style>
  <w:style w:type="character" w:styleId="1235" w:customStyle="1">
    <w:name w:val="页脚 Char"/>
    <w:link w:val="1236"/>
    <w:uiPriority w:val="99"/>
    <w:qFormat/>
  </w:style>
  <w:style w:type="paragraph" w:styleId="1236" w:customStyle="1">
    <w:name w:val="页脚2"/>
    <w:basedOn w:val="1067"/>
    <w:link w:val="1235"/>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237" w:customStyle="1">
    <w:name w:val="页眉 Char"/>
    <w:link w:val="1238"/>
    <w:uiPriority w:val="99"/>
    <w:qFormat/>
  </w:style>
  <w:style w:type="paragraph" w:styleId="1238" w:customStyle="1">
    <w:name w:val="页眉11"/>
    <w:basedOn w:val="1067"/>
    <w:link w:val="1237"/>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239" w:customStyle="1">
    <w:name w:val="Intense Quote Char"/>
    <w:link w:val="1240"/>
    <w:uiPriority w:val="30"/>
    <w:qFormat/>
    <w:rPr>
      <w:i/>
    </w:rPr>
  </w:style>
  <w:style w:type="paragraph" w:styleId="1240">
    <w:name w:val="Intense Quote"/>
    <w:basedOn w:val="1067"/>
    <w:next w:val="1067"/>
    <w:link w:val="12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41" w:customStyle="1">
    <w:name w:val="超链接11"/>
    <w:basedOn w:val="1143"/>
    <w:link w:val="1067"/>
    <w:uiPriority w:val="99"/>
    <w:unhideWhenUsed/>
    <w:qFormat/>
    <w:rPr>
      <w:color w:val="333333"/>
      <w:u w:val="none"/>
    </w:rPr>
  </w:style>
  <w:style w:type="character" w:styleId="1242" w:customStyle="1">
    <w:name w:val="NormalCharacter1"/>
    <w:link w:val="1067"/>
    <w:uiPriority w:val="0"/>
    <w:semiHidden/>
    <w:qFormat/>
    <w:rPr>
      <w:rFonts w:ascii="Times New Roman" w:hAnsi="Times New Roman" w:eastAsia="宋体" w:cs="Times New Roman"/>
      <w:lang w:val="en-US" w:eastAsia="zh-CN" w:bidi="ar-SA"/>
    </w:rPr>
  </w:style>
  <w:style w:type="character" w:styleId="1243" w:customStyle="1">
    <w:name w:val="尾注文本 Char"/>
    <w:link w:val="1244"/>
    <w:uiPriority w:val="99"/>
    <w:qFormat/>
    <w:rPr>
      <w:lang w:val="en-US" w:eastAsia="zh-CN" w:bidi="ar-SA"/>
    </w:rPr>
  </w:style>
  <w:style w:type="paragraph" w:styleId="1244" w:customStyle="1">
    <w:name w:val="尾注文本1"/>
    <w:link w:val="1243"/>
    <w:uiPriority w:val="99"/>
    <w:unhideWhenUsed/>
    <w:qFormat/>
    <w:rPr>
      <w:rFonts w:hint="default" w:ascii="Times New Roman" w:hAnsi="Times New Roman" w:eastAsia="宋体" w:cs="Times New Roman"/>
      <w:lang w:val="en-US" w:eastAsia="zh-CN" w:bidi="ar-SA"/>
    </w:rPr>
  </w:style>
  <w:style w:type="character" w:styleId="1245" w:customStyle="1">
    <w:name w:val="Title Char"/>
    <w:link w:val="1246"/>
    <w:uiPriority w:val="10"/>
    <w:qFormat/>
    <w:rPr>
      <w:sz w:val="48"/>
      <w:szCs w:val="48"/>
    </w:rPr>
  </w:style>
  <w:style w:type="paragraph" w:styleId="1246" w:customStyle="1">
    <w:name w:val="标题2"/>
    <w:basedOn w:val="1067"/>
    <w:next w:val="1067"/>
    <w:link w:val="1245"/>
    <w:uiPriority w:val="10"/>
    <w:qFormat/>
    <w:pPr>
      <w:contextualSpacing/>
      <w:spacing w:before="300" w:after="200"/>
    </w:pPr>
    <w:rPr>
      <w:sz w:val="48"/>
      <w:szCs w:val="48"/>
    </w:rPr>
  </w:style>
  <w:style w:type="character" w:styleId="1247" w:customStyle="1">
    <w:name w:val="明显引用 Char"/>
    <w:link w:val="1248"/>
    <w:uiPriority w:val="30"/>
    <w:qFormat/>
    <w:rPr>
      <w:i/>
      <w:shd w:val="clear" w:color="auto" w:fill="f2f2f2"/>
      <w:lang w:val="en-US" w:eastAsia="zh-CN" w:bidi="ar-SA"/>
    </w:rPr>
  </w:style>
  <w:style w:type="paragraph" w:styleId="1248" w:customStyle="1">
    <w:name w:val="明显引用"/>
    <w:link w:val="12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249" w:customStyle="1">
    <w:name w:val="标题 5 Char"/>
    <w:link w:val="1250"/>
    <w:uiPriority w:val="9"/>
    <w:qFormat/>
    <w:rPr>
      <w:rFonts w:ascii="Arial" w:hAnsi="Arial" w:eastAsia="Arial"/>
      <w:b/>
      <w:bCs/>
      <w:sz w:val="24"/>
      <w:szCs w:val="24"/>
      <w:lang w:bidi="ar-SA"/>
    </w:rPr>
  </w:style>
  <w:style w:type="paragraph" w:styleId="1250" w:customStyle="1">
    <w:name w:val="标题 51"/>
    <w:next w:val="1067"/>
    <w:link w:val="1249"/>
    <w:uiPriority w:val="9"/>
    <w:qFormat/>
    <w:pPr>
      <w:keepLines/>
      <w:keepNext/>
      <w:spacing w:before="320" w:after="200"/>
      <w:outlineLvl w:val="4"/>
    </w:pPr>
    <w:rPr>
      <w:rFonts w:hint="default" w:ascii="Arial" w:hAnsi="Arial" w:eastAsia="Arial" w:cs="Times New Roman"/>
      <w:b/>
      <w:bCs/>
      <w:sz w:val="24"/>
      <w:szCs w:val="24"/>
      <w:lang w:bidi="ar-SA"/>
    </w:rPr>
  </w:style>
  <w:style w:type="character" w:styleId="1251" w:customStyle="1">
    <w:name w:val="NormalCharacter11"/>
    <w:link w:val="1067"/>
    <w:uiPriority w:val="0"/>
    <w:semiHidden/>
    <w:qFormat/>
    <w:rPr>
      <w:lang w:val="en-US" w:eastAsia="zh-CN" w:bidi="ar-SA"/>
    </w:rPr>
  </w:style>
  <w:style w:type="character" w:styleId="1252" w:customStyle="1">
    <w:name w:val="标题 6 Char"/>
    <w:link w:val="1253"/>
    <w:uiPriority w:val="9"/>
    <w:qFormat/>
    <w:rPr>
      <w:rFonts w:ascii="Arial" w:hAnsi="Arial" w:eastAsia="Arial"/>
      <w:b/>
      <w:bCs/>
      <w:sz w:val="22"/>
      <w:szCs w:val="22"/>
      <w:lang w:bidi="ar-SA"/>
    </w:rPr>
  </w:style>
  <w:style w:type="paragraph" w:styleId="1253" w:customStyle="1">
    <w:name w:val="标题 61"/>
    <w:next w:val="1067"/>
    <w:link w:val="1252"/>
    <w:uiPriority w:val="9"/>
    <w:qFormat/>
    <w:pPr>
      <w:keepLines/>
      <w:keepNext/>
      <w:spacing w:before="320" w:after="200"/>
      <w:outlineLvl w:val="5"/>
    </w:pPr>
    <w:rPr>
      <w:rFonts w:hint="default" w:ascii="Arial" w:hAnsi="Arial" w:eastAsia="Arial" w:cs="Times New Roman"/>
      <w:b/>
      <w:bCs/>
      <w:sz w:val="22"/>
      <w:szCs w:val="22"/>
      <w:lang w:bidi="ar-SA"/>
    </w:rPr>
  </w:style>
  <w:style w:type="character" w:styleId="1254" w:customStyle="1">
    <w:name w:val="标题 9 Char"/>
    <w:link w:val="1255"/>
    <w:uiPriority w:val="9"/>
    <w:qFormat/>
    <w:rPr>
      <w:rFonts w:ascii="Arial" w:hAnsi="Arial" w:eastAsia="Arial"/>
      <w:i/>
      <w:iCs/>
      <w:sz w:val="21"/>
      <w:szCs w:val="21"/>
      <w:lang w:bidi="ar-SA"/>
    </w:rPr>
  </w:style>
  <w:style w:type="paragraph" w:styleId="1255" w:customStyle="1">
    <w:name w:val="标题 91"/>
    <w:next w:val="1067"/>
    <w:link w:val="1254"/>
    <w:uiPriority w:val="9"/>
    <w:qFormat/>
    <w:pPr>
      <w:keepLines/>
      <w:keepNext/>
      <w:spacing w:before="320" w:after="200"/>
      <w:outlineLvl w:val="8"/>
    </w:pPr>
    <w:rPr>
      <w:rFonts w:hint="default" w:ascii="Arial" w:hAnsi="Arial" w:eastAsia="Arial" w:cs="Times New Roman"/>
      <w:i/>
      <w:iCs/>
      <w:sz w:val="21"/>
      <w:szCs w:val="21"/>
      <w:lang w:bidi="ar-SA"/>
    </w:rPr>
  </w:style>
  <w:style w:type="character" w:styleId="1256" w:customStyle="1">
    <w:name w:val="引用 Char"/>
    <w:link w:val="1257"/>
    <w:uiPriority w:val="29"/>
    <w:qFormat/>
    <w:rPr>
      <w:i/>
      <w:lang w:val="en-US" w:eastAsia="zh-CN" w:bidi="ar-SA"/>
    </w:rPr>
  </w:style>
  <w:style w:type="paragraph" w:styleId="1257" w:customStyle="1">
    <w:name w:val="引用"/>
    <w:link w:val="1256"/>
    <w:uiPriority w:val="29"/>
    <w:qFormat/>
    <w:pPr>
      <w:ind w:left="720" w:right="720"/>
    </w:pPr>
    <w:rPr>
      <w:rFonts w:hint="default" w:ascii="Times New Roman" w:hAnsi="Times New Roman" w:eastAsia="宋体" w:cs="Times New Roman"/>
      <w:i/>
      <w:lang w:val="en-US" w:eastAsia="zh-CN" w:bidi="ar-SA"/>
    </w:rPr>
  </w:style>
  <w:style w:type="character" w:styleId="1258" w:customStyle="1">
    <w:name w:val="页码11"/>
    <w:basedOn w:val="1143"/>
    <w:link w:val="1067"/>
    <w:uiPriority w:val="0"/>
    <w:qFormat/>
  </w:style>
  <w:style w:type="character" w:styleId="1259" w:customStyle="1">
    <w:name w:val="font01"/>
    <w:basedOn w:val="1143"/>
    <w:link w:val="1067"/>
    <w:uiPriority w:val="0"/>
    <w:qFormat/>
    <w:rPr>
      <w:rFonts w:hint="eastAsia" w:ascii="宋体" w:hAnsi="宋体" w:eastAsia="宋体" w:cs="宋体"/>
      <w:color w:val="000000"/>
      <w:sz w:val="22"/>
      <w:szCs w:val="22"/>
      <w:u w:val="none"/>
    </w:rPr>
  </w:style>
  <w:style w:type="character" w:styleId="1260" w:customStyle="1">
    <w:name w:val="强调1"/>
    <w:basedOn w:val="1143"/>
    <w:link w:val="1067"/>
    <w:uiPriority w:val="20"/>
    <w:qFormat/>
  </w:style>
  <w:style w:type="character" w:styleId="1261" w:customStyle="1">
    <w:name w:val="标题 7 Char"/>
    <w:link w:val="1262"/>
    <w:uiPriority w:val="9"/>
    <w:qFormat/>
    <w:rPr>
      <w:rFonts w:ascii="Arial" w:hAnsi="Arial" w:eastAsia="Arial"/>
      <w:b/>
      <w:bCs/>
      <w:i/>
      <w:iCs/>
      <w:sz w:val="22"/>
      <w:szCs w:val="22"/>
      <w:lang w:bidi="ar-SA"/>
    </w:rPr>
  </w:style>
  <w:style w:type="paragraph" w:styleId="1262" w:customStyle="1">
    <w:name w:val="标题 71"/>
    <w:next w:val="1067"/>
    <w:link w:val="1261"/>
    <w:uiPriority w:val="9"/>
    <w:qFormat/>
    <w:pPr>
      <w:keepLines/>
      <w:keepNext/>
      <w:spacing w:before="320" w:after="200"/>
      <w:outlineLvl w:val="6"/>
    </w:pPr>
    <w:rPr>
      <w:rFonts w:hint="default" w:ascii="Arial" w:hAnsi="Arial" w:eastAsia="Arial" w:cs="Times New Roman"/>
      <w:b/>
      <w:bCs/>
      <w:i/>
      <w:iCs/>
      <w:sz w:val="22"/>
      <w:szCs w:val="22"/>
      <w:lang w:bidi="ar-SA"/>
    </w:rPr>
  </w:style>
  <w:style w:type="character" w:styleId="1263" w:customStyle="1">
    <w:name w:val="Endnote Text Char"/>
    <w:link w:val="1264"/>
    <w:uiPriority w:val="99"/>
    <w:qFormat/>
    <w:rPr>
      <w:sz w:val="20"/>
    </w:rPr>
  </w:style>
  <w:style w:type="paragraph" w:styleId="1264" w:customStyle="1">
    <w:name w:val="尾注文本11"/>
    <w:basedOn w:val="1067"/>
    <w:link w:val="1263"/>
    <w:uiPriority w:val="99"/>
    <w:unhideWhenUsed/>
    <w:qFormat/>
    <w:pPr>
      <w:spacing w:after="0" w:line="240" w:lineRule="auto"/>
    </w:pPr>
    <w:rPr>
      <w:sz w:val="20"/>
    </w:rPr>
  </w:style>
  <w:style w:type="character" w:styleId="1265" w:customStyle="1">
    <w:name w:val="标题 8 Char"/>
    <w:link w:val="1266"/>
    <w:uiPriority w:val="9"/>
    <w:qFormat/>
    <w:rPr>
      <w:rFonts w:ascii="Arial" w:hAnsi="Arial" w:eastAsia="Arial"/>
      <w:i/>
      <w:iCs/>
      <w:sz w:val="22"/>
      <w:szCs w:val="22"/>
      <w:lang w:bidi="ar-SA"/>
    </w:rPr>
  </w:style>
  <w:style w:type="paragraph" w:styleId="1266" w:customStyle="1">
    <w:name w:val="标题 81"/>
    <w:next w:val="1067"/>
    <w:link w:val="1265"/>
    <w:uiPriority w:val="9"/>
    <w:qFormat/>
    <w:pPr>
      <w:keepLines/>
      <w:keepNext/>
      <w:spacing w:before="320" w:after="200"/>
      <w:outlineLvl w:val="7"/>
    </w:pPr>
    <w:rPr>
      <w:rFonts w:hint="default" w:ascii="Arial" w:hAnsi="Arial" w:eastAsia="Arial" w:cs="Times New Roman"/>
      <w:i/>
      <w:iCs/>
      <w:sz w:val="22"/>
      <w:szCs w:val="22"/>
      <w:lang w:bidi="ar-SA"/>
    </w:rPr>
  </w:style>
  <w:style w:type="character" w:styleId="1267" w:customStyle="1">
    <w:name w:val="脚注引用1"/>
    <w:link w:val="1067"/>
    <w:uiPriority w:val="99"/>
    <w:unhideWhenUsed/>
    <w:qFormat/>
    <w:rPr>
      <w:vertAlign w:val="superscript"/>
    </w:rPr>
  </w:style>
  <w:style w:type="character" w:styleId="1268" w:customStyle="1">
    <w:name w:val="Quote Char"/>
    <w:link w:val="1269"/>
    <w:uiPriority w:val="29"/>
    <w:qFormat/>
    <w:rPr>
      <w:i/>
    </w:rPr>
  </w:style>
  <w:style w:type="paragraph" w:styleId="1269">
    <w:name w:val="Quote"/>
    <w:basedOn w:val="1067"/>
    <w:next w:val="1067"/>
    <w:link w:val="1268"/>
    <w:uiPriority w:val="29"/>
    <w:qFormat/>
    <w:pPr>
      <w:ind w:left="720" w:right="720"/>
    </w:pPr>
    <w:rPr>
      <w:i/>
    </w:rPr>
  </w:style>
  <w:style w:type="character" w:styleId="1270" w:customStyle="1">
    <w:name w:val="标题 3 Char"/>
    <w:link w:val="1271"/>
    <w:uiPriority w:val="9"/>
    <w:qFormat/>
    <w:rPr>
      <w:rFonts w:ascii="Arial" w:hAnsi="Arial" w:eastAsia="Arial"/>
      <w:sz w:val="30"/>
      <w:szCs w:val="30"/>
      <w:lang w:bidi="ar-SA"/>
    </w:rPr>
  </w:style>
  <w:style w:type="paragraph" w:styleId="1271" w:customStyle="1">
    <w:name w:val="标题 311"/>
    <w:next w:val="1067"/>
    <w:link w:val="1270"/>
    <w:uiPriority w:val="9"/>
    <w:qFormat/>
    <w:pPr>
      <w:keepLines/>
      <w:keepNext/>
      <w:spacing w:before="320" w:after="200"/>
      <w:outlineLvl w:val="2"/>
    </w:pPr>
    <w:rPr>
      <w:rFonts w:hint="default" w:ascii="Arial" w:hAnsi="Arial" w:eastAsia="Arial" w:cs="Times New Roman"/>
      <w:sz w:val="30"/>
      <w:szCs w:val="30"/>
      <w:lang w:bidi="ar-SA"/>
    </w:rPr>
  </w:style>
  <w:style w:type="character" w:styleId="1272" w:customStyle="1">
    <w:name w:val="标题 4 Char"/>
    <w:link w:val="1273"/>
    <w:uiPriority w:val="9"/>
    <w:qFormat/>
    <w:rPr>
      <w:rFonts w:ascii="Arial" w:hAnsi="Arial" w:eastAsia="Arial"/>
      <w:b/>
      <w:bCs/>
      <w:sz w:val="26"/>
      <w:szCs w:val="26"/>
      <w:lang w:bidi="ar-SA"/>
    </w:rPr>
  </w:style>
  <w:style w:type="paragraph" w:styleId="1273" w:customStyle="1">
    <w:name w:val="标题 411"/>
    <w:next w:val="1067"/>
    <w:link w:val="1272"/>
    <w:uiPriority w:val="9"/>
    <w:qFormat/>
    <w:pPr>
      <w:keepLines/>
      <w:keepNext/>
      <w:spacing w:before="320" w:after="200"/>
      <w:outlineLvl w:val="3"/>
    </w:pPr>
    <w:rPr>
      <w:rFonts w:hint="default" w:ascii="Arial" w:hAnsi="Arial" w:eastAsia="Arial" w:cs="Times New Roman"/>
      <w:b/>
      <w:bCs/>
      <w:sz w:val="26"/>
      <w:szCs w:val="26"/>
      <w:lang w:bidi="ar-SA"/>
    </w:rPr>
  </w:style>
  <w:style w:type="character" w:styleId="1274" w:customStyle="1">
    <w:name w:val="批注主题 Char"/>
    <w:link w:val="1275"/>
    <w:uiPriority w:val="0"/>
    <w:qFormat/>
    <w:rPr>
      <w:b/>
      <w:bCs/>
      <w:sz w:val="21"/>
      <w:szCs w:val="24"/>
    </w:rPr>
  </w:style>
  <w:style w:type="paragraph" w:styleId="1275" w:customStyle="1">
    <w:name w:val="批注主题1"/>
    <w:basedOn w:val="1214"/>
    <w:next w:val="1214"/>
    <w:link w:val="1274"/>
    <w:uiPriority w:val="0"/>
    <w:qFormat/>
    <w:rPr>
      <w:b/>
      <w:bCs/>
    </w:rPr>
  </w:style>
  <w:style w:type="paragraph" w:styleId="1276" w:customStyle="1">
    <w:name w:val="标题 31"/>
    <w:basedOn w:val="1158"/>
    <w:next w:val="1158"/>
    <w:uiPriority w:val="0"/>
    <w:qFormat/>
    <w:pPr>
      <w:keepLines/>
      <w:keepNext/>
      <w:spacing w:before="260" w:after="260" w:line="416" w:lineRule="auto"/>
      <w:outlineLvl w:val="2"/>
    </w:pPr>
    <w:rPr>
      <w:b/>
      <w:bCs/>
      <w:sz w:val="32"/>
      <w:szCs w:val="32"/>
    </w:rPr>
  </w:style>
  <w:style w:type="paragraph" w:styleId="1277" w:customStyle="1">
    <w:name w:val="目录 51"/>
    <w:next w:val="1067"/>
    <w:uiPriority w:val="39"/>
    <w:unhideWhenUsed/>
    <w:qFormat/>
    <w:pPr>
      <w:ind w:left="1134"/>
      <w:spacing w:after="57"/>
    </w:pPr>
    <w:rPr>
      <w:rFonts w:hint="default" w:ascii="Times New Roman" w:hAnsi="Times New Roman" w:eastAsia="宋体" w:cs="Times New Roman"/>
      <w:lang w:val="en-US" w:eastAsia="zh-CN" w:bidi="ar-SA"/>
    </w:rPr>
  </w:style>
  <w:style w:type="paragraph" w:styleId="1278" w:customStyle="1">
    <w:name w:val="列出段落"/>
    <w:basedOn w:val="1067"/>
    <w:uiPriority w:val="34"/>
    <w:qFormat/>
    <w:pPr>
      <w:contextualSpacing/>
      <w:ind w:left="720"/>
    </w:pPr>
    <w:rPr>
      <w:rFonts w:ascii="Times New Roman" w:hAnsi="Times New Roman" w:eastAsia="宋体" w:cs="Times New Roman"/>
    </w:rPr>
  </w:style>
  <w:style w:type="paragraph" w:styleId="1279" w:customStyle="1">
    <w:name w:val="目录 81"/>
    <w:next w:val="1067"/>
    <w:uiPriority w:val="39"/>
    <w:unhideWhenUsed/>
    <w:qFormat/>
    <w:pPr>
      <w:ind w:left="1984"/>
      <w:spacing w:after="57"/>
    </w:pPr>
    <w:rPr>
      <w:rFonts w:hint="default" w:ascii="Times New Roman" w:hAnsi="Times New Roman" w:eastAsia="宋体" w:cs="Times New Roman"/>
      <w:lang w:val="en-US" w:eastAsia="zh-CN" w:bidi="ar-SA"/>
    </w:rPr>
  </w:style>
  <w:style w:type="paragraph" w:styleId="1280" w:customStyle="1">
    <w:name w:val="目录 21"/>
    <w:next w:val="1067"/>
    <w:uiPriority w:val="39"/>
    <w:unhideWhenUsed/>
    <w:qFormat/>
    <w:pPr>
      <w:ind w:left="283"/>
      <w:spacing w:after="57"/>
    </w:pPr>
    <w:rPr>
      <w:rFonts w:hint="default" w:ascii="Times New Roman" w:hAnsi="Times New Roman" w:eastAsia="宋体" w:cs="Times New Roman"/>
      <w:lang w:val="en-US" w:eastAsia="zh-CN" w:bidi="ar-SA"/>
    </w:rPr>
  </w:style>
  <w:style w:type="paragraph" w:styleId="1281">
    <w:name w:val="No Spacing"/>
    <w:uiPriority w:val="1"/>
    <w:qFormat/>
    <w:pPr>
      <w:spacing w:before="0" w:after="0" w:line="240" w:lineRule="auto"/>
    </w:pPr>
    <w:rPr>
      <w:rFonts w:hint="default" w:ascii="Times New Roman" w:hAnsi="Times New Roman" w:eastAsia="宋体" w:cs="Times New Roman"/>
    </w:rPr>
  </w:style>
  <w:style w:type="paragraph" w:styleId="1282" w:customStyle="1">
    <w:name w:val="目录 71"/>
    <w:next w:val="1067"/>
    <w:uiPriority w:val="39"/>
    <w:unhideWhenUsed/>
    <w:qFormat/>
    <w:pPr>
      <w:ind w:left="1701"/>
      <w:spacing w:after="57"/>
    </w:pPr>
    <w:rPr>
      <w:rFonts w:hint="default" w:ascii="Times New Roman" w:hAnsi="Times New Roman" w:eastAsia="宋体" w:cs="Times New Roman"/>
      <w:lang w:val="en-US" w:eastAsia="zh-CN" w:bidi="ar-SA"/>
    </w:rPr>
  </w:style>
  <w:style w:type="paragraph" w:styleId="1283" w:customStyle="1">
    <w:name w:val="表格3"/>
    <w:basedOn w:val="1158"/>
    <w:uiPriority w:val="0"/>
    <w:qFormat/>
    <w:pPr>
      <w:jc w:val="center"/>
    </w:pPr>
  </w:style>
  <w:style w:type="paragraph" w:styleId="1284" w:customStyle="1">
    <w:name w:val="题注11"/>
    <w:basedOn w:val="1067"/>
    <w:next w:val="1067"/>
    <w:uiPriority w:val="35"/>
    <w:unhideWhenUsed/>
    <w:qFormat/>
    <w:pPr>
      <w:spacing w:line="276" w:lineRule="auto"/>
    </w:pPr>
    <w:rPr>
      <w:b/>
      <w:bCs/>
      <w:color w:val="4f81bd"/>
      <w:sz w:val="18"/>
      <w:szCs w:val="18"/>
    </w:rPr>
  </w:style>
  <w:style w:type="paragraph" w:styleId="1285" w:customStyle="1">
    <w:name w:val="文本块3"/>
    <w:basedOn w:val="1067"/>
    <w:uiPriority w:val="0"/>
    <w:qFormat/>
    <w:pPr>
      <w:ind w:left="256" w:right="6" w:firstLine="624"/>
    </w:pPr>
    <w:rPr>
      <w:rFonts w:ascii="Times New Roman" w:hAnsi="Times New Roman" w:eastAsia="仿宋_GB2312" w:cs="Times New Roman"/>
      <w:sz w:val="28"/>
      <w:szCs w:val="20"/>
    </w:rPr>
  </w:style>
  <w:style w:type="paragraph" w:styleId="1286" w:customStyle="1">
    <w:name w:val="目录 31"/>
    <w:next w:val="1067"/>
    <w:uiPriority w:val="39"/>
    <w:unhideWhenUsed/>
    <w:qFormat/>
    <w:pPr>
      <w:ind w:left="567"/>
      <w:spacing w:after="57"/>
    </w:pPr>
    <w:rPr>
      <w:rFonts w:hint="default" w:ascii="Times New Roman" w:hAnsi="Times New Roman" w:eastAsia="宋体" w:cs="Times New Roman"/>
      <w:lang w:val="en-US" w:eastAsia="zh-CN" w:bidi="ar-SA"/>
    </w:rPr>
  </w:style>
  <w:style w:type="paragraph" w:styleId="1287" w:customStyle="1">
    <w:name w:val="目录 32"/>
    <w:basedOn w:val="1067"/>
    <w:next w:val="1067"/>
    <w:uiPriority w:val="39"/>
    <w:unhideWhenUsed/>
    <w:qFormat/>
    <w:pPr>
      <w:ind w:left="567" w:right="0" w:firstLine="0"/>
      <w:spacing w:after="57"/>
    </w:pPr>
  </w:style>
  <w:style w:type="paragraph" w:styleId="1288" w:customStyle="1">
    <w:name w:val="目录 911"/>
    <w:basedOn w:val="1067"/>
    <w:next w:val="1067"/>
    <w:uiPriority w:val="39"/>
    <w:unhideWhenUsed/>
    <w:qFormat/>
    <w:pPr>
      <w:ind w:left="2268" w:right="0" w:firstLine="0"/>
      <w:spacing w:after="57"/>
    </w:pPr>
  </w:style>
  <w:style w:type="paragraph" w:styleId="1289">
    <w:name w:val="List Paragraph"/>
    <w:basedOn w:val="1067"/>
    <w:uiPriority w:val="34"/>
    <w:qFormat/>
    <w:pPr>
      <w:contextualSpacing/>
      <w:ind w:left="720"/>
    </w:pPr>
  </w:style>
  <w:style w:type="paragraph" w:styleId="1290" w:customStyle="1">
    <w:name w:val="彩色列表 - 强调文字颜色 11"/>
    <w:basedOn w:val="1158"/>
    <w:uiPriority w:val="0"/>
    <w:qFormat/>
    <w:pPr>
      <w:ind w:firstLine="420"/>
    </w:pPr>
    <w:rPr>
      <w:rFonts w:ascii="Calibri" w:hAnsi="Calibri"/>
      <w:sz w:val="22"/>
      <w:szCs w:val="22"/>
    </w:rPr>
  </w:style>
  <w:style w:type="paragraph" w:styleId="1291" w:customStyle="1">
    <w:name w:val="默认段落字体 Para Char Char Char Char Char Char Char"/>
    <w:basedOn w:val="1158"/>
    <w:uiPriority w:val="0"/>
    <w:qFormat/>
    <w:rPr>
      <w:rFonts w:ascii="Tahoma" w:hAnsi="Tahoma"/>
      <w:sz w:val="24"/>
      <w:szCs w:val="20"/>
    </w:rPr>
  </w:style>
  <w:style w:type="paragraph" w:styleId="1292" w:customStyle="1">
    <w:name w:val="图表目录1"/>
    <w:next w:val="1067"/>
    <w:uiPriority w:val="99"/>
    <w:unhideWhenUsed/>
    <w:qFormat/>
    <w:rPr>
      <w:rFonts w:hint="default" w:ascii="Times New Roman" w:hAnsi="Times New Roman" w:eastAsia="宋体" w:cs="Times New Roman"/>
      <w:lang w:val="en-US" w:eastAsia="zh-CN" w:bidi="ar-SA"/>
    </w:rPr>
  </w:style>
  <w:style w:type="paragraph" w:styleId="1293" w:customStyle="1">
    <w:name w:val="标题 11"/>
    <w:basedOn w:val="1158"/>
    <w:next w:val="1158"/>
    <w:uiPriority w:val="0"/>
    <w:qFormat/>
    <w:pPr>
      <w:jc w:val="center"/>
      <w:keepLines/>
      <w:keepNext/>
      <w:spacing w:before="340" w:after="330" w:line="578" w:lineRule="auto"/>
      <w:outlineLvl w:val="0"/>
    </w:pPr>
    <w:rPr>
      <w:b/>
      <w:bCs/>
      <w:sz w:val="44"/>
      <w:szCs w:val="44"/>
    </w:rPr>
  </w:style>
  <w:style w:type="paragraph" w:styleId="129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95" w:customStyle="1">
    <w:name w:val="目录 22"/>
    <w:basedOn w:val="1067"/>
    <w:next w:val="1067"/>
    <w:uiPriority w:val="39"/>
    <w:unhideWhenUsed/>
    <w:qFormat/>
    <w:pPr>
      <w:ind w:left="283" w:right="0" w:firstLine="0"/>
      <w:spacing w:after="57"/>
    </w:pPr>
  </w:style>
  <w:style w:type="paragraph" w:styleId="1296" w:customStyle="1">
    <w:name w:val="文档结构图1"/>
    <w:basedOn w:val="1067"/>
    <w:uiPriority w:val="0"/>
    <w:unhideWhenUsed/>
    <w:qFormat/>
    <w:rPr>
      <w:rFonts w:ascii="宋体"/>
      <w:sz w:val="18"/>
      <w:szCs w:val="18"/>
    </w:rPr>
  </w:style>
  <w:style w:type="paragraph" w:styleId="1297" w:customStyle="1">
    <w:name w:val="目录 611"/>
    <w:basedOn w:val="1067"/>
    <w:next w:val="1067"/>
    <w:uiPriority w:val="39"/>
    <w:unhideWhenUsed/>
    <w:qFormat/>
    <w:pPr>
      <w:ind w:left="1417" w:right="0" w:firstLine="0"/>
      <w:spacing w:after="57"/>
    </w:pPr>
  </w:style>
  <w:style w:type="paragraph" w:styleId="1298" w:customStyle="1">
    <w:name w:val="图表目录2"/>
    <w:basedOn w:val="1067"/>
    <w:next w:val="1067"/>
    <w:uiPriority w:val="99"/>
    <w:unhideWhenUsed/>
    <w:qFormat/>
    <w:pPr>
      <w:spacing w:after="0" w:afterAutospacing="0"/>
    </w:pPr>
  </w:style>
  <w:style w:type="paragraph" w:styleId="1299" w:customStyle="1">
    <w:name w:val="Item List in Table"/>
    <w:basedOn w:val="1153"/>
    <w:uiPriority w:val="0"/>
    <w:qFormat/>
    <w:pPr>
      <w:numPr>
        <w:ilvl w:val="0"/>
        <w:numId w:val="2"/>
      </w:numPr>
      <w:jc w:val="left"/>
      <w:spacing w:before="80" w:after="80" w:line="240" w:lineRule="atLeast"/>
      <w:widowControl/>
    </w:pPr>
    <w:rPr>
      <w:szCs w:val="21"/>
    </w:rPr>
  </w:style>
  <w:style w:type="paragraph" w:styleId="1300" w:customStyle="1">
    <w:name w:val="_Style 34"/>
    <w:basedOn w:val="1067"/>
    <w:next w:val="1278"/>
    <w:uiPriority w:val="0"/>
    <w:qFormat/>
    <w:pPr>
      <w:ind w:firstLine="420"/>
      <w:spacing w:line="274" w:lineRule="auto"/>
    </w:pPr>
  </w:style>
  <w:style w:type="paragraph" w:styleId="1301"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302" w:customStyle="1">
    <w:name w:val="目录 72"/>
    <w:basedOn w:val="1067"/>
    <w:next w:val="1067"/>
    <w:uiPriority w:val="39"/>
    <w:unhideWhenUsed/>
    <w:qFormat/>
    <w:pPr>
      <w:ind w:left="1701" w:right="0" w:firstLine="0"/>
      <w:spacing w:after="57"/>
    </w:pPr>
  </w:style>
  <w:style w:type="paragraph" w:styleId="1303" w:customStyle="1">
    <w:name w:val="目录 52"/>
    <w:basedOn w:val="1067"/>
    <w:next w:val="1067"/>
    <w:uiPriority w:val="39"/>
    <w:unhideWhenUsed/>
    <w:qFormat/>
    <w:pPr>
      <w:ind w:left="1134" w:right="0" w:firstLine="0"/>
      <w:spacing w:after="57"/>
    </w:pPr>
  </w:style>
  <w:style w:type="paragraph" w:styleId="1304" w:customStyle="1">
    <w:name w:val="目录 91"/>
    <w:next w:val="1067"/>
    <w:uiPriority w:val="39"/>
    <w:unhideWhenUsed/>
    <w:qFormat/>
    <w:pPr>
      <w:ind w:left="2268"/>
      <w:spacing w:after="57"/>
    </w:pPr>
    <w:rPr>
      <w:rFonts w:hint="default" w:ascii="Times New Roman" w:hAnsi="Times New Roman" w:eastAsia="宋体" w:cs="Times New Roman"/>
      <w:lang w:val="en-US" w:eastAsia="zh-CN" w:bidi="ar-SA"/>
    </w:rPr>
  </w:style>
  <w:style w:type="paragraph" w:styleId="1305" w:customStyle="1">
    <w:name w:val="正文文本缩进2"/>
    <w:basedOn w:val="1067"/>
    <w:next w:val="1182"/>
    <w:uiPriority w:val="0"/>
    <w:qFormat/>
    <w:pPr>
      <w:ind w:left="420"/>
      <w:spacing w:after="120"/>
    </w:pPr>
  </w:style>
  <w:style w:type="paragraph" w:styleId="1306" w:customStyle="1">
    <w:name w:val="p0"/>
    <w:basedOn w:val="1158"/>
    <w:uiPriority w:val="0"/>
    <w:qFormat/>
    <w:pPr>
      <w:widowControl/>
    </w:pPr>
    <w:rPr>
      <w:sz w:val="21"/>
      <w:szCs w:val="21"/>
    </w:rPr>
  </w:style>
  <w:style w:type="paragraph" w:styleId="1307" w:customStyle="1">
    <w:name w:val="目录 82"/>
    <w:basedOn w:val="1067"/>
    <w:next w:val="1067"/>
    <w:uiPriority w:val="39"/>
    <w:unhideWhenUsed/>
    <w:qFormat/>
    <w:pPr>
      <w:ind w:left="1984" w:right="0" w:firstLine="0"/>
      <w:spacing w:after="57"/>
    </w:pPr>
  </w:style>
  <w:style w:type="paragraph" w:styleId="1308" w:customStyle="1">
    <w:name w:val="正文文本2"/>
    <w:basedOn w:val="1067"/>
    <w:next w:val="1067"/>
    <w:uiPriority w:val="0"/>
    <w:qFormat/>
    <w:rPr>
      <w:rFonts w:ascii="楷体_GB2312" w:hAnsi="Arial" w:eastAsia="楷体_GB2312"/>
      <w:sz w:val="28"/>
      <w:szCs w:val="28"/>
    </w:rPr>
  </w:style>
  <w:style w:type="paragraph" w:styleId="1309" w:customStyle="1">
    <w:name w:val="Char"/>
    <w:basedOn w:val="1158"/>
    <w:uiPriority w:val="0"/>
    <w:qFormat/>
    <w:pPr>
      <w:tabs>
        <w:tab w:val="left" w:pos="360" w:leader="none"/>
      </w:tabs>
    </w:pPr>
    <w:rPr>
      <w:sz w:val="24"/>
    </w:rPr>
  </w:style>
  <w:style w:type="paragraph" w:styleId="1310" w:customStyle="1">
    <w:name w:val="普通(网站)11"/>
    <w:basedOn w:val="1067"/>
    <w:uiPriority w:val="0"/>
    <w:qFormat/>
    <w:pPr>
      <w:ind w:left="0" w:right="0"/>
      <w:jc w:val="left"/>
      <w:spacing w:before="100" w:beforeAutospacing="1" w:after="100" w:afterAutospacing="1"/>
    </w:pPr>
    <w:rPr>
      <w:sz w:val="24"/>
      <w:lang w:val="en-US" w:eastAsia="zh-CN" w:bidi="ar"/>
    </w:rPr>
  </w:style>
  <w:style w:type="paragraph" w:styleId="1311" w:customStyle="1">
    <w:name w:val="页脚1"/>
    <w:basedOn w:val="1158"/>
    <w:uiPriority w:val="0"/>
    <w:qFormat/>
    <w:pPr>
      <w:jc w:val="left"/>
      <w:tabs>
        <w:tab w:val="center" w:pos="4153" w:leader="none"/>
        <w:tab w:val="right" w:pos="8306" w:leader="none"/>
      </w:tabs>
    </w:pPr>
    <w:rPr>
      <w:sz w:val="18"/>
      <w:szCs w:val="18"/>
    </w:rPr>
  </w:style>
  <w:style w:type="paragraph" w:styleId="1312" w:customStyle="1">
    <w:name w:val="目录 411"/>
    <w:basedOn w:val="1067"/>
    <w:next w:val="1067"/>
    <w:uiPriority w:val="39"/>
    <w:unhideWhenUsed/>
    <w:qFormat/>
    <w:pPr>
      <w:ind w:left="850" w:right="0" w:firstLine="0"/>
      <w:spacing w:after="57"/>
    </w:pPr>
  </w:style>
  <w:style w:type="paragraph" w:styleId="1313" w:customStyle="1">
    <w:name w:val="目录 12"/>
    <w:basedOn w:val="1067"/>
    <w:next w:val="1067"/>
    <w:uiPriority w:val="39"/>
    <w:unhideWhenUsed/>
    <w:qFormat/>
    <w:pPr>
      <w:ind w:left="0" w:right="0" w:firstLine="0"/>
      <w:spacing w:after="57"/>
    </w:pPr>
  </w:style>
  <w:style w:type="paragraph" w:styleId="1314" w:customStyle="1">
    <w:name w:val="Blockquote"/>
    <w:basedOn w:val="1158"/>
    <w:uiPriority w:val="0"/>
    <w:qFormat/>
    <w:pPr>
      <w:ind w:left="764" w:right="567"/>
      <w:jc w:val="left"/>
      <w:spacing w:before="100" w:after="100"/>
    </w:pPr>
    <w:rPr>
      <w:sz w:val="24"/>
    </w:rPr>
  </w:style>
  <w:style w:type="paragraph" w:styleId="1315" w:customStyle="1">
    <w:name w:val="无间隔"/>
    <w:uiPriority w:val="1"/>
    <w:qFormat/>
    <w:rPr>
      <w:rFonts w:hint="default" w:ascii="Times New Roman" w:hAnsi="Times New Roman" w:eastAsia="宋体" w:cs="Times New Roman"/>
      <w:lang w:val="en-US" w:eastAsia="zh-CN" w:bidi="ar-SA"/>
    </w:rPr>
  </w:style>
  <w:style w:type="paragraph" w:styleId="1316" w:customStyle="1">
    <w:name w:val="目录 41"/>
    <w:next w:val="1067"/>
    <w:uiPriority w:val="39"/>
    <w:unhideWhenUsed/>
    <w:qFormat/>
    <w:pPr>
      <w:ind w:left="850"/>
      <w:spacing w:after="57"/>
    </w:pPr>
    <w:rPr>
      <w:rFonts w:hint="default" w:ascii="Times New Roman" w:hAnsi="Times New Roman" w:eastAsia="宋体" w:cs="Times New Roman"/>
      <w:lang w:val="en-US" w:eastAsia="zh-CN" w:bidi="ar-SA"/>
    </w:rPr>
  </w:style>
  <w:style w:type="paragraph" w:styleId="1317" w:customStyle="1">
    <w:name w:val="目录 61"/>
    <w:next w:val="1067"/>
    <w:uiPriority w:val="39"/>
    <w:unhideWhenUsed/>
    <w:qFormat/>
    <w:pPr>
      <w:ind w:left="1417"/>
      <w:spacing w:after="57"/>
    </w:pPr>
    <w:rPr>
      <w:rFonts w:hint="default" w:ascii="Times New Roman" w:hAnsi="Times New Roman" w:eastAsia="宋体" w:cs="Times New Roman"/>
      <w:lang w:val="en-US" w:eastAsia="zh-CN" w:bidi="ar-SA"/>
    </w:rPr>
  </w:style>
  <w:style w:type="paragraph" w:styleId="1318" w:customStyle="1">
    <w:name w:val="TOC Heading"/>
    <w:uiPriority w:val="39"/>
    <w:unhideWhenUsed/>
    <w:qFormat/>
    <w:rPr>
      <w:rFonts w:hint="default" w:ascii="Times New Roman" w:hAnsi="Times New Roman" w:eastAsia="宋体" w:cs="Times New Roman"/>
      <w:lang w:val="en-US" w:eastAsia="zh-CN" w:bidi="ar-SA"/>
    </w:rPr>
  </w:style>
  <w:style w:type="paragraph" w:styleId="1319" w:customStyle="1">
    <w:name w:val="列出段落1"/>
    <w:basedOn w:val="1158"/>
    <w:uiPriority w:val="0"/>
    <w:qFormat/>
    <w:pPr>
      <w:ind w:firstLine="420"/>
    </w:pPr>
    <w:rPr>
      <w:rFonts w:ascii="Calibri" w:hAnsi="Calibri"/>
    </w:rPr>
  </w:style>
  <w:style w:type="paragraph" w:styleId="1320"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321" w:customStyle="1">
    <w:name w:val="题注1"/>
    <w:next w:val="1067"/>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322" w:customStyle="1">
    <w:name w:val="页脚11"/>
    <w:basedOn w:val="1154"/>
    <w:uiPriority w:val="0"/>
    <w:qFormat/>
    <w:pPr>
      <w:jc w:val="left"/>
      <w:tabs>
        <w:tab w:val="center" w:pos="4153" w:leader="none"/>
        <w:tab w:val="right" w:pos="8306" w:leader="none"/>
      </w:tabs>
    </w:pPr>
    <w:rPr>
      <w:sz w:val="18"/>
      <w:szCs w:val="18"/>
    </w:rPr>
  </w:style>
  <w:style w:type="paragraph" w:styleId="1323" w:customStyle="1">
    <w:name w:val="_Style 2"/>
    <w:basedOn w:val="1293"/>
    <w:next w:val="1158"/>
    <w:uiPriority w:val="0"/>
    <w:qFormat/>
    <w:pPr>
      <w:jc w:val="both"/>
      <w:keepLines/>
      <w:spacing w:before="340" w:after="330" w:line="576" w:lineRule="auto"/>
      <w:outlineLvl w:val="9"/>
    </w:pPr>
    <w:rPr>
      <w:rFonts w:ascii="Times New Roman" w:hAnsi="Times New Roman"/>
      <w:sz w:val="44"/>
      <w:szCs w:val="44"/>
    </w:rPr>
  </w:style>
  <w:style w:type="paragraph" w:styleId="1324" w:customStyle="1">
    <w:name w:val="页眉1"/>
    <w:basedOn w:val="1158"/>
    <w:uiPriority w:val="0"/>
    <w:qFormat/>
    <w:pPr>
      <w:jc w:val="center"/>
      <w:tabs>
        <w:tab w:val="center" w:pos="4153" w:leader="none"/>
        <w:tab w:val="right" w:pos="8306" w:leader="none"/>
      </w:tabs>
      <w:pBdr>
        <w:bottom w:val="single" w:color="000000" w:sz="6" w:space="1"/>
      </w:pBdr>
    </w:pPr>
    <w:rPr>
      <w:sz w:val="18"/>
      <w:szCs w:val="18"/>
    </w:rPr>
  </w:style>
  <w:style w:type="table" w:styleId="1325" w:customStyle="1">
    <w:name w:val="List Table 4 - Accent 5"/>
    <w:uiPriority w:val="99"/>
    <w:qFormat/>
    <w:rPr>
      <w:lang w:val="en-US" w:eastAsia="zh-CN" w:bidi="ar-SA"/>
    </w:rPr>
    <w:tblPr/>
  </w:style>
  <w:style w:type="table" w:styleId="1326" w:customStyle="1">
    <w:name w:val="Grid Table 3 - Accent 5"/>
    <w:uiPriority w:val="99"/>
    <w:qFormat/>
    <w:rPr>
      <w:lang w:val="en-US" w:eastAsia="zh-CN" w:bidi="ar-SA"/>
    </w:rPr>
    <w:tblPr/>
  </w:style>
  <w:style w:type="table" w:styleId="1327" w:customStyle="1">
    <w:name w:val="Grid Table 7 Colorful - Accent 2"/>
    <w:uiPriority w:val="99"/>
    <w:qFormat/>
    <w:rPr>
      <w:lang w:val="en-US" w:eastAsia="zh-CN" w:bidi="ar-SA"/>
    </w:rPr>
    <w:tblPr/>
  </w:style>
  <w:style w:type="table" w:styleId="1328" w:customStyle="1">
    <w:name w:val="网格型12"/>
    <w:uiPriority w:val="59"/>
    <w:qFormat/>
    <w:pPr>
      <w:spacing w:after="0" w:line="240" w:lineRule="auto"/>
    </w:pPr>
    <w:tblPr/>
  </w:style>
  <w:style w:type="table" w:styleId="1329" w:customStyle="1">
    <w:name w:val="普通表格11"/>
    <w:uiPriority w:val="99"/>
    <w:unhideWhenUsed/>
    <w:qFormat/>
    <w:tblPr/>
  </w:style>
  <w:style w:type="table" w:styleId="1330" w:customStyle="1">
    <w:name w:val="Grid Table 4 - Accent 4"/>
    <w:uiPriority w:val="59"/>
    <w:qFormat/>
    <w:rPr>
      <w:lang w:val="en-US" w:eastAsia="zh-CN" w:bidi="ar-SA"/>
    </w:rPr>
    <w:tblPr/>
  </w:style>
  <w:style w:type="table" w:styleId="1331" w:customStyle="1">
    <w:name w:val="List Table 7 Colorful - Accent 1"/>
    <w:uiPriority w:val="99"/>
    <w:qFormat/>
    <w:rPr>
      <w:lang w:val="en-US" w:eastAsia="zh-CN" w:bidi="ar-SA"/>
    </w:rPr>
    <w:tblPr/>
  </w:style>
  <w:style w:type="table" w:styleId="1332" w:customStyle="1">
    <w:name w:val="Grid Table 1 Light - Accent 4"/>
    <w:uiPriority w:val="99"/>
    <w:qFormat/>
    <w:rPr>
      <w:lang w:val="en-US" w:eastAsia="zh-CN" w:bidi="ar-SA"/>
    </w:rPr>
    <w:tblPr/>
  </w:style>
  <w:style w:type="table" w:styleId="1333" w:customStyle="1">
    <w:name w:val="Bordered - Accent 4"/>
    <w:uiPriority w:val="99"/>
    <w:qFormat/>
    <w:rPr>
      <w:lang w:val="en-US" w:eastAsia="zh-CN" w:bidi="ar-SA"/>
    </w:rPr>
    <w:tblPr/>
  </w:style>
  <w:style w:type="table" w:styleId="1334" w:customStyle="1">
    <w:name w:val="List Table 2 - Accent 6"/>
    <w:uiPriority w:val="99"/>
    <w:qFormat/>
    <w:rPr>
      <w:lang w:val="en-US" w:eastAsia="zh-CN" w:bidi="ar-SA"/>
    </w:rPr>
    <w:tblPr/>
  </w:style>
  <w:style w:type="table" w:styleId="1335" w:customStyle="1">
    <w:name w:val="Bordered - Accent 5"/>
    <w:uiPriority w:val="99"/>
    <w:qFormat/>
    <w:rPr>
      <w:lang w:val="en-US" w:eastAsia="zh-CN" w:bidi="ar-SA"/>
    </w:rPr>
    <w:tblPr/>
  </w:style>
  <w:style w:type="table" w:styleId="1336" w:customStyle="1">
    <w:name w:val="Grid Table 3 - Accent 1"/>
    <w:uiPriority w:val="99"/>
    <w:qFormat/>
    <w:rPr>
      <w:lang w:val="en-US" w:eastAsia="zh-CN" w:bidi="ar-SA"/>
    </w:rPr>
    <w:tblPr/>
  </w:style>
  <w:style w:type="table" w:styleId="1337" w:customStyle="1">
    <w:name w:val="Plain Table 4"/>
    <w:uiPriority w:val="99"/>
    <w:qFormat/>
    <w:rPr>
      <w:lang w:val="en-US" w:eastAsia="zh-CN" w:bidi="ar-SA"/>
    </w:rPr>
    <w:tblPr/>
  </w:style>
  <w:style w:type="table" w:styleId="1338" w:customStyle="1">
    <w:name w:val="List Table 5 Dark - Accent 3"/>
    <w:uiPriority w:val="99"/>
    <w:qFormat/>
    <w:rPr>
      <w:lang w:val="en-US" w:eastAsia="zh-CN" w:bidi="ar-SA"/>
    </w:rPr>
    <w:tblPr/>
  </w:style>
  <w:style w:type="table" w:styleId="1339" w:customStyle="1">
    <w:name w:val="List Table 4 - Accent 2"/>
    <w:uiPriority w:val="99"/>
    <w:qFormat/>
    <w:rPr>
      <w:lang w:val="en-US" w:eastAsia="zh-CN" w:bidi="ar-SA"/>
    </w:rPr>
    <w:tblPr/>
  </w:style>
  <w:style w:type="table" w:styleId="1340" w:customStyle="1">
    <w:name w:val="Grid Table 4 - Accent 6"/>
    <w:uiPriority w:val="59"/>
    <w:qFormat/>
    <w:rPr>
      <w:lang w:val="en-US" w:eastAsia="zh-CN" w:bidi="ar-SA"/>
    </w:rPr>
    <w:tblPr/>
  </w:style>
  <w:style w:type="table" w:styleId="1341" w:customStyle="1">
    <w:name w:val="Grid Table 2 - Accent 3"/>
    <w:uiPriority w:val="99"/>
    <w:qFormat/>
    <w:rPr>
      <w:lang w:val="en-US" w:eastAsia="zh-CN" w:bidi="ar-SA"/>
    </w:rPr>
    <w:tblPr/>
  </w:style>
  <w:style w:type="table" w:styleId="1342" w:customStyle="1">
    <w:name w:val="Grid Table 4 - Accent 2"/>
    <w:uiPriority w:val="59"/>
    <w:qFormat/>
    <w:rPr>
      <w:lang w:val="en-US" w:eastAsia="zh-CN" w:bidi="ar-SA"/>
    </w:rPr>
    <w:tblPr/>
  </w:style>
  <w:style w:type="table" w:styleId="1343" w:customStyle="1">
    <w:name w:val="Grid Table 2 - Accent 2"/>
    <w:uiPriority w:val="99"/>
    <w:qFormat/>
    <w:rPr>
      <w:lang w:val="en-US" w:eastAsia="zh-CN" w:bidi="ar-SA"/>
    </w:rPr>
    <w:tblPr/>
  </w:style>
  <w:style w:type="table" w:styleId="1344" w:customStyle="1">
    <w:name w:val="Grid Table 6 Colorful - Accent 3"/>
    <w:uiPriority w:val="99"/>
    <w:qFormat/>
    <w:rPr>
      <w:lang w:val="en-US" w:eastAsia="zh-CN" w:bidi="ar-SA"/>
    </w:rPr>
    <w:tblPr/>
  </w:style>
  <w:style w:type="table" w:styleId="1345" w:customStyle="1">
    <w:name w:val="Grid Table 3 - Accent 2"/>
    <w:uiPriority w:val="99"/>
    <w:qFormat/>
    <w:rPr>
      <w:lang w:val="en-US" w:eastAsia="zh-CN" w:bidi="ar-SA"/>
    </w:rPr>
    <w:tblPr/>
  </w:style>
  <w:style w:type="table" w:styleId="1346" w:customStyle="1">
    <w:name w:val="Grid Table 3 - Accent 3"/>
    <w:uiPriority w:val="99"/>
    <w:qFormat/>
    <w:rPr>
      <w:lang w:val="en-US" w:eastAsia="zh-CN" w:bidi="ar-SA"/>
    </w:rPr>
    <w:tblPr/>
  </w:style>
  <w:style w:type="table" w:styleId="1347" w:customStyle="1">
    <w:name w:val="网格型11"/>
    <w:uiPriority w:val="59"/>
    <w:qFormat/>
    <w:rPr>
      <w:lang w:val="en-US" w:eastAsia="zh-CN" w:bidi="ar-SA"/>
    </w:rPr>
    <w:tblPr/>
  </w:style>
  <w:style w:type="table" w:styleId="1348" w:customStyle="1">
    <w:name w:val="List Table 3"/>
    <w:uiPriority w:val="99"/>
    <w:qFormat/>
    <w:rPr>
      <w:lang w:val="en-US" w:eastAsia="zh-CN" w:bidi="ar-SA"/>
    </w:rPr>
    <w:tblPr/>
  </w:style>
  <w:style w:type="table" w:styleId="1349" w:customStyle="1">
    <w:name w:val="List Table 1 Light"/>
    <w:uiPriority w:val="99"/>
    <w:qFormat/>
    <w:rPr>
      <w:lang w:val="en-US" w:eastAsia="zh-CN" w:bidi="ar-SA"/>
    </w:rPr>
    <w:tblPr/>
  </w:style>
  <w:style w:type="table" w:styleId="1350" w:customStyle="1">
    <w:name w:val="Grid Table 5 Dark - Accent 5"/>
    <w:uiPriority w:val="99"/>
    <w:qFormat/>
    <w:rPr>
      <w:lang w:val="en-US" w:eastAsia="zh-CN" w:bidi="ar-SA"/>
    </w:rPr>
    <w:tblPr/>
  </w:style>
  <w:style w:type="table" w:styleId="1351" w:customStyle="1">
    <w:name w:val="Grid Table 1 Light - Accent 3"/>
    <w:uiPriority w:val="99"/>
    <w:qFormat/>
    <w:rPr>
      <w:lang w:val="en-US" w:eastAsia="zh-CN" w:bidi="ar-SA"/>
    </w:rPr>
    <w:tblPr/>
  </w:style>
  <w:style w:type="table" w:styleId="1352" w:customStyle="1">
    <w:name w:val="Grid Table 5 Dark- Accent 4"/>
    <w:uiPriority w:val="99"/>
    <w:qFormat/>
    <w:rPr>
      <w:lang w:val="en-US" w:eastAsia="zh-CN" w:bidi="ar-SA"/>
    </w:rPr>
    <w:tblPr/>
  </w:style>
  <w:style w:type="table" w:styleId="1353" w:customStyle="1">
    <w:name w:val="List Table 4 - Accent 4"/>
    <w:uiPriority w:val="99"/>
    <w:qFormat/>
    <w:rPr>
      <w:lang w:val="en-US" w:eastAsia="zh-CN" w:bidi="ar-SA"/>
    </w:rPr>
    <w:tblPr/>
  </w:style>
  <w:style w:type="table" w:styleId="1354" w:customStyle="1">
    <w:name w:val="Bordered &amp; Lined - Accent 6"/>
    <w:uiPriority w:val="99"/>
    <w:qFormat/>
    <w:rPr>
      <w:color w:val="404040"/>
      <w:lang w:val="en-US" w:eastAsia="zh-CN" w:bidi="ar-SA"/>
    </w:rPr>
    <w:tblPr/>
  </w:style>
  <w:style w:type="table" w:styleId="1355" w:customStyle="1">
    <w:name w:val="List Table 5 Dark - Accent 2"/>
    <w:uiPriority w:val="99"/>
    <w:qFormat/>
    <w:rPr>
      <w:lang w:val="en-US" w:eastAsia="zh-CN" w:bidi="ar-SA"/>
    </w:rPr>
    <w:tblPr/>
  </w:style>
  <w:style w:type="table" w:styleId="1356" w:customStyle="1">
    <w:name w:val="List Table 2 - Accent 2"/>
    <w:uiPriority w:val="99"/>
    <w:qFormat/>
    <w:rPr>
      <w:lang w:val="en-US" w:eastAsia="zh-CN" w:bidi="ar-SA"/>
    </w:rPr>
    <w:tblPr/>
  </w:style>
  <w:style w:type="table" w:styleId="1357" w:customStyle="1">
    <w:name w:val="Grid Table 7 Colorful - Accent 6"/>
    <w:uiPriority w:val="99"/>
    <w:qFormat/>
    <w:rPr>
      <w:lang w:val="en-US" w:eastAsia="zh-CN" w:bidi="ar-SA"/>
    </w:rPr>
    <w:tblPr/>
  </w:style>
  <w:style w:type="table" w:styleId="1358" w:customStyle="1">
    <w:name w:val="Grid Table 3"/>
    <w:uiPriority w:val="99"/>
    <w:qFormat/>
    <w:rPr>
      <w:lang w:val="en-US" w:eastAsia="zh-CN" w:bidi="ar-SA"/>
    </w:rPr>
    <w:tblPr/>
  </w:style>
  <w:style w:type="table" w:styleId="1359" w:customStyle="1">
    <w:name w:val="Grid Table 1 Light - Accent 6"/>
    <w:uiPriority w:val="99"/>
    <w:qFormat/>
    <w:rPr>
      <w:lang w:val="en-US" w:eastAsia="zh-CN" w:bidi="ar-SA"/>
    </w:rPr>
    <w:tblPr/>
  </w:style>
  <w:style w:type="table" w:styleId="1360" w:customStyle="1">
    <w:name w:val="List Table 2 - Accent 1"/>
    <w:uiPriority w:val="99"/>
    <w:qFormat/>
    <w:rPr>
      <w:lang w:val="en-US" w:eastAsia="zh-CN" w:bidi="ar-SA"/>
    </w:rPr>
    <w:tblPr/>
  </w:style>
  <w:style w:type="table" w:styleId="1361" w:customStyle="1">
    <w:name w:val="Grid Table 3 - Accent 4"/>
    <w:uiPriority w:val="99"/>
    <w:qFormat/>
    <w:rPr>
      <w:lang w:val="en-US" w:eastAsia="zh-CN" w:bidi="ar-SA"/>
    </w:rPr>
    <w:tblPr/>
  </w:style>
  <w:style w:type="table" w:styleId="1362" w:customStyle="1">
    <w:name w:val="List Table 2 - Accent 5"/>
    <w:uiPriority w:val="99"/>
    <w:qFormat/>
    <w:rPr>
      <w:lang w:val="en-US" w:eastAsia="zh-CN" w:bidi="ar-SA"/>
    </w:rPr>
    <w:tblPr/>
  </w:style>
  <w:style w:type="table" w:styleId="1363" w:customStyle="1">
    <w:name w:val="List Table 5 Dark - Accent 5"/>
    <w:uiPriority w:val="99"/>
    <w:qFormat/>
    <w:rPr>
      <w:lang w:val="en-US" w:eastAsia="zh-CN" w:bidi="ar-SA"/>
    </w:rPr>
    <w:tblPr/>
  </w:style>
  <w:style w:type="table" w:styleId="1364" w:customStyle="1">
    <w:name w:val="List Table 3 - Accent 3"/>
    <w:uiPriority w:val="99"/>
    <w:qFormat/>
    <w:rPr>
      <w:lang w:val="en-US" w:eastAsia="zh-CN" w:bidi="ar-SA"/>
    </w:rPr>
    <w:tblPr/>
  </w:style>
  <w:style w:type="table" w:styleId="1365" w:customStyle="1">
    <w:name w:val="Grid Table 7 Colorful"/>
    <w:uiPriority w:val="99"/>
    <w:qFormat/>
    <w:rPr>
      <w:lang w:val="en-US" w:eastAsia="zh-CN" w:bidi="ar-SA"/>
    </w:rPr>
    <w:tblPr/>
  </w:style>
  <w:style w:type="table" w:styleId="1366" w:customStyle="1">
    <w:name w:val="Grid Table 4 - Accent 5"/>
    <w:uiPriority w:val="59"/>
    <w:qFormat/>
    <w:rPr>
      <w:lang w:val="en-US" w:eastAsia="zh-CN" w:bidi="ar-SA"/>
    </w:rPr>
    <w:tblPr/>
  </w:style>
  <w:style w:type="table" w:styleId="1367" w:customStyle="1">
    <w:name w:val="Grid Table 2"/>
    <w:uiPriority w:val="99"/>
    <w:qFormat/>
    <w:rPr>
      <w:lang w:val="en-US" w:eastAsia="zh-CN" w:bidi="ar-SA"/>
    </w:rPr>
    <w:tblPr/>
  </w:style>
  <w:style w:type="table" w:styleId="1368" w:customStyle="1">
    <w:name w:val="Grid Table 6 Colorful"/>
    <w:uiPriority w:val="99"/>
    <w:qFormat/>
    <w:rPr>
      <w:lang w:val="en-US" w:eastAsia="zh-CN" w:bidi="ar-SA"/>
    </w:rPr>
    <w:tblPr/>
  </w:style>
  <w:style w:type="table" w:styleId="1369" w:customStyle="1">
    <w:name w:val="Lined - Accent 3"/>
    <w:uiPriority w:val="99"/>
    <w:qFormat/>
    <w:rPr>
      <w:color w:val="404040"/>
      <w:lang w:val="en-US" w:eastAsia="zh-CN" w:bidi="ar-SA"/>
    </w:rPr>
    <w:tblPr/>
  </w:style>
  <w:style w:type="table" w:styleId="1370" w:customStyle="1">
    <w:name w:val="Grid Table 6 Colorful - Accent 6"/>
    <w:uiPriority w:val="99"/>
    <w:qFormat/>
    <w:rPr>
      <w:lang w:val="en-US" w:eastAsia="zh-CN" w:bidi="ar-SA"/>
    </w:rPr>
    <w:tblPr/>
  </w:style>
  <w:style w:type="table" w:styleId="1371" w:customStyle="1">
    <w:name w:val="Grid Table 5 Dark - Accent 2"/>
    <w:uiPriority w:val="99"/>
    <w:qFormat/>
    <w:rPr>
      <w:lang w:val="en-US" w:eastAsia="zh-CN" w:bidi="ar-SA"/>
    </w:rPr>
    <w:tblPr/>
  </w:style>
  <w:style w:type="table" w:styleId="1372" w:customStyle="1">
    <w:name w:val="Bordered &amp; Lined - Accent 3"/>
    <w:uiPriority w:val="99"/>
    <w:qFormat/>
    <w:rPr>
      <w:color w:val="404040"/>
      <w:lang w:val="en-US" w:eastAsia="zh-CN" w:bidi="ar-SA"/>
    </w:rPr>
    <w:tblPr/>
  </w:style>
  <w:style w:type="table" w:styleId="1373" w:customStyle="1">
    <w:name w:val="Bordered &amp; Lined - Accent 1"/>
    <w:uiPriority w:val="99"/>
    <w:qFormat/>
    <w:rPr>
      <w:color w:val="404040"/>
      <w:lang w:val="en-US" w:eastAsia="zh-CN" w:bidi="ar-SA"/>
    </w:rPr>
    <w:tblPr/>
  </w:style>
  <w:style w:type="table" w:styleId="1374" w:customStyle="1">
    <w:name w:val="List Table 7 Colorful - Accent 3"/>
    <w:uiPriority w:val="99"/>
    <w:qFormat/>
    <w:rPr>
      <w:lang w:val="en-US" w:eastAsia="zh-CN" w:bidi="ar-SA"/>
    </w:rPr>
    <w:tblPr/>
  </w:style>
  <w:style w:type="table" w:styleId="1375" w:customStyle="1">
    <w:name w:val="List Table 7 Colorful - Accent 5"/>
    <w:uiPriority w:val="99"/>
    <w:qFormat/>
    <w:rPr>
      <w:lang w:val="en-US" w:eastAsia="zh-CN" w:bidi="ar-SA"/>
    </w:rPr>
    <w:tblPr/>
  </w:style>
  <w:style w:type="table" w:styleId="1376" w:customStyle="1">
    <w:name w:val="Grid Table 5 Dark - Accent 6"/>
    <w:uiPriority w:val="99"/>
    <w:qFormat/>
    <w:rPr>
      <w:lang w:val="en-US" w:eastAsia="zh-CN" w:bidi="ar-SA"/>
    </w:rPr>
    <w:tblPr/>
  </w:style>
  <w:style w:type="table" w:styleId="1377" w:customStyle="1">
    <w:name w:val="Grid Table 4"/>
    <w:uiPriority w:val="59"/>
    <w:qFormat/>
    <w:rPr>
      <w:lang w:val="en-US" w:eastAsia="zh-CN" w:bidi="ar-SA"/>
    </w:rPr>
    <w:tblPr/>
  </w:style>
  <w:style w:type="table" w:styleId="1378" w:customStyle="1">
    <w:name w:val="Grid Table 1 Light - Accent 2"/>
    <w:uiPriority w:val="99"/>
    <w:qFormat/>
    <w:rPr>
      <w:lang w:val="en-US" w:eastAsia="zh-CN" w:bidi="ar-SA"/>
    </w:rPr>
    <w:tblPr/>
  </w:style>
  <w:style w:type="table" w:styleId="1379" w:customStyle="1">
    <w:name w:val="Grid Table 7 Colorful - Accent 1"/>
    <w:uiPriority w:val="99"/>
    <w:qFormat/>
    <w:rPr>
      <w:lang w:val="en-US" w:eastAsia="zh-CN" w:bidi="ar-SA"/>
    </w:rPr>
    <w:tblPr/>
  </w:style>
  <w:style w:type="table" w:styleId="1380" w:customStyle="1">
    <w:name w:val="Grid Table 2 - Accent 1"/>
    <w:uiPriority w:val="99"/>
    <w:qFormat/>
    <w:rPr>
      <w:lang w:val="en-US" w:eastAsia="zh-CN" w:bidi="ar-SA"/>
    </w:rPr>
    <w:tblPr/>
  </w:style>
  <w:style w:type="table" w:styleId="1381" w:customStyle="1">
    <w:name w:val="Grid Table 7 Colorful - Accent 5"/>
    <w:uiPriority w:val="99"/>
    <w:qFormat/>
    <w:rPr>
      <w:lang w:val="en-US" w:eastAsia="zh-CN" w:bidi="ar-SA"/>
    </w:rPr>
    <w:tblPr/>
  </w:style>
  <w:style w:type="table" w:styleId="1382" w:customStyle="1">
    <w:name w:val="Bordered &amp; Lined - Accent 2"/>
    <w:uiPriority w:val="99"/>
    <w:qFormat/>
    <w:rPr>
      <w:color w:val="404040"/>
      <w:lang w:val="en-US" w:eastAsia="zh-CN" w:bidi="ar-SA"/>
    </w:rPr>
    <w:tblPr/>
  </w:style>
  <w:style w:type="table" w:styleId="1383" w:customStyle="1">
    <w:name w:val="Bordered - Accent 1"/>
    <w:uiPriority w:val="99"/>
    <w:qFormat/>
    <w:rPr>
      <w:lang w:val="en-US" w:eastAsia="zh-CN" w:bidi="ar-SA"/>
    </w:rPr>
    <w:tblPr/>
  </w:style>
  <w:style w:type="table" w:styleId="1384" w:customStyle="1">
    <w:name w:val="网格型1"/>
    <w:basedOn w:val="1385"/>
    <w:uiPriority w:val="0"/>
    <w:qFormat/>
    <w:tblPr/>
  </w:style>
  <w:style w:type="table" w:styleId="1385" w:customStyle="1">
    <w:name w:val="普通表格1"/>
    <w:uiPriority w:val="0"/>
    <w:semiHidden/>
    <w:qFormat/>
    <w:rPr>
      <w:lang w:val="en-US" w:eastAsia="zh-CN" w:bidi="ar-SA"/>
    </w:rPr>
    <w:tblPr/>
  </w:style>
  <w:style w:type="table" w:styleId="1386" w:customStyle="1">
    <w:name w:val="List Table 6 Colorful - Accent 5"/>
    <w:uiPriority w:val="99"/>
    <w:qFormat/>
    <w:rPr>
      <w:lang w:val="en-US" w:eastAsia="zh-CN" w:bidi="ar-SA"/>
    </w:rPr>
    <w:tblPr/>
  </w:style>
  <w:style w:type="table" w:styleId="1387" w:customStyle="1">
    <w:name w:val="List Table 6 Colorful - Accent 4"/>
    <w:uiPriority w:val="99"/>
    <w:qFormat/>
    <w:rPr>
      <w:lang w:val="en-US" w:eastAsia="zh-CN" w:bidi="ar-SA"/>
    </w:rPr>
    <w:tblPr/>
  </w:style>
  <w:style w:type="table" w:styleId="1388" w:customStyle="1">
    <w:name w:val="List Table 1 Light - Accent 6"/>
    <w:uiPriority w:val="99"/>
    <w:qFormat/>
    <w:rPr>
      <w:lang w:val="en-US" w:eastAsia="zh-CN" w:bidi="ar-SA"/>
    </w:rPr>
    <w:tblPr/>
  </w:style>
  <w:style w:type="table" w:styleId="1389" w:customStyle="1">
    <w:name w:val="Grid Table 5 Dark"/>
    <w:uiPriority w:val="99"/>
    <w:qFormat/>
    <w:rPr>
      <w:lang w:val="en-US" w:eastAsia="zh-CN" w:bidi="ar-SA"/>
    </w:rPr>
    <w:tblPr/>
  </w:style>
  <w:style w:type="table" w:styleId="1390" w:customStyle="1">
    <w:name w:val="Grid Table 6 Colorful - Accent 5"/>
    <w:uiPriority w:val="99"/>
    <w:qFormat/>
    <w:rPr>
      <w:lang w:val="en-US" w:eastAsia="zh-CN" w:bidi="ar-SA"/>
    </w:rPr>
    <w:tblPr/>
  </w:style>
  <w:style w:type="table" w:styleId="1391" w:customStyle="1">
    <w:name w:val="Grid Table 6 Colorful - Accent 4"/>
    <w:uiPriority w:val="99"/>
    <w:qFormat/>
    <w:rPr>
      <w:lang w:val="en-US" w:eastAsia="zh-CN" w:bidi="ar-SA"/>
    </w:rPr>
    <w:tblPr/>
  </w:style>
  <w:style w:type="table" w:styleId="1392" w:customStyle="1">
    <w:name w:val="Grid Table 2 - Accent 5"/>
    <w:uiPriority w:val="99"/>
    <w:qFormat/>
    <w:rPr>
      <w:lang w:val="en-US" w:eastAsia="zh-CN" w:bidi="ar-SA"/>
    </w:rPr>
    <w:tblPr/>
  </w:style>
  <w:style w:type="table" w:styleId="1393" w:customStyle="1">
    <w:name w:val="Grid Table 1 Light - Accent 5"/>
    <w:uiPriority w:val="99"/>
    <w:qFormat/>
    <w:rPr>
      <w:lang w:val="en-US" w:eastAsia="zh-CN" w:bidi="ar-SA"/>
    </w:rPr>
    <w:tblPr/>
  </w:style>
  <w:style w:type="table" w:styleId="1394" w:customStyle="1">
    <w:name w:val="List Table 4 - Accent 1"/>
    <w:uiPriority w:val="99"/>
    <w:qFormat/>
    <w:rPr>
      <w:lang w:val="en-US" w:eastAsia="zh-CN" w:bidi="ar-SA"/>
    </w:rPr>
    <w:tblPr/>
  </w:style>
  <w:style w:type="table" w:styleId="1395" w:customStyle="1">
    <w:name w:val="Bordered"/>
    <w:uiPriority w:val="99"/>
    <w:qFormat/>
    <w:rPr>
      <w:lang w:val="en-US" w:eastAsia="zh-CN" w:bidi="ar-SA"/>
    </w:rPr>
    <w:tblPr/>
  </w:style>
  <w:style w:type="table" w:styleId="1396" w:customStyle="1">
    <w:name w:val="List Table 1 Light - Accent 3"/>
    <w:uiPriority w:val="99"/>
    <w:qFormat/>
    <w:rPr>
      <w:lang w:val="en-US" w:eastAsia="zh-CN" w:bidi="ar-SA"/>
    </w:rPr>
    <w:tblPr/>
  </w:style>
  <w:style w:type="table" w:styleId="1397" w:customStyle="1">
    <w:name w:val="Plain Table 3"/>
    <w:uiPriority w:val="99"/>
    <w:qFormat/>
    <w:rPr>
      <w:lang w:val="en-US" w:eastAsia="zh-CN" w:bidi="ar-SA"/>
    </w:rPr>
    <w:tblPr/>
  </w:style>
  <w:style w:type="table" w:styleId="1398" w:customStyle="1">
    <w:name w:val="Grid Table 5 Dark - Accent 3"/>
    <w:uiPriority w:val="99"/>
    <w:qFormat/>
    <w:rPr>
      <w:lang w:val="en-US" w:eastAsia="zh-CN" w:bidi="ar-SA"/>
    </w:rPr>
    <w:tblPr/>
  </w:style>
  <w:style w:type="table" w:styleId="1399" w:customStyle="1">
    <w:name w:val="List Table 4"/>
    <w:uiPriority w:val="99"/>
    <w:qFormat/>
    <w:rPr>
      <w:lang w:val="en-US" w:eastAsia="zh-CN" w:bidi="ar-SA"/>
    </w:rPr>
    <w:tblPr/>
  </w:style>
  <w:style w:type="table" w:styleId="1400" w:customStyle="1">
    <w:name w:val="Lined - Accent 6"/>
    <w:uiPriority w:val="99"/>
    <w:qFormat/>
    <w:rPr>
      <w:color w:val="404040"/>
      <w:lang w:val="en-US" w:eastAsia="zh-CN" w:bidi="ar-SA"/>
    </w:rPr>
    <w:tblPr/>
  </w:style>
  <w:style w:type="table" w:styleId="1401" w:customStyle="1">
    <w:name w:val="List Table 2"/>
    <w:uiPriority w:val="99"/>
    <w:qFormat/>
    <w:rPr>
      <w:lang w:val="en-US" w:eastAsia="zh-CN" w:bidi="ar-SA"/>
    </w:rPr>
    <w:tblPr/>
  </w:style>
  <w:style w:type="table" w:styleId="1402" w:customStyle="1">
    <w:name w:val="List Table 5 Dark"/>
    <w:uiPriority w:val="99"/>
    <w:qFormat/>
    <w:rPr>
      <w:lang w:val="en-US" w:eastAsia="zh-CN" w:bidi="ar-SA"/>
    </w:rPr>
    <w:tblPr/>
  </w:style>
  <w:style w:type="table" w:styleId="1403" w:customStyle="1">
    <w:name w:val="List Table 7 Colorful"/>
    <w:uiPriority w:val="99"/>
    <w:qFormat/>
    <w:rPr>
      <w:lang w:val="en-US" w:eastAsia="zh-CN" w:bidi="ar-SA"/>
    </w:rPr>
    <w:tblPr/>
  </w:style>
  <w:style w:type="table" w:styleId="1404" w:customStyle="1">
    <w:name w:val="Bordered &amp; Lined - Accent"/>
    <w:uiPriority w:val="99"/>
    <w:qFormat/>
    <w:rPr>
      <w:color w:val="404040"/>
      <w:lang w:val="en-US" w:eastAsia="zh-CN" w:bidi="ar-SA"/>
    </w:rPr>
    <w:tblPr/>
  </w:style>
  <w:style w:type="table" w:styleId="1405" w:customStyle="1">
    <w:name w:val="Bordered - Accent 6"/>
    <w:uiPriority w:val="99"/>
    <w:qFormat/>
    <w:rPr>
      <w:lang w:val="en-US" w:eastAsia="zh-CN" w:bidi="ar-SA"/>
    </w:rPr>
    <w:tblPr/>
  </w:style>
  <w:style w:type="table" w:styleId="1406" w:customStyle="1">
    <w:name w:val="List Table 5 Dark - Accent 1"/>
    <w:uiPriority w:val="99"/>
    <w:qFormat/>
    <w:rPr>
      <w:lang w:val="en-US" w:eastAsia="zh-CN" w:bidi="ar-SA"/>
    </w:rPr>
    <w:tblPr/>
  </w:style>
  <w:style w:type="table" w:styleId="1407" w:customStyle="1">
    <w:name w:val="Grid Table 6 Colorful - Accent 2"/>
    <w:uiPriority w:val="99"/>
    <w:qFormat/>
    <w:rPr>
      <w:lang w:val="en-US" w:eastAsia="zh-CN" w:bidi="ar-SA"/>
    </w:rPr>
    <w:tblPr/>
  </w:style>
  <w:style w:type="table" w:styleId="1408" w:customStyle="1">
    <w:name w:val="Bordered &amp; Lined - Accent 5"/>
    <w:uiPriority w:val="99"/>
    <w:qFormat/>
    <w:rPr>
      <w:color w:val="404040"/>
      <w:lang w:val="en-US" w:eastAsia="zh-CN" w:bidi="ar-SA"/>
    </w:rPr>
    <w:tblPr/>
  </w:style>
  <w:style w:type="table" w:styleId="1409" w:customStyle="1">
    <w:name w:val="List Table 7 Colorful - Accent 6"/>
    <w:uiPriority w:val="99"/>
    <w:qFormat/>
    <w:rPr>
      <w:lang w:val="en-US" w:eastAsia="zh-CN" w:bidi="ar-SA"/>
    </w:rPr>
    <w:tblPr/>
  </w:style>
  <w:style w:type="table" w:styleId="1410" w:customStyle="1">
    <w:name w:val="Lined - Accent 1"/>
    <w:uiPriority w:val="99"/>
    <w:qFormat/>
    <w:rPr>
      <w:color w:val="404040"/>
      <w:lang w:val="en-US" w:eastAsia="zh-CN" w:bidi="ar-SA"/>
    </w:rPr>
    <w:tblPr/>
  </w:style>
  <w:style w:type="table" w:styleId="1411" w:customStyle="1">
    <w:name w:val="Grid Table 7 Colorful - Accent 4"/>
    <w:uiPriority w:val="99"/>
    <w:qFormat/>
    <w:rPr>
      <w:lang w:val="en-US" w:eastAsia="zh-CN" w:bidi="ar-SA"/>
    </w:rPr>
    <w:tblPr/>
  </w:style>
  <w:style w:type="table" w:styleId="1412" w:customStyle="1">
    <w:name w:val="Table Grid Light"/>
    <w:uiPriority w:val="59"/>
    <w:qFormat/>
    <w:rPr>
      <w:lang w:val="en-US" w:eastAsia="zh-CN" w:bidi="ar-SA"/>
    </w:rPr>
    <w:tblPr/>
  </w:style>
  <w:style w:type="table" w:styleId="1413" w:customStyle="1">
    <w:name w:val="List Table 2 - Accent 3"/>
    <w:uiPriority w:val="99"/>
    <w:qFormat/>
    <w:rPr>
      <w:lang w:val="en-US" w:eastAsia="zh-CN" w:bidi="ar-SA"/>
    </w:rPr>
    <w:tblPr/>
  </w:style>
  <w:style w:type="table" w:styleId="1414" w:customStyle="1">
    <w:name w:val="List Table 1 Light - Accent 1"/>
    <w:uiPriority w:val="99"/>
    <w:qFormat/>
    <w:rPr>
      <w:lang w:val="en-US" w:eastAsia="zh-CN" w:bidi="ar-SA"/>
    </w:rPr>
    <w:tblPr/>
  </w:style>
  <w:style w:type="table" w:styleId="1415" w:customStyle="1">
    <w:name w:val="Plain Table 5"/>
    <w:uiPriority w:val="99"/>
    <w:qFormat/>
    <w:rPr>
      <w:lang w:val="en-US" w:eastAsia="zh-CN" w:bidi="ar-SA"/>
    </w:rPr>
    <w:tblPr/>
  </w:style>
  <w:style w:type="table" w:styleId="1416" w:customStyle="1">
    <w:name w:val="Grid Table 3 - Accent 6"/>
    <w:uiPriority w:val="99"/>
    <w:qFormat/>
    <w:rPr>
      <w:lang w:val="en-US" w:eastAsia="zh-CN" w:bidi="ar-SA"/>
    </w:rPr>
    <w:tblPr/>
  </w:style>
  <w:style w:type="table" w:styleId="1417" w:customStyle="1">
    <w:name w:val="List Table 1 Light - Accent 5"/>
    <w:uiPriority w:val="99"/>
    <w:qFormat/>
    <w:rPr>
      <w:lang w:val="en-US" w:eastAsia="zh-CN" w:bidi="ar-SA"/>
    </w:rPr>
    <w:tblPr/>
  </w:style>
  <w:style w:type="table" w:styleId="1418" w:customStyle="1">
    <w:name w:val="List Table 2 - Accent 4"/>
    <w:uiPriority w:val="99"/>
    <w:qFormat/>
    <w:rPr>
      <w:lang w:val="en-US" w:eastAsia="zh-CN" w:bidi="ar-SA"/>
    </w:rPr>
    <w:tblPr/>
  </w:style>
  <w:style w:type="table" w:styleId="1419" w:customStyle="1">
    <w:name w:val="List Table 3 - Accent 6"/>
    <w:uiPriority w:val="99"/>
    <w:qFormat/>
    <w:rPr>
      <w:lang w:val="en-US" w:eastAsia="zh-CN" w:bidi="ar-SA"/>
    </w:rPr>
    <w:tblPr/>
  </w:style>
  <w:style w:type="table" w:styleId="1420" w:customStyle="1">
    <w:name w:val="Plain Table 2"/>
    <w:uiPriority w:val="59"/>
    <w:qFormat/>
    <w:rPr>
      <w:lang w:val="en-US" w:eastAsia="zh-CN" w:bidi="ar-SA"/>
    </w:rPr>
    <w:tblPr/>
  </w:style>
  <w:style w:type="table" w:styleId="1421" w:customStyle="1">
    <w:name w:val="List Table 1 Light - Accent 4"/>
    <w:uiPriority w:val="99"/>
    <w:qFormat/>
    <w:rPr>
      <w:lang w:val="en-US" w:eastAsia="zh-CN" w:bidi="ar-SA"/>
    </w:rPr>
    <w:tblPr/>
  </w:style>
  <w:style w:type="table" w:styleId="1422" w:customStyle="1">
    <w:name w:val="List Table 7 Colorful - Accent 4"/>
    <w:uiPriority w:val="99"/>
    <w:qFormat/>
    <w:rPr>
      <w:lang w:val="en-US" w:eastAsia="zh-CN" w:bidi="ar-SA"/>
    </w:rPr>
    <w:tblPr/>
  </w:style>
  <w:style w:type="table" w:styleId="1423" w:customStyle="1">
    <w:name w:val="List Table 3 - Accent 5"/>
    <w:uiPriority w:val="99"/>
    <w:qFormat/>
    <w:rPr>
      <w:lang w:val="en-US" w:eastAsia="zh-CN" w:bidi="ar-SA"/>
    </w:rPr>
    <w:tblPr/>
  </w:style>
  <w:style w:type="table" w:styleId="1424" w:customStyle="1">
    <w:name w:val="Bordered - Accent 3"/>
    <w:uiPriority w:val="99"/>
    <w:qFormat/>
    <w:rPr>
      <w:lang w:val="en-US" w:eastAsia="zh-CN" w:bidi="ar-SA"/>
    </w:rPr>
    <w:tblPr/>
  </w:style>
  <w:style w:type="table" w:styleId="1425" w:customStyle="1">
    <w:name w:val="List Table 6 Colorful - Accent 2"/>
    <w:uiPriority w:val="99"/>
    <w:qFormat/>
    <w:rPr>
      <w:lang w:val="en-US" w:eastAsia="zh-CN" w:bidi="ar-SA"/>
    </w:rPr>
    <w:tblPr/>
  </w:style>
  <w:style w:type="table" w:styleId="1426" w:customStyle="1">
    <w:name w:val="Grid Table 5 Dark- Accent 1"/>
    <w:uiPriority w:val="99"/>
    <w:qFormat/>
    <w:rPr>
      <w:lang w:val="en-US" w:eastAsia="zh-CN" w:bidi="ar-SA"/>
    </w:rPr>
    <w:tblPr/>
  </w:style>
  <w:style w:type="table" w:styleId="1427" w:customStyle="1">
    <w:name w:val="List Table 3 - Accent 2"/>
    <w:uiPriority w:val="99"/>
    <w:qFormat/>
    <w:rPr>
      <w:lang w:val="en-US" w:eastAsia="zh-CN" w:bidi="ar-SA"/>
    </w:rPr>
    <w:tblPr/>
  </w:style>
  <w:style w:type="table" w:styleId="1428" w:customStyle="1">
    <w:name w:val="List Table 6 Colorful - Accent 3"/>
    <w:uiPriority w:val="99"/>
    <w:qFormat/>
    <w:rPr>
      <w:lang w:val="en-US" w:eastAsia="zh-CN" w:bidi="ar-SA"/>
    </w:rPr>
    <w:tblPr/>
  </w:style>
  <w:style w:type="table" w:styleId="1429" w:customStyle="1">
    <w:name w:val="Grid Table 2 - Accent 6"/>
    <w:uiPriority w:val="99"/>
    <w:qFormat/>
    <w:rPr>
      <w:lang w:val="en-US" w:eastAsia="zh-CN" w:bidi="ar-SA"/>
    </w:rPr>
    <w:tblPr/>
  </w:style>
  <w:style w:type="table" w:styleId="1430" w:customStyle="1">
    <w:name w:val="Grid Table 4 - Accent 3"/>
    <w:uiPriority w:val="59"/>
    <w:qFormat/>
    <w:rPr>
      <w:lang w:val="en-US" w:eastAsia="zh-CN" w:bidi="ar-SA"/>
    </w:rPr>
    <w:tblPr/>
  </w:style>
  <w:style w:type="table" w:styleId="1431" w:customStyle="1">
    <w:name w:val="List Table 5 Dark - Accent 4"/>
    <w:uiPriority w:val="99"/>
    <w:qFormat/>
    <w:rPr>
      <w:lang w:val="en-US" w:eastAsia="zh-CN" w:bidi="ar-SA"/>
    </w:rPr>
    <w:tblPr/>
  </w:style>
  <w:style w:type="table" w:styleId="1432" w:customStyle="1">
    <w:name w:val="Lined - Accent 4"/>
    <w:uiPriority w:val="99"/>
    <w:qFormat/>
    <w:rPr>
      <w:color w:val="404040"/>
      <w:lang w:val="en-US" w:eastAsia="zh-CN" w:bidi="ar-SA"/>
    </w:rPr>
    <w:tblPr/>
  </w:style>
  <w:style w:type="table" w:styleId="1433" w:customStyle="1">
    <w:name w:val="List Table 3 - Accent 1"/>
    <w:uiPriority w:val="99"/>
    <w:qFormat/>
    <w:rPr>
      <w:lang w:val="en-US" w:eastAsia="zh-CN" w:bidi="ar-SA"/>
    </w:rPr>
    <w:tblPr/>
  </w:style>
  <w:style w:type="table" w:styleId="1434" w:customStyle="1">
    <w:name w:val="Bordered - Accent 2"/>
    <w:uiPriority w:val="99"/>
    <w:qFormat/>
    <w:rPr>
      <w:lang w:val="en-US" w:eastAsia="zh-CN" w:bidi="ar-SA"/>
    </w:rPr>
    <w:tblPr/>
  </w:style>
  <w:style w:type="table" w:styleId="1435" w:customStyle="1">
    <w:name w:val="Grid Table 6 Colorful - Accent 1"/>
    <w:uiPriority w:val="99"/>
    <w:qFormat/>
    <w:rPr>
      <w:lang w:val="en-US" w:eastAsia="zh-CN" w:bidi="ar-SA"/>
    </w:rPr>
    <w:tblPr/>
  </w:style>
  <w:style w:type="table" w:styleId="1436" w:customStyle="1">
    <w:name w:val="List Table 1 Light - Accent 2"/>
    <w:uiPriority w:val="99"/>
    <w:qFormat/>
    <w:rPr>
      <w:lang w:val="en-US" w:eastAsia="zh-CN" w:bidi="ar-SA"/>
    </w:rPr>
    <w:tblPr/>
  </w:style>
  <w:style w:type="table" w:styleId="1437" w:customStyle="1">
    <w:name w:val="Lined - Accent"/>
    <w:uiPriority w:val="99"/>
    <w:qFormat/>
    <w:rPr>
      <w:color w:val="404040"/>
      <w:lang w:val="en-US" w:eastAsia="zh-CN" w:bidi="ar-SA"/>
    </w:rPr>
    <w:tblPr/>
  </w:style>
  <w:style w:type="table" w:styleId="1438" w:customStyle="1">
    <w:name w:val="Grid Table 1 Light"/>
    <w:uiPriority w:val="99"/>
    <w:qFormat/>
    <w:rPr>
      <w:lang w:val="en-US" w:eastAsia="zh-CN" w:bidi="ar-SA"/>
    </w:rPr>
    <w:tblPr/>
  </w:style>
  <w:style w:type="table" w:styleId="1439" w:customStyle="1">
    <w:name w:val="List Table 7 Colorful - Accent 2"/>
    <w:uiPriority w:val="99"/>
    <w:qFormat/>
    <w:rPr>
      <w:lang w:val="en-US" w:eastAsia="zh-CN" w:bidi="ar-SA"/>
    </w:rPr>
    <w:tblPr/>
  </w:style>
  <w:style w:type="table" w:styleId="1440" w:customStyle="1">
    <w:name w:val="Grid Table 1 Light - Accent 1"/>
    <w:uiPriority w:val="99"/>
    <w:qFormat/>
    <w:rPr>
      <w:lang w:val="en-US" w:eastAsia="zh-CN" w:bidi="ar-SA"/>
    </w:rPr>
    <w:tblPr/>
  </w:style>
  <w:style w:type="table" w:styleId="1441" w:customStyle="1">
    <w:name w:val="List Table 4 - Accent 6"/>
    <w:uiPriority w:val="99"/>
    <w:qFormat/>
    <w:rPr>
      <w:lang w:val="en-US" w:eastAsia="zh-CN" w:bidi="ar-SA"/>
    </w:rPr>
    <w:tblPr/>
  </w:style>
  <w:style w:type="table" w:styleId="1442" w:customStyle="1">
    <w:name w:val="List Table 6 Colorful - Accent 6"/>
    <w:uiPriority w:val="99"/>
    <w:qFormat/>
    <w:rPr>
      <w:lang w:val="en-US" w:eastAsia="zh-CN" w:bidi="ar-SA"/>
    </w:rPr>
    <w:tblPr/>
  </w:style>
  <w:style w:type="table" w:styleId="1443" w:customStyle="1">
    <w:name w:val="Grid Table 7 Colorful - Accent 3"/>
    <w:uiPriority w:val="99"/>
    <w:qFormat/>
    <w:rPr>
      <w:lang w:val="en-US" w:eastAsia="zh-CN" w:bidi="ar-SA"/>
    </w:rPr>
    <w:tblPr/>
  </w:style>
  <w:style w:type="table" w:styleId="1444" w:customStyle="1">
    <w:name w:val="List Table 4 - Accent 3"/>
    <w:uiPriority w:val="99"/>
    <w:qFormat/>
    <w:rPr>
      <w:lang w:val="en-US" w:eastAsia="zh-CN" w:bidi="ar-SA"/>
    </w:rPr>
    <w:tblPr/>
  </w:style>
  <w:style w:type="table" w:styleId="1445" w:customStyle="1">
    <w:name w:val="List Table 3 - Accent 4"/>
    <w:uiPriority w:val="99"/>
    <w:qFormat/>
    <w:rPr>
      <w:lang w:val="en-US" w:eastAsia="zh-CN" w:bidi="ar-SA"/>
    </w:rPr>
    <w:tblPr/>
  </w:style>
  <w:style w:type="table" w:styleId="1446" w:customStyle="1">
    <w:name w:val="Grid Table 4 - Accent 1"/>
    <w:uiPriority w:val="59"/>
    <w:qFormat/>
    <w:rPr>
      <w:lang w:val="en-US" w:eastAsia="zh-CN" w:bidi="ar-SA"/>
    </w:rPr>
    <w:tblPr/>
  </w:style>
  <w:style w:type="table" w:styleId="1447" w:customStyle="1">
    <w:name w:val="Lined - Accent 5"/>
    <w:uiPriority w:val="99"/>
    <w:qFormat/>
    <w:rPr>
      <w:color w:val="404040"/>
      <w:lang w:val="en-US" w:eastAsia="zh-CN" w:bidi="ar-SA"/>
    </w:rPr>
    <w:tblPr/>
  </w:style>
  <w:style w:type="table" w:styleId="1448" w:customStyle="1">
    <w:name w:val="Bordered &amp; Lined - Accent 4"/>
    <w:uiPriority w:val="99"/>
    <w:qFormat/>
    <w:rPr>
      <w:color w:val="404040"/>
      <w:lang w:val="en-US" w:eastAsia="zh-CN" w:bidi="ar-SA"/>
    </w:rPr>
    <w:tblPr/>
  </w:style>
  <w:style w:type="table" w:styleId="1449" w:customStyle="1">
    <w:name w:val="List Table 6 Colorful - Accent 1"/>
    <w:uiPriority w:val="99"/>
    <w:qFormat/>
    <w:rPr>
      <w:lang w:val="en-US" w:eastAsia="zh-CN" w:bidi="ar-SA"/>
    </w:rPr>
    <w:tblPr/>
  </w:style>
  <w:style w:type="table" w:styleId="1450" w:customStyle="1">
    <w:name w:val="Plain Table 1"/>
    <w:uiPriority w:val="59"/>
    <w:qFormat/>
    <w:rPr>
      <w:lang w:val="en-US" w:eastAsia="zh-CN" w:bidi="ar-SA"/>
    </w:rPr>
    <w:tblPr/>
  </w:style>
  <w:style w:type="table" w:styleId="1451" w:customStyle="1">
    <w:name w:val="List Table 5 Dark - Accent 6"/>
    <w:uiPriority w:val="99"/>
    <w:qFormat/>
    <w:rPr>
      <w:lang w:val="en-US" w:eastAsia="zh-CN" w:bidi="ar-SA"/>
    </w:rPr>
    <w:tblPr/>
  </w:style>
  <w:style w:type="table" w:styleId="1452" w:customStyle="1">
    <w:name w:val="Grid Table 2 - Accent 4"/>
    <w:uiPriority w:val="99"/>
    <w:qFormat/>
    <w:rPr>
      <w:lang w:val="en-US" w:eastAsia="zh-CN" w:bidi="ar-SA"/>
    </w:rPr>
    <w:tblPr/>
  </w:style>
  <w:style w:type="table" w:styleId="1453" w:customStyle="1">
    <w:name w:val="List Table 6 Colorful"/>
    <w:uiPriority w:val="99"/>
    <w:qFormat/>
    <w:rPr>
      <w:lang w:val="en-US" w:eastAsia="zh-CN" w:bidi="ar-SA"/>
    </w:rPr>
    <w:tblPr/>
  </w:style>
  <w:style w:type="table" w:styleId="1454" w:customStyle="1">
    <w:name w:val="Lined - Accent 2"/>
    <w:uiPriority w:val="99"/>
    <w:qFormat/>
    <w:rPr>
      <w:color w:val="404040"/>
      <w:lang w:val="en-US" w:eastAsia="zh-CN" w:bidi="ar-SA"/>
    </w:rPr>
    <w:tblPr/>
  </w:style>
  <w:style w:type="paragraph" w:styleId="1455" w:customStyle="1">
    <w:name w:val="BlockQuote1"/>
    <w:basedOn w:val="1158"/>
    <w:uiPriority w:val="0"/>
    <w:qFormat/>
    <w:pPr>
      <w:ind w:left="256" w:right="6" w:firstLine="624"/>
    </w:pPr>
    <w:rPr>
      <w:rFonts w:eastAsia="仿宋_GB2312"/>
      <w:sz w:val="28"/>
    </w:rPr>
  </w:style>
  <w:style w:type="paragraph" w:styleId="1456" w:customStyle="1">
    <w:name w:val="正文首行缩进1"/>
    <w:basedOn w:val="1176"/>
    <w:next w:val="1212"/>
    <w:uiPriority w:val="0"/>
    <w:qFormat/>
    <w:pPr>
      <w:ind w:firstLine="200"/>
      <w:spacing w:line="360" w:lineRule="auto"/>
    </w:pPr>
    <w:rPr>
      <w:rFonts w:ascii="仿宋_GB2312" w:eastAsia="仿宋_GB2312"/>
      <w:sz w:val="30"/>
      <w:szCs w:val="30"/>
    </w:rPr>
  </w:style>
  <w:style w:type="paragraph" w:styleId="1457" w:customStyle="1">
    <w:name w:val="正文首行缩进11"/>
    <w:basedOn w:val="1176"/>
    <w:next w:val="1180"/>
    <w:uiPriority w:val="0"/>
    <w:qFormat/>
    <w:pPr>
      <w:ind w:firstLine="420"/>
    </w:pPr>
    <w:rPr>
      <w:rFonts w:ascii="仿宋_GB2312" w:eastAsia="仿宋_GB2312"/>
      <w:sz w:val="30"/>
      <w:szCs w:val="30"/>
    </w:rPr>
  </w:style>
  <w:style w:type="paragraph" w:styleId="1458" w:customStyle="1">
    <w:name w:val="正文文本12"/>
    <w:basedOn w:val="1175"/>
    <w:next w:val="1169"/>
    <w:uiPriority w:val="0"/>
    <w:qFormat/>
    <w:pPr>
      <w:spacing w:after="120"/>
    </w:pPr>
  </w:style>
  <w:style w:type="paragraph" w:styleId="1459" w:customStyle="1">
    <w:name w:val="无间隔1"/>
    <w:uiPriority w:val="0"/>
    <w:qFormat/>
    <w:rPr>
      <w:rFonts w:hint="default" w:ascii="Calibri" w:hAnsi="Calibri" w:eastAsia="宋体" w:cs="Times New Roman"/>
      <w:sz w:val="22"/>
      <w:lang w:val="en-US" w:eastAsia="zh-CN" w:bidi="ar-SA"/>
    </w:rPr>
  </w:style>
  <w:style w:type="numbering" w:styleId="14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Company>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闫星星</cp:lastModifiedBy>
  <cp:revision>15</cp:revision>
  <dcterms:created xsi:type="dcterms:W3CDTF">2022-05-23T03:29:00Z</dcterms:created>
  <dcterms:modified xsi:type="dcterms:W3CDTF">2026-09-22T02:24:59Z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eyJoZGlkIjoiZDdkYjEyZDkzNWNmN2QwZGU4YWU1NjZlYzZjYzNmNzMiLCJ1c2VySWQiOiI0MDI0OTQyNzcifQ==</vt:lpwstr>
  </property>
  <property fmtid="{D5CDD505-2E9C-101B-9397-08002B2CF9AE}" pid="3" name="KSOProductBuildVer">
    <vt:lpwstr>2052-12.1.0.28505</vt:lpwstr>
  </property>
  <property fmtid="{D5CDD505-2E9C-101B-9397-08002B2CF9AE}" pid="4" name="ICV">
    <vt:lpwstr>3DE1672F12674EE484BAAB5B156A0B74_12</vt:lpwstr>
  </property>
</Properties>
</file>