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ind w:firstLine="420"/>
        <w:jc w:val="center"/>
        <w:rPr>
          <w:rFonts w:ascii="仿宋" w:hAnsi="仿宋" w:eastAsia="仿宋"/>
          <w:b/>
          <w:color w:val="auto"/>
          <w:spacing w:val="76"/>
          <w:sz w:val="36"/>
          <w:szCs w:val="36"/>
          <w:highlight w:val="none"/>
        </w:rPr>
      </w:pPr>
      <w:r>
        <w:rPr>
          <w:rFonts w:hint="eastAsia" w:ascii="仿宋" w:hAnsi="仿宋" w:eastAsia="仿宋"/>
          <w:b/>
          <w:color w:val="auto"/>
          <w:spacing w:val="76"/>
          <w:sz w:val="36"/>
          <w:szCs w:val="36"/>
          <w:highlight w:val="none"/>
        </w:rPr>
        <w:t xml:space="preserve"> </w:t>
      </w:r>
      <w:r/>
    </w:p>
    <w:p>
      <w:pPr>
        <w:pStyle w:val="863"/>
        <w:jc w:val="left"/>
        <w:rPr>
          <w:rFonts w:hint="eastAsia" w:ascii="宋体" w:hAnsi="宋体" w:eastAsia="宋体" w:cs="宋体"/>
          <w:b/>
          <w:color w:val="auto"/>
          <w:spacing w:val="76"/>
          <w:sz w:val="36"/>
          <w:szCs w:val="36"/>
          <w:highlight w:val="none"/>
        </w:rPr>
      </w:pPr>
      <w:r>
        <w:rPr>
          <w:rFonts w:hint="eastAsia" w:ascii="宋体" w:hAnsi="宋体" w:eastAsia="宋体" w:cs="宋体"/>
          <w:b/>
          <w:color w:val="auto"/>
          <w:spacing w:val="76"/>
          <w:sz w:val="36"/>
          <w:szCs w:val="36"/>
          <w:highlight w:val="none"/>
        </w:rPr>
      </w:r>
      <w:r/>
    </w:p>
    <w:p>
      <w:pPr>
        <w:pStyle w:val="893"/>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9"/>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3"/>
        <w:jc w:val="center"/>
        <w:rPr>
          <w:rFonts w:hint="eastAsia" w:ascii="宋体" w:hAnsi="宋体" w:eastAsia="宋体" w:cs="宋体"/>
          <w:b/>
          <w:color w:val="auto"/>
          <w:spacing w:val="76"/>
          <w:sz w:val="44"/>
          <w:szCs w:val="44"/>
          <w:highlight w:val="none"/>
        </w:rPr>
      </w:pPr>
      <w:r>
        <w:rPr>
          <w:rFonts w:hint="eastAsia" w:ascii="宋体" w:hAnsi="宋体" w:eastAsia="宋体" w:cs="宋体"/>
          <w:b/>
          <w:color w:val="auto"/>
          <w:spacing w:val="76"/>
          <w:sz w:val="44"/>
          <w:szCs w:val="44"/>
          <w:highlight w:val="none"/>
        </w:rPr>
      </w:r>
      <w:r/>
    </w:p>
    <w:p>
      <w:pPr>
        <w:pStyle w:val="1057"/>
        <w:rPr>
          <w:rFonts w:hint="eastAsia"/>
          <w:color w:val="auto"/>
          <w:highlight w:val="none"/>
        </w:rPr>
      </w:pPr>
      <w:r>
        <w:rPr>
          <w:rFonts w:hint="eastAsia"/>
          <w:color w:val="auto"/>
          <w:highlight w:val="none"/>
        </w:rPr>
      </w:r>
      <w:r/>
    </w:p>
    <w:p>
      <w:pPr>
        <w:pStyle w:val="863"/>
        <w:jc w:val="center"/>
        <w:rPr>
          <w:rFonts w:hint="eastAsia" w:ascii="宋体" w:hAnsi="宋体" w:eastAsia="宋体" w:cs="宋体"/>
          <w:b/>
          <w:color w:val="auto"/>
          <w:spacing w:val="76"/>
          <w:sz w:val="44"/>
          <w:szCs w:val="44"/>
          <w:highlight w:val="none"/>
        </w:rPr>
      </w:pPr>
      <w:r>
        <w:rPr>
          <w:rFonts w:hint="eastAsia" w:ascii="宋体" w:hAnsi="宋体" w:eastAsia="宋体" w:cs="宋体"/>
          <w:b/>
          <w:color w:val="auto"/>
          <w:spacing w:val="76"/>
          <w:sz w:val="44"/>
          <w:szCs w:val="44"/>
          <w:highlight w:val="none"/>
        </w:rPr>
      </w:r>
      <w:r/>
    </w:p>
    <w:p>
      <w:pPr>
        <w:ind w:firstLine="0"/>
        <w:jc w:val="center"/>
        <w:rPr>
          <w:rFonts w:ascii="宋体" w:hAnsi="宋体" w:eastAsia="宋体"/>
          <w:b/>
          <w:color w:val="auto"/>
          <w:spacing w:val="76"/>
          <w:sz w:val="96"/>
          <w:szCs w:val="96"/>
          <w:highlight w:val="none"/>
        </w:rPr>
      </w:pPr>
      <w:r>
        <w:rPr>
          <w:rFonts w:hint="eastAsia" w:ascii="宋体" w:hAnsi="宋体" w:eastAsia="宋体"/>
          <w:b/>
          <w:color w:val="auto"/>
          <w:spacing w:val="76"/>
          <w:sz w:val="96"/>
          <w:szCs w:val="96"/>
          <w:highlight w:val="none"/>
        </w:rPr>
        <w:t xml:space="preserve">竞争性谈判</w:t>
      </w:r>
      <w:r>
        <w:rPr>
          <w:rFonts w:ascii="宋体" w:hAnsi="宋体" w:eastAsia="宋体"/>
          <w:b/>
          <w:color w:val="auto"/>
          <w:spacing w:val="76"/>
          <w:sz w:val="96"/>
          <w:szCs w:val="96"/>
          <w:highlight w:val="none"/>
        </w:rPr>
        <w:t xml:space="preserve">文件</w:t>
      </w:r>
      <w:r/>
    </w:p>
    <w:p>
      <w:pPr>
        <w:pStyle w:val="863"/>
        <w:jc w:val="center"/>
        <w:rPr>
          <w:rFonts w:hint="eastAsia" w:ascii="宋体" w:hAnsi="宋体" w:eastAsia="宋体" w:cs="宋体"/>
          <w:b/>
          <w:color w:val="auto"/>
          <w:spacing w:val="76"/>
          <w:sz w:val="44"/>
          <w:szCs w:val="44"/>
          <w:highlight w:val="none"/>
        </w:rPr>
      </w:pPr>
      <w:r>
        <w:rPr>
          <w:rFonts w:hint="eastAsia" w:ascii="宋体" w:hAnsi="宋体" w:eastAsia="宋体" w:cs="宋体"/>
          <w:b/>
          <w:color w:val="auto"/>
          <w:spacing w:val="76"/>
          <w:sz w:val="44"/>
          <w:szCs w:val="44"/>
          <w:highlight w:val="none"/>
        </w:rPr>
      </w:r>
      <w:r/>
    </w:p>
    <w:p>
      <w:pPr>
        <w:pStyle w:val="863"/>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0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3"/>
        <w:rPr>
          <w:rFonts w:hint="eastAsia"/>
          <w:color w:val="auto"/>
          <w:highlight w:val="none"/>
        </w:rPr>
      </w:pPr>
      <w:r>
        <w:rPr>
          <w:rFonts w:hint="eastAsia"/>
          <w:color w:val="auto"/>
          <w:highlight w:val="none"/>
        </w:rPr>
      </w:r>
      <w:r/>
    </w:p>
    <w:p>
      <w:pPr>
        <w:pStyle w:val="863"/>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3"/>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280"/>
        <w:keepLines w:val="0"/>
        <w:keepNext w:val="0"/>
        <w:pageBreakBefore w:val="0"/>
        <w:spacing w:line="240" w:lineRule="auto"/>
        <w:rPr>
          <w:rFonts w:hint="eastAsia" w:ascii="宋体" w:hAnsi="宋体" w:eastAsia="宋体" w:cs="宋体"/>
          <w:color w:val="auto"/>
          <w:sz w:val="32"/>
          <w:highlight w:val="yellow"/>
          <w:lang w:eastAsia="zh-CN"/>
        </w:rPr>
        <w:outlineLvl w:val="9"/>
      </w:pPr>
      <w:r>
        <w:rPr>
          <w:rFonts w:hint="eastAsia" w:ascii="宋体" w:hAnsi="宋体" w:eastAsia="宋体" w:cs="宋体"/>
          <w:color w:val="auto"/>
          <w:sz w:val="32"/>
          <w:highlight w:val="none"/>
        </w:rPr>
        <w:t xml:space="preserve">项目编号：</w:t>
      </w:r>
      <w:r>
        <w:rPr>
          <w:rFonts w:hint="eastAsia" w:ascii="宋体" w:hAnsi="宋体" w:cs="宋体"/>
          <w:color w:val="auto"/>
          <w:sz w:val="30"/>
          <w:szCs w:val="30"/>
          <w:highlight w:val="none"/>
          <w:lang w:eastAsia="zh-CN"/>
        </w:rPr>
        <w:t xml:space="preserve">JSZC-320322-JDXZ-T2026-0006</w:t>
      </w:r>
      <w:r/>
    </w:p>
    <w:p>
      <w:pPr>
        <w:keepLines w:val="0"/>
        <w:keepNext w:val="0"/>
        <w:pageBreakBefore w:val="0"/>
        <w:spacing w:line="24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2877" w:hanging="1600"/>
        <w:keepLines w:val="0"/>
        <w:keepNext w:val="0"/>
        <w:pageBreakBefore w:val="0"/>
        <w:spacing w:line="240" w:lineRule="auto"/>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项目名称：</w:t>
      </w:r>
      <w:r>
        <w:rPr>
          <w:rFonts w:hint="eastAsia" w:ascii="宋体" w:hAnsi="宋体" w:cs="宋体"/>
          <w:color w:val="auto"/>
          <w:sz w:val="32"/>
          <w:highlight w:val="none"/>
          <w:lang w:eastAsia="zh-CN"/>
        </w:rPr>
        <w:t xml:space="preserve">沛县2026年中央农业防灾减灾和水利救灾资金（防灾减灾第六批）和省级农业生产应急救灾资金</w:t>
      </w:r>
      <w:r/>
    </w:p>
    <w:p>
      <w:pPr>
        <w:ind w:left="2873"/>
        <w:keepLines w:val="0"/>
        <w:keepNext w:val="0"/>
        <w:pageBreakBefore w:val="0"/>
        <w:spacing w:line="24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1280"/>
        <w:keepLines w:val="0"/>
        <w:keepNext w:val="0"/>
        <w:pageBreakBefore w:val="0"/>
        <w:spacing w:line="240" w:lineRule="auto"/>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采 购 人：</w:t>
      </w:r>
      <w:r>
        <w:rPr>
          <w:rFonts w:hint="eastAsia" w:ascii="宋体" w:hAnsi="宋体" w:cs="宋体"/>
          <w:color w:val="auto"/>
          <w:sz w:val="32"/>
          <w:highlight w:val="none"/>
          <w:lang w:eastAsia="zh-CN"/>
        </w:rPr>
        <w:t xml:space="preserve">沛县农业农村局 </w:t>
      </w:r>
      <w:r/>
    </w:p>
    <w:p>
      <w:pPr>
        <w:pStyle w:val="89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00"/>
        <w:jc w:val="center"/>
        <w:rPr>
          <w:rFonts w:hint="eastAsia" w:ascii="宋体" w:hAnsi="宋体" w:eastAsia="宋体"/>
          <w:color w:val="auto"/>
          <w:sz w:val="30"/>
          <w:szCs w:val="30"/>
          <w:highlight w:val="none"/>
          <w:lang w:eastAsia="zh-CN"/>
        </w:rPr>
      </w:pPr>
      <w:r>
        <w:rPr>
          <w:rFonts w:ascii="宋体" w:hAnsi="宋体" w:eastAsia="宋体"/>
          <w:color w:val="auto"/>
          <w:sz w:val="30"/>
          <w:szCs w:val="30"/>
          <w:highlight w:val="none"/>
        </w:rPr>
        <w:t xml:space="preserve">采购代理机构：</w:t>
      </w:r>
      <w:r>
        <w:rPr>
          <w:rFonts w:hint="eastAsia" w:ascii="宋体" w:hAnsi="宋体"/>
          <w:color w:val="auto"/>
          <w:sz w:val="30"/>
          <w:szCs w:val="30"/>
          <w:highlight w:val="none"/>
          <w:lang w:eastAsia="zh-CN"/>
        </w:rPr>
        <w:t xml:space="preserve">新沂市嘉德技术咨询有限公司</w:t>
      </w:r>
      <w:r/>
    </w:p>
    <w:p>
      <w:pPr>
        <w:ind w:firstLine="600"/>
        <w:jc w:val="center"/>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二〇二</w:t>
      </w:r>
      <w:r>
        <w:rPr>
          <w:rFonts w:hint="eastAsia" w:ascii="宋体" w:hAnsi="宋体"/>
          <w:color w:val="auto"/>
          <w:sz w:val="30"/>
          <w:szCs w:val="30"/>
          <w:highlight w:val="none"/>
          <w:lang w:val="en-US" w:eastAsia="zh-CN"/>
        </w:rPr>
        <w:t xml:space="preserve">六</w:t>
      </w:r>
      <w:r>
        <w:rPr>
          <w:rFonts w:ascii="宋体" w:hAnsi="宋体" w:eastAsia="宋体"/>
          <w:color w:val="auto"/>
          <w:sz w:val="30"/>
          <w:szCs w:val="30"/>
          <w:highlight w:val="none"/>
        </w:rPr>
        <w:t xml:space="preserve">年</w:t>
      </w:r>
      <w:r>
        <w:rPr>
          <w:rFonts w:hint="eastAsia" w:ascii="宋体" w:hAnsi="宋体"/>
          <w:color w:val="auto"/>
          <w:sz w:val="30"/>
          <w:szCs w:val="30"/>
          <w:highlight w:val="none"/>
          <w:lang w:val="en-US" w:eastAsia="zh-CN"/>
        </w:rPr>
        <w:t xml:space="preserve">九</w:t>
      </w:r>
      <w:r>
        <w:rPr>
          <w:rFonts w:ascii="宋体" w:hAnsi="宋体" w:eastAsia="宋体"/>
          <w:color w:val="auto"/>
          <w:sz w:val="30"/>
          <w:szCs w:val="30"/>
          <w:highlight w:val="none"/>
        </w:rPr>
        <w:t xml:space="preserve">月</w:t>
      </w:r>
      <w:r/>
    </w:p>
    <w:p>
      <w:pPr>
        <w:pStyle w:val="105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3"/>
        <w:jc w:val="center"/>
        <w:rPr>
          <w:rFonts w:ascii="仿宋" w:hAnsi="仿宋" w:eastAsia="仿宋"/>
          <w:b/>
          <w:color w:val="auto"/>
          <w:sz w:val="24"/>
          <w:highlight w:val="none"/>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仿宋" w:hAnsi="仿宋" w:eastAsia="仿宋"/>
          <w:b/>
          <w:color w:val="auto"/>
          <w:sz w:val="24"/>
          <w:highlight w:val="none"/>
        </w:rPr>
      </w:r>
      <w:r/>
    </w:p>
    <w:p>
      <w:pPr>
        <w:pStyle w:val="860"/>
        <w:jc w:val="center"/>
        <w:keepLines w:val="0"/>
        <w:keepNext w:val="0"/>
        <w:pageBreakBefore w:val="0"/>
        <w:spacing w:line="360" w:lineRule="auto"/>
        <w:widowControl w:val="off"/>
        <w:rPr>
          <w:rFonts w:hint="eastAsia" w:ascii="宋体" w:hAnsi="宋体" w:eastAsia="宋体" w:cs="宋体"/>
          <w:b/>
          <w:color w:val="auto"/>
          <w:sz w:val="32"/>
          <w:szCs w:val="18"/>
          <w:highlight w:val="none"/>
        </w:rPr>
      </w:pPr>
      <w:r>
        <w:rPr>
          <w:rFonts w:hint="eastAsia" w:ascii="宋体" w:hAnsi="宋体" w:eastAsia="宋体" w:cs="宋体"/>
          <w:b/>
          <w:color w:val="auto"/>
          <w:sz w:val="32"/>
          <w:szCs w:val="18"/>
          <w:highlight w:val="none"/>
        </w:rPr>
        <w:t xml:space="preserve">谈判文件</w:t>
      </w:r>
      <w:r/>
    </w:p>
    <w:p>
      <w:pPr>
        <w:pStyle w:val="860"/>
        <w:jc w:val="center"/>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项目编号：</w:t>
      </w:r>
      <w:r>
        <w:rPr>
          <w:rFonts w:hint="eastAsia" w:hAnsi="宋体" w:cs="宋体"/>
          <w:color w:val="auto"/>
          <w:sz w:val="24"/>
          <w:szCs w:val="24"/>
          <w:highlight w:val="none"/>
          <w:lang w:eastAsia="zh-CN"/>
        </w:rPr>
        <w:t xml:space="preserve">JSZC-320322-JDXZ-T2026-0006</w:t>
      </w:r>
      <w:r/>
    </w:p>
    <w:p>
      <w:pPr>
        <w:pStyle w:val="860"/>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（供应商）：</w:t>
      </w:r>
      <w:r/>
    </w:p>
    <w:p>
      <w:pPr>
        <w:pStyle w:val="860"/>
        <w:ind w:firstLine="49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新沂市嘉德技术咨询有限公司</w:t>
      </w:r>
      <w:r>
        <w:rPr>
          <w:rFonts w:hint="eastAsia" w:ascii="宋体" w:hAnsi="宋体" w:eastAsia="宋体" w:cs="宋体"/>
          <w:color w:val="auto"/>
          <w:sz w:val="24"/>
          <w:szCs w:val="24"/>
          <w:highlight w:val="none"/>
        </w:rPr>
        <w:t xml:space="preserve">对</w:t>
      </w:r>
      <w:r>
        <w:rPr>
          <w:rFonts w:hint="eastAsia" w:hAnsi="宋体" w:cs="宋体"/>
          <w:color w:val="auto"/>
          <w:sz w:val="24"/>
          <w:szCs w:val="24"/>
          <w:highlight w:val="none"/>
          <w:lang w:eastAsia="zh-CN"/>
        </w:rPr>
        <w:t xml:space="preserve">沛县2026年中央农业防灾减灾和水利救灾资金（防灾减灾第六批）和省级农业生产应急救灾资金</w:t>
      </w:r>
      <w:r>
        <w:rPr>
          <w:rFonts w:hint="eastAsia" w:ascii="宋体" w:hAnsi="宋体" w:eastAsia="宋体" w:cs="宋体"/>
          <w:color w:val="auto"/>
          <w:sz w:val="24"/>
          <w:szCs w:val="24"/>
          <w:highlight w:val="none"/>
        </w:rPr>
        <w:t xml:space="preserve">采取竞争性谈判</w:t>
      </w:r>
      <w:r>
        <w:rPr>
          <w:rFonts w:hint="eastAsia"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，竞争性谈判文件（以下简称《谈判文件》）内容如下：</w:t>
      </w:r>
      <w:r/>
    </w:p>
    <w:p>
      <w:pPr>
        <w:pStyle w:val="860"/>
        <w:ind w:firstLine="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0"/>
        <w:ind w:left="497"/>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第一章 项目说明</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一、采购人：</w:t>
      </w:r>
      <w:r>
        <w:rPr>
          <w:rFonts w:hint="eastAsia" w:hAnsi="宋体" w:cs="宋体"/>
          <w:color w:val="auto"/>
          <w:sz w:val="24"/>
          <w:szCs w:val="24"/>
          <w:highlight w:val="none"/>
          <w:lang w:eastAsia="zh-CN"/>
        </w:rPr>
        <w:t xml:space="preserve">沛县农业农村局</w:t>
      </w:r>
      <w:r/>
    </w:p>
    <w:p>
      <w:pPr>
        <w:pStyle w:val="860"/>
        <w:ind w:left="497"/>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hAnsi="宋体" w:cs="宋体"/>
          <w:color w:val="auto"/>
          <w:sz w:val="24"/>
          <w:szCs w:val="24"/>
          <w:highlight w:val="none"/>
          <w:lang w:eastAsia="zh-CN"/>
        </w:rPr>
        <w:t xml:space="preserve">沛县2026年中央农业防灾减灾和水利救灾资金（防灾减灾第六批）和省级农业生产应急救灾资金</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三、项目编号：</w:t>
      </w:r>
      <w:r>
        <w:rPr>
          <w:rFonts w:hint="eastAsia" w:hAnsi="宋体" w:cs="宋体"/>
          <w:color w:val="auto"/>
          <w:sz w:val="24"/>
          <w:szCs w:val="24"/>
          <w:highlight w:val="none"/>
          <w:lang w:eastAsia="zh-CN"/>
        </w:rPr>
        <w:t xml:space="preserve">JSZC-320322-JDXZ-T2026-0006</w:t>
      </w:r>
      <w:r/>
    </w:p>
    <w:p>
      <w:pPr>
        <w:pStyle w:val="860"/>
        <w:ind w:firstLine="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四、采购邀请：通过发布公告的方式邀请符合相应资格条件的供应商参与竞争性谈判采购活动。</w:t>
      </w:r>
      <w:r/>
    </w:p>
    <w:p>
      <w:pPr>
        <w:pStyle w:val="860"/>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五、采购方式：竞争性谈判采购方式</w:t>
      </w:r>
      <w:r/>
    </w:p>
    <w:p>
      <w:pPr>
        <w:pStyle w:val="860"/>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六、供应商资格条件：见竞争性谈判公告（项目编号：</w:t>
      </w:r>
      <w:r>
        <w:rPr>
          <w:rFonts w:hint="eastAsia" w:hAnsi="宋体" w:cs="宋体"/>
          <w:color w:val="auto"/>
          <w:sz w:val="24"/>
          <w:szCs w:val="24"/>
          <w:highlight w:val="none"/>
          <w:lang w:eastAsia="zh-CN"/>
        </w:rPr>
        <w:t xml:space="preserve">JSZC-320322-JDXZ-T2026-0006</w:t>
      </w:r>
      <w:r>
        <w:rPr>
          <w:rFonts w:hint="eastAsia" w:ascii="宋体" w:hAnsi="宋体" w:eastAsia="宋体" w:cs="宋体"/>
          <w:color w:val="auto"/>
          <w:sz w:val="24"/>
          <w:szCs w:val="24"/>
          <w:highlight w:val="none"/>
        </w:rPr>
        <w:t xml:space="preserve">）</w:t>
      </w:r>
      <w:r/>
    </w:p>
    <w:p>
      <w:pPr>
        <w:pStyle w:val="860"/>
        <w:ind w:left="4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七、采购预算（采购项目预算金额）：见《谈判文件》附件《项目要求（采购需求）》。</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八、采购需求：见《谈判文件》附件《项目要求（采购需求）》。</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九、合同草案条款：见《谈判文件》附件《合同草案条款》。</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hAnsi="宋体" w:cs="宋体"/>
          <w:color w:val="auto"/>
          <w:sz w:val="24"/>
          <w:szCs w:val="24"/>
          <w:highlight w:val="none"/>
          <w:lang w:eastAsia="zh-CN"/>
        </w:rPr>
        <w:t xml:space="preserve">新沂市嘉德技术咨询有限公司</w:t>
      </w:r>
      <w:r>
        <w:rPr>
          <w:rFonts w:hint="eastAsia" w:ascii="宋体" w:hAnsi="宋体" w:eastAsia="宋体" w:cs="宋体"/>
          <w:color w:val="auto"/>
          <w:sz w:val="24"/>
          <w:szCs w:val="24"/>
          <w:highlight w:val="none"/>
        </w:rPr>
        <w:t xml:space="preserve">无承诺表示时视为未成交，</w:t>
      </w:r>
      <w:r>
        <w:rPr>
          <w:rFonts w:hint="eastAsia" w:hAnsi="宋体" w:cs="宋体"/>
          <w:color w:val="auto"/>
          <w:sz w:val="24"/>
          <w:szCs w:val="24"/>
          <w:highlight w:val="none"/>
          <w:lang w:eastAsia="zh-CN"/>
        </w:rPr>
        <w:t xml:space="preserve">新沂市嘉德技术咨询有限公司</w:t>
      </w:r>
      <w:r>
        <w:rPr>
          <w:rFonts w:hint="eastAsia" w:ascii="宋体" w:hAnsi="宋体" w:eastAsia="宋体" w:cs="宋体"/>
          <w:color w:val="auto"/>
          <w:sz w:val="24"/>
          <w:szCs w:val="24"/>
          <w:highlight w:val="none"/>
        </w:rPr>
        <w:t xml:space="preserve">认为必要时可重新进行竞争性谈判采购或采取其它方式采购。</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2.按照《谈判报价表》要求填写首次报价。</w:t>
      </w:r>
      <w:r/>
    </w:p>
    <w:p>
      <w:pPr>
        <w:pStyle w:val="860"/>
        <w:ind w:left="497"/>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60"/>
        <w:ind w:left="497"/>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谈判保证金</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十一、供应商提交谈判保证金</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1.谈判保证金交纳数额和形式：不需交纳。</w:t>
      </w:r>
      <w:r/>
    </w:p>
    <w:p>
      <w:pPr>
        <w:pStyle w:val="860"/>
        <w:ind w:left="497"/>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0"/>
        <w:ind w:left="497"/>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第三章 响应文件</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十二、提交响应文件要求</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“苏采云”系统的网址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"https://jszfcg.jsczt.cn/jszc/_blank"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；或进入徐州政府采购网（网址：https://czj.xz.gov.cn/zfcg/index.html）点击“苏采云”进入系统。</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招标代理机构（采购代理机构）将数据电文形式的招标文件加载至“苏采云”系统，供潜在供应商下载或者查阅。</w:t>
      </w:r>
      <w:r/>
    </w:p>
    <w:p>
      <w:pPr>
        <w:pStyle w:val="860"/>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苏采云系统使用谷歌浏览器参与不见面开标。</w:t>
      </w:r>
      <w:r/>
    </w:p>
    <w:p>
      <w:pPr>
        <w:pStyle w:val="860"/>
        <w:ind w:firstLine="482"/>
        <w:keepLines w:val="0"/>
        <w:keepNext w:val="0"/>
        <w:pageBreakBefore w:val="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（二）首次响应文件提交的截止时间：</w:t>
      </w:r>
      <w:r>
        <w:rPr>
          <w:rFonts w:hint="eastAsia" w:ascii="宋体" w:hAnsi="宋体" w:eastAsia="宋体" w:cs="宋体"/>
          <w:b/>
          <w:color w:val="auto"/>
          <w:szCs w:val="24"/>
          <w:highlight w:val="yellow"/>
        </w:rPr>
        <w:t xml:space="preserve">202</w:t>
      </w:r>
      <w:r>
        <w:rPr>
          <w:rFonts w:hint="eastAsia" w:hAnsi="宋体" w:cs="宋体"/>
          <w:b/>
          <w:color w:val="auto"/>
          <w:szCs w:val="24"/>
          <w:highlight w:val="yellow"/>
          <w:lang w:val="en-US" w:eastAsia="zh-CN"/>
        </w:rPr>
        <w:t xml:space="preserve">6</w:t>
      </w:r>
      <w:r>
        <w:rPr>
          <w:rFonts w:hint="eastAsia" w:ascii="宋体" w:hAnsi="宋体" w:eastAsia="宋体" w:cs="宋体"/>
          <w:b/>
          <w:color w:val="auto"/>
          <w:szCs w:val="24"/>
          <w:highlight w:val="yellow"/>
        </w:rPr>
        <w:t xml:space="preserve">年</w:t>
      </w:r>
      <w:r>
        <w:rPr>
          <w:rFonts w:hint="eastAsia" w:hAnsi="宋体" w:cs="宋体"/>
          <w:b/>
          <w:color w:val="auto"/>
          <w:szCs w:val="24"/>
          <w:highlight w:val="yellow"/>
          <w:u w:val="none"/>
          <w:lang w:val="en-US" w:eastAsia="zh-CN"/>
        </w:rPr>
        <w:t xml:space="preserve">9</w:t>
      </w:r>
      <w:r>
        <w:rPr>
          <w:rFonts w:hint="eastAsia" w:ascii="宋体" w:hAnsi="宋体" w:eastAsia="宋体" w:cs="宋体"/>
          <w:b/>
          <w:color w:val="auto"/>
          <w:szCs w:val="24"/>
          <w:highlight w:val="yellow"/>
        </w:rPr>
        <w:t xml:space="preserve">月</w:t>
      </w:r>
      <w:r>
        <w:rPr>
          <w:rFonts w:hint="eastAsia" w:hAnsi="宋体" w:cs="宋体"/>
          <w:b/>
          <w:color w:val="auto"/>
          <w:szCs w:val="24"/>
          <w:highlight w:val="yellow"/>
          <w:u w:val="none"/>
          <w:lang w:val="en-US" w:eastAsia="zh-CN"/>
        </w:rPr>
        <w:t xml:space="preserve">21</w:t>
      </w:r>
      <w:r>
        <w:rPr>
          <w:rFonts w:hint="eastAsia" w:ascii="宋体" w:hAnsi="宋体" w:eastAsia="宋体" w:cs="宋体"/>
          <w:b/>
          <w:color w:val="auto"/>
          <w:szCs w:val="24"/>
          <w:highlight w:val="yellow"/>
        </w:rPr>
        <w:t xml:space="preserve">日</w:t>
      </w:r>
      <w:r>
        <w:rPr>
          <w:rFonts w:hint="eastAsia" w:hAnsi="宋体" w:cs="宋体"/>
          <w:b/>
          <w:color w:val="auto"/>
          <w:szCs w:val="24"/>
          <w:highlight w:val="yellow"/>
          <w:lang w:val="en-US" w:eastAsia="zh-CN"/>
        </w:rPr>
        <w:t xml:space="preserve">09</w:t>
      </w:r>
      <w:r>
        <w:rPr>
          <w:rFonts w:hint="eastAsia" w:ascii="宋体" w:hAnsi="宋体" w:eastAsia="宋体" w:cs="宋体"/>
          <w:b/>
          <w:color w:val="auto"/>
          <w:szCs w:val="24"/>
          <w:highlight w:val="yellow"/>
        </w:rPr>
        <w:t xml:space="preserve">:</w:t>
      </w:r>
      <w:r>
        <w:rPr>
          <w:rFonts w:hint="eastAsia" w:hAnsi="宋体" w:cs="宋体"/>
          <w:b/>
          <w:color w:val="auto"/>
          <w:szCs w:val="24"/>
          <w:highlight w:val="yellow"/>
          <w:lang w:val="en-US" w:eastAsia="zh-CN"/>
        </w:rPr>
        <w:t xml:space="preserve">3</w:t>
      </w:r>
      <w:r>
        <w:rPr>
          <w:rFonts w:hint="eastAsia" w:ascii="宋体" w:hAnsi="宋体" w:eastAsia="宋体" w:cs="宋体"/>
          <w:b/>
          <w:color w:val="auto"/>
          <w:szCs w:val="24"/>
          <w:highlight w:val="yellow"/>
        </w:rPr>
        <w:t xml:space="preserve">0，</w:t>
      </w:r>
      <w:r>
        <w:rPr>
          <w:rFonts w:hint="eastAsia" w:ascii="宋体" w:hAnsi="宋体" w:eastAsia="宋体" w:cs="宋体"/>
          <w:b/>
          <w:color w:val="auto"/>
          <w:szCs w:val="24"/>
          <w:highlight w:val="none"/>
        </w:rPr>
        <w:t xml:space="preserve">在截止时间后提交的首次响应文件为无效文件，将被拒收。</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（三）首次响应文件提交时间、地点：</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1.提交时间</w:t>
      </w:r>
      <w:r/>
    </w:p>
    <w:p>
      <w:pPr>
        <w:pStyle w:val="860"/>
        <w:ind w:firstLine="482"/>
        <w:keepLines w:val="0"/>
        <w:keepNext w:val="0"/>
        <w:pageBreakBefore w:val="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首次响应文件提交的截止时间（</w:t>
      </w:r>
      <w:r>
        <w:rPr>
          <w:rFonts w:hint="eastAsia" w:ascii="宋体" w:hAnsi="宋体" w:eastAsia="宋体" w:cs="宋体"/>
          <w:b/>
          <w:color w:val="auto"/>
          <w:szCs w:val="24"/>
          <w:highlight w:val="yellow"/>
        </w:rPr>
        <w:t xml:space="preserve">202</w:t>
      </w:r>
      <w:r>
        <w:rPr>
          <w:rFonts w:hint="eastAsia" w:hAnsi="宋体" w:cs="宋体"/>
          <w:b/>
          <w:color w:val="auto"/>
          <w:szCs w:val="24"/>
          <w:highlight w:val="yellow"/>
          <w:lang w:val="en-US" w:eastAsia="zh-CN"/>
        </w:rPr>
        <w:t xml:space="preserve">6</w:t>
      </w:r>
      <w:r>
        <w:rPr>
          <w:rFonts w:hint="eastAsia" w:ascii="宋体" w:hAnsi="宋体" w:eastAsia="宋体" w:cs="宋体"/>
          <w:b/>
          <w:color w:val="auto"/>
          <w:szCs w:val="24"/>
          <w:highlight w:val="yellow"/>
        </w:rPr>
        <w:t xml:space="preserve">年</w:t>
      </w:r>
      <w:r>
        <w:rPr>
          <w:rFonts w:hint="eastAsia" w:hAnsi="宋体" w:cs="宋体"/>
          <w:b/>
          <w:color w:val="auto"/>
          <w:szCs w:val="24"/>
          <w:highlight w:val="yellow"/>
          <w:lang w:val="en-US" w:eastAsia="zh-CN"/>
        </w:rPr>
        <w:t xml:space="preserve">9</w:t>
      </w:r>
      <w:r>
        <w:rPr>
          <w:rFonts w:hint="eastAsia" w:ascii="宋体" w:hAnsi="宋体" w:eastAsia="宋体" w:cs="宋体"/>
          <w:b/>
          <w:color w:val="auto"/>
          <w:szCs w:val="24"/>
          <w:highlight w:val="yellow"/>
          <w:u w:val="none"/>
        </w:rPr>
        <w:t xml:space="preserve">月</w:t>
      </w:r>
      <w:r>
        <w:rPr>
          <w:rFonts w:hint="eastAsia" w:hAnsi="宋体" w:cs="宋体"/>
          <w:b/>
          <w:color w:val="auto"/>
          <w:szCs w:val="24"/>
          <w:highlight w:val="yellow"/>
          <w:u w:val="none"/>
          <w:lang w:val="en-US" w:eastAsia="zh-CN"/>
        </w:rPr>
        <w:t xml:space="preserve">21</w:t>
      </w:r>
      <w:r>
        <w:rPr>
          <w:rFonts w:hint="eastAsia" w:ascii="宋体" w:hAnsi="宋体" w:eastAsia="宋体" w:cs="宋体"/>
          <w:b/>
          <w:color w:val="auto"/>
          <w:szCs w:val="24"/>
          <w:highlight w:val="yellow"/>
        </w:rPr>
        <w:t xml:space="preserve">日</w:t>
      </w:r>
      <w:r>
        <w:rPr>
          <w:rFonts w:hint="eastAsia" w:hAnsi="宋体" w:cs="宋体"/>
          <w:b/>
          <w:color w:val="auto"/>
          <w:szCs w:val="24"/>
          <w:highlight w:val="yellow"/>
          <w:lang w:val="en-US" w:eastAsia="zh-CN"/>
        </w:rPr>
        <w:t xml:space="preserve">09</w:t>
      </w:r>
      <w:r>
        <w:rPr>
          <w:rFonts w:hint="eastAsia" w:ascii="宋体" w:hAnsi="宋体" w:eastAsia="宋体" w:cs="宋体"/>
          <w:b/>
          <w:color w:val="auto"/>
          <w:szCs w:val="24"/>
          <w:highlight w:val="yellow"/>
        </w:rPr>
        <w:t xml:space="preserve">:</w:t>
      </w:r>
      <w:r>
        <w:rPr>
          <w:rFonts w:hint="eastAsia" w:hAnsi="宋体" w:cs="宋体"/>
          <w:b/>
          <w:color w:val="auto"/>
          <w:szCs w:val="24"/>
          <w:highlight w:val="yellow"/>
          <w:lang w:val="en-US" w:eastAsia="zh-CN"/>
        </w:rPr>
        <w:t xml:space="preserve">3</w:t>
      </w:r>
      <w:r>
        <w:rPr>
          <w:rFonts w:hint="eastAsia" w:ascii="宋体" w:hAnsi="宋体" w:eastAsia="宋体" w:cs="宋体"/>
          <w:b/>
          <w:color w:val="auto"/>
          <w:szCs w:val="24"/>
          <w:highlight w:val="yellow"/>
        </w:rPr>
        <w:t xml:space="preserve">0</w:t>
      </w:r>
      <w:r>
        <w:rPr>
          <w:rFonts w:hint="eastAsia" w:ascii="宋体" w:hAnsi="宋体" w:eastAsia="宋体" w:cs="宋体"/>
          <w:b/>
          <w:color w:val="auto"/>
          <w:szCs w:val="24"/>
          <w:highlight w:val="none"/>
        </w:rPr>
        <w:t xml:space="preserve">）前。</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2.提交地点：</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"https://jszfcg.jsczt.cn/jszc/_blank"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Cs w:val="24"/>
          <w:highlight w:val="none"/>
        </w:rPr>
        <w:t xml:space="preserve">）“开标大厅”或进入徐州政府采购网（网址：</w:t>
      </w:r>
      <w:r>
        <w:rPr>
          <w:rFonts w:hint="eastAsia" w:ascii="宋体" w:hAnsi="宋体" w:eastAsia="宋体" w:cs="宋体"/>
          <w:color w:val="auto"/>
          <w:sz w:val="24"/>
          <w:szCs w:val="24"/>
          <w:highlight w:val="none"/>
        </w:rPr>
        <w:t xml:space="preserve">https://czj.xz.gov.cn/zfcg/index.html</w:t>
      </w:r>
      <w:r>
        <w:rPr>
          <w:rFonts w:hint="eastAsia" w:ascii="宋体" w:hAnsi="宋体" w:eastAsia="宋体" w:cs="宋体"/>
          <w:color w:val="auto"/>
          <w:szCs w:val="24"/>
          <w:highlight w:val="none"/>
        </w:rPr>
        <w:t xml:space="preserve">），点击“苏采云”进入系统“开标大厅”。 </w:t>
      </w:r>
      <w:r/>
    </w:p>
    <w:p>
      <w:pPr>
        <w:pStyle w:val="860"/>
        <w:ind w:firstLine="482"/>
        <w:keepLines w:val="0"/>
        <w:keepNext w:val="0"/>
        <w:pageBreakBefore w:val="0"/>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（四）</w:t>
      </w:r>
      <w:r>
        <w:rPr>
          <w:rFonts w:hint="eastAsia" w:ascii="宋体" w:hAnsi="宋体" w:eastAsia="宋体" w:cs="宋体"/>
          <w:b/>
          <w:bCs/>
          <w:color w:val="auto"/>
          <w:szCs w:val="24"/>
          <w:highlight w:val="none"/>
        </w:rPr>
        <w:t xml:space="preserve">首次响应文件开启时间：</w:t>
      </w:r>
      <w:r>
        <w:rPr>
          <w:rFonts w:hint="eastAsia" w:ascii="宋体" w:hAnsi="宋体" w:eastAsia="宋体" w:cs="宋体"/>
          <w:b/>
          <w:bCs/>
          <w:color w:val="auto"/>
          <w:szCs w:val="24"/>
          <w:highlight w:val="yellow"/>
        </w:rPr>
        <w:t xml:space="preserve">202</w:t>
      </w:r>
      <w:r>
        <w:rPr>
          <w:rFonts w:hint="eastAsia" w:hAnsi="宋体" w:cs="宋体"/>
          <w:b/>
          <w:bCs/>
          <w:color w:val="auto"/>
          <w:szCs w:val="24"/>
          <w:highlight w:val="yellow"/>
          <w:lang w:val="en-US" w:eastAsia="zh-CN"/>
        </w:rPr>
        <w:t xml:space="preserve">6</w:t>
      </w:r>
      <w:r>
        <w:rPr>
          <w:rFonts w:hint="eastAsia" w:ascii="宋体" w:hAnsi="宋体" w:eastAsia="宋体" w:cs="宋体"/>
          <w:b/>
          <w:color w:val="auto"/>
          <w:szCs w:val="24"/>
          <w:highlight w:val="yellow"/>
        </w:rPr>
        <w:t xml:space="preserve">年</w:t>
      </w:r>
      <w:r>
        <w:rPr>
          <w:rFonts w:hint="eastAsia" w:hAnsi="宋体" w:cs="宋体"/>
          <w:b/>
          <w:color w:val="auto"/>
          <w:szCs w:val="24"/>
          <w:highlight w:val="yellow"/>
          <w:lang w:val="en-US" w:eastAsia="zh-CN"/>
        </w:rPr>
        <w:t xml:space="preserve">9</w:t>
      </w:r>
      <w:r>
        <w:rPr>
          <w:rFonts w:hint="eastAsia" w:ascii="宋体" w:hAnsi="宋体" w:eastAsia="宋体" w:cs="宋体"/>
          <w:b/>
          <w:color w:val="auto"/>
          <w:szCs w:val="24"/>
          <w:highlight w:val="yellow"/>
          <w:u w:val="none"/>
        </w:rPr>
        <w:t xml:space="preserve">月</w:t>
      </w:r>
      <w:r>
        <w:rPr>
          <w:rFonts w:hint="eastAsia" w:hAnsi="宋体" w:cs="宋体"/>
          <w:b/>
          <w:color w:val="auto"/>
          <w:szCs w:val="24"/>
          <w:highlight w:val="yellow"/>
          <w:u w:val="none"/>
          <w:lang w:val="en-US" w:eastAsia="zh-CN"/>
        </w:rPr>
        <w:t xml:space="preserve">21</w:t>
      </w:r>
      <w:r>
        <w:rPr>
          <w:rFonts w:hint="eastAsia" w:ascii="宋体" w:hAnsi="宋体" w:eastAsia="宋体" w:cs="宋体"/>
          <w:b/>
          <w:color w:val="auto"/>
          <w:szCs w:val="24"/>
          <w:highlight w:val="yellow"/>
          <w:u w:val="none"/>
        </w:rPr>
        <w:t xml:space="preserve">日</w:t>
      </w:r>
      <w:r>
        <w:rPr>
          <w:rFonts w:hint="eastAsia" w:hAnsi="宋体" w:cs="宋体"/>
          <w:b/>
          <w:color w:val="auto"/>
          <w:szCs w:val="24"/>
          <w:highlight w:val="yellow"/>
          <w:u w:val="none"/>
          <w:lang w:val="en-US" w:eastAsia="zh-CN"/>
        </w:rPr>
        <w:t xml:space="preserve">09</w:t>
      </w:r>
      <w:r>
        <w:rPr>
          <w:rFonts w:hint="eastAsia" w:ascii="宋体" w:hAnsi="宋体" w:eastAsia="宋体" w:cs="宋体"/>
          <w:b/>
          <w:color w:val="auto"/>
          <w:szCs w:val="24"/>
          <w:highlight w:val="yellow"/>
          <w:u w:val="none"/>
        </w:rPr>
        <w:t xml:space="preserve">:</w:t>
      </w:r>
      <w:r>
        <w:rPr>
          <w:rFonts w:hint="eastAsia" w:hAnsi="宋体" w:cs="宋体"/>
          <w:b/>
          <w:color w:val="auto"/>
          <w:szCs w:val="24"/>
          <w:highlight w:val="yellow"/>
          <w:u w:val="none"/>
          <w:lang w:val="en-US" w:eastAsia="zh-CN"/>
        </w:rPr>
        <w:t xml:space="preserve">30</w:t>
      </w:r>
      <w:r>
        <w:rPr>
          <w:rFonts w:hint="eastAsia" w:ascii="宋体" w:hAnsi="宋体" w:eastAsia="宋体" w:cs="宋体"/>
          <w:b/>
          <w:color w:val="auto"/>
          <w:szCs w:val="24"/>
          <w:highlight w:val="none"/>
        </w:rPr>
        <w:t xml:space="preserve">。</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（五）首次响应文件开启地点：</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"https://jszfcg.jsczt.cn/jszc/_blank"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Cs w:val="24"/>
          <w:highlight w:val="none"/>
        </w:rPr>
        <w:t xml:space="preserve">）“开标大厅”或进入徐州政府采购网（网址：</w:t>
      </w:r>
      <w:r>
        <w:rPr>
          <w:rFonts w:hint="eastAsia" w:ascii="宋体" w:hAnsi="宋体" w:eastAsia="宋体" w:cs="宋体"/>
          <w:color w:val="auto"/>
          <w:sz w:val="24"/>
          <w:szCs w:val="24"/>
          <w:highlight w:val="none"/>
        </w:rPr>
        <w:t xml:space="preserve">https://czj.xz.gov.cn/zfcg/index.html</w:t>
      </w:r>
      <w:r>
        <w:rPr>
          <w:rFonts w:hint="eastAsia" w:ascii="宋体" w:hAnsi="宋体" w:eastAsia="宋体" w:cs="宋体"/>
          <w:color w:val="auto"/>
          <w:szCs w:val="24"/>
          <w:highlight w:val="none"/>
        </w:rPr>
        <w:t xml:space="preserve">），点击“苏采云”进入系统“开标大厅”。</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（七）不接受不按要求加盖公章（电子签章）的首次响应文件。电子签章相关要求见“苏采云”系统。</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Cs w:val="24"/>
          <w:highlight w:val="none"/>
        </w:rPr>
        <w:t xml:space="preserve">开启时间后30分钟内</w:t>
      </w:r>
      <w:r>
        <w:rPr>
          <w:rFonts w:hint="eastAsia" w:ascii="宋体" w:hAnsi="宋体" w:eastAsia="宋体" w:cs="宋体"/>
          <w:color w:val="auto"/>
          <w:szCs w:val="24"/>
          <w:highlight w:val="none"/>
        </w:rPr>
        <w:t xml:space="preserve">，通过“苏采云”系统（使用“CA数字证书”）解密。</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（九）相关说明: 供应商在“苏采云”系统中提交首次响应文件的时间即为数据电文（响应文件，下同）的发送时间和接收时间。</w:t>
      </w:r>
      <w:r/>
    </w:p>
    <w:p>
      <w:pPr>
        <w:pStyle w:val="860"/>
        <w:ind w:firstLine="480"/>
        <w:keepLines w:val="0"/>
        <w:keepNext w:val="0"/>
        <w:pageBreakBefore w:val="0"/>
        <w:spacing w:line="360" w:lineRule="auto"/>
        <w:widowControl w:val="off"/>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十三、响应文件编制要求</w:t>
      </w:r>
      <w:r/>
    </w:p>
    <w:p>
      <w:pPr>
        <w:ind w:firstLine="482"/>
        <w:jc w:val="center"/>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第一部分 基本要求</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（一）提交的首次响应文件的密封、签署、盖章要求：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1、密封（加密）要求：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供应商应当按照《谈判文件》和“苏采云”系统的要求编制并加密响应文件。本项目供应商须通过“苏采云”系统提供的政府采购客户端工具（使用“CA数字证书”）对其数据电文形式的响应文件加密。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2、签署要求：</w:t>
      </w:r>
      <w:r>
        <w:rPr>
          <w:rFonts w:hint="eastAsia" w:ascii="宋体" w:hAnsi="宋体" w:eastAsia="宋体" w:cs="宋体"/>
          <w:b/>
          <w:color w:val="auto"/>
          <w:sz w:val="24"/>
          <w:highlight w:val="none"/>
        </w:rPr>
        <w:t xml:space="preserve">特别提醒：竞争性谈判文件中如需“被授权代表签字或盖章”，供应商可打印成文档，签字或盖章后再扫描上传，最后再电子签章。</w:t>
      </w:r>
      <w:r>
        <w:rPr>
          <w:rFonts w:hint="eastAsia" w:ascii="宋体" w:hAnsi="宋体" w:eastAsia="宋体" w:cs="宋体"/>
          <w:color w:val="auto"/>
          <w:sz w:val="24"/>
          <w:highlight w:val="none"/>
        </w:rPr>
        <w:t xml:space="preserve">见《谈判文件》第九章附件中相关格式要求。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3、盖章要求：见《谈判文件》第九章附件中相关格式要求。供应商须通过“苏采云”系统提供的政府采购客户端工具（使用“CA数字证书”）加盖电子签章。</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（二）通过“苏采云”系统提交政府采购客户端工具导出加密的响应文件（后缀名为zip）。响应文件不得超过</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50M！</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以系统为准</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1、供应商应当按照《谈判文件》的要求编制响应文件，并对其提交的响应文件的真实性、合法性承担法律责任。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2、采购人索取成交供应商的响应文件，须在双方签订政府采购合同后，由采购代理机构提供给采购人。</w:t>
      </w:r>
      <w:r/>
    </w:p>
    <w:p>
      <w:pPr>
        <w:ind w:firstLine="482"/>
        <w:jc w:val="center"/>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第二部分响应文件的组成</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（三）其他文件，包括：</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1、供应商的资格证明文件：（必须提供，加盖电子签章，否则投标将被拒绝）</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（1）具有独立承担民事责任的能力，提供合法有效的法人营业执照或事业法人证或其他组织应提供合法证明文件或自然人提供身份证件；</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（2）财务状况报告，至少提供：</w:t>
      </w:r>
      <w:r/>
    </w:p>
    <w:p>
      <w:pPr>
        <w:ind w:firstLine="482"/>
        <w:keepLines w:val="0"/>
        <w:keepNext w:val="0"/>
        <w:pageBreakBefore w:val="0"/>
        <w:spacing w:line="360" w:lineRule="auto"/>
        <w:widowControl w:val="off"/>
        <w:rPr>
          <w:rFonts w:hint="eastAsia" w:ascii="宋体" w:hAnsi="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即提供</w:t>
      </w:r>
      <w:r>
        <w:rPr>
          <w:rFonts w:hint="eastAsia" w:ascii="宋体" w:hAnsi="宋体" w:eastAsia="宋体" w:cs="宋体"/>
          <w:b/>
          <w:color w:val="auto"/>
          <w:sz w:val="24"/>
          <w:highlight w:val="none"/>
        </w:rPr>
        <w:t xml:space="preserve">供应商</w:t>
      </w:r>
      <w:r>
        <w:rPr>
          <w:rFonts w:hint="eastAsia" w:ascii="宋体" w:hAnsi="宋体" w:eastAsia="宋体" w:cs="宋体"/>
          <w:b/>
          <w:bCs w:val="0"/>
          <w:color w:val="auto"/>
          <w:sz w:val="24"/>
          <w:szCs w:val="24"/>
          <w:highlight w:val="none"/>
        </w:rPr>
        <w:t xml:space="preserve">的本项目</w:t>
      </w:r>
      <w:r>
        <w:rPr>
          <w:rFonts w:hint="eastAsia" w:ascii="宋体" w:hAnsi="宋体" w:eastAsia="宋体" w:cs="宋体"/>
          <w:b/>
          <w:color w:val="auto"/>
          <w:sz w:val="24"/>
          <w:highlight w:val="none"/>
        </w:rPr>
        <w:t xml:space="preserve">提交首次响应文件时间前6个月内的任何1月（不含“提交首次响应文件时间”当月）</w:t>
      </w:r>
      <w:r>
        <w:rPr>
          <w:rFonts w:hint="eastAsia" w:ascii="宋体" w:hAnsi="宋体" w:eastAsia="宋体" w:cs="宋体"/>
          <w:b/>
          <w:bCs w:val="0"/>
          <w:color w:val="auto"/>
          <w:sz w:val="24"/>
          <w:szCs w:val="24"/>
          <w:highlight w:val="none"/>
        </w:rPr>
        <w:t xml:space="preserve">的资产负债表和利润表月报表扫描件；或</w:t>
      </w:r>
      <w:r>
        <w:rPr>
          <w:rFonts w:hint="eastAsia" w:ascii="宋体" w:hAnsi="宋体" w:eastAsia="宋体" w:cs="宋体"/>
          <w:b/>
          <w:color w:val="auto"/>
          <w:sz w:val="24"/>
          <w:highlight w:val="none"/>
        </w:rPr>
        <w:t xml:space="preserve">供应商</w:t>
      </w:r>
      <w:r>
        <w:rPr>
          <w:rFonts w:hint="eastAsia" w:ascii="宋体" w:hAnsi="宋体" w:eastAsia="宋体" w:cs="宋体"/>
          <w:b/>
          <w:bCs w:val="0"/>
          <w:color w:val="auto"/>
          <w:sz w:val="24"/>
          <w:szCs w:val="24"/>
          <w:highlight w:val="none"/>
        </w:rPr>
        <w:t xml:space="preserve">基本开户银行出具的有效的资信证明扫描件；或财政部门认可的政府采购专业担保机构出具的有效的担保函扫描件；或合法有效的经第三方机构审计的</w:t>
      </w:r>
      <w:r>
        <w:rPr>
          <w:rFonts w:hint="eastAsia" w:ascii="宋体" w:hAnsi="宋体" w:cs="宋体"/>
          <w:b/>
          <w:bCs w:val="0"/>
          <w:color w:val="auto"/>
          <w:sz w:val="24"/>
          <w:szCs w:val="24"/>
          <w:highlight w:val="none"/>
          <w:lang w:val="en-US" w:eastAsia="zh-CN"/>
        </w:rPr>
        <w:t xml:space="preserve">2025</w:t>
      </w:r>
      <w:r>
        <w:rPr>
          <w:rFonts w:hint="eastAsia" w:ascii="宋体" w:hAnsi="宋体" w:eastAsia="宋体" w:cs="宋体"/>
          <w:b/>
          <w:bCs w:val="0"/>
          <w:color w:val="auto"/>
          <w:sz w:val="24"/>
          <w:szCs w:val="24"/>
          <w:highlight w:val="none"/>
        </w:rPr>
        <w:t xml:space="preserve">年度财务审计报告扫描件</w:t>
      </w:r>
      <w:r>
        <w:rPr>
          <w:rFonts w:hint="eastAsia" w:ascii="宋体" w:hAnsi="宋体" w:cs="宋体"/>
          <w:b/>
          <w:bCs w:val="0"/>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（3）</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的本项目提交首次响应文件时间前6个月内的任何1月（不含“提交首次响应文件时间”当月）的依法缴纳税收和社会保障资金的相关材料扫描件；依法免税或不需要缴纳社会保障资金的</w:t>
      </w:r>
      <w:r>
        <w:rPr>
          <w:rFonts w:hint="eastAsia" w:ascii="宋体" w:hAnsi="宋体" w:eastAsia="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rPr>
        <w:t xml:space="preserve">应提供相应其依法免税或不需要缴纳社会保障资金的证明文件扫描件；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（4）</w:t>
      </w:r>
      <w:r>
        <w:rPr>
          <w:rFonts w:hint="eastAsia" w:ascii="宋体" w:hAnsi="宋体" w:eastAsia="宋体" w:cs="宋体"/>
          <w:b/>
          <w:color w:val="auto"/>
          <w:sz w:val="24"/>
          <w:highlight w:val="none"/>
          <w:lang w:eastAsia="zh-CN"/>
        </w:rPr>
        <w:t xml:space="preserve">具备履行合同所必需的设备和专业技术能力的证明材料，即</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eastAsia="zh-CN"/>
        </w:rPr>
        <w:t xml:space="preserve">文件中提供《具备履行合同所必需的设备和专业技术能力的书面声明》（加盖电子签章，</w:t>
      </w:r>
      <w:r>
        <w:rPr>
          <w:rFonts w:hint="eastAsia" w:ascii="宋体" w:hAnsi="宋体" w:eastAsia="宋体" w:cs="宋体"/>
          <w:b/>
          <w:color w:val="auto"/>
          <w:sz w:val="24"/>
          <w:highlight w:val="none"/>
        </w:rPr>
        <w:t xml:space="preserve">格式见《谈判文件》附件</w:t>
      </w: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eastAsia="zh-CN"/>
        </w:rPr>
        <w:t xml:space="preserve">；</w:t>
      </w:r>
      <w:r/>
    </w:p>
    <w:p>
      <w:pPr>
        <w:numPr>
          <w:ilvl w:val="0"/>
          <w:numId w:val="1"/>
        </w:numPr>
        <w:ind w:firstLine="482"/>
        <w:keepLines w:val="0"/>
        <w:keepNext w:val="0"/>
        <w:pageBreakBefore w:val="0"/>
        <w:spacing w:line="360" w:lineRule="auto"/>
        <w:widowControl w:val="off"/>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供应商参加政府采购活动前3年内在经营活动中没有重大违法记录的书面声明(格式见《谈判文件》附件)；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6</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本项目特定资格要求（原件扫描件加盖电子签章，必须提供，否则投标无效）：</w:t>
      </w:r>
      <w:r/>
    </w:p>
    <w:p>
      <w:pPr>
        <w:ind w:firstLine="482"/>
        <w:keepLines w:val="0"/>
        <w:keepNext w:val="0"/>
        <w:pageBreakBefore w:val="0"/>
        <w:spacing w:line="360" w:lineRule="auto"/>
        <w:widowControl w:val="off"/>
        <w:rPr>
          <w:rFonts w:hint="eastAsia" w:ascii="宋体" w:hAnsi="宋体" w:eastAsia="宋体" w:cs="宋体"/>
          <w:b/>
          <w:color w:val="auto"/>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yellow"/>
          <w:lang w:val="en-US" w:eastAsia="zh-CN"/>
        </w:rPr>
        <w:t xml:space="preserve">供应商为生产厂家的，须提供所投产品</w:t>
      </w:r>
      <w:r>
        <w:rPr>
          <w:rFonts w:hint="eastAsia" w:ascii="宋体" w:hAnsi="宋体" w:cs="宋体"/>
          <w:b/>
          <w:color w:val="auto"/>
          <w:sz w:val="24"/>
          <w:highlight w:val="yellow"/>
          <w:lang w:val="en-US" w:eastAsia="zh-CN"/>
        </w:rPr>
        <w:t xml:space="preserve">合格有效</w:t>
      </w:r>
      <w:r>
        <w:rPr>
          <w:rFonts w:hint="eastAsia" w:ascii="宋体" w:hAnsi="宋体" w:eastAsia="宋体" w:cs="宋体"/>
          <w:b/>
          <w:color w:val="auto"/>
          <w:sz w:val="24"/>
          <w:highlight w:val="yellow"/>
          <w:lang w:val="en-US" w:eastAsia="zh-CN"/>
        </w:rPr>
        <w:t xml:space="preserve">的</w:t>
      </w:r>
      <w:r>
        <w:rPr>
          <w:rFonts w:hint="default" w:ascii="宋体" w:hAnsi="宋体" w:eastAsia="宋体" w:cs="宋体"/>
          <w:b/>
          <w:color w:val="auto"/>
          <w:sz w:val="24"/>
          <w:highlight w:val="yellow"/>
          <w:lang w:val="en-US" w:eastAsia="zh-CN"/>
        </w:rPr>
        <w:t xml:space="preserve">①</w:t>
      </w:r>
      <w:r>
        <w:rPr>
          <w:rFonts w:hint="eastAsia" w:ascii="宋体" w:hAnsi="宋体" w:eastAsia="宋体" w:cs="宋体"/>
          <w:b/>
          <w:color w:val="auto"/>
          <w:sz w:val="24"/>
          <w:highlight w:val="yellow"/>
          <w:lang w:val="en-US" w:eastAsia="zh-CN"/>
        </w:rPr>
        <w:t xml:space="preserve">农药生产许可证或生产批准证、②农药登记证、③产品标准证的原件扫描件</w:t>
      </w:r>
      <w:r>
        <w:rPr>
          <w:rFonts w:hint="eastAsia" w:ascii="宋体" w:hAnsi="宋体" w:cs="宋体"/>
          <w:b/>
          <w:color w:val="auto"/>
          <w:sz w:val="24"/>
          <w:highlight w:val="yellow"/>
          <w:lang w:val="en-US" w:eastAsia="zh-CN"/>
        </w:rPr>
        <w:t xml:space="preserve">；</w:t>
      </w:r>
      <w:r>
        <w:rPr>
          <w:rFonts w:hint="eastAsia" w:ascii="宋体" w:hAnsi="宋体" w:eastAsia="宋体" w:cs="宋体"/>
          <w:b/>
          <w:color w:val="auto"/>
          <w:sz w:val="24"/>
          <w:highlight w:val="yellow"/>
          <w:lang w:val="en-US" w:eastAsia="zh-CN"/>
        </w:rPr>
        <w:t xml:space="preserve">供应商为经销商的，须提供</w:t>
      </w:r>
      <w:r>
        <w:rPr>
          <w:rFonts w:hint="eastAsia" w:ascii="宋体" w:hAnsi="宋体" w:cs="宋体"/>
          <w:b/>
          <w:color w:val="auto"/>
          <w:sz w:val="24"/>
          <w:highlight w:val="yellow"/>
          <w:lang w:val="en-US" w:eastAsia="zh-CN"/>
        </w:rPr>
        <w:t xml:space="preserve">合格有效的</w:t>
      </w:r>
      <w:r>
        <w:rPr>
          <w:rFonts w:hint="default" w:ascii="宋体" w:hAnsi="宋体" w:eastAsia="宋体" w:cs="宋体"/>
          <w:b/>
          <w:color w:val="auto"/>
          <w:sz w:val="24"/>
          <w:highlight w:val="yellow"/>
          <w:lang w:val="en-US" w:eastAsia="zh-CN"/>
        </w:rPr>
        <w:t xml:space="preserve">①</w:t>
      </w:r>
      <w:r>
        <w:rPr>
          <w:rFonts w:hint="eastAsia" w:ascii="宋体" w:hAnsi="宋体" w:eastAsia="宋体" w:cs="宋体"/>
          <w:b/>
          <w:color w:val="auto"/>
          <w:sz w:val="24"/>
          <w:highlight w:val="yellow"/>
          <w:lang w:val="en-US" w:eastAsia="zh-CN"/>
        </w:rPr>
        <w:t xml:space="preserve">农药经营许可证</w:t>
      </w:r>
      <w:r>
        <w:rPr>
          <w:rFonts w:hint="eastAsia" w:ascii="宋体" w:hAnsi="宋体" w:cs="宋体"/>
          <w:b/>
          <w:color w:val="auto"/>
          <w:sz w:val="24"/>
          <w:highlight w:val="yellow"/>
          <w:lang w:val="en-US" w:eastAsia="zh-CN"/>
        </w:rPr>
        <w:t xml:space="preserve">、</w:t>
      </w:r>
      <w:r>
        <w:rPr>
          <w:rFonts w:hint="eastAsia" w:ascii="宋体" w:hAnsi="宋体" w:eastAsia="宋体" w:cs="宋体"/>
          <w:b/>
          <w:color w:val="auto"/>
          <w:sz w:val="24"/>
          <w:highlight w:val="yellow"/>
          <w:lang w:val="en-US" w:eastAsia="zh-CN"/>
        </w:rPr>
        <w:t xml:space="preserve">②所投产品的农药生产许可证、③农药登记证、④产品标准证的原件扫描件。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）此项目是属于专门面向中小微企业采购的项目，供应商提供的货物全部由符合政策要求的中小企业制造，须提供《中小企业声明函》</w:t>
      </w:r>
      <w:r>
        <w:rPr>
          <w:rFonts w:hint="eastAsia" w:ascii="宋体" w:hAnsi="宋体" w:cs="宋体"/>
          <w:b/>
          <w:bCs w:val="0"/>
          <w:color w:val="auto"/>
          <w:sz w:val="24"/>
          <w:highlight w:val="none"/>
        </w:rPr>
        <w:t xml:space="preserve">（必须提供，请填写完整</w:t>
      </w:r>
      <w:r>
        <w:rPr>
          <w:rFonts w:hint="eastAsia" w:ascii="宋体" w:hAnsi="宋体" w:cs="宋体"/>
          <w:b/>
          <w:bCs w:val="0"/>
          <w:color w:val="auto"/>
          <w:sz w:val="24"/>
          <w:highlight w:val="none"/>
          <w:lang w:eastAsia="zh-CN"/>
        </w:rPr>
        <w:t xml:space="preserve">。如不填写完整或未按要求填写的，视为无效</w:t>
      </w:r>
      <w:r>
        <w:rPr>
          <w:rFonts w:hint="eastAsia" w:ascii="宋体" w:hAnsi="宋体" w:cs="宋体"/>
          <w:b/>
          <w:bCs w:val="0"/>
          <w:color w:val="auto"/>
          <w:sz w:val="24"/>
          <w:highlight w:val="none"/>
        </w:rPr>
        <w:t xml:space="preserve">）。</w:t>
      </w:r>
      <w:r>
        <w:rPr>
          <w:rFonts w:hint="eastAsia" w:ascii="宋体" w:hAnsi="宋体" w:cs="宋体"/>
          <w:bCs/>
          <w:color w:val="auto"/>
          <w:sz w:val="24"/>
          <w:highlight w:val="none"/>
        </w:rPr>
        <w:t xml:space="preserve">《中小企业声明函》查询渠道参考工业和信息化部发布的中小企业规模自测小程序。</w:t>
      </w:r>
      <w:r>
        <w:rPr>
          <w:rFonts w:hint="eastAsia" w:ascii="宋体" w:hAnsi="宋体" w:cs="宋体"/>
          <w:color w:val="auto"/>
          <w:sz w:val="24"/>
          <w:highlight w:val="none"/>
        </w:rPr>
        <w:t xml:space="preserve">注：</w:t>
      </w:r>
      <w:r>
        <w:rPr>
          <w:rFonts w:hint="eastAsia" w:ascii="宋体" w:hAnsi="宋体" w:cs="宋体"/>
          <w:bCs/>
          <w:color w:val="auto"/>
          <w:sz w:val="24"/>
          <w:highlight w:val="none"/>
        </w:rPr>
        <w:t xml:space="preserve">中小企业</w:t>
      </w:r>
      <w:r>
        <w:rPr>
          <w:rFonts w:hint="eastAsia" w:ascii="宋体" w:hAnsi="宋体" w:cs="宋体"/>
          <w:color w:val="auto"/>
          <w:sz w:val="24"/>
          <w:highlight w:val="none"/>
        </w:rPr>
        <w:t xml:space="preserve">（含中型、小型、微型企业，下同），应当同时符合以下条件</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①符合中小企业划分标准；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②投标人提供的货物全部由符合政策要求的中小企业制造，提供《中小企业声明函》（加盖电子签章，格式见招标文件第七章《投标文件相关格式》）。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享受政府采购支持政策的残疾人福利性单位应当同时满足以下条件：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（一）安置的残疾人占本单位在职职工人数的比例不低于25%（含25%），并且安置的残疾人人数不少于10人（含10人）；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（二）依法与安置的每位残疾人签订了一年以上（含一年）的劳动合同或服务协议；</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（三）为安置的每位残疾人按月足额缴纳了基本养老保险、基本医疗保险、失业保险、工伤保险和生育保险等社会保险费；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（四）通过银行等金融机构向安置的每位残疾人，按月支付了不低于单位所在区县适用的经省级人民政府批准的月最低工资标准的工资；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具体以《三部门联合发布关于促进残疾人就业政府采购政策的通知》（财库〔2017〕141号）规定为准。</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2、符合性审查文件：（必须提供，否则投标无效）</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lang w:eastAsia="zh-CN"/>
        </w:rPr>
        <w:t xml:space="preserve">）报价</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①</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谈判报价表</w:t>
      </w:r>
      <w:r>
        <w:rPr>
          <w:rFonts w:hint="eastAsia" w:ascii="宋体" w:hAnsi="宋体" w:cs="宋体"/>
          <w:b/>
          <w:color w:val="auto"/>
          <w:sz w:val="24"/>
          <w:highlight w:val="none"/>
          <w:lang w:val="en-US" w:eastAsia="zh-CN"/>
        </w:rPr>
        <w:t xml:space="preserve">》</w:t>
      </w:r>
      <w:r>
        <w:rPr>
          <w:rFonts w:hint="eastAsia" w:ascii="宋体" w:hAnsi="宋体" w:eastAsia="宋体" w:cs="宋体"/>
          <w:color w:val="auto"/>
          <w:sz w:val="24"/>
          <w:highlight w:val="none"/>
        </w:rPr>
        <w:t xml:space="preserve">（加盖电子签章，格式见《谈判文件》附件）；</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②</w:t>
      </w:r>
      <w:r>
        <w:rPr>
          <w:rFonts w:hint="eastAsia" w:ascii="宋体" w:hAnsi="宋体" w:eastAsia="宋体" w:cs="宋体"/>
          <w:b/>
          <w:color w:val="auto"/>
          <w:sz w:val="24"/>
          <w:highlight w:val="none"/>
        </w:rPr>
        <w:t xml:space="preserve">《分项价格表》</w:t>
      </w:r>
      <w:r>
        <w:rPr>
          <w:rFonts w:hint="eastAsia" w:ascii="宋体" w:hAnsi="宋体" w:eastAsia="宋体" w:cs="宋体"/>
          <w:color w:val="auto"/>
          <w:sz w:val="24"/>
          <w:highlight w:val="none"/>
        </w:rPr>
        <w:t xml:space="preserve">（加盖电子签章，格式见《谈判文件》附件）；</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商务资信</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①</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承诺书</w:t>
      </w:r>
      <w:r>
        <w:rPr>
          <w:rFonts w:hint="eastAsia" w:ascii="宋体" w:hAnsi="宋体" w:cs="宋体"/>
          <w:b/>
          <w:color w:val="auto"/>
          <w:sz w:val="24"/>
          <w:highlight w:val="none"/>
          <w:lang w:val="en-US" w:eastAsia="zh-CN"/>
        </w:rPr>
        <w:t xml:space="preserve">》</w:t>
      </w:r>
      <w:r>
        <w:rPr>
          <w:rFonts w:hint="eastAsia" w:ascii="宋体" w:hAnsi="宋体" w:eastAsia="宋体" w:cs="宋体"/>
          <w:color w:val="auto"/>
          <w:sz w:val="24"/>
          <w:highlight w:val="none"/>
        </w:rPr>
        <w:t xml:space="preserve">（加盖电子签章，格式见《谈判文件》附件）；</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②</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法人授权委托书</w:t>
      </w:r>
      <w:r>
        <w:rPr>
          <w:rFonts w:hint="eastAsia" w:ascii="宋体" w:hAnsi="宋体" w:cs="宋体"/>
          <w:b/>
          <w:color w:val="auto"/>
          <w:sz w:val="24"/>
          <w:highlight w:val="none"/>
          <w:lang w:val="en-US" w:eastAsia="zh-CN"/>
        </w:rPr>
        <w:t xml:space="preserve">》</w:t>
      </w:r>
      <w:r>
        <w:rPr>
          <w:rFonts w:hint="eastAsia" w:ascii="宋体" w:hAnsi="宋体" w:eastAsia="宋体" w:cs="宋体"/>
          <w:color w:val="auto"/>
          <w:sz w:val="24"/>
          <w:highlight w:val="none"/>
        </w:rPr>
        <w:t xml:space="preserve">（加盖电子签章，格式见《谈判文件》附件）；</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技术响应</w:t>
      </w:r>
      <w:r/>
    </w:p>
    <w:p>
      <w:pPr>
        <w:ind w:firstLine="793"/>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①</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偏离表</w:t>
      </w:r>
      <w:r>
        <w:rPr>
          <w:rFonts w:hint="eastAsia" w:ascii="宋体" w:hAnsi="宋体" w:cs="宋体"/>
          <w:b/>
          <w:color w:val="auto"/>
          <w:sz w:val="24"/>
          <w:highlight w:val="none"/>
          <w:lang w:val="en-US" w:eastAsia="zh-CN"/>
        </w:rPr>
        <w:t xml:space="preserve">》</w:t>
      </w:r>
      <w:r>
        <w:rPr>
          <w:rFonts w:hint="eastAsia" w:ascii="宋体" w:hAnsi="宋体" w:eastAsia="宋体" w:cs="宋体"/>
          <w:color w:val="auto"/>
          <w:sz w:val="24"/>
          <w:highlight w:val="none"/>
        </w:rPr>
        <w:t xml:space="preserve">（加盖电子签章，格式见《谈判文件》附件）；</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、报价折扣证明：</w:t>
      </w:r>
      <w:r>
        <w:rPr>
          <w:rFonts w:hint="eastAsia" w:ascii="宋体" w:hAnsi="宋体" w:eastAsia="宋体" w:cs="宋体"/>
          <w:b/>
          <w:color w:val="auto"/>
          <w:sz w:val="24"/>
          <w:highlight w:val="none"/>
          <w:lang w:val="en-US" w:eastAsia="zh-CN"/>
        </w:rPr>
        <w:t xml:space="preserve">无</w:t>
      </w:r>
      <w:r>
        <w:rPr>
          <w:rFonts w:hint="eastAsia" w:ascii="宋体" w:hAnsi="宋体" w:eastAsia="宋体" w:cs="宋体"/>
          <w:b/>
          <w:color w:val="auto"/>
          <w:sz w:val="24"/>
          <w:highlight w:val="none"/>
        </w:rPr>
        <w:t xml:space="preserve">。</w:t>
      </w:r>
      <w:r/>
    </w:p>
    <w:p>
      <w:pPr>
        <w:pStyle w:val="860"/>
        <w:ind w:firstLine="478"/>
        <w:jc w:val="center"/>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ind w:firstLine="478"/>
        <w:jc w:val="center"/>
        <w:keepLines w:val="0"/>
        <w:keepNext w:val="0"/>
        <w:pageBreakBefore w:val="0"/>
        <w:spacing w:line="360" w:lineRule="auto"/>
        <w:widowControl w:val="off"/>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第四章 谈判相关说明</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十四、谈判相关说明</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(一)</w:t>
      </w:r>
      <w:r>
        <w:rPr>
          <w:rFonts w:hint="eastAsia" w:ascii="宋体" w:hAnsi="宋体" w:eastAsia="宋体" w:cs="宋体"/>
          <w:bCs/>
          <w:color w:val="auto"/>
          <w:szCs w:val="24"/>
          <w:highlight w:val="none"/>
        </w:rPr>
        <w:t xml:space="preserve">谈判要求</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1.被邀请参与谈判的供应商需按本谈判文件要求的截止时间、方式（地点）提交首次响应文件，同时派人通过“苏采云”系统在“开标大厅”等待谈判。</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w:t>
      </w:r>
      <w:r>
        <w:rPr>
          <w:rFonts w:hint="eastAsia" w:ascii="宋体" w:hAnsi="宋体" w:eastAsia="宋体" w:cs="宋体"/>
          <w:color w:val="auto"/>
          <w:szCs w:val="24"/>
          <w:highlight w:val="none"/>
        </w:rPr>
        <w:t xml:space="preserve"> </w:t>
      </w:r>
      <w:r>
        <w:rPr>
          <w:rFonts w:hint="eastAsia" w:ascii="宋体" w:hAnsi="宋体" w:eastAsia="宋体" w:cs="宋体"/>
          <w:bCs/>
          <w:color w:val="auto"/>
          <w:szCs w:val="24"/>
          <w:highlight w:val="none"/>
        </w:rPr>
        <w:t xml:space="preserve">供应商可通过CA数字证书，在首次响应文件开启时间后，使用CA数字证书在规定时间内解密各自响应文件。</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 供应商的授权代表或法定代表人须全程守候在“苏采云”系统开标大厅，并确保视频设备正常使用。</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4.谈判顺序按照电子标书解密先后时间进行，解密时间相同的，不分先后顺序。</w:t>
      </w:r>
      <w:r/>
    </w:p>
    <w:p>
      <w:pPr>
        <w:pStyle w:val="860"/>
        <w:ind w:firstLine="480"/>
        <w:keepLines w:val="0"/>
        <w:keepNext w:val="0"/>
        <w:pageBreakBefore w:val="0"/>
        <w:spacing w:line="360" w:lineRule="auto"/>
        <w:widowControl w:val="off"/>
        <w:rPr>
          <w:rFonts w:hint="eastAsia" w:ascii="宋体" w:hAnsi="宋体" w:eastAsia="宋体" w:cs="宋体"/>
          <w:b/>
          <w:bCs/>
          <w:color w:val="auto"/>
          <w:szCs w:val="24"/>
          <w:highlight w:val="none"/>
          <w:u w:val="single"/>
        </w:rPr>
      </w:pPr>
      <w:r>
        <w:rPr>
          <w:rFonts w:hint="eastAsia" w:ascii="宋体" w:hAnsi="宋体" w:eastAsia="宋体" w:cs="宋体"/>
          <w:b/>
          <w:color w:val="auto"/>
          <w:highlight w:val="none"/>
          <w:u w:val="single"/>
        </w:rPr>
        <w:t xml:space="preserve">5.谈判方式：本次谈判采用“苏采云”系统中的视频会议，供应商自行选择任意地点参加远程谈判会议。请供应商在谈判前等候在开标大厅，随时接听谈判小组发出的谈判视频邀请（所有邀请等待时间2分钟，2分钟内所邀请供应商无响应，视同放弃谈判的权利，由解密顺序下一家进行谈判，不再后补）</w:t>
      </w:r>
      <w:r>
        <w:rPr>
          <w:rFonts w:hint="eastAsia" w:ascii="宋体" w:hAnsi="宋体" w:eastAsia="宋体" w:cs="宋体"/>
          <w:b/>
          <w:bCs/>
          <w:color w:val="auto"/>
          <w:szCs w:val="24"/>
          <w:highlight w:val="none"/>
          <w:u w:val="single"/>
        </w:rPr>
        <w:t xml:space="preserve">;</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6.未在规定时间内进行答疑澄清的，视同放弃澄清。</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7.未在规定时间内进行报价的，视为响应无效。</w:t>
      </w:r>
      <w:r/>
    </w:p>
    <w:p>
      <w:pPr>
        <w:pStyle w:val="860"/>
        <w:ind w:firstLine="480"/>
        <w:keepLines w:val="0"/>
        <w:keepNext w:val="0"/>
        <w:pageBreakBefore w:val="0"/>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8.被邀请参与谈判的供应商如未按上述谈判要求执行，视同放弃谈判的权利。</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9.本项目无效标书判定（谈判文件的实质性要求）</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9.1供应商资格条件不符合国家有关规定或谈判文件要求的；</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9.2响应报价低于成本或者高于谈判文件设定的最高限价的；</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9.3与谈判文件提供的清单中的计量单位、数量不一致的；</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9.4响应文件载明的招标项目完成期限超过谈判文件规定的期限的；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9.5明显不符合项目需求中的货物技术规范、技术标准、加“*”条款要求的；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9.6响应文件载明的货物包装方式、检验标准和方法等不符合谈判文件的要求的；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9.7响应文件提出了不能满足谈判文件要求或采购人不能接受的验收、计量、价款结算和支付办法的；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9.8不同供应商的响应文件以及响应文件制作过程出现了评标委员会认为不应当雷同的情况的； </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9.9以他人的名义投标、串通投标、以行贿手段谋取成交或者以其他弄虚作假方式投标的。</w:t>
      </w:r>
      <w:r/>
    </w:p>
    <w:p>
      <w:pPr>
        <w:pStyle w:val="860"/>
        <w:ind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9.10未按谈判文件规定的格式填写，内容不全或关键字模糊、无法辨认的；未按谈判文件要求提供电子响应文件，或者响应文件未能解密且按照谈判文件明确的响应文件解密失败的补救方案补救不成功的。</w:t>
      </w:r>
      <w:r/>
    </w:p>
    <w:p>
      <w:pPr>
        <w:pStyle w:val="860"/>
        <w:ind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（二）评审程序</w:t>
      </w:r>
      <w:r/>
    </w:p>
    <w:p>
      <w:pPr>
        <w:pStyle w:val="860"/>
        <w:ind w:left="2"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（1）成立谈判小组。谈判小组由采购人的代表和有关专家共三人以上的单数组成，其中专家的人数不得少于成员总数的三分之二。 </w:t>
      </w:r>
      <w:r/>
    </w:p>
    <w:p>
      <w:pPr>
        <w:pStyle w:val="860"/>
        <w:ind w:left="2"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（2）制定谈判文件。谈判文件应当明确谈判程序、谈判内容、合同草案的条款以及评定成交的标准等事项。 </w:t>
      </w:r>
      <w:r/>
    </w:p>
    <w:p>
      <w:pPr>
        <w:pStyle w:val="860"/>
        <w:ind w:left="2"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（3）确定邀请参加谈判的供应商名单。谈判小组从符合相应资格条件的供应商名单中确定不少于三家的供应商参加谈判，并向其提供谈判文件。 </w:t>
      </w:r>
      <w:r/>
    </w:p>
    <w:p>
      <w:pPr>
        <w:pStyle w:val="860"/>
        <w:ind w:left="2" w:right="0" w:firstLine="482"/>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谈判。本采购项目采用2轮报价，谈判小组所有成员集中与单一供应商分别进行谈判。在谈判中，谈判的任何一方不得透露与谈判有关的其他供应商的技术资料、价格和其他信息。谈判文件有实质性变动的，谈判小组应当以书面形式通知所有参加谈判的供应商。谈判小组根据与供应商谈判情况可能实质性变动的内容包括：采购需求中的技术、服务要求以及合同草案条款。 </w:t>
      </w:r>
      <w:r/>
    </w:p>
    <w:p>
      <w:pPr>
        <w:pStyle w:val="860"/>
        <w:ind w:firstLine="480"/>
        <w:keepLines w:val="0"/>
        <w:keepNext w:val="0"/>
        <w:pageBreakBefore w:val="0"/>
        <w:spacing w:line="360" w:lineRule="auto"/>
        <w:rPr>
          <w:rFonts w:hint="eastAsia" w:ascii="宋体" w:hAnsi="宋体" w:cs="宋体"/>
          <w:color w:val="auto"/>
          <w:sz w:val="24"/>
          <w:highlight w:val="none"/>
          <w:lang w:val="en-US" w:eastAsia="zh-CN"/>
        </w:rPr>
      </w:pP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4</w:t>
      </w:r>
      <w:r>
        <w:rPr>
          <w:rFonts w:hint="eastAsia" w:hAnsi="宋体" w:cs="宋体"/>
          <w:color w:val="auto"/>
          <w:sz w:val="24"/>
          <w:highlight w:val="none"/>
          <w:lang w:eastAsia="zh-CN"/>
        </w:rPr>
        <w:t xml:space="preserve">）谈判</w:t>
      </w:r>
      <w:r>
        <w:rPr>
          <w:rFonts w:hint="eastAsia" w:ascii="宋体" w:hAnsi="宋体" w:cs="宋体"/>
          <w:color w:val="auto"/>
          <w:sz w:val="24"/>
          <w:highlight w:val="none"/>
        </w:rPr>
        <w:t xml:space="preserve">小组认为供应商的报价明显低于其他供应商的报价，有可能影响产品质量或者不能诚信履约的，应当要求其在评审现场合理的时间内提供书面说明，必要时提交相关证明材料；供应商不能证明其报价合理性的，</w:t>
      </w:r>
      <w:r>
        <w:rPr>
          <w:rFonts w:hint="eastAsia" w:hAnsi="宋体" w:cs="宋体"/>
          <w:color w:val="auto"/>
          <w:sz w:val="24"/>
          <w:highlight w:val="none"/>
          <w:lang w:eastAsia="zh-CN"/>
        </w:rPr>
        <w:t xml:space="preserve">谈判</w:t>
      </w:r>
      <w:r>
        <w:rPr>
          <w:rFonts w:hint="eastAsia" w:ascii="宋体" w:hAnsi="宋体" w:cs="宋体"/>
          <w:color w:val="auto"/>
          <w:sz w:val="24"/>
          <w:highlight w:val="none"/>
        </w:rPr>
        <w:t xml:space="preserve">小组应当将其按响应无效处理。</w:t>
      </w:r>
      <w:r>
        <w:rPr>
          <w:rFonts w:hint="eastAsia" w:ascii="宋体" w:hAnsi="宋体" w:cs="宋体"/>
          <w:color w:val="auto"/>
          <w:sz w:val="24"/>
          <w:highlight w:val="none"/>
          <w:lang w:val="en-US" w:eastAsia="zh-CN"/>
        </w:rPr>
        <w:t xml:space="preserve">具体审查要求如下：</w:t>
      </w:r>
      <w:r/>
    </w:p>
    <w:p>
      <w:pPr>
        <w:pStyle w:val="860"/>
        <w:ind w:firstLine="480"/>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小组启动异常低价投标（响应）审查的情形和具体要求，包括:</w:t>
      </w:r>
      <w:r/>
    </w:p>
    <w:p>
      <w:pPr>
        <w:pStyle w:val="860"/>
        <w:ind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评审过程中出现下列情形之一的，</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小组应当启动异常低价投标（响应）审查程序：</w:t>
      </w:r>
      <w:r/>
    </w:p>
    <w:p>
      <w:pPr>
        <w:pStyle w:val="860"/>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①投标（响应）报价低于采购项目预算50%的，即投标（响应）报价&lt;采购项目预算×50%；</w:t>
      </w:r>
      <w:r/>
    </w:p>
    <w:p>
      <w:pPr>
        <w:pStyle w:val="860"/>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②投标（响应）报价低于采购项目最高限价45%的，即投标（响应）报价&lt;采购项目最高限价×45%；</w:t>
      </w:r>
      <w:r/>
    </w:p>
    <w:p>
      <w:pPr>
        <w:pStyle w:val="860"/>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③</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小组认定的供应商报价过低、有可能影响产品质量或者不能诚信履约的其他情形。</w:t>
      </w:r>
      <w:r/>
    </w:p>
    <w:p>
      <w:pPr>
        <w:pStyle w:val="860"/>
        <w:numPr>
          <w:ilvl w:val="0"/>
          <w:numId w:val="2"/>
        </w:numPr>
        <w:ind w:firstLine="482"/>
        <w:keepLines w:val="0"/>
        <w:keepNext w:val="0"/>
        <w:pageBreakBefore w:val="0"/>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启动异常低价投标（响应）审查后，</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小组应当通过“苏采云”系统要求相关供应商在合理的时间内，提供项目具体成本测算等与报价合理性相关的书面说明及相关证明材料，对投标（响应）价格作出解释，由</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w:t>
      </w:r>
      <w:r>
        <w:rPr>
          <w:rFonts w:hint="eastAsia" w:hAnsi="宋体" w:cs="宋体"/>
          <w:b/>
          <w:bCs/>
          <w:color w:val="000000" w:themeColor="text1"/>
          <w:sz w:val="24"/>
          <w:szCs w:val="24"/>
          <w:highlight w:val="none"/>
          <w:lang w:val="en-US" w:eastAsia="zh-CN"/>
          <w14:textFill>
            <w14:solidFill>
              <w14:schemeClr w14:val="tx1"/>
            </w14:solidFill>
          </w14:textFill>
        </w:rPr>
        <w:t xml:space="preserve">谈判</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小组应当将其作为无效投标处理。审查相关情况应当在评标报告中进行记录。</w:t>
      </w:r>
      <w:r/>
    </w:p>
    <w:p>
      <w:pPr>
        <w:pStyle w:val="860"/>
        <w:numPr>
          <w:ilvl w:val="0"/>
          <w:numId w:val="0"/>
        </w:numPr>
        <w:ind w:firstLine="480"/>
        <w:keepLines w:val="0"/>
        <w:keepNext w:val="0"/>
        <w:pageBreakBefore w:val="0"/>
        <w:spacing w:line="360" w:lineRule="auto"/>
        <w:rPr>
          <w:rFonts w:hint="eastAsia"/>
        </w:rPr>
      </w:pPr>
      <w:r>
        <w:rPr>
          <w:rFonts w:hint="eastAsia" w:hAnsi="宋体" w:cs="宋体"/>
          <w:color w:val="auto"/>
          <w:sz w:val="24"/>
          <w:highlight w:val="none"/>
          <w:lang w:val="en-US" w:eastAsia="zh-CN"/>
        </w:rPr>
        <w:t xml:space="preserve">3.</w:t>
      </w:r>
      <w:r>
        <w:rPr>
          <w:rFonts w:hint="eastAsia" w:ascii="宋体" w:hAnsi="宋体" w:cs="宋体"/>
          <w:color w:val="auto"/>
          <w:sz w:val="24"/>
          <w:highlight w:val="none"/>
        </w:rPr>
        <w:t xml:space="preserve">相关内容和要求见：《中华人民共和国政府采购法》、《中华人民共和国政府采购法实施条例》、</w:t>
      </w:r>
      <w:r>
        <w:rPr>
          <w:rFonts w:hint="eastAsia" w:ascii="宋体" w:hAnsi="宋体" w:cs="宋体"/>
          <w:color w:val="auto"/>
          <w:sz w:val="24"/>
          <w:highlight w:val="none"/>
          <w:lang w:val="en-US" w:eastAsia="zh-CN"/>
        </w:rPr>
        <w:t xml:space="preserve">《关于推动解决政府采购异常低价问题相关工作的通知》（苏财购〔2025〕62号）</w:t>
      </w:r>
      <w:r>
        <w:rPr>
          <w:rFonts w:hint="eastAsia" w:ascii="宋体" w:hAnsi="宋体" w:cs="宋体"/>
          <w:color w:val="auto"/>
          <w:sz w:val="24"/>
          <w:highlight w:val="none"/>
        </w:rPr>
        <w:t xml:space="preserve">。</w:t>
      </w:r>
      <w:r/>
    </w:p>
    <w:p>
      <w:pPr>
        <w:pStyle w:val="860"/>
        <w:ind w:left="2" w:right="0" w:firstLine="48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5）确定成交供应商。谈判结束后，谈判小组应当要求所有参加谈判的供应商在规定时间内进行最后报价，采购人从谈判小组提出的成交候选人中根据符合采购需求、质量和服务相等且报价最低的原则确定成交供应商，并将结果通知所有参加谈判的未成交的供应商。</w:t>
      </w:r>
      <w:r>
        <w:rPr>
          <w:rFonts w:hint="eastAsia" w:ascii="宋体" w:hAnsi="宋体" w:eastAsia="宋体" w:cs="宋体"/>
          <w:color w:val="auto"/>
          <w:highlight w:val="none"/>
        </w:rPr>
        <w:t xml:space="preserve"> </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w:t>
      </w:r>
      <w:r>
        <w:rPr>
          <w:rFonts w:hint="eastAsia" w:ascii="宋体" w:hAnsi="宋体" w:cs="宋体"/>
          <w:color w:val="000000"/>
          <w:sz w:val="24"/>
          <w:highlight w:val="none"/>
        </w:rPr>
        <w:t xml:space="preserve">查询及使用供应商信用记录：</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1.由采购人查询信用信息。</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2.查询渠道包括：</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1）.“信用中国”网（</w:t>
      </w:r>
      <w:r>
        <w:fldChar w:fldCharType="begin"/>
      </w:r>
      <w:r>
        <w:instrText xml:space="preserve"> HYPERLINK "http://www.creditchina.gov.cn/" \o "http://www.creditchina.gov.cn/" </w:instrText>
      </w:r>
      <w:r>
        <w:fldChar w:fldCharType="separate"/>
      </w:r>
      <w:r>
        <w:rPr>
          <w:rFonts w:hint="eastAsia" w:ascii="宋体" w:hAnsi="宋体" w:cs="宋体"/>
          <w:color w:val="000000"/>
          <w:sz w:val="24"/>
          <w:highlight w:val="none"/>
          <w:u w:val="none"/>
        </w:rPr>
        <w:t xml:space="preserve">www.creditchina.gov.cn</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2）.“中国政府采购”网（</w:t>
      </w:r>
      <w:r>
        <w:fldChar w:fldCharType="begin"/>
      </w:r>
      <w:r>
        <w:instrText xml:space="preserve"> HYPERLINK "http://www.ccgp.gov.cn/" \o "http://www.ccgp.gov.cn/" </w:instrText>
      </w:r>
      <w:r>
        <w:fldChar w:fldCharType="separate"/>
      </w:r>
      <w:r>
        <w:rPr>
          <w:rFonts w:hint="eastAsia" w:ascii="宋体" w:hAnsi="宋体" w:cs="宋体"/>
          <w:color w:val="000000"/>
          <w:sz w:val="24"/>
          <w:highlight w:val="none"/>
          <w:u w:val="none"/>
        </w:rPr>
        <w:t xml:space="preserve">www.ccgp.gov.cn</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3）.“信用江苏”网（www.jscredit.gov.cn）；</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4）.“信用中国（江苏徐州）”网（ </w:t>
      </w:r>
      <w:r>
        <w:fldChar w:fldCharType="begin"/>
      </w:r>
      <w:r>
        <w:instrText xml:space="preserve"> HYPERLINK "http://www.xuzhoucredit.gov.cn/" \o "http://www.xuzhoucredit.gov.cn/" </w:instrText>
      </w:r>
      <w:r>
        <w:fldChar w:fldCharType="separate"/>
      </w:r>
      <w:r>
        <w:rPr>
          <w:rFonts w:hint="eastAsia" w:ascii="宋体" w:hAnsi="宋体" w:cs="宋体"/>
          <w:color w:val="000000"/>
          <w:sz w:val="24"/>
          <w:highlight w:val="none"/>
          <w:u w:val="none"/>
        </w:rPr>
        <w:t xml:space="preserve">http://www.xuzhoucredit.gov.cn</w:t>
      </w:r>
      <w:r>
        <w:rPr>
          <w:rFonts w:hint="eastAsia" w:ascii="宋体" w:hAnsi="宋体" w:cs="宋体"/>
          <w:color w:val="000000"/>
          <w:sz w:val="24"/>
          <w:highlight w:val="none"/>
          <w:u w:val="none"/>
        </w:rPr>
        <w:fldChar w:fldCharType="end"/>
      </w:r>
      <w:r>
        <w:rPr>
          <w:rFonts w:hint="eastAsia" w:ascii="宋体" w:hAnsi="宋体" w:cs="宋体"/>
          <w:color w:val="000000"/>
          <w:sz w:val="24"/>
          <w:highlight w:val="none"/>
        </w:rPr>
        <w:t xml:space="preserve">）；</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3.截止时点（查询环节）：资格审查结束前。</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4.信用信息查询记录和证据留存的具体方式：网页截屏打印，与其他采购文件一并保存。</w:t>
      </w:r>
      <w:r/>
    </w:p>
    <w:p>
      <w:pPr>
        <w:ind w:firstLine="480"/>
        <w:spacing w:after="0"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5.信用信息的使用规则：</w:t>
      </w:r>
      <w:r/>
    </w:p>
    <w:p>
      <w:pPr>
        <w:ind w:firstLine="480"/>
        <w:spacing w:after="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2"/>
        <w:spacing w:after="0" w:line="360" w:lineRule="auto"/>
        <w:rPr>
          <w:rFonts w:hint="eastAsia" w:ascii="宋体" w:hAnsi="宋体" w:cs="宋体"/>
          <w:b/>
          <w:sz w:val="24"/>
          <w:highlight w:val="none"/>
        </w:rPr>
      </w:pPr>
      <w:r>
        <w:rPr>
          <w:rFonts w:hint="eastAsia" w:ascii="宋体" w:hAnsi="宋体" w:cs="宋体"/>
          <w:b/>
          <w:sz w:val="24"/>
          <w:highlight w:val="none"/>
        </w:rPr>
        <w:t xml:space="preserve">说明</w:t>
      </w:r>
      <w:r/>
    </w:p>
    <w:p>
      <w:pPr>
        <w:ind w:firstLine="480"/>
        <w:spacing w:after="0" w:line="360" w:lineRule="auto"/>
        <w:widowControl/>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1、本项目</w:t>
      </w:r>
      <w:r>
        <w:rPr>
          <w:rFonts w:hint="eastAsia" w:ascii="宋体" w:hAnsi="宋体" w:cs="宋体"/>
          <w:sz w:val="24"/>
          <w:highlight w:val="none"/>
          <w:lang w:val="zh-CN"/>
        </w:rPr>
        <w:t xml:space="preserve">资格审查由</w:t>
      </w:r>
      <w:r>
        <w:rPr>
          <w:rFonts w:hint="eastAsia" w:ascii="宋体" w:hAnsi="宋体" w:cs="宋体"/>
          <w:sz w:val="24"/>
          <w:highlight w:val="none"/>
        </w:rPr>
        <w:t xml:space="preserve">谈判小组</w:t>
      </w:r>
      <w:r>
        <w:rPr>
          <w:rFonts w:hint="eastAsia" w:ascii="宋体" w:hAnsi="宋体" w:cs="宋体"/>
          <w:sz w:val="24"/>
          <w:highlight w:val="none"/>
          <w:lang w:val="zh-CN"/>
        </w:rPr>
        <w:t xml:space="preserve">负责</w:t>
      </w:r>
      <w:r>
        <w:rPr>
          <w:rFonts w:hint="eastAsia" w:ascii="宋体" w:hAnsi="宋体" w:cs="宋体"/>
          <w:sz w:val="24"/>
          <w:highlight w:val="none"/>
        </w:rPr>
        <w:t xml:space="preserve">进行，通过报名资格性审查和符合性审查的代理商作为谈判报价供应商。</w:t>
      </w:r>
      <w:r/>
    </w:p>
    <w:p>
      <w:pPr>
        <w:ind w:firstLine="480"/>
        <w:spacing w:after="0" w:line="360" w:lineRule="auto"/>
        <w:rPr>
          <w:rFonts w:hint="eastAsia"/>
        </w:rPr>
      </w:pPr>
      <w:r>
        <w:rPr>
          <w:rFonts w:hint="eastAsia" w:ascii="宋体" w:hAnsi="宋体" w:cs="宋体"/>
          <w:sz w:val="24"/>
          <w:highlight w:val="none"/>
        </w:rPr>
        <w:t xml:space="preserve">2、采购人有权对谈判报价供应商的响应文件的真实性进行核实，如谈判报价供应商不能提供有效文件，代理公司将根据客观事实，有权取消成交供应商；同时谈判报价供应商承担相应的法律责任。</w:t>
      </w:r>
      <w:r/>
    </w:p>
    <w:p>
      <w:pPr>
        <w:pStyle w:val="860"/>
        <w:ind w:left="2" w:right="29" w:firstLine="482"/>
        <w:jc w:val="center"/>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第五章 确定成交供应商及合同签订等</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十五、评定成交的方法</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采购人从评审报告提出的成交候选人中，根据质量和服务均能满足采购文件实质性响应要求且最后报价最低的原则确定成交供应商。</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成交结果在在徐州政府采购网上公布，公告期限为1个工作日。</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十六、谈判过程中可能实质性变动的内容：在谈判过程中，谈判小组可以根据《谈判文件》和谈判情况实质性变动采购需求中的技术、服务要求以及合同草案条款。</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七、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谈判报价表》（最后报价）。</w:t>
      </w:r>
      <w:r/>
    </w:p>
    <w:p>
      <w:pPr>
        <w:pStyle w:val="860"/>
        <w:ind w:left="2" w:right="29"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ind w:firstLine="482"/>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十八、采购人与成交供应商应当在成交通知书发出之日起30日内，按照《谈判文件》确定的合同文本以及采购标的、规格型号、采购金额、采购数量、技术和服务要求等事项签订政府采购合同。</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特别说明： 按照《政府采购法》及其实施条例以及相关规定，中标或者成交后无正当理由拒不与采购人签订政府采购合同的</w:t>
      </w:r>
      <w:r>
        <w:rPr>
          <w:rFonts w:hint="eastAsia" w:hAnsi="宋体" w:cs="宋体"/>
          <w:color w:val="auto"/>
          <w:szCs w:val="24"/>
          <w:highlight w:val="none"/>
          <w:lang w:eastAsia="zh-CN"/>
        </w:rPr>
        <w:t xml:space="preserve">，</w:t>
      </w:r>
      <w:r>
        <w:rPr>
          <w:rFonts w:hint="eastAsia" w:ascii="宋体" w:hAnsi="宋体" w:eastAsia="宋体" w:cs="宋体"/>
          <w:color w:val="auto"/>
          <w:szCs w:val="24"/>
          <w:highlight w:val="none"/>
        </w:rPr>
        <w:t xml:space="preserve"> 在一至三年内禁止参加政府采购活动，列入政府采购严重违法失信行为记录名单。</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十九、签订合同前，中标人必须向采购人提交其投标文件中所有扫描件的原件，采购人核查无误后，签订合同。如中标人不能在采购人规定的时间内向采购人提供原件，将被采购人视为放弃中标资格。特别要求的除外。</w:t>
      </w:r>
      <w:r/>
    </w:p>
    <w:p>
      <w:pPr>
        <w:pStyle w:val="860"/>
        <w:ind w:firstLine="482"/>
        <w:jc w:val="center"/>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 xml:space="preserve">第六章 谈判文件的澄清或者修改</w:t>
      </w:r>
      <w:r/>
    </w:p>
    <w:p>
      <w:pPr>
        <w:pStyle w:val="860"/>
        <w:ind w:firstLine="482"/>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二十、《谈判文件》的澄清或者修改</w:t>
      </w:r>
      <w:r/>
    </w:p>
    <w:p>
      <w:pPr>
        <w:pStyle w:val="860"/>
        <w:ind w:firstLine="48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首次响应文件截止之日（即“首次响应文件提交的截止时间”）前，采购代理机构可以对已发出的《谈判文件》进行必要的澄清或者修改，澄清或者修改的内容作为《谈判文件》的组成部分。澄清或者修改的内容以所发布的本项目的“更正公告”的形式通知所有获取《谈判文件》的供应商。发布本项目的“更正公告”后采购代理机构已尽通知义务。敬请各所有获取《谈判文件》的供应商关注本项目的“更正公告”，否则，将自行承担相应的风险。</w:t>
      </w:r>
      <w:r/>
    </w:p>
    <w:p>
      <w:pPr>
        <w:pStyle w:val="860"/>
        <w:ind w:firstLine="480"/>
        <w:jc w:val="center"/>
        <w:keepLines w:val="0"/>
        <w:keepNext w:val="0"/>
        <w:pageBreakBefore w:val="0"/>
        <w:spacing w:line="360" w:lineRule="auto"/>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第七章 询问和质疑</w:t>
      </w:r>
      <w:r/>
    </w:p>
    <w:p>
      <w:pPr>
        <w:pStyle w:val="860"/>
        <w:ind w:firstLine="480"/>
        <w:jc w:val="center"/>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ind w:firstLine="480"/>
        <w:keepLines w:val="0"/>
        <w:keepNext w:val="0"/>
        <w:pageBreakBefore w:val="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二十二、询问和质疑</w:t>
      </w:r>
      <w:r/>
    </w:p>
    <w:p>
      <w:pPr>
        <w:pStyle w:val="86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6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pStyle w:val="863"/>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pStyle w:val="863"/>
        <w:ind w:firstLine="480"/>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马展鹏</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val="en-US" w:eastAsia="zh-CN"/>
        </w:rPr>
        <w:t xml:space="preserve">18251679342</w:t>
      </w:r>
      <w:r/>
    </w:p>
    <w:p>
      <w:pPr>
        <w:pStyle w:val="863"/>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徐州市新沂市北沟街道万恒东一号西门北嘉德咨询</w:t>
      </w:r>
      <w:r/>
    </w:p>
    <w:p>
      <w:pPr>
        <w:pStyle w:val="86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numPr>
          <w:ilvl w:val="0"/>
          <w:numId w:val="0"/>
        </w:numPr>
        <w:ind w:firstLine="480"/>
        <w:jc w:val="center"/>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 w:val="24"/>
          <w:szCs w:val="24"/>
          <w:highlight w:val="none"/>
        </w:rPr>
        <w:t xml:space="preserve">第八章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Cs w:val="24"/>
          <w:highlight w:val="none"/>
        </w:rPr>
        <w:t xml:space="preserve">联系方式</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1.采购人信息 </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单位名称：</w:t>
      </w:r>
      <w:r>
        <w:rPr>
          <w:rFonts w:hint="eastAsia" w:hAnsi="宋体" w:cs="宋体"/>
          <w:bCs/>
          <w:color w:val="auto"/>
          <w:szCs w:val="24"/>
          <w:highlight w:val="none"/>
          <w:lang w:eastAsia="zh-CN"/>
        </w:rPr>
        <w:t xml:space="preserve">沛县农业农村局</w:t>
      </w:r>
      <w:r/>
    </w:p>
    <w:p>
      <w:pPr>
        <w:ind w:firstLine="480"/>
        <w:jc w:val="left"/>
        <w:spacing w:line="36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单位地址：</w:t>
      </w:r>
      <w:r>
        <w:rPr>
          <w:rFonts w:hint="eastAsia" w:ascii="宋体" w:hAnsi="宋体" w:cs="宋体"/>
          <w:bCs/>
          <w:sz w:val="24"/>
          <w:szCs w:val="24"/>
          <w:lang w:val="en-US" w:eastAsia="zh-CN" w:bidi="ar-SA"/>
        </w:rPr>
        <w:t xml:space="preserve">沛县沛公路2号</w:t>
      </w:r>
      <w:r/>
    </w:p>
    <w:p>
      <w:pPr>
        <w:ind w:firstLine="480"/>
        <w:jc w:val="left"/>
        <w:spacing w:line="36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联系人：</w:t>
      </w:r>
      <w:r>
        <w:rPr>
          <w:rFonts w:hint="eastAsia" w:ascii="宋体" w:hAnsi="宋体" w:cs="宋体"/>
          <w:bCs/>
          <w:sz w:val="24"/>
          <w:szCs w:val="24"/>
          <w:lang w:val="en-US" w:eastAsia="zh-CN" w:bidi="ar-SA"/>
        </w:rPr>
        <w:t xml:space="preserve">赵静</w:t>
      </w:r>
      <w:r/>
    </w:p>
    <w:p>
      <w:pPr>
        <w:ind w:firstLine="480"/>
        <w:jc w:val="left"/>
        <w:spacing w:line="36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联系电话：</w:t>
      </w:r>
      <w:r>
        <w:rPr>
          <w:rFonts w:hint="eastAsia" w:ascii="宋体" w:hAnsi="宋体" w:cs="宋体"/>
          <w:bCs/>
          <w:sz w:val="24"/>
          <w:szCs w:val="24"/>
          <w:lang w:val="en-US" w:eastAsia="zh-CN" w:bidi="ar-SA"/>
        </w:rPr>
        <w:t xml:space="preserve">0516-68868712</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2.采购代理机构信息（如有）</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单位名称：</w:t>
      </w:r>
      <w:r>
        <w:rPr>
          <w:rFonts w:hint="eastAsia" w:hAnsi="宋体" w:cs="宋体"/>
          <w:bCs/>
          <w:color w:val="auto"/>
          <w:szCs w:val="24"/>
          <w:highlight w:val="none"/>
          <w:lang w:eastAsia="zh-CN"/>
        </w:rPr>
        <w:t xml:space="preserve">新沂市嘉德技术咨询有限公司</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单位地址：</w:t>
      </w:r>
      <w:r>
        <w:rPr>
          <w:rFonts w:hint="eastAsia" w:hAnsi="宋体" w:cs="宋体"/>
          <w:bCs/>
          <w:color w:val="auto"/>
          <w:szCs w:val="24"/>
          <w:highlight w:val="none"/>
          <w:lang w:eastAsia="zh-CN"/>
        </w:rPr>
        <w:t xml:space="preserve">徐州市新沂市北沟街道万恒东一号西门北嘉德咨询</w:t>
      </w:r>
      <w:r/>
    </w:p>
    <w:p>
      <w:pPr>
        <w:pStyle w:val="860"/>
        <w:ind w:firstLine="480"/>
        <w:jc w:val="left"/>
        <w:keepLines w:val="0"/>
        <w:keepNext w:val="0"/>
        <w:pageBreakBefore w:val="0"/>
        <w:spacing w:line="360" w:lineRule="auto"/>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rPr>
        <w:t xml:space="preserve">联系人：</w:t>
      </w:r>
      <w:r>
        <w:rPr>
          <w:rFonts w:hint="eastAsia" w:hAnsi="宋体" w:cs="宋体"/>
          <w:bCs/>
          <w:color w:val="auto"/>
          <w:szCs w:val="24"/>
          <w:highlight w:val="none"/>
          <w:lang w:val="en-US" w:eastAsia="zh-CN"/>
        </w:rPr>
        <w:t xml:space="preserve">马展鹏</w:t>
      </w:r>
      <w:r/>
    </w:p>
    <w:p>
      <w:pPr>
        <w:pStyle w:val="860"/>
        <w:ind w:firstLine="480"/>
        <w:jc w:val="left"/>
        <w:keepLines w:val="0"/>
        <w:keepNext w:val="0"/>
        <w:pageBreakBefore w:val="0"/>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bCs/>
          <w:color w:val="auto"/>
          <w:szCs w:val="24"/>
          <w:highlight w:val="none"/>
        </w:rPr>
        <w:t xml:space="preserve">联系电话：</w:t>
      </w:r>
      <w:r>
        <w:rPr>
          <w:rFonts w:hint="eastAsia" w:hAnsi="宋体" w:cs="宋体"/>
          <w:color w:val="auto"/>
          <w:sz w:val="24"/>
          <w:highlight w:val="none"/>
          <w:lang w:val="en-US" w:eastAsia="zh-CN"/>
        </w:rPr>
        <w:t xml:space="preserve">18251679342</w:t>
      </w:r>
      <w:r/>
    </w:p>
    <w:p>
      <w:pPr>
        <w:pStyle w:val="860"/>
        <w:jc w:val="both"/>
        <w:keepLines w:val="0"/>
        <w:keepNext w:val="0"/>
        <w:pageBreakBefore w:val="0"/>
        <w:spacing w:line="360" w:lineRule="auto"/>
        <w:rPr>
          <w:rFonts w:hint="eastAsia" w:ascii="宋体" w:hAnsi="宋体" w:eastAsia="宋体" w:cs="宋体"/>
          <w:b/>
          <w:bCs/>
          <w:color w:val="auto"/>
          <w:szCs w:val="24"/>
          <w:highlight w:val="none"/>
        </w:rPr>
      </w:pPr>
      <w:r/>
      <w:bookmarkStart w:id="1" w:name="_GoBack"/>
      <w:r/>
      <w:bookmarkEnd w:id="1"/>
      <w:r/>
      <w:r/>
    </w:p>
    <w:p>
      <w:pPr>
        <w:pStyle w:val="864"/>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65"/>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97"/>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pStyle w:val="860"/>
        <w:ind w:firstLine="480"/>
        <w:jc w:val="center"/>
        <w:keepLines w:val="0"/>
        <w:keepNext w:val="0"/>
        <w:pageBreakBefore w:val="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w:t>
      </w:r>
      <w:r>
        <w:rPr>
          <w:rFonts w:hint="eastAsia" w:hAnsi="宋体" w:cs="宋体"/>
          <w:b/>
          <w:bCs/>
          <w:color w:val="auto"/>
          <w:szCs w:val="24"/>
          <w:highlight w:val="none"/>
          <w:lang w:val="en-US" w:eastAsia="zh-CN"/>
        </w:rPr>
        <w:t xml:space="preserve">九</w:t>
      </w:r>
      <w:r>
        <w:rPr>
          <w:rFonts w:hint="eastAsia" w:ascii="宋体" w:hAnsi="宋体" w:eastAsia="宋体" w:cs="宋体"/>
          <w:b/>
          <w:bCs/>
          <w:color w:val="auto"/>
          <w:szCs w:val="24"/>
          <w:highlight w:val="none"/>
        </w:rPr>
        <w:t xml:space="preserve">章 附件</w:t>
      </w:r>
      <w:r/>
    </w:p>
    <w:p>
      <w:pPr>
        <w:pStyle w:val="860"/>
        <w:ind w:firstLine="49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60"/>
        <w:ind w:firstLine="49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附件：</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1.《项目要求（采购需求）》</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.《承诺书》</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.《谈判报价表》</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.《分项价格表》</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5.《偏离表》</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.《授权委托书》</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.《中小企业声明函》</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 《残疾人福利性单位声明函》</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hAnsi="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 《供应商参加政府采购活动前</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年内在经营活动中没有重大违法记录的书面声明》</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hAnsi="宋体" w:cs="宋体"/>
          <w:color w:val="auto"/>
          <w:szCs w:val="24"/>
          <w:highlight w:val="none"/>
          <w:lang w:val="en-US" w:eastAsia="zh-CN"/>
        </w:rPr>
        <w:t xml:space="preserve">0</w:t>
      </w:r>
      <w:r>
        <w:rPr>
          <w:rFonts w:hint="eastAsia" w:ascii="宋体" w:hAnsi="宋体" w:eastAsia="宋体" w:cs="宋体"/>
          <w:color w:val="auto"/>
          <w:szCs w:val="24"/>
          <w:highlight w:val="none"/>
        </w:rPr>
        <w:t xml:space="preserve">.《具备履行合同所必需的设备和专业技术能力的书面声明（附证明材料）》</w:t>
      </w:r>
      <w:r/>
    </w:p>
    <w:p>
      <w:pPr>
        <w:pStyle w:val="860"/>
        <w:ind w:firstLine="972"/>
        <w:keepLines w:val="0"/>
        <w:keepNext w:val="0"/>
        <w:pageBreakBefore w:val="0"/>
        <w:spacing w:after="0" w:line="360" w:lineRule="auto"/>
        <w:widowControl w:val="off"/>
        <w:rPr>
          <w:rFonts w:hint="eastAsia"/>
        </w:rPr>
      </w:pPr>
      <w:r>
        <w:rPr>
          <w:rFonts w:hint="eastAsia" w:hAnsi="宋体" w:cs="宋体"/>
          <w:color w:val="auto"/>
          <w:szCs w:val="24"/>
        </w:rPr>
        <w:t xml:space="preserve">11.《代理服务收费标准》</w:t>
      </w:r>
      <w:r/>
    </w:p>
    <w:p>
      <w:pPr>
        <w:pStyle w:val="860"/>
        <w:ind w:firstLine="972"/>
        <w:keepLines w:val="0"/>
        <w:keepNext w:val="0"/>
        <w:pageBreakBefore w:val="0"/>
        <w:spacing w:line="360" w:lineRule="auto"/>
        <w:rPr>
          <w:rFonts w:ascii="仿宋" w:hAnsi="仿宋" w:eastAsia="仿宋"/>
          <w:color w:val="auto"/>
          <w:szCs w:val="24"/>
          <w:highlight w:val="none"/>
        </w:rPr>
      </w:pPr>
      <w:r>
        <w:rPr>
          <w:rFonts w:hint="eastAsia" w:ascii="宋体" w:hAnsi="宋体" w:eastAsia="宋体" w:cs="宋体"/>
          <w:color w:val="auto"/>
          <w:szCs w:val="24"/>
          <w:highlight w:val="none"/>
        </w:rPr>
        <w:t xml:space="preserve">1</w:t>
      </w:r>
      <w:r>
        <w:rPr>
          <w:rFonts w:hint="eastAsia" w:hAnsi="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 预付款保函支付条款</w:t>
      </w:r>
      <w:r/>
    </w:p>
    <w:p>
      <w:pPr>
        <w:pStyle w:val="860"/>
        <w:ind w:firstLine="972"/>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w:t>
      </w:r>
      <w:r>
        <w:rPr>
          <w:rFonts w:hint="eastAsia"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.《合同草案条款》</w:t>
      </w:r>
      <w:r/>
    </w:p>
    <w:p>
      <w:pPr>
        <w:pStyle w:val="860"/>
        <w:ind w:firstLine="6067"/>
        <w:rPr>
          <w:rFonts w:ascii="仿宋" w:hAnsi="仿宋" w:eastAsia="仿宋"/>
          <w:color w:val="auto"/>
          <w:szCs w:val="24"/>
          <w:highlight w:val="none"/>
        </w:rPr>
      </w:pPr>
      <w:r>
        <w:rPr>
          <w:rFonts w:ascii="仿宋" w:hAnsi="仿宋" w:eastAsia="仿宋"/>
          <w:color w:val="auto"/>
          <w:szCs w:val="24"/>
          <w:highlight w:val="none"/>
        </w:rPr>
      </w:r>
      <w:r/>
    </w:p>
    <w:p>
      <w:pPr>
        <w:pStyle w:val="860"/>
        <w:ind w:firstLine="6067"/>
        <w:rPr>
          <w:rFonts w:ascii="仿宋" w:hAnsi="仿宋" w:eastAsia="仿宋"/>
          <w:color w:val="auto"/>
          <w:szCs w:val="24"/>
          <w:highlight w:val="none"/>
        </w:rPr>
      </w:pPr>
      <w:r>
        <w:rPr>
          <w:rFonts w:ascii="仿宋" w:hAnsi="仿宋" w:eastAsia="仿宋"/>
          <w:color w:val="auto"/>
          <w:szCs w:val="24"/>
          <w:highlight w:val="none"/>
        </w:rPr>
      </w:r>
      <w:r/>
    </w:p>
    <w:p>
      <w:pPr>
        <w:pStyle w:val="860"/>
        <w:ind w:firstLine="6067"/>
        <w:rPr>
          <w:rFonts w:ascii="仿宋" w:hAnsi="仿宋" w:eastAsia="仿宋"/>
          <w:color w:val="auto"/>
          <w:szCs w:val="24"/>
          <w:highlight w:val="none"/>
        </w:rPr>
      </w:pPr>
      <w:r>
        <w:rPr>
          <w:rFonts w:ascii="仿宋" w:hAnsi="仿宋" w:eastAsia="仿宋"/>
          <w:color w:val="auto"/>
          <w:szCs w:val="24"/>
          <w:highlight w:val="none"/>
        </w:rPr>
      </w:r>
      <w:r/>
    </w:p>
    <w:p>
      <w:pPr>
        <w:pStyle w:val="860"/>
        <w:ind w:firstLine="6067"/>
        <w:rPr>
          <w:rFonts w:ascii="仿宋" w:hAnsi="仿宋" w:eastAsia="仿宋"/>
          <w:color w:val="auto"/>
          <w:szCs w:val="24"/>
          <w:highlight w:val="none"/>
        </w:rPr>
      </w:pPr>
      <w:r>
        <w:rPr>
          <w:rFonts w:ascii="仿宋" w:hAnsi="仿宋" w:eastAsia="仿宋"/>
          <w:color w:val="auto"/>
          <w:szCs w:val="24"/>
          <w:highlight w:val="none"/>
        </w:rPr>
      </w:r>
      <w:r/>
    </w:p>
    <w:p>
      <w:pPr>
        <w:pStyle w:val="863"/>
        <w:ind w:right="-199" w:firstLine="2650"/>
        <w:spacing w:line="44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63"/>
        <w:ind w:right="-199" w:firstLine="2650"/>
        <w:spacing w:line="44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63"/>
        <w:ind w:right="-199" w:firstLine="2650"/>
        <w:spacing w:line="44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93"/>
        <w:rPr>
          <w:color w:val="auto"/>
          <w:highlight w:val="none"/>
        </w:rPr>
      </w:pPr>
      <w:r>
        <w:rPr>
          <w:color w:val="auto"/>
          <w:highlight w:val="none"/>
        </w:rPr>
      </w:r>
      <w:r/>
    </w:p>
    <w:p>
      <w:pPr>
        <w:pStyle w:val="1059"/>
        <w:rPr>
          <w:color w:val="auto"/>
          <w:highlight w:val="none"/>
        </w:rPr>
      </w:pPr>
      <w:r>
        <w:rPr>
          <w:color w:val="auto"/>
          <w:highlight w:val="none"/>
        </w:rPr>
      </w:r>
      <w:r/>
    </w:p>
    <w:p>
      <w:pPr>
        <w:pStyle w:val="1059"/>
        <w:rPr>
          <w:color w:val="auto"/>
          <w:highlight w:val="none"/>
        </w:rPr>
      </w:pPr>
      <w:r>
        <w:rPr>
          <w:color w:val="auto"/>
          <w:highlight w:val="none"/>
        </w:rPr>
      </w:r>
      <w:r/>
    </w:p>
    <w:p>
      <w:pPr>
        <w:pStyle w:val="1059"/>
        <w:rPr>
          <w:color w:val="auto"/>
          <w:highlight w:val="none"/>
        </w:rPr>
      </w:pPr>
      <w:r>
        <w:rPr>
          <w:color w:val="auto"/>
          <w:highlight w:val="none"/>
        </w:rPr>
      </w:r>
      <w:r/>
    </w:p>
    <w:p>
      <w:pPr>
        <w:pStyle w:val="1059"/>
        <w:rPr>
          <w:color w:val="auto"/>
          <w:highlight w:val="none"/>
        </w:rPr>
      </w:pPr>
      <w:r>
        <w:rPr>
          <w:color w:val="auto"/>
          <w:highlight w:val="none"/>
        </w:rPr>
      </w:r>
      <w:r/>
    </w:p>
    <w:p>
      <w:pPr>
        <w:pStyle w:val="1059"/>
        <w:rPr>
          <w:color w:val="auto"/>
          <w:highlight w:val="none"/>
        </w:rPr>
      </w:pPr>
      <w:r>
        <w:rPr>
          <w:color w:val="auto"/>
          <w:highlight w:val="none"/>
        </w:rPr>
      </w:r>
      <w:r/>
    </w:p>
    <w:p>
      <w:pPr>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pStyle w:val="1060"/>
        <w:jc w:val="center"/>
        <w:keepLines/>
        <w:keepNext/>
        <w:pageBreakBefore w:val="0"/>
        <w:spacing w:before="0" w:after="0"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val="0"/>
          <w:bCs/>
          <w:color w:val="auto"/>
          <w:sz w:val="32"/>
          <w:szCs w:val="32"/>
          <w:highlight w:val="none"/>
        </w:rPr>
        <w:t xml:space="preserve">1、</w:t>
      </w:r>
      <w:r>
        <w:rPr>
          <w:rFonts w:hint="eastAsia" w:ascii="宋体" w:hAnsi="宋体" w:eastAsia="宋体" w:cs="宋体"/>
          <w:color w:val="auto"/>
          <w:sz w:val="32"/>
          <w:szCs w:val="32"/>
          <w:highlight w:val="none"/>
        </w:rPr>
        <w:t xml:space="preserve">采购需求</w:t>
      </w:r>
      <w:r/>
    </w:p>
    <w:p>
      <w:pPr>
        <w:spacing w:line="360" w:lineRule="auto"/>
        <w:rPr>
          <w:rFonts w:hint="default" w:ascii="宋体" w:hAnsi="宋体" w:cs="宋体"/>
          <w:b/>
          <w:sz w:val="24"/>
          <w:szCs w:val="21"/>
          <w:lang w:val="en-US" w:eastAsia="zh-CN" w:bidi="ar-SA"/>
        </w:rPr>
      </w:pPr>
      <w:r>
        <w:rPr>
          <w:rFonts w:hint="eastAsia" w:ascii="宋体" w:hAnsi="宋体" w:cs="宋体"/>
          <w:b/>
          <w:sz w:val="24"/>
          <w:szCs w:val="21"/>
          <w:lang w:val="en-US" w:eastAsia="zh-CN" w:bidi="ar-SA"/>
        </w:rPr>
        <w:t xml:space="preserve">一、本项目采购的是非进口产品，且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rPr>
          <w:rFonts w:hint="default" w:ascii="宋体" w:hAnsi="宋体" w:cs="宋体"/>
          <w:b/>
          <w:sz w:val="24"/>
          <w:szCs w:val="21"/>
          <w:lang w:val="en-US" w:eastAsia="zh-CN" w:bidi="ar-SA"/>
        </w:rPr>
      </w:pPr>
      <w:r>
        <w:rPr>
          <w:rFonts w:hint="eastAsia" w:ascii="宋体" w:hAnsi="宋体" w:cs="宋体"/>
          <w:b/>
          <w:sz w:val="24"/>
          <w:szCs w:val="21"/>
          <w:lang w:val="en-US" w:eastAsia="zh-CN" w:bidi="ar-SA"/>
        </w:rPr>
        <w:t xml:space="preserve">二、采购预算 </w:t>
      </w:r>
      <w:r/>
    </w:p>
    <w:p>
      <w:pPr>
        <w:ind w:firstLine="482"/>
        <w:jc w:val="both"/>
        <w:spacing w:line="360" w:lineRule="auto"/>
        <w:rPr>
          <w:rFonts w:hint="eastAsia" w:ascii="宋体" w:hAnsi="宋体" w:cs="宋体"/>
          <w:b/>
          <w:bCs/>
          <w:sz w:val="24"/>
          <w:szCs w:val="21"/>
          <w:highlight w:val="none"/>
          <w:lang w:val="en-US" w:eastAsia="zh-CN" w:bidi="ar-SA"/>
        </w:rPr>
      </w:pPr>
      <w:r>
        <w:rPr>
          <w:rFonts w:hint="eastAsia" w:ascii="宋体" w:hAnsi="宋体" w:cs="宋体"/>
          <w:b/>
          <w:bCs/>
          <w:sz w:val="24"/>
          <w:szCs w:val="21"/>
          <w:highlight w:val="none"/>
          <w:lang w:val="en-US" w:eastAsia="zh-CN" w:bidi="ar-SA"/>
        </w:rPr>
        <w:t xml:space="preserve">本项目采购预算为252.3556万元。分1个采购包：芸苔素，预算金额为252.3556万元，单价不超过112000元/千升。</w:t>
      </w:r>
      <w:r/>
    </w:p>
    <w:p>
      <w:pPr>
        <w:ind w:firstLine="482"/>
        <w:jc w:val="both"/>
        <w:spacing w:line="360" w:lineRule="auto"/>
        <w:rPr>
          <w:rFonts w:hint="default" w:ascii="宋体" w:hAnsi="宋体" w:cs="宋体"/>
          <w:b/>
          <w:bCs/>
          <w:sz w:val="24"/>
          <w:szCs w:val="21"/>
          <w:lang w:val="en-US" w:eastAsia="zh-CN" w:bidi="ar-SA"/>
        </w:rPr>
      </w:pPr>
      <w:r>
        <w:rPr>
          <w:rFonts w:hint="eastAsia" w:ascii="宋体" w:hAnsi="宋体" w:cs="宋体"/>
          <w:b/>
          <w:bCs/>
          <w:sz w:val="24"/>
          <w:szCs w:val="21"/>
          <w:lang w:val="en-US" w:eastAsia="zh-CN" w:bidi="ar-SA"/>
        </w:rPr>
        <w:t xml:space="preserve">本项目采用固定总价，不接受超过最高单价的报价，资金用完，在保证基本单价的基础上，单价最低者中标。</w:t>
      </w:r>
      <w:r/>
    </w:p>
    <w:p>
      <w:pPr>
        <w:ind w:firstLine="482"/>
        <w:jc w:val="both"/>
        <w:spacing w:line="360" w:lineRule="auto"/>
        <w:rPr>
          <w:rFonts w:hint="default" w:ascii="宋体" w:hAnsi="宋体" w:cs="宋体"/>
          <w:sz w:val="24"/>
          <w:szCs w:val="21"/>
          <w:highlight w:val="none"/>
          <w:lang w:val="en-US" w:eastAsia="zh-CN" w:bidi="ar-SA"/>
        </w:rPr>
      </w:pPr>
      <w:r>
        <w:rPr>
          <w:rFonts w:hint="eastAsia" w:ascii="宋体" w:hAnsi="宋体" w:cs="宋体"/>
          <w:b/>
          <w:bCs/>
          <w:sz w:val="24"/>
          <w:szCs w:val="21"/>
          <w:lang w:val="en-US" w:eastAsia="zh-CN" w:bidi="ar-SA"/>
        </w:rPr>
        <w:t xml:space="preserve">报价包括产品、制造、包装、仓储、运输、装卸搬运、保险、验收、发放到户、检验检测、审计、培训、保险等所有含税费用，本项目总价款还包括成交方应当提供的伴随服务/售后服务费用。采购人不再支付报价以外的任何费用。</w:t>
      </w:r>
      <w:r/>
    </w:p>
    <w:p>
      <w:pPr>
        <w:spacing w:line="360" w:lineRule="auto"/>
        <w:rPr>
          <w:rFonts w:hint="default" w:ascii="宋体" w:hAnsi="宋体" w:cs="宋体"/>
          <w:b/>
          <w:sz w:val="24"/>
          <w:highlight w:val="none"/>
          <w:lang w:val="en-US" w:eastAsia="zh-CN" w:bidi="ar-SA"/>
        </w:rPr>
      </w:pPr>
      <w:r>
        <w:rPr>
          <w:rFonts w:hint="eastAsia" w:ascii="宋体" w:hAnsi="宋体" w:cs="宋体"/>
          <w:b/>
          <w:sz w:val="24"/>
          <w:highlight w:val="none"/>
          <w:lang w:val="en-US" w:eastAsia="zh-CN" w:bidi="ar-SA"/>
        </w:rPr>
        <w:t xml:space="preserve">三、项目概况</w:t>
      </w:r>
      <w:r/>
    </w:p>
    <w:p>
      <w:pPr>
        <w:ind w:firstLine="480"/>
        <w:spacing w:line="360" w:lineRule="auto"/>
        <w:rPr>
          <w:rFonts w:hint="eastAsia" w:ascii="宋体" w:hAnsi="宋体" w:cs="宋体"/>
          <w:sz w:val="24"/>
          <w:highlight w:val="none"/>
          <w:lang w:val="en-US" w:eastAsia="zh-CN" w:bidi="ar-SA"/>
        </w:rPr>
      </w:pPr>
      <w:r>
        <w:rPr>
          <w:rFonts w:hint="eastAsia" w:ascii="宋体" w:hAnsi="宋体" w:cs="宋体"/>
          <w:sz w:val="24"/>
          <w:highlight w:val="none"/>
          <w:lang w:val="en-US" w:eastAsia="zh-CN" w:bidi="ar-SA"/>
        </w:rPr>
        <w:t xml:space="preserve">1、项目名称：沛县2026年中央农业防灾减灾和水利救灾资金（防灾减灾第六批）和省级农业生产应急救灾资金</w:t>
      </w:r>
      <w:r/>
    </w:p>
    <w:p>
      <w:pPr>
        <w:ind w:firstLine="480"/>
        <w:spacing w:line="360" w:lineRule="auto"/>
        <w:rPr>
          <w:rFonts w:hint="default" w:ascii="宋体" w:hAnsi="宋体" w:cs="宋体"/>
          <w:sz w:val="24"/>
          <w:highlight w:val="none"/>
          <w:lang w:val="zh-CN" w:eastAsia="zh-CN" w:bidi="ar-SA"/>
        </w:rPr>
      </w:pPr>
      <w:r>
        <w:rPr>
          <w:rFonts w:hint="eastAsia" w:ascii="宋体" w:hAnsi="宋体" w:cs="宋体"/>
          <w:sz w:val="24"/>
          <w:highlight w:val="none"/>
          <w:lang w:val="en-US" w:eastAsia="zh-CN" w:bidi="ar-SA"/>
        </w:rPr>
        <w:t xml:space="preserve">2、供货</w:t>
      </w:r>
      <w:r>
        <w:rPr>
          <w:rFonts w:hint="eastAsia" w:ascii="宋体" w:hAnsi="宋体" w:cs="宋体"/>
          <w:sz w:val="24"/>
          <w:highlight w:val="none"/>
          <w:lang w:val="zh-CN" w:eastAsia="zh-CN" w:bidi="ar-SA"/>
        </w:rPr>
        <w:t xml:space="preserve">地点：沛县农业农村局指定地点。</w:t>
      </w:r>
      <w:r/>
    </w:p>
    <w:p>
      <w:pPr>
        <w:ind w:firstLine="480"/>
        <w:spacing w:line="360" w:lineRule="auto"/>
        <w:rPr>
          <w:rFonts w:hint="default" w:ascii="宋体" w:hAnsi="宋体" w:cs="宋体"/>
          <w:sz w:val="24"/>
          <w:highlight w:val="yellow"/>
          <w:lang w:val="en-US" w:eastAsia="zh-CN" w:bidi="ar-SA"/>
        </w:rPr>
      </w:pPr>
      <w:r>
        <w:rPr>
          <w:rFonts w:hint="eastAsia" w:ascii="宋体" w:hAnsi="宋体" w:cs="宋体"/>
          <w:b/>
          <w:bCs/>
          <w:color w:val="auto"/>
          <w:sz w:val="24"/>
          <w:highlight w:val="none"/>
          <w:lang w:val="en-US" w:eastAsia="zh-CN" w:bidi="ar-SA"/>
        </w:rPr>
        <w:t xml:space="preserve">3、货物履行期限</w:t>
      </w:r>
      <w:r>
        <w:rPr>
          <w:rFonts w:hint="eastAsia" w:ascii="宋体" w:hAnsi="宋体" w:cs="宋体"/>
          <w:color w:val="auto"/>
          <w:sz w:val="24"/>
          <w:highlight w:val="none"/>
          <w:lang w:val="en-US" w:eastAsia="zh-CN" w:bidi="ar-SA"/>
        </w:rPr>
        <w:t xml:space="preserve">：</w:t>
      </w:r>
      <w:r>
        <w:rPr>
          <w:rFonts w:hint="eastAsia" w:ascii="Times New Roman" w:hAnsi="Times New Roman" w:eastAsia="宋体" w:cs="Times New Roman"/>
          <w:b/>
          <w:bCs/>
          <w:color w:val="auto"/>
          <w:sz w:val="24"/>
          <w:highlight w:val="none"/>
          <w:u w:val="single"/>
          <w:lang w:val="en-US" w:eastAsia="zh-CN" w:bidi="ar-SA"/>
        </w:rPr>
        <w:t xml:space="preserve">在合同签订后，3日内将合同标的全部交付完毕。</w:t>
      </w:r>
      <w:r>
        <w:rPr>
          <w:rFonts w:hint="eastAsia"/>
          <w:b/>
          <w:bCs/>
          <w:color w:val="auto"/>
          <w:sz w:val="24"/>
          <w:highlight w:val="none"/>
          <w:u w:val="single"/>
          <w:lang w:val="en-US" w:eastAsia="zh-CN" w:bidi="ar-SA"/>
        </w:rPr>
        <w:t xml:space="preserve">逾期送货按照货款金额10%处罚。</w:t>
      </w:r>
      <w:r/>
    </w:p>
    <w:p>
      <w:pPr>
        <w:ind w:firstLine="480"/>
        <w:spacing w:line="360" w:lineRule="auto"/>
        <w:rPr>
          <w:rFonts w:hint="default" w:ascii="宋体" w:hAnsi="宋体" w:cs="宋体"/>
          <w:sz w:val="24"/>
          <w:lang w:val="en-US" w:eastAsia="zh-CN" w:bidi="ar-SA"/>
        </w:rPr>
      </w:pPr>
      <w:r>
        <w:rPr>
          <w:rFonts w:hint="eastAsia" w:ascii="宋体" w:hAnsi="宋体" w:cs="宋体"/>
          <w:sz w:val="24"/>
          <w:lang w:val="en-US" w:eastAsia="zh-CN" w:bidi="ar-SA"/>
        </w:rPr>
        <w:t xml:space="preserve">4、质量标准：符合国家及行业现行标准并满足采购人要求。</w:t>
      </w:r>
      <w:r/>
    </w:p>
    <w:p>
      <w:pPr>
        <w:ind w:firstLine="480"/>
        <w:spacing w:line="360" w:lineRule="auto"/>
        <w:rPr>
          <w:rFonts w:hint="eastAsia" w:ascii="宋体" w:hAnsi="宋体" w:cs="宋体"/>
          <w:sz w:val="24"/>
          <w:lang w:val="en-US" w:eastAsia="zh-CN" w:bidi="ar-SA"/>
        </w:rPr>
      </w:pPr>
      <w:r>
        <w:rPr>
          <w:rFonts w:hint="eastAsia" w:ascii="宋体" w:hAnsi="宋体" w:cs="宋体"/>
          <w:sz w:val="24"/>
          <w:lang w:val="en-US" w:eastAsia="zh-CN" w:bidi="ar-SA"/>
        </w:rPr>
        <w:t xml:space="preserve">5、包装：产品包装应贴有标签或者附具说明书。标签应当紧贴或者印制在产品包装物上。所供货物须为2026年生产。</w:t>
      </w:r>
      <w:r/>
    </w:p>
    <w:p>
      <w:pPr>
        <w:ind w:firstLine="480"/>
        <w:spacing w:line="360" w:lineRule="auto"/>
        <w:rPr>
          <w:rFonts w:hint="eastAsia" w:ascii="宋体" w:hAnsi="宋体" w:cs="宋体"/>
          <w:sz w:val="24"/>
          <w:lang w:val="en-US" w:eastAsia="zh-CN" w:bidi="ar-SA"/>
        </w:rPr>
      </w:pPr>
      <w:r>
        <w:rPr>
          <w:rFonts w:hint="eastAsia" w:ascii="宋体" w:hAnsi="宋体" w:cs="宋体"/>
          <w:sz w:val="24"/>
          <w:lang w:val="en-US" w:eastAsia="zh-CN" w:bidi="ar-SA"/>
        </w:rPr>
        <w:t xml:space="preserve">6、本项目划分1个采购包。</w:t>
      </w:r>
      <w:r/>
    </w:p>
    <w:p>
      <w:pPr>
        <w:ind w:firstLine="480"/>
        <w:spacing w:line="360" w:lineRule="auto"/>
        <w:rPr>
          <w:rFonts w:hint="eastAsia" w:ascii="宋体" w:hAnsi="宋体" w:cs="宋体"/>
          <w:b/>
          <w:bCs/>
          <w:sz w:val="24"/>
          <w:lang w:val="en-US" w:eastAsia="zh-CN" w:bidi="ar-SA"/>
        </w:rPr>
      </w:pPr>
      <w:r>
        <w:rPr>
          <w:rFonts w:hint="eastAsia" w:ascii="宋体" w:hAnsi="宋体" w:cs="宋体"/>
          <w:b/>
          <w:bCs/>
          <w:sz w:val="24"/>
          <w:lang w:val="en-US" w:eastAsia="zh-CN" w:bidi="ar-SA"/>
        </w:rPr>
        <w:t xml:space="preserve">7、本次采购预算用完，采购不设具体数量，最终成交数量以不超过预算单价的最大整数计算，以符合谈判文件要求且最终报价单价最低的供应商为成交供应商。</w:t>
      </w:r>
      <w:r/>
    </w:p>
    <w:p>
      <w:pPr>
        <w:spacing w:line="360" w:lineRule="auto"/>
        <w:rPr>
          <w:rFonts w:hint="default" w:ascii="宋体" w:hAnsi="宋体" w:cs="宋体"/>
          <w:b/>
          <w:bCs/>
          <w:sz w:val="24"/>
          <w:lang w:val="en-US" w:eastAsia="zh-CN" w:bidi="ar-SA"/>
        </w:rPr>
      </w:pPr>
      <w:r>
        <w:rPr>
          <w:rFonts w:hint="default" w:ascii="宋体" w:hAnsi="宋体" w:cs="宋体"/>
          <w:b/>
          <w:bCs/>
          <w:sz w:val="24"/>
          <w:lang w:val="en-US" w:eastAsia="zh-CN" w:bidi="ar-SA"/>
        </w:rPr>
      </w:r>
      <w:r/>
    </w:p>
    <w:p>
      <w:pPr>
        <w:spacing w:line="360" w:lineRule="auto"/>
        <w:rPr>
          <w:rFonts w:hint="default" w:ascii="宋体" w:hAnsi="宋体" w:cs="宋体"/>
          <w:b/>
          <w:bCs/>
          <w:sz w:val="24"/>
          <w:lang w:val="en-US" w:eastAsia="zh-CN" w:bidi="ar-SA"/>
        </w:rPr>
      </w:pPr>
      <w:r>
        <w:rPr>
          <w:rFonts w:hint="default" w:ascii="宋体" w:hAnsi="宋体" w:cs="宋体"/>
          <w:b/>
          <w:bCs/>
          <w:sz w:val="24"/>
          <w:lang w:val="en-US" w:eastAsia="zh-CN" w:bidi="ar-SA"/>
        </w:rPr>
      </w:r>
      <w:r/>
    </w:p>
    <w:p>
      <w:pPr>
        <w:spacing w:line="360" w:lineRule="auto"/>
        <w:rPr>
          <w:rFonts w:hint="default" w:ascii="宋体" w:hAnsi="宋体" w:cs="宋体"/>
          <w:b/>
          <w:bCs/>
          <w:sz w:val="24"/>
          <w:lang w:val="en-US" w:eastAsia="zh-CN" w:bidi="ar-SA"/>
        </w:rPr>
      </w:pPr>
      <w:r>
        <w:rPr>
          <w:rFonts w:hint="default" w:ascii="宋体" w:hAnsi="宋体" w:cs="宋体"/>
          <w:b/>
          <w:bCs/>
          <w:sz w:val="24"/>
          <w:lang w:val="en-US" w:eastAsia="zh-CN" w:bidi="ar-SA"/>
        </w:rPr>
      </w:r>
      <w:r/>
    </w:p>
    <w:p>
      <w:pPr>
        <w:spacing w:line="360" w:lineRule="auto"/>
        <w:rPr>
          <w:rFonts w:hint="default" w:ascii="宋体" w:hAnsi="宋体" w:cs="宋体"/>
          <w:b/>
          <w:bCs/>
          <w:sz w:val="24"/>
          <w:lang w:val="en-US" w:eastAsia="zh-CN" w:bidi="ar-SA"/>
        </w:rPr>
      </w:pPr>
      <w:r>
        <w:rPr>
          <w:rFonts w:hint="default" w:ascii="宋体" w:hAnsi="宋体" w:cs="宋体"/>
          <w:b/>
          <w:bCs/>
          <w:sz w:val="24"/>
          <w:lang w:val="en-US" w:eastAsia="zh-CN" w:bidi="ar-SA"/>
        </w:rPr>
      </w:r>
      <w:r/>
    </w:p>
    <w:p>
      <w:pPr>
        <w:numPr>
          <w:ilvl w:val="0"/>
          <w:numId w:val="3"/>
        </w:numPr>
        <w:spacing w:line="360" w:lineRule="auto"/>
        <w:rPr>
          <w:rFonts w:hint="default" w:ascii="宋体" w:hAnsi="宋体" w:cs="宋体"/>
          <w:b/>
          <w:sz w:val="24"/>
          <w:lang w:val="en-US" w:eastAsia="zh-CN" w:bidi="ar-SA"/>
        </w:rPr>
      </w:pPr>
      <w:r>
        <w:rPr>
          <w:rFonts w:hint="eastAsia" w:ascii="宋体" w:hAnsi="宋体" w:cs="宋体"/>
          <w:b/>
          <w:sz w:val="24"/>
          <w:lang w:val="en-US" w:eastAsia="zh-CN" w:bidi="ar-SA"/>
        </w:rPr>
        <w:t xml:space="preserve">采购清单及技术规格要求</w:t>
      </w:r>
      <w:r/>
    </w:p>
    <w:tbl>
      <w:tblPr>
        <w:tblStyle w:val="853"/>
        <w:tblW w:w="9445"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8"/>
        <w:gridCol w:w="2236"/>
        <w:gridCol w:w="1950"/>
        <w:gridCol w:w="1964"/>
        <w:gridCol w:w="1827"/>
      </w:tblGrid>
      <w:tr>
        <w:trPr>
          <w:trHeight w:val="620"/>
        </w:trPr>
        <w:tc>
          <w:tcPr>
            <w:shd w:val="clear" w:color="auto" w:fill="auto"/>
            <w:tcW w:w="1468"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采购产品</w:t>
            </w:r>
            <w:r/>
          </w:p>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名称</w:t>
            </w:r>
            <w:r/>
          </w:p>
        </w:tc>
        <w:tc>
          <w:tcPr>
            <w:shd w:val="clear" w:color="auto" w:fill="auto"/>
            <w:tcW w:w="2236"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产品参数</w:t>
            </w:r>
            <w:r/>
          </w:p>
        </w:tc>
        <w:tc>
          <w:tcPr>
            <w:shd w:val="clear" w:color="auto" w:fill="auto"/>
            <w:tcW w:w="1950" w:type="dxa"/>
            <w:vAlign w:val="center"/>
            <w:textDirection w:val="lrTb"/>
            <w:noWrap w:val="false"/>
          </w:tcPr>
          <w:p>
            <w:pPr>
              <w:jc w:val="center"/>
              <w:widowControl/>
              <w:rPr>
                <w:rFonts w:hint="eastAsia" w:ascii="宋体" w:hAnsi="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数量至少</w:t>
            </w:r>
            <w:r/>
          </w:p>
          <w:p>
            <w:pPr>
              <w:jc w:val="center"/>
              <w:widowControl/>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千升</w:t>
            </w:r>
            <w:r>
              <w:rPr>
                <w:rFonts w:hint="eastAsia" w:ascii="宋体" w:hAnsi="宋体" w:eastAsia="宋体" w:cs="宋体"/>
                <w:b/>
                <w:bCs/>
                <w:color w:val="auto"/>
                <w:sz w:val="24"/>
                <w:szCs w:val="24"/>
                <w:highlight w:val="none"/>
                <w:lang w:val="en-US" w:eastAsia="zh-CN" w:bidi="ar-SA"/>
              </w:rPr>
              <w:t xml:space="preserve">）</w:t>
            </w:r>
            <w:r/>
          </w:p>
        </w:tc>
        <w:tc>
          <w:tcPr>
            <w:shd w:val="clear" w:color="auto" w:fill="auto"/>
            <w:tcW w:w="1964" w:type="dxa"/>
            <w:vAlign w:val="center"/>
            <w:textDirection w:val="lrTb"/>
            <w:noWrap w:val="false"/>
          </w:tcPr>
          <w:p>
            <w:pPr>
              <w:jc w:val="center"/>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单价</w:t>
            </w:r>
            <w:r>
              <w:rPr>
                <w:rFonts w:hint="eastAsia" w:ascii="宋体" w:hAnsi="宋体" w:cs="宋体"/>
                <w:b/>
                <w:bCs/>
                <w:sz w:val="24"/>
                <w:szCs w:val="24"/>
                <w:highlight w:val="none"/>
                <w:lang w:val="en-US" w:eastAsia="zh-CN" w:bidi="ar-SA"/>
              </w:rPr>
              <w:t xml:space="preserve">不超过</w:t>
            </w:r>
            <w:r/>
          </w:p>
          <w:p>
            <w:pPr>
              <w:jc w:val="center"/>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（元/</w:t>
            </w:r>
            <w:r>
              <w:rPr>
                <w:rFonts w:hint="eastAsia" w:ascii="宋体" w:hAnsi="宋体" w:cs="宋体"/>
                <w:b/>
                <w:bCs/>
                <w:color w:val="auto"/>
                <w:sz w:val="24"/>
                <w:szCs w:val="24"/>
                <w:highlight w:val="none"/>
                <w:lang w:val="en-US" w:eastAsia="zh-CN" w:bidi="ar-SA"/>
              </w:rPr>
              <w:t xml:space="preserve">千升</w:t>
            </w:r>
            <w:r>
              <w:rPr>
                <w:rFonts w:hint="eastAsia" w:ascii="宋体" w:hAnsi="宋体" w:eastAsia="宋体" w:cs="宋体"/>
                <w:b/>
                <w:bCs/>
                <w:color w:val="auto"/>
                <w:sz w:val="24"/>
                <w:szCs w:val="24"/>
                <w:highlight w:val="none"/>
                <w:lang w:val="en-US" w:eastAsia="zh-CN" w:bidi="ar-SA"/>
              </w:rPr>
              <w:t xml:space="preserve">）</w:t>
            </w:r>
            <w:r/>
          </w:p>
        </w:tc>
        <w:tc>
          <w:tcPr>
            <w:shd w:val="clear" w:color="auto" w:fill="auto"/>
            <w:tcW w:w="1827" w:type="dxa"/>
            <w:vAlign w:val="center"/>
            <w:textDirection w:val="lrTb"/>
            <w:noWrap w:val="false"/>
          </w:tcPr>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预算总金额</w:t>
            </w:r>
            <w:r/>
          </w:p>
          <w:p>
            <w:pPr>
              <w:jc w:val="center"/>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（万元）</w:t>
            </w:r>
            <w:r/>
          </w:p>
        </w:tc>
      </w:tr>
      <w:tr>
        <w:trPr>
          <w:trHeight w:val="2156"/>
        </w:trPr>
        <w:tc>
          <w:tcPr>
            <w:shd w:val="clear" w:color="auto" w:fill="auto"/>
            <w:tcW w:w="1468"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芸苔素</w:t>
            </w:r>
            <w:r/>
          </w:p>
        </w:tc>
        <w:tc>
          <w:tcPr>
            <w:shd w:val="clear" w:color="auto" w:fill="auto"/>
            <w:tcW w:w="2236" w:type="dxa"/>
            <w:vAlign w:val="center"/>
            <w:textDirection w:val="lrTb"/>
            <w:noWrap w:val="false"/>
          </w:tcPr>
          <w:p>
            <w:pPr>
              <w:jc w:val="lef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14-羟基芸苔素甾醇0.0075%可溶液剂，小包装</w:t>
            </w:r>
            <w:r>
              <w:rPr>
                <w:rFonts w:hint="eastAsia" w:ascii="宋体" w:hAnsi="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t xml:space="preserve">25ml</w:t>
            </w:r>
            <w:r>
              <w:rPr>
                <w:rFonts w:hint="eastAsia" w:ascii="宋体" w:hAnsi="宋体" w:cs="宋体"/>
                <w:sz w:val="24"/>
                <w:szCs w:val="24"/>
                <w:highlight w:val="none"/>
                <w:lang w:val="en-US" w:eastAsia="zh-CN" w:bidi="ar-SA"/>
              </w:rPr>
              <w:t xml:space="preserve">/袋</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大包装</w:t>
            </w:r>
            <w:r>
              <w:rPr>
                <w:rFonts w:hint="eastAsia" w:ascii="宋体" w:hAnsi="宋体" w:eastAsia="宋体" w:cs="宋体"/>
                <w:sz w:val="24"/>
                <w:szCs w:val="24"/>
                <w:highlight w:val="none"/>
                <w:lang w:val="en-US" w:eastAsia="zh-CN" w:bidi="ar-SA"/>
              </w:rPr>
              <w:t xml:space="preserve">500ml/袋</w:t>
            </w:r>
            <w:r>
              <w:rPr>
                <w:rFonts w:hint="eastAsia" w:ascii="宋体" w:hAnsi="宋体" w:cs="宋体"/>
                <w:sz w:val="24"/>
                <w:szCs w:val="24"/>
                <w:highlight w:val="none"/>
                <w:lang w:val="en-US" w:eastAsia="zh-CN" w:bidi="ar-SA"/>
              </w:rPr>
              <w:t xml:space="preserve">各半可调剂</w:t>
            </w:r>
            <w:r>
              <w:rPr>
                <w:rFonts w:hint="eastAsia" w:ascii="宋体" w:hAnsi="宋体" w:eastAsia="宋体" w:cs="宋体"/>
                <w:sz w:val="24"/>
                <w:szCs w:val="24"/>
                <w:highlight w:val="none"/>
                <w:lang w:val="en-US" w:eastAsia="zh-CN" w:bidi="ar-SA"/>
              </w:rPr>
              <w:t xml:space="preserve">，按照最新标准质检，作物对象水稻</w:t>
            </w:r>
            <w:r>
              <w:rPr>
                <w:rFonts w:hint="eastAsia" w:ascii="宋体" w:hAnsi="宋体" w:cs="宋体"/>
                <w:sz w:val="24"/>
                <w:szCs w:val="24"/>
                <w:highlight w:val="none"/>
                <w:lang w:val="en-US" w:eastAsia="zh-CN" w:bidi="ar-SA"/>
              </w:rPr>
              <w:t xml:space="preserve">或</w:t>
            </w:r>
            <w:r>
              <w:rPr>
                <w:rFonts w:hint="eastAsia" w:ascii="宋体" w:hAnsi="宋体" w:eastAsia="宋体" w:cs="宋体"/>
                <w:sz w:val="24"/>
                <w:szCs w:val="24"/>
                <w:highlight w:val="none"/>
                <w:lang w:val="en-US" w:eastAsia="zh-CN" w:bidi="ar-SA"/>
              </w:rPr>
              <w:t xml:space="preserve">玉米。</w:t>
            </w:r>
            <w:r/>
          </w:p>
        </w:tc>
        <w:tc>
          <w:tcPr>
            <w:shd w:val="clear" w:color="auto" w:fill="auto"/>
            <w:tcW w:w="1950" w:type="dxa"/>
            <w:vAlign w:val="center"/>
            <w:textDirection w:val="lrTb"/>
            <w:noWrap/>
          </w:tcPr>
          <w:p>
            <w:pPr>
              <w:jc w:val="center"/>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22.532</w:t>
            </w:r>
            <w:r/>
          </w:p>
        </w:tc>
        <w:tc>
          <w:tcPr>
            <w:shd w:val="clear" w:color="auto" w:fill="auto"/>
            <w:tcW w:w="1964" w:type="dxa"/>
            <w:vAlign w:val="center"/>
            <w:textDirection w:val="lrTb"/>
            <w:noWrap/>
          </w:tcPr>
          <w:p>
            <w:pPr>
              <w:jc w:val="center"/>
              <w:widowControl/>
              <w:rPr>
                <w:rFonts w:hint="default"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112000</w:t>
            </w:r>
            <w:r/>
          </w:p>
        </w:tc>
        <w:tc>
          <w:tcPr>
            <w:shd w:val="clear" w:color="auto" w:fill="auto"/>
            <w:tcW w:w="1827" w:type="dxa"/>
            <w:vAlign w:val="center"/>
            <w:textDirection w:val="lrTb"/>
            <w:noWrap/>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252.3556</w:t>
            </w:r>
            <w:r/>
          </w:p>
        </w:tc>
      </w:tr>
    </w:tbl>
    <w:p>
      <w:pPr>
        <w:spacing w:line="400" w:lineRule="exact"/>
        <w:widowControl/>
        <w:rPr>
          <w:rFonts w:hint="default" w:ascii="宋体" w:hAnsi="宋体" w:cs="宋体"/>
          <w:b/>
          <w:bCs/>
          <w:sz w:val="24"/>
          <w:lang w:val="en-US" w:eastAsia="zh-CN" w:bidi="ar-SA"/>
        </w:rPr>
      </w:pPr>
      <w:r>
        <w:rPr>
          <w:rFonts w:hint="default" w:ascii="宋体" w:hAnsi="宋体" w:cs="宋体"/>
          <w:b/>
          <w:bCs/>
          <w:sz w:val="24"/>
          <w:lang w:val="en-US" w:eastAsia="zh-CN" w:bidi="ar-SA"/>
        </w:rPr>
      </w:r>
      <w:r/>
    </w:p>
    <w:p>
      <w:pPr>
        <w:spacing w:line="400" w:lineRule="exact"/>
        <w:widowControl/>
        <w:rPr>
          <w:rFonts w:hint="eastAsia" w:ascii="宋体" w:hAnsi="宋体" w:eastAsia="宋体" w:cs="宋体"/>
          <w:b/>
          <w:bCs/>
          <w:sz w:val="24"/>
          <w:highlight w:val="none"/>
          <w:lang w:val="en-US" w:eastAsia="zh-CN" w:bidi="ar-SA"/>
        </w:rPr>
      </w:pPr>
      <w:r>
        <w:rPr>
          <w:rFonts w:hint="eastAsia" w:ascii="宋体" w:hAnsi="宋体" w:eastAsia="宋体" w:cs="宋体"/>
          <w:b/>
          <w:bCs/>
          <w:sz w:val="24"/>
          <w:lang w:val="en-US" w:eastAsia="zh-CN" w:bidi="ar-SA"/>
        </w:rPr>
        <w:t xml:space="preserve">注：</w:t>
      </w:r>
      <w:r>
        <w:rPr>
          <w:rFonts w:hint="eastAsia" w:ascii="宋体" w:hAnsi="宋体" w:eastAsia="宋体" w:cs="宋体"/>
          <w:b/>
          <w:bCs/>
          <w:sz w:val="24"/>
          <w:highlight w:val="none"/>
          <w:lang w:val="en-US" w:eastAsia="zh-CN" w:bidi="ar-SA"/>
        </w:rPr>
        <w:t xml:space="preserve">1.该技术要求为本项目实质性技术要求, 不接受负偏离。</w:t>
      </w:r>
      <w:r/>
    </w:p>
    <w:p>
      <w:pPr>
        <w:numPr>
          <w:ilvl w:val="0"/>
          <w:numId w:val="4"/>
        </w:numPr>
        <w:ind w:left="0" w:firstLine="482"/>
        <w:spacing w:line="360" w:lineRule="auto"/>
        <w:rPr>
          <w:rFonts w:hint="eastAsia" w:ascii="宋体" w:hAnsi="宋体" w:eastAsia="宋体" w:cs="宋体"/>
          <w:b/>
          <w:bCs/>
          <w:sz w:val="24"/>
          <w:highlight w:val="none"/>
          <w:lang w:val="en-US" w:eastAsia="zh-CN" w:bidi="ar-SA"/>
        </w:rPr>
      </w:pPr>
      <w:r>
        <w:rPr>
          <w:rFonts w:hint="eastAsia" w:ascii="宋体" w:hAnsi="宋体" w:cs="宋体"/>
          <w:b/>
          <w:bCs/>
          <w:sz w:val="24"/>
          <w:highlight w:val="none"/>
          <w:lang w:val="en-US" w:eastAsia="zh-CN" w:bidi="ar-SA"/>
        </w:rPr>
        <w:t xml:space="preserve">单价不得超过112000</w:t>
      </w:r>
      <w:r>
        <w:rPr>
          <w:rFonts w:hint="eastAsia" w:ascii="宋体" w:hAnsi="宋体" w:cs="宋体"/>
          <w:b/>
          <w:bCs/>
          <w:sz w:val="24"/>
          <w:szCs w:val="24"/>
          <w:highlight w:val="none"/>
          <w:lang w:val="en-US" w:eastAsia="zh-CN" w:bidi="ar-SA"/>
        </w:rPr>
        <w:t xml:space="preserve">元/千升。</w:t>
      </w:r>
      <w:r/>
    </w:p>
    <w:p>
      <w:pPr>
        <w:numPr>
          <w:ilvl w:val="0"/>
          <w:numId w:val="4"/>
        </w:numPr>
        <w:ind w:left="0" w:firstLine="482"/>
        <w:spacing w:line="360" w:lineRule="auto"/>
        <w:rPr>
          <w:rFonts w:hint="eastAsia" w:ascii="宋体" w:hAnsi="宋体" w:eastAsia="宋体" w:cs="宋体"/>
          <w:b/>
          <w:bCs/>
          <w:sz w:val="24"/>
          <w:highlight w:val="none"/>
          <w:lang w:val="en-US" w:eastAsia="zh-CN" w:bidi="ar-SA"/>
        </w:rPr>
      </w:pPr>
      <w:r>
        <w:rPr>
          <w:rFonts w:hint="eastAsia" w:ascii="宋体" w:hAnsi="宋体" w:cs="宋体"/>
          <w:b/>
          <w:bCs/>
          <w:sz w:val="24"/>
          <w:highlight w:val="none"/>
          <w:lang w:val="en-US" w:eastAsia="zh-CN" w:bidi="ar-SA"/>
        </w:rPr>
        <w:t xml:space="preserve">本次采购预算用完，</w:t>
      </w:r>
      <w:r>
        <w:rPr>
          <w:rFonts w:hint="eastAsia" w:ascii="宋体" w:hAnsi="宋体" w:eastAsia="宋体" w:cs="宋体"/>
          <w:b/>
          <w:bCs/>
          <w:sz w:val="24"/>
          <w:highlight w:val="none"/>
          <w:lang w:val="en-US" w:eastAsia="zh-CN" w:bidi="ar-SA"/>
        </w:rPr>
        <w:t xml:space="preserve">采购不设具体数量，最终成交数量以不超过预算单价的最大整数计算，</w:t>
      </w:r>
      <w:r>
        <w:rPr>
          <w:rFonts w:hint="eastAsia" w:ascii="宋体" w:hAnsi="宋体" w:cs="宋体"/>
          <w:b/>
          <w:bCs/>
          <w:sz w:val="24"/>
          <w:highlight w:val="none"/>
          <w:lang w:val="en-US" w:eastAsia="zh-CN" w:bidi="ar-SA"/>
        </w:rPr>
        <w:t xml:space="preserve">以</w:t>
      </w:r>
      <w:r>
        <w:rPr>
          <w:rFonts w:hint="eastAsia" w:ascii="宋体" w:hAnsi="宋体" w:eastAsia="宋体" w:cs="Times New Roman"/>
          <w:b/>
          <w:bCs/>
          <w:sz w:val="24"/>
          <w:szCs w:val="24"/>
          <w:highlight w:val="none"/>
          <w:lang w:val="en-US" w:eastAsia="zh-CN"/>
        </w:rPr>
        <w:t xml:space="preserve">符合</w:t>
      </w:r>
      <w:r>
        <w:rPr>
          <w:rFonts w:hint="eastAsia" w:ascii="宋体" w:hAnsi="宋体" w:cs="Times New Roman"/>
          <w:b/>
          <w:bCs/>
          <w:sz w:val="24"/>
          <w:szCs w:val="24"/>
          <w:highlight w:val="none"/>
          <w:lang w:val="en-US" w:eastAsia="zh-CN"/>
        </w:rPr>
        <w:t xml:space="preserve">谈判</w:t>
      </w:r>
      <w:r>
        <w:rPr>
          <w:rFonts w:hint="eastAsia" w:ascii="宋体" w:hAnsi="宋体" w:eastAsia="宋体" w:cs="Times New Roman"/>
          <w:b/>
          <w:bCs/>
          <w:sz w:val="24"/>
          <w:szCs w:val="24"/>
          <w:highlight w:val="none"/>
          <w:lang w:val="en-US" w:eastAsia="zh-CN"/>
        </w:rPr>
        <w:t xml:space="preserve">文件要求且</w:t>
      </w:r>
      <w:r>
        <w:rPr>
          <w:rFonts w:hint="eastAsia" w:ascii="宋体" w:hAnsi="宋体" w:cs="Times New Roman"/>
          <w:b/>
          <w:bCs/>
          <w:sz w:val="24"/>
          <w:szCs w:val="24"/>
          <w:highlight w:val="none"/>
          <w:lang w:val="en-US" w:eastAsia="zh-CN"/>
        </w:rPr>
        <w:t xml:space="preserve">最终报价</w:t>
      </w:r>
      <w:r>
        <w:rPr>
          <w:rFonts w:hint="eastAsia" w:ascii="宋体" w:hAnsi="宋体" w:eastAsia="宋体" w:cs="Times New Roman"/>
          <w:b/>
          <w:bCs/>
          <w:color w:val="auto"/>
          <w:sz w:val="24"/>
          <w:szCs w:val="24"/>
          <w:highlight w:val="none"/>
          <w:lang w:val="en-US" w:eastAsia="zh-CN"/>
        </w:rPr>
        <w:t xml:space="preserve">单价</w:t>
      </w:r>
      <w:r>
        <w:rPr>
          <w:rFonts w:hint="eastAsia" w:ascii="宋体" w:hAnsi="宋体" w:eastAsia="宋体" w:cs="Times New Roman"/>
          <w:b/>
          <w:bCs/>
          <w:sz w:val="24"/>
          <w:szCs w:val="24"/>
          <w:highlight w:val="none"/>
          <w:lang w:val="en-US" w:eastAsia="zh-CN"/>
        </w:rPr>
        <w:t xml:space="preserve">最低的</w:t>
      </w:r>
      <w:r>
        <w:rPr>
          <w:rFonts w:hint="eastAsia" w:ascii="宋体" w:hAnsi="宋体" w:cs="Times New Roman"/>
          <w:b/>
          <w:bCs/>
          <w:sz w:val="24"/>
          <w:szCs w:val="24"/>
          <w:highlight w:val="none"/>
          <w:lang w:val="en-US" w:eastAsia="zh-CN"/>
        </w:rPr>
        <w:t xml:space="preserve">供应商</w:t>
      </w:r>
      <w:r>
        <w:rPr>
          <w:rFonts w:hint="eastAsia" w:ascii="宋体" w:hAnsi="宋体" w:eastAsia="宋体" w:cs="Times New Roman"/>
          <w:b/>
          <w:bCs/>
          <w:sz w:val="24"/>
          <w:szCs w:val="24"/>
          <w:highlight w:val="none"/>
          <w:lang w:val="en-US" w:eastAsia="zh-CN"/>
        </w:rPr>
        <w:t xml:space="preserve">为</w:t>
      </w:r>
      <w:r>
        <w:rPr>
          <w:rFonts w:hint="eastAsia" w:ascii="宋体" w:hAnsi="宋体" w:cs="Times New Roman"/>
          <w:b/>
          <w:bCs/>
          <w:sz w:val="24"/>
          <w:szCs w:val="24"/>
          <w:highlight w:val="none"/>
          <w:lang w:val="en-US" w:eastAsia="zh-CN"/>
        </w:rPr>
        <w:t xml:space="preserve">成交供应商。</w:t>
      </w:r>
      <w:r/>
    </w:p>
    <w:p>
      <w:pPr>
        <w:ind w:firstLine="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五、质量要求</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投标产品的技术规格符合农药行业标准的质量要求</w:t>
      </w:r>
      <w:r>
        <w:rPr>
          <w:rFonts w:hint="eastAsia" w:ascii="宋体" w:hAnsi="宋体" w:eastAsia="宋体" w:cs="Times New Roman"/>
          <w:sz w:val="24"/>
          <w:szCs w:val="24"/>
          <w:highlight w:val="none"/>
          <w:lang w:val="en-US" w:eastAsia="zh-CN" w:bidi="ar-SA"/>
        </w:rPr>
        <w:t xml:space="preserve">。成交人需保证产品质量，货到后采购人、成交人双方均在场共同抽样并送有检测资质且双方都认可的第三方进行</w:t>
      </w:r>
      <w:r>
        <w:rPr>
          <w:rFonts w:hint="eastAsia" w:ascii="宋体" w:hAnsi="宋体" w:cs="Times New Roman"/>
          <w:sz w:val="24"/>
          <w:szCs w:val="24"/>
          <w:highlight w:val="none"/>
          <w:lang w:val="en-US" w:eastAsia="zh-CN" w:bidi="ar-SA"/>
        </w:rPr>
        <w:t xml:space="preserve">检测</w:t>
      </w:r>
      <w:r>
        <w:rPr>
          <w:rFonts w:hint="eastAsia" w:ascii="宋体" w:hAnsi="宋体" w:eastAsia="宋体" w:cs="Times New Roman"/>
          <w:sz w:val="24"/>
          <w:szCs w:val="24"/>
          <w:highlight w:val="none"/>
          <w:lang w:val="en-US" w:eastAsia="zh-CN" w:bidi="ar-SA"/>
        </w:rPr>
        <w:t xml:space="preserve">，检测费用由成交人负责。</w:t>
      </w:r>
      <w:r/>
    </w:p>
    <w:p>
      <w:pPr>
        <w:pStyle w:val="1058"/>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六、产品要求</w:t>
      </w:r>
      <w:r/>
    </w:p>
    <w:p>
      <w:pPr>
        <w:pStyle w:val="1058"/>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以上产品的外包装袋符合按相关规定排版和印刷要求，包装牢固，无破损、无</w:t>
      </w:r>
      <w:r>
        <w:rPr>
          <w:rFonts w:hint="eastAsia" w:ascii="宋体" w:hAnsi="宋体" w:eastAsia="宋体" w:cs="宋体"/>
          <w:sz w:val="24"/>
          <w:szCs w:val="24"/>
          <w:highlight w:val="none"/>
          <w:lang w:eastAsia="zh-CN"/>
        </w:rPr>
        <w:t xml:space="preserve">玷污</w:t>
      </w:r>
      <w:r>
        <w:rPr>
          <w:rFonts w:hint="eastAsia" w:ascii="宋体" w:hAnsi="宋体" w:eastAsia="宋体" w:cs="宋体"/>
          <w:sz w:val="24"/>
          <w:szCs w:val="24"/>
          <w:highlight w:val="none"/>
        </w:rPr>
        <w:t xml:space="preserve">，每件包装内放置产品合格证。标识：所投产品包装袋要求为设计完善的标识、标牌、品牌名、重量等标志。供应商所投货物必须为原厂原装、全新的、符合国家有关质量标准的产品，如发现损坏，成交人应无偿补换。</w:t>
      </w:r>
      <w:r/>
    </w:p>
    <w:p>
      <w:pPr>
        <w:pStyle w:val="1058"/>
        <w:spacing w:line="360" w:lineRule="auto"/>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七、项目实施要求</w:t>
      </w:r>
      <w:r/>
    </w:p>
    <w:p>
      <w:pPr>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1、交付期限：</w:t>
      </w:r>
      <w:r>
        <w:rPr>
          <w:rFonts w:hint="eastAsia" w:ascii="Times New Roman" w:hAnsi="Times New Roman" w:eastAsia="宋体" w:cs="Times New Roman"/>
          <w:b/>
          <w:bCs/>
          <w:color w:val="auto"/>
          <w:sz w:val="24"/>
          <w:highlight w:val="none"/>
          <w:u w:val="single"/>
          <w:lang w:val="en-US" w:eastAsia="zh-CN" w:bidi="ar-SA"/>
        </w:rPr>
        <w:t xml:space="preserve">在合同签订后，3日内将合同标的全部交付完毕。逾</w:t>
      </w:r>
      <w:r>
        <w:rPr>
          <w:rFonts w:hint="eastAsia"/>
          <w:b/>
          <w:bCs/>
          <w:color w:val="auto"/>
          <w:sz w:val="24"/>
          <w:highlight w:val="none"/>
          <w:u w:val="single"/>
          <w:lang w:val="en-US" w:eastAsia="zh-CN" w:bidi="ar-SA"/>
        </w:rPr>
        <w:t xml:space="preserve">期送货按照货款金额10%处罚。</w:t>
      </w:r>
      <w:r/>
    </w:p>
    <w:p>
      <w:pPr>
        <w:pStyle w:val="1058"/>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产品送到项目实施现场后，成交人与采购人一起按合同清单依合同标准和合同规定的性能指标进行验收。采购人验收合格后，双方共同签署验收合格证明。验收中发现产品达不到合同规定的性能指标，或货物有明显损坏，成交人必须更换，并且赔偿由此给采购人造成的损失。</w:t>
      </w:r>
      <w:r/>
    </w:p>
    <w:p>
      <w:pPr>
        <w:pStyle w:val="1058"/>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采购人对产品验收合格后，双方共同签署验收合格证明。验收中发现产品达不到验收标准或合同规定的性能指标，成交人必须更换，并且赔偿由此给采购人造成的损失。验收合格后由成交人按采购人的需求送至采购人指定位置。</w:t>
      </w:r>
      <w:r/>
    </w:p>
    <w:p>
      <w:pPr>
        <w:pStyle w:val="1058"/>
        <w:ind w:firstLine="480"/>
        <w:spacing w:line="360" w:lineRule="auto"/>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4、供应商必须承诺谈判文件中提出的全部技术规格与要求，如果以其中某些条款不响应时，应在文件中逐条列出，未列出的视同响应。</w:t>
      </w:r>
      <w:r/>
    </w:p>
    <w:p>
      <w:pPr>
        <w:jc w:val="left"/>
        <w:spacing w:line="348" w:lineRule="auto"/>
        <w:rPr>
          <w:rFonts w:hint="default" w:ascii="宋体" w:hAnsi="宋体" w:cs="宋体"/>
          <w:b/>
          <w:sz w:val="24"/>
          <w:szCs w:val="21"/>
          <w:lang w:val="zh-CN" w:eastAsia="zh-CN" w:bidi="ar-SA"/>
        </w:rPr>
      </w:pPr>
      <w:r>
        <w:rPr>
          <w:rFonts w:hint="eastAsia" w:ascii="宋体" w:hAnsi="宋体" w:cs="宋体"/>
          <w:b/>
          <w:sz w:val="24"/>
          <w:szCs w:val="21"/>
          <w:lang w:val="en-US" w:eastAsia="zh-CN" w:bidi="ar-SA"/>
        </w:rPr>
        <w:t xml:space="preserve">八、</w:t>
      </w:r>
      <w:r>
        <w:rPr>
          <w:rFonts w:hint="eastAsia" w:ascii="宋体" w:hAnsi="宋体" w:cs="宋体"/>
          <w:b/>
          <w:sz w:val="24"/>
          <w:szCs w:val="21"/>
          <w:lang w:val="zh-CN" w:eastAsia="zh-CN" w:bidi="ar-SA"/>
        </w:rPr>
        <w:t xml:space="preserve">其他要求</w:t>
      </w:r>
      <w:r/>
    </w:p>
    <w:p>
      <w:pPr>
        <w:ind w:firstLine="480"/>
        <w:spacing w:line="348" w:lineRule="auto"/>
        <w:rPr>
          <w:rFonts w:hint="default" w:ascii="宋体" w:hAnsi="宋体" w:cs="宋体"/>
          <w:sz w:val="24"/>
          <w:lang w:val="zh-CN" w:eastAsia="zh-CN" w:bidi="ar-SA"/>
        </w:rPr>
      </w:pPr>
      <w:r>
        <w:rPr>
          <w:rFonts w:hint="eastAsia" w:ascii="宋体" w:hAnsi="宋体" w:cs="宋体"/>
          <w:sz w:val="24"/>
          <w:lang w:val="zh-CN" w:eastAsia="zh-CN" w:bidi="ar-SA"/>
        </w:rPr>
        <w:t xml:space="preserve">其它要求见招标文件《拟签订的合同文本》。</w:t>
      </w:r>
      <w:r/>
    </w:p>
    <w:p>
      <w:pPr>
        <w:rPr>
          <w:rFonts w:hint="default" w:ascii="仿宋" w:hAnsi="仿宋" w:eastAsia="仿宋"/>
          <w:b/>
          <w:sz w:val="36"/>
          <w:lang w:val="en-US" w:eastAsia="zh-CN" w:bidi="ar-SA"/>
        </w:rPr>
      </w:pPr>
      <w:r>
        <w:rPr>
          <w:rFonts w:hint="default" w:ascii="仿宋" w:hAnsi="仿宋" w:eastAsia="仿宋"/>
          <w:b/>
          <w:sz w:val="36"/>
          <w:lang w:val="en-US" w:eastAsia="zh-CN" w:bidi="ar-SA"/>
        </w:rPr>
      </w:r>
      <w:r/>
    </w:p>
    <w:p>
      <w:pPr>
        <w:ind w:right="-199"/>
        <w:jc w:val="center"/>
        <w:spacing w:line="360" w:lineRule="auto"/>
        <w:rPr>
          <w:rFonts w:ascii="宋体" w:hAnsi="宋体" w:cs="宋体"/>
          <w:b/>
          <w:sz w:val="28"/>
          <w:szCs w:val="28"/>
        </w:rPr>
        <w:sectPr>
          <w:footnotePr/>
          <w:endnotePr/>
          <w:type w:val="nextPage"/>
          <w:pgSz w:w="11770" w:h="16700" w:orient="portrait"/>
          <w:pgMar w:top="1440" w:right="1080" w:bottom="1440" w:left="1080" w:header="850" w:footer="992" w:gutter="0"/>
          <w:cols w:num="1" w:sep="0" w:space="1701" w:equalWidth="1"/>
          <w:docGrid w:linePitch="360"/>
        </w:sectPr>
      </w:pPr>
      <w:r>
        <w:rPr>
          <w:rFonts w:ascii="宋体" w:hAnsi="宋体" w:cs="宋体"/>
          <w:b/>
          <w:sz w:val="28"/>
          <w:szCs w:val="28"/>
        </w:rPr>
      </w:r>
      <w:r/>
    </w:p>
    <w:p>
      <w:pPr>
        <w:pStyle w:val="863"/>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2</w:t>
      </w:r>
      <w:r>
        <w:rPr>
          <w:rFonts w:hint="eastAsia" w:ascii="宋体" w:hAnsi="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承诺书</w:t>
      </w:r>
      <w:r/>
    </w:p>
    <w:p>
      <w:pPr>
        <w:pStyle w:val="863"/>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cs="宋体"/>
          <w:color w:val="auto"/>
          <w:sz w:val="24"/>
          <w:highlight w:val="none"/>
          <w:lang w:eastAsia="zh-CN"/>
        </w:rPr>
        <w:t xml:space="preserve">新沂市嘉德技术咨询有限公司</w:t>
      </w:r>
      <w:r>
        <w:rPr>
          <w:rFonts w:hint="eastAsia" w:ascii="宋体" w:hAnsi="宋体" w:eastAsia="宋体" w:cs="宋体"/>
          <w:color w:val="auto"/>
          <w:sz w:val="24"/>
          <w:highlight w:val="none"/>
        </w:rPr>
        <w:t xml:space="preserve">：</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rPr>
        <w:t xml:space="preserve">谈判文件</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JSZC-320322-JDXZ-T2026-0006</w:t>
      </w:r>
      <w:r>
        <w:rPr>
          <w:rFonts w:hint="eastAsia" w:ascii="宋体" w:hAnsi="宋体" w:eastAsia="宋体" w:cs="宋体"/>
          <w:color w:val="auto"/>
          <w:sz w:val="24"/>
          <w:szCs w:val="24"/>
          <w:highlight w:val="none"/>
        </w:rPr>
        <w:t xml:space="preserve">）要求，本供应商正式提交以下首次响应文件。</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1866900</wp:posOffset>
                </wp:positionH>
                <wp:positionV relativeFrom="paragraph">
                  <wp:posOffset>16510</wp:posOffset>
                </wp:positionV>
                <wp:extent cx="1270" cy="16510"/>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flipV="1">
                          <a:off x="0" y="0"/>
                          <a:ext cx="127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none"/>
        </w:rPr>
        <w:t xml:space="preserve">（1）承诺书；</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（2）谈判报价表；</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（4）谈判</w:t>
      </w:r>
      <w:r>
        <w:rPr>
          <w:rFonts w:hint="eastAsia" w:ascii="宋体" w:hAnsi="宋体" w:eastAsia="宋体" w:cs="宋体"/>
          <w:bCs/>
          <w:color w:val="auto"/>
          <w:sz w:val="24"/>
          <w:szCs w:val="24"/>
          <w:highlight w:val="none"/>
        </w:rPr>
        <w:t xml:space="preserve">文件</w:t>
      </w:r>
      <w:r>
        <w:rPr>
          <w:rFonts w:hint="eastAsia" w:ascii="宋体" w:hAnsi="宋体" w:eastAsia="宋体" w:cs="宋体"/>
          <w:color w:val="auto"/>
          <w:sz w:val="24"/>
          <w:szCs w:val="24"/>
          <w:highlight w:val="none"/>
        </w:rPr>
        <w:t xml:space="preserve">要求提供的其他响应文件。</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我单位按照谈判文件的要求编制响应文件，并对其提交的响应文件的真实性、合法性承担法律责任。</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3134360</wp:posOffset>
                </wp:positionH>
                <wp:positionV relativeFrom="paragraph">
                  <wp:posOffset>297180</wp:posOffset>
                </wp:positionV>
                <wp:extent cx="635" cy="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2800350</wp:posOffset>
                </wp:positionH>
                <wp:positionV relativeFrom="paragraph">
                  <wp:posOffset>594360</wp:posOffset>
                </wp:positionV>
                <wp:extent cx="1270"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rPr>
        <w:t xml:space="preserve">一、完全承担根据《谈判文件》规定完成合同的责任和义务（如有偏离，将全部填写在偏离表中）。</w:t>
      </w:r>
      <w:r/>
    </w:p>
    <w:p>
      <w:pPr>
        <w:pStyle w:val="106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pStyle w:val="863"/>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三、已详细审核谈判文件（含谈判文件的澄清或者修改），本供应商完全理解并同意放弃对这方面不明及误解的权利。</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五、报价有效期为45个工作日。</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六、同意向贵方提供贵方可能要求的与本次谈判采购有关的任何证据或资料。</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pStyle w:val="863"/>
        <w:ind w:right="29"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八、供应商同意在授予合同后，按照谈判文件的有关规定支付招标代理服务费。</w:t>
      </w:r>
      <w:r/>
    </w:p>
    <w:p>
      <w:pPr>
        <w:pStyle w:val="863"/>
        <w:ind w:right="29"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供应商（盖电子签章）：</w:t>
      </w:r>
      <w:r/>
    </w:p>
    <w:p>
      <w:pPr>
        <w:pStyle w:val="863"/>
        <w:ind w:right="29"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w:t>
      </w:r>
      <w:r>
        <w:rPr>
          <w:rFonts w:hint="eastAsia" w:ascii="宋体" w:hAnsi="宋体" w:eastAsia="宋体" w:cs="宋体"/>
          <w:color w:val="auto"/>
          <w:sz w:val="24"/>
          <w:szCs w:val="24"/>
          <w:highlight w:val="none"/>
        </w:rPr>
        <w:t xml:space="preserve">签字或电子签章</w:t>
      </w:r>
      <w:r>
        <w:rPr>
          <w:rFonts w:hint="eastAsia" w:ascii="宋体" w:hAnsi="宋体" w:eastAsia="宋体" w:cs="宋体"/>
          <w:color w:val="auto"/>
          <w:sz w:val="24"/>
          <w:highlight w:val="none"/>
        </w:rPr>
        <w:t xml:space="preserve">）：</w:t>
      </w:r>
      <w:r/>
    </w:p>
    <w:p>
      <w:pPr>
        <w:pStyle w:val="863"/>
        <w:ind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pStyle w:val="863"/>
        <w:ind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移动电话：</w:t>
      </w:r>
      <w:r/>
    </w:p>
    <w:p>
      <w:pPr>
        <w:pStyle w:val="863"/>
        <w:ind w:right="29" w:firstLine="396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sectPr>
          <w:footnotePr/>
          <w:endnotePr/>
          <w:type w:val="nextPage"/>
          <w:pgSz w:w="11770" w:h="16700" w:orient="portrait"/>
          <w:pgMar w:top="1440" w:right="1080" w:bottom="1440" w:left="1080" w:header="850" w:footer="992" w:gutter="0"/>
          <w:cols w:num="1" w:sep="0" w:space="1701" w:equalWidth="1"/>
          <w:docGrid w:linePitch="360"/>
        </w:sectPr>
      </w:pPr>
      <w:r>
        <w:rPr>
          <w:rFonts w:hint="eastAsia" w:ascii="宋体" w:hAnsi="宋体" w:eastAsia="宋体" w:cs="宋体"/>
          <w:b/>
          <w:color w:val="auto"/>
          <w:sz w:val="28"/>
          <w:szCs w:val="28"/>
          <w:highlight w:val="none"/>
        </w:rPr>
      </w:r>
      <w:r/>
    </w:p>
    <w:p>
      <w:pPr>
        <w:pStyle w:val="863"/>
        <w:numPr>
          <w:ilvl w:val="0"/>
          <w:numId w:val="5"/>
        </w:numPr>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谈判</w:t>
      </w:r>
      <w:r>
        <w:rPr>
          <w:rFonts w:hint="eastAsia" w:ascii="宋体" w:hAnsi="宋体" w:eastAsia="宋体" w:cs="宋体"/>
          <w:b/>
          <w:bCs/>
          <w:color w:val="auto"/>
          <w:sz w:val="28"/>
          <w:szCs w:val="28"/>
          <w:highlight w:val="none"/>
        </w:rPr>
        <w:t xml:space="preserve">报价表</w:t>
      </w:r>
      <w:r/>
    </w:p>
    <w:p>
      <w:pPr>
        <w:pStyle w:val="863"/>
        <w:numPr>
          <w:ilvl w:val="0"/>
          <w:numId w:val="0"/>
        </w:numPr>
        <w:ind w:right="-199"/>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谈判</w:t>
      </w:r>
      <w:r>
        <w:rPr>
          <w:rFonts w:hint="eastAsia" w:ascii="宋体" w:hAnsi="宋体" w:eastAsia="宋体" w:cs="宋体"/>
          <w:b/>
          <w:bCs/>
          <w:color w:val="auto"/>
          <w:sz w:val="28"/>
          <w:szCs w:val="28"/>
          <w:highlight w:val="none"/>
        </w:rPr>
        <w:t xml:space="preserve">报价表</w:t>
      </w:r>
      <w:r/>
    </w:p>
    <w:p>
      <w:pPr>
        <w:pStyle w:val="86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JSZC-320322-JDXZ-T2026-0006</w:t>
      </w:r>
      <w:r>
        <w:rPr>
          <w:rFonts w:hint="eastAsia" w:ascii="宋体" w:hAnsi="宋体" w:eastAsia="宋体" w:cs="宋体"/>
          <w:color w:val="auto"/>
          <w:sz w:val="24"/>
          <w:szCs w:val="24"/>
          <w:highlight w:val="none"/>
        </w:rPr>
        <w:t xml:space="preserve"> </w:t>
      </w:r>
      <w:r/>
    </w:p>
    <w:p>
      <w:pPr>
        <w:pStyle w:val="86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63"/>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货币单位：人民币</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元</w:t>
      </w:r>
      <w:r/>
    </w:p>
    <w:tbl>
      <w:tblPr>
        <w:tblStyle w:val="853"/>
        <w:tblW w:w="864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38"/>
        <w:gridCol w:w="2139"/>
        <w:gridCol w:w="2062"/>
        <w:gridCol w:w="1710"/>
      </w:tblGrid>
      <w:tr>
        <w:trPr>
          <w:cantSplit/>
          <w:jc w:val="center"/>
          <w:trHeight w:val="884"/>
        </w:trPr>
        <w:tc>
          <w:tcPr>
            <w:tcW w:w="2738" w:type="dxa"/>
            <w:vAlign w:val="center"/>
            <w:textDirection w:val="lrTb"/>
            <w:noWrap w:val="false"/>
          </w:tcPr>
          <w:p>
            <w:pPr>
              <w:pStyle w:val="863"/>
              <w:ind w:right="-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139" w:type="dxa"/>
            <w:vAlign w:val="center"/>
            <w:textDirection w:val="lrTb"/>
            <w:noWrap w:val="false"/>
          </w:tcPr>
          <w:p>
            <w:pPr>
              <w:pStyle w:val="863"/>
              <w:ind w:right="-5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项目内容</w:t>
            </w:r>
            <w:r/>
          </w:p>
        </w:tc>
        <w:tc>
          <w:tcPr>
            <w:tcW w:w="2062" w:type="dxa"/>
            <w:vAlign w:val="center"/>
            <w:textDirection w:val="lrTb"/>
            <w:noWrap w:val="false"/>
          </w:tcPr>
          <w:p>
            <w:pPr>
              <w:pStyle w:val="863"/>
              <w:ind w:right="-5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/千升）</w:t>
            </w:r>
            <w:r/>
          </w:p>
        </w:tc>
        <w:tc>
          <w:tcPr>
            <w:tcW w:w="1710" w:type="dxa"/>
            <w:vAlign w:val="center"/>
            <w:textDirection w:val="lrTb"/>
            <w:noWrap w:val="false"/>
          </w:tcPr>
          <w:p>
            <w:pPr>
              <w:pStyle w:val="863"/>
              <w:ind w:right="-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884"/>
        </w:trPr>
        <w:tc>
          <w:tcPr>
            <w:tcW w:w="2738" w:type="dxa"/>
            <w:vAlign w:val="center"/>
            <w:textDirection w:val="lrTb"/>
            <w:noWrap w:val="false"/>
          </w:tcPr>
          <w:p>
            <w:pPr>
              <w:pStyle w:val="863"/>
              <w:ind w:right="-57"/>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沛县2026年中央农业防灾减灾和水利救灾资金（防灾减灾第六批）和省级农业生产应急救灾资金</w:t>
            </w:r>
            <w:r>
              <w:rPr>
                <w:rFonts w:hint="eastAsia" w:ascii="宋体" w:hAnsi="宋体" w:eastAsia="宋体" w:cs="宋体"/>
                <w:color w:val="auto"/>
                <w:sz w:val="24"/>
                <w:szCs w:val="24"/>
                <w:highlight w:val="none"/>
              </w:rPr>
              <w:t xml:space="preserve"> </w:t>
            </w:r>
            <w:r/>
          </w:p>
        </w:tc>
        <w:tc>
          <w:tcPr>
            <w:tcW w:w="2139" w:type="dxa"/>
            <w:vAlign w:val="center"/>
            <w:textDirection w:val="lrTb"/>
            <w:noWrap w:val="false"/>
          </w:tcPr>
          <w:p>
            <w:pPr>
              <w:pStyle w:val="863"/>
              <w:ind w:right="-57"/>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详见响应文件</w:t>
            </w:r>
            <w:r/>
          </w:p>
        </w:tc>
        <w:tc>
          <w:tcPr>
            <w:tcW w:w="2062" w:type="dxa"/>
            <w:vAlign w:val="center"/>
            <w:textDirection w:val="lrTb"/>
            <w:noWrap w:val="false"/>
          </w:tcPr>
          <w:p>
            <w:pPr>
              <w:pStyle w:val="863"/>
              <w:ind w:right="-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0" w:type="dxa"/>
            <w:vAlign w:val="center"/>
            <w:textDirection w:val="lrTb"/>
            <w:noWrap w:val="false"/>
          </w:tcPr>
          <w:p>
            <w:pPr>
              <w:pStyle w:val="863"/>
              <w:contextualSpacing/>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84"/>
        </w:trPr>
        <w:tc>
          <w:tcPr>
            <w:gridSpan w:val="2"/>
            <w:tcW w:w="4877" w:type="dxa"/>
            <w:vAlign w:val="center"/>
            <w:textDirection w:val="lrTb"/>
            <w:noWrap w:val="false"/>
          </w:tcPr>
          <w:p>
            <w:pPr>
              <w:pStyle w:val="863"/>
              <w:ind w:right="-57"/>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w:t>
            </w:r>
            <w:r>
              <w:rPr>
                <w:rFonts w:hint="eastAsia" w:ascii="宋体"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大</w:t>
            </w:r>
            <w:r>
              <w:rPr>
                <w:rFonts w:hint="eastAsia" w:ascii="宋体" w:hAnsi="宋体" w:eastAsia="宋体" w:cs="宋体"/>
                <w:color w:val="auto"/>
                <w:sz w:val="24"/>
                <w:szCs w:val="24"/>
                <w:highlight w:val="none"/>
              </w:rPr>
              <w:t xml:space="preserve">写）</w:t>
            </w:r>
            <w:r/>
          </w:p>
        </w:tc>
        <w:tc>
          <w:tcPr>
            <w:gridSpan w:val="2"/>
            <w:tcW w:w="3772" w:type="dxa"/>
            <w:vAlign w:val="center"/>
            <w:textDirection w:val="lrTb"/>
            <w:noWrap w:val="false"/>
          </w:tcPr>
          <w:p>
            <w:pPr>
              <w:pStyle w:val="863"/>
              <w:contextualSpacing/>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6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right="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本次采购预算用完，采购不设具体数量，最终成交数量以不超过预算单价的最大整数计算。</w:t>
      </w:r>
      <w:r/>
    </w:p>
    <w:p>
      <w:pPr>
        <w:pStyle w:val="863"/>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2、报价大小写不一致以大写为准；</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3、偏离说明：详见《偏离表》；</w:t>
      </w:r>
      <w:r/>
    </w:p>
    <w:p>
      <w:pPr>
        <w:pStyle w:val="863"/>
        <w:ind w:left="479"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4、如最后报价未列明单价，则最后所报各项单价计算方法为：（最后报价/最初报价）* 各项最初报价的单价。</w:t>
      </w:r>
      <w:r/>
    </w:p>
    <w:p>
      <w:pPr>
        <w:pStyle w:val="863"/>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 xml:space="preserve">4、分项价格表</w:t>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分项价格表</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eastAsia="宋体" w:cs="宋体"/>
          <w:color w:val="auto"/>
          <w:sz w:val="24"/>
          <w:highlight w:val="yellow"/>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JSZC-320322-JDXZ-T2026-0006</w:t>
      </w:r>
      <w:r/>
    </w:p>
    <w:p>
      <w:pPr>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货币单位：人民币元</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tbl>
      <w:tblPr>
        <w:tblStyle w:val="853"/>
        <w:tblW w:w="995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989"/>
        <w:gridCol w:w="1163"/>
        <w:gridCol w:w="912"/>
        <w:gridCol w:w="1218"/>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数量</w:t>
            </w:r>
            <w:r>
              <w:rPr>
                <w:rFonts w:hint="eastAsia" w:ascii="宋体" w:hAnsi="宋体" w:eastAsia="宋体" w:cs="宋体"/>
                <w:color w:val="auto"/>
                <w:sz w:val="21"/>
                <w:szCs w:val="21"/>
                <w:highlight w:val="none"/>
              </w:rPr>
              <w:t xml:space="preserve">单位</w:t>
            </w:r>
            <w:r/>
          </w:p>
        </w:tc>
        <w:tc>
          <w:tcPr>
            <w:shd w:val="clear" w:color="auto" w:fill="c0c0c0"/>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数量</w:t>
            </w:r>
            <w:r/>
          </w:p>
        </w:tc>
        <w:tc>
          <w:tcPr>
            <w:shd w:val="clear" w:color="auto" w:fill="c0c0c0"/>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元</w:t>
            </w:r>
            <w:r>
              <w:rPr>
                <w:rFonts w:hint="eastAsia" w:ascii="宋体" w:hAnsi="宋体" w:cs="宋体"/>
                <w:color w:val="auto"/>
                <w:sz w:val="21"/>
                <w:szCs w:val="21"/>
                <w:highlight w:val="none"/>
                <w:lang w:val="en-US" w:eastAsia="zh-CN"/>
              </w:rPr>
              <w:t xml:space="preserve">/千升</w:t>
            </w:r>
            <w:r>
              <w:rPr>
                <w:rFonts w:hint="eastAsia" w:ascii="宋体" w:hAnsi="宋体" w:cs="宋体"/>
                <w:color w:val="auto"/>
                <w:sz w:val="21"/>
                <w:szCs w:val="21"/>
                <w:highlight w:val="none"/>
                <w:lang w:eastAsia="zh-CN"/>
              </w:rPr>
              <w:t xml:space="preserve">）</w:t>
            </w:r>
            <w:r/>
          </w:p>
        </w:tc>
        <w:tc>
          <w:tcPr>
            <w:shd w:val="clear" w:color="auto" w:fill="c0c0c0"/>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300"/>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w:t>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4"/>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5"/>
        </w:trPr>
        <w:tc>
          <w:tcPr>
            <w:tcMar>
              <w:left w:w="15" w:type="dxa"/>
              <w:top w:w="15" w:type="dxa"/>
              <w:right w:w="15" w:type="dxa"/>
              <w:bottom w:w="0" w:type="dxa"/>
            </w:tcMar>
            <w:tcW w:w="505" w:type="dxa"/>
            <w:vAlign w:val="center"/>
            <w:textDirection w:val="lrTb"/>
            <w:noWrap w:val="false"/>
          </w:tcPr>
          <w:p>
            <w:pPr>
              <w:jc w:val="center"/>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Mar>
              <w:left w:w="15" w:type="dxa"/>
              <w:top w:w="15" w:type="dxa"/>
              <w:right w:w="15" w:type="dxa"/>
              <w:bottom w:w="0" w:type="dxa"/>
            </w:tcMar>
            <w:tcW w:w="97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005"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346"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84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89"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16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91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bottom w:w="0" w:type="dxa"/>
            </w:tcMar>
            <w:tcW w:w="1218"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享受政府采购支持政策的残疾人福利性单位的条件以《三部门联合发布关于促进残疾人就业政府采购政策的通知》（财库〔2017〕141号）规定为准。</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①如果不提供详细分项报价的，将视为没有实质性响应招标文件。</w:t>
      </w:r>
      <w:r/>
    </w:p>
    <w:p>
      <w:pPr>
        <w:ind w:firstLine="420"/>
        <w:keepLines w:val="0"/>
        <w:keepNext w:val="0"/>
        <w:pageBreakBefore w:val="0"/>
        <w:spacing w:line="288"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②投标人对以上数据的真实性负责。</w:t>
      </w:r>
      <w:r/>
    </w:p>
    <w:p>
      <w:pPr>
        <w:ind w:firstLine="211"/>
        <w:keepLines w:val="0"/>
        <w:keepNext w:val="0"/>
        <w:pageBreakBefore w:val="0"/>
        <w:spacing w:line="288" w:lineRule="auto"/>
        <w:widowControl w:val="off"/>
        <w:rPr>
          <w:rFonts w:hint="eastAsia"/>
          <w:lang w:val="en-US" w:eastAsia="zh-CN"/>
        </w:rPr>
      </w:pPr>
      <w:r>
        <w:rPr>
          <w:rFonts w:hint="eastAsia" w:ascii="宋体" w:hAnsi="宋体" w:cs="宋体"/>
          <w:b/>
          <w:i/>
          <w:color w:val="auto"/>
          <w:highlight w:val="none"/>
          <w:lang w:eastAsia="zh-CN"/>
        </w:rPr>
        <w:t xml:space="preserve">新沂市嘉德技术咨询有限公司</w:t>
      </w:r>
      <w:r>
        <w:rPr>
          <w:rFonts w:hint="eastAsia" w:ascii="宋体" w:hAnsi="宋体" w:eastAsia="宋体" w:cs="宋体"/>
          <w:b/>
          <w:i/>
          <w:color w:val="auto"/>
          <w:highlight w:val="none"/>
        </w:rPr>
        <w:t xml:space="preserve">有权将以上内容进行公示。</w:t>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5</w:t>
      </w:r>
      <w:r>
        <w:rPr>
          <w:rFonts w:hint="eastAsia" w:ascii="宋体" w:hAnsi="宋体" w:eastAsia="宋体" w:cs="宋体"/>
          <w:b/>
          <w:color w:val="auto"/>
          <w:sz w:val="28"/>
          <w:szCs w:val="28"/>
          <w:highlight w:val="none"/>
        </w:rPr>
        <w:t xml:space="preserve">、偏离表</w:t>
      </w:r>
      <w:r/>
    </w:p>
    <w:p>
      <w:pPr>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JSZC-320322-JDXZ-T2026-0006</w:t>
      </w:r>
      <w:r/>
    </w:p>
    <w:tbl>
      <w:tblPr>
        <w:tblStyle w:val="8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837"/>
        <w:gridCol w:w="1811"/>
        <w:gridCol w:w="1362"/>
        <w:gridCol w:w="1866"/>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谈判文件（含谈判文件的澄清或者修改）的要求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1"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首次响应文件中的内容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6" w:type="dxa"/>
            <w:vAlign w:val="center"/>
            <w:textDirection w:val="lrTb"/>
            <w:noWrap/>
          </w:tcPr>
          <w:p>
            <w:pPr>
              <w:jc w:val="center"/>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1"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6" w:type="dxa"/>
            <w:textDirection w:val="lrTb"/>
            <w:noWrap/>
          </w:tcPr>
          <w:p>
            <w:pPr>
              <w:jc w:val="both"/>
              <w:spacing w:after="0" w:line="240" w:lineRule="auto"/>
              <w:widowControl/>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en-US" w:bidi="ar-SA"/>
              </w:rPr>
              <w:t xml:space="preserve"> </w:t>
            </w:r>
            <w:r/>
          </w:p>
        </w:tc>
      </w:tr>
    </w:tbl>
    <w:p>
      <w:pPr>
        <w:pStyle w:val="863"/>
        <w:rPr>
          <w:rFonts w:ascii="仿宋" w:hAnsi="仿宋" w:eastAsia="仿宋"/>
          <w:color w:val="auto"/>
          <w:sz w:val="24"/>
          <w:highlight w:val="none"/>
          <w:u w:val="single"/>
        </w:rPr>
      </w:pPr>
      <w:r>
        <w:rPr>
          <w:rFonts w:ascii="仿宋" w:hAnsi="仿宋" w:eastAsia="仿宋"/>
          <w:color w:val="auto"/>
          <w:sz w:val="24"/>
          <w:highlight w:val="none"/>
          <w:u w:val="single"/>
        </w:rPr>
      </w:r>
      <w:r/>
    </w:p>
    <w:p>
      <w:pPr>
        <w:pStyle w:val="863"/>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注：供应商的首次响应文件中的内容与谈判文件（含谈判文件的澄清或者修改，下同）的要求不同时，逐条列在偏离表中，否则将认为供应商接受谈判文件的要求。</w:t>
      </w:r>
      <w:r/>
    </w:p>
    <w:p>
      <w:pPr>
        <w:pStyle w:val="863"/>
        <w:rPr>
          <w:rFonts w:ascii="仿宋" w:hAnsi="仿宋" w:eastAsia="仿宋"/>
          <w:color w:val="auto"/>
          <w:sz w:val="24"/>
          <w:highlight w:val="none"/>
        </w:rPr>
      </w:pPr>
      <w:r>
        <w:rPr>
          <w:rFonts w:ascii="仿宋" w:hAnsi="仿宋" w:eastAsia="仿宋"/>
          <w:color w:val="auto"/>
          <w:sz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893"/>
        <w:rPr>
          <w:color w:val="auto"/>
          <w:highlight w:val="none"/>
        </w:rPr>
      </w:pPr>
      <w:r>
        <w:rPr>
          <w:color w:val="auto"/>
          <w:highlight w:val="none"/>
        </w:rPr>
      </w:r>
      <w:r/>
    </w:p>
    <w:p>
      <w:pPr>
        <w:pStyle w:val="894"/>
        <w:rPr>
          <w:color w:val="auto"/>
          <w:highlight w:val="none"/>
        </w:rPr>
      </w:pPr>
      <w:r>
        <w:rPr>
          <w:color w:val="auto"/>
          <w:highlight w:val="none"/>
        </w:rPr>
      </w:r>
      <w:r/>
    </w:p>
    <w:p>
      <w:pPr>
        <w:pStyle w:val="892"/>
        <w:rPr>
          <w:color w:val="auto"/>
          <w:highlight w:val="none"/>
        </w:rPr>
      </w:pPr>
      <w:r>
        <w:rPr>
          <w:color w:val="auto"/>
          <w:highlight w:val="none"/>
        </w:rPr>
      </w:r>
      <w:r/>
    </w:p>
    <w:p>
      <w:pPr>
        <w:pStyle w:val="893"/>
        <w:rPr>
          <w:color w:val="auto"/>
          <w:highlight w:val="none"/>
        </w:rPr>
      </w:pPr>
      <w:r>
        <w:rPr>
          <w:color w:val="auto"/>
          <w:highlight w:val="none"/>
        </w:rPr>
      </w:r>
      <w:r/>
    </w:p>
    <w:p>
      <w:pPr>
        <w:pStyle w:val="894"/>
        <w:rPr>
          <w:color w:val="auto"/>
          <w:highlight w:val="none"/>
        </w:rPr>
      </w:pPr>
      <w:r>
        <w:rPr>
          <w:color w:val="auto"/>
          <w:highlight w:val="none"/>
        </w:rPr>
      </w:r>
      <w:r/>
    </w:p>
    <w:p>
      <w:pPr>
        <w:pStyle w:val="893"/>
        <w:ind w:left="0" w:firstLine="0"/>
      </w:pPr>
      <w:r/>
      <w:r/>
    </w:p>
    <w:p>
      <w:pPr>
        <w:pStyle w:val="863"/>
        <w:ind w:right="-199"/>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6</w:t>
      </w:r>
      <w:r>
        <w:rPr>
          <w:rFonts w:hint="eastAsia" w:ascii="宋体" w:hAnsi="宋体" w:eastAsia="宋体" w:cs="宋体"/>
          <w:b/>
          <w:color w:val="auto"/>
          <w:sz w:val="28"/>
          <w:szCs w:val="28"/>
          <w:highlight w:val="none"/>
        </w:rPr>
        <w:t xml:space="preserve">、授权委托书</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受托人：先生（女士）</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pStyle w:val="869"/>
        <w:ind w:left="0" w:firstLine="0"/>
        <w:rPr>
          <w:rFonts w:hint="eastAsia" w:eastAsia="宋体"/>
          <w:lang w:val="en-US" w:eastAsia="zh-CN"/>
        </w:rPr>
      </w:pPr>
      <w:r>
        <w:rPr>
          <w:rFonts w:hint="eastAsia" w:ascii="宋体" w:hAnsi="宋体" w:eastAsia="宋体" w:cs="宋体"/>
          <w:color w:val="auto"/>
          <w:sz w:val="24"/>
          <w:highlight w:val="none"/>
          <w:lang w:val="en-US" w:eastAsia="zh-CN"/>
        </w:rPr>
        <w:t xml:space="preserve">联系方式：</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ind w:firstLine="63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）全权代表我企业（公司）参与   [项目编号：</w:t>
      </w:r>
      <w:r>
        <w:rPr>
          <w:rFonts w:hint="eastAsia" w:ascii="宋体" w:hAnsi="宋体" w:cs="宋体"/>
          <w:color w:val="auto"/>
          <w:sz w:val="24"/>
          <w:highlight w:val="none"/>
          <w:u w:val="single"/>
          <w:lang w:val="en-US" w:eastAsia="zh-CN"/>
        </w:rPr>
        <w:t xml:space="preserve">JSZC-320322-JDXZ-T2026-0006</w:t>
      </w:r>
      <w:r>
        <w:rPr>
          <w:rFonts w:hint="eastAsia" w:ascii="宋体" w:hAnsi="宋体" w:eastAsia="宋体" w:cs="宋体"/>
          <w:color w:val="auto"/>
          <w:sz w:val="24"/>
          <w:highlight w:val="none"/>
        </w:rPr>
        <w:t xml:space="preserve">]的谈判活动及签订合同。（</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）以我企业（公司）名义所为的行为及签署的文件，我企业（公司）均予以认可。有关法律责任均由我企业（公司）承担。（</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）无转委托权。委托期限自</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日起至</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日止。</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委托人（公章）：</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w:t>
      </w:r>
      <w:r>
        <w:rPr>
          <w:rFonts w:hint="eastAsia" w:ascii="宋体" w:hAnsi="宋体" w:eastAsia="宋体" w:cs="宋体"/>
          <w:bCs/>
          <w:color w:val="auto"/>
          <w:sz w:val="24"/>
          <w:highlight w:val="none"/>
        </w:rPr>
        <w:t xml:space="preserve">签字或电子签章</w:t>
      </w:r>
      <w:r>
        <w:rPr>
          <w:rFonts w:hint="eastAsia" w:ascii="宋体" w:hAnsi="宋体" w:eastAsia="宋体" w:cs="宋体"/>
          <w:color w:val="auto"/>
          <w:sz w:val="24"/>
          <w:highlight w:val="none"/>
        </w:rPr>
        <w:t xml:space="preserve">）：</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w:t>
      </w:r>
      <w:r>
        <w:rPr>
          <w:rFonts w:hint="eastAsia" w:ascii="宋体" w:hAnsi="宋体" w:eastAsia="宋体" w:cs="宋体"/>
          <w:bCs/>
          <w:color w:val="auto"/>
          <w:sz w:val="24"/>
          <w:highlight w:val="none"/>
        </w:rPr>
        <w:t xml:space="preserve">签字或电子签章</w:t>
      </w:r>
      <w:r>
        <w:rPr>
          <w:rFonts w:hint="eastAsia" w:ascii="宋体" w:hAnsi="宋体" w:eastAsia="宋体" w:cs="宋体"/>
          <w:color w:val="auto"/>
          <w:sz w:val="24"/>
          <w:highlight w:val="none"/>
        </w:rPr>
        <w:t xml:space="preserve">）：</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(受托人身份证复印件附后)</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ind w:firstLine="356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863"/>
        <w:jc w:val="center"/>
        <w:keepLines w:val="0"/>
        <w:keepNext w:val="0"/>
        <w:pageBreakBefore w:val="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63"/>
        <w:jc w:val="center"/>
        <w:spacing w:line="380" w:lineRule="exact"/>
        <w:widowControl/>
        <w:rPr>
          <w:rFonts w:ascii="仿宋" w:hAnsi="仿宋" w:eastAsia="仿宋"/>
          <w:b/>
          <w:color w:val="auto"/>
          <w:sz w:val="24"/>
          <w:highlight w:val="none"/>
        </w:rPr>
      </w:pPr>
      <w:r>
        <w:rPr>
          <w:rFonts w:ascii="仿宋" w:hAnsi="仿宋" w:eastAsia="仿宋"/>
          <w:b/>
          <w:color w:val="auto"/>
          <w:sz w:val="24"/>
          <w:highlight w:val="none"/>
        </w:rPr>
      </w:r>
      <w:r/>
    </w:p>
    <w:p>
      <w:pPr>
        <w:pStyle w:val="863"/>
        <w:jc w:val="center"/>
        <w:spacing w:line="380" w:lineRule="exact"/>
        <w:widowControl/>
        <w:rPr>
          <w:rFonts w:ascii="仿宋" w:hAnsi="仿宋" w:eastAsia="仿宋"/>
          <w:b/>
          <w:color w:val="auto"/>
          <w:sz w:val="24"/>
          <w:highlight w:val="none"/>
        </w:rPr>
      </w:pPr>
      <w:r>
        <w:rPr>
          <w:rFonts w:ascii="仿宋" w:hAnsi="仿宋" w:eastAsia="仿宋"/>
          <w:b/>
          <w:color w:val="auto"/>
          <w:sz w:val="24"/>
          <w:highlight w:val="none"/>
        </w:rPr>
      </w:r>
      <w:r/>
    </w:p>
    <w:p>
      <w:pPr>
        <w:pStyle w:val="863"/>
        <w:jc w:val="center"/>
        <w:keepLines w:val="0"/>
        <w:keepNext w:val="0"/>
        <w:pageBreakBefore w:val="0"/>
        <w:spacing w:line="360" w:lineRule="auto"/>
        <w:widowControl/>
        <w:rPr>
          <w:rFonts w:ascii="仿宋" w:hAnsi="仿宋" w:eastAsia="仿宋"/>
          <w:b/>
          <w:color w:val="auto"/>
          <w:sz w:val="24"/>
          <w:highlight w:val="none"/>
        </w:rPr>
      </w:pPr>
      <w:r>
        <w:rPr>
          <w:rFonts w:ascii="仿宋" w:hAnsi="仿宋" w:eastAsia="仿宋"/>
          <w:b/>
          <w:color w:val="auto"/>
          <w:sz w:val="24"/>
          <w:highlight w:val="none"/>
        </w:rPr>
        <w:br w:type="page" w:clear="all"/>
      </w:r>
      <w:r>
        <w:rPr>
          <w:rFonts w:hint="eastAsia" w:ascii="宋体" w:hAnsi="宋体" w:cs="宋体"/>
          <w:b/>
          <w:color w:val="auto"/>
          <w:sz w:val="28"/>
          <w:szCs w:val="28"/>
          <w:highlight w:val="none"/>
          <w:lang w:val="en-US" w:eastAsia="zh-CN"/>
        </w:rPr>
        <w:t xml:space="preserve">7</w:t>
      </w:r>
      <w:r>
        <w:rPr>
          <w:rFonts w:hint="eastAsia" w:ascii="宋体" w:hAnsi="宋体" w:eastAsia="宋体" w:cs="宋体"/>
          <w:b/>
          <w:color w:val="auto"/>
          <w:sz w:val="28"/>
          <w:szCs w:val="28"/>
          <w:highlight w:val="none"/>
        </w:rPr>
        <w:t xml:space="preserve">、中小企业声明函</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JSZC-320322-JDXZ-T2026-0006</w:t>
      </w:r>
      <w:r/>
    </w:p>
    <w:p>
      <w:pPr>
        <w:ind w:firstLine="480"/>
        <w:keepLines w:val="0"/>
        <w:keepNext w:val="0"/>
        <w:pageBreakBefore w:val="0"/>
        <w:spacing w:line="360" w:lineRule="auto"/>
        <w:rPr>
          <w:rStyle w:val="1062"/>
          <w:rFonts w:hint="eastAsia" w:ascii="宋体" w:hAnsi="宋体" w:eastAsia="宋体" w:cs="宋体"/>
          <w:color w:val="auto"/>
          <w:sz w:val="24"/>
          <w:highlight w:val="none"/>
        </w:rPr>
      </w:pPr>
      <w:r>
        <w:rPr>
          <w:rStyle w:val="1062"/>
          <w:rFonts w:hint="eastAsia" w:ascii="宋体" w:hAnsi="宋体" w:eastAsia="宋体" w:cs="宋体"/>
          <w:color w:val="auto"/>
          <w:sz w:val="24"/>
          <w:highlight w:val="none"/>
        </w:rPr>
        <w:t xml:space="preserve">本公司郑重声明，根据《政府采购促进中小企业发展暂行办法》（财库﹝2020﹞46 号）的规定，本公司参加</w:t>
      </w:r>
      <w:r>
        <w:rPr>
          <w:rStyle w:val="1062"/>
          <w:rFonts w:hint="eastAsia" w:ascii="宋体" w:hAnsi="宋体" w:eastAsia="宋体" w:cs="宋体"/>
          <w:color w:val="auto"/>
          <w:sz w:val="24"/>
          <w:highlight w:val="none"/>
          <w:u w:val="single"/>
        </w:rPr>
        <w:t xml:space="preserve">（</w:t>
      </w:r>
      <w:r>
        <w:rPr>
          <w:rStyle w:val="1062"/>
          <w:rFonts w:hint="eastAsia" w:ascii="宋体" w:hAnsi="宋体" w:cs="宋体"/>
          <w:color w:val="auto"/>
          <w:sz w:val="24"/>
          <w:highlight w:val="none"/>
          <w:u w:val="single"/>
        </w:rPr>
        <w:t xml:space="preserve">沛县农业农村局</w:t>
      </w:r>
      <w:r>
        <w:rPr>
          <w:rStyle w:val="1062"/>
          <w:rFonts w:hint="eastAsia" w:ascii="宋体" w:hAnsi="宋体" w:eastAsia="宋体" w:cs="宋体"/>
          <w:color w:val="auto"/>
          <w:sz w:val="24"/>
          <w:highlight w:val="none"/>
          <w:u w:val="single"/>
        </w:rPr>
        <w:t xml:space="preserve">）</w:t>
      </w:r>
      <w:r>
        <w:rPr>
          <w:rStyle w:val="1062"/>
          <w:rFonts w:hint="eastAsia" w:ascii="宋体" w:hAnsi="宋体" w:eastAsia="宋体" w:cs="宋体"/>
          <w:color w:val="auto"/>
          <w:sz w:val="24"/>
          <w:highlight w:val="none"/>
        </w:rPr>
        <w:t xml:space="preserve">的</w:t>
      </w:r>
      <w:r>
        <w:rPr>
          <w:rStyle w:val="1062"/>
          <w:rFonts w:hint="eastAsia" w:ascii="宋体" w:hAnsi="宋体" w:eastAsia="宋体" w:cs="宋体"/>
          <w:color w:val="auto"/>
          <w:sz w:val="24"/>
          <w:highlight w:val="none"/>
          <w:u w:val="single"/>
        </w:rPr>
        <w:t xml:space="preserve">（</w:t>
      </w:r>
      <w:r>
        <w:rPr>
          <w:rStyle w:val="1062"/>
          <w:rFonts w:hint="eastAsia" w:ascii="宋体" w:hAnsi="宋体" w:cs="宋体"/>
          <w:color w:val="auto"/>
          <w:sz w:val="24"/>
          <w:highlight w:val="none"/>
          <w:u w:val="single"/>
        </w:rPr>
        <w:t xml:space="preserve">沛县2026年中央农业防灾减灾和水利救灾资金（防灾减灾第六批）和省级农业生产应急救灾资金</w:t>
      </w:r>
      <w:r>
        <w:rPr>
          <w:rStyle w:val="1062"/>
          <w:rFonts w:hint="eastAsia" w:ascii="宋体" w:hAnsi="宋体" w:eastAsia="宋体" w:cs="宋体"/>
          <w:color w:val="auto"/>
          <w:sz w:val="24"/>
          <w:highlight w:val="none"/>
          <w:u w:val="single"/>
        </w:rPr>
        <w:t xml:space="preserve">）</w:t>
      </w:r>
      <w:r>
        <w:rPr>
          <w:rStyle w:val="1062"/>
          <w:rFonts w:hint="eastAsia" w:ascii="宋体" w:hAnsi="宋体" w:eastAsia="宋体" w:cs="宋体"/>
          <w:color w:val="auto"/>
          <w:sz w:val="24"/>
          <w:highlight w:val="none"/>
        </w:rPr>
        <w:t xml:space="preserve">采购活动，提供的货物全部由符合政策要求的中小企业制造。相关企业的具体情况如下：</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Style w:val="1062"/>
          <w:rFonts w:hint="eastAsia" w:ascii="宋体" w:hAnsi="宋体" w:eastAsia="宋体" w:cs="宋体"/>
          <w:color w:val="auto"/>
          <w:sz w:val="24"/>
          <w:highlight w:val="none"/>
        </w:rPr>
        <w:t xml:space="preserve">1、</w:t>
      </w:r>
      <w:r>
        <w:rPr>
          <w:rFonts w:hint="eastAsia" w:ascii="宋体" w:hAnsi="宋体" w:eastAsia="宋体" w:cs="宋体"/>
          <w:b/>
          <w:bCs/>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        （</w:t>
      </w:r>
      <w:r>
        <w:rPr>
          <w:rFonts w:hint="eastAsia" w:ascii="仿宋" w:hAnsi="仿宋" w:eastAsia="仿宋" w:cs="仿宋"/>
          <w:color w:val="auto"/>
          <w:sz w:val="28"/>
          <w:szCs w:val="21"/>
          <w:highlight w:val="none"/>
          <w:u w:val="single"/>
          <w:lang w:val="en-US" w:eastAsia="zh-CN"/>
        </w:rPr>
        <w:t xml:space="preserve">标的名称</w:t>
      </w:r>
      <w:r>
        <w:rPr>
          <w:rFonts w:hint="eastAsia" w:ascii="宋体" w:hAnsi="宋体" w:cs="宋体"/>
          <w:b/>
          <w:bCs/>
          <w:color w:val="auto"/>
          <w:sz w:val="24"/>
          <w:highlight w:val="none"/>
          <w:u w:val="single"/>
          <w:lang w:val="en-US" w:eastAsia="zh-CN"/>
        </w:rPr>
        <w:t xml:space="preserve">）</w:t>
      </w:r>
      <w:r>
        <w:rPr>
          <w:rFonts w:hint="eastAsia" w:ascii="宋体" w:hAnsi="宋体" w:eastAsia="宋体" w:cs="宋体"/>
          <w:color w:val="auto"/>
          <w:sz w:val="24"/>
          <w:highlight w:val="none"/>
        </w:rPr>
        <w:t xml:space="preserve">，属于</w:t>
      </w:r>
      <w:r>
        <w:rPr>
          <w:rStyle w:val="1062"/>
          <w:rFonts w:hint="eastAsia" w:ascii="宋体" w:hAnsi="宋体" w:eastAsia="宋体" w:cs="宋体"/>
          <w:color w:val="auto"/>
          <w:sz w:val="24"/>
          <w:highlight w:val="none"/>
          <w:u w:val="single"/>
          <w:lang w:val="en-US" w:eastAsia="zh-CN"/>
        </w:rPr>
        <w:t xml:space="preserve">工业</w:t>
      </w:r>
      <w:r>
        <w:rPr>
          <w:rFonts w:hint="eastAsia" w:ascii="宋体" w:hAnsi="宋体" w:eastAsia="宋体" w:cs="宋体"/>
          <w:color w:val="auto"/>
          <w:sz w:val="24"/>
          <w:highlight w:val="none"/>
        </w:rPr>
        <w:t xml:space="preserve">； 制造商为</w:t>
      </w:r>
      <w:r>
        <w:rPr>
          <w:rFonts w:hint="eastAsia" w:ascii="宋体" w:hAnsi="宋体" w:eastAsia="宋体" w:cs="宋体"/>
          <w:color w:val="auto"/>
          <w:sz w:val="24"/>
          <w:highlight w:val="none"/>
          <w:u w:val="single"/>
        </w:rPr>
        <w:t xml:space="preserve">  （企业名称）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企业 </w:t>
      </w:r>
      <w:r>
        <w:rPr>
          <w:rFonts w:hint="eastAsia" w:ascii="宋体" w:hAnsi="宋体" w:eastAsia="宋体" w:cs="宋体"/>
          <w:color w:val="auto"/>
          <w:sz w:val="24"/>
          <w:highlight w:val="none"/>
        </w:rPr>
        <w:t xml:space="preserve">（中型企业、小型企业、微型企业</w:t>
      </w:r>
      <w:r>
        <w:rPr>
          <w:rFonts w:hint="eastAsia" w:ascii="宋体" w:hAnsi="宋体" w:eastAsia="宋体" w:cs="宋体"/>
          <w:b/>
          <w:color w:val="auto"/>
          <w:sz w:val="24"/>
          <w:highlight w:val="none"/>
          <w:u w:val="single"/>
        </w:rPr>
        <w:t xml:space="preserve">请填空！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482"/>
        <w:keepLines w:val="0"/>
        <w:keepNext w:val="0"/>
        <w:pageBreakBefore w:val="0"/>
        <w:spacing w:line="360" w:lineRule="auto"/>
        <w:rPr>
          <w:rStyle w:val="1062"/>
          <w:rFonts w:hint="eastAsia" w:ascii="宋体" w:hAnsi="宋体" w:eastAsia="宋体" w:cs="宋体"/>
          <w:b/>
          <w:bCs/>
          <w:color w:val="auto"/>
          <w:sz w:val="24"/>
          <w:highlight w:val="none"/>
        </w:rPr>
      </w:pPr>
      <w:r>
        <w:rPr>
          <w:rStyle w:val="1062"/>
          <w:rFonts w:hint="eastAsia" w:ascii="宋体" w:hAnsi="宋体" w:eastAsia="宋体" w:cs="宋体"/>
          <w:b/>
          <w:bCs/>
          <w:color w:val="auto"/>
          <w:sz w:val="24"/>
          <w:highlight w:val="none"/>
        </w:rPr>
        <w:t xml:space="preserve">...</w:t>
      </w:r>
      <w:r/>
    </w:p>
    <w:p>
      <w:pPr>
        <w:ind w:firstLine="482"/>
        <w:keepLines w:val="0"/>
        <w:keepNext w:val="0"/>
        <w:pageBreakBefore w:val="0"/>
        <w:spacing w:line="360" w:lineRule="auto"/>
        <w:rPr>
          <w:rStyle w:val="1062"/>
          <w:rFonts w:hint="eastAsia" w:ascii="宋体" w:hAnsi="宋体" w:eastAsia="宋体" w:cs="宋体"/>
          <w:color w:val="auto"/>
          <w:sz w:val="24"/>
          <w:highlight w:val="none"/>
        </w:rPr>
      </w:pPr>
      <w:r>
        <w:rPr>
          <w:rStyle w:val="1062"/>
          <w:rFonts w:hint="eastAsia" w:ascii="宋体" w:hAnsi="宋体" w:eastAsia="宋体" w:cs="宋体"/>
          <w:b/>
          <w:bCs/>
          <w:color w:val="auto"/>
          <w:sz w:val="24"/>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60" w:lineRule="auto"/>
        <w:rPr>
          <w:rStyle w:val="1062"/>
          <w:rFonts w:hint="eastAsia" w:ascii="宋体" w:hAnsi="宋体" w:eastAsia="宋体" w:cs="宋体"/>
          <w:color w:val="auto"/>
          <w:sz w:val="24"/>
          <w:highlight w:val="none"/>
        </w:rPr>
      </w:pPr>
      <w:r>
        <w:rPr>
          <w:rStyle w:val="1062"/>
          <w:rFonts w:hint="eastAsia" w:ascii="宋体" w:hAnsi="宋体" w:eastAsia="宋体" w:cs="宋体"/>
          <w:color w:val="auto"/>
          <w:sz w:val="24"/>
          <w:highlight w:val="none"/>
        </w:rPr>
        <w:t xml:space="preserve">　　本企业对上述声明内容的真实性负责。如有虚假，将依法承担相应责任。</w:t>
      </w:r>
      <w:r/>
    </w:p>
    <w:p>
      <w:pPr>
        <w:ind w:firstLine="480"/>
        <w:jc w:val="left"/>
        <w:keepLines w:val="0"/>
        <w:keepNext w:val="0"/>
        <w:pageBreakBefore w:val="0"/>
        <w:spacing w:line="360" w:lineRule="auto"/>
        <w:rPr>
          <w:rStyle w:val="1062"/>
          <w:rFonts w:hint="eastAsia" w:ascii="宋体" w:hAnsi="宋体" w:eastAsia="宋体" w:cs="宋体"/>
          <w:color w:val="auto"/>
          <w:sz w:val="24"/>
          <w:szCs w:val="22"/>
          <w:highlight w:val="none"/>
        </w:rPr>
      </w:pPr>
      <w:r>
        <w:rPr>
          <w:rStyle w:val="1062"/>
          <w:rFonts w:hint="eastAsia" w:ascii="宋体" w:hAnsi="宋体" w:eastAsia="宋体" w:cs="宋体"/>
          <w:b/>
          <w:bCs/>
          <w:color w:val="auto"/>
          <w:sz w:val="24"/>
          <w:highlight w:val="none"/>
        </w:rPr>
        <w:t xml:space="preserve">注：</w:t>
      </w:r>
      <w:r>
        <w:rPr>
          <w:rStyle w:val="1062"/>
          <w:rFonts w:hint="eastAsia" w:ascii="宋体" w:hAnsi="宋体" w:eastAsia="宋体" w:cs="宋体"/>
          <w:b/>
          <w:bCs/>
          <w:color w:val="auto"/>
          <w:sz w:val="24"/>
          <w:highlight w:val="none"/>
          <w:lang w:val="en-US" w:eastAsia="zh-CN"/>
        </w:rPr>
        <w:t xml:space="preserve">本项目所属行业为</w:t>
      </w:r>
      <w:r>
        <w:rPr>
          <w:rStyle w:val="1062"/>
          <w:rFonts w:hint="eastAsia" w:ascii="宋体" w:hAnsi="宋体" w:eastAsia="宋体" w:cs="宋体"/>
          <w:b/>
          <w:bCs/>
          <w:color w:val="auto"/>
          <w:sz w:val="24"/>
          <w:highlight w:val="none"/>
          <w:u w:val="single"/>
          <w:lang w:val="en-US" w:eastAsia="zh-CN"/>
        </w:rPr>
        <w:t xml:space="preserve">工业</w:t>
      </w:r>
      <w:r>
        <w:rPr>
          <w:rStyle w:val="1062"/>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60" w:lineRule="auto"/>
        <w:rPr>
          <w:rStyle w:val="1062"/>
          <w:rFonts w:hint="eastAsia" w:ascii="宋体" w:hAnsi="宋体" w:eastAsia="宋体" w:cs="宋体"/>
          <w:color w:val="auto"/>
          <w:sz w:val="24"/>
          <w:szCs w:val="22"/>
          <w:highlight w:val="none"/>
        </w:rPr>
      </w:pPr>
      <w:r>
        <w:rPr>
          <w:rStyle w:val="1062"/>
          <w:rFonts w:hint="eastAsia" w:ascii="宋体" w:hAnsi="宋体" w:eastAsia="宋体" w:cs="宋体"/>
          <w:color w:val="auto"/>
          <w:sz w:val="24"/>
          <w:szCs w:val="22"/>
          <w:highlight w:val="none"/>
        </w:rPr>
        <w:t xml:space="preserve">备注：从业人员、营业收入、资产总额填报上一年度数据，无上一年度数据的新成立企业可不填报。</w:t>
      </w:r>
      <w:r/>
    </w:p>
    <w:p>
      <w:pPr>
        <w:jc w:val="left"/>
        <w:keepLines w:val="0"/>
        <w:keepNext w:val="0"/>
        <w:pageBreakBefore w:val="0"/>
        <w:spacing w:line="360" w:lineRule="auto"/>
        <w:rPr>
          <w:rStyle w:val="1062"/>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（盖电子签章）</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供应商法定代表人或授权代表：（签字或电子签章）</w:t>
      </w:r>
      <w:r/>
    </w:p>
    <w:p>
      <w:pPr>
        <w:ind w:firstLine="48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863"/>
        <w:jc w:val="left"/>
        <w:spacing w:line="520" w:lineRule="exact"/>
        <w:rPr>
          <w:rFonts w:ascii="仿宋" w:hAnsi="仿宋" w:eastAsia="仿宋"/>
          <w:color w:val="auto"/>
          <w:sz w:val="24"/>
          <w:highlight w:val="none"/>
        </w:rPr>
      </w:pPr>
      <w:r>
        <w:rPr>
          <w:rFonts w:ascii="仿宋" w:hAnsi="仿宋" w:eastAsia="仿宋"/>
          <w:color w:val="auto"/>
          <w:sz w:val="24"/>
          <w:highlight w:val="none"/>
        </w:rPr>
      </w:r>
      <w:r/>
    </w:p>
    <w:p>
      <w:pPr>
        <w:ind w:firstLine="600"/>
        <w:jc w:val="both"/>
        <w:spacing w:line="46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备注：</w:t>
      </w:r>
      <w:r/>
    </w:p>
    <w:p>
      <w:pPr>
        <w:numPr>
          <w:ilvl w:val="0"/>
          <w:numId w:val="6"/>
        </w:numPr>
        <w:ind w:firstLine="600"/>
        <w:jc w:val="left"/>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从业人员、营业收入、资产总额填报上一年度数据，无上一年度数据的新成立企业可不填报。</w:t>
      </w:r>
      <w:r/>
    </w:p>
    <w:p>
      <w:pPr>
        <w:ind w:firstLine="480"/>
        <w:jc w:val="both"/>
        <w:spacing w:line="360" w:lineRule="auto"/>
        <w:widowControl w:val="off"/>
        <w:rPr>
          <w:rFonts w:hint="eastAsia" w:ascii="宋体" w:hAnsi="宋体" w:eastAsia="宋体" w:cs="宋体"/>
          <w:sz w:val="24"/>
          <w:szCs w:val="24"/>
          <w:lang w:val="en-US" w:eastAsia="zh-CN" w:bidi="ar-SA"/>
        </w:rPr>
      </w:pPr>
      <w:r/>
      <w:bookmarkStart w:id="0" w:name="OLE_LINK41"/>
      <w:r>
        <w:rPr>
          <w:rFonts w:hint="eastAsia" w:ascii="宋体" w:hAnsi="宋体" w:eastAsia="宋体" w:cs="宋体"/>
          <w:sz w:val="24"/>
          <w:szCs w:val="24"/>
          <w:lang w:val="en-US" w:eastAsia="zh-CN" w:bidi="ar-SA"/>
        </w:rPr>
        <w:t xml:space="preserve">2、“中小企业声明函”查询渠道用微信搜索“中小企业规模类型自测小程序”。</w:t>
      </w:r>
      <w:bookmarkEnd w:id="0"/>
      <w:r/>
      <w:r/>
    </w:p>
    <w:p>
      <w:pPr>
        <w:jc w:val="left"/>
        <w:spacing w:after="200" w:line="276"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r>
      <w:r/>
    </w:p>
    <w:p>
      <w:pPr>
        <w:jc w:val="center"/>
        <w:spacing w:after="200" w:line="276" w:lineRule="auto"/>
        <w:widowControl/>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r>
      <w:r/>
    </w:p>
    <w:p>
      <w:pPr>
        <w:jc w:val="center"/>
        <w:spacing w:after="200" w:line="276" w:lineRule="auto"/>
        <w:widowControl/>
        <w:rPr>
          <w:rFonts w:ascii="宋体" w:hAnsi="宋体" w:cs="宋体"/>
          <w:b/>
          <w:bCs/>
          <w:sz w:val="24"/>
        </w:rPr>
        <w:sectPr>
          <w:footerReference w:type="default" r:id="rId12"/>
          <w:footnotePr/>
          <w:endnotePr/>
          <w:type w:val="nextPage"/>
          <w:pgSz w:w="11906" w:h="16838" w:orient="portrait"/>
          <w:pgMar w:top="1440" w:right="1700" w:bottom="1440" w:left="1560" w:header="0" w:footer="0" w:gutter="0"/>
          <w:cols w:num="1" w:sep="0" w:space="720" w:equalWidth="1"/>
          <w:docGrid w:linePitch="360"/>
        </w:sectPr>
      </w:pPr>
      <w:r>
        <w:rPr>
          <w:rFonts w:ascii="Arial" w:hAnsi="Arial" w:eastAsia="Arial"/>
          <w:sz w:val="22"/>
          <w:szCs w:val="22"/>
          <w:lang w:val="en-US" w:eastAsia="zh-CN" w:bidi="ar-SA"/>
        </w:rPr>
        <mc:AlternateContent>
          <mc:Choice Requires="wpg">
            <w:drawing>
              <wp:inline xmlns:wp="http://schemas.openxmlformats.org/drawingml/2006/wordprocessingDrawing" distT="0" distB="0" distL="0" distR="0">
                <wp:extent cx="1699260" cy="3484880"/>
                <wp:effectExtent l="0" t="0" r="0" b="0"/>
                <wp:docPr id="10" name="图片 9"/>
                <wp:cNvGraphicFramePr/>
                <a:graphic xmlns:a="http://schemas.openxmlformats.org/drawingml/2006/main">
                  <a:graphicData uri="http://schemas.openxmlformats.org/drawingml/2006/picture">
                    <pic:pic xmlns:pic="http://schemas.openxmlformats.org/drawingml/2006/picture">
                      <pic:nvPicPr>
                        <pic:cNvPr id="10" name="图片 9"/>
                        <pic:cNvPicPr/>
                        <pic:nvPr/>
                      </pic:nvPicPr>
                      <pic:blipFill>
                        <a:blip r:embed="rId17"/>
                        <a:stretch/>
                      </pic:blipFill>
                      <pic:spPr bwMode="auto">
                        <a:xfrm>
                          <a:off x="0" y="0"/>
                          <a:ext cx="1699260" cy="348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3.8pt;height:274.4pt;mso-wrap-distance-left:0.0pt;mso-wrap-distance-top:0.0pt;mso-wrap-distance-right:0.0pt;mso-wrap-distance-bottom:0.0pt;" stroked="f">
                <v:path textboxrect="0,0,0,0"/>
                <v:imagedata r:id="rId17" o:title=""/>
              </v:shape>
            </w:pict>
          </mc:Fallback>
        </mc:AlternateContent>
      </w:r>
      <w:r/>
    </w:p>
    <w:p>
      <w:pPr>
        <w:pStyle w:val="869"/>
        <w:ind w:left="0" w:firstLine="0"/>
      </w:pPr>
      <w:r/>
      <w:r/>
    </w:p>
    <w:p>
      <w:pPr>
        <w:pStyle w:val="863"/>
        <w:jc w:val="center"/>
        <w:keepLines w:val="0"/>
        <w:keepNext w:val="0"/>
        <w:pageBreakBefore w:val="0"/>
        <w:spacing w:line="360" w:lineRule="auto"/>
        <w:widowControl w:val="off"/>
        <w:rPr>
          <w:rFonts w:hint="eastAsia" w:ascii="宋体" w:hAnsi="宋体" w:eastAsia="宋体" w:cs="宋体"/>
          <w:b/>
          <w:color w:val="auto"/>
          <w:spacing w:val="6"/>
          <w:sz w:val="28"/>
          <w:szCs w:val="28"/>
          <w:highlight w:val="none"/>
        </w:rPr>
      </w:pPr>
      <w:r>
        <w:rPr>
          <w:rFonts w:hint="eastAsia" w:ascii="宋体" w:hAnsi="宋体" w:cs="宋体"/>
          <w:b/>
          <w:bCs/>
          <w:color w:val="auto"/>
          <w:sz w:val="28"/>
          <w:szCs w:val="28"/>
          <w:highlight w:val="none"/>
          <w:lang w:val="en-US" w:eastAsia="zh-CN"/>
        </w:rPr>
        <w:t xml:space="preserve">8</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pacing w:val="6"/>
          <w:sz w:val="28"/>
          <w:szCs w:val="28"/>
          <w:highlight w:val="none"/>
        </w:rPr>
        <w:t xml:space="preserve">残疾人福利性单位声明函</w:t>
      </w:r>
      <w:r/>
    </w:p>
    <w:p>
      <w:pPr>
        <w:pStyle w:val="863"/>
        <w:jc w:val="center"/>
        <w:spacing w:line="0" w:lineRule="atLeast"/>
        <w:rPr>
          <w:rFonts w:ascii="仿宋" w:hAnsi="仿宋" w:eastAsia="仿宋"/>
          <w:bCs/>
          <w:color w:val="auto"/>
          <w:sz w:val="24"/>
          <w:highlight w:val="none"/>
        </w:rPr>
      </w:pPr>
      <w:r>
        <w:rPr>
          <w:rFonts w:ascii="仿宋" w:hAnsi="仿宋" w:eastAsia="仿宋"/>
          <w:bCs/>
          <w:color w:val="auto"/>
          <w:sz w:val="24"/>
          <w:highlight w:val="none"/>
        </w:rPr>
      </w:r>
      <w:r/>
    </w:p>
    <w:p>
      <w:pPr>
        <w:jc w:val="center"/>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如不属于残疾人福利性单位不需要提供此声明函</w:t>
      </w:r>
      <w:r>
        <w:rPr>
          <w:rFonts w:hint="eastAsia" w:ascii="宋体" w:hAnsi="宋体" w:eastAsia="宋体" w:cs="宋体"/>
          <w:color w:val="auto"/>
          <w:sz w:val="28"/>
          <w:szCs w:val="28"/>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：（盖电子签章）</w:t>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63"/>
        <w:spacing w:line="520" w:lineRule="exact"/>
        <w:rPr>
          <w:rFonts w:ascii="仿宋" w:hAnsi="仿宋" w:eastAsia="仿宋"/>
          <w:color w:val="auto"/>
          <w:sz w:val="24"/>
          <w:highlight w:val="none"/>
        </w:rPr>
      </w:pPr>
      <w:r>
        <w:rPr>
          <w:rFonts w:ascii="仿宋" w:hAnsi="仿宋" w:eastAsia="仿宋"/>
          <w:color w:val="auto"/>
          <w:sz w:val="24"/>
          <w:highlight w:val="none"/>
        </w:rPr>
      </w:r>
      <w:r/>
    </w:p>
    <w:p>
      <w:pPr>
        <w:pStyle w:val="863"/>
        <w:ind w:firstLine="480"/>
        <w:spacing w:line="520" w:lineRule="exact"/>
        <w:rPr>
          <w:rFonts w:ascii="仿宋" w:hAnsi="仿宋" w:eastAsia="仿宋"/>
          <w:color w:val="auto"/>
          <w:sz w:val="24"/>
          <w:highlight w:val="none"/>
        </w:rPr>
      </w:pPr>
      <w:r>
        <w:rPr>
          <w:rFonts w:ascii="仿宋" w:hAnsi="仿宋" w:eastAsia="仿宋"/>
          <w:color w:val="auto"/>
          <w:sz w:val="24"/>
          <w:highlight w:val="none"/>
        </w:rPr>
      </w:r>
      <w:r/>
    </w:p>
    <w:p>
      <w:pPr>
        <w:pStyle w:val="863"/>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pStyle w:val="863"/>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863"/>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pStyle w:val="863"/>
        <w:ind w:right="480" w:firstLine="5040"/>
        <w:spacing w:line="380" w:lineRule="exact"/>
        <w:widowControl/>
        <w:rPr>
          <w:rFonts w:ascii="仿宋" w:hAnsi="仿宋" w:eastAsia="仿宋"/>
          <w:color w:val="auto"/>
          <w:sz w:val="24"/>
          <w:highlight w:val="none"/>
        </w:rPr>
      </w:pPr>
      <w:r>
        <w:rPr>
          <w:rFonts w:ascii="仿宋" w:hAnsi="仿宋" w:eastAsia="仿宋"/>
          <w:color w:val="auto"/>
          <w:sz w:val="24"/>
          <w:highlight w:val="none"/>
        </w:rPr>
      </w:r>
      <w:r/>
    </w:p>
    <w:p>
      <w:pPr>
        <w:pStyle w:val="863"/>
        <w:spacing w:line="380" w:lineRule="exact"/>
        <w:rPr>
          <w:rFonts w:ascii="仿宋" w:hAnsi="仿宋" w:eastAsia="仿宋"/>
          <w:color w:val="auto"/>
          <w:sz w:val="24"/>
          <w:highlight w:val="none"/>
        </w:rPr>
      </w:pPr>
      <w:r>
        <w:rPr>
          <w:rFonts w:ascii="仿宋" w:hAnsi="仿宋" w:eastAsia="仿宋"/>
          <w:color w:val="auto"/>
          <w:sz w:val="24"/>
          <w:highlight w:val="none"/>
        </w:rPr>
      </w:r>
      <w:r/>
    </w:p>
    <w:p>
      <w:pPr>
        <w:pStyle w:val="863"/>
        <w:spacing w:line="380" w:lineRule="exact"/>
        <w:rPr>
          <w:rFonts w:ascii="仿宋" w:hAnsi="仿宋" w:eastAsia="仿宋"/>
          <w:color w:val="auto"/>
          <w:sz w:val="24"/>
          <w:highlight w:val="none"/>
        </w:rPr>
      </w:pPr>
      <w:r>
        <w:rPr>
          <w:rFonts w:ascii="仿宋" w:hAnsi="仿宋" w:eastAsia="仿宋"/>
          <w:color w:val="auto"/>
          <w:sz w:val="24"/>
          <w:highlight w:val="none"/>
        </w:rPr>
      </w:r>
      <w:r/>
    </w:p>
    <w:p>
      <w:pPr>
        <w:pStyle w:val="863"/>
        <w:spacing w:line="380" w:lineRule="exact"/>
        <w:rPr>
          <w:rFonts w:ascii="仿宋" w:hAnsi="仿宋" w:eastAsia="仿宋"/>
          <w:color w:val="auto"/>
          <w:sz w:val="24"/>
          <w:highlight w:val="none"/>
        </w:rPr>
      </w:pPr>
      <w:r>
        <w:rPr>
          <w:rFonts w:ascii="仿宋" w:hAnsi="仿宋" w:eastAsia="仿宋"/>
          <w:color w:val="auto"/>
          <w:sz w:val="24"/>
          <w:highlight w:val="none"/>
        </w:rPr>
      </w:r>
      <w:r/>
    </w:p>
    <w:p>
      <w:pPr>
        <w:pStyle w:val="863"/>
        <w:jc w:val="center"/>
        <w:keepLines w:val="0"/>
        <w:keepNext w:val="0"/>
        <w:pageBreakBefore w:val="0"/>
        <w:spacing w:line="360" w:lineRule="auto"/>
        <w:rPr>
          <w:rFonts w:hint="eastAsia" w:ascii="宋体" w:hAnsi="宋体" w:eastAsia="宋体" w:cs="宋体"/>
          <w:b/>
          <w:bCs/>
          <w:color w:val="auto"/>
          <w:sz w:val="28"/>
          <w:szCs w:val="28"/>
          <w:highlight w:val="none"/>
        </w:rPr>
      </w:pPr>
      <w:r>
        <w:rPr>
          <w:rFonts w:ascii="仿宋" w:hAnsi="仿宋" w:eastAsia="仿宋"/>
          <w:color w:val="auto"/>
          <w:sz w:val="24"/>
          <w:highlight w:val="none"/>
        </w:rPr>
        <w:br w:type="page" w:clear="all"/>
      </w:r>
      <w:r>
        <w:rPr>
          <w:rFonts w:hint="eastAsia" w:ascii="宋体" w:hAnsi="宋体" w:cs="宋体"/>
          <w:b/>
          <w:bCs/>
          <w:color w:val="auto"/>
          <w:sz w:val="28"/>
          <w:szCs w:val="28"/>
          <w:highlight w:val="none"/>
          <w:lang w:val="en-US" w:eastAsia="zh-CN"/>
        </w:rPr>
        <w:t xml:space="preserve">9</w:t>
      </w:r>
      <w:r>
        <w:rPr>
          <w:rFonts w:hint="eastAsia" w:ascii="宋体" w:hAnsi="宋体" w:eastAsia="宋体" w:cs="宋体"/>
          <w:b/>
          <w:bCs/>
          <w:color w:val="auto"/>
          <w:sz w:val="28"/>
          <w:szCs w:val="28"/>
          <w:highlight w:val="none"/>
        </w:rPr>
        <w:t xml:space="preserve">、供应商参加政府采购活动前</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年内在经营活动中没有重大违法记录的书面声明</w:t>
      </w:r>
      <w:r/>
    </w:p>
    <w:p>
      <w:pPr>
        <w:pStyle w:val="863"/>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3"/>
        <w:ind w:firstLine="72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（项目名称）</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）政府采购活动前</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年内在经营活动中没有重大违法记录。重大违法记录是指因违法经营受到刑事处罚或者责令停产停业、吊销许可证或者执照、较大数额罚款等行政处罚。</w:t>
      </w:r>
      <w:r/>
    </w:p>
    <w:p>
      <w:pPr>
        <w:pStyle w:val="863"/>
        <w:ind w:firstLine="72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pStyle w:val="863"/>
        <w:ind w:right="29" w:firstLine="3960"/>
        <w:spacing w:line="520" w:lineRule="exact"/>
        <w:rPr>
          <w:rFonts w:ascii="仿宋" w:hAnsi="仿宋" w:eastAsia="仿宋"/>
          <w:color w:val="auto"/>
          <w:sz w:val="24"/>
          <w:highlight w:val="none"/>
        </w:rPr>
      </w:pPr>
      <w:r>
        <w:rPr>
          <w:rFonts w:ascii="仿宋" w:hAnsi="仿宋" w:eastAsia="仿宋"/>
          <w:color w:val="auto"/>
          <w:sz w:val="24"/>
          <w:highlight w:val="none"/>
        </w:rPr>
      </w:r>
      <w:r/>
    </w:p>
    <w:p>
      <w:pPr>
        <w:pStyle w:val="863"/>
        <w:ind w:right="29" w:firstLine="3960"/>
        <w:spacing w:line="520" w:lineRule="exact"/>
        <w:rPr>
          <w:rFonts w:ascii="仿宋" w:hAnsi="仿宋" w:eastAsia="仿宋"/>
          <w:color w:val="auto"/>
          <w:sz w:val="24"/>
          <w:highlight w:val="none"/>
        </w:rPr>
      </w:pPr>
      <w:r>
        <w:rPr>
          <w:rFonts w:ascii="仿宋" w:hAnsi="仿宋" w:eastAsia="仿宋"/>
          <w:color w:val="auto"/>
          <w:sz w:val="24"/>
          <w:highlight w:val="none"/>
        </w:rPr>
      </w:r>
      <w:r/>
    </w:p>
    <w:p>
      <w:pPr>
        <w:pStyle w:val="863"/>
        <w:ind w:right="29" w:firstLine="3960"/>
        <w:spacing w:line="520" w:lineRule="exact"/>
        <w:rPr>
          <w:rFonts w:ascii="仿宋" w:hAnsi="仿宋" w:eastAsia="仿宋"/>
          <w:color w:val="auto"/>
          <w:sz w:val="24"/>
          <w:highlight w:val="none"/>
        </w:rPr>
      </w:pPr>
      <w:r>
        <w:rPr>
          <w:rFonts w:ascii="仿宋" w:hAnsi="仿宋" w:eastAsia="仿宋"/>
          <w:color w:val="auto"/>
          <w:sz w:val="24"/>
          <w:highlight w:val="none"/>
        </w:rPr>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：（盖电子签章）</w:t>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63"/>
        <w:rPr>
          <w:rFonts w:ascii="仿宋" w:hAnsi="仿宋" w:eastAsia="仿宋"/>
          <w:bCs/>
          <w:color w:val="auto"/>
          <w:sz w:val="30"/>
          <w:szCs w:val="30"/>
          <w:highlight w:val="none"/>
        </w:rPr>
      </w:pPr>
      <w:r>
        <w:rPr>
          <w:rFonts w:ascii="仿宋" w:hAnsi="仿宋" w:eastAsia="仿宋"/>
          <w:bCs/>
          <w:color w:val="auto"/>
          <w:sz w:val="30"/>
          <w:szCs w:val="30"/>
          <w:highlight w:val="none"/>
        </w:rPr>
      </w:r>
      <w:r/>
    </w:p>
    <w:p>
      <w:pPr>
        <w:rPr>
          <w:rFonts w:hint="eastAsia" w:ascii="仿宋" w:hAnsi="仿宋" w:eastAsia="仿宋"/>
          <w:b/>
          <w:bCs/>
          <w:color w:val="auto"/>
          <w:sz w:val="36"/>
          <w:szCs w:val="36"/>
          <w:highlight w:val="none"/>
          <w:lang w:val="en-US" w:eastAsia="zh-CN"/>
        </w:rPr>
      </w:pPr>
      <w:r>
        <w:rPr>
          <w:rFonts w:hint="eastAsia" w:ascii="仿宋" w:hAnsi="仿宋" w:eastAsia="仿宋"/>
          <w:b/>
          <w:bCs/>
          <w:color w:val="auto"/>
          <w:sz w:val="36"/>
          <w:szCs w:val="36"/>
          <w:highlight w:val="none"/>
          <w:lang w:val="en-US" w:eastAsia="zh-CN"/>
        </w:rPr>
        <w:br w:type="page" w:clear="all"/>
      </w:r>
      <w:r/>
    </w:p>
    <w:p>
      <w:pPr>
        <w:pStyle w:val="863"/>
        <w:jc w:val="cente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rPr>
        <w:t xml:space="preserve">、具备履行合同所必需的设备和专业技术能力的</w:t>
      </w:r>
      <w:r>
        <w:rPr>
          <w:rFonts w:hint="eastAsia" w:ascii="宋体" w:hAnsi="宋体" w:cs="宋体"/>
          <w:b/>
          <w:bCs/>
          <w:color w:val="auto"/>
          <w:sz w:val="28"/>
          <w:szCs w:val="28"/>
          <w:highlight w:val="none"/>
          <w:lang w:val="en-US" w:eastAsia="zh-CN"/>
        </w:rPr>
        <w:t xml:space="preserve">承诺</w:t>
      </w:r>
      <w:r/>
    </w:p>
    <w:p>
      <w:pPr>
        <w:pStyle w:val="863"/>
        <w:ind w:firstLine="480"/>
        <w:spacing w:line="480" w:lineRule="exact"/>
        <w:rPr>
          <w:rFonts w:ascii="仿宋" w:hAnsi="仿宋" w:eastAsia="仿宋"/>
          <w:color w:val="auto"/>
          <w:sz w:val="24"/>
          <w:highlight w:val="none"/>
        </w:rPr>
      </w:pPr>
      <w:r>
        <w:rPr>
          <w:rFonts w:ascii="仿宋" w:hAnsi="仿宋" w:eastAsia="仿宋"/>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沛县2026年中央农业防灾减灾和水利救灾资金（防灾减灾第六批）和省级农业生产应急救灾资金</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JSZC-320322-JDXZ-T2026-0006</w:t>
      </w:r>
      <w:r/>
    </w:p>
    <w:p>
      <w:pPr>
        <w:pStyle w:val="863"/>
        <w:ind w:firstLine="48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firstLine="48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响应供应商郑重</w:t>
      </w:r>
      <w:r>
        <w:rPr>
          <w:rFonts w:hint="eastAsia" w:ascii="宋体" w:hAnsi="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：供应商具备履行合同（项目名称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w:t>
      </w:r>
      <w:r>
        <w:rPr>
          <w:rFonts w:hint="eastAsia" w:ascii="宋体" w:hAnsi="宋体" w:eastAsia="宋体" w:cs="宋体"/>
          <w:bCs/>
          <w:color w:val="auto"/>
          <w:sz w:val="24"/>
          <w:szCs w:val="24"/>
          <w:highlight w:val="none"/>
        </w:rPr>
        <w:t xml:space="preserve">必需的设备和专业技术能力</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具体为：</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专业技术能力：</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（证明材料原件的扫描件附后）</w:t>
      </w:r>
      <w:r/>
    </w:p>
    <w:p>
      <w:pPr>
        <w:ind w:firstLine="480"/>
        <w:jc w:val="left"/>
        <w:spacing w:after="200" w:line="276"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left"/>
        <w:spacing w:after="200"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特此声明。</w:t>
      </w:r>
      <w:r/>
    </w:p>
    <w:p>
      <w:pPr>
        <w:pStyle w:val="86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响应供应商对上述</w:t>
      </w:r>
      <w:r>
        <w:rPr>
          <w:rFonts w:hint="eastAsia" w:ascii="宋体" w:hAnsi="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的真实性负责。如有虚假，将依法承担相应责任。</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168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：（盖电子签章）</w:t>
      </w:r>
      <w:r/>
    </w:p>
    <w:p>
      <w:pPr>
        <w:ind w:left="168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法定代表人或授权代表：（签字或电子签章）  </w:t>
      </w:r>
      <w:r/>
    </w:p>
    <w:p>
      <w:pPr>
        <w:ind w:left="168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0"/>
        <w:jc w:val="center"/>
        <w:spacing w:line="360" w:lineRule="auto"/>
        <w:widowControl/>
        <w:rPr>
          <w:rFonts w:hint="eastAsia" w:ascii="仿宋" w:hAnsi="仿宋" w:eastAsia="仿宋" w:cs="仿宋"/>
          <w:b/>
          <w:bCs/>
          <w:color w:val="auto"/>
          <w:sz w:val="32"/>
          <w:szCs w:val="32"/>
          <w:highlight w:val="none"/>
          <w:lang w:eastAsia="zh-CN"/>
        </w:rPr>
      </w:pPr>
      <w:r>
        <w:rPr>
          <w:rFonts w:ascii="仿宋" w:hAnsi="仿宋" w:eastAsia="仿宋"/>
          <w:b/>
          <w:color w:val="auto"/>
          <w:sz w:val="36"/>
          <w:szCs w:val="36"/>
          <w:highlight w:val="none"/>
        </w:rPr>
        <w:br w:type="page" w:clear="all"/>
      </w:r>
      <w:r>
        <w:rPr>
          <w:rFonts w:hint="eastAsia" w:ascii="仿宋" w:hAnsi="仿宋" w:eastAsia="仿宋"/>
          <w:b/>
          <w:color w:val="auto"/>
          <w:sz w:val="36"/>
          <w:szCs w:val="36"/>
          <w:highlight w:val="none"/>
          <w:lang w:val="en-US" w:eastAsia="zh-CN"/>
        </w:rPr>
        <w:t xml:space="preserve">11、</w:t>
      </w:r>
      <w:r>
        <w:rPr>
          <w:rFonts w:hint="eastAsia" w:ascii="仿宋" w:hAnsi="仿宋" w:eastAsia="仿宋" w:cs="仿宋"/>
          <w:b/>
          <w:bCs/>
          <w:color w:val="auto"/>
          <w:sz w:val="32"/>
          <w:szCs w:val="32"/>
          <w:highlight w:val="none"/>
          <w:lang w:eastAsia="zh-CN"/>
        </w:rPr>
        <w:t xml:space="preserve">招标代理服务收费标准</w:t>
      </w:r>
      <w:r/>
    </w:p>
    <w:tbl>
      <w:tblPr>
        <w:tblStyle w:val="853"/>
        <w:tblW w:w="769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4"/>
        <w:gridCol w:w="1599"/>
      </w:tblGrid>
      <w:tr>
        <w:trPr>
          <w:cantSplit/>
          <w:jc w:val="center"/>
          <w:trHeight w:val="567" w:hRule="exact"/>
        </w:trPr>
        <w:tc>
          <w:tcPr>
            <w:tcBorders>
              <w:top w:val="single" w:color="auto" w:sz="4" w:space="0"/>
            </w:tcBorders>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w:t>
            </w:r>
            <w:r>
              <w:rPr>
                <w:rFonts w:hint="eastAsia" w:ascii="仿宋" w:hAnsi="仿宋" w:eastAsia="仿宋" w:cs="仿宋"/>
                <w:color w:val="000000"/>
                <w:sz w:val="28"/>
                <w:szCs w:val="28"/>
                <w:highlight w:val="none"/>
                <w:lang w:eastAsia="zh-CN"/>
              </w:rPr>
              <w:t xml:space="preserve">或者成交</w:t>
            </w:r>
            <w:r>
              <w:rPr>
                <w:rFonts w:hint="eastAsia" w:ascii="仿宋" w:hAnsi="仿宋" w:eastAsia="仿宋" w:cs="仿宋"/>
                <w:color w:val="000000"/>
                <w:sz w:val="28"/>
                <w:szCs w:val="28"/>
                <w:highlight w:val="none"/>
              </w:rPr>
              <w:t xml:space="preserve">金额</w:t>
            </w:r>
            <w:r/>
          </w:p>
        </w:tc>
        <w:tc>
          <w:tcPr>
            <w:tcBorders>
              <w:top w:val="single" w:color="auto" w:sz="4" w:space="0"/>
            </w:tcBorders>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费率</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最低收费金额(每个委托项目)</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5000元</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50万元以下(含50万元)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6</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50-400万元(含400万元)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400-1000万元(含1000万元)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1000-5000万元(含5000万元)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8</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5000-1 亿元(含1亿元)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1-10亿元(含 10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10-50亿元(含50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w:t>
            </w: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 亿元以上</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w:t>
            </w:r>
            <w:r>
              <w:rPr>
                <w:rFonts w:hint="eastAsia" w:ascii="仿宋" w:hAnsi="仿宋" w:eastAsia="仿宋" w:cs="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w:t>
            </w:r>
            <w:r/>
          </w:p>
        </w:tc>
      </w:tr>
    </w:tbl>
    <w:p>
      <w:pPr>
        <w:pStyle w:val="860"/>
        <w:ind w:left="68" w:firstLine="561"/>
        <w:spacing w:line="288" w:lineRule="auto"/>
        <w:widowControl/>
        <w:rPr>
          <w:rFonts w:ascii="仿宋" w:hAnsi="仿宋" w:eastAsia="仿宋" w:cs="仿宋"/>
          <w:bCs/>
          <w:sz w:val="28"/>
          <w:szCs w:val="28"/>
          <w:highlight w:val="none"/>
        </w:rPr>
      </w:pPr>
      <w:r>
        <w:rPr>
          <w:rFonts w:ascii="仿宋" w:hAnsi="仿宋" w:eastAsia="仿宋" w:cs="仿宋"/>
          <w:bCs/>
          <w:sz w:val="28"/>
          <w:szCs w:val="28"/>
          <w:highlight w:val="none"/>
        </w:rPr>
      </w:r>
      <w:r/>
    </w:p>
    <w:p>
      <w:pPr>
        <w:pStyle w:val="860"/>
        <w:ind w:left="68" w:firstLine="561"/>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 * 费率（%）。</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pStyle w:val="860"/>
        <w:ind w:left="0" w:firstLine="56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6.有分包(分标段)的以一个项目计算。</w:t>
      </w:r>
      <w:r/>
    </w:p>
    <w:p>
      <w:pPr>
        <w:pStyle w:val="860"/>
        <w:ind w:left="0" w:firstLine="560"/>
        <w:spacing w:line="5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7.以上价格为协会指导价，双方可根据项目难易程度和优质优价原则协商确定。</w:t>
      </w:r>
      <w:r/>
    </w:p>
    <w:p>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cente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cs="宋体"/>
          <w:b/>
          <w:color w:val="auto"/>
          <w:sz w:val="28"/>
          <w:szCs w:val="28"/>
          <w:highlight w:val="none"/>
          <w:lang w:val="en-US" w:eastAsia="zh-CN"/>
        </w:rPr>
        <w:t xml:space="preserve">2</w:t>
      </w:r>
      <w:r>
        <w:rPr>
          <w:rFonts w:hint="eastAsia" w:ascii="宋体" w:hAnsi="宋体" w:eastAsia="宋体" w:cs="宋体"/>
          <w:b/>
          <w:color w:val="auto"/>
          <w:sz w:val="28"/>
          <w:szCs w:val="28"/>
          <w:highlight w:val="none"/>
        </w:rPr>
        <w:t xml:space="preserve">、预付款保函支付条款</w:t>
      </w:r>
      <w:r/>
    </w:p>
    <w:p>
      <w:pPr>
        <w:pStyle w:val="1063"/>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3"/>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付款条件一：提交预付款保函的</w:t>
      </w:r>
      <w:r/>
    </w:p>
    <w:p>
      <w:pPr>
        <w:pStyle w:val="1063"/>
        <w:numPr>
          <w:ilvl w:val="0"/>
          <w:numId w:val="7"/>
        </w:numPr>
        <w:ind w:left="0"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 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ind w:left="140" w:firstLine="602"/>
        <w:jc w:val="left"/>
        <w:spacing w:after="200" w:line="360" w:lineRule="auto"/>
        <w:widowControl/>
        <w:rPr>
          <w:rFonts w:hint="eastAsia" w:ascii="宋体" w:hAnsi="宋体" w:eastAsia="宋体" w:cs="宋体"/>
          <w:color w:val="auto"/>
          <w:sz w:val="24"/>
          <w:szCs w:val="24"/>
          <w:highlight w:val="none"/>
        </w:rPr>
      </w:pPr>
      <w:r>
        <w:rPr>
          <w:rFonts w:ascii="宋体" w:hAnsi="宋体" w:eastAsia="宋体"/>
          <w:sz w:val="24"/>
          <w:szCs w:val="24"/>
          <w:lang w:val="en-US" w:eastAsia="zh-CN" w:bidi="ar-SA"/>
        </w:rPr>
        <w:t xml:space="preserve">乙方需提交的支付文件：乙方出具的全额正式发票。</w:t>
      </w:r>
      <w:r/>
    </w:p>
    <w:p>
      <w:pPr>
        <w:pStyle w:val="1063"/>
        <w:numPr>
          <w:ilvl w:val="0"/>
          <w:numId w:val="0"/>
        </w:numPr>
        <w:ind w:left="0"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2</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64"/>
        <w:ind w:left="835" w:hanging="52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w:t>
      </w:r>
      <w:r/>
    </w:p>
    <w:p>
      <w:pPr>
        <w:pStyle w:val="1063"/>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付款条件二：不提交预付款保函的</w:t>
      </w:r>
      <w:r/>
    </w:p>
    <w:p>
      <w:pPr>
        <w:pStyle w:val="1063"/>
        <w:numPr>
          <w:ilvl w:val="0"/>
          <w:numId w:val="8"/>
        </w:numPr>
        <w:ind w:left="0"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w:t>
      </w:r>
      <w:r/>
    </w:p>
    <w:p>
      <w:pPr>
        <w:pStyle w:val="1063"/>
        <w:numPr>
          <w:ilvl w:val="0"/>
          <w:numId w:val="0"/>
        </w:numPr>
        <w:ind w:left="700" w:firstLine="24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cs="黑体"/>
          <w:color w:val="auto"/>
          <w:sz w:val="24"/>
          <w:szCs w:val="24"/>
          <w:highlight w:val="none"/>
          <w:lang w:eastAsia="zh-CN"/>
        </w:rPr>
        <w:t xml:space="preserve">乙方需提交的支付文件：乙方出具的全额正式发票。</w:t>
      </w:r>
      <w:r/>
    </w:p>
    <w:p>
      <w:pPr>
        <w:pStyle w:val="1063"/>
        <w:numPr>
          <w:ilvl w:val="0"/>
          <w:numId w:val="0"/>
        </w:numPr>
        <w:ind w:left="0"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2</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工作日内，甲方应支付合同价款的百分之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64"/>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63"/>
        <w:ind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pStyle w:val="1063"/>
        <w:ind w:firstLine="70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2、付款条件二中，预付款比例设定应符合《关于做好政府釆购支持企业发展有关事项的通知》(苏财购〔2020) 52号)要求。</w:t>
      </w:r>
      <w:r/>
    </w:p>
    <w:p>
      <w:pPr>
        <w:pStyle w:val="863"/>
        <w:spacing w:line="480" w:lineRule="exact"/>
        <w:rPr>
          <w:rFonts w:ascii="仿宋" w:hAnsi="仿宋" w:eastAsia="仿宋"/>
          <w:color w:val="auto"/>
          <w:sz w:val="24"/>
          <w:highlight w:val="none"/>
        </w:rPr>
        <w:sectPr>
          <w:headerReference w:type="default" r:id="rId9"/>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olor w:val="auto"/>
          <w:sz w:val="24"/>
          <w:highlight w:val="none"/>
        </w:rPr>
      </w:r>
      <w:r/>
    </w:p>
    <w:p>
      <w:pPr>
        <w:pStyle w:val="1057"/>
        <w:numPr>
          <w:ilvl w:val="0"/>
          <w:numId w:val="0"/>
        </w:numPr>
        <w:keepLines/>
        <w:keepNext/>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13、</w:t>
      </w:r>
      <w:r>
        <w:rPr>
          <w:rFonts w:hint="eastAsia" w:ascii="宋体" w:hAnsi="宋体" w:eastAsia="宋体" w:cs="宋体"/>
          <w:color w:val="auto"/>
          <w:sz w:val="28"/>
          <w:szCs w:val="28"/>
          <w:highlight w:val="none"/>
          <w:lang w:val="en-US" w:eastAsia="zh-CN"/>
        </w:rPr>
        <w:t xml:space="preserve">合同草案条款</w:t>
      </w:r>
      <w:r/>
    </w:p>
    <w:p>
      <w:pPr>
        <w:pStyle w:val="863"/>
        <w:numPr>
          <w:ilvl w:val="0"/>
          <w:numId w:val="0"/>
        </w:numPr>
        <w:rPr>
          <w:rFonts w:hint="eastAsia"/>
          <w:color w:val="auto"/>
          <w:highlight w:val="none"/>
          <w:lang w:val="en-US" w:eastAsia="zh-CN"/>
        </w:rPr>
      </w:pPr>
      <w:r>
        <w:rPr>
          <w:rFonts w:hint="eastAsia"/>
          <w:color w:val="auto"/>
          <w:highlight w:val="none"/>
          <w:lang w:val="en-US" w:eastAsia="zh-CN"/>
        </w:rPr>
      </w:r>
      <w:r/>
    </w:p>
    <w:p>
      <w:pPr>
        <w:ind w:firstLine="482"/>
        <w:jc w:val="center"/>
        <w:spacing w:line="360" w:lineRule="auto"/>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 xml:space="preserve">（以采购人与成交供应商最终签订版本为准）</w:t>
      </w:r>
      <w:r/>
    </w:p>
    <w:p>
      <w:pPr>
        <w:pStyle w:val="1054"/>
        <w:ind w:firstLine="2520"/>
        <w:rPr>
          <w:rFonts w:ascii="宋体" w:hAnsi="宋体"/>
          <w:b/>
          <w:bCs/>
          <w:color w:val="auto"/>
          <w:sz w:val="24"/>
          <w:szCs w:val="24"/>
          <w:highlight w:val="none"/>
        </w:rPr>
      </w:pPr>
      <w:r>
        <w:rPr>
          <w:rFonts w:ascii="宋体" w:hAnsi="宋体"/>
          <w:b/>
          <w:bCs/>
          <w:color w:val="auto"/>
          <w:sz w:val="24"/>
          <w:szCs w:val="24"/>
          <w:highlight w:val="none"/>
        </w:rPr>
      </w:r>
      <w:r/>
    </w:p>
    <w:p>
      <w:pPr>
        <w:pStyle w:val="1054"/>
        <w:jc w:val="both"/>
        <w:keepLines w:val="0"/>
        <w:keepNext w:val="0"/>
        <w:pageBreakBefore w:val="0"/>
        <w:spacing w:line="360" w:lineRule="auto"/>
        <w:widowControl w:val="off"/>
        <w:rPr>
          <w:rFonts w:hint="eastAsia" w:ascii="宋体" w:hAnsi="宋体" w:eastAsia="宋体" w:cs="宋体"/>
          <w:b w:val="0"/>
          <w:bCs w:val="0"/>
          <w:color w:val="auto"/>
          <w:sz w:val="30"/>
          <w:szCs w:val="30"/>
          <w:highlight w:val="none"/>
          <w:lang w:eastAsia="zh-CN"/>
        </w:rPr>
      </w:pPr>
      <w:r>
        <w:rPr>
          <w:rFonts w:hint="eastAsia" w:ascii="宋体" w:hAnsi="宋体" w:eastAsia="宋体" w:cs="宋体"/>
          <w:b w:val="0"/>
          <w:bCs w:val="0"/>
          <w:color w:val="auto"/>
          <w:sz w:val="30"/>
          <w:szCs w:val="30"/>
          <w:highlight w:val="none"/>
        </w:rPr>
        <w:t xml:space="preserve">项目名称：</w:t>
      </w:r>
      <w:r>
        <w:rPr>
          <w:rFonts w:hint="eastAsia" w:ascii="宋体" w:hAnsi="宋体" w:eastAsia="宋体" w:cs="宋体"/>
          <w:b w:val="0"/>
          <w:bCs w:val="0"/>
          <w:color w:val="auto"/>
          <w:sz w:val="30"/>
          <w:szCs w:val="30"/>
          <w:highlight w:val="none"/>
          <w:lang w:eastAsia="zh-CN"/>
        </w:rPr>
        <w:t xml:space="preserve">沛县2026年中央农业防灾减灾和水利救灾资金（防灾减灾第六批）和省级农业生产应急救灾资金</w:t>
      </w:r>
      <w:r/>
    </w:p>
    <w:p>
      <w:pPr>
        <w:pStyle w:val="1054"/>
        <w:jc w:val="both"/>
        <w:keepLines w:val="0"/>
        <w:keepNext w:val="0"/>
        <w:pageBreakBefore w:val="0"/>
        <w:spacing w:line="360" w:lineRule="auto"/>
        <w:widowControl w:val="off"/>
        <w:rPr>
          <w:rFonts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rPr>
        <w:t xml:space="preserve">项目编号：</w:t>
      </w:r>
      <w:r>
        <w:rPr>
          <w:rFonts w:hint="eastAsia" w:ascii="宋体" w:hAnsi="宋体" w:eastAsia="宋体" w:cs="宋体"/>
          <w:b w:val="0"/>
          <w:bCs w:val="0"/>
          <w:color w:val="auto"/>
          <w:sz w:val="30"/>
          <w:szCs w:val="30"/>
          <w:highlight w:val="none"/>
          <w:lang w:eastAsia="zh-CN"/>
        </w:rPr>
        <w:t xml:space="preserve">JSZC-320322-JDXZ-T2026-0006</w:t>
      </w:r>
      <w:r/>
    </w:p>
    <w:p>
      <w:pPr>
        <w:pStyle w:val="1054"/>
        <w:jc w:val="center"/>
        <w:rPr>
          <w:rFonts w:hint="eastAsia" w:ascii="宋体" w:hAnsi="宋体" w:eastAsia="宋体" w:cs="宋体"/>
          <w:b w:val="0"/>
          <w:bCs w:val="0"/>
          <w:color w:val="auto"/>
          <w:sz w:val="56"/>
          <w:szCs w:val="56"/>
          <w:highlight w:val="none"/>
        </w:rPr>
      </w:pPr>
      <w:r>
        <w:rPr>
          <w:rFonts w:hint="eastAsia" w:ascii="宋体" w:hAnsi="宋体" w:eastAsia="宋体" w:cs="宋体"/>
          <w:b w:val="0"/>
          <w:bCs w:val="0"/>
          <w:color w:val="auto"/>
          <w:sz w:val="56"/>
          <w:szCs w:val="56"/>
          <w:highlight w:val="none"/>
        </w:rPr>
      </w:r>
      <w:r/>
    </w:p>
    <w:p>
      <w:pPr>
        <w:pStyle w:val="1054"/>
        <w:jc w:val="center"/>
        <w:rPr>
          <w:rFonts w:hint="eastAsia" w:ascii="宋体" w:hAnsi="宋体" w:eastAsia="宋体" w:cs="宋体"/>
          <w:b w:val="0"/>
          <w:bCs w:val="0"/>
          <w:color w:val="auto"/>
          <w:sz w:val="56"/>
          <w:szCs w:val="56"/>
          <w:highlight w:val="none"/>
        </w:rPr>
      </w:pPr>
      <w:r>
        <w:rPr>
          <w:rFonts w:hint="eastAsia" w:ascii="宋体" w:hAnsi="宋体" w:eastAsia="宋体" w:cs="宋体"/>
          <w:b w:val="0"/>
          <w:bCs w:val="0"/>
          <w:color w:val="auto"/>
          <w:sz w:val="56"/>
          <w:szCs w:val="56"/>
          <w:highlight w:val="none"/>
        </w:rPr>
        <w:t xml:space="preserve">政府采购合同</w:t>
      </w:r>
      <w:r/>
    </w:p>
    <w:p>
      <w:pPr>
        <w:pStyle w:val="863"/>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86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86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86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869"/>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54"/>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054"/>
        <w:ind w:left="0" w:firstLine="1960"/>
        <w:jc w:val="left"/>
        <w:spacing w:after="0" w:line="360" w:lineRule="auto"/>
        <w:rPr>
          <w:rFonts w:hint="eastAsia" w:ascii="宋体" w:hAnsi="宋体" w:eastAsia="宋体" w:cs="宋体"/>
          <w:b w:val="0"/>
          <w:bCs w:val="0"/>
          <w:color w:val="auto"/>
          <w:sz w:val="28"/>
          <w:szCs w:val="28"/>
          <w:highlight w:val="none"/>
          <w:lang w:val="en-US"/>
        </w:rPr>
      </w:pPr>
      <w:r>
        <w:rPr>
          <w:rFonts w:hint="eastAsia" w:ascii="宋体" w:hAnsi="宋体" w:eastAsia="宋体" w:cs="宋体"/>
          <w:b w:val="0"/>
          <w:bCs w:val="0"/>
          <w:color w:val="auto"/>
          <w:sz w:val="28"/>
          <w:szCs w:val="28"/>
          <w:highlight w:val="none"/>
        </w:rPr>
        <w:t xml:space="preserve">采  购  人：</w:t>
      </w:r>
      <w:r>
        <w:rPr>
          <w:rFonts w:hint="eastAsia" w:ascii="宋体" w:hAnsi="宋体" w:eastAsia="宋体" w:cs="宋体"/>
          <w:b w:val="0"/>
          <w:bCs w:val="0"/>
          <w:color w:val="auto"/>
          <w:sz w:val="28"/>
          <w:szCs w:val="28"/>
          <w:highlight w:val="none"/>
          <w:u w:val="single"/>
          <w:lang w:val="en-US" w:eastAsia="zh-CN"/>
        </w:rPr>
        <w:t xml:space="preserve"> 沛县农业农村局    </w:t>
      </w:r>
      <w:r/>
    </w:p>
    <w:p>
      <w:pPr>
        <w:pStyle w:val="1054"/>
        <w:ind w:left="0" w:firstLine="1960"/>
        <w:jc w:val="left"/>
        <w:spacing w:after="0" w:line="360" w:lineRule="auto"/>
        <w:rPr>
          <w:rFonts w:hint="eastAsia" w:ascii="宋体" w:hAnsi="宋体" w:eastAsia="宋体" w:cs="宋体"/>
          <w:b w:val="0"/>
          <w:bCs w:val="0"/>
          <w:color w:val="auto"/>
          <w:sz w:val="28"/>
          <w:szCs w:val="28"/>
          <w:highlight w:val="none"/>
          <w:u w:val="single"/>
          <w:lang w:val="en-US" w:eastAsia="zh-CN"/>
        </w:rPr>
      </w:pPr>
      <w:r>
        <w:rPr>
          <w:rFonts w:hint="eastAsia" w:ascii="宋体" w:hAnsi="宋体" w:eastAsia="宋体" w:cs="宋体"/>
          <w:b w:val="0"/>
          <w:bCs w:val="0"/>
          <w:color w:val="auto"/>
          <w:sz w:val="28"/>
          <w:szCs w:val="28"/>
          <w:highlight w:val="none"/>
        </w:rPr>
        <w:t xml:space="preserve">供</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 xml:space="preserve">应</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 xml:space="preserve">商：</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u w:val="single"/>
          <w:lang w:val="en-US" w:eastAsia="zh-CN"/>
        </w:rPr>
        <w:t xml:space="preserve">                            </w:t>
      </w:r>
      <w:r/>
    </w:p>
    <w:p>
      <w:pPr>
        <w:pStyle w:val="1054"/>
        <w:ind w:left="0" w:firstLine="1960"/>
        <w:jc w:val="left"/>
        <w:spacing w:after="0"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合同签订日期：   年   月   日</w:t>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r>
      <w:r/>
    </w:p>
    <w:p>
      <w:pPr>
        <w:pStyle w:val="863"/>
        <w:ind w:firstLine="480"/>
        <w:spacing w:line="360" w:lineRule="auto"/>
        <w:rPr>
          <w:rFonts w:ascii="宋体" w:hAnsi="宋体"/>
          <w:b w:val="0"/>
          <w:bCs w:val="0"/>
          <w:color w:val="auto"/>
          <w:sz w:val="24"/>
          <w:szCs w:val="24"/>
          <w:highlight w:val="none"/>
        </w:rPr>
      </w:pPr>
      <w:r>
        <w:rPr>
          <w:rFonts w:ascii="宋体" w:hAnsi="宋体"/>
          <w:b w:val="0"/>
          <w:bCs w:val="0"/>
          <w:color w:val="auto"/>
          <w:sz w:val="24"/>
          <w:szCs w:val="24"/>
          <w:highlight w:val="none"/>
        </w:rPr>
        <w:t xml:space="preserve">友情提醒：采购人与中标、成交供应商应当在中标、成交通知书发出之日起30日内，按照采购文件确定的事项签订政府采购合同。</w:t>
      </w:r>
      <w:r/>
    </w:p>
    <w:p>
      <w:pPr>
        <w:pStyle w:val="863"/>
        <w:ind w:firstLine="480"/>
        <w:spacing w:line="360" w:lineRule="auto"/>
        <w:rPr>
          <w:rFonts w:ascii="宋体" w:hAnsi="宋体"/>
          <w:b w:val="0"/>
          <w:bCs/>
          <w:color w:val="auto"/>
          <w:sz w:val="24"/>
          <w:szCs w:val="24"/>
          <w:highlight w:val="none"/>
        </w:rPr>
      </w:pPr>
      <w:r>
        <w:rPr>
          <w:rFonts w:ascii="宋体" w:hAnsi="宋体"/>
          <w:b w:val="0"/>
          <w:bCs w:val="0"/>
          <w:color w:val="auto"/>
          <w:sz w:val="24"/>
          <w:szCs w:val="24"/>
          <w:highlight w:val="none"/>
        </w:rPr>
        <w:t xml:space="preserve">采购人应当自政府采购合同签订之日起2个</w:t>
      </w:r>
      <w:r>
        <w:rPr>
          <w:rFonts w:ascii="宋体" w:hAnsi="宋体"/>
          <w:b w:val="0"/>
          <w:bCs/>
          <w:color w:val="auto"/>
          <w:sz w:val="24"/>
          <w:szCs w:val="24"/>
          <w:highlight w:val="none"/>
        </w:rPr>
        <w:t xml:space="preserve">工作日内，将政府采购合同在省级以上人民政府财政部门指定的媒体上公告，但政府采购合同中涉及国家秘密、商业秘密的内容除外。</w:t>
      </w:r>
      <w:r/>
    </w:p>
    <w:p>
      <w:pPr>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br w:type="page" w:clear="all"/>
      </w:r>
      <w:r/>
    </w:p>
    <w:p>
      <w:pPr>
        <w:ind w:firstLine="3935"/>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合同通用条款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408"/>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第四条    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第五条    交货</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第六条    包装和标记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第十条    售后服务和技术培训</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第十五条  适用法律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第十六条  权利保证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第十七条  保密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70"/>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36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合同通用条款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第一条  定义</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除本合同上下文中另有规定外，下列各词语定义如下：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1.1“买方”见《合同专用条款》。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1.2“卖方”见《合同专用条款》。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1.3“工作现场”见《合同专用条款》。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1.4“合同标的”见合同附件。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1.5“技术资料”是指与合同标的的安装、试运行、验收、操作以及维修有关的技术指标、规格、图纸和文件。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1.6“技术培训”是指在合同标的的安装、试运行、验收、操作、维修以及其他方面卖方给予买方的培训。</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1.7“安装”是指有关合同标的、备件和材料的安装工作。</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1.8“试运行”是指为验明合同标的的技术性能，在安装完毕后对合同标的进行的测试。</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1.10“合同货币”见《合同专用条款》。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1.11“合同价格”见合同。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1.12“合同生效日”见《合同协议书》（合同附件1）。</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1.13“日”是指日历天数。</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1.14“月”是指日历月数。</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1.15“采购需求” 见合同。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第二条 合同范围</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2.1买方同意从卖方购买、卖方同意向买方出售和提供的合同标的以及相关售后服务、技术培训和技术资料。</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2.2数量：见招标文件第六章《采购需求》中“三、采购清单及技术参数要求”。</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第三条 价格</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合同总价见《合同专用条款》。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 合同总价是固定价格。</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第四条 支付（采购资金的支付方式、时间、条件）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4.2卖方有义务根据合同的规定向买方支付违约金和/或赔偿金时，买方有权从任何一笔应付款或卖方的履约保证金中予以扣除。</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第五条 交货（货物、服务提供的时间、地点、方式）</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5.1交货期限、批次和交货条件见《合同专用条款》。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5.2交货地点见《合同专用条款》。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5.3在《合同专用条款》规定的期限内，卖方应将合同号、合同标的的名称、数量、金额、包装件数以及交货的时间以书面方式通知买方。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5.4卖方应按下列规定交付合同标的：</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5.4.1卖方负责将合同标的送至《合同专用条款》规定的交货地点。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5.4.2买方出具的收据日期是合同标的的实际交货日期。</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5.5如果卖方未能按照合同规定的交货期限交货，卖方应按《合同专用条款》的规定支付违约金或提供其他救济。</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第六条 包装与标记</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6.1除非合同中另有规定，合同标的应保持产品制造企业原包装完好。</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6.2在合同标的的每件包装中都应附有下列单据：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 装箱明细单；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 质量合格证；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 技术资料。</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第七条 技术资料</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技术资料交付的期限和方式见《合同专用条款》。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第八条 安装</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 合同标的的安装期限见《合同专用条款》。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 项目实施方案见合同附件。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第九条 验收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9.1合同标的的试运行、验收见《合同专用条款》。</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9.2如果合同附件2 所规定的所有技术性能在验收中都已经达到，双方应在验收合格后5 日内签署验收书。</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9.3验收标准（验收要求、验收标准和程序）：见合同附件。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第十条 售后服务和技术培训</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10.1售后服务和技术培训见合同附件。</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第十一条 索赔</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 卖方替换不符合合同规定的合同标的。</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 按质量低劣的程度、买方受损害的程度及损失的数额对合同标的进行降价。</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 拒收合同标的。</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 赔偿由卖方违约引起的其他损失。</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第十二条 不可抗力</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第十三条 合同的终止</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 卖方在合同规定的交货期限后未能按《合同专用条款》中规定的最终期限交付合同标的和/或技术资料；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 合同标的未能达到合同附件2 规定的技术性能；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 卖方未能履行合同项下任何其它义务，并且在收到买方违约通知后未能按《合同专用条款》中规定的期限对其违约行为作出补救。</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13.3如果买方认定卖方在投标或执行合同中有腐败或欺诈行为,买方有权在任何时候发出书面通知终止合同。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A.“腐败行为”系指在招标、采购和合同执行等过程中，为谋求利益、影响相关人员而提供、给予、接受或索取任何有价物的行为。</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B.“欺诈行为”系指为了影响招标、采购和合同执行等过程而隐瞒事实，从而给买方造成损害的行为，其中包括投标人之间的串通行为。</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13.4 在买方全部或部分终止合同的情况下，卖方应按《合同专用条款》的规定对买方给予补偿。</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第十四条 争议的解决</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第十五条 适用法律</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 本合同的执行和争议的解决适用中华人民共和国的法律并按中华人民共和国的法律进行解释。</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第十六条  权利保证</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第十七条  保密 </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17.2上述秘密，卖方只能用于本合同，而且只能由卖方相应的人员使用；没有必要接触的卖方人员，不得接触。</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17.3卖方应当采取适当有效的方式保护所获取的上述秘密。</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第十八条 合同生效及其他</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本合同在合同协议书（合同附件1）规定的条件全部满足后生效。</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18.3 合同双方各自承担与本合同有关的应负税费。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18.4合同双方除非《合同专用条款》另有规定，所有合同文件及相关的修订和合同双方之间的书面联络，应使用中文书就并按中文解释。</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18.5对本合同的任何补充、增添或修改以书面方式进行。</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18.6没有另一方的事先书面同意，合同任何一方不得将合同项下的任何权利和义务转让给第三方。</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18.8合同条款中的标题和边注仅供参考使用，不应视为合同的一部分，也不影响本文的解释。</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合同专用条款</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第一条 定义</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“买方”为。</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 “卖方”为。</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 “工作现场”为买方指定地点。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 “合同货币”即人民币。</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第二条 合同范围</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2.3买方同意从卖方购买、卖方同意向买方出售的合同标的是。详见合同附件。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第三条 价格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3.1合同总价为¥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3.2本合同为总价合同，项目实施过程中除采购人提出的变更要求外不增加任何费用，本合同总价中包含国家法律法规对设备、材料的检验、检测费用。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本合同价格为包括但不限于产品价、包装费、运杂费、保险费、安装费、调试费、买方操作及维护人员培训费、技术服务费等其它一切有可能产生或增加的费用。</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第四条 支付（采购资金的支付方式、时间、条件）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4.1产品验收合格后，甲方收到乙方合格发票后，及时申请财政局报账，待财政资金到位后15日内支付给乙方。若财政局未拨付的，则甲方不予支付且不承担违约等责任。</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4.2卖方需提交的支付文件包括：</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1、合同及增值税专用发票。2、双方共同签署的验收合格证明。</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  合同约定的卖方账户：</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银行帐号：</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买方逾期支付资金的，每逾期（10）天，买方向卖方支付合同总价的（0.01）%的违约金，但违约金的总数不超过合同总金额的（0.1）%。</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逾期退还履约保证金的违约责任: 除应当退还保证金本金外，还应当按中国人民银行同期活期存款基准利率上浮20％后的利率支付超期资金占用费。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第五条 交货（货物、服务提供的时间、地点、方式）</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5.1卖方应于合同生效日后，</w:t>
      </w:r>
      <w:r>
        <w:rPr>
          <w:rFonts w:hint="eastAsia" w:ascii="宋体" w:hAnsi="宋体" w:cs="宋体"/>
          <w:color w:val="auto"/>
          <w:sz w:val="24"/>
          <w:szCs w:val="24"/>
          <w:highlight w:val="none"/>
          <w:u w:val="single"/>
          <w:lang w:val="en-US" w:eastAsia="zh-CN" w:bidi="ar-SA"/>
        </w:rPr>
        <w:t xml:space="preserve">3</w:t>
      </w:r>
      <w:r>
        <w:rPr>
          <w:rFonts w:hint="eastAsia" w:ascii="宋体" w:hAnsi="宋体" w:eastAsia="宋体" w:cs="宋体"/>
          <w:color w:val="auto"/>
          <w:sz w:val="24"/>
          <w:szCs w:val="24"/>
          <w:highlight w:val="none"/>
          <w:lang w:val="en-US" w:eastAsia="zh-CN" w:bidi="ar-SA"/>
        </w:rPr>
        <w:t xml:space="preserve">日内将合同标的全部交付。</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 交货地点为买方指定地点。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5.3卖方应在不迟于每批合同标的备妥待运前</w:t>
      </w:r>
      <w:r>
        <w:rPr>
          <w:rFonts w:hint="eastAsia" w:ascii="宋体" w:hAnsi="宋体" w:eastAsia="宋体" w:cs="宋体"/>
          <w:color w:val="auto"/>
          <w:sz w:val="24"/>
          <w:szCs w:val="24"/>
          <w:highlight w:val="none"/>
          <w:u w:val="single"/>
          <w:lang w:val="en-US" w:eastAsia="zh-CN" w:bidi="ar-SA"/>
        </w:rPr>
        <w:t xml:space="preserve">  2  </w:t>
      </w:r>
      <w:r>
        <w:rPr>
          <w:rFonts w:hint="eastAsia" w:ascii="宋体" w:hAnsi="宋体" w:eastAsia="宋体" w:cs="宋体"/>
          <w:color w:val="auto"/>
          <w:sz w:val="24"/>
          <w:szCs w:val="24"/>
          <w:highlight w:val="none"/>
          <w:lang w:val="en-US" w:eastAsia="zh-CN" w:bidi="ar-SA"/>
        </w:rPr>
        <w:t xml:space="preserve">日通知买方。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5.5如果卖方未能按照合同规定的交货期限交货，卖方应按每天迟交合同标的金额的百分之一 (1%)的比率支付违约金。违约金的总金额不超过合同总价的百分之十(10%) ，违约金的支付不能免除卖方继续交付相关合同标的的义务。</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第六条 包装与标记</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6.4 商品（合同标的）包装具体要求：见《关于印发《商品包装政府采购需求标准（试行）》、《快递包装政府采购需求标准（试行）》的通知》（财办库〔2020〕123号）中《商品包装政府采购需求标准（试行）》。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第七条 技术资料</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 技术资料随合同标的同时交付给买方。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第八条 安装</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8.1卖方应于合同生效日后，</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日内将合同标的全部交付。</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第九条 验收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 合同标的的试运行、验收应在卖方的协助下进行。合同标的全部交付并安装完毕后，卖方可向买方书面提出试运行、验收要求，买方在接到书面要求后 10日进行试运行、验收。如果试运行和/或验收因卖方原因发生迟延和/ 或在其它情况下发生额外费用，买方有权就因迟延发生的损害和损失和/或任何额外费用请求赔偿。</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9.2由买方进行评估和验收；经买方验收不合格的，卖方在接到买方通知后三日内整改，并保证再次验收合格。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第十一条 索赔</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11.1买方有权选择本条款规定的任意或全部救济方式。</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第十二条 不可抗力</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如果不可抗力事件的影响持续超过20日，合同任何一方均有权发出书面通知终止合同。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第十三条 合同的终止</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13.1如果卖方有下述违约行为，买方可以全部或部分地终止合同：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卖方在合同规定的交货期限后3日内仍未能交付合同标的和/ 或技术资料；或者卖方未能履行合同项下任何其它义务，并且在收到买方违约通知后5日内仍未能对其违约行为作出补救。</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第十四条 争议的解决</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14.1如果不能协商一致，合同任何一方有权向买方所在地人民法院提起诉讼。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第十八条 合同生效及其他</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18.11 合同双方的通讯地址：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买方:        卖方: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            地址: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             邮编: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电话:               电话: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传真:                传真: </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18.12 因买方原因导致变更、中止或者终止政府采购合同的，买方对卖方受到的实际损失予以赔偿或者补偿。</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rPr>
          <w:rFonts w:hint="eastAsia" w:ascii="宋体" w:hAnsi="宋体" w:eastAsia="宋体" w:cs="宋体"/>
          <w:color w:val="auto"/>
          <w:sz w:val="24"/>
          <w:szCs w:val="24"/>
          <w:highlight w:val="none"/>
          <w:lang w:val="en-US" w:eastAsia="zh-CN" w:bidi="ar-SA"/>
        </w:rPr>
        <w:t xml:space="preserve">合同附件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合同附件1：合同协议书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合同附件2：技术规格和技术性能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(要求见询价通知书《采购需求》；合同见卖方响应文件。)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合同附件3：供货范围和价格清单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(要求见</w:t>
      </w:r>
      <w:r>
        <w:rPr>
          <w:rFonts w:hint="eastAsia" w:ascii="宋体" w:hAnsi="宋体" w:cs="宋体"/>
          <w:color w:val="auto"/>
          <w:sz w:val="24"/>
          <w:szCs w:val="24"/>
          <w:highlight w:val="none"/>
          <w:lang w:val="en-US" w:eastAsia="zh-CN" w:bidi="ar-SA"/>
        </w:rPr>
        <w:t xml:space="preserve">谈判文件</w:t>
      </w:r>
      <w:r>
        <w:rPr>
          <w:rFonts w:hint="eastAsia" w:ascii="宋体" w:hAnsi="宋体" w:eastAsia="宋体" w:cs="宋体"/>
          <w:color w:val="auto"/>
          <w:sz w:val="24"/>
          <w:szCs w:val="24"/>
          <w:highlight w:val="none"/>
          <w:lang w:val="en-US" w:eastAsia="zh-CN" w:bidi="ar-SA"/>
        </w:rPr>
        <w:t xml:space="preserve">《采购需求》中《谈判报价表》和《分项价格表》；见卖方响应文件。)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rPr>
          <w:rFonts w:hint="eastAsia" w:ascii="宋体" w:hAnsi="宋体" w:eastAsia="宋体" w:cs="宋体"/>
          <w:color w:val="auto"/>
          <w:sz w:val="24"/>
          <w:szCs w:val="24"/>
          <w:highlight w:val="none"/>
          <w:lang w:val="en-US" w:eastAsia="zh-CN" w:bidi="ar-SA"/>
        </w:rPr>
        <w:t xml:space="preserve">合同附件1：</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合同编号:____________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签字日期:____________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签字地点:____________ </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（买方名称）（以下简称“买方”）已接受</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（卖方名称）（以下简称“卖方”）对</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（项目名称）（项目编号：</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rPr>
        <w:t xml:space="preserve">）的投标。买方和卖方共同达成如下协议。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本合同协议书中的词语和术语的含义与合同条款中定义的相同。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以下文件应构成买方和卖方之间达成的合同，若各文件之间存在含糊不清或互相冲突之处，优先顺序应按下列文件顺序解释。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 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中标（成交）通知书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 合同专用条款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 合同通用条款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 除合同附件1外的合同附件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 其他文件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3.考虑到买方将按照本合同向卖方支付合同价款，卖方在此保证全部按照合同的规定向买方提供合同标的、技术资料、售后服务及技术培训。</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4.考虑到卖方将按合同规定提供合同标的、技术资料、售后服务及技术培训，买方在此保证按照合同规定的时间和方式向卖方支付合同价款。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5.本合同在下列条件全部满足后生效，生效日期以下列条件全部满足的最晚日期为准：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 双方加盖公章或合同专用章；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 合同一式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份，具有同等法律效力，买方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份，卖方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份，采购代理机构一份备案。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7.本合同其他未尽事宜及与采购文件有矛盾之处，以采购文件[项目编号：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买方和卖方由其正式授权代表于上述所写日期和地点签订本合同。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买方（签章）：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卖方（签章）：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 </w:t>
      </w:r>
      <w:r/>
    </w:p>
    <w:p>
      <w:pPr>
        <w:ind w:firstLine="480"/>
        <w:keepLines w:val="0"/>
        <w:keepNext w:val="0"/>
        <w:pageBreakBefore w:val="0"/>
        <w:spacing w:line="288" w:lineRule="auto"/>
        <w:widowControl w:val="off"/>
        <w:rPr>
          <w:color w:val="auto"/>
          <w:highlight w:val="none"/>
        </w:rPr>
      </w:pPr>
      <w:r>
        <w:rPr>
          <w:rFonts w:hint="eastAsia" w:ascii="宋体" w:hAnsi="宋体" w:eastAsia="宋体" w:cs="宋体"/>
          <w:color w:val="auto"/>
          <w:sz w:val="24"/>
          <w:szCs w:val="24"/>
          <w:highlight w:val="none"/>
          <w:lang w:val="en-US" w:eastAsia="zh-CN" w:bidi="ar-SA"/>
        </w:rPr>
        <w:t xml:space="preserve">银行帐号：</w:t>
      </w:r>
      <w:r/>
    </w:p>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楷体_GB2312">
    <w:panose1 w:val="02010609060101010101"/>
  </w:font>
  <w:font w:name="方正仿宋_GBK">
    <w:panose1 w:val="020B0503020202020204"/>
  </w:font>
  <w:font w:name="Cambria">
    <w:panose1 w:val="02040503050406030204"/>
  </w:font>
  <w:font w:name="Calibri">
    <w:panose1 w:val="020F0502020204030204"/>
  </w:font>
  <w:font w:name="仿宋_GB2312">
    <w:panose1 w:val="02010609060101010101"/>
  </w:font>
  <w:font w:name="黑体">
    <w:panose1 w:val="02010609060101010101"/>
  </w:font>
  <w:font w:name="Courier New">
    <w:panose1 w:val="02070309020205020404"/>
  </w:font>
  <w:font w:name="金山简黑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200" w:line="240" w:lineRule="auto"/>
      <w:tabs>
        <w:tab w:val="center" w:pos="4153" w:leader="none"/>
        <w:tab w:val="right" w:pos="8306" w:leader="none"/>
      </w:tabs>
      <w:rPr>
        <w:rFonts w:hint="default" w:ascii="Arial" w:hAnsi="Arial" w:eastAsia="Arial" w:cs="Times New Roman"/>
        <w:sz w:val="18"/>
        <w:szCs w:val="18"/>
        <w:lang w:val="en-US" w:eastAsia="en-US" w:bidi="ar-SA"/>
      </w:rPr>
    </w:pPr>
    <w:r>
      <w:rPr>
        <w:rFonts w:hint="default" w:ascii="Arial" w:hAnsi="Arial" w:eastAsia="Arial" w:cs="Times New Roman"/>
        <w:sz w:val="18"/>
        <w:szCs w:val="18"/>
        <w:lang w:val="en-US" w:eastAsia="en-US" w:bidi="ar-SA"/>
      </w:rPr>
      <w:fldChar w:fldCharType="begin"/>
    </w:r>
    <w:r>
      <w:rPr>
        <w:rFonts w:hint="default" w:ascii="Arial" w:hAnsi="Arial" w:eastAsia="Arial" w:cs="Times New Roman"/>
        <w:sz w:val="18"/>
        <w:szCs w:val="18"/>
        <w:lang w:val="en-US" w:eastAsia="en-US" w:bidi="ar-SA"/>
      </w:rPr>
      <w:instrText xml:space="preserve">PAGE   \* MERGEFORMAT</w:instrText>
    </w:r>
    <w:r>
      <w:rPr>
        <w:rFonts w:hint="default" w:ascii="Arial" w:hAnsi="Arial" w:eastAsia="Arial" w:cs="Times New Roman"/>
        <w:sz w:val="18"/>
        <w:szCs w:val="18"/>
        <w:lang w:val="en-US" w:eastAsia="en-US" w:bidi="ar-SA"/>
      </w:rPr>
      <w:fldChar w:fldCharType="separate"/>
    </w:r>
    <w:r>
      <w:rPr>
        <w:rFonts w:hint="default" w:ascii="Arial" w:hAnsi="Arial" w:eastAsia="Arial" w:cs="Times New Roman"/>
        <w:sz w:val="18"/>
        <w:szCs w:val="18"/>
        <w:lang w:val="zh-CN" w:eastAsia="zh-CN" w:bidi="ar-SA"/>
      </w:rPr>
      <w:t xml:space="preserve">60</w:t>
    </w:r>
    <w:r>
      <w:rPr>
        <w:rFonts w:hint="default" w:ascii="Arial" w:hAnsi="Arial" w:eastAsia="Arial" w:cs="Times New Roman"/>
        <w:sz w:val="18"/>
        <w:szCs w:val="18"/>
        <w:lang w:val="en-US" w:eastAsia="en-US" w:bidi="ar-SA"/>
      </w:rPr>
      <w:fldChar w:fldCharType="end"/>
    </w:r>
    <w:r/>
  </w:p>
  <w:p>
    <w:pPr>
      <w:spacing w:after="200" w:line="240" w:lineRule="auto"/>
      <w:tabs>
        <w:tab w:val="center" w:pos="4153" w:leader="none"/>
        <w:tab w:val="right" w:pos="8306" w:leader="none"/>
      </w:tabs>
      <w:rPr>
        <w:rFonts w:hint="default" w:ascii="Arial" w:hAnsi="Arial" w:eastAsia="Arial" w:cs="Times New Roman"/>
        <w:sz w:val="18"/>
        <w:szCs w:val="18"/>
        <w:lang w:val="en-US" w:eastAsia="en-US" w:bidi="ar-SA"/>
      </w:rPr>
    </w:pPr>
    <w:r>
      <w:rPr>
        <w:rFonts w:hint="default" w:ascii="Arial" w:hAnsi="Arial" w:eastAsia="Arial" w:cs="Times New Roman"/>
        <w:sz w:val="18"/>
        <w:szCs w:val="18"/>
        <w:lang w:val="en-US" w:eastAsia="en-US"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1920" cy="14605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22183" cy="146037"/>
                      </a:xfrm>
                      <a:prstGeom prst="rect">
                        <a:avLst/>
                      </a:prstGeom>
                      <a:noFill/>
                      <a:ln>
                        <a:noFill/>
                        <a:miter/>
                      </a:ln>
                      <a:effectLst/>
                    </wps:spPr>
                    <wps:txbx>
                      <w:txbxContent>
                        <w:p>
                          <w:pPr>
                            <w:pStyle w:val="87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6pt;height:11.5pt;mso-wrap-distance-left:9.0pt;mso-wrap-distance-top:0.0pt;mso-wrap-distance-right:9.0pt;mso-wrap-distance-bottom:0.0pt;visibility:visible;" filled="f" stroked="f">
              <v:textbox inset="0,0,0,0">
                <w:txbxContent>
                  <w:p>
                    <w:pPr>
                      <w:pStyle w:val="87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hint="eastAsia"/>
      </w:rPr>
    </w:pPr>
    <w:r>
      <w:rPr>
        <w:rFonts w:hint="eastAsia"/>
      </w:rPr>
      <w:t xml:space="preserve">     </w:t>
    </w:r>
    <w:r>
      <w:rPr>
        <w:rFonts w:hint="eastAsia"/>
        <w:lang w:val="en-US" w:eastAsia="zh-CN"/>
      </w:rPr>
      <w:t xml:space="preserve">                                                        </w:t>
    </w:r>
    <w:r>
      <w:rPr>
        <w:rFonts w:hint="eastAsia"/>
      </w:rPr>
      <w:t xml:space="preserve">    </w:t>
    </w:r>
    <w:r/>
  </w:p>
  <w:p>
    <w:pPr>
      <w:pStyle w:val="863"/>
      <w:rPr>
        <w:sz w:val="18"/>
      </w:rPr>
    </w:pPr>
    <w:r>
      <w:rPr>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hint="eastAsia"/>
      </w:rPr>
    </w:pPr>
    <w:r>
      <w:rPr>
        <w:rFonts w:hint="eastAsia"/>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lvlOverride w:ilvl="0">
      <w:startOverride w:val="1"/>
    </w:lvlOverride>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2" w:default="1">
    <w:name w:val="Normal"/>
    <w:link w:val="1066"/>
    <w:uiPriority w:val="0"/>
    <w:qFormat/>
    <w:pPr>
      <w:jc w:val="both"/>
      <w:widowControl w:val="off"/>
    </w:pPr>
    <w:rPr>
      <w:rFonts w:hint="default" w:ascii="Times New Roman" w:hAnsi="Times New Roman" w:eastAsia="宋体" w:cs="Times New Roman"/>
      <w:sz w:val="21"/>
      <w:szCs w:val="24"/>
    </w:rPr>
  </w:style>
  <w:style w:type="paragraph" w:styleId="843">
    <w:name w:val="Heading 1"/>
    <w:basedOn w:val="842"/>
    <w:next w:val="842"/>
    <w:link w:val="899"/>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900"/>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901"/>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902"/>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903"/>
    <w:uiPriority w:val="9"/>
    <w:unhideWhenUsed/>
    <w:qFormat/>
    <w:pPr>
      <w:keepLines/>
      <w:keepNext/>
      <w:spacing w:before="320" w:after="200"/>
      <w:outlineLvl w:val="4"/>
    </w:pPr>
    <w:rPr>
      <w:rFonts w:ascii="Arial" w:hAnsi="Arial" w:eastAsia="Arial" w:cs="Arial"/>
      <w:b/>
      <w:bCs/>
      <w:sz w:val="24"/>
      <w:szCs w:val="24"/>
    </w:rPr>
  </w:style>
  <w:style w:type="paragraph" w:styleId="848">
    <w:name w:val="Heading 6"/>
    <w:basedOn w:val="842"/>
    <w:next w:val="842"/>
    <w:link w:val="904"/>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06"/>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07"/>
    <w:uiPriority w:val="9"/>
    <w:unhideWhenUsed/>
    <w:qFormat/>
    <w:pPr>
      <w:keepLines/>
      <w:keepNext/>
      <w:spacing w:before="320" w:after="200"/>
      <w:outlineLvl w:val="8"/>
    </w:pPr>
    <w:rPr>
      <w:rFonts w:ascii="Arial" w:hAnsi="Arial" w:eastAsia="Arial" w:cs="Arial"/>
      <w:i/>
      <w:iCs/>
      <w:sz w:val="21"/>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toc 7"/>
    <w:basedOn w:val="842"/>
    <w:next w:val="842"/>
    <w:uiPriority w:val="39"/>
    <w:unhideWhenUsed/>
    <w:qFormat/>
    <w:pPr>
      <w:ind w:left="1701" w:right="0" w:firstLine="0"/>
      <w:spacing w:after="57"/>
    </w:pPr>
  </w:style>
  <w:style w:type="paragraph" w:styleId="855">
    <w:name w:val="Caption"/>
    <w:basedOn w:val="842"/>
    <w:next w:val="8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6">
    <w:name w:val="Body Text"/>
    <w:basedOn w:val="842"/>
    <w:next w:val="857"/>
    <w:uiPriority w:val="0"/>
    <w:unhideWhenUsed/>
    <w:qFormat/>
    <w:rPr>
      <w:rFonts w:ascii="金山简黑体" w:hAnsi="Courier New" w:eastAsia="金山简黑体"/>
      <w:b/>
      <w:spacing w:val="-8"/>
      <w:sz w:val="44"/>
      <w:szCs w:val="20"/>
    </w:rPr>
  </w:style>
  <w:style w:type="paragraph" w:styleId="857" w:customStyle="1">
    <w:name w:val="一级条标题"/>
    <w:basedOn w:val="858"/>
    <w:next w:val="8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84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859" w:customStyle="1">
    <w:name w:val="段"/>
    <w:basedOn w:val="860"/>
    <w:uiPriority w:val="0"/>
    <w:qFormat/>
    <w:pPr>
      <w:ind w:firstLine="200"/>
      <w:widowControl/>
    </w:pPr>
    <w:rPr>
      <w:rFonts w:ascii="宋体"/>
      <w:sz w:val="20"/>
      <w:szCs w:val="20"/>
    </w:rPr>
  </w:style>
  <w:style w:type="paragraph" w:styleId="860" w:customStyle="1">
    <w:name w:val="正文1"/>
    <w:basedOn w:val="861"/>
    <w:next w:val="869"/>
    <w:uiPriority w:val="0"/>
    <w:qFormat/>
    <w:pPr>
      <w:jc w:val="left"/>
      <w:spacing w:line="360" w:lineRule="atLeast"/>
    </w:pPr>
    <w:rPr>
      <w:rFonts w:ascii="宋体"/>
      <w:sz w:val="24"/>
      <w:szCs w:val="20"/>
    </w:rPr>
  </w:style>
  <w:style w:type="paragraph" w:styleId="861" w:customStyle="1">
    <w:name w:val="正文111"/>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customStyle="1">
    <w:name w:val="正文文本缩进1"/>
    <w:basedOn w:val="863"/>
    <w:next w:val="868"/>
    <w:uiPriority w:val="0"/>
    <w:qFormat/>
    <w:pPr>
      <w:ind w:left="420"/>
      <w:spacing w:after="120"/>
    </w:pPr>
  </w:style>
  <w:style w:type="paragraph" w:styleId="863" w:customStyle="1">
    <w:name w:val="正文11"/>
    <w:next w:val="864"/>
    <w:uiPriority w:val="0"/>
    <w:qFormat/>
    <w:pPr>
      <w:jc w:val="both"/>
      <w:widowControl w:val="off"/>
    </w:pPr>
    <w:rPr>
      <w:rFonts w:hint="default" w:ascii="Times New Roman" w:hAnsi="Times New Roman" w:eastAsia="宋体" w:cs="Times New Roman"/>
      <w:sz w:val="21"/>
      <w:szCs w:val="24"/>
    </w:rPr>
  </w:style>
  <w:style w:type="paragraph" w:styleId="864" w:customStyle="1">
    <w:name w:val="目录 11"/>
    <w:basedOn w:val="865"/>
    <w:next w:val="863"/>
    <w:uiPriority w:val="0"/>
    <w:qFormat/>
    <w:pPr>
      <w:jc w:val="left"/>
      <w:spacing w:before="120" w:after="120"/>
    </w:pPr>
    <w:rPr>
      <w:rFonts w:ascii="Calibri" w:hAnsi="Calibri" w:eastAsia="宋体"/>
      <w:b/>
      <w:bCs/>
      <w:caps/>
      <w:sz w:val="20"/>
      <w:szCs w:val="20"/>
    </w:rPr>
  </w:style>
  <w:style w:type="paragraph" w:styleId="865" w:customStyle="1">
    <w:name w:val="正文12"/>
    <w:next w:val="866"/>
    <w:uiPriority w:val="0"/>
    <w:qFormat/>
    <w:rPr>
      <w:rFonts w:hint="default" w:ascii="Times New Roman" w:hAnsi="Times New Roman" w:eastAsia="宋体" w:cs="Times New Roman"/>
      <w:lang w:val="en-US" w:eastAsia="zh-CN" w:bidi="ar-SA"/>
    </w:rPr>
  </w:style>
  <w:style w:type="paragraph" w:styleId="866" w:customStyle="1">
    <w:name w:val="标题 21"/>
    <w:basedOn w:val="861"/>
    <w:next w:val="867"/>
    <w:uiPriority w:val="0"/>
    <w:qFormat/>
    <w:pPr>
      <w:keepLines/>
      <w:keepNext/>
      <w:spacing w:before="260" w:after="260" w:line="416" w:lineRule="auto"/>
      <w:outlineLvl w:val="1"/>
    </w:pPr>
    <w:rPr>
      <w:rFonts w:ascii="Cambria" w:hAnsi="Cambria"/>
      <w:b/>
      <w:bCs/>
      <w:sz w:val="32"/>
      <w:szCs w:val="32"/>
    </w:rPr>
  </w:style>
  <w:style w:type="paragraph" w:styleId="867" w:customStyle="1">
    <w:name w:val="正文1111"/>
    <w:next w:val="8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样式 正文文本缩进 + 首行缩进:  2 字符 行距: 1.5 倍行距"/>
    <w:basedOn w:val="862"/>
    <w:uiPriority w:val="0"/>
    <w:qFormat/>
    <w:pPr>
      <w:ind w:firstLine="645"/>
      <w:spacing w:before="156"/>
    </w:pPr>
    <w:rPr>
      <w:rFonts w:ascii="Calibri" w:hAnsi="Calibri"/>
      <w:sz w:val="28"/>
    </w:rPr>
  </w:style>
  <w:style w:type="paragraph" w:styleId="869" w:customStyle="1">
    <w:name w:val="文本块1"/>
    <w:basedOn w:val="861"/>
    <w:next w:val="842"/>
    <w:uiPriority w:val="0"/>
    <w:qFormat/>
    <w:pPr>
      <w:ind w:left="256" w:right="6" w:firstLine="624"/>
    </w:pPr>
    <w:rPr>
      <w:rFonts w:eastAsia="仿宋_GB2312"/>
      <w:sz w:val="28"/>
      <w:szCs w:val="20"/>
    </w:rPr>
  </w:style>
  <w:style w:type="paragraph" w:styleId="870">
    <w:name w:val="Block Text"/>
    <w:basedOn w:val="842"/>
    <w:next w:val="842"/>
    <w:uiPriority w:val="99"/>
    <w:unhideWhenUsed/>
    <w:qFormat/>
    <w:pPr>
      <w:ind w:left="567" w:right="454" w:firstLine="498"/>
      <w:widowControl/>
    </w:pPr>
    <w:rPr>
      <w:rFonts w:ascii="仿宋_GB2312" w:eastAsia="仿宋_GB2312"/>
      <w:sz w:val="30"/>
      <w:szCs w:val="20"/>
    </w:rPr>
  </w:style>
  <w:style w:type="paragraph" w:styleId="871">
    <w:name w:val="toc 5"/>
    <w:basedOn w:val="842"/>
    <w:next w:val="842"/>
    <w:uiPriority w:val="39"/>
    <w:unhideWhenUsed/>
    <w:qFormat/>
    <w:pPr>
      <w:ind w:left="1134" w:right="0" w:firstLine="0"/>
      <w:spacing w:after="57"/>
    </w:pPr>
  </w:style>
  <w:style w:type="paragraph" w:styleId="872">
    <w:name w:val="toc 3"/>
    <w:basedOn w:val="842"/>
    <w:next w:val="842"/>
    <w:uiPriority w:val="39"/>
    <w:unhideWhenUsed/>
    <w:qFormat/>
    <w:pPr>
      <w:ind w:left="567" w:right="0" w:firstLine="0"/>
      <w:spacing w:after="57"/>
    </w:pPr>
  </w:style>
  <w:style w:type="paragraph" w:styleId="873">
    <w:name w:val="toc 8"/>
    <w:basedOn w:val="842"/>
    <w:next w:val="842"/>
    <w:uiPriority w:val="39"/>
    <w:unhideWhenUsed/>
    <w:qFormat/>
    <w:pPr>
      <w:ind w:left="1984" w:right="0" w:firstLine="0"/>
      <w:spacing w:after="57"/>
    </w:pPr>
  </w:style>
  <w:style w:type="paragraph" w:styleId="874">
    <w:name w:val="endnote text"/>
    <w:basedOn w:val="842"/>
    <w:link w:val="1045"/>
    <w:uiPriority w:val="99"/>
    <w:semiHidden/>
    <w:unhideWhenUsed/>
    <w:qFormat/>
    <w:pPr>
      <w:spacing w:after="0" w:line="240" w:lineRule="auto"/>
    </w:pPr>
    <w:rPr>
      <w:sz w:val="20"/>
    </w:rPr>
  </w:style>
  <w:style w:type="paragraph" w:styleId="875">
    <w:name w:val="Footer"/>
    <w:basedOn w:val="842"/>
    <w:link w:val="918"/>
    <w:uiPriority w:val="99"/>
    <w:unhideWhenUsed/>
    <w:qFormat/>
    <w:pPr>
      <w:spacing w:after="0" w:line="240" w:lineRule="auto"/>
      <w:tabs>
        <w:tab w:val="center" w:pos="7143" w:leader="none"/>
        <w:tab w:val="right" w:pos="14287" w:leader="none"/>
      </w:tabs>
    </w:pPr>
  </w:style>
  <w:style w:type="paragraph" w:styleId="876">
    <w:name w:val="Header"/>
    <w:basedOn w:val="842"/>
    <w:link w:val="916"/>
    <w:uiPriority w:val="99"/>
    <w:unhideWhenUsed/>
    <w:qFormat/>
    <w:pPr>
      <w:spacing w:after="0" w:line="240" w:lineRule="auto"/>
      <w:tabs>
        <w:tab w:val="center" w:pos="7143" w:leader="none"/>
        <w:tab w:val="right" w:pos="14287" w:leader="none"/>
      </w:tabs>
    </w:pPr>
  </w:style>
  <w:style w:type="paragraph" w:styleId="877">
    <w:name w:val="toc 1"/>
    <w:basedOn w:val="842"/>
    <w:next w:val="842"/>
    <w:uiPriority w:val="39"/>
    <w:unhideWhenUsed/>
    <w:qFormat/>
    <w:pPr>
      <w:ind w:left="0" w:right="0" w:firstLine="0"/>
      <w:spacing w:after="57"/>
    </w:pPr>
  </w:style>
  <w:style w:type="paragraph" w:styleId="878">
    <w:name w:val="toc 4"/>
    <w:basedOn w:val="842"/>
    <w:next w:val="842"/>
    <w:uiPriority w:val="39"/>
    <w:unhideWhenUsed/>
    <w:qFormat/>
    <w:pPr>
      <w:ind w:left="850" w:right="0" w:firstLine="0"/>
      <w:spacing w:after="57"/>
    </w:pPr>
  </w:style>
  <w:style w:type="paragraph" w:styleId="879">
    <w:name w:val="Subtitle"/>
    <w:basedOn w:val="842"/>
    <w:next w:val="842"/>
    <w:link w:val="911"/>
    <w:uiPriority w:val="11"/>
    <w:qFormat/>
    <w:pPr>
      <w:spacing w:before="200" w:after="200"/>
    </w:pPr>
    <w:rPr>
      <w:sz w:val="24"/>
      <w:szCs w:val="24"/>
    </w:rPr>
  </w:style>
  <w:style w:type="paragraph" w:styleId="880">
    <w:name w:val="footnote text"/>
    <w:basedOn w:val="842"/>
    <w:link w:val="1044"/>
    <w:uiPriority w:val="99"/>
    <w:semiHidden/>
    <w:unhideWhenUsed/>
    <w:qFormat/>
    <w:pPr>
      <w:spacing w:after="40" w:line="240" w:lineRule="auto"/>
    </w:pPr>
    <w:rPr>
      <w:sz w:val="18"/>
    </w:rPr>
  </w:style>
  <w:style w:type="paragraph" w:styleId="881">
    <w:name w:val="toc 6"/>
    <w:basedOn w:val="842"/>
    <w:next w:val="842"/>
    <w:uiPriority w:val="39"/>
    <w:unhideWhenUsed/>
    <w:qFormat/>
    <w:pPr>
      <w:ind w:left="1417" w:right="0" w:firstLine="0"/>
      <w:spacing w:after="57"/>
    </w:pPr>
  </w:style>
  <w:style w:type="paragraph" w:styleId="882">
    <w:name w:val="table of figures"/>
    <w:basedOn w:val="842"/>
    <w:next w:val="842"/>
    <w:uiPriority w:val="99"/>
    <w:unhideWhenUsed/>
    <w:qFormat/>
    <w:pPr>
      <w:spacing w:after="0" w:afterAutospacing="0"/>
    </w:pPr>
  </w:style>
  <w:style w:type="paragraph" w:styleId="883">
    <w:name w:val="toc 2"/>
    <w:basedOn w:val="842"/>
    <w:next w:val="842"/>
    <w:uiPriority w:val="39"/>
    <w:unhideWhenUsed/>
    <w:qFormat/>
    <w:pPr>
      <w:ind w:left="283" w:right="0" w:firstLine="0"/>
      <w:spacing w:after="57"/>
    </w:pPr>
  </w:style>
  <w:style w:type="paragraph" w:styleId="884">
    <w:name w:val="toc 9"/>
    <w:basedOn w:val="842"/>
    <w:next w:val="842"/>
    <w:uiPriority w:val="39"/>
    <w:unhideWhenUsed/>
    <w:qFormat/>
    <w:pPr>
      <w:ind w:left="2268" w:right="0" w:firstLine="0"/>
      <w:spacing w:after="57"/>
    </w:pPr>
  </w:style>
  <w:style w:type="paragraph" w:styleId="885">
    <w:name w:val="Title"/>
    <w:basedOn w:val="842"/>
    <w:next w:val="842"/>
    <w:link w:val="910"/>
    <w:uiPriority w:val="10"/>
    <w:qFormat/>
    <w:pPr>
      <w:contextualSpacing/>
      <w:spacing w:before="300" w:after="200"/>
    </w:pPr>
    <w:rPr>
      <w:sz w:val="48"/>
      <w:szCs w:val="48"/>
    </w:rPr>
  </w:style>
  <w:style w:type="table" w:styleId="8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semiHidden/>
    <w:unhideWhenUsed/>
    <w:qFormat/>
    <w:rPr>
      <w:vertAlign w:val="superscript"/>
    </w:rPr>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footnote reference"/>
    <w:uiPriority w:val="99"/>
    <w:unhideWhenUsed/>
    <w:qFormat/>
    <w:rPr>
      <w:vertAlign w:val="superscript"/>
    </w:rPr>
  </w:style>
  <w:style w:type="paragraph" w:styleId="890" w:customStyle="1">
    <w:name w:val="标题 41"/>
    <w:basedOn w:val="891"/>
    <w:next w:val="863"/>
    <w:uiPriority w:val="0"/>
    <w:qFormat/>
    <w:pPr>
      <w:keepLines/>
      <w:keepNext/>
      <w:spacing w:before="280" w:after="290" w:line="372" w:lineRule="auto"/>
      <w:outlineLvl w:val="3"/>
    </w:pPr>
    <w:rPr>
      <w:rFonts w:ascii="Cambria" w:hAnsi="Cambria" w:eastAsia="宋体" w:cs="Times New Roman"/>
      <w:sz w:val="28"/>
      <w:szCs w:val="28"/>
    </w:rPr>
  </w:style>
  <w:style w:type="paragraph" w:styleId="891" w:customStyle="1">
    <w:name w:val="标题1"/>
    <w:basedOn w:val="865"/>
    <w:next w:val="892"/>
    <w:uiPriority w:val="0"/>
    <w:qFormat/>
    <w:pPr>
      <w:jc w:val="center"/>
      <w:spacing w:before="240" w:after="60"/>
      <w:outlineLvl w:val="0"/>
    </w:pPr>
    <w:rPr>
      <w:rFonts w:ascii="Cambria" w:hAnsi="Cambria"/>
      <w:b/>
      <w:bCs/>
      <w:sz w:val="32"/>
      <w:szCs w:val="32"/>
    </w:rPr>
  </w:style>
  <w:style w:type="paragraph" w:styleId="892" w:customStyle="1">
    <w:name w:val="正文112"/>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正文首行缩进1"/>
    <w:basedOn w:val="856"/>
    <w:next w:val="894"/>
    <w:uiPriority w:val="0"/>
    <w:qFormat/>
    <w:pPr>
      <w:ind w:firstLine="200"/>
      <w:spacing w:line="360" w:lineRule="auto"/>
    </w:pPr>
    <w:rPr>
      <w:rFonts w:ascii="仿宋_GB2312" w:eastAsia="仿宋_GB2312"/>
      <w:sz w:val="30"/>
      <w:szCs w:val="30"/>
    </w:rPr>
  </w:style>
  <w:style w:type="paragraph" w:styleId="894" w:customStyle="1">
    <w:name w:val="正文首行缩进 211"/>
    <w:basedOn w:val="895"/>
    <w:next w:val="896"/>
    <w:uiPriority w:val="0"/>
    <w:qFormat/>
    <w:pPr>
      <w:ind w:firstLine="420"/>
    </w:pPr>
    <w:rPr>
      <w:rFonts w:ascii="Times New Roman" w:hAnsi="Times New Roman" w:eastAsia="宋体"/>
      <w:sz w:val="24"/>
      <w:szCs w:val="24"/>
    </w:rPr>
  </w:style>
  <w:style w:type="paragraph" w:styleId="895" w:customStyle="1">
    <w:name w:val="正文文本缩进111"/>
    <w:basedOn w:val="896"/>
    <w:next w:val="868"/>
    <w:uiPriority w:val="0"/>
    <w:qFormat/>
    <w:pPr>
      <w:ind w:firstLine="538"/>
    </w:pPr>
    <w:rPr>
      <w:sz w:val="28"/>
    </w:rPr>
  </w:style>
  <w:style w:type="paragraph" w:styleId="896" w:customStyle="1">
    <w:name w:val="正文121"/>
    <w:next w:val="894"/>
    <w:uiPriority w:val="0"/>
    <w:qFormat/>
    <w:rPr>
      <w:rFonts w:hint="default" w:ascii="Times New Roman" w:hAnsi="Times New Roman" w:eastAsia="宋体" w:cs="Times New Roman"/>
    </w:rPr>
  </w:style>
  <w:style w:type="paragraph" w:styleId="897" w:customStyle="1">
    <w:name w:val="无间隔1"/>
    <w:uiPriority w:val="0"/>
    <w:qFormat/>
    <w:rPr>
      <w:rFonts w:hint="default" w:ascii="Calibri" w:hAnsi="Calibri" w:eastAsia="宋体" w:cs="Times New Roman"/>
      <w:sz w:val="22"/>
      <w:lang w:val="en-US" w:eastAsia="zh-CN" w:bidi="ar-SA"/>
    </w:rPr>
  </w:style>
  <w:style w:type="paragraph" w:styleId="898" w:customStyle="1">
    <w:name w:val="寄信人地址1"/>
    <w:basedOn w:val="842"/>
    <w:uiPriority w:val="0"/>
    <w:qFormat/>
    <w:rPr>
      <w:rFonts w:ascii="Arial" w:hAnsi="Arial"/>
    </w:rPr>
  </w:style>
  <w:style w:type="character" w:styleId="899" w:customStyle="1">
    <w:name w:val="Heading 1 Char"/>
    <w:link w:val="843"/>
    <w:uiPriority w:val="9"/>
    <w:qFormat/>
    <w:rPr>
      <w:rFonts w:ascii="Arial" w:hAnsi="Arial" w:eastAsia="Arial" w:cs="Arial"/>
      <w:sz w:val="40"/>
      <w:szCs w:val="40"/>
    </w:rPr>
  </w:style>
  <w:style w:type="character" w:styleId="900" w:customStyle="1">
    <w:name w:val="Heading 2 Char"/>
    <w:link w:val="844"/>
    <w:uiPriority w:val="9"/>
    <w:qFormat/>
    <w:rPr>
      <w:rFonts w:ascii="Arial" w:hAnsi="Arial" w:eastAsia="Arial" w:cs="Arial"/>
      <w:sz w:val="34"/>
    </w:rPr>
  </w:style>
  <w:style w:type="character" w:styleId="901" w:customStyle="1">
    <w:name w:val="Heading 3 Char"/>
    <w:link w:val="845"/>
    <w:uiPriority w:val="9"/>
    <w:qFormat/>
    <w:rPr>
      <w:rFonts w:ascii="Arial" w:hAnsi="Arial" w:eastAsia="Arial" w:cs="Arial"/>
      <w:sz w:val="30"/>
      <w:szCs w:val="30"/>
    </w:rPr>
  </w:style>
  <w:style w:type="character" w:styleId="902" w:customStyle="1">
    <w:name w:val="Heading 4 Char"/>
    <w:link w:val="846"/>
    <w:uiPriority w:val="9"/>
    <w:qFormat/>
    <w:rPr>
      <w:rFonts w:ascii="Arial" w:hAnsi="Arial" w:eastAsia="Arial" w:cs="Arial"/>
      <w:b/>
      <w:bCs/>
      <w:sz w:val="26"/>
      <w:szCs w:val="26"/>
    </w:rPr>
  </w:style>
  <w:style w:type="character" w:styleId="903" w:customStyle="1">
    <w:name w:val="Heading 5 Char"/>
    <w:link w:val="847"/>
    <w:uiPriority w:val="9"/>
    <w:qFormat/>
    <w:rPr>
      <w:rFonts w:ascii="Arial" w:hAnsi="Arial" w:eastAsia="Arial" w:cs="Arial"/>
      <w:b/>
      <w:bCs/>
      <w:sz w:val="24"/>
      <w:szCs w:val="24"/>
    </w:rPr>
  </w:style>
  <w:style w:type="character" w:styleId="904" w:customStyle="1">
    <w:name w:val="Heading 6 Char"/>
    <w:link w:val="848"/>
    <w:uiPriority w:val="9"/>
    <w:qFormat/>
    <w:rPr>
      <w:rFonts w:ascii="Arial" w:hAnsi="Arial" w:eastAsia="Arial" w:cs="Arial"/>
      <w:b/>
      <w:bCs/>
      <w:sz w:val="22"/>
      <w:szCs w:val="22"/>
    </w:rPr>
  </w:style>
  <w:style w:type="character" w:styleId="905" w:customStyle="1">
    <w:name w:val="Heading 7 Char"/>
    <w:link w:val="849"/>
    <w:uiPriority w:val="9"/>
    <w:qFormat/>
    <w:rPr>
      <w:rFonts w:ascii="Arial" w:hAnsi="Arial" w:eastAsia="Arial" w:cs="Arial"/>
      <w:b/>
      <w:bCs/>
      <w:i/>
      <w:iCs/>
      <w:sz w:val="22"/>
      <w:szCs w:val="22"/>
    </w:rPr>
  </w:style>
  <w:style w:type="character" w:styleId="906" w:customStyle="1">
    <w:name w:val="Heading 8 Char"/>
    <w:link w:val="850"/>
    <w:uiPriority w:val="9"/>
    <w:qFormat/>
    <w:rPr>
      <w:rFonts w:ascii="Arial" w:hAnsi="Arial" w:eastAsia="Arial" w:cs="Arial"/>
      <w:i/>
      <w:iCs/>
      <w:sz w:val="22"/>
      <w:szCs w:val="22"/>
    </w:rPr>
  </w:style>
  <w:style w:type="character" w:styleId="907" w:customStyle="1">
    <w:name w:val="Heading 9 Char"/>
    <w:link w:val="851"/>
    <w:uiPriority w:val="9"/>
    <w:qFormat/>
    <w:rPr>
      <w:rFonts w:ascii="Arial" w:hAnsi="Arial" w:eastAsia="Arial" w:cs="Arial"/>
      <w:i/>
      <w:iCs/>
      <w:sz w:val="21"/>
      <w:szCs w:val="21"/>
    </w:rPr>
  </w:style>
  <w:style w:type="paragraph" w:styleId="908">
    <w:name w:val="List Paragraph"/>
    <w:basedOn w:val="842"/>
    <w:uiPriority w:val="34"/>
    <w:qFormat/>
    <w:pPr>
      <w:contextualSpacing/>
      <w:ind w:left="720"/>
    </w:pPr>
  </w:style>
  <w:style w:type="paragraph" w:styleId="909">
    <w:name w:val="No Spacing"/>
    <w:uiPriority w:val="1"/>
    <w:qFormat/>
    <w:pPr>
      <w:spacing w:before="0" w:after="0" w:line="240" w:lineRule="auto"/>
    </w:pPr>
    <w:rPr>
      <w:rFonts w:hint="default" w:ascii="Calibri" w:hAnsi="Calibri" w:eastAsia="宋体" w:cs="Times New Roman"/>
    </w:rPr>
  </w:style>
  <w:style w:type="character" w:styleId="910" w:customStyle="1">
    <w:name w:val="Title Char"/>
    <w:link w:val="885"/>
    <w:uiPriority w:val="10"/>
    <w:qFormat/>
    <w:rPr>
      <w:sz w:val="48"/>
      <w:szCs w:val="48"/>
    </w:rPr>
  </w:style>
  <w:style w:type="character" w:styleId="911" w:customStyle="1">
    <w:name w:val="Subtitle Char"/>
    <w:link w:val="879"/>
    <w:uiPriority w:val="11"/>
    <w:qFormat/>
    <w:rPr>
      <w:sz w:val="24"/>
      <w:szCs w:val="24"/>
    </w:rPr>
  </w:style>
  <w:style w:type="paragraph" w:styleId="912">
    <w:name w:val="Quote"/>
    <w:basedOn w:val="842"/>
    <w:next w:val="842"/>
    <w:link w:val="913"/>
    <w:uiPriority w:val="29"/>
    <w:qFormat/>
    <w:pPr>
      <w:ind w:left="720" w:right="720"/>
    </w:pPr>
    <w:rPr>
      <w:i/>
    </w:rPr>
  </w:style>
  <w:style w:type="character" w:styleId="913" w:customStyle="1">
    <w:name w:val="Quote Char"/>
    <w:link w:val="912"/>
    <w:uiPriority w:val="29"/>
    <w:qFormat/>
    <w:rPr>
      <w:i/>
    </w:rPr>
  </w:style>
  <w:style w:type="paragraph" w:styleId="914">
    <w:name w:val="Intense Quote"/>
    <w:basedOn w:val="842"/>
    <w:next w:val="842"/>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Intense Quote Char"/>
    <w:link w:val="914"/>
    <w:uiPriority w:val="30"/>
    <w:qFormat/>
    <w:rPr>
      <w:i/>
    </w:rPr>
  </w:style>
  <w:style w:type="character" w:styleId="916" w:customStyle="1">
    <w:name w:val="Header Char"/>
    <w:link w:val="876"/>
    <w:uiPriority w:val="99"/>
    <w:qFormat/>
  </w:style>
  <w:style w:type="character" w:styleId="917" w:customStyle="1">
    <w:name w:val="Footer Char"/>
    <w:link w:val="875"/>
    <w:uiPriority w:val="99"/>
    <w:qFormat/>
  </w:style>
  <w:style w:type="character" w:styleId="918" w:customStyle="1">
    <w:name w:val="Caption Char"/>
    <w:link w:val="875"/>
    <w:uiPriority w:val="99"/>
    <w:qFormat/>
  </w:style>
  <w:style w:type="table" w:styleId="9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Footnote Text Char"/>
    <w:link w:val="880"/>
    <w:uiPriority w:val="99"/>
    <w:qFormat/>
    <w:rPr>
      <w:sz w:val="18"/>
    </w:rPr>
  </w:style>
  <w:style w:type="character" w:styleId="1045" w:customStyle="1">
    <w:name w:val="Endnote Text Char"/>
    <w:link w:val="874"/>
    <w:uiPriority w:val="99"/>
    <w:qFormat/>
    <w:rPr>
      <w:sz w:val="20"/>
    </w:rPr>
  </w:style>
  <w:style w:type="paragraph" w:styleId="1046" w:customStyle="1">
    <w:name w:val="TOC Heading"/>
    <w:uiPriority w:val="39"/>
    <w:unhideWhenUsed/>
    <w:qFormat/>
    <w:rPr>
      <w:rFonts w:hint="default" w:ascii="Calibri" w:hAnsi="Calibri" w:eastAsia="宋体" w:cs="Times New Roman"/>
    </w:rPr>
  </w:style>
  <w:style w:type="character" w:styleId="1047" w:customStyle="1">
    <w:name w:val="默认段落字体1"/>
    <w:link w:val="842"/>
    <w:uiPriority w:val="0"/>
    <w:semiHidden/>
    <w:qFormat/>
  </w:style>
  <w:style w:type="table" w:styleId="1048" w:customStyle="1">
    <w:name w:val="普通表格1"/>
    <w:uiPriority w:val="0"/>
    <w:semiHidden/>
    <w:qFormat/>
    <w:tblPr/>
  </w:style>
  <w:style w:type="paragraph" w:styleId="1049" w:customStyle="1">
    <w:name w:val="文本块11"/>
    <w:basedOn w:val="842"/>
    <w:uiPriority w:val="0"/>
    <w:qFormat/>
    <w:pPr>
      <w:ind w:left="256" w:right="6" w:firstLine="624"/>
    </w:pPr>
    <w:rPr>
      <w:rFonts w:eastAsia="仿宋_GB2312"/>
      <w:sz w:val="28"/>
      <w:szCs w:val="20"/>
    </w:rPr>
  </w:style>
  <w:style w:type="paragraph" w:styleId="1050" w:customStyle="1">
    <w:name w:val="正文文本111"/>
    <w:basedOn w:val="842"/>
    <w:next w:val="842"/>
    <w:uiPriority w:val="0"/>
    <w:qFormat/>
    <w:pPr>
      <w:jc w:val="left"/>
      <w:spacing w:after="120"/>
      <w:widowControl/>
    </w:pPr>
    <w:rPr>
      <w:sz w:val="20"/>
      <w:szCs w:val="20"/>
    </w:rPr>
  </w:style>
  <w:style w:type="paragraph" w:styleId="1051" w:customStyle="1">
    <w:name w:val="页脚11"/>
    <w:basedOn w:val="842"/>
    <w:uiPriority w:val="99"/>
    <w:unhideWhenUsed/>
    <w:qFormat/>
    <w:pPr>
      <w:tabs>
        <w:tab w:val="center" w:pos="7143" w:leader="none"/>
        <w:tab w:val="right" w:pos="14287" w:leader="none"/>
      </w:tabs>
    </w:pPr>
  </w:style>
  <w:style w:type="paragraph" w:styleId="1052" w:customStyle="1">
    <w:name w:val="普通(网站)1"/>
    <w:basedOn w:val="842"/>
    <w:uiPriority w:val="0"/>
    <w:qFormat/>
    <w:pPr>
      <w:jc w:val="left"/>
    </w:pPr>
    <w:rPr>
      <w:sz w:val="24"/>
    </w:rPr>
  </w:style>
  <w:style w:type="paragraph" w:styleId="1053" w:customStyle="1">
    <w:name w:val="目录 1111"/>
    <w:basedOn w:val="842"/>
    <w:next w:val="842"/>
    <w:uiPriority w:val="39"/>
    <w:unhideWhenUsed/>
    <w:qFormat/>
    <w:pPr>
      <w:jc w:val="left"/>
      <w:spacing w:after="100" w:line="259" w:lineRule="auto"/>
      <w:widowControl/>
    </w:pPr>
    <w:rPr>
      <w:rFonts w:ascii="Calibri" w:hAnsi="Calibri" w:eastAsia="宋体"/>
      <w:sz w:val="22"/>
      <w:szCs w:val="22"/>
    </w:rPr>
  </w:style>
  <w:style w:type="paragraph" w:styleId="1054" w:customStyle="1">
    <w:name w:val="正文文本11"/>
    <w:basedOn w:val="896"/>
    <w:next w:val="865"/>
    <w:uiPriority w:val="0"/>
    <w:qFormat/>
    <w:rPr>
      <w:rFonts w:ascii="楷体_GB2312" w:hAnsi="Arial" w:eastAsia="楷体_GB2312"/>
      <w:sz w:val="28"/>
      <w:szCs w:val="28"/>
    </w:rPr>
  </w:style>
  <w:style w:type="paragraph" w:styleId="1055" w:customStyle="1">
    <w:name w:val="正文文本缩进11"/>
    <w:basedOn w:val="863"/>
    <w:next w:val="1056"/>
    <w:uiPriority w:val="99"/>
    <w:qFormat/>
    <w:pPr>
      <w:ind w:left="420"/>
      <w:spacing w:after="120"/>
    </w:pPr>
  </w:style>
  <w:style w:type="paragraph" w:styleId="1056" w:customStyle="1">
    <w:name w:val="寄信人地址11"/>
    <w:basedOn w:val="842"/>
    <w:uiPriority w:val="0"/>
    <w:qFormat/>
    <w:rPr>
      <w:rFonts w:ascii="Arial" w:hAnsi="Arial"/>
    </w:rPr>
  </w:style>
  <w:style w:type="paragraph" w:styleId="1057" w:customStyle="1">
    <w:name w:val="标题 111"/>
    <w:basedOn w:val="863"/>
    <w:next w:val="863"/>
    <w:uiPriority w:val="0"/>
    <w:qFormat/>
    <w:pPr>
      <w:jc w:val="center"/>
      <w:keepLines/>
      <w:keepNext/>
      <w:spacing w:line="578" w:lineRule="auto"/>
      <w:outlineLvl w:val="0"/>
    </w:pPr>
    <w:rPr>
      <w:rFonts w:eastAsia="新宋体"/>
      <w:b/>
      <w:bCs/>
      <w:sz w:val="30"/>
      <w:szCs w:val="44"/>
    </w:rPr>
  </w:style>
  <w:style w:type="paragraph" w:styleId="1058" w:customStyle="1">
    <w:name w:val="正文文本1"/>
    <w:basedOn w:val="865"/>
    <w:next w:val="857"/>
    <w:uiPriority w:val="0"/>
    <w:qFormat/>
    <w:rPr>
      <w:rFonts w:ascii="楷体_GB2312" w:hAnsi="Arial" w:eastAsia="楷体_GB2312"/>
      <w:sz w:val="28"/>
      <w:szCs w:val="28"/>
    </w:rPr>
  </w:style>
  <w:style w:type="paragraph" w:styleId="1059" w:customStyle="1">
    <w:name w:val="正文首行缩进 21"/>
    <w:basedOn w:val="862"/>
    <w:uiPriority w:val="0"/>
    <w:qFormat/>
    <w:pPr>
      <w:ind w:left="0" w:firstLine="420"/>
      <w:spacing w:after="0" w:line="360" w:lineRule="auto"/>
    </w:pPr>
    <w:rPr>
      <w:rFonts w:ascii="宋体" w:hAnsi="宋体"/>
    </w:rPr>
  </w:style>
  <w:style w:type="paragraph" w:styleId="1060" w:customStyle="1">
    <w:name w:val="标题 11"/>
    <w:basedOn w:val="863"/>
    <w:next w:val="863"/>
    <w:uiPriority w:val="0"/>
    <w:qFormat/>
    <w:pPr>
      <w:keepLines/>
      <w:keepNext/>
      <w:spacing w:before="340" w:after="330" w:line="578" w:lineRule="atLeast"/>
      <w:outlineLvl w:val="0"/>
    </w:pPr>
    <w:rPr>
      <w:rFonts w:eastAsia="方正仿宋_GBK"/>
      <w:b/>
      <w:sz w:val="44"/>
      <w:szCs w:val="20"/>
    </w:rPr>
  </w:style>
  <w:style w:type="paragraph" w:styleId="1061" w:customStyle="1">
    <w:name w:val="页脚1"/>
    <w:basedOn w:val="863"/>
    <w:uiPriority w:val="0"/>
    <w:qFormat/>
    <w:pPr>
      <w:ind w:firstLine="360"/>
      <w:jc w:val="left"/>
      <w:tabs>
        <w:tab w:val="center" w:pos="4153" w:leader="none"/>
        <w:tab w:val="right" w:pos="8306" w:leader="none"/>
      </w:tabs>
    </w:pPr>
    <w:rPr>
      <w:sz w:val="18"/>
      <w:szCs w:val="18"/>
    </w:rPr>
  </w:style>
  <w:style w:type="character" w:styleId="1062" w:customStyle="1">
    <w:name w:val="NormalCharacter1"/>
    <w:link w:val="842"/>
    <w:uiPriority w:val="0"/>
    <w:qFormat/>
    <w:rPr>
      <w:lang w:val="en-US" w:eastAsia="zh-CN" w:bidi="ar-SA"/>
    </w:rPr>
  </w:style>
  <w:style w:type="paragraph" w:styleId="1063" w:customStyle="1">
    <w:name w:val="Body text|1"/>
    <w:basedOn w:val="863"/>
    <w:uiPriority w:val="0"/>
    <w:qFormat/>
    <w:pPr>
      <w:ind w:firstLine="400"/>
      <w:jc w:val="left"/>
      <w:spacing w:line="417" w:lineRule="auto"/>
    </w:pPr>
    <w:rPr>
      <w:rFonts w:ascii="宋体" w:hAnsi="宋体"/>
      <w:color w:val="000000"/>
      <w:sz w:val="30"/>
      <w:szCs w:val="30"/>
    </w:rPr>
  </w:style>
  <w:style w:type="paragraph" w:styleId="1064" w:customStyle="1">
    <w:name w:val="Body text|3"/>
    <w:basedOn w:val="863"/>
    <w:uiPriority w:val="0"/>
    <w:qFormat/>
    <w:pPr>
      <w:ind w:left="260" w:hanging="260"/>
      <w:jc w:val="left"/>
    </w:pPr>
    <w:rPr>
      <w:color w:val="000000"/>
      <w:sz w:val="26"/>
      <w:szCs w:val="26"/>
    </w:rPr>
  </w:style>
  <w:style w:type="paragraph" w:styleId="1065" w:customStyle="1">
    <w:name w:val="页眉1"/>
    <w:basedOn w:val="863"/>
    <w:uiPriority w:val="0"/>
    <w:qFormat/>
    <w:pPr>
      <w:jc w:val="center"/>
      <w:tabs>
        <w:tab w:val="center" w:pos="4153" w:leader="none"/>
        <w:tab w:val="right" w:pos="8306" w:leader="none"/>
      </w:tabs>
      <w:pBdr>
        <w:bottom w:val="single" w:color="000000" w:sz="6" w:space="1"/>
      </w:pBdr>
    </w:pPr>
    <w:rPr>
      <w:sz w:val="18"/>
      <w:szCs w:val="18"/>
    </w:rPr>
  </w:style>
  <w:style w:type="character" w:styleId="1066" w:customStyle="1">
    <w:name w:val="页码1"/>
    <w:link w:val="842"/>
    <w:uiPriority w:val="0"/>
    <w:qFormat/>
  </w:style>
  <w:style w:type="paragraph" w:styleId="1067" w:customStyle="1">
    <w:name w:val="正文文本缩进12"/>
    <w:basedOn w:val="842"/>
    <w:next w:val="1068"/>
    <w:uiPriority w:val="0"/>
    <w:qFormat/>
    <w:pPr>
      <w:ind w:firstLine="492"/>
      <w:spacing w:line="10" w:lineRule="atLeast"/>
    </w:pPr>
    <w:rPr>
      <w:rFonts w:ascii="仿宋_GB2312" w:eastAsia="仿宋_GB2312"/>
      <w:sz w:val="24"/>
      <w:szCs w:val="20"/>
    </w:rPr>
  </w:style>
  <w:style w:type="paragraph" w:styleId="1068" w:customStyle="1">
    <w:name w:val="寄信人地址2"/>
    <w:basedOn w:val="842"/>
    <w:uiPriority w:val="0"/>
    <w:qFormat/>
    <w:rPr>
      <w:rFonts w:ascii="Arial" w:hAnsi="Arial"/>
    </w:rPr>
  </w:style>
  <w:style w:type="paragraph" w:styleId="1069" w:customStyle="1">
    <w:name w:val="_Style 2"/>
    <w:basedOn w:val="842"/>
    <w:next w:val="842"/>
    <w:uiPriority w:val="0"/>
    <w:qFormat/>
    <w:pPr>
      <w:ind w:firstLine="420"/>
    </w:p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马展鹏</cp:lastModifiedBy>
  <cp:revision>20</cp:revision>
  <dcterms:created xsi:type="dcterms:W3CDTF">2022-02-14T08:12:00Z</dcterms:created>
  <dcterms:modified xsi:type="dcterms:W3CDTF">2026-09-15T07:17:36Z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816B2AB2876D487B9B929E41EDF0D897_13</vt:lpwstr>
  </property>
  <property fmtid="{D5CDD505-2E9C-101B-9397-08002B2CF9AE}" pid="4" name="KSOTemplateDocerSaveRecord">
    <vt:lpwstr>eyJoZGlkIjoiY2IxZWRhOWRlNzBmZTRmY2MzNDg1YTE5ZjcwZWI5NWIiLCJ1c2VySWQiOiIzNzU2NjEzODYifQ==</vt:lpwstr>
  </property>
</Properties>
</file>