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28F51">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auto"/>
          <w:highlight w:val="none"/>
        </w:rPr>
      </w:pPr>
      <w:r>
        <w:rPr>
          <w:rFonts w:ascii="宋体" w:hAnsi="宋体" w:eastAsia="宋体" w:cs="宋体"/>
          <w:b/>
          <w:color w:val="auto"/>
          <w:sz w:val="36"/>
          <w:highlight w:val="none"/>
        </w:rPr>
        <w:t>竞争性磋商文件</w:t>
      </w:r>
    </w:p>
    <w:p w14:paraId="645B9F64">
      <w:pPr>
        <w:pBdr>
          <w:top w:val="none" w:color="000000" w:sz="0" w:space="0"/>
          <w:left w:val="none" w:color="000000" w:sz="0" w:space="0"/>
          <w:bottom w:val="none" w:color="000000" w:sz="0" w:space="0"/>
          <w:right w:val="none" w:color="000000" w:sz="0" w:space="0"/>
        </w:pBdr>
        <w:spacing w:before="0" w:after="0" w:line="400" w:lineRule="atLeast"/>
        <w:ind w:left="0" w:right="0" w:firstLine="0"/>
        <w:jc w:val="center"/>
        <w:rPr>
          <w:rFonts w:hint="eastAsia" w:eastAsia="宋体"/>
          <w:color w:val="auto"/>
          <w:highlight w:val="none"/>
          <w:lang w:eastAsia="zh-CN"/>
        </w:rPr>
      </w:pPr>
      <w:r>
        <w:rPr>
          <w:rFonts w:ascii="宋体" w:hAnsi="宋体" w:eastAsia="宋体" w:cs="宋体"/>
          <w:color w:val="auto"/>
          <w:sz w:val="24"/>
          <w:highlight w:val="none"/>
        </w:rPr>
        <w:t>项目编号：</w:t>
      </w:r>
      <w:r>
        <w:rPr>
          <w:rFonts w:hint="eastAsia" w:ascii="宋体" w:hAnsi="宋体" w:cs="宋体"/>
          <w:color w:val="auto"/>
          <w:sz w:val="24"/>
          <w:highlight w:val="none"/>
          <w:lang w:eastAsia="zh-CN"/>
        </w:rPr>
        <w:t>JSZC-320300-ZJZB-C2026-0087</w:t>
      </w:r>
    </w:p>
    <w:p w14:paraId="571C6570">
      <w:pPr>
        <w:pBdr>
          <w:top w:val="none" w:color="000000" w:sz="0" w:space="0"/>
          <w:left w:val="none" w:color="000000" w:sz="0" w:space="0"/>
          <w:bottom w:val="none" w:color="000000" w:sz="0" w:space="0"/>
          <w:right w:val="none" w:color="000000" w:sz="0" w:space="0"/>
        </w:pBdr>
        <w:spacing w:before="0" w:after="0" w:line="400" w:lineRule="atLeast"/>
        <w:ind w:left="0" w:right="0" w:firstLine="480"/>
        <w:jc w:val="both"/>
        <w:rPr>
          <w:color w:val="auto"/>
          <w:highlight w:val="none"/>
        </w:rPr>
      </w:pPr>
      <w:r>
        <w:rPr>
          <w:rFonts w:ascii="宋体" w:hAnsi="宋体" w:eastAsia="宋体" w:cs="宋体"/>
          <w:color w:val="auto"/>
          <w:sz w:val="24"/>
          <w:highlight w:val="none"/>
          <w:u w:val="single"/>
        </w:rPr>
        <w:t>     </w:t>
      </w:r>
      <w:r>
        <w:rPr>
          <w:rFonts w:hint="eastAsia" w:ascii="宋体" w:hAnsi="宋体" w:cs="宋体"/>
          <w:color w:val="auto"/>
          <w:sz w:val="24"/>
          <w:highlight w:val="none"/>
          <w:u w:val="single"/>
          <w:lang w:val="en-US" w:eastAsia="zh-CN"/>
        </w:rPr>
        <w:t xml:space="preserve">        </w:t>
      </w:r>
      <w:r>
        <w:rPr>
          <w:rFonts w:ascii="宋体" w:hAnsi="宋体" w:eastAsia="宋体" w:cs="宋体"/>
          <w:color w:val="auto"/>
          <w:sz w:val="24"/>
          <w:highlight w:val="none"/>
          <w:u w:val="single"/>
        </w:rPr>
        <w:t> </w:t>
      </w:r>
      <w:r>
        <w:rPr>
          <w:rFonts w:ascii="宋体" w:hAnsi="宋体" w:eastAsia="宋体" w:cs="宋体"/>
          <w:color w:val="auto"/>
          <w:sz w:val="24"/>
          <w:highlight w:val="none"/>
        </w:rPr>
        <w:t>（供应商）：</w:t>
      </w:r>
    </w:p>
    <w:p w14:paraId="4F9B0A6D">
      <w:pPr>
        <w:pBdr>
          <w:top w:val="none" w:color="000000" w:sz="0" w:space="0"/>
          <w:left w:val="none" w:color="000000" w:sz="0" w:space="0"/>
          <w:bottom w:val="none" w:color="000000" w:sz="0" w:space="0"/>
          <w:right w:val="none" w:color="000000" w:sz="0" w:space="0"/>
        </w:pBdr>
        <w:spacing w:before="0" w:after="0" w:line="400" w:lineRule="atLeast"/>
        <w:ind w:left="0" w:right="0" w:firstLine="480"/>
        <w:jc w:val="both"/>
        <w:rPr>
          <w:color w:val="auto"/>
          <w:highlight w:val="none"/>
        </w:rPr>
      </w:pPr>
      <w:r>
        <w:rPr>
          <w:rFonts w:ascii="宋体" w:hAnsi="宋体" w:eastAsia="宋体" w:cs="宋体"/>
          <w:color w:val="auto"/>
          <w:sz w:val="24"/>
          <w:highlight w:val="none"/>
        </w:rPr>
        <w:t>按照《中华人民共和国政府采购法》、《中华人民共和国政府采购法实施条例》及《政府采购竞争性磋商采购方式管理暂行办法》的规定，江苏中际招标代理有限公司对</w:t>
      </w:r>
      <w:r>
        <w:rPr>
          <w:rFonts w:hint="eastAsia" w:ascii="宋体" w:hAnsi="宋体" w:cs="宋体"/>
          <w:color w:val="auto"/>
          <w:sz w:val="24"/>
          <w:highlight w:val="none"/>
          <w:lang w:eastAsia="zh-CN"/>
        </w:rPr>
        <w:t>土山汉墓发掘报告出版项目</w:t>
      </w:r>
      <w:r>
        <w:rPr>
          <w:rFonts w:ascii="宋体" w:hAnsi="宋体" w:eastAsia="宋体" w:cs="宋体"/>
          <w:color w:val="auto"/>
          <w:sz w:val="24"/>
          <w:highlight w:val="none"/>
        </w:rPr>
        <w:t>采取竞争性磋商采购方式进行采购。如贵单位有意与本公司合作，请按以下竞争性磋商文件（以下简称磋商文件）要求参加磋商。</w:t>
      </w:r>
    </w:p>
    <w:p w14:paraId="4BF7AA44">
      <w:pPr>
        <w:pBdr>
          <w:top w:val="none" w:color="000000" w:sz="0" w:space="0"/>
          <w:left w:val="none" w:color="000000" w:sz="0" w:space="0"/>
          <w:bottom w:val="none" w:color="000000" w:sz="0" w:space="0"/>
          <w:right w:val="none" w:color="000000" w:sz="0" w:space="0"/>
        </w:pBdr>
        <w:spacing w:before="0" w:after="0" w:line="400" w:lineRule="atLeast"/>
        <w:ind w:left="0" w:right="0" w:firstLine="0"/>
        <w:jc w:val="center"/>
        <w:rPr>
          <w:color w:val="auto"/>
          <w:highlight w:val="none"/>
        </w:rPr>
      </w:pPr>
      <w:r>
        <w:rPr>
          <w:rFonts w:ascii="宋体" w:hAnsi="宋体" w:eastAsia="宋体" w:cs="宋体"/>
          <w:color w:val="auto"/>
          <w:sz w:val="28"/>
          <w:highlight w:val="none"/>
        </w:rPr>
        <w:t> </w:t>
      </w:r>
    </w:p>
    <w:p w14:paraId="7782A7FE">
      <w:pPr>
        <w:pBdr>
          <w:top w:val="none" w:color="000000" w:sz="0" w:space="0"/>
          <w:left w:val="none" w:color="000000" w:sz="0" w:space="0"/>
          <w:bottom w:val="none" w:color="000000" w:sz="0" w:space="0"/>
          <w:right w:val="none" w:color="000000" w:sz="0" w:space="0"/>
        </w:pBdr>
        <w:spacing w:before="0" w:after="0" w:line="400" w:lineRule="atLeast"/>
        <w:ind w:left="0" w:right="0" w:firstLine="0"/>
        <w:jc w:val="center"/>
        <w:rPr>
          <w:b/>
          <w:bCs/>
          <w:color w:val="auto"/>
          <w:highlight w:val="none"/>
        </w:rPr>
      </w:pPr>
      <w:r>
        <w:rPr>
          <w:rFonts w:ascii="宋体" w:hAnsi="宋体" w:eastAsia="宋体" w:cs="宋体"/>
          <w:b/>
          <w:bCs/>
          <w:color w:val="auto"/>
          <w:sz w:val="28"/>
          <w:highlight w:val="none"/>
        </w:rPr>
        <w:t>第一章 项目说明</w:t>
      </w:r>
    </w:p>
    <w:p w14:paraId="2727D855">
      <w:pPr>
        <w:pBdr>
          <w:top w:val="none" w:color="000000" w:sz="0" w:space="0"/>
          <w:left w:val="none" w:color="000000" w:sz="0" w:space="0"/>
          <w:bottom w:val="none" w:color="000000" w:sz="0" w:space="0"/>
          <w:right w:val="none" w:color="000000" w:sz="0" w:space="0"/>
        </w:pBdr>
        <w:spacing w:before="0" w:after="0" w:line="400" w:lineRule="atLeast"/>
        <w:ind w:left="0" w:right="0" w:firstLine="480"/>
        <w:jc w:val="both"/>
        <w:rPr>
          <w:color w:val="auto"/>
          <w:highlight w:val="none"/>
        </w:rPr>
      </w:pPr>
      <w:r>
        <w:rPr>
          <w:rFonts w:ascii="宋体" w:hAnsi="宋体" w:eastAsia="宋体" w:cs="宋体"/>
          <w:color w:val="auto"/>
          <w:sz w:val="24"/>
          <w:highlight w:val="none"/>
        </w:rPr>
        <w:t> </w:t>
      </w:r>
    </w:p>
    <w:p w14:paraId="3833C18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both"/>
        <w:textAlignment w:val="auto"/>
        <w:rPr>
          <w:rFonts w:hint="eastAsia" w:eastAsia="宋体"/>
          <w:color w:val="auto"/>
          <w:highlight w:val="none"/>
          <w:lang w:eastAsia="zh-CN"/>
        </w:rPr>
      </w:pPr>
      <w:r>
        <w:rPr>
          <w:rFonts w:ascii="宋体" w:hAnsi="宋体" w:eastAsia="宋体" w:cs="宋体"/>
          <w:color w:val="auto"/>
          <w:sz w:val="24"/>
          <w:highlight w:val="none"/>
        </w:rPr>
        <w:t>一、采购人：</w:t>
      </w:r>
      <w:r>
        <w:rPr>
          <w:rFonts w:hint="eastAsia" w:ascii="宋体" w:hAnsi="宋体" w:cs="宋体"/>
          <w:color w:val="auto"/>
          <w:sz w:val="24"/>
          <w:highlight w:val="none"/>
          <w:lang w:eastAsia="zh-CN"/>
        </w:rPr>
        <w:t xml:space="preserve"> 徐州市文物保护和考古研究所</w:t>
      </w:r>
    </w:p>
    <w:p w14:paraId="71C7A14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both"/>
        <w:textAlignment w:val="auto"/>
        <w:rPr>
          <w:rFonts w:hint="eastAsia" w:eastAsia="宋体"/>
          <w:color w:val="auto"/>
          <w:highlight w:val="none"/>
          <w:lang w:eastAsia="zh-CN"/>
        </w:rPr>
      </w:pPr>
      <w:r>
        <w:rPr>
          <w:rFonts w:ascii="宋体" w:hAnsi="宋体" w:eastAsia="宋体" w:cs="宋体"/>
          <w:color w:val="auto"/>
          <w:sz w:val="24"/>
          <w:highlight w:val="none"/>
        </w:rPr>
        <w:t>二、项目名称：</w:t>
      </w:r>
      <w:r>
        <w:rPr>
          <w:rFonts w:hint="eastAsia" w:ascii="宋体" w:hAnsi="宋体" w:cs="宋体"/>
          <w:color w:val="auto"/>
          <w:sz w:val="24"/>
          <w:highlight w:val="none"/>
          <w:lang w:eastAsia="zh-CN"/>
        </w:rPr>
        <w:t>土山汉墓发掘报告出版项目</w:t>
      </w:r>
    </w:p>
    <w:p w14:paraId="49752E8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both"/>
        <w:textAlignment w:val="auto"/>
        <w:rPr>
          <w:rFonts w:hint="eastAsia" w:eastAsia="宋体"/>
          <w:color w:val="auto"/>
          <w:highlight w:val="none"/>
          <w:lang w:eastAsia="zh-CN"/>
        </w:rPr>
      </w:pPr>
      <w:r>
        <w:rPr>
          <w:rFonts w:ascii="宋体" w:hAnsi="宋体" w:eastAsia="宋体" w:cs="宋体"/>
          <w:color w:val="auto"/>
          <w:sz w:val="24"/>
          <w:highlight w:val="none"/>
        </w:rPr>
        <w:t>三、项目编号：</w:t>
      </w:r>
      <w:r>
        <w:rPr>
          <w:rFonts w:hint="eastAsia" w:ascii="宋体" w:hAnsi="宋体" w:cs="宋体"/>
          <w:color w:val="auto"/>
          <w:sz w:val="24"/>
          <w:highlight w:val="none"/>
          <w:lang w:eastAsia="zh-CN"/>
        </w:rPr>
        <w:t>JSZC-320300-ZJZB-C2026-0087</w:t>
      </w:r>
    </w:p>
    <w:p w14:paraId="020EF70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both"/>
        <w:textAlignment w:val="auto"/>
        <w:rPr>
          <w:color w:val="auto"/>
          <w:highlight w:val="none"/>
        </w:rPr>
      </w:pPr>
      <w:r>
        <w:rPr>
          <w:rFonts w:ascii="宋体" w:hAnsi="宋体" w:eastAsia="宋体" w:cs="宋体"/>
          <w:color w:val="auto"/>
          <w:sz w:val="24"/>
          <w:highlight w:val="none"/>
        </w:rPr>
        <w:t>四、采购邀请：通过发布公告的方式邀请符合相应资格条件的供应商参与竞争性磋商采购活动。</w:t>
      </w:r>
    </w:p>
    <w:p w14:paraId="7503C85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both"/>
        <w:textAlignment w:val="auto"/>
        <w:rPr>
          <w:color w:val="auto"/>
          <w:highlight w:val="none"/>
        </w:rPr>
      </w:pPr>
      <w:r>
        <w:rPr>
          <w:rFonts w:ascii="宋体" w:hAnsi="宋体" w:eastAsia="宋体" w:cs="宋体"/>
          <w:color w:val="auto"/>
          <w:sz w:val="24"/>
          <w:highlight w:val="none"/>
        </w:rPr>
        <w:t>五、采购方式：本项目采用竞争性磋商采购方式。</w:t>
      </w:r>
    </w:p>
    <w:p w14:paraId="45B3B08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left"/>
        <w:textAlignment w:val="auto"/>
        <w:rPr>
          <w:color w:val="auto"/>
          <w:highlight w:val="none"/>
        </w:rPr>
      </w:pPr>
      <w:r>
        <w:rPr>
          <w:rFonts w:ascii="宋体" w:hAnsi="宋体" w:eastAsia="宋体" w:cs="宋体"/>
          <w:color w:val="auto"/>
          <w:sz w:val="24"/>
          <w:highlight w:val="none"/>
        </w:rPr>
        <w:t>六、供应商资格条件：见竞争性磋商公告（项目编号：</w:t>
      </w:r>
      <w:r>
        <w:rPr>
          <w:rFonts w:hint="eastAsia" w:ascii="宋体" w:hAnsi="宋体" w:cs="宋体"/>
          <w:color w:val="auto"/>
          <w:sz w:val="24"/>
          <w:highlight w:val="none"/>
          <w:lang w:eastAsia="zh-CN"/>
        </w:rPr>
        <w:t>JSZC-320300-ZJZB-C2026-0087</w:t>
      </w:r>
      <w:r>
        <w:rPr>
          <w:rFonts w:ascii="宋体" w:hAnsi="宋体" w:eastAsia="宋体" w:cs="宋体"/>
          <w:color w:val="auto"/>
          <w:sz w:val="24"/>
          <w:highlight w:val="none"/>
        </w:rPr>
        <w:t>）。</w:t>
      </w:r>
    </w:p>
    <w:p w14:paraId="348B258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both"/>
        <w:textAlignment w:val="auto"/>
        <w:rPr>
          <w:color w:val="auto"/>
          <w:highlight w:val="none"/>
        </w:rPr>
      </w:pPr>
      <w:r>
        <w:rPr>
          <w:rFonts w:ascii="宋体" w:hAnsi="宋体" w:eastAsia="宋体" w:cs="宋体"/>
          <w:color w:val="auto"/>
          <w:sz w:val="24"/>
          <w:highlight w:val="none"/>
        </w:rPr>
        <w:t>七、采购预算（采购项目预算金额）：见《磋商文件》附件2、《项目要求（采购需求）》。</w:t>
      </w:r>
    </w:p>
    <w:p w14:paraId="18AB668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both"/>
        <w:textAlignment w:val="auto"/>
        <w:rPr>
          <w:color w:val="auto"/>
          <w:highlight w:val="none"/>
        </w:rPr>
      </w:pPr>
      <w:r>
        <w:rPr>
          <w:rFonts w:ascii="宋体" w:hAnsi="宋体" w:eastAsia="宋体" w:cs="宋体"/>
          <w:color w:val="auto"/>
          <w:sz w:val="24"/>
          <w:highlight w:val="none"/>
        </w:rPr>
        <w:t>八、采购需求：见《磋商文件》附件2、《项目要求（采购需求）》。</w:t>
      </w:r>
    </w:p>
    <w:p w14:paraId="14F8C78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both"/>
        <w:textAlignment w:val="auto"/>
        <w:rPr>
          <w:color w:val="auto"/>
          <w:highlight w:val="none"/>
        </w:rPr>
      </w:pPr>
      <w:r>
        <w:rPr>
          <w:rFonts w:ascii="宋体" w:hAnsi="宋体" w:eastAsia="宋体" w:cs="宋体"/>
          <w:color w:val="auto"/>
          <w:sz w:val="24"/>
          <w:highlight w:val="none"/>
        </w:rPr>
        <w:t>九、合同草案条款：见《磋商文件》附件8、《合同草案条款》。</w:t>
      </w:r>
    </w:p>
    <w:p w14:paraId="16E2025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both"/>
        <w:textAlignment w:val="auto"/>
        <w:rPr>
          <w:color w:val="auto"/>
          <w:highlight w:val="none"/>
        </w:rPr>
      </w:pPr>
      <w:r>
        <w:rPr>
          <w:rFonts w:ascii="宋体" w:hAnsi="宋体" w:eastAsia="宋体" w:cs="宋体"/>
          <w:color w:val="auto"/>
          <w:sz w:val="24"/>
          <w:highlight w:val="none"/>
        </w:rPr>
        <w:t>十、报价要求</w:t>
      </w:r>
    </w:p>
    <w:p w14:paraId="3360C10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both"/>
        <w:textAlignment w:val="auto"/>
        <w:rPr>
          <w:color w:val="auto"/>
          <w:highlight w:val="none"/>
        </w:rPr>
      </w:pPr>
      <w:r>
        <w:rPr>
          <w:rFonts w:ascii="宋体" w:hAnsi="宋体" w:eastAsia="宋体" w:cs="宋体"/>
          <w:color w:val="auto"/>
          <w:sz w:val="24"/>
          <w:highlight w:val="none"/>
        </w:rPr>
        <w:t>1</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供应商报价为要约，江苏中际招标代理有限公司无承诺表示时视为未成交，江苏中际招标代理有限公司认为必要时可重新进行竞争性磋商采购或采取其它方式采购。</w:t>
      </w:r>
    </w:p>
    <w:p w14:paraId="66C3DC6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both"/>
        <w:textAlignment w:val="auto"/>
        <w:rPr>
          <w:color w:val="auto"/>
          <w:highlight w:val="none"/>
        </w:rPr>
      </w:pPr>
      <w:r>
        <w:rPr>
          <w:rFonts w:ascii="宋体" w:hAnsi="宋体" w:eastAsia="宋体" w:cs="宋体"/>
          <w:color w:val="auto"/>
          <w:sz w:val="24"/>
          <w:highlight w:val="none"/>
        </w:rPr>
        <w:t>2</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按照《磋商报价表》要求填写首次报价。</w:t>
      </w:r>
    </w:p>
    <w:p w14:paraId="0CD2BA5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both"/>
        <w:textAlignment w:val="auto"/>
        <w:rPr>
          <w:color w:val="auto"/>
          <w:highlight w:val="none"/>
        </w:rPr>
      </w:pPr>
      <w:r>
        <w:rPr>
          <w:rFonts w:ascii="宋体" w:hAnsi="宋体" w:eastAsia="宋体" w:cs="宋体"/>
          <w:color w:val="auto"/>
          <w:sz w:val="24"/>
          <w:highlight w:val="none"/>
        </w:rPr>
        <w:t>3</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报价包含本项目范围内的全部费用。供应商有漏报或不报的，采购人将视为有关费用已包括在本项目的报价中而不予支付。采购人不支付报价以外的任何费用。</w:t>
      </w:r>
    </w:p>
    <w:p w14:paraId="7EBDA746">
      <w:pPr>
        <w:pBdr>
          <w:top w:val="none" w:color="000000" w:sz="0" w:space="0"/>
          <w:left w:val="none" w:color="000000" w:sz="0" w:space="0"/>
          <w:bottom w:val="none" w:color="000000" w:sz="0" w:space="0"/>
          <w:right w:val="none" w:color="000000" w:sz="0" w:space="0"/>
        </w:pBdr>
        <w:spacing w:before="0" w:after="0" w:line="400" w:lineRule="atLeast"/>
        <w:ind w:left="0" w:right="0" w:firstLine="0"/>
        <w:jc w:val="center"/>
        <w:rPr>
          <w:color w:val="auto"/>
          <w:highlight w:val="none"/>
        </w:rPr>
      </w:pPr>
      <w:r>
        <w:rPr>
          <w:rFonts w:ascii="宋体" w:hAnsi="宋体" w:eastAsia="宋体" w:cs="宋体"/>
          <w:color w:val="auto"/>
          <w:sz w:val="28"/>
          <w:highlight w:val="none"/>
        </w:rPr>
        <w:t> </w:t>
      </w:r>
    </w:p>
    <w:p w14:paraId="5649A6BC">
      <w:pPr>
        <w:pBdr>
          <w:top w:val="none" w:color="000000" w:sz="0" w:space="0"/>
          <w:left w:val="none" w:color="000000" w:sz="0" w:space="0"/>
          <w:bottom w:val="none" w:color="000000" w:sz="0" w:space="0"/>
          <w:right w:val="none" w:color="000000" w:sz="0" w:space="0"/>
        </w:pBdr>
        <w:spacing w:before="0" w:after="0" w:line="400" w:lineRule="atLeast"/>
        <w:ind w:left="0" w:right="0" w:firstLine="0"/>
        <w:jc w:val="center"/>
        <w:rPr>
          <w:b/>
          <w:bCs/>
          <w:color w:val="auto"/>
          <w:highlight w:val="none"/>
        </w:rPr>
      </w:pPr>
      <w:r>
        <w:rPr>
          <w:rFonts w:ascii="宋体" w:hAnsi="宋体" w:eastAsia="宋体" w:cs="宋体"/>
          <w:b/>
          <w:bCs/>
          <w:color w:val="auto"/>
          <w:sz w:val="28"/>
          <w:highlight w:val="none"/>
        </w:rPr>
        <w:t>第二章 磋商保证金</w:t>
      </w:r>
    </w:p>
    <w:p w14:paraId="1868F83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left"/>
        <w:textAlignment w:val="auto"/>
        <w:rPr>
          <w:color w:val="auto"/>
          <w:highlight w:val="none"/>
        </w:rPr>
      </w:pPr>
      <w:r>
        <w:rPr>
          <w:rFonts w:ascii="宋体" w:hAnsi="宋体" w:eastAsia="宋体" w:cs="宋体"/>
          <w:color w:val="auto"/>
          <w:sz w:val="24"/>
          <w:highlight w:val="none"/>
        </w:rPr>
        <w:t>十一、磋商保证金交纳数额和形式：不需交纳。</w:t>
      </w:r>
    </w:p>
    <w:p w14:paraId="70E69F7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560" w:firstLineChars="200"/>
        <w:jc w:val="left"/>
        <w:textAlignment w:val="auto"/>
        <w:rPr>
          <w:color w:val="auto"/>
          <w:highlight w:val="none"/>
        </w:rPr>
      </w:pPr>
      <w:r>
        <w:rPr>
          <w:rFonts w:ascii="宋体" w:hAnsi="宋体" w:eastAsia="宋体" w:cs="宋体"/>
          <w:color w:val="auto"/>
          <w:sz w:val="28"/>
          <w:highlight w:val="none"/>
        </w:rPr>
        <w:t> </w:t>
      </w:r>
    </w:p>
    <w:p w14:paraId="17F43FC9">
      <w:pPr>
        <w:pBdr>
          <w:top w:val="none" w:color="000000" w:sz="0" w:space="0"/>
          <w:left w:val="none" w:color="000000" w:sz="0" w:space="0"/>
          <w:bottom w:val="none" w:color="000000" w:sz="0" w:space="0"/>
          <w:right w:val="none" w:color="000000" w:sz="0" w:space="0"/>
        </w:pBdr>
        <w:spacing w:before="0" w:after="0" w:line="400" w:lineRule="atLeast"/>
        <w:ind w:left="0" w:right="0" w:firstLine="0"/>
        <w:jc w:val="center"/>
        <w:rPr>
          <w:b/>
          <w:bCs/>
          <w:color w:val="auto"/>
          <w:highlight w:val="none"/>
        </w:rPr>
      </w:pPr>
      <w:r>
        <w:rPr>
          <w:rFonts w:ascii="宋体" w:hAnsi="宋体" w:eastAsia="宋体" w:cs="宋体"/>
          <w:b/>
          <w:bCs/>
          <w:color w:val="auto"/>
          <w:sz w:val="28"/>
          <w:highlight w:val="none"/>
        </w:rPr>
        <w:t>第三章 响应文件</w:t>
      </w:r>
    </w:p>
    <w:p w14:paraId="44FBDB8A">
      <w:pPr>
        <w:pBdr>
          <w:top w:val="none" w:color="000000" w:sz="0" w:space="0"/>
          <w:left w:val="none" w:color="000000" w:sz="0" w:space="0"/>
          <w:bottom w:val="none" w:color="000000" w:sz="0" w:space="0"/>
          <w:right w:val="none" w:color="000000" w:sz="0" w:space="0"/>
        </w:pBdr>
        <w:spacing w:before="0" w:after="0" w:line="400" w:lineRule="atLeast"/>
        <w:ind w:left="0" w:right="0" w:firstLine="480"/>
        <w:jc w:val="both"/>
        <w:rPr>
          <w:rFonts w:ascii="宋体" w:hAnsi="宋体" w:eastAsia="宋体" w:cs="宋体"/>
          <w:color w:val="auto"/>
          <w:sz w:val="24"/>
          <w:highlight w:val="none"/>
        </w:rPr>
      </w:pPr>
      <w:r>
        <w:rPr>
          <w:rFonts w:ascii="宋体" w:hAnsi="宋体" w:eastAsia="宋体" w:cs="宋体"/>
          <w:color w:val="auto"/>
          <w:sz w:val="24"/>
          <w:highlight w:val="none"/>
        </w:rPr>
        <w:t>十二、提交响应文件要求</w:t>
      </w:r>
    </w:p>
    <w:p w14:paraId="7198B869">
      <w:pPr>
        <w:pBdr>
          <w:top w:val="none" w:color="000000" w:sz="0" w:space="0"/>
          <w:left w:val="none" w:color="000000" w:sz="0" w:space="0"/>
          <w:bottom w:val="none" w:color="000000" w:sz="0" w:space="0"/>
          <w:right w:val="none" w:color="000000" w:sz="0" w:space="0"/>
        </w:pBdr>
        <w:spacing w:before="0" w:after="0" w:line="400" w:lineRule="atLeast"/>
        <w:ind w:left="0" w:right="0" w:firstLine="480"/>
        <w:jc w:val="both"/>
        <w:rPr>
          <w:color w:val="auto"/>
          <w:highlight w:val="none"/>
        </w:rPr>
      </w:pPr>
      <w:r>
        <w:rPr>
          <w:rFonts w:ascii="宋体" w:hAnsi="宋体" w:eastAsia="宋体" w:cs="宋体"/>
          <w:color w:val="auto"/>
          <w:sz w:val="24"/>
          <w:highlight w:val="none"/>
        </w:rPr>
        <w:t>（一）本项目通过“苏采云”系统进行电子采购，即供应商响应文件从政府采购客户端工具制作并通过“苏采云”系统提交。</w:t>
      </w:r>
    </w:p>
    <w:p w14:paraId="36ECC303">
      <w:pPr>
        <w:pBdr>
          <w:top w:val="none" w:color="000000" w:sz="0" w:space="0"/>
          <w:left w:val="none" w:color="000000" w:sz="0" w:space="0"/>
          <w:bottom w:val="none" w:color="000000" w:sz="0" w:space="0"/>
          <w:right w:val="none" w:color="000000" w:sz="0" w:space="0"/>
        </w:pBdr>
        <w:spacing w:before="0" w:after="0" w:line="400" w:lineRule="atLeast"/>
        <w:ind w:left="0" w:right="0" w:firstLine="480"/>
        <w:jc w:val="both"/>
        <w:rPr>
          <w:color w:val="auto"/>
          <w:highlight w:val="none"/>
        </w:rPr>
      </w:pPr>
      <w:r>
        <w:rPr>
          <w:rFonts w:ascii="宋体" w:hAnsi="宋体" w:eastAsia="宋体" w:cs="宋体"/>
          <w:color w:val="auto"/>
          <w:sz w:val="24"/>
          <w:highlight w:val="none"/>
        </w:rPr>
        <w:t>供应商应当通过“苏采云”系统提交数据电文形式的响应文件（即电子投标）。未进行线上响应文件提交并解密(因“苏采云”系统导致解密失败的除外)的供应商，响应无效。</w:t>
      </w:r>
    </w:p>
    <w:p w14:paraId="708795D1">
      <w:pPr>
        <w:pBdr>
          <w:top w:val="none" w:color="000000" w:sz="0" w:space="0"/>
          <w:left w:val="none" w:color="000000" w:sz="0" w:space="0"/>
          <w:bottom w:val="none" w:color="000000" w:sz="0" w:space="0"/>
          <w:right w:val="none" w:color="000000" w:sz="0" w:space="0"/>
        </w:pBdr>
        <w:spacing w:before="0" w:after="0" w:line="400" w:lineRule="atLeast"/>
        <w:ind w:left="0" w:right="0" w:firstLine="480"/>
        <w:jc w:val="both"/>
        <w:rPr>
          <w:color w:val="auto"/>
          <w:highlight w:val="none"/>
        </w:rPr>
      </w:pPr>
      <w:r>
        <w:rPr>
          <w:rFonts w:hint="default" w:ascii="宋体" w:hAnsi="宋体" w:eastAsia="宋体" w:cs="宋体"/>
          <w:color w:val="auto"/>
          <w:sz w:val="24"/>
          <w:highlight w:val="none"/>
        </w:rPr>
        <w:t>“CA数字证书”的获取：供应商需办理CA锁，“苏采云”系统目前仅支持“苏采云”系统下的政务CA，省内各地区办理的“苏采云”系统下的政务CA全省通用。“CA数字证书”的办理材料详见“徐州政府采购网-业务工作-快速服务-下载专区”中的《“苏采云”系统政务CA办理材料、操作手册及控件下载》</w:t>
      </w:r>
      <w:r>
        <w:rPr>
          <w:rFonts w:ascii="宋体" w:hAnsi="宋体" w:eastAsia="宋体" w:cs="宋体"/>
          <w:color w:val="auto"/>
          <w:sz w:val="24"/>
          <w:highlight w:val="none"/>
        </w:rPr>
        <w:t>。</w:t>
      </w:r>
    </w:p>
    <w:p w14:paraId="76DD5F6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val="0"/>
        <w:overflowPunct/>
        <w:topLinePunct w:val="0"/>
        <w:autoSpaceDE/>
        <w:autoSpaceDN/>
        <w:bidi w:val="0"/>
        <w:adjustRightInd/>
        <w:snapToGrid/>
        <w:spacing w:before="0" w:after="0" w:line="400" w:lineRule="atLeast"/>
        <w:ind w:left="0" w:right="0" w:firstLine="482"/>
        <w:jc w:val="left"/>
        <w:textAlignment w:val="auto"/>
        <w:rPr>
          <w:color w:val="auto"/>
          <w:highlight w:val="none"/>
        </w:rPr>
      </w:pPr>
      <w:r>
        <w:rPr>
          <w:rFonts w:hint="eastAsia" w:ascii="宋体" w:hAnsi="宋体" w:eastAsia="宋体" w:cs="宋体"/>
          <w:color w:val="auto"/>
          <w:sz w:val="24"/>
          <w:highlight w:val="none"/>
        </w:rPr>
        <w:t>使用需要第三方认证的电子签名、数据电文，通过互联网方式提交首次响应文件。即：使用“电子签名认证证书（CA数字证书）”登录“苏采云”系统（网址：http://jszfcg.jsczt.cn/；或进入徐州政府采购网（网址：https://czj.xz.gov.cn/zfcg/index.html）--办事指南--供应商--供应商登录入口，点击“苏采云”进入系统，按照要求通过互联网方式提交首次响应文件。</w:t>
      </w:r>
      <w:r>
        <w:rPr>
          <w:rFonts w:ascii="宋体" w:hAnsi="宋体" w:eastAsia="宋体" w:cs="宋体"/>
          <w:color w:val="auto"/>
          <w:sz w:val="24"/>
          <w:highlight w:val="none"/>
        </w:rPr>
        <w:t>。</w:t>
      </w:r>
    </w:p>
    <w:p w14:paraId="26ED97F5">
      <w:pPr>
        <w:pBdr>
          <w:top w:val="none" w:color="000000" w:sz="0" w:space="0"/>
          <w:left w:val="none" w:color="000000" w:sz="0" w:space="0"/>
          <w:bottom w:val="none" w:color="000000" w:sz="0" w:space="0"/>
          <w:right w:val="none" w:color="000000" w:sz="0" w:space="0"/>
        </w:pBdr>
        <w:spacing w:before="0" w:after="0" w:line="400" w:lineRule="atLeast"/>
        <w:ind w:left="0" w:right="0" w:firstLine="480"/>
        <w:jc w:val="both"/>
        <w:rPr>
          <w:rFonts w:ascii="宋体" w:hAnsi="宋体" w:eastAsia="宋体" w:cs="宋体"/>
          <w:color w:val="auto"/>
          <w:sz w:val="24"/>
          <w:highlight w:val="none"/>
        </w:rPr>
      </w:pPr>
      <w:r>
        <w:rPr>
          <w:rFonts w:ascii="宋体" w:hAnsi="宋体" w:eastAsia="宋体" w:cs="宋体"/>
          <w:color w:val="auto"/>
          <w:sz w:val="24"/>
          <w:highlight w:val="none"/>
        </w:rPr>
        <w:t>“苏采云”系统使用要求：</w:t>
      </w:r>
    </w:p>
    <w:p w14:paraId="5660DA84">
      <w:pPr>
        <w:pBdr>
          <w:top w:val="none" w:color="000000" w:sz="0" w:space="0"/>
          <w:left w:val="none" w:color="000000" w:sz="0" w:space="0"/>
          <w:bottom w:val="none" w:color="000000" w:sz="0" w:space="0"/>
          <w:right w:val="none" w:color="000000" w:sz="0" w:space="0"/>
        </w:pBdr>
        <w:spacing w:before="0" w:after="0" w:line="400" w:lineRule="atLeast"/>
        <w:ind w:left="0" w:right="0" w:firstLine="480"/>
        <w:jc w:val="both"/>
        <w:rPr>
          <w:rFonts w:ascii="宋体" w:hAnsi="宋体" w:eastAsia="宋体" w:cs="宋体"/>
          <w:color w:val="auto"/>
          <w:sz w:val="24"/>
          <w:highlight w:val="none"/>
        </w:rPr>
      </w:pPr>
      <w:r>
        <w:rPr>
          <w:rFonts w:ascii="宋体" w:hAnsi="宋体" w:eastAsia="宋体" w:cs="宋体"/>
          <w:color w:val="auto"/>
          <w:sz w:val="24"/>
          <w:highlight w:val="none"/>
        </w:rPr>
        <w:t>1</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使用谷歌浏览器参与不见面开标及磋商环节。</w:t>
      </w:r>
    </w:p>
    <w:p w14:paraId="3EE25F88">
      <w:pPr>
        <w:pBdr>
          <w:top w:val="none" w:color="000000" w:sz="0" w:space="0"/>
          <w:left w:val="none" w:color="000000" w:sz="0" w:space="0"/>
          <w:bottom w:val="none" w:color="000000" w:sz="0" w:space="0"/>
          <w:right w:val="none" w:color="000000" w:sz="0" w:space="0"/>
        </w:pBdr>
        <w:spacing w:before="0" w:after="0" w:line="400" w:lineRule="atLeast"/>
        <w:ind w:left="0" w:right="0" w:firstLine="480"/>
        <w:jc w:val="both"/>
        <w:rPr>
          <w:rFonts w:ascii="宋体" w:hAnsi="宋体" w:eastAsia="宋体" w:cs="宋体"/>
          <w:color w:val="auto"/>
          <w:sz w:val="24"/>
          <w:highlight w:val="none"/>
        </w:rPr>
      </w:pPr>
      <w:r>
        <w:rPr>
          <w:rFonts w:ascii="宋体" w:hAnsi="宋体" w:eastAsia="宋体" w:cs="宋体"/>
          <w:color w:val="auto"/>
          <w:sz w:val="24"/>
          <w:highlight w:val="none"/>
        </w:rPr>
        <w:t>2</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电脑需提前准备好麦克风、音响，摄像头，提前检查保证能够正常使用。</w:t>
      </w:r>
    </w:p>
    <w:p w14:paraId="4D483930">
      <w:pPr>
        <w:pBdr>
          <w:top w:val="none" w:color="000000" w:sz="0" w:space="0"/>
          <w:left w:val="none" w:color="000000" w:sz="0" w:space="0"/>
          <w:bottom w:val="none" w:color="000000" w:sz="0" w:space="0"/>
          <w:right w:val="none" w:color="000000" w:sz="0" w:space="0"/>
        </w:pBdr>
        <w:spacing w:before="0" w:after="0" w:line="400" w:lineRule="atLeast"/>
        <w:ind w:left="0" w:right="0" w:firstLine="480"/>
        <w:jc w:val="both"/>
        <w:rPr>
          <w:rFonts w:ascii="宋体" w:hAnsi="宋体" w:eastAsia="宋体" w:cs="宋体"/>
          <w:color w:val="auto"/>
          <w:sz w:val="24"/>
          <w:highlight w:val="none"/>
        </w:rPr>
      </w:pPr>
      <w:r>
        <w:rPr>
          <w:rFonts w:ascii="宋体" w:hAnsi="宋体" w:eastAsia="宋体" w:cs="宋体"/>
          <w:color w:val="auto"/>
          <w:sz w:val="24"/>
          <w:highlight w:val="none"/>
        </w:rPr>
        <w:t>3</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操作系统至少win7以上，建议使用win10操作系统。</w:t>
      </w:r>
    </w:p>
    <w:p w14:paraId="5446F013">
      <w:pPr>
        <w:keepNext w:val="0"/>
        <w:keepLines w:val="0"/>
        <w:pageBreakBefore w:val="0"/>
        <w:widowControl w:val="0"/>
        <w:pBdr>
          <w:top w:val="none" w:color="000000" w:sz="0" w:space="0"/>
          <w:left w:val="none" w:color="000000" w:sz="0" w:space="0"/>
          <w:bottom w:val="none" w:color="000000" w:sz="0" w:space="0"/>
          <w:right w:val="none" w:color="000000" w:sz="0" w:space="0"/>
        </w:pBdr>
        <w:kinsoku/>
        <w:overflowPunct/>
        <w:topLinePunct w:val="0"/>
        <w:autoSpaceDE/>
        <w:autoSpaceDN/>
        <w:bidi w:val="0"/>
        <w:adjustRightInd/>
        <w:snapToGrid/>
        <w:spacing w:line="460" w:lineRule="exact"/>
        <w:ind w:left="0" w:right="0" w:firstLine="482" w:firstLineChars="200"/>
        <w:jc w:val="left"/>
        <w:textAlignment w:val="auto"/>
        <w:rPr>
          <w:color w:val="auto"/>
          <w:highlight w:val="none"/>
        </w:rPr>
      </w:pPr>
      <w:r>
        <w:rPr>
          <w:rFonts w:ascii="宋体" w:hAnsi="宋体" w:eastAsia="宋体" w:cs="宋体"/>
          <w:b/>
          <w:color w:val="auto"/>
          <w:sz w:val="24"/>
          <w:highlight w:val="none"/>
        </w:rPr>
        <w:t>（二）首次响应文件提交的截止时间：</w:t>
      </w:r>
      <w:r>
        <w:rPr>
          <w:rFonts w:hint="eastAsia" w:ascii="宋体" w:hAnsi="宋体" w:cs="宋体"/>
          <w:b/>
          <w:color w:val="auto"/>
          <w:sz w:val="24"/>
          <w:highlight w:val="none"/>
          <w:lang w:eastAsia="zh-CN"/>
        </w:rPr>
        <w:t>2026年9月21日</w:t>
      </w:r>
      <w:r>
        <w:rPr>
          <w:rFonts w:ascii="宋体" w:hAnsi="宋体" w:eastAsia="宋体" w:cs="宋体"/>
          <w:b/>
          <w:color w:val="auto"/>
          <w:sz w:val="24"/>
          <w:highlight w:val="none"/>
        </w:rPr>
        <w:t>09:30，</w:t>
      </w:r>
      <w:r>
        <w:rPr>
          <w:rFonts w:ascii="宋体" w:hAnsi="宋体" w:eastAsia="宋体" w:cs="宋体"/>
          <w:color w:val="auto"/>
          <w:sz w:val="24"/>
          <w:highlight w:val="none"/>
        </w:rPr>
        <w:t>在截止时间后提交的首次响应文件为无效文件，将被拒收。</w:t>
      </w:r>
    </w:p>
    <w:p w14:paraId="01C43ECF">
      <w:pPr>
        <w:keepNext w:val="0"/>
        <w:keepLines w:val="0"/>
        <w:pageBreakBefore w:val="0"/>
        <w:widowControl w:val="0"/>
        <w:pBdr>
          <w:top w:val="none" w:color="000000" w:sz="0" w:space="0"/>
          <w:left w:val="none" w:color="000000" w:sz="0" w:space="0"/>
          <w:bottom w:val="none" w:color="000000" w:sz="0" w:space="0"/>
          <w:right w:val="none" w:color="000000" w:sz="0" w:space="0"/>
        </w:pBdr>
        <w:kinsoku/>
        <w:overflowPunct/>
        <w:topLinePunct w:val="0"/>
        <w:autoSpaceDE/>
        <w:autoSpaceDN/>
        <w:bidi w:val="0"/>
        <w:adjustRightInd/>
        <w:snapToGrid/>
        <w:spacing w:line="460" w:lineRule="exact"/>
        <w:ind w:left="0" w:right="0" w:firstLine="482" w:firstLineChars="200"/>
        <w:jc w:val="left"/>
        <w:textAlignment w:val="auto"/>
        <w:rPr>
          <w:color w:val="auto"/>
          <w:highlight w:val="none"/>
        </w:rPr>
      </w:pPr>
      <w:r>
        <w:rPr>
          <w:rFonts w:ascii="宋体" w:hAnsi="宋体" w:eastAsia="宋体" w:cs="宋体"/>
          <w:b/>
          <w:color w:val="auto"/>
          <w:sz w:val="24"/>
          <w:highlight w:val="none"/>
        </w:rPr>
        <w:t>（三）首次响应文件提交时间、地点：</w:t>
      </w:r>
    </w:p>
    <w:p w14:paraId="2246B434">
      <w:pPr>
        <w:keepNext w:val="0"/>
        <w:keepLines w:val="0"/>
        <w:pageBreakBefore w:val="0"/>
        <w:widowControl w:val="0"/>
        <w:pBdr>
          <w:top w:val="none" w:color="000000" w:sz="0" w:space="0"/>
          <w:left w:val="none" w:color="000000" w:sz="0" w:space="0"/>
          <w:bottom w:val="none" w:color="000000" w:sz="0" w:space="0"/>
          <w:right w:val="none" w:color="000000" w:sz="0" w:space="0"/>
        </w:pBdr>
        <w:kinsoku/>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1</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提交时间：</w:t>
      </w:r>
      <w:r>
        <w:rPr>
          <w:rFonts w:ascii="宋体" w:hAnsi="宋体" w:eastAsia="宋体" w:cs="宋体"/>
          <w:b/>
          <w:color w:val="auto"/>
          <w:sz w:val="24"/>
          <w:highlight w:val="none"/>
        </w:rPr>
        <w:t>首次响应文件提交的截止时间（</w:t>
      </w:r>
      <w:r>
        <w:rPr>
          <w:rFonts w:hint="eastAsia" w:ascii="宋体" w:hAnsi="宋体" w:cs="宋体"/>
          <w:b/>
          <w:color w:val="auto"/>
          <w:sz w:val="24"/>
          <w:highlight w:val="none"/>
          <w:lang w:eastAsia="zh-CN"/>
        </w:rPr>
        <w:t>2026年9月21日</w:t>
      </w:r>
      <w:r>
        <w:rPr>
          <w:rFonts w:ascii="宋体" w:hAnsi="宋体" w:eastAsia="宋体" w:cs="宋体"/>
          <w:b/>
          <w:color w:val="auto"/>
          <w:sz w:val="24"/>
          <w:highlight w:val="none"/>
        </w:rPr>
        <w:t>09:30）前</w:t>
      </w:r>
      <w:r>
        <w:rPr>
          <w:rFonts w:ascii="宋体" w:hAnsi="宋体" w:eastAsia="宋体" w:cs="宋体"/>
          <w:color w:val="auto"/>
          <w:sz w:val="24"/>
          <w:highlight w:val="none"/>
        </w:rPr>
        <w:t>。</w:t>
      </w:r>
    </w:p>
    <w:p w14:paraId="747B8F1C">
      <w:pPr>
        <w:keepNext w:val="0"/>
        <w:keepLines w:val="0"/>
        <w:pageBreakBefore w:val="0"/>
        <w:widowControl w:val="0"/>
        <w:pBdr>
          <w:top w:val="none" w:color="000000" w:sz="0" w:space="0"/>
          <w:left w:val="none" w:color="000000" w:sz="0" w:space="0"/>
          <w:bottom w:val="none" w:color="000000" w:sz="0" w:space="0"/>
          <w:right w:val="none" w:color="000000" w:sz="0" w:space="0"/>
        </w:pBdr>
        <w:kinsoku/>
        <w:overflowPunct/>
        <w:topLinePunct w:val="0"/>
        <w:autoSpaceDE/>
        <w:autoSpaceDN/>
        <w:bidi w:val="0"/>
        <w:adjustRightInd/>
        <w:snapToGrid/>
        <w:spacing w:line="460" w:lineRule="exact"/>
        <w:ind w:left="0" w:right="0" w:firstLine="480" w:firstLineChars="200"/>
        <w:jc w:val="left"/>
        <w:textAlignment w:val="auto"/>
        <w:rPr>
          <w:rFonts w:ascii="宋体" w:hAnsi="宋体" w:eastAsia="宋体" w:cs="宋体"/>
          <w:color w:val="auto"/>
          <w:sz w:val="24"/>
          <w:highlight w:val="none"/>
        </w:rPr>
      </w:pPr>
      <w:r>
        <w:rPr>
          <w:rFonts w:ascii="宋体" w:hAnsi="宋体" w:eastAsia="宋体" w:cs="宋体"/>
          <w:color w:val="auto"/>
          <w:sz w:val="24"/>
          <w:highlight w:val="none"/>
        </w:rPr>
        <w:t>2</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提交地点：</w:t>
      </w:r>
      <w:r>
        <w:rPr>
          <w:rFonts w:hint="eastAsia" w:ascii="宋体" w:hAnsi="宋体" w:eastAsia="宋体" w:cs="宋体"/>
          <w:color w:val="auto"/>
          <w:sz w:val="24"/>
          <w:highlight w:val="none"/>
          <w:lang w:val="en-US" w:eastAsia="zh-CN"/>
        </w:rPr>
        <w:t>“苏采云”系统（网址：http://jszfcg.jsczt.cn/）“开标大厅”或或进入徐州政府采购网（网址：https://czj.xz.gov.cn/zfcg/index.html）--办事指南--供应商--供应商登录入口，点击“苏采云”进入系统“开标大厅”</w:t>
      </w:r>
      <w:r>
        <w:rPr>
          <w:rFonts w:ascii="宋体" w:hAnsi="宋体" w:eastAsia="宋体" w:cs="宋体"/>
          <w:color w:val="auto"/>
          <w:sz w:val="24"/>
          <w:highlight w:val="none"/>
        </w:rPr>
        <w:t xml:space="preserve">。 </w:t>
      </w:r>
    </w:p>
    <w:p w14:paraId="32D2A271">
      <w:pPr>
        <w:keepNext w:val="0"/>
        <w:keepLines w:val="0"/>
        <w:pageBreakBefore w:val="0"/>
        <w:widowControl w:val="0"/>
        <w:pBdr>
          <w:top w:val="none" w:color="000000" w:sz="0" w:space="0"/>
          <w:left w:val="none" w:color="000000" w:sz="0" w:space="0"/>
          <w:bottom w:val="none" w:color="000000" w:sz="0" w:space="0"/>
          <w:right w:val="none" w:color="000000" w:sz="0" w:space="0"/>
        </w:pBdr>
        <w:kinsoku/>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（四）首次响应文件开启时间：</w:t>
      </w:r>
      <w:r>
        <w:rPr>
          <w:rFonts w:hint="eastAsia" w:ascii="宋体" w:hAnsi="宋体" w:cs="宋体"/>
          <w:b/>
          <w:color w:val="auto"/>
          <w:sz w:val="24"/>
          <w:highlight w:val="none"/>
          <w:lang w:eastAsia="zh-CN"/>
        </w:rPr>
        <w:t>2026年9月21日</w:t>
      </w:r>
      <w:r>
        <w:rPr>
          <w:rFonts w:ascii="宋体" w:hAnsi="宋体" w:eastAsia="宋体" w:cs="宋体"/>
          <w:b/>
          <w:color w:val="auto"/>
          <w:sz w:val="24"/>
          <w:highlight w:val="none"/>
        </w:rPr>
        <w:t>09:30</w:t>
      </w:r>
      <w:r>
        <w:rPr>
          <w:rFonts w:ascii="宋体" w:hAnsi="宋体" w:eastAsia="宋体" w:cs="宋体"/>
          <w:color w:val="auto"/>
          <w:sz w:val="24"/>
          <w:highlight w:val="none"/>
        </w:rPr>
        <w:t>。</w:t>
      </w:r>
    </w:p>
    <w:p w14:paraId="761FC0C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val="0"/>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五）首次响应文件开启地点：“苏采云”系统（网址：http://jszfcg.jsczt.cn/）“开标大厅”或进入徐州政府采购网（网址：http://czj.xz.gov.cn/Home/HomeIndex）-业务工作-用户登录，点击“苏采云”进入系统“开标大厅”。</w:t>
      </w:r>
    </w:p>
    <w:p w14:paraId="52A82EFD">
      <w:pPr>
        <w:keepNext w:val="0"/>
        <w:keepLines w:val="0"/>
        <w:pageBreakBefore w:val="0"/>
        <w:widowControl w:val="0"/>
        <w:pBdr>
          <w:top w:val="none" w:color="000000" w:sz="0" w:space="0"/>
          <w:left w:val="none" w:color="000000" w:sz="0" w:space="0"/>
          <w:bottom w:val="none" w:color="000000" w:sz="0" w:space="0"/>
          <w:right w:val="none" w:color="000000" w:sz="0" w:space="0"/>
        </w:pBdr>
        <w:kinsoku/>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六）供应商在首次响应文件提交的截止时间前，可以对所提交的首次响应文件进行补充、修改或者撤回。补充、修改的内容作为响应文件的组成部分。补充、修改的内容与首次响应文件不一致的，以补充、修改的内容为准。</w:t>
      </w:r>
    </w:p>
    <w:p w14:paraId="7A423868">
      <w:pPr>
        <w:keepNext w:val="0"/>
        <w:keepLines w:val="0"/>
        <w:pageBreakBefore w:val="0"/>
        <w:widowControl w:val="0"/>
        <w:pBdr>
          <w:top w:val="none" w:color="000000" w:sz="0" w:space="0"/>
          <w:left w:val="none" w:color="000000" w:sz="0" w:space="0"/>
          <w:bottom w:val="none" w:color="000000" w:sz="0" w:space="0"/>
          <w:right w:val="none" w:color="000000" w:sz="0" w:space="0"/>
        </w:pBdr>
        <w:kinsoku/>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（七）不接受不按要求加盖公章（电子签章）的首次响应文件。电子签章相关要求见“苏采云”系统。</w:t>
      </w:r>
    </w:p>
    <w:p w14:paraId="0EFDF42D">
      <w:pPr>
        <w:keepNext w:val="0"/>
        <w:keepLines w:val="0"/>
        <w:pageBreakBefore w:val="0"/>
        <w:widowControl w:val="0"/>
        <w:pBdr>
          <w:top w:val="none" w:color="000000" w:sz="0" w:space="0"/>
          <w:left w:val="none" w:color="000000" w:sz="0" w:space="0"/>
          <w:bottom w:val="none" w:color="000000" w:sz="0" w:space="0"/>
          <w:right w:val="none" w:color="000000" w:sz="0" w:space="0"/>
        </w:pBdr>
        <w:kinsoku/>
        <w:overflowPunct/>
        <w:topLinePunct w:val="0"/>
        <w:autoSpaceDE/>
        <w:autoSpaceDN/>
        <w:bidi w:val="0"/>
        <w:adjustRightInd/>
        <w:snapToGrid/>
        <w:spacing w:line="460" w:lineRule="exact"/>
        <w:ind w:left="0" w:right="0" w:firstLine="480" w:firstLineChars="200"/>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八）首次响应文件解密：到达开启时间，“苏采云”系统自动提取所有响应文件，供应商按采购文件规定方式按时在线解密。本项目采购文件规定的供应商按时在线解密方式：开启时间后30分钟内，通过“苏采云”系统（使用“CA数字证书”）解密。</w:t>
      </w:r>
    </w:p>
    <w:p w14:paraId="6C181EAE">
      <w:pPr>
        <w:keepNext w:val="0"/>
        <w:keepLines w:val="0"/>
        <w:pageBreakBefore w:val="0"/>
        <w:widowControl w:val="0"/>
        <w:pBdr>
          <w:top w:val="none" w:color="000000" w:sz="0" w:space="0"/>
          <w:left w:val="none" w:color="000000" w:sz="0" w:space="0"/>
          <w:bottom w:val="none" w:color="000000" w:sz="0" w:space="0"/>
          <w:right w:val="none" w:color="000000" w:sz="0" w:space="0"/>
        </w:pBdr>
        <w:kinsoku/>
        <w:overflowPunct/>
        <w:topLinePunct w:val="0"/>
        <w:autoSpaceDE/>
        <w:autoSpaceDN/>
        <w:bidi w:val="0"/>
        <w:adjustRightInd/>
        <w:snapToGrid/>
        <w:spacing w:line="460" w:lineRule="exact"/>
        <w:ind w:left="0" w:right="0" w:firstLine="480" w:firstLineChars="200"/>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九）采购文件（后缀名为“.kedt”）、供应商操作手册及政府采购客户端工具可通过“苏采云”系统（网址：http://jszfcg.jsczt.cn/）--已报名项目--报名详情页面内相应链接进行下载；供应商操作手册及政府采购客户端工具也可通过徐州政府采购网--办事指南--资料下载，点击进入《江苏省政府采购管理交易系统（苏采云）供应商操作手册及政府采购客户端》，进行下载。</w:t>
      </w:r>
    </w:p>
    <w:p w14:paraId="16C1D833">
      <w:pPr>
        <w:keepNext w:val="0"/>
        <w:keepLines w:val="0"/>
        <w:pageBreakBefore w:val="0"/>
        <w:widowControl w:val="0"/>
        <w:pBdr>
          <w:top w:val="none" w:color="000000" w:sz="0" w:space="0"/>
          <w:left w:val="none" w:color="000000" w:sz="0" w:space="0"/>
          <w:bottom w:val="none" w:color="000000" w:sz="0" w:space="0"/>
          <w:right w:val="none" w:color="000000" w:sz="0" w:space="0"/>
        </w:pBdr>
        <w:kinsoku/>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hint="eastAsia" w:ascii="宋体" w:hAnsi="宋体" w:eastAsia="宋体" w:cs="宋体"/>
          <w:color w:val="auto"/>
          <w:sz w:val="24"/>
          <w:highlight w:val="none"/>
          <w:lang w:val="en-US" w:eastAsia="zh-CN"/>
        </w:rPr>
        <w:t>（十）相关说明：供应商在“苏采云”系统中提交首次响应文件的时间即为数据电文（响应文件，下同）的发送时间和接收时间。</w:t>
      </w:r>
    </w:p>
    <w:p w14:paraId="399D49D4">
      <w:pPr>
        <w:pBdr>
          <w:top w:val="none" w:color="000000" w:sz="0" w:space="0"/>
          <w:left w:val="none" w:color="000000" w:sz="0" w:space="0"/>
          <w:bottom w:val="none" w:color="000000" w:sz="0" w:space="0"/>
          <w:right w:val="none" w:color="000000" w:sz="0" w:space="0"/>
        </w:pBdr>
        <w:spacing w:before="0" w:after="0" w:line="400" w:lineRule="atLeast"/>
        <w:ind w:left="0" w:right="0" w:firstLine="480"/>
        <w:jc w:val="both"/>
        <w:rPr>
          <w:color w:val="auto"/>
          <w:highlight w:val="none"/>
        </w:rPr>
      </w:pPr>
      <w:r>
        <w:rPr>
          <w:rFonts w:ascii="宋体" w:hAnsi="宋体" w:eastAsia="宋体" w:cs="宋体"/>
          <w:color w:val="auto"/>
          <w:sz w:val="24"/>
          <w:highlight w:val="none"/>
        </w:rPr>
        <w:t>十三、响应文件编制要求</w:t>
      </w:r>
    </w:p>
    <w:p w14:paraId="3B0088F9">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2" w:firstLineChars="200"/>
        <w:jc w:val="left"/>
        <w:textAlignment w:val="auto"/>
        <w:outlineLvl w:val="9"/>
        <w:rPr>
          <w:color w:val="auto"/>
          <w:highlight w:val="none"/>
        </w:rPr>
      </w:pPr>
      <w:r>
        <w:rPr>
          <w:rFonts w:ascii="宋体" w:hAnsi="宋体" w:eastAsia="宋体" w:cs="宋体"/>
          <w:b/>
          <w:color w:val="auto"/>
          <w:sz w:val="24"/>
          <w:highlight w:val="none"/>
        </w:rPr>
        <w:t>请按照以下要求（包括但不限于以下要求）制作：</w:t>
      </w:r>
    </w:p>
    <w:p w14:paraId="52AC7675">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2" w:firstLineChars="200"/>
        <w:jc w:val="left"/>
        <w:textAlignment w:val="auto"/>
        <w:outlineLvl w:val="9"/>
        <w:rPr>
          <w:color w:val="auto"/>
          <w:highlight w:val="none"/>
        </w:rPr>
      </w:pPr>
      <w:r>
        <w:rPr>
          <w:rFonts w:ascii="宋体" w:hAnsi="宋体" w:eastAsia="宋体" w:cs="宋体"/>
          <w:b/>
          <w:color w:val="auto"/>
          <w:sz w:val="24"/>
          <w:highlight w:val="none"/>
        </w:rPr>
        <w:t>（一）基本目录</w:t>
      </w:r>
    </w:p>
    <w:p w14:paraId="7C324FA3">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2" w:firstLineChars="200"/>
        <w:jc w:val="left"/>
        <w:textAlignment w:val="auto"/>
        <w:outlineLvl w:val="9"/>
        <w:rPr>
          <w:color w:val="auto"/>
          <w:highlight w:val="none"/>
        </w:rPr>
      </w:pPr>
      <w:r>
        <w:rPr>
          <w:rFonts w:ascii="宋体" w:hAnsi="宋体" w:eastAsia="宋体" w:cs="宋体"/>
          <w:b/>
          <w:color w:val="auto"/>
          <w:sz w:val="24"/>
          <w:highlight w:val="none"/>
        </w:rPr>
        <w:t>1</w:t>
      </w:r>
      <w:r>
        <w:rPr>
          <w:rFonts w:hint="eastAsia" w:ascii="宋体" w:hAnsi="宋体" w:cs="宋体"/>
          <w:b/>
          <w:color w:val="auto"/>
          <w:sz w:val="24"/>
          <w:highlight w:val="none"/>
          <w:lang w:val="en-US" w:eastAsia="zh-CN"/>
        </w:rPr>
        <w:t>.</w:t>
      </w:r>
      <w:r>
        <w:rPr>
          <w:rFonts w:ascii="宋体" w:hAnsi="宋体" w:eastAsia="宋体" w:cs="宋体"/>
          <w:b/>
          <w:color w:val="auto"/>
          <w:sz w:val="24"/>
          <w:highlight w:val="none"/>
        </w:rPr>
        <w:t>《磋商报价表》（加盖电子签章，格式见《磋商文件》附件。政府采购客户端工具输入报价自动生成）（必须提供，否则响应无效）；</w:t>
      </w:r>
    </w:p>
    <w:p w14:paraId="30966010">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2" w:firstLineChars="200"/>
        <w:jc w:val="left"/>
        <w:textAlignment w:val="auto"/>
        <w:outlineLvl w:val="9"/>
        <w:rPr>
          <w:color w:val="auto"/>
          <w:highlight w:val="none"/>
        </w:rPr>
      </w:pPr>
      <w:r>
        <w:rPr>
          <w:rFonts w:ascii="宋体" w:hAnsi="宋体" w:eastAsia="宋体" w:cs="宋体"/>
          <w:b/>
          <w:color w:val="auto"/>
          <w:sz w:val="24"/>
          <w:highlight w:val="none"/>
        </w:rPr>
        <w:t>2</w:t>
      </w:r>
      <w:bookmarkStart w:id="0" w:name="OLE_LINK2"/>
      <w:r>
        <w:rPr>
          <w:rFonts w:hint="eastAsia" w:ascii="宋体" w:hAnsi="宋体" w:cs="宋体"/>
          <w:b/>
          <w:color w:val="auto"/>
          <w:sz w:val="24"/>
          <w:highlight w:val="none"/>
          <w:lang w:val="en-US" w:eastAsia="zh-CN"/>
        </w:rPr>
        <w:t>.</w:t>
      </w:r>
      <w:r>
        <w:rPr>
          <w:rFonts w:ascii="宋体" w:hAnsi="宋体" w:eastAsia="宋体" w:cs="宋体"/>
          <w:b/>
          <w:color w:val="auto"/>
          <w:sz w:val="24"/>
          <w:highlight w:val="none"/>
          <w:u w:val="none"/>
        </w:rPr>
        <w:t>《授权委托书》（提供原件的扫描件，格式见《磋商文件》附件）</w:t>
      </w:r>
      <w:bookmarkEnd w:id="0"/>
      <w:r>
        <w:rPr>
          <w:rFonts w:ascii="宋体" w:hAnsi="宋体" w:eastAsia="宋体" w:cs="宋体"/>
          <w:b/>
          <w:color w:val="auto"/>
          <w:sz w:val="24"/>
          <w:highlight w:val="none"/>
        </w:rPr>
        <w:t>；</w:t>
      </w:r>
    </w:p>
    <w:p w14:paraId="585ADFCA">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2" w:firstLineChars="200"/>
        <w:jc w:val="left"/>
        <w:textAlignment w:val="auto"/>
        <w:outlineLvl w:val="9"/>
        <w:rPr>
          <w:color w:val="auto"/>
          <w:highlight w:val="none"/>
        </w:rPr>
      </w:pPr>
      <w:r>
        <w:rPr>
          <w:rFonts w:ascii="宋体" w:hAnsi="宋体" w:eastAsia="宋体" w:cs="宋体"/>
          <w:b/>
          <w:color w:val="auto"/>
          <w:sz w:val="24"/>
          <w:highlight w:val="none"/>
        </w:rPr>
        <w:t>3</w:t>
      </w:r>
      <w:r>
        <w:rPr>
          <w:rFonts w:hint="eastAsia" w:ascii="宋体" w:hAnsi="宋体" w:cs="宋体"/>
          <w:b/>
          <w:color w:val="auto"/>
          <w:sz w:val="24"/>
          <w:highlight w:val="none"/>
          <w:lang w:val="en-US" w:eastAsia="zh-CN"/>
        </w:rPr>
        <w:t>.</w:t>
      </w:r>
      <w:r>
        <w:rPr>
          <w:rFonts w:ascii="宋体" w:hAnsi="宋体" w:eastAsia="宋体" w:cs="宋体"/>
          <w:b/>
          <w:color w:val="auto"/>
          <w:sz w:val="24"/>
          <w:highlight w:val="none"/>
        </w:rPr>
        <w:t>授权委托书中受托人身份证原件的扫描件；</w:t>
      </w:r>
    </w:p>
    <w:p w14:paraId="7187F117">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color w:val="auto"/>
          <w:highlight w:val="none"/>
        </w:rPr>
      </w:pPr>
      <w:r>
        <w:rPr>
          <w:rFonts w:ascii="宋体" w:hAnsi="宋体" w:eastAsia="宋体" w:cs="宋体"/>
          <w:color w:val="auto"/>
          <w:sz w:val="24"/>
          <w:highlight w:val="none"/>
        </w:rPr>
        <w:t>4</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供应商认为需要提供的其他资料的扫描件（如有）。</w:t>
      </w:r>
    </w:p>
    <w:p w14:paraId="38D6CD5B">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2" w:firstLineChars="200"/>
        <w:jc w:val="left"/>
        <w:textAlignment w:val="auto"/>
        <w:outlineLvl w:val="9"/>
        <w:rPr>
          <w:color w:val="auto"/>
          <w:highlight w:val="none"/>
        </w:rPr>
      </w:pPr>
      <w:r>
        <w:rPr>
          <w:rFonts w:ascii="宋体" w:hAnsi="宋体" w:eastAsia="宋体" w:cs="宋体"/>
          <w:b/>
          <w:color w:val="auto"/>
          <w:sz w:val="24"/>
          <w:highlight w:val="none"/>
        </w:rPr>
        <w:t>（二）资格条件（1～6项必须提供原件扫描件，否则响应无效）</w:t>
      </w:r>
    </w:p>
    <w:p w14:paraId="24ED10B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b w:val="0"/>
          <w:bCs/>
          <w:color w:val="auto"/>
          <w:highlight w:val="none"/>
        </w:rPr>
      </w:pPr>
      <w:r>
        <w:rPr>
          <w:rFonts w:ascii="宋体" w:hAnsi="宋体" w:eastAsia="宋体" w:cs="宋体"/>
          <w:b w:val="0"/>
          <w:bCs/>
          <w:color w:val="auto"/>
          <w:sz w:val="24"/>
          <w:highlight w:val="none"/>
        </w:rPr>
        <w:t>1</w:t>
      </w:r>
      <w:r>
        <w:rPr>
          <w:rFonts w:hint="eastAsia" w:ascii="宋体" w:hAnsi="宋体" w:cs="宋体"/>
          <w:b w:val="0"/>
          <w:bCs/>
          <w:color w:val="auto"/>
          <w:sz w:val="24"/>
          <w:highlight w:val="none"/>
          <w:lang w:val="en-US" w:eastAsia="zh-CN"/>
        </w:rPr>
        <w:t>.</w:t>
      </w:r>
      <w:r>
        <w:rPr>
          <w:rFonts w:ascii="宋体" w:hAnsi="宋体" w:eastAsia="宋体" w:cs="宋体"/>
          <w:b w:val="0"/>
          <w:bCs/>
          <w:color w:val="auto"/>
          <w:sz w:val="24"/>
          <w:highlight w:val="none"/>
        </w:rPr>
        <w:t>供应商合法有效的法人或者其他组织的营业执照等证明文件，自然人的身份证明。以上证明文件的扫描件；</w:t>
      </w:r>
    </w:p>
    <w:p w14:paraId="700D2781">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rFonts w:ascii="宋体" w:hAnsi="宋体" w:eastAsia="宋体" w:cs="宋体"/>
          <w:b w:val="0"/>
          <w:bCs/>
          <w:color w:val="auto"/>
          <w:sz w:val="24"/>
          <w:highlight w:val="none"/>
        </w:rPr>
      </w:pPr>
      <w:r>
        <w:rPr>
          <w:rFonts w:ascii="宋体" w:hAnsi="宋体" w:eastAsia="宋体" w:cs="宋体"/>
          <w:b w:val="0"/>
          <w:bCs/>
          <w:color w:val="auto"/>
          <w:sz w:val="24"/>
          <w:highlight w:val="none"/>
        </w:rPr>
        <w:t>2</w:t>
      </w:r>
      <w:r>
        <w:rPr>
          <w:rFonts w:hint="eastAsia" w:ascii="宋体" w:hAnsi="宋体" w:cs="宋体"/>
          <w:b w:val="0"/>
          <w:bCs/>
          <w:color w:val="auto"/>
          <w:sz w:val="24"/>
          <w:highlight w:val="none"/>
          <w:lang w:val="en-US" w:eastAsia="zh-CN"/>
        </w:rPr>
        <w:t>.</w:t>
      </w:r>
      <w:r>
        <w:rPr>
          <w:rFonts w:ascii="宋体" w:hAnsi="宋体" w:eastAsia="宋体" w:cs="宋体"/>
          <w:b w:val="0"/>
          <w:bCs/>
          <w:color w:val="auto"/>
          <w:sz w:val="24"/>
          <w:highlight w:val="none"/>
        </w:rPr>
        <w:t>具备履行合同所必需的设备和专业技术能力的证明材料，即响应文件中提供《具备履行合同所必需的设备和专业技术能力的书面声明》（附证明材料，加盖电子签章，格式见《磋商文件》附件）；</w:t>
      </w:r>
    </w:p>
    <w:p w14:paraId="12790ED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b w:val="0"/>
          <w:bCs/>
          <w:color w:val="auto"/>
          <w:highlight w:val="none"/>
        </w:rPr>
      </w:pPr>
      <w:r>
        <w:rPr>
          <w:rFonts w:ascii="宋体" w:hAnsi="宋体" w:eastAsia="宋体" w:cs="宋体"/>
          <w:b w:val="0"/>
          <w:bCs/>
          <w:color w:val="auto"/>
          <w:sz w:val="24"/>
          <w:highlight w:val="none"/>
        </w:rPr>
        <w:t>3</w:t>
      </w:r>
      <w:r>
        <w:rPr>
          <w:rFonts w:hint="eastAsia" w:ascii="宋体" w:hAnsi="宋体" w:cs="宋体"/>
          <w:b w:val="0"/>
          <w:bCs/>
          <w:color w:val="auto"/>
          <w:sz w:val="24"/>
          <w:highlight w:val="none"/>
          <w:lang w:val="en-US" w:eastAsia="zh-CN"/>
        </w:rPr>
        <w:t>.</w:t>
      </w:r>
      <w:r>
        <w:rPr>
          <w:rFonts w:ascii="宋体" w:hAnsi="宋体" w:eastAsia="宋体" w:cs="宋体"/>
          <w:b w:val="0"/>
          <w:bCs/>
          <w:color w:val="auto"/>
          <w:sz w:val="24"/>
          <w:highlight w:val="none"/>
        </w:rPr>
        <w:t>具有良好的商业信誉和健全的财务会计制度，财务状况报告至少提供：</w:t>
      </w:r>
    </w:p>
    <w:p w14:paraId="513B798A">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b w:val="0"/>
          <w:bCs/>
          <w:color w:val="auto"/>
          <w:highlight w:val="none"/>
        </w:rPr>
      </w:pPr>
      <w:r>
        <w:rPr>
          <w:rFonts w:ascii="宋体" w:hAnsi="宋体" w:eastAsia="宋体" w:cs="宋体"/>
          <w:b w:val="0"/>
          <w:bCs/>
          <w:color w:val="auto"/>
          <w:sz w:val="24"/>
          <w:highlight w:val="none"/>
        </w:rPr>
        <w:t>供应商的提交首次响应文件时间前六个月内任何日期的资产负债表和利润表月报表；或供应商基本开户银行出具的有效的资信证明；或财政部门认可的政府采购专业担保机构出具的有效的担保函；或合法有效的经第三方机构审计的202</w:t>
      </w:r>
      <w:r>
        <w:rPr>
          <w:rFonts w:hint="eastAsia" w:ascii="宋体" w:hAnsi="宋体" w:cs="宋体"/>
          <w:b w:val="0"/>
          <w:bCs/>
          <w:color w:val="auto"/>
          <w:sz w:val="24"/>
          <w:highlight w:val="none"/>
          <w:lang w:val="en-US" w:eastAsia="zh-CN"/>
        </w:rPr>
        <w:t>5</w:t>
      </w:r>
      <w:r>
        <w:rPr>
          <w:rFonts w:ascii="宋体" w:hAnsi="宋体" w:eastAsia="宋体" w:cs="宋体"/>
          <w:b w:val="0"/>
          <w:bCs/>
          <w:color w:val="auto"/>
          <w:sz w:val="24"/>
          <w:highlight w:val="none"/>
        </w:rPr>
        <w:t>年度财务审计报告（应包括审计报告正文、资产负债表、现金流量表、利润表）；</w:t>
      </w:r>
    </w:p>
    <w:p w14:paraId="647671EB">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b w:val="0"/>
          <w:bCs/>
          <w:color w:val="auto"/>
          <w:highlight w:val="none"/>
        </w:rPr>
      </w:pPr>
      <w:r>
        <w:rPr>
          <w:rFonts w:ascii="宋体" w:hAnsi="宋体" w:eastAsia="宋体" w:cs="宋体"/>
          <w:b w:val="0"/>
          <w:bCs/>
          <w:color w:val="auto"/>
          <w:sz w:val="24"/>
          <w:highlight w:val="none"/>
        </w:rPr>
        <w:t>4</w:t>
      </w:r>
      <w:r>
        <w:rPr>
          <w:rFonts w:hint="eastAsia" w:ascii="宋体" w:hAnsi="宋体" w:cs="宋体"/>
          <w:b w:val="0"/>
          <w:bCs/>
          <w:color w:val="auto"/>
          <w:sz w:val="24"/>
          <w:highlight w:val="none"/>
          <w:lang w:val="en-US" w:eastAsia="zh-CN"/>
        </w:rPr>
        <w:t>.</w:t>
      </w:r>
      <w:r>
        <w:rPr>
          <w:rFonts w:ascii="宋体" w:hAnsi="宋体" w:eastAsia="宋体" w:cs="宋体"/>
          <w:b w:val="0"/>
          <w:bCs/>
          <w:color w:val="auto"/>
          <w:sz w:val="24"/>
          <w:highlight w:val="none"/>
        </w:rPr>
        <w:t>有依法缴纳税收和社会保障资金的良好记录，至少提供：</w:t>
      </w:r>
    </w:p>
    <w:p w14:paraId="7B0B2315">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b w:val="0"/>
          <w:bCs/>
          <w:color w:val="auto"/>
          <w:highlight w:val="none"/>
        </w:rPr>
      </w:pPr>
      <w:r>
        <w:rPr>
          <w:rFonts w:ascii="宋体" w:hAnsi="宋体" w:eastAsia="宋体" w:cs="宋体"/>
          <w:b w:val="0"/>
          <w:bCs/>
          <w:color w:val="auto"/>
          <w:sz w:val="24"/>
          <w:highlight w:val="none"/>
        </w:rPr>
        <w:t>供应商的提交首次响应文件时间前六个月内任何一月的依法缴纳税收和社会保障资金的相关材料扫描件；依法免税或不需要缴纳社会保障资金的供应商应提供相应其依法免税或不需要缴纳社会保障资金的证明文件扫描件；</w:t>
      </w:r>
    </w:p>
    <w:p w14:paraId="35FED0B7">
      <w:pPr>
        <w:keepNext w:val="0"/>
        <w:keepLines w:val="0"/>
        <w:pageBreakBefore w:val="0"/>
        <w:numPr>
          <w:ilvl w:val="0"/>
          <w:numId w:val="3"/>
        </w:numPr>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rFonts w:hint="eastAsia" w:ascii="宋体" w:hAnsi="宋体" w:eastAsia="宋体" w:cs="宋体"/>
          <w:b w:val="0"/>
          <w:bCs/>
          <w:color w:val="auto"/>
          <w:sz w:val="24"/>
          <w:highlight w:val="none"/>
          <w:lang w:eastAsia="zh-CN"/>
        </w:rPr>
      </w:pPr>
      <w:r>
        <w:rPr>
          <w:rFonts w:ascii="宋体" w:hAnsi="宋体" w:eastAsia="宋体" w:cs="宋体"/>
          <w:b w:val="0"/>
          <w:bCs/>
          <w:color w:val="auto"/>
          <w:sz w:val="24"/>
          <w:highlight w:val="none"/>
        </w:rPr>
        <w:t>供应商参加政府采购活动前3年内在经营活动中没有重大违法记录的书面声明(</w:t>
      </w:r>
      <w:r>
        <w:rPr>
          <w:rFonts w:hint="eastAsia" w:ascii="宋体" w:hAnsi="宋体" w:eastAsia="宋体" w:cs="宋体"/>
          <w:b w:val="0"/>
          <w:bCs/>
          <w:color w:val="auto"/>
          <w:sz w:val="24"/>
          <w:highlight w:val="none"/>
        </w:rPr>
        <w:t>加盖电子签章，</w:t>
      </w:r>
      <w:r>
        <w:rPr>
          <w:rFonts w:ascii="宋体" w:hAnsi="宋体" w:eastAsia="宋体" w:cs="宋体"/>
          <w:b w:val="0"/>
          <w:bCs/>
          <w:color w:val="auto"/>
          <w:sz w:val="24"/>
          <w:highlight w:val="none"/>
        </w:rPr>
        <w:t>格式见《磋商文件》附件)</w:t>
      </w:r>
      <w:r>
        <w:rPr>
          <w:rFonts w:hint="eastAsia" w:ascii="宋体" w:hAnsi="宋体" w:eastAsia="宋体" w:cs="宋体"/>
          <w:b w:val="0"/>
          <w:bCs/>
          <w:color w:val="auto"/>
          <w:sz w:val="24"/>
          <w:highlight w:val="none"/>
          <w:lang w:eastAsia="zh-CN"/>
        </w:rPr>
        <w:t>。</w:t>
      </w:r>
    </w:p>
    <w:p w14:paraId="58993E5B">
      <w:pPr>
        <w:keepNext w:val="0"/>
        <w:keepLines w:val="0"/>
        <w:pageBreakBefore w:val="0"/>
        <w:numPr>
          <w:ilvl w:val="0"/>
          <w:numId w:val="3"/>
        </w:numPr>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供应商具备合法有效的</w:t>
      </w:r>
      <w:r>
        <w:rPr>
          <w:rFonts w:hint="eastAsia" w:ascii="宋体" w:hAnsi="宋体" w:eastAsia="宋体" w:cs="宋体"/>
          <w:b w:val="0"/>
          <w:bCs/>
          <w:color w:val="auto"/>
          <w:sz w:val="24"/>
          <w:highlight w:val="none"/>
        </w:rPr>
        <w:t>《图书出版许可证》</w:t>
      </w:r>
      <w:r>
        <w:rPr>
          <w:rFonts w:hint="eastAsia" w:ascii="宋体" w:hAnsi="宋体" w:eastAsia="宋体" w:cs="宋体"/>
          <w:b w:val="0"/>
          <w:bCs/>
          <w:color w:val="auto"/>
          <w:sz w:val="24"/>
          <w:highlight w:val="none"/>
          <w:lang w:eastAsia="zh-CN"/>
        </w:rPr>
        <w:t>，</w:t>
      </w:r>
      <w:r>
        <w:rPr>
          <w:rFonts w:hint="eastAsia" w:ascii="宋体" w:hAnsi="宋体" w:eastAsia="宋体" w:cs="宋体"/>
          <w:b w:val="0"/>
          <w:bCs/>
          <w:color w:val="auto"/>
          <w:sz w:val="24"/>
          <w:highlight w:val="none"/>
          <w:lang w:val="en-US" w:eastAsia="zh-CN"/>
        </w:rPr>
        <w:t>提供证书扫描件。</w:t>
      </w:r>
    </w:p>
    <w:p w14:paraId="522F8BF9">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2" w:firstLineChars="200"/>
        <w:jc w:val="left"/>
        <w:textAlignment w:val="auto"/>
        <w:outlineLvl w:val="9"/>
        <w:rPr>
          <w:color w:val="auto"/>
          <w:highlight w:val="none"/>
        </w:rPr>
      </w:pPr>
      <w:r>
        <w:rPr>
          <w:rFonts w:ascii="宋体" w:hAnsi="宋体" w:eastAsia="宋体" w:cs="宋体"/>
          <w:b/>
          <w:color w:val="auto"/>
          <w:sz w:val="24"/>
          <w:highlight w:val="none"/>
        </w:rPr>
        <w:t>（三）符合条件（必须提供，否则响应无效）</w:t>
      </w:r>
    </w:p>
    <w:p w14:paraId="3ECAF7F1">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rFonts w:ascii="宋体" w:hAnsi="宋体" w:eastAsia="宋体" w:cs="宋体"/>
          <w:b w:val="0"/>
          <w:bCs/>
          <w:color w:val="auto"/>
          <w:sz w:val="24"/>
          <w:highlight w:val="none"/>
        </w:rPr>
      </w:pPr>
      <w:r>
        <w:rPr>
          <w:rFonts w:ascii="宋体" w:hAnsi="宋体" w:eastAsia="宋体" w:cs="宋体"/>
          <w:b w:val="0"/>
          <w:bCs/>
          <w:color w:val="auto"/>
          <w:sz w:val="24"/>
          <w:highlight w:val="none"/>
        </w:rPr>
        <w:t>1</w:t>
      </w:r>
      <w:bookmarkStart w:id="1" w:name="OLE_LINK3"/>
      <w:r>
        <w:rPr>
          <w:rFonts w:hint="eastAsia" w:ascii="宋体" w:hAnsi="宋体" w:eastAsia="宋体" w:cs="宋体"/>
          <w:b w:val="0"/>
          <w:bCs/>
          <w:color w:val="auto"/>
          <w:sz w:val="24"/>
          <w:highlight w:val="none"/>
          <w:lang w:val="en-US" w:eastAsia="zh-CN"/>
        </w:rPr>
        <w:t>.</w:t>
      </w:r>
      <w:r>
        <w:rPr>
          <w:rFonts w:ascii="宋体" w:hAnsi="宋体" w:eastAsia="宋体" w:cs="宋体"/>
          <w:b w:val="0"/>
          <w:bCs/>
          <w:color w:val="auto"/>
          <w:sz w:val="24"/>
          <w:highlight w:val="none"/>
        </w:rPr>
        <w:t>《承诺书》（加盖电子签章，格式见《磋商文件》附件）</w:t>
      </w:r>
      <w:bookmarkEnd w:id="1"/>
      <w:r>
        <w:rPr>
          <w:rFonts w:ascii="宋体" w:hAnsi="宋体" w:eastAsia="宋体" w:cs="宋体"/>
          <w:b w:val="0"/>
          <w:bCs/>
          <w:color w:val="auto"/>
          <w:sz w:val="24"/>
          <w:highlight w:val="none"/>
        </w:rPr>
        <w:t>；</w:t>
      </w:r>
    </w:p>
    <w:p w14:paraId="48130B4D">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rFonts w:ascii="宋体" w:hAnsi="宋体" w:eastAsia="宋体" w:cs="宋体"/>
          <w:b w:val="0"/>
          <w:bCs/>
          <w:color w:val="auto"/>
          <w:sz w:val="24"/>
          <w:highlight w:val="none"/>
        </w:rPr>
      </w:pPr>
      <w:r>
        <w:rPr>
          <w:rFonts w:ascii="宋体" w:hAnsi="宋体" w:eastAsia="宋体" w:cs="宋体"/>
          <w:b w:val="0"/>
          <w:bCs/>
          <w:color w:val="auto"/>
          <w:sz w:val="24"/>
          <w:highlight w:val="none"/>
        </w:rPr>
        <w:t>2</w:t>
      </w:r>
      <w:bookmarkStart w:id="2" w:name="OLE_LINK4"/>
      <w:r>
        <w:rPr>
          <w:rFonts w:hint="eastAsia" w:ascii="宋体" w:hAnsi="宋体" w:eastAsia="宋体" w:cs="宋体"/>
          <w:b w:val="0"/>
          <w:bCs/>
          <w:color w:val="auto"/>
          <w:sz w:val="24"/>
          <w:highlight w:val="none"/>
          <w:lang w:val="en-US" w:eastAsia="zh-CN"/>
        </w:rPr>
        <w:t>.</w:t>
      </w:r>
      <w:r>
        <w:rPr>
          <w:rFonts w:ascii="宋体" w:hAnsi="宋体" w:eastAsia="宋体" w:cs="宋体"/>
          <w:b w:val="0"/>
          <w:bCs/>
          <w:color w:val="auto"/>
          <w:sz w:val="24"/>
          <w:highlight w:val="none"/>
        </w:rPr>
        <w:t>《分项价格表》加盖电子签章，格式见《磋商文件》附件）</w:t>
      </w:r>
      <w:bookmarkEnd w:id="2"/>
      <w:r>
        <w:rPr>
          <w:rFonts w:ascii="宋体" w:hAnsi="宋体" w:eastAsia="宋体" w:cs="宋体"/>
          <w:b w:val="0"/>
          <w:bCs/>
          <w:color w:val="auto"/>
          <w:sz w:val="24"/>
          <w:highlight w:val="none"/>
        </w:rPr>
        <w:t>；</w:t>
      </w:r>
    </w:p>
    <w:p w14:paraId="39BAF041">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rFonts w:hint="eastAsia" w:ascii="宋体" w:hAnsi="宋体" w:eastAsia="宋体" w:cs="宋体"/>
          <w:b w:val="0"/>
          <w:bCs/>
          <w:color w:val="auto"/>
          <w:sz w:val="24"/>
          <w:highlight w:val="none"/>
          <w:lang w:eastAsia="zh-CN"/>
        </w:rPr>
      </w:pPr>
      <w:r>
        <w:rPr>
          <w:rFonts w:ascii="宋体" w:hAnsi="宋体" w:eastAsia="宋体" w:cs="宋体"/>
          <w:b w:val="0"/>
          <w:bCs/>
          <w:color w:val="auto"/>
          <w:sz w:val="24"/>
          <w:highlight w:val="none"/>
        </w:rPr>
        <w:t>3</w:t>
      </w:r>
      <w:bookmarkStart w:id="3" w:name="OLE_LINK5"/>
      <w:r>
        <w:rPr>
          <w:rFonts w:hint="eastAsia" w:ascii="宋体" w:hAnsi="宋体" w:eastAsia="宋体" w:cs="宋体"/>
          <w:b w:val="0"/>
          <w:bCs/>
          <w:color w:val="auto"/>
          <w:sz w:val="24"/>
          <w:highlight w:val="none"/>
          <w:lang w:val="en-US" w:eastAsia="zh-CN"/>
        </w:rPr>
        <w:t>.</w:t>
      </w:r>
      <w:r>
        <w:rPr>
          <w:rFonts w:ascii="宋体" w:hAnsi="宋体" w:eastAsia="宋体" w:cs="宋体"/>
          <w:b w:val="0"/>
          <w:bCs/>
          <w:color w:val="auto"/>
          <w:sz w:val="24"/>
          <w:highlight w:val="none"/>
        </w:rPr>
        <w:t>《偏离表》（加盖电子签章，格式见《磋商文件》附件）</w:t>
      </w:r>
      <w:bookmarkEnd w:id="3"/>
      <w:r>
        <w:rPr>
          <w:rFonts w:hint="eastAsia" w:ascii="宋体" w:hAnsi="宋体" w:eastAsia="宋体" w:cs="宋体"/>
          <w:b w:val="0"/>
          <w:bCs/>
          <w:color w:val="auto"/>
          <w:sz w:val="24"/>
          <w:highlight w:val="none"/>
          <w:lang w:eastAsia="zh-CN"/>
        </w:rPr>
        <w:t>。</w:t>
      </w:r>
    </w:p>
    <w:p w14:paraId="03E4F235">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2" w:firstLineChars="200"/>
        <w:jc w:val="left"/>
        <w:textAlignment w:val="auto"/>
        <w:outlineLvl w:val="9"/>
        <w:rPr>
          <w:rFonts w:ascii="宋体" w:hAnsi="宋体" w:eastAsia="宋体" w:cs="宋体"/>
          <w:b/>
          <w:color w:val="auto"/>
          <w:sz w:val="24"/>
          <w:highlight w:val="none"/>
        </w:rPr>
      </w:pPr>
      <w:r>
        <w:rPr>
          <w:rFonts w:ascii="宋体" w:hAnsi="宋体" w:eastAsia="宋体" w:cs="宋体"/>
          <w:b/>
          <w:color w:val="auto"/>
          <w:sz w:val="24"/>
          <w:highlight w:val="none"/>
        </w:rPr>
        <w:t>（四）综合评审评分项</w:t>
      </w:r>
    </w:p>
    <w:p w14:paraId="7D621818">
      <w:pPr>
        <w:keepNext w:val="0"/>
        <w:keepLines w:val="0"/>
        <w:pageBreakBefore w:val="0"/>
        <w:widowControl/>
        <w:kinsoku/>
        <w:wordWrap/>
        <w:overflowPunct/>
        <w:topLinePunct w:val="0"/>
        <w:autoSpaceDE/>
        <w:autoSpaceDN/>
        <w:bidi w:val="0"/>
        <w:adjustRightInd/>
        <w:snapToGrid/>
        <w:spacing w:line="460" w:lineRule="exact"/>
        <w:ind w:right="0" w:firstLine="480" w:firstLineChars="200"/>
        <w:jc w:val="left"/>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1.项目整体实施方案（见要求《磋商文件》附件1.《评分细则》）；</w:t>
      </w:r>
    </w:p>
    <w:p w14:paraId="734F83D1">
      <w:pPr>
        <w:keepNext w:val="0"/>
        <w:keepLines w:val="0"/>
        <w:pageBreakBefore w:val="0"/>
        <w:widowControl/>
        <w:kinsoku/>
        <w:wordWrap/>
        <w:overflowPunct/>
        <w:topLinePunct w:val="0"/>
        <w:autoSpaceDE/>
        <w:autoSpaceDN/>
        <w:bidi w:val="0"/>
        <w:adjustRightInd/>
        <w:snapToGrid/>
        <w:spacing w:line="460" w:lineRule="exact"/>
        <w:ind w:right="0" w:firstLine="480" w:firstLineChars="200"/>
        <w:jc w:val="left"/>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2.考古文稿整编与三级编审、多轮校对方案（见要求《磋商文件》附件1.《评分细则》）；</w:t>
      </w:r>
    </w:p>
    <w:p w14:paraId="7CDF4E5B">
      <w:pPr>
        <w:keepNext w:val="0"/>
        <w:keepLines w:val="0"/>
        <w:pageBreakBefore w:val="0"/>
        <w:widowControl/>
        <w:kinsoku/>
        <w:wordWrap/>
        <w:overflowPunct/>
        <w:topLinePunct w:val="0"/>
        <w:autoSpaceDE/>
        <w:autoSpaceDN/>
        <w:bidi w:val="0"/>
        <w:adjustRightInd/>
        <w:snapToGrid/>
        <w:spacing w:line="460" w:lineRule="exact"/>
        <w:ind w:right="0" w:firstLine="480" w:firstLineChars="200"/>
        <w:jc w:val="left"/>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3.考古图文、线图、拓片专业处理方案（见要求《磋商文件》附件1.《评分细则》）；</w:t>
      </w:r>
    </w:p>
    <w:p w14:paraId="6D73DEDC">
      <w:pPr>
        <w:keepNext w:val="0"/>
        <w:keepLines w:val="0"/>
        <w:pageBreakBefore w:val="0"/>
        <w:widowControl/>
        <w:kinsoku/>
        <w:wordWrap/>
        <w:overflowPunct/>
        <w:topLinePunct w:val="0"/>
        <w:autoSpaceDE/>
        <w:autoSpaceDN/>
        <w:bidi w:val="0"/>
        <w:adjustRightInd/>
        <w:snapToGrid/>
        <w:spacing w:line="460" w:lineRule="exact"/>
        <w:ind w:right="0" w:firstLine="480" w:firstLineChars="200"/>
        <w:jc w:val="left"/>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4.装帧印刷工艺与质量控制方案（见要求《磋商文件》附件1.《评分细则》）；</w:t>
      </w:r>
    </w:p>
    <w:p w14:paraId="097E88B8">
      <w:pPr>
        <w:keepNext w:val="0"/>
        <w:keepLines w:val="0"/>
        <w:pageBreakBefore w:val="0"/>
        <w:widowControl/>
        <w:kinsoku/>
        <w:wordWrap/>
        <w:overflowPunct/>
        <w:topLinePunct w:val="0"/>
        <w:autoSpaceDE/>
        <w:autoSpaceDN/>
        <w:bidi w:val="0"/>
        <w:adjustRightInd/>
        <w:snapToGrid/>
        <w:spacing w:line="460" w:lineRule="exact"/>
        <w:ind w:right="0" w:firstLine="480" w:firstLineChars="200"/>
        <w:jc w:val="left"/>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5.项目团队配置与专业能力保障 （见要求《磋商文件》附件1.《评分细则》）；</w:t>
      </w:r>
    </w:p>
    <w:p w14:paraId="4BD545F6">
      <w:pPr>
        <w:keepNext w:val="0"/>
        <w:keepLines w:val="0"/>
        <w:pageBreakBefore w:val="0"/>
        <w:widowControl/>
        <w:kinsoku/>
        <w:wordWrap/>
        <w:overflowPunct/>
        <w:topLinePunct w:val="0"/>
        <w:autoSpaceDE/>
        <w:autoSpaceDN/>
        <w:bidi w:val="0"/>
        <w:adjustRightInd/>
        <w:snapToGrid/>
        <w:spacing w:line="460" w:lineRule="exact"/>
        <w:ind w:right="0" w:firstLine="480" w:firstLineChars="200"/>
        <w:jc w:val="left"/>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6.项目实施与履约保障方案（见要求《磋商文件》附件1.《评分细则》）；</w:t>
      </w:r>
    </w:p>
    <w:p w14:paraId="25729CC9">
      <w:pPr>
        <w:keepNext w:val="0"/>
        <w:keepLines w:val="0"/>
        <w:pageBreakBefore w:val="0"/>
        <w:widowControl/>
        <w:kinsoku/>
        <w:wordWrap/>
        <w:overflowPunct/>
        <w:topLinePunct w:val="0"/>
        <w:autoSpaceDE/>
        <w:autoSpaceDN/>
        <w:bidi w:val="0"/>
        <w:adjustRightInd/>
        <w:snapToGrid/>
        <w:spacing w:line="460" w:lineRule="exact"/>
        <w:ind w:right="0" w:firstLine="480" w:firstLineChars="200"/>
        <w:jc w:val="left"/>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7.保密、档案管理与售后服务方案（见要求《磋商文件》附件1.《评分细则》）；</w:t>
      </w:r>
    </w:p>
    <w:p w14:paraId="2C44D670">
      <w:pPr>
        <w:keepNext w:val="0"/>
        <w:keepLines w:val="0"/>
        <w:pageBreakBefore w:val="0"/>
        <w:widowControl/>
        <w:kinsoku/>
        <w:wordWrap/>
        <w:overflowPunct/>
        <w:topLinePunct w:val="0"/>
        <w:autoSpaceDE/>
        <w:autoSpaceDN/>
        <w:bidi w:val="0"/>
        <w:adjustRightInd/>
        <w:snapToGrid/>
        <w:spacing w:line="460" w:lineRule="exact"/>
        <w:ind w:right="0" w:firstLine="480" w:firstLineChars="200"/>
        <w:jc w:val="left"/>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8.绿色出版承诺及措施（见要求《磋商文件》附件1.《评分细则》）；</w:t>
      </w:r>
    </w:p>
    <w:p w14:paraId="02D45A2E">
      <w:pPr>
        <w:keepNext w:val="0"/>
        <w:keepLines w:val="0"/>
        <w:pageBreakBefore w:val="0"/>
        <w:widowControl/>
        <w:kinsoku/>
        <w:wordWrap/>
        <w:overflowPunct/>
        <w:topLinePunct w:val="0"/>
        <w:autoSpaceDE/>
        <w:autoSpaceDN/>
        <w:bidi w:val="0"/>
        <w:adjustRightInd/>
        <w:snapToGrid/>
        <w:spacing w:line="460" w:lineRule="exact"/>
        <w:ind w:right="0" w:firstLine="480" w:firstLineChars="200"/>
        <w:jc w:val="left"/>
        <w:textAlignment w:val="auto"/>
        <w:outlineLvl w:val="9"/>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9.供应商业绩</w:t>
      </w:r>
      <w:r>
        <w:rPr>
          <w:rFonts w:hint="eastAsia" w:ascii="宋体" w:hAnsi="宋体" w:eastAsia="宋体" w:cs="宋体"/>
          <w:color w:val="auto"/>
          <w:sz w:val="24"/>
          <w:highlight w:val="none"/>
        </w:rPr>
        <w:t>（见要求《磋商文件》附件1.《评分细则》）；</w:t>
      </w:r>
    </w:p>
    <w:p w14:paraId="4B142D16">
      <w:pPr>
        <w:keepNext w:val="0"/>
        <w:keepLines w:val="0"/>
        <w:pageBreakBefore w:val="0"/>
        <w:widowControl/>
        <w:kinsoku/>
        <w:wordWrap/>
        <w:overflowPunct/>
        <w:topLinePunct w:val="0"/>
        <w:autoSpaceDE/>
        <w:autoSpaceDN/>
        <w:bidi w:val="0"/>
        <w:adjustRightInd/>
        <w:snapToGrid/>
        <w:spacing w:line="460" w:lineRule="exact"/>
        <w:ind w:right="0" w:firstLine="480" w:firstLineChars="200"/>
        <w:jc w:val="left"/>
        <w:textAlignment w:val="auto"/>
        <w:outlineLvl w:val="9"/>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.评分细则中评分得分需提供的相关证明文件扫描件。</w:t>
      </w:r>
    </w:p>
    <w:p w14:paraId="255E60B9">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2" w:firstLineChars="200"/>
        <w:jc w:val="left"/>
        <w:textAlignment w:val="auto"/>
        <w:outlineLvl w:val="9"/>
        <w:rPr>
          <w:color w:val="auto"/>
          <w:highlight w:val="none"/>
        </w:rPr>
      </w:pPr>
      <w:r>
        <w:rPr>
          <w:rFonts w:ascii="宋体" w:hAnsi="宋体" w:eastAsia="宋体" w:cs="宋体"/>
          <w:b/>
          <w:color w:val="auto"/>
          <w:sz w:val="24"/>
          <w:highlight w:val="none"/>
        </w:rPr>
        <w:t>（五）价格折扣文件格式</w:t>
      </w:r>
    </w:p>
    <w:p w14:paraId="1890BE44">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rFonts w:hint="eastAsia" w:eastAsia="宋体"/>
          <w:b w:val="0"/>
          <w:bCs/>
          <w:color w:val="auto"/>
          <w:highlight w:val="none"/>
          <w:lang w:eastAsia="zh-CN"/>
        </w:rPr>
      </w:pPr>
      <w:r>
        <w:rPr>
          <w:rFonts w:ascii="宋体" w:hAnsi="宋体" w:eastAsia="宋体" w:cs="宋体"/>
          <w:b w:val="0"/>
          <w:bCs/>
          <w:color w:val="auto"/>
          <w:sz w:val="24"/>
          <w:highlight w:val="none"/>
        </w:rPr>
        <w:t>1</w:t>
      </w:r>
      <w:r>
        <w:rPr>
          <w:rFonts w:hint="eastAsia" w:ascii="宋体" w:hAnsi="宋体" w:cs="宋体"/>
          <w:b w:val="0"/>
          <w:bCs/>
          <w:color w:val="auto"/>
          <w:sz w:val="24"/>
          <w:highlight w:val="none"/>
          <w:lang w:val="en-US" w:eastAsia="zh-CN"/>
        </w:rPr>
        <w:t>.</w:t>
      </w:r>
      <w:r>
        <w:rPr>
          <w:rFonts w:ascii="宋体" w:hAnsi="宋体" w:eastAsia="宋体" w:cs="宋体"/>
          <w:b w:val="0"/>
          <w:bCs/>
          <w:color w:val="auto"/>
          <w:sz w:val="24"/>
          <w:highlight w:val="none"/>
        </w:rPr>
        <w:t>企业报价折扣证明：供应商为中小企业（含中型、小型、微型企业，下同）的，提供《中小企业声明函》（电子签章，须填写完整，否则无效。格式见《磋商文件》附件）。《中小企业声明函》查询渠道参考工业和信息化部发布的中小企业规模自测小程序</w:t>
      </w:r>
      <w:r>
        <w:rPr>
          <w:rFonts w:hint="eastAsia" w:ascii="宋体" w:hAnsi="宋体" w:cs="宋体"/>
          <w:b w:val="0"/>
          <w:bCs/>
          <w:color w:val="auto"/>
          <w:sz w:val="24"/>
          <w:highlight w:val="none"/>
          <w:lang w:eastAsia="zh-CN"/>
        </w:rPr>
        <w:t>。</w:t>
      </w:r>
    </w:p>
    <w:p w14:paraId="141EA62C">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color w:val="auto"/>
          <w:highlight w:val="none"/>
        </w:rPr>
      </w:pPr>
      <w:r>
        <w:rPr>
          <w:rFonts w:ascii="宋体" w:hAnsi="宋体" w:eastAsia="宋体" w:cs="宋体"/>
          <w:color w:val="auto"/>
          <w:sz w:val="24"/>
          <w:highlight w:val="none"/>
        </w:rPr>
        <w:t>注：中小微企业，应当同时符合以下条件：</w:t>
      </w:r>
    </w:p>
    <w:p w14:paraId="02DB1E7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color w:val="auto"/>
          <w:highlight w:val="none"/>
        </w:rPr>
      </w:pPr>
      <w:r>
        <w:rPr>
          <w:rFonts w:ascii="宋体" w:hAnsi="宋体" w:eastAsia="宋体" w:cs="宋体"/>
          <w:color w:val="auto"/>
          <w:sz w:val="24"/>
          <w:highlight w:val="none"/>
        </w:rPr>
        <w:t>具体以《政府采购促进中小企业发展管理办法》（财库[2020]46号）和《关于印发中小企业划型标准规定的通知》（工信部联企业[2011]300号）的规定为准。</w:t>
      </w:r>
    </w:p>
    <w:p w14:paraId="64F534D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color w:val="auto"/>
          <w:highlight w:val="none"/>
        </w:rPr>
      </w:pPr>
      <w:r>
        <w:rPr>
          <w:rFonts w:ascii="宋体" w:hAnsi="宋体" w:eastAsia="宋体" w:cs="宋体"/>
          <w:color w:val="auto"/>
          <w:sz w:val="24"/>
          <w:highlight w:val="none"/>
        </w:rPr>
        <w:t>注：监护企业和残疾人福利性单位等同于小微企业。</w:t>
      </w:r>
    </w:p>
    <w:p w14:paraId="070606B1">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color w:val="auto"/>
          <w:highlight w:val="none"/>
        </w:rPr>
      </w:pPr>
      <w:r>
        <w:rPr>
          <w:rFonts w:ascii="宋体" w:hAnsi="宋体" w:eastAsia="宋体" w:cs="宋体"/>
          <w:color w:val="auto"/>
          <w:sz w:val="24"/>
          <w:highlight w:val="none"/>
        </w:rPr>
        <w:t>供应商为监狱企业的，提供省级以上监狱管理局、戒毒管理局（含新疆生产建设兵团）出具的属于监狱企业的证明文件原件的扫描件。</w:t>
      </w:r>
    </w:p>
    <w:p w14:paraId="01492D80">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color w:val="auto"/>
          <w:highlight w:val="none"/>
        </w:rPr>
      </w:pPr>
      <w:r>
        <w:rPr>
          <w:rFonts w:ascii="宋体" w:hAnsi="宋体" w:eastAsia="宋体" w:cs="宋体"/>
          <w:color w:val="auto"/>
          <w:sz w:val="24"/>
          <w:highlight w:val="none"/>
        </w:rPr>
        <w:t>具体以《财政部 司法部关于政府采购支持监狱企业发展有关问题的通知》（财库〔2014〕68号）的规定为准。</w:t>
      </w:r>
    </w:p>
    <w:p w14:paraId="68CE32A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color w:val="auto"/>
          <w:highlight w:val="none"/>
        </w:rPr>
      </w:pPr>
      <w:r>
        <w:rPr>
          <w:rFonts w:ascii="宋体" w:hAnsi="宋体" w:eastAsia="宋体" w:cs="宋体"/>
          <w:color w:val="auto"/>
          <w:sz w:val="24"/>
          <w:highlight w:val="none"/>
        </w:rPr>
        <w:t>供应商为享受政府采购支持政策的残疾人福利性单位的，提供《残疾人福利性单位声明函》（加盖电子签章，格式见《磋商文件》附件）。</w:t>
      </w:r>
    </w:p>
    <w:p w14:paraId="59AE7A5C">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color w:val="auto"/>
          <w:highlight w:val="none"/>
        </w:rPr>
      </w:pPr>
      <w:r>
        <w:rPr>
          <w:rFonts w:ascii="宋体" w:hAnsi="宋体" w:eastAsia="宋体" w:cs="宋体"/>
          <w:color w:val="auto"/>
          <w:sz w:val="24"/>
          <w:highlight w:val="none"/>
        </w:rPr>
        <w:t>享受政府采购支持政策的残疾人福利性单位应当同时满足以下条件：</w:t>
      </w:r>
    </w:p>
    <w:p w14:paraId="493571EB">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color w:val="auto"/>
          <w:highlight w:val="none"/>
        </w:rPr>
      </w:pPr>
      <w:r>
        <w:rPr>
          <w:rFonts w:ascii="宋体" w:hAnsi="宋体" w:eastAsia="宋体" w:cs="宋体"/>
          <w:color w:val="auto"/>
          <w:sz w:val="24"/>
          <w:highlight w:val="none"/>
        </w:rPr>
        <w:t>①安置的残疾人占本单位在职职工人数的比例不低于25%（含25%），并且安置的残疾人人数不少于10人（含10人）；</w:t>
      </w:r>
    </w:p>
    <w:p w14:paraId="2980AA5F">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color w:val="auto"/>
          <w:highlight w:val="none"/>
        </w:rPr>
      </w:pPr>
      <w:r>
        <w:rPr>
          <w:rFonts w:ascii="宋体" w:hAnsi="宋体" w:eastAsia="宋体" w:cs="宋体"/>
          <w:color w:val="auto"/>
          <w:sz w:val="24"/>
          <w:highlight w:val="none"/>
        </w:rPr>
        <w:t>②依法与安置的每位残疾人签订了一年以上（含一年）的劳动合同或服务协议；</w:t>
      </w:r>
    </w:p>
    <w:p w14:paraId="4B49E634">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color w:val="auto"/>
          <w:highlight w:val="none"/>
        </w:rPr>
      </w:pPr>
      <w:r>
        <w:rPr>
          <w:rFonts w:ascii="宋体" w:hAnsi="宋体" w:eastAsia="宋体" w:cs="宋体"/>
          <w:color w:val="auto"/>
          <w:sz w:val="24"/>
          <w:highlight w:val="none"/>
        </w:rPr>
        <w:t>③为安置的每位残疾人按月足额缴纳了基本养老保险、基本医疗保险、失业保险、工伤保险和生育保险等社会保险费；</w:t>
      </w:r>
    </w:p>
    <w:p w14:paraId="67111E90">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color w:val="auto"/>
          <w:highlight w:val="none"/>
        </w:rPr>
      </w:pPr>
      <w:r>
        <w:rPr>
          <w:rFonts w:ascii="宋体" w:hAnsi="宋体" w:eastAsia="宋体" w:cs="宋体"/>
          <w:color w:val="auto"/>
          <w:sz w:val="24"/>
          <w:highlight w:val="none"/>
        </w:rPr>
        <w:t>④通过银行等金融机构向安置的每位残疾人，按月支付了不低于单位所在区县适用的经省级人民政府批准的月最低工资标准的工资；</w:t>
      </w:r>
    </w:p>
    <w:p w14:paraId="316222D0">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color w:val="auto"/>
          <w:highlight w:val="none"/>
        </w:rPr>
      </w:pPr>
      <w:r>
        <w:rPr>
          <w:rFonts w:ascii="宋体" w:hAnsi="宋体" w:eastAsia="宋体" w:cs="宋体"/>
          <w:color w:val="auto"/>
          <w:sz w:val="24"/>
          <w:highlight w:val="none"/>
        </w:rPr>
        <w:t>⑤提供本单位制造的货物、承担的工程或者服务（以下简称产品），或者提供其他残疾人福利性单位制造的货物（不包括使用非残疾人福利性单位注册商标的货物）。</w:t>
      </w:r>
    </w:p>
    <w:p w14:paraId="390F60C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color w:val="auto"/>
          <w:highlight w:val="none"/>
        </w:rPr>
      </w:pPr>
      <w:r>
        <w:rPr>
          <w:rFonts w:ascii="宋体" w:hAnsi="宋体" w:eastAsia="宋体" w:cs="宋体"/>
          <w:color w:val="auto"/>
          <w:sz w:val="24"/>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7FA0AF8C">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color w:val="auto"/>
          <w:highlight w:val="none"/>
        </w:rPr>
      </w:pPr>
      <w:r>
        <w:rPr>
          <w:rFonts w:ascii="宋体" w:hAnsi="宋体" w:eastAsia="宋体" w:cs="宋体"/>
          <w:color w:val="auto"/>
          <w:sz w:val="24"/>
          <w:highlight w:val="none"/>
        </w:rPr>
        <w:t>具体以《三部门联合发布关于促进残疾人就业政府采购政策的通知》（财库〔2017〕141号）规定为准。</w:t>
      </w:r>
    </w:p>
    <w:p w14:paraId="73365831">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2" w:firstLineChars="200"/>
        <w:jc w:val="left"/>
        <w:textAlignment w:val="auto"/>
        <w:outlineLvl w:val="9"/>
        <w:rPr>
          <w:color w:val="auto"/>
          <w:highlight w:val="none"/>
        </w:rPr>
      </w:pPr>
      <w:r>
        <w:rPr>
          <w:rFonts w:ascii="宋体" w:hAnsi="宋体" w:eastAsia="宋体" w:cs="宋体"/>
          <w:b/>
          <w:color w:val="auto"/>
          <w:sz w:val="24"/>
          <w:highlight w:val="none"/>
        </w:rPr>
        <w:t>（六）提交的首次响应文件的加密、签署、盖章要求：</w:t>
      </w:r>
    </w:p>
    <w:p w14:paraId="1038E5A7">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color w:val="auto"/>
          <w:highlight w:val="none"/>
        </w:rPr>
      </w:pPr>
      <w:r>
        <w:rPr>
          <w:rFonts w:ascii="宋体" w:hAnsi="宋体" w:eastAsia="宋体" w:cs="宋体"/>
          <w:color w:val="auto"/>
          <w:sz w:val="24"/>
          <w:highlight w:val="none"/>
        </w:rPr>
        <w:t>1</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加密要求：</w:t>
      </w:r>
    </w:p>
    <w:p w14:paraId="0E3A7AC4">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rFonts w:ascii="宋体" w:hAnsi="宋体" w:eastAsia="宋体" w:cs="宋体"/>
          <w:color w:val="auto"/>
          <w:sz w:val="24"/>
          <w:highlight w:val="none"/>
        </w:rPr>
      </w:pPr>
      <w:r>
        <w:rPr>
          <w:rFonts w:ascii="宋体" w:hAnsi="宋体" w:eastAsia="宋体" w:cs="宋体"/>
          <w:color w:val="auto"/>
          <w:sz w:val="24"/>
          <w:highlight w:val="none"/>
        </w:rPr>
        <w:t>供应商应当按照《磋商文件》和“苏采云”系统的要求编制并加密响应文件。本项目供应商须通过“苏采云”系统提供的政府采购客户端工具（使用“CA数字证书”）对其数据电文形式的响应文件加密。</w:t>
      </w:r>
    </w:p>
    <w:p w14:paraId="56FBDBE7">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2.</w:t>
      </w:r>
      <w:r>
        <w:rPr>
          <w:rFonts w:ascii="宋体" w:hAnsi="宋体" w:eastAsia="宋体" w:cs="宋体"/>
          <w:color w:val="auto"/>
          <w:sz w:val="24"/>
          <w:highlight w:val="none"/>
        </w:rPr>
        <w:t>盖章要求：见《磋商文件》第九章附件中相关格式要求。供应商须通过“苏采云”系统提供的政府采购客户端工具（使用“CA数字证书”）加盖电子签章</w:t>
      </w:r>
      <w:r>
        <w:rPr>
          <w:rFonts w:hint="eastAsia" w:ascii="宋体" w:hAnsi="宋体" w:eastAsia="宋体" w:cs="宋体"/>
          <w:color w:val="auto"/>
          <w:sz w:val="24"/>
          <w:highlight w:val="none"/>
          <w:lang w:eastAsia="zh-CN"/>
        </w:rPr>
        <w:t>。</w:t>
      </w:r>
    </w:p>
    <w:p w14:paraId="3587BB54">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2" w:firstLineChars="200"/>
        <w:jc w:val="left"/>
        <w:textAlignment w:val="auto"/>
        <w:outlineLvl w:val="9"/>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lang w:val="en-US" w:eastAsia="zh-CN"/>
        </w:rPr>
        <w:t>3</w:t>
      </w:r>
      <w:r>
        <w:rPr>
          <w:rFonts w:hint="eastAsia" w:ascii="宋体" w:hAnsi="宋体" w:cs="宋体"/>
          <w:b/>
          <w:bCs/>
          <w:color w:val="auto"/>
          <w:sz w:val="24"/>
          <w:highlight w:val="none"/>
          <w:lang w:val="en-US" w:eastAsia="zh-CN"/>
        </w:rPr>
        <w:t>.</w:t>
      </w:r>
      <w:r>
        <w:rPr>
          <w:rFonts w:hint="eastAsia" w:ascii="宋体" w:hAnsi="宋体" w:eastAsia="宋体" w:cs="宋体"/>
          <w:b/>
          <w:bCs/>
          <w:color w:val="auto"/>
          <w:sz w:val="24"/>
          <w:highlight w:val="none"/>
          <w:lang w:eastAsia="zh-CN"/>
        </w:rPr>
        <w:t>签署要求：见《磋商文件》第九章附件中相关格式要求。特别提醒：竞争性磋商文件中如需“授权代表签字或盖章”，供应商可打印成文档，签字或盖章后再扫描上传，最后再电子签章。</w:t>
      </w:r>
    </w:p>
    <w:p w14:paraId="65A62160">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color w:val="auto"/>
          <w:highlight w:val="none"/>
        </w:rPr>
      </w:pPr>
      <w:r>
        <w:rPr>
          <w:rFonts w:ascii="宋体" w:hAnsi="宋体" w:eastAsia="宋体" w:cs="宋体"/>
          <w:color w:val="auto"/>
          <w:sz w:val="24"/>
          <w:highlight w:val="none"/>
        </w:rPr>
        <w:t xml:space="preserve">（七）通过“苏采云”系统提交政府采购客户端工具导出加密的响应文件（后缀名为zip）。上传响应文件的大小不得超过苏采云系统设置的范围！ </w:t>
      </w:r>
    </w:p>
    <w:p w14:paraId="2DA4315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color w:val="auto"/>
          <w:highlight w:val="none"/>
        </w:rPr>
      </w:pPr>
      <w:r>
        <w:rPr>
          <w:rFonts w:ascii="宋体" w:hAnsi="宋体" w:eastAsia="宋体" w:cs="宋体"/>
          <w:color w:val="auto"/>
          <w:sz w:val="24"/>
          <w:highlight w:val="none"/>
        </w:rPr>
        <w:t>注：</w:t>
      </w:r>
    </w:p>
    <w:p w14:paraId="04D3E62F">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color w:val="auto"/>
          <w:highlight w:val="none"/>
        </w:rPr>
      </w:pPr>
      <w:r>
        <w:rPr>
          <w:rFonts w:ascii="宋体" w:hAnsi="宋体" w:eastAsia="宋体" w:cs="宋体"/>
          <w:color w:val="auto"/>
          <w:sz w:val="24"/>
          <w:highlight w:val="none"/>
        </w:rPr>
        <w:t>1</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供应商应当按照《磋商文件》的要求编制响应文件，并对其提交的响应文件的真实性、合法性承担法律责任。</w:t>
      </w:r>
    </w:p>
    <w:p w14:paraId="08C1DABB">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outlineLvl w:val="9"/>
        <w:rPr>
          <w:color w:val="auto"/>
          <w:highlight w:val="none"/>
        </w:rPr>
      </w:pPr>
      <w:r>
        <w:rPr>
          <w:rFonts w:ascii="宋体" w:hAnsi="宋体" w:eastAsia="宋体" w:cs="宋体"/>
          <w:color w:val="auto"/>
          <w:sz w:val="24"/>
          <w:highlight w:val="none"/>
        </w:rPr>
        <w:t>2</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采购人索取成交供应商的响应文件，须在双方签订政府采购合同后，由采购代理机构提供给采购人。</w:t>
      </w:r>
    </w:p>
    <w:p w14:paraId="4BEE2453">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560" w:firstLineChars="200"/>
        <w:jc w:val="left"/>
        <w:textAlignment w:val="auto"/>
        <w:outlineLvl w:val="9"/>
        <w:rPr>
          <w:color w:val="auto"/>
          <w:highlight w:val="none"/>
        </w:rPr>
      </w:pPr>
      <w:r>
        <w:rPr>
          <w:rFonts w:ascii="宋体" w:hAnsi="宋体" w:eastAsia="宋体" w:cs="宋体"/>
          <w:color w:val="auto"/>
          <w:sz w:val="28"/>
          <w:highlight w:val="none"/>
        </w:rPr>
        <w:t> </w:t>
      </w:r>
    </w:p>
    <w:p w14:paraId="099EEE5C">
      <w:pPr>
        <w:pBdr>
          <w:top w:val="none" w:color="000000" w:sz="0" w:space="0"/>
          <w:left w:val="none" w:color="000000" w:sz="0" w:space="0"/>
          <w:bottom w:val="none" w:color="000000" w:sz="0" w:space="0"/>
          <w:right w:val="none" w:color="000000" w:sz="0" w:space="0"/>
        </w:pBdr>
        <w:spacing w:before="0" w:after="0" w:line="400" w:lineRule="atLeast"/>
        <w:ind w:left="0" w:right="0" w:firstLine="0"/>
        <w:jc w:val="center"/>
        <w:rPr>
          <w:color w:val="auto"/>
          <w:highlight w:val="none"/>
        </w:rPr>
      </w:pPr>
      <w:r>
        <w:rPr>
          <w:rFonts w:ascii="宋体" w:hAnsi="宋体" w:eastAsia="宋体" w:cs="宋体"/>
          <w:b/>
          <w:bCs/>
          <w:color w:val="auto"/>
          <w:sz w:val="28"/>
          <w:highlight w:val="none"/>
        </w:rPr>
        <w:t>第四章 磋商相关说明</w:t>
      </w:r>
    </w:p>
    <w:p w14:paraId="7827626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rFonts w:ascii="宋体" w:hAnsi="宋体" w:eastAsia="宋体" w:cs="宋体"/>
          <w:color w:val="auto"/>
          <w:sz w:val="24"/>
          <w:highlight w:val="none"/>
        </w:rPr>
      </w:pPr>
      <w:r>
        <w:rPr>
          <w:rFonts w:ascii="宋体" w:hAnsi="宋体" w:eastAsia="宋体" w:cs="宋体"/>
          <w:color w:val="auto"/>
          <w:sz w:val="24"/>
          <w:highlight w:val="none"/>
        </w:rPr>
        <w:t>十四、磋商程序</w:t>
      </w:r>
    </w:p>
    <w:p w14:paraId="2A19E2D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2" w:firstLineChars="200"/>
        <w:jc w:val="left"/>
        <w:textAlignment w:val="auto"/>
        <w:rPr>
          <w:rFonts w:ascii="宋体" w:hAnsi="宋体" w:eastAsia="宋体" w:cs="宋体"/>
          <w:b/>
          <w:color w:val="auto"/>
          <w:sz w:val="24"/>
          <w:highlight w:val="none"/>
        </w:rPr>
      </w:pPr>
      <w:r>
        <w:rPr>
          <w:rFonts w:hint="eastAsia" w:ascii="宋体" w:hAnsi="宋体" w:eastAsia="宋体" w:cs="宋体"/>
          <w:b/>
          <w:color w:val="auto"/>
          <w:sz w:val="24"/>
          <w:highlight w:val="none"/>
        </w:rPr>
        <w:t>（一）磋商要求</w:t>
      </w:r>
    </w:p>
    <w:p w14:paraId="775EF63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1</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被邀请参与磋商的供应商需按本竞争性磋商文件要求的截止时间、方式（地点）提交首次响应文件，同时派代表（以下简称：磋商人员）通过“苏采云”系统在“开标大厅”等待磋商。</w:t>
      </w:r>
    </w:p>
    <w:p w14:paraId="71F29F0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2</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供应商可通过CA数字证书，在首次响应文件开启时间后，使用CA数字证书在规定时间内解密各自响应文件。</w:t>
      </w:r>
    </w:p>
    <w:p w14:paraId="7185CD9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3</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供应商授权的磋商人员需携带授权委托书原件及身份证原件按时参与磋商活动。</w:t>
      </w:r>
    </w:p>
    <w:p w14:paraId="5480B52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4</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磋商顺序按照电子标书解密先后时间进行，解密时间相同的，不分先后顺序。</w:t>
      </w:r>
    </w:p>
    <w:p w14:paraId="1AA57A3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2" w:firstLineChars="200"/>
        <w:jc w:val="left"/>
        <w:textAlignment w:val="auto"/>
        <w:rPr>
          <w:color w:val="auto"/>
          <w:highlight w:val="none"/>
        </w:rPr>
      </w:pPr>
      <w:r>
        <w:rPr>
          <w:rFonts w:ascii="宋体" w:hAnsi="宋体" w:eastAsia="宋体" w:cs="宋体"/>
          <w:b/>
          <w:color w:val="auto"/>
          <w:sz w:val="24"/>
          <w:highlight w:val="none"/>
        </w:rPr>
        <w:t>5</w:t>
      </w:r>
      <w:r>
        <w:rPr>
          <w:rFonts w:hint="eastAsia" w:ascii="宋体" w:hAnsi="宋体" w:cs="宋体"/>
          <w:b/>
          <w:color w:val="auto"/>
          <w:sz w:val="24"/>
          <w:highlight w:val="none"/>
          <w:lang w:val="en-US" w:eastAsia="zh-CN"/>
        </w:rPr>
        <w:t>.</w:t>
      </w:r>
      <w:r>
        <w:rPr>
          <w:rFonts w:ascii="宋体" w:hAnsi="宋体" w:eastAsia="宋体" w:cs="宋体"/>
          <w:b/>
          <w:color w:val="auto"/>
          <w:sz w:val="24"/>
          <w:highlight w:val="none"/>
        </w:rPr>
        <w:t>磋商方式：本次磋商采用“苏采云”系统中的视频会议，供应商自行选择任意地点参加远程磋商会议。请供应商在磋商前等候在开标大厅，随时接听磋商小组发出的磋商视频邀请。</w:t>
      </w:r>
    </w:p>
    <w:p w14:paraId="456E12C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6</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未在“苏采云”系统规定时间内进行答疑澄清的，视同放弃澄清。</w:t>
      </w:r>
    </w:p>
    <w:p w14:paraId="6FA856A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rPr>
          <w:rFonts w:ascii="宋体" w:hAnsi="宋体" w:eastAsia="宋体" w:cs="宋体"/>
          <w:color w:val="auto"/>
          <w:sz w:val="24"/>
          <w:highlight w:val="none"/>
        </w:rPr>
      </w:pPr>
      <w:r>
        <w:rPr>
          <w:rFonts w:ascii="宋体" w:hAnsi="宋体" w:eastAsia="宋体" w:cs="宋体"/>
          <w:color w:val="auto"/>
          <w:sz w:val="24"/>
          <w:highlight w:val="none"/>
        </w:rPr>
        <w:t>7</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未在“苏采云”系统规定时间内进行报价的，视为响应无效。</w:t>
      </w:r>
    </w:p>
    <w:p w14:paraId="1C9F18A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hint="eastAsia" w:ascii="宋体" w:hAnsi="宋体" w:eastAsia="宋体" w:cs="宋体"/>
          <w:color w:val="auto"/>
          <w:sz w:val="24"/>
          <w:highlight w:val="none"/>
        </w:rPr>
        <w:t>注：各供应商在未进行第二次报价前，请不要离开开标系统，随时接受评标委员会提出的二次报价，因供应商未能及时二次报价而引起的废标及损失，由供应商负责。</w:t>
      </w:r>
    </w:p>
    <w:p w14:paraId="11DD320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8</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被邀请参与磋商的供应商如未按上述磋商要求执行，视同放弃磋商的权利。</w:t>
      </w:r>
    </w:p>
    <w:p w14:paraId="00E7F1C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2" w:firstLineChars="200"/>
        <w:jc w:val="left"/>
        <w:textAlignment w:val="auto"/>
        <w:rPr>
          <w:color w:val="auto"/>
          <w:highlight w:val="none"/>
        </w:rPr>
      </w:pPr>
      <w:r>
        <w:rPr>
          <w:rFonts w:ascii="宋体" w:hAnsi="宋体" w:eastAsia="宋体" w:cs="宋体"/>
          <w:b/>
          <w:color w:val="auto"/>
          <w:sz w:val="24"/>
          <w:highlight w:val="none"/>
        </w:rPr>
        <w:t> (二) 查询及使用供应商信用记录</w:t>
      </w:r>
    </w:p>
    <w:p w14:paraId="4B0EFEB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1</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由采购人查询信用信息。</w:t>
      </w:r>
    </w:p>
    <w:p w14:paraId="4173745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2</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查询渠道包括：</w:t>
      </w:r>
    </w:p>
    <w:p w14:paraId="5ED3692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(1)“信用中国”网（www.creditchina.gov.cn）；</w:t>
      </w:r>
    </w:p>
    <w:p w14:paraId="299F7A5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(2)中国政府采购网（www.ccgp.gov.cn）；</w:t>
      </w:r>
    </w:p>
    <w:p w14:paraId="11F9251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(3)“信用江苏”网（http://credit.jiangsu.gov.cn/）；</w:t>
      </w:r>
    </w:p>
    <w:p w14:paraId="6AA23D8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(4)信用徐州”网（www.xuzhoucredit.gov.cn/）。</w:t>
      </w:r>
    </w:p>
    <w:p w14:paraId="7725B21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3</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截止时点（查询环节）：首次响应文件开启后资格审查结束前。</w:t>
      </w:r>
    </w:p>
    <w:p w14:paraId="57157DF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4</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信用信息查询记录和证据留存的具体方式：</w:t>
      </w:r>
    </w:p>
    <w:p w14:paraId="172A283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网页截屏打印，与其他采购文件一并保存。</w:t>
      </w:r>
    </w:p>
    <w:p w14:paraId="2762328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5</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信用信息的使用规则：</w:t>
      </w:r>
    </w:p>
    <w:p w14:paraId="76AC19F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采购人对供应商信用记录进行甄别，对列入失信被执行人、重大税收违法案件当事人名单、政府采购严重违法失信行为记录名单及其他不符合《中华人民共和国政府采购法》第二十二条规定条件的供应商，拒绝其参与政府采购活动。</w:t>
      </w:r>
    </w:p>
    <w:p w14:paraId="3705AA8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6</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信用评价结果查询：见《磋商文件》附件1.《评分细则》。</w:t>
      </w:r>
    </w:p>
    <w:p w14:paraId="4343CF7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2" w:firstLineChars="200"/>
        <w:jc w:val="left"/>
        <w:textAlignment w:val="auto"/>
        <w:rPr>
          <w:color w:val="auto"/>
          <w:highlight w:val="none"/>
        </w:rPr>
      </w:pPr>
      <w:r>
        <w:rPr>
          <w:rFonts w:ascii="宋体" w:hAnsi="宋体" w:eastAsia="宋体" w:cs="宋体"/>
          <w:b/>
          <w:color w:val="auto"/>
          <w:sz w:val="24"/>
          <w:highlight w:val="none"/>
        </w:rPr>
        <w:t>十五、评审程序</w:t>
      </w:r>
    </w:p>
    <w:p w14:paraId="7425E4A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经磋商确定最终采购需求和提交最后报价的供应商后，由磋商小组采用综合评分法对提交最后报价的供应商的响应文件和最后报价进行综合评分。</w:t>
      </w:r>
    </w:p>
    <w:p w14:paraId="6FF1DD8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磋商小组应当根据综合评分情况，按照评审得分由高到低顺序推荐成交候选供应商，并编写评审报告。评审得分相同的，按照最后报价由低到高的顺序推荐。评审得分且最后报价相同的，按照</w:t>
      </w:r>
      <w:r>
        <w:rPr>
          <w:rFonts w:hint="eastAsia" w:ascii="宋体" w:hAnsi="宋体" w:eastAsia="宋体" w:cs="宋体"/>
          <w:b/>
          <w:bCs/>
          <w:color w:val="auto"/>
          <w:sz w:val="24"/>
          <w:szCs w:val="24"/>
          <w:highlight w:val="none"/>
        </w:rPr>
        <w:t>项目整体实施方案</w:t>
      </w:r>
      <w:r>
        <w:rPr>
          <w:rFonts w:ascii="宋体" w:hAnsi="宋体" w:eastAsia="宋体" w:cs="宋体"/>
          <w:color w:val="auto"/>
          <w:sz w:val="24"/>
          <w:highlight w:val="none"/>
        </w:rPr>
        <w:t>（得分）顺序推荐1名成交供应商。</w:t>
      </w:r>
    </w:p>
    <w:p w14:paraId="6D7C0D0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磋商小组认为供应商的报价明显低于其他供应商的报价，有可能影响产品质量或者不能诚信履约的，应当要求其在评审现场合理的时间内提供书面说明，必要时提交相关证明材料；供应商不能证明其报价合理性的，磋商小组应当将其按响应无效处理。</w:t>
      </w:r>
    </w:p>
    <w:p w14:paraId="3BE9531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采用竞争性磋商采购方式采购的政府购买服务项目（含政府和社会资本合作项目），在采购过程中符合要求的供应商（社会资本）只有2家的，竞争性磋商采购活动可以继续进行。（这条规定的适用情形为竞争性磋商符合资格条件的供应商不少于3家，进入磋商过程中，符合采购人技术等方面要求的供应商为2家，磋商活动可以继续进行，由2家供应商提出最后报价。符合资格条件是指通过资格性审查。采购过程中符合要求的供应商（社会资本）只有1家的，采购人（项目实施机构）或者采购代理机构应当终止竞争性磋商采购活动，发布项目终止公告并说明原因，重新开展采购活动）。</w:t>
      </w:r>
    </w:p>
    <w:p w14:paraId="522E775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2" w:firstLineChars="200"/>
        <w:jc w:val="left"/>
        <w:textAlignment w:val="auto"/>
        <w:rPr>
          <w:rFonts w:ascii="宋体" w:hAnsi="宋体" w:eastAsia="宋体" w:cs="宋体"/>
          <w:b/>
          <w:bCs/>
          <w:color w:val="auto"/>
          <w:sz w:val="24"/>
          <w:highlight w:val="none"/>
        </w:rPr>
      </w:pPr>
      <w:r>
        <w:rPr>
          <w:rFonts w:ascii="宋体" w:hAnsi="宋体" w:eastAsia="宋体" w:cs="宋体"/>
          <w:b/>
          <w:bCs/>
          <w:color w:val="auto"/>
          <w:sz w:val="24"/>
          <w:highlight w:val="none"/>
        </w:rPr>
        <w:t>相关内容和要求见：《中华人民共和国政府采购法》、《中华人民共和国政府采购法实施条例》、《政府采购竞争性磋商采购方式管理暂行办法》及《财政部关于政府采购竞争性磋商采购方式管理暂行办法有关问题的补充通知》（财库〔2015〕124号）。</w:t>
      </w:r>
    </w:p>
    <w:p w14:paraId="7A236B5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评审（评标）委员会启动异常低价投标（响应）审查后，通过“苏采云”系统要求相关供应商在评审现场合理的时间内对投标（响应）价格作出解释，相关供应商通过“苏采云”系统（使用“CA数字证书”,加盖电子签章）提供项目具体成本测算等与报价合理性相关的书面说明及必要的证明材料，包括但不限于原材料成本、人工成本、制造费用等。具体以</w:t>
      </w:r>
      <w:r>
        <w:rPr>
          <w:rFonts w:hint="eastAsia" w:ascii="宋体" w:hAnsi="宋体" w:eastAsia="宋体" w:cs="宋体"/>
          <w:color w:val="auto"/>
          <w:sz w:val="24"/>
          <w:highlight w:val="none"/>
          <w:lang w:val="en-US" w:eastAsia="zh-CN"/>
        </w:rPr>
        <w:t>《关于推动解决政府采购异常低价问题的通知》（财库〔2026〕2号）规定为准。</w:t>
      </w:r>
    </w:p>
    <w:p w14:paraId="2C9E5F8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2" w:firstLineChars="200"/>
        <w:jc w:val="left"/>
        <w:textAlignment w:val="auto"/>
        <w:rPr>
          <w:rFonts w:ascii="宋体" w:hAnsi="宋体" w:eastAsia="宋体" w:cs="宋体"/>
          <w:b/>
          <w:bCs/>
          <w:color w:val="auto"/>
          <w:sz w:val="24"/>
          <w:highlight w:val="none"/>
        </w:rPr>
      </w:pPr>
      <w:r>
        <w:rPr>
          <w:rFonts w:hint="eastAsia" w:ascii="宋体" w:hAnsi="宋体" w:eastAsia="宋体" w:cs="宋体"/>
          <w:b/>
          <w:bCs/>
          <w:color w:val="auto"/>
          <w:sz w:val="24"/>
          <w:highlight w:val="none"/>
        </w:rPr>
        <w:t>特别说明：“苏采云”系统通过“江苏省政府采购一体化不见面开标大厅”提醒</w:t>
      </w:r>
      <w:r>
        <w:rPr>
          <w:rFonts w:hint="eastAsia" w:ascii="宋体" w:hAnsi="宋体" w:eastAsia="宋体" w:cs="宋体"/>
          <w:b/>
          <w:bCs/>
          <w:color w:val="auto"/>
          <w:sz w:val="24"/>
          <w:highlight w:val="none"/>
          <w:lang w:eastAsia="zh-CN"/>
        </w:rPr>
        <w:t>供应商</w:t>
      </w:r>
      <w:r>
        <w:rPr>
          <w:rFonts w:hint="eastAsia" w:ascii="宋体" w:hAnsi="宋体" w:eastAsia="宋体" w:cs="宋体"/>
          <w:b/>
          <w:bCs/>
          <w:color w:val="auto"/>
          <w:sz w:val="24"/>
          <w:highlight w:val="none"/>
        </w:rPr>
        <w:t>，</w:t>
      </w:r>
      <w:r>
        <w:rPr>
          <w:rFonts w:hint="eastAsia" w:ascii="宋体" w:hAnsi="宋体" w:eastAsia="宋体" w:cs="宋体"/>
          <w:b/>
          <w:bCs/>
          <w:color w:val="auto"/>
          <w:sz w:val="24"/>
          <w:highlight w:val="none"/>
          <w:lang w:eastAsia="zh-CN"/>
        </w:rPr>
        <w:t>供应商</w:t>
      </w:r>
      <w:r>
        <w:rPr>
          <w:rFonts w:hint="eastAsia" w:ascii="宋体" w:hAnsi="宋体" w:eastAsia="宋体" w:cs="宋体"/>
          <w:b/>
          <w:bCs/>
          <w:color w:val="auto"/>
          <w:sz w:val="24"/>
          <w:highlight w:val="none"/>
        </w:rPr>
        <w:t>自行查看。</w:t>
      </w:r>
      <w:r>
        <w:rPr>
          <w:rFonts w:hint="eastAsia" w:ascii="宋体" w:hAnsi="宋体" w:eastAsia="宋体" w:cs="宋体"/>
          <w:b/>
          <w:bCs/>
          <w:color w:val="auto"/>
          <w:sz w:val="24"/>
          <w:highlight w:val="none"/>
          <w:lang w:eastAsia="zh-CN"/>
        </w:rPr>
        <w:t>供应商</w:t>
      </w:r>
      <w:r>
        <w:rPr>
          <w:rFonts w:hint="eastAsia" w:ascii="宋体" w:hAnsi="宋体" w:eastAsia="宋体" w:cs="宋体"/>
          <w:b/>
          <w:bCs/>
          <w:color w:val="auto"/>
          <w:sz w:val="24"/>
          <w:highlight w:val="none"/>
        </w:rPr>
        <w:t>未及时查看或因自身原因导致未收到信息的，责任自负。</w:t>
      </w:r>
    </w:p>
    <w:p w14:paraId="51BE12E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2" w:firstLineChars="200"/>
        <w:jc w:val="left"/>
        <w:textAlignment w:val="auto"/>
        <w:rPr>
          <w:color w:val="auto"/>
          <w:highlight w:val="none"/>
        </w:rPr>
      </w:pPr>
      <w:r>
        <w:rPr>
          <w:rFonts w:ascii="宋体" w:hAnsi="宋体" w:eastAsia="宋体" w:cs="宋体"/>
          <w:b/>
          <w:color w:val="auto"/>
          <w:sz w:val="24"/>
          <w:highlight w:val="none"/>
        </w:rPr>
        <w:t>十六、评审方法和评审标准</w:t>
      </w:r>
    </w:p>
    <w:p w14:paraId="07653A7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1</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评审方法：综合评分法；</w:t>
      </w:r>
    </w:p>
    <w:p w14:paraId="476C03E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2</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评审标准：详见《磋商文件》附件1、《评分细则》。</w:t>
      </w:r>
    </w:p>
    <w:p w14:paraId="0CCB531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2" w:firstLineChars="200"/>
        <w:jc w:val="left"/>
        <w:textAlignment w:val="auto"/>
        <w:rPr>
          <w:color w:val="auto"/>
          <w:highlight w:val="none"/>
        </w:rPr>
      </w:pPr>
      <w:r>
        <w:rPr>
          <w:rFonts w:ascii="宋体" w:hAnsi="宋体" w:eastAsia="宋体" w:cs="宋体"/>
          <w:b/>
          <w:color w:val="auto"/>
          <w:sz w:val="24"/>
          <w:highlight w:val="none"/>
        </w:rPr>
        <w:t>十七、有下列情形之一的，其响应无效：</w:t>
      </w:r>
    </w:p>
    <w:p w14:paraId="3DFFE09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1</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 xml:space="preserve">电子响应文件未按规定期限提交的； </w:t>
      </w:r>
    </w:p>
    <w:p w14:paraId="040D1F9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2</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 xml:space="preserve">电子响应文件未按磋商文件要求签章的； </w:t>
      </w:r>
    </w:p>
    <w:p w14:paraId="3EB9158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3</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 xml:space="preserve">供应商未在规定时间内解密电子响应文件的； </w:t>
      </w:r>
    </w:p>
    <w:p w14:paraId="0C4E985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4</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 xml:space="preserve">供应商的法定代表人授权代表，无法定代表人授权委托书的； </w:t>
      </w:r>
    </w:p>
    <w:p w14:paraId="668D562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5</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 xml:space="preserve">不具备磋商文件中规定的资格要求或未按磋商文件规定的要求提供资格、资信证明文件的； </w:t>
      </w:r>
    </w:p>
    <w:p w14:paraId="313CE5F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6</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 xml:space="preserve">被列入“信用中国”网站（www.creditchina.gov.cn）失信被执行人、重大税收违法案件当事人名单、政府采购严重违法失信行为记录名单的； </w:t>
      </w:r>
    </w:p>
    <w:p w14:paraId="44E35DD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7</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响应文件未按磋商文件规定的内容和要求填写的；没有在系统指定位置上传对应文件、材料的；</w:t>
      </w:r>
    </w:p>
    <w:p w14:paraId="642FAB9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8</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 xml:space="preserve">响应文件含有采购人不能接受的附加条件的； </w:t>
      </w:r>
    </w:p>
    <w:p w14:paraId="40B29B9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9</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 xml:space="preserve">不同供应商委托同一单位或者个人办理磋商事宜的； </w:t>
      </w:r>
    </w:p>
    <w:p w14:paraId="798AADF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10</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 xml:space="preserve">项目磋商报价超过本项目（采购包）预算或最高限价的； </w:t>
      </w:r>
    </w:p>
    <w:p w14:paraId="40C7AF1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1</w:t>
      </w:r>
      <w:r>
        <w:rPr>
          <w:rFonts w:hint="eastAsia" w:ascii="宋体" w:hAnsi="宋体" w:cs="宋体"/>
          <w:color w:val="auto"/>
          <w:sz w:val="24"/>
          <w:highlight w:val="none"/>
          <w:lang w:val="en-US" w:eastAsia="zh-CN"/>
        </w:rPr>
        <w:t>1.</w:t>
      </w:r>
      <w:r>
        <w:rPr>
          <w:rFonts w:ascii="宋体" w:hAnsi="宋体" w:eastAsia="宋体" w:cs="宋体"/>
          <w:color w:val="auto"/>
          <w:sz w:val="24"/>
          <w:highlight w:val="none"/>
        </w:rPr>
        <w:t xml:space="preserve">磋商小组认定供应商的报价明显低于其他通过符合性审查供应商的报价，有可能影响产品质量或者不能诚信履约，且供应商不能应磋商小组要求在评审现场合理的时间内提供书面说明（必要时评标委员会可要求供应商提交相关证明材料）证明其报价合理性的； </w:t>
      </w:r>
    </w:p>
    <w:p w14:paraId="406794F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1</w:t>
      </w:r>
      <w:r>
        <w:rPr>
          <w:rFonts w:hint="eastAsia" w:ascii="宋体" w:hAnsi="宋体" w:cs="宋体"/>
          <w:color w:val="auto"/>
          <w:sz w:val="24"/>
          <w:highlight w:val="none"/>
          <w:lang w:val="en-US" w:eastAsia="zh-CN"/>
        </w:rPr>
        <w:t>2.</w:t>
      </w:r>
      <w:r>
        <w:rPr>
          <w:rFonts w:ascii="宋体" w:hAnsi="宋体" w:eastAsia="宋体" w:cs="宋体"/>
          <w:color w:val="auto"/>
          <w:sz w:val="24"/>
          <w:highlight w:val="none"/>
        </w:rPr>
        <w:t xml:space="preserve">响应文件内容不全或不符合磋商文件中规定的其它实质性要求的； </w:t>
      </w:r>
    </w:p>
    <w:p w14:paraId="5E0C3AC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1</w:t>
      </w:r>
      <w:r>
        <w:rPr>
          <w:rFonts w:hint="eastAsia" w:ascii="宋体" w:hAnsi="宋体" w:cs="宋体"/>
          <w:color w:val="auto"/>
          <w:sz w:val="24"/>
          <w:highlight w:val="none"/>
          <w:lang w:val="en-US" w:eastAsia="zh-CN"/>
        </w:rPr>
        <w:t>3.</w:t>
      </w:r>
      <w:r>
        <w:rPr>
          <w:rFonts w:ascii="宋体" w:hAnsi="宋体" w:eastAsia="宋体" w:cs="宋体"/>
          <w:color w:val="auto"/>
          <w:sz w:val="24"/>
          <w:highlight w:val="none"/>
        </w:rPr>
        <w:t>法律法规和磋商文件规定的其它无效情形。</w:t>
      </w:r>
    </w:p>
    <w:p w14:paraId="4FD1C08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十八、磋商过程中可能实质性变动的内容：在磋商过程中，磋商小组可以根据《磋商文件》和磋商情况实质性变动采购需求中的技术、服务要求以及合同草案条款。</w:t>
      </w:r>
    </w:p>
    <w:p w14:paraId="3D635053">
      <w:pPr>
        <w:pBdr>
          <w:top w:val="none" w:color="000000" w:sz="0" w:space="0"/>
          <w:left w:val="none" w:color="000000" w:sz="0" w:space="0"/>
          <w:bottom w:val="none" w:color="000000" w:sz="0" w:space="0"/>
          <w:right w:val="none" w:color="000000" w:sz="0" w:space="0"/>
        </w:pBdr>
        <w:spacing w:before="0" w:after="0" w:line="400" w:lineRule="atLeast"/>
        <w:ind w:left="-2" w:right="29" w:firstLine="0"/>
        <w:jc w:val="center"/>
        <w:rPr>
          <w:color w:val="auto"/>
          <w:highlight w:val="none"/>
        </w:rPr>
      </w:pPr>
      <w:r>
        <w:rPr>
          <w:rFonts w:ascii="宋体" w:hAnsi="宋体" w:eastAsia="宋体" w:cs="宋体"/>
          <w:color w:val="auto"/>
          <w:sz w:val="28"/>
          <w:highlight w:val="none"/>
        </w:rPr>
        <w:t> </w:t>
      </w:r>
    </w:p>
    <w:p w14:paraId="6C74A025">
      <w:pPr>
        <w:pBdr>
          <w:top w:val="none" w:color="000000" w:sz="0" w:space="0"/>
          <w:left w:val="none" w:color="000000" w:sz="0" w:space="0"/>
          <w:bottom w:val="none" w:color="000000" w:sz="0" w:space="0"/>
          <w:right w:val="none" w:color="000000" w:sz="0" w:space="0"/>
        </w:pBdr>
        <w:spacing w:before="0" w:after="0" w:line="400" w:lineRule="atLeast"/>
        <w:ind w:left="-2" w:right="29" w:firstLine="0"/>
        <w:jc w:val="center"/>
        <w:rPr>
          <w:b/>
          <w:bCs/>
          <w:color w:val="auto"/>
          <w:highlight w:val="none"/>
        </w:rPr>
      </w:pPr>
      <w:r>
        <w:rPr>
          <w:rFonts w:ascii="宋体" w:hAnsi="宋体" w:eastAsia="宋体" w:cs="宋体"/>
          <w:b/>
          <w:bCs/>
          <w:color w:val="auto"/>
          <w:sz w:val="28"/>
          <w:highlight w:val="none"/>
        </w:rPr>
        <w:t>第五章 确定成交供应商及合同签订等</w:t>
      </w:r>
    </w:p>
    <w:p w14:paraId="21962C51">
      <w:pPr>
        <w:pBdr>
          <w:top w:val="none" w:color="000000" w:sz="0" w:space="0"/>
          <w:left w:val="none" w:color="000000" w:sz="0" w:space="0"/>
          <w:bottom w:val="none" w:color="000000" w:sz="0" w:space="0"/>
          <w:right w:val="none" w:color="000000" w:sz="0" w:space="0"/>
        </w:pBdr>
        <w:spacing w:before="0" w:after="0" w:line="400" w:lineRule="atLeast"/>
        <w:ind w:left="2" w:right="29" w:firstLine="480"/>
        <w:jc w:val="both"/>
        <w:rPr>
          <w:color w:val="auto"/>
          <w:highlight w:val="none"/>
        </w:rPr>
      </w:pPr>
      <w:r>
        <w:rPr>
          <w:rFonts w:ascii="宋体" w:hAnsi="宋体" w:eastAsia="宋体" w:cs="宋体"/>
          <w:color w:val="auto"/>
          <w:sz w:val="24"/>
          <w:highlight w:val="none"/>
        </w:rPr>
        <w:t> 十九、采购人应当在收到评审报告后5个工作日内，从评审报告提出的成交候选供应商中，按照排序由高到低的原则确定成交供应商。在省级以上财政部门指定的政府采购信息发布媒体上公告成交结果，公告标的的基本概况为成交供应商的《磋商报价表》（最后报价）。</w:t>
      </w:r>
    </w:p>
    <w:p w14:paraId="1F21FF3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left"/>
        <w:textAlignment w:val="auto"/>
        <w:rPr>
          <w:color w:val="auto"/>
          <w:highlight w:val="none"/>
        </w:rPr>
      </w:pPr>
      <w:r>
        <w:rPr>
          <w:rFonts w:ascii="宋体" w:hAnsi="宋体" w:eastAsia="宋体" w:cs="宋体"/>
          <w:color w:val="auto"/>
          <w:sz w:val="24"/>
          <w:highlight w:val="none"/>
        </w:rPr>
        <w:t>二十、采购人与成交供应商应当在成交通知书发出之日起30日内，按照《磋商文件》确定的合同文本以及采购标的、规格型号、采购金额、采购数量、技术和服务要求等事项签订政府采购合同。</w:t>
      </w:r>
    </w:p>
    <w:p w14:paraId="03DB28C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2" w:firstLineChars="200"/>
        <w:jc w:val="left"/>
        <w:textAlignment w:val="auto"/>
        <w:rPr>
          <w:b/>
          <w:bCs/>
          <w:color w:val="auto"/>
          <w:highlight w:val="none"/>
        </w:rPr>
      </w:pPr>
      <w:r>
        <w:rPr>
          <w:rFonts w:ascii="宋体" w:hAnsi="宋体" w:eastAsia="宋体" w:cs="宋体"/>
          <w:b/>
          <w:bCs/>
          <w:color w:val="auto"/>
          <w:sz w:val="24"/>
          <w:highlight w:val="none"/>
        </w:rPr>
        <w:t>特别说明： 按照《政府采购法》及其实施条例以及相关规定，中标或者成交后无正当理由拒不与采购人签订政府采购合同的, 在一至三年内禁止参加政府采购活动，列入政府采购严重违法失信行为记录名单。</w:t>
      </w:r>
    </w:p>
    <w:p w14:paraId="58EB16D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left"/>
        <w:textAlignment w:val="auto"/>
        <w:rPr>
          <w:color w:val="auto"/>
          <w:highlight w:val="none"/>
        </w:rPr>
      </w:pPr>
      <w:r>
        <w:rPr>
          <w:rFonts w:ascii="宋体" w:hAnsi="宋体" w:eastAsia="宋体" w:cs="宋体"/>
          <w:color w:val="auto"/>
          <w:sz w:val="24"/>
          <w:highlight w:val="none"/>
        </w:rPr>
        <w:t>二十一、成交供应商在收到成交通知书时，须向江苏中际招标代理有限公司提交《磋商报价表》（首次响应文件）和《分项价格表》（首次响应文件）的数据文件（WORD格式）。</w:t>
      </w:r>
    </w:p>
    <w:p w14:paraId="6398A6C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2" w:firstLineChars="200"/>
        <w:jc w:val="left"/>
        <w:textAlignment w:val="auto"/>
        <w:rPr>
          <w:color w:val="auto"/>
          <w:highlight w:val="none"/>
        </w:rPr>
      </w:pPr>
      <w:r>
        <w:rPr>
          <w:rFonts w:ascii="宋体" w:hAnsi="宋体" w:eastAsia="宋体" w:cs="宋体"/>
          <w:b/>
          <w:color w:val="auto"/>
          <w:sz w:val="24"/>
          <w:highlight w:val="none"/>
        </w:rPr>
        <w:t>二十二、供应商应对响应文件的合法性、真实性负责。签订合同前，成交供应商必须向采购人提交其响应文件中所有原件扫描件的原件，采购人核查（核对）无误后，签订合同。如成交供应商不能在采购人规定的时间内向采购人提供原件，将被采购人视为放弃中标（成交）资格。</w:t>
      </w:r>
    </w:p>
    <w:p w14:paraId="3B899B2D">
      <w:pPr>
        <w:pBdr>
          <w:top w:val="none" w:color="000000" w:sz="0" w:space="0"/>
          <w:left w:val="none" w:color="000000" w:sz="0" w:space="0"/>
          <w:bottom w:val="none" w:color="000000" w:sz="0" w:space="0"/>
          <w:right w:val="none" w:color="000000" w:sz="0" w:space="0"/>
        </w:pBdr>
        <w:spacing w:before="0" w:after="0" w:line="400" w:lineRule="atLeast"/>
        <w:ind w:left="0" w:right="0" w:firstLine="0"/>
        <w:jc w:val="center"/>
        <w:rPr>
          <w:color w:val="auto"/>
          <w:highlight w:val="none"/>
        </w:rPr>
      </w:pPr>
      <w:r>
        <w:rPr>
          <w:rFonts w:ascii="宋体" w:hAnsi="宋体" w:eastAsia="宋体" w:cs="宋体"/>
          <w:color w:val="auto"/>
          <w:sz w:val="28"/>
          <w:highlight w:val="none"/>
        </w:rPr>
        <w:t> </w:t>
      </w:r>
    </w:p>
    <w:p w14:paraId="164B9047">
      <w:pPr>
        <w:pBdr>
          <w:top w:val="none" w:color="000000" w:sz="0" w:space="0"/>
          <w:left w:val="none" w:color="000000" w:sz="0" w:space="0"/>
          <w:bottom w:val="none" w:color="000000" w:sz="0" w:space="0"/>
          <w:right w:val="none" w:color="000000" w:sz="0" w:space="0"/>
        </w:pBdr>
        <w:spacing w:before="0" w:after="0" w:line="400" w:lineRule="atLeast"/>
        <w:ind w:left="0" w:right="0" w:firstLine="0"/>
        <w:jc w:val="center"/>
        <w:rPr>
          <w:b/>
          <w:bCs/>
          <w:color w:val="auto"/>
          <w:highlight w:val="none"/>
        </w:rPr>
      </w:pPr>
      <w:r>
        <w:rPr>
          <w:rFonts w:ascii="宋体" w:hAnsi="宋体" w:eastAsia="宋体" w:cs="宋体"/>
          <w:b/>
          <w:bCs/>
          <w:color w:val="auto"/>
          <w:sz w:val="28"/>
          <w:highlight w:val="none"/>
        </w:rPr>
        <w:t>第六章 磋商文件的澄清或者修改</w:t>
      </w:r>
    </w:p>
    <w:p w14:paraId="1E4C70D4">
      <w:pPr>
        <w:pBdr>
          <w:top w:val="none" w:color="000000" w:sz="0" w:space="0"/>
          <w:left w:val="none" w:color="000000" w:sz="0" w:space="0"/>
          <w:bottom w:val="none" w:color="000000" w:sz="0" w:space="0"/>
          <w:right w:val="none" w:color="000000" w:sz="0" w:space="0"/>
        </w:pBdr>
        <w:spacing w:before="0" w:after="0" w:line="400" w:lineRule="atLeast"/>
        <w:ind w:left="0" w:right="0" w:firstLine="480"/>
        <w:rPr>
          <w:color w:val="auto"/>
          <w:highlight w:val="none"/>
        </w:rPr>
      </w:pPr>
      <w:r>
        <w:rPr>
          <w:rFonts w:ascii="宋体" w:hAnsi="宋体" w:eastAsia="宋体" w:cs="宋体"/>
          <w:color w:val="auto"/>
          <w:sz w:val="24"/>
          <w:highlight w:val="none"/>
        </w:rPr>
        <w:t> </w:t>
      </w:r>
    </w:p>
    <w:p w14:paraId="258C1C3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二十三、《磋商文件》的澄清或者修改</w:t>
      </w:r>
    </w:p>
    <w:p w14:paraId="5D1F59B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提交首次响应文件截止之日（即“首次响应文件提交的截止时间”）前，采购代理机构可以对已发出的《磋商文件》进行必要的澄清或者修改，澄清或者修改的内容作为《磋商文件》的组成部分。澄清或者修改的内容以所发布的本项目的“更正公告”的附件的形式通知所有获取《磋商文件》的供应商。发布本项目的“更正公告”后采购代理机构已尽通知义务。敬请各所有获取《磋商文件》的供应商关注本项目的“更正公告”及附件，否则，将自行承担相应的风险。</w:t>
      </w:r>
    </w:p>
    <w:p w14:paraId="04BC1924">
      <w:pPr>
        <w:pBdr>
          <w:top w:val="none" w:color="000000" w:sz="0" w:space="0"/>
          <w:left w:val="none" w:color="000000" w:sz="0" w:space="0"/>
          <w:bottom w:val="none" w:color="000000" w:sz="0" w:space="0"/>
          <w:right w:val="none" w:color="000000" w:sz="0" w:space="0"/>
        </w:pBdr>
        <w:spacing w:before="0" w:after="0" w:line="400" w:lineRule="atLeast"/>
        <w:ind w:left="0" w:right="0" w:firstLine="0"/>
        <w:jc w:val="center"/>
        <w:rPr>
          <w:color w:val="auto"/>
          <w:highlight w:val="none"/>
        </w:rPr>
      </w:pPr>
      <w:r>
        <w:rPr>
          <w:rFonts w:ascii="宋体" w:hAnsi="宋体" w:eastAsia="宋体" w:cs="宋体"/>
          <w:color w:val="auto"/>
          <w:sz w:val="28"/>
          <w:highlight w:val="none"/>
        </w:rPr>
        <w:t> </w:t>
      </w:r>
    </w:p>
    <w:p w14:paraId="71BCEA61">
      <w:pPr>
        <w:pBdr>
          <w:top w:val="none" w:color="000000" w:sz="0" w:space="0"/>
          <w:left w:val="none" w:color="000000" w:sz="0" w:space="0"/>
          <w:bottom w:val="none" w:color="000000" w:sz="0" w:space="0"/>
          <w:right w:val="none" w:color="000000" w:sz="0" w:space="0"/>
        </w:pBdr>
        <w:spacing w:before="0" w:after="0" w:line="400" w:lineRule="atLeast"/>
        <w:ind w:left="0" w:right="0" w:firstLine="0"/>
        <w:jc w:val="center"/>
        <w:rPr>
          <w:b/>
          <w:bCs/>
          <w:color w:val="auto"/>
          <w:highlight w:val="none"/>
        </w:rPr>
      </w:pPr>
      <w:r>
        <w:rPr>
          <w:rFonts w:ascii="宋体" w:hAnsi="宋体" w:eastAsia="宋体" w:cs="宋体"/>
          <w:b/>
          <w:bCs/>
          <w:color w:val="auto"/>
          <w:sz w:val="28"/>
          <w:highlight w:val="none"/>
        </w:rPr>
        <w:t>第七章 询问和质疑</w:t>
      </w:r>
    </w:p>
    <w:p w14:paraId="2047FFC2">
      <w:pPr>
        <w:pBdr>
          <w:top w:val="none" w:color="000000" w:sz="0" w:space="0"/>
          <w:left w:val="none" w:color="000000" w:sz="0" w:space="0"/>
          <w:bottom w:val="none" w:color="000000" w:sz="0" w:space="0"/>
          <w:right w:val="none" w:color="000000" w:sz="0" w:space="0"/>
        </w:pBdr>
        <w:spacing w:before="0" w:after="0" w:line="400" w:lineRule="atLeast"/>
        <w:ind w:left="0" w:right="0" w:firstLine="480"/>
        <w:rPr>
          <w:color w:val="auto"/>
          <w:highlight w:val="none"/>
        </w:rPr>
      </w:pPr>
      <w:r>
        <w:rPr>
          <w:rFonts w:ascii="宋体" w:hAnsi="宋体" w:eastAsia="宋体" w:cs="宋体"/>
          <w:color w:val="auto"/>
          <w:sz w:val="24"/>
          <w:highlight w:val="none"/>
        </w:rPr>
        <w:t> </w:t>
      </w:r>
    </w:p>
    <w:p w14:paraId="1650624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二十四、询问和质疑</w:t>
      </w:r>
    </w:p>
    <w:p w14:paraId="468ECC7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1</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根据采购代理机构与采购人签订的本采购项目的《委托代理协议》，供应商对政府采购活动事项有疑问的，可以向采购人或采购代理机构提出询问；供应商认为采购文件、采购过程、中标或成交结果使自己的权益受到损害的，可以在知道或者应知其权益受到损害之日起七个工作日内，以书面形式向采购人或采购代理机构提出质疑，由采购人或采购代理机构依法处理。</w:t>
      </w:r>
    </w:p>
    <w:p w14:paraId="61E63C0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2</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质疑和投诉按《政府采购质疑和投诉办法》执行。</w:t>
      </w:r>
    </w:p>
    <w:p w14:paraId="2262693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3</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供应商对同一采购程序环节的质疑应在质疑期内一次性提出。</w:t>
      </w:r>
    </w:p>
    <w:p w14:paraId="7ED9D70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rFonts w:hint="eastAsia" w:eastAsia="宋体"/>
          <w:color w:val="auto"/>
          <w:highlight w:val="none"/>
          <w:lang w:eastAsia="zh-CN"/>
        </w:rPr>
      </w:pPr>
      <w:r>
        <w:rPr>
          <w:rFonts w:ascii="宋体" w:hAnsi="宋体" w:eastAsia="宋体" w:cs="宋体"/>
          <w:color w:val="auto"/>
          <w:sz w:val="24"/>
          <w:highlight w:val="none"/>
        </w:rPr>
        <w:t>质疑接收人：</w:t>
      </w:r>
      <w:r>
        <w:rPr>
          <w:rFonts w:hint="eastAsia" w:ascii="宋体" w:hAnsi="宋体" w:cs="宋体"/>
          <w:color w:val="auto"/>
          <w:sz w:val="24"/>
          <w:highlight w:val="none"/>
          <w:lang w:val="en-US" w:eastAsia="zh-CN"/>
        </w:rPr>
        <w:t xml:space="preserve">李海沫、柴鑫 </w:t>
      </w:r>
      <w:r>
        <w:rPr>
          <w:rFonts w:ascii="宋体" w:hAnsi="宋体" w:eastAsia="宋体" w:cs="宋体"/>
          <w:color w:val="auto"/>
          <w:sz w:val="24"/>
          <w:highlight w:val="none"/>
        </w:rPr>
        <w:t>联系电话：</w:t>
      </w:r>
      <w:r>
        <w:rPr>
          <w:rFonts w:hint="eastAsia" w:ascii="宋体" w:hAnsi="宋体" w:cs="宋体"/>
          <w:color w:val="auto"/>
          <w:sz w:val="24"/>
          <w:highlight w:val="none"/>
          <w:lang w:eastAsia="zh-CN"/>
        </w:rPr>
        <w:t>0516-83205176</w:t>
      </w:r>
    </w:p>
    <w:p w14:paraId="561359F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exact"/>
        <w:ind w:left="0" w:right="0" w:firstLine="480" w:firstLineChars="200"/>
        <w:jc w:val="left"/>
        <w:textAlignment w:val="auto"/>
        <w:rPr>
          <w:color w:val="auto"/>
          <w:highlight w:val="none"/>
        </w:rPr>
      </w:pPr>
      <w:r>
        <w:rPr>
          <w:rFonts w:ascii="宋体" w:hAnsi="宋体" w:eastAsia="宋体" w:cs="宋体"/>
          <w:color w:val="auto"/>
          <w:sz w:val="24"/>
          <w:highlight w:val="none"/>
        </w:rPr>
        <w:t>地址：徐州市云龙区绿地商务城LOFT领海办公楼5#</w:t>
      </w:r>
      <w:r>
        <w:rPr>
          <w:rFonts w:hint="eastAsia" w:ascii="宋体" w:hAnsi="宋体" w:cs="宋体"/>
          <w:color w:val="auto"/>
          <w:sz w:val="24"/>
          <w:highlight w:val="none"/>
          <w:lang w:eastAsia="zh-CN"/>
        </w:rPr>
        <w:t>1920室</w:t>
      </w:r>
      <w:r>
        <w:rPr>
          <w:rFonts w:ascii="宋体" w:hAnsi="宋体" w:eastAsia="宋体" w:cs="宋体"/>
          <w:color w:val="auto"/>
          <w:sz w:val="24"/>
          <w:highlight w:val="none"/>
        </w:rPr>
        <w:t>（汉风路和昆仑大道交叉口东北角）。</w:t>
      </w:r>
    </w:p>
    <w:p w14:paraId="3B2984AF">
      <w:pPr>
        <w:pBdr>
          <w:top w:val="none" w:color="000000" w:sz="0" w:space="0"/>
          <w:left w:val="none" w:color="000000" w:sz="0" w:space="0"/>
          <w:bottom w:val="none" w:color="000000" w:sz="0" w:space="0"/>
          <w:right w:val="none" w:color="000000" w:sz="0" w:space="0"/>
        </w:pBdr>
        <w:spacing w:before="0" w:after="0" w:line="400" w:lineRule="atLeast"/>
        <w:ind w:left="0" w:right="0" w:firstLine="0"/>
        <w:jc w:val="center"/>
        <w:rPr>
          <w:color w:val="auto"/>
          <w:highlight w:val="none"/>
        </w:rPr>
      </w:pPr>
      <w:r>
        <w:rPr>
          <w:rFonts w:ascii="宋体" w:hAnsi="宋体" w:eastAsia="宋体" w:cs="宋体"/>
          <w:color w:val="auto"/>
          <w:sz w:val="28"/>
          <w:highlight w:val="none"/>
        </w:rPr>
        <w:t> </w:t>
      </w:r>
    </w:p>
    <w:p w14:paraId="373F9A2D">
      <w:pPr>
        <w:pBdr>
          <w:top w:val="none" w:color="000000" w:sz="0" w:space="0"/>
          <w:left w:val="none" w:color="000000" w:sz="0" w:space="0"/>
          <w:bottom w:val="none" w:color="000000" w:sz="0" w:space="0"/>
          <w:right w:val="none" w:color="000000" w:sz="0" w:space="0"/>
        </w:pBdr>
        <w:spacing w:before="0" w:after="0" w:line="400" w:lineRule="atLeast"/>
        <w:ind w:left="0" w:right="0" w:firstLine="0"/>
        <w:jc w:val="center"/>
        <w:rPr>
          <w:b/>
          <w:bCs/>
          <w:color w:val="auto"/>
          <w:highlight w:val="none"/>
        </w:rPr>
      </w:pPr>
      <w:r>
        <w:rPr>
          <w:rFonts w:ascii="宋体" w:hAnsi="宋体" w:eastAsia="宋体" w:cs="宋体"/>
          <w:b/>
          <w:bCs/>
          <w:color w:val="auto"/>
          <w:sz w:val="28"/>
          <w:highlight w:val="none"/>
        </w:rPr>
        <w:t>第八章 其他</w:t>
      </w:r>
    </w:p>
    <w:p w14:paraId="670F1F0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left"/>
        <w:textAlignment w:val="auto"/>
        <w:rPr>
          <w:color w:val="auto"/>
          <w:highlight w:val="none"/>
        </w:rPr>
      </w:pPr>
      <w:r>
        <w:rPr>
          <w:rFonts w:ascii="宋体" w:hAnsi="宋体" w:eastAsia="宋体" w:cs="宋体"/>
          <w:color w:val="auto"/>
          <w:sz w:val="24"/>
          <w:highlight w:val="none"/>
        </w:rPr>
        <w:t>1</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代理服务费由成交人向采购代理机构支付，收取标准见附件。</w:t>
      </w:r>
    </w:p>
    <w:p w14:paraId="3FC4CEA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left"/>
        <w:textAlignment w:val="auto"/>
        <w:rPr>
          <w:color w:val="auto"/>
          <w:highlight w:val="none"/>
        </w:rPr>
      </w:pPr>
      <w:r>
        <w:rPr>
          <w:rFonts w:ascii="宋体" w:hAnsi="宋体" w:eastAsia="宋体" w:cs="宋体"/>
          <w:color w:val="auto"/>
          <w:sz w:val="24"/>
          <w:highlight w:val="none"/>
        </w:rPr>
        <w:t>2</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成交结果在徐州政府采购网上公布。</w:t>
      </w:r>
    </w:p>
    <w:p w14:paraId="52E3191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left"/>
        <w:textAlignment w:val="auto"/>
        <w:rPr>
          <w:rFonts w:hint="eastAsia" w:eastAsia="宋体"/>
          <w:color w:val="auto"/>
          <w:highlight w:val="none"/>
          <w:lang w:eastAsia="zh-CN"/>
        </w:rPr>
      </w:pPr>
      <w:r>
        <w:rPr>
          <w:rFonts w:ascii="宋体" w:hAnsi="宋体" w:eastAsia="宋体" w:cs="宋体"/>
          <w:color w:val="auto"/>
          <w:sz w:val="24"/>
          <w:highlight w:val="none"/>
        </w:rPr>
        <w:t>3</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采购人：</w:t>
      </w:r>
      <w:r>
        <w:rPr>
          <w:rFonts w:hint="eastAsia" w:ascii="宋体" w:hAnsi="宋体" w:cs="宋体"/>
          <w:color w:val="auto"/>
          <w:sz w:val="24"/>
          <w:highlight w:val="none"/>
          <w:lang w:eastAsia="zh-CN"/>
        </w:rPr>
        <w:t>徐州市文物保护和考古研究所</w:t>
      </w:r>
    </w:p>
    <w:p w14:paraId="2F4C505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left"/>
        <w:textAlignment w:val="auto"/>
        <w:rPr>
          <w:color w:val="auto"/>
          <w:highlight w:val="none"/>
        </w:rPr>
      </w:pPr>
      <w:r>
        <w:rPr>
          <w:rFonts w:ascii="宋体" w:hAnsi="宋体" w:eastAsia="宋体" w:cs="宋体"/>
          <w:color w:val="auto"/>
          <w:sz w:val="24"/>
          <w:highlight w:val="none"/>
        </w:rPr>
        <w:t>地址：</w:t>
      </w:r>
      <w:r>
        <w:rPr>
          <w:rFonts w:hint="eastAsia" w:ascii="宋体" w:hAnsi="宋体" w:cs="宋体"/>
          <w:color w:val="auto"/>
          <w:sz w:val="24"/>
          <w:highlight w:val="none"/>
          <w:lang w:eastAsia="zh-CN"/>
        </w:rPr>
        <w:t>江苏省徐州市泉山区湖东路5-1号</w:t>
      </w:r>
      <w:r>
        <w:rPr>
          <w:rFonts w:hint="eastAsia" w:ascii="宋体" w:hAnsi="宋体" w:cs="宋体"/>
          <w:color w:val="auto"/>
          <w:sz w:val="24"/>
          <w:highlight w:val="none"/>
          <w:lang w:val="en-US" w:eastAsia="zh-CN"/>
        </w:rPr>
        <w:t xml:space="preserve"> </w:t>
      </w:r>
      <w:r>
        <w:rPr>
          <w:rFonts w:ascii="宋体" w:hAnsi="宋体" w:eastAsia="宋体" w:cs="宋体"/>
          <w:color w:val="auto"/>
          <w:sz w:val="24"/>
          <w:highlight w:val="none"/>
        </w:rPr>
        <w:t>   </w:t>
      </w:r>
    </w:p>
    <w:p w14:paraId="052DC0E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left"/>
        <w:textAlignment w:val="auto"/>
        <w:rPr>
          <w:rFonts w:hint="eastAsia" w:eastAsia="宋体"/>
          <w:color w:val="auto"/>
          <w:highlight w:val="none"/>
          <w:lang w:eastAsia="zh-CN"/>
        </w:rPr>
      </w:pPr>
      <w:r>
        <w:rPr>
          <w:rFonts w:ascii="宋体" w:hAnsi="宋体" w:eastAsia="宋体" w:cs="宋体"/>
          <w:color w:val="auto"/>
          <w:sz w:val="24"/>
          <w:highlight w:val="none"/>
        </w:rPr>
        <w:t>联系人：</w:t>
      </w:r>
      <w:r>
        <w:rPr>
          <w:rFonts w:hint="eastAsia" w:ascii="宋体" w:hAnsi="宋体" w:cs="宋体"/>
          <w:color w:val="auto"/>
          <w:sz w:val="24"/>
          <w:highlight w:val="none"/>
          <w:lang w:val="en-US" w:eastAsia="zh-CN"/>
        </w:rPr>
        <w:t>邵帅</w:t>
      </w:r>
      <w:r>
        <w:rPr>
          <w:rFonts w:hint="eastAsia" w:ascii="宋体" w:hAnsi="宋体" w:cs="宋体"/>
          <w:color w:val="auto"/>
          <w:sz w:val="24"/>
          <w:highlight w:val="none"/>
          <w:lang w:eastAsia="zh-CN"/>
        </w:rPr>
        <w:t>，</w:t>
      </w:r>
      <w:r>
        <w:rPr>
          <w:rFonts w:ascii="宋体" w:hAnsi="宋体" w:eastAsia="宋体" w:cs="宋体"/>
          <w:color w:val="auto"/>
          <w:sz w:val="24"/>
          <w:highlight w:val="none"/>
        </w:rPr>
        <w:t>联系电话：</w:t>
      </w:r>
      <w:r>
        <w:rPr>
          <w:rFonts w:hint="eastAsia" w:ascii="宋体" w:hAnsi="宋体" w:cs="宋体"/>
          <w:color w:val="auto"/>
          <w:sz w:val="24"/>
          <w:szCs w:val="24"/>
          <w:highlight w:val="none"/>
          <w:lang w:val="en-US" w:eastAsia="zh-CN"/>
        </w:rPr>
        <w:t>0516-83806011</w:t>
      </w:r>
      <w:r>
        <w:rPr>
          <w:rFonts w:hint="eastAsia" w:ascii="宋体" w:hAnsi="宋体" w:cs="宋体"/>
          <w:color w:val="auto"/>
          <w:sz w:val="24"/>
          <w:highlight w:val="none"/>
          <w:lang w:val="en-US" w:eastAsia="zh-CN"/>
        </w:rPr>
        <w:t xml:space="preserve"> </w:t>
      </w:r>
    </w:p>
    <w:p w14:paraId="4A1FA5F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left"/>
        <w:textAlignment w:val="auto"/>
        <w:rPr>
          <w:color w:val="auto"/>
          <w:highlight w:val="none"/>
        </w:rPr>
      </w:pPr>
      <w:r>
        <w:rPr>
          <w:rFonts w:ascii="宋体" w:hAnsi="宋体" w:eastAsia="宋体" w:cs="宋体"/>
          <w:color w:val="auto"/>
          <w:sz w:val="24"/>
          <w:highlight w:val="none"/>
        </w:rPr>
        <w:t>4</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采购代理公司：江苏中际招标代理有限公司</w:t>
      </w:r>
    </w:p>
    <w:p w14:paraId="109AF24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left"/>
        <w:textAlignment w:val="auto"/>
        <w:rPr>
          <w:color w:val="auto"/>
          <w:highlight w:val="none"/>
        </w:rPr>
      </w:pPr>
      <w:r>
        <w:rPr>
          <w:rFonts w:ascii="宋体" w:hAnsi="宋体" w:eastAsia="宋体" w:cs="宋体"/>
          <w:color w:val="auto"/>
          <w:sz w:val="24"/>
          <w:highlight w:val="none"/>
        </w:rPr>
        <w:t>地址：徐州市云龙区绿地商务城LOFT领海办公楼5#</w:t>
      </w:r>
      <w:r>
        <w:rPr>
          <w:rFonts w:hint="eastAsia" w:ascii="宋体" w:hAnsi="宋体" w:cs="宋体"/>
          <w:color w:val="auto"/>
          <w:sz w:val="24"/>
          <w:highlight w:val="none"/>
          <w:lang w:eastAsia="zh-CN"/>
        </w:rPr>
        <w:t>1920室</w:t>
      </w:r>
      <w:r>
        <w:rPr>
          <w:rFonts w:ascii="宋体" w:hAnsi="宋体" w:eastAsia="宋体" w:cs="宋体"/>
          <w:color w:val="auto"/>
          <w:sz w:val="24"/>
          <w:highlight w:val="none"/>
        </w:rPr>
        <w:t>。</w:t>
      </w:r>
    </w:p>
    <w:p w14:paraId="69D6BFB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60" w:lineRule="atLeast"/>
        <w:ind w:left="0" w:right="0" w:firstLine="480" w:firstLineChars="200"/>
        <w:jc w:val="left"/>
        <w:textAlignment w:val="auto"/>
        <w:rPr>
          <w:rFonts w:hint="eastAsia" w:eastAsia="宋体"/>
          <w:color w:val="auto"/>
          <w:highlight w:val="none"/>
          <w:lang w:eastAsia="zh-CN"/>
        </w:rPr>
      </w:pPr>
      <w:r>
        <w:rPr>
          <w:rFonts w:ascii="宋体" w:hAnsi="宋体" w:eastAsia="宋体" w:cs="宋体"/>
          <w:color w:val="auto"/>
          <w:sz w:val="24"/>
          <w:highlight w:val="none"/>
        </w:rPr>
        <w:t>联系人：</w:t>
      </w:r>
      <w:r>
        <w:rPr>
          <w:rFonts w:hint="eastAsia" w:ascii="宋体" w:hAnsi="宋体" w:cs="宋体"/>
          <w:color w:val="auto"/>
          <w:sz w:val="24"/>
          <w:highlight w:val="none"/>
          <w:lang w:eastAsia="zh-CN"/>
        </w:rPr>
        <w:t>李海沫、柴鑫，</w:t>
      </w:r>
      <w:r>
        <w:rPr>
          <w:rFonts w:ascii="宋体" w:hAnsi="宋体" w:eastAsia="宋体" w:cs="宋体"/>
          <w:color w:val="auto"/>
          <w:sz w:val="24"/>
          <w:highlight w:val="none"/>
        </w:rPr>
        <w:t>联系电话：</w:t>
      </w:r>
      <w:r>
        <w:rPr>
          <w:rFonts w:hint="eastAsia" w:ascii="宋体" w:hAnsi="宋体" w:cs="宋体"/>
          <w:color w:val="auto"/>
          <w:sz w:val="24"/>
          <w:highlight w:val="none"/>
          <w:lang w:eastAsia="zh-CN"/>
        </w:rPr>
        <w:t>0516-83205176</w:t>
      </w:r>
    </w:p>
    <w:p w14:paraId="4F360F1A">
      <w:pPr>
        <w:pBdr>
          <w:top w:val="none" w:color="000000" w:sz="0" w:space="0"/>
          <w:left w:val="none" w:color="000000" w:sz="0" w:space="0"/>
          <w:bottom w:val="none" w:color="000000" w:sz="0" w:space="0"/>
          <w:right w:val="none" w:color="000000" w:sz="0" w:space="0"/>
        </w:pBdr>
        <w:spacing w:before="0" w:after="0" w:line="85" w:lineRule="atLeast"/>
        <w:ind w:left="0" w:right="0" w:firstLine="480"/>
        <w:jc w:val="both"/>
        <w:rPr>
          <w:color w:val="auto"/>
          <w:highlight w:val="none"/>
        </w:rPr>
      </w:pPr>
      <w:r>
        <w:rPr>
          <w:rFonts w:ascii="宋体" w:hAnsi="宋体" w:eastAsia="宋体" w:cs="宋体"/>
          <w:color w:val="auto"/>
          <w:sz w:val="24"/>
          <w:highlight w:val="none"/>
        </w:rPr>
        <w:t> </w:t>
      </w:r>
    </w:p>
    <w:p w14:paraId="4CFC9659">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color w:val="auto"/>
          <w:highlight w:val="none"/>
        </w:rPr>
        <w:br w:type="page" w:clear="all"/>
      </w:r>
    </w:p>
    <w:p w14:paraId="28BF89ED">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auto"/>
          <w:highlight w:val="none"/>
        </w:rPr>
      </w:pPr>
      <w:r>
        <w:rPr>
          <w:rFonts w:ascii="宋体" w:hAnsi="宋体" w:eastAsia="宋体" w:cs="宋体"/>
          <w:color w:val="auto"/>
          <w:sz w:val="28"/>
          <w:highlight w:val="none"/>
        </w:rPr>
        <w:t>第九章 附件</w:t>
      </w:r>
    </w:p>
    <w:p w14:paraId="7B480A11">
      <w:pPr>
        <w:pBdr>
          <w:top w:val="none" w:color="000000" w:sz="0" w:space="0"/>
          <w:left w:val="none" w:color="000000" w:sz="0" w:space="0"/>
          <w:bottom w:val="none" w:color="000000" w:sz="0" w:space="0"/>
          <w:right w:val="none" w:color="000000" w:sz="0" w:space="0"/>
        </w:pBdr>
        <w:spacing w:before="0" w:after="0" w:line="400" w:lineRule="atLeast"/>
        <w:ind w:left="0" w:right="0" w:firstLine="482"/>
        <w:jc w:val="both"/>
        <w:rPr>
          <w:color w:val="auto"/>
          <w:highlight w:val="none"/>
        </w:rPr>
      </w:pPr>
      <w:r>
        <w:rPr>
          <w:rFonts w:ascii="宋体" w:hAnsi="宋体" w:eastAsia="宋体" w:cs="宋体"/>
          <w:color w:val="auto"/>
          <w:sz w:val="24"/>
          <w:highlight w:val="none"/>
        </w:rPr>
        <w:t>1</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《评分细则》</w:t>
      </w:r>
    </w:p>
    <w:p w14:paraId="389AF2C6">
      <w:pPr>
        <w:pBdr>
          <w:top w:val="none" w:color="000000" w:sz="0" w:space="0"/>
          <w:left w:val="none" w:color="000000" w:sz="0" w:space="0"/>
          <w:bottom w:val="none" w:color="000000" w:sz="0" w:space="0"/>
          <w:right w:val="none" w:color="000000" w:sz="0" w:space="0"/>
        </w:pBdr>
        <w:spacing w:before="0" w:after="0" w:line="400" w:lineRule="atLeast"/>
        <w:ind w:left="0" w:right="0" w:firstLine="482"/>
        <w:jc w:val="both"/>
        <w:rPr>
          <w:color w:val="auto"/>
          <w:highlight w:val="none"/>
        </w:rPr>
      </w:pPr>
      <w:r>
        <w:rPr>
          <w:rFonts w:ascii="宋体" w:hAnsi="宋体" w:eastAsia="宋体" w:cs="宋体"/>
          <w:color w:val="auto"/>
          <w:sz w:val="24"/>
          <w:highlight w:val="none"/>
        </w:rPr>
        <w:t>2</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《项目要求（采购需求）》</w:t>
      </w:r>
    </w:p>
    <w:p w14:paraId="3B1413C0">
      <w:pPr>
        <w:pBdr>
          <w:top w:val="none" w:color="000000" w:sz="0" w:space="0"/>
          <w:left w:val="none" w:color="000000" w:sz="0" w:space="0"/>
          <w:bottom w:val="none" w:color="000000" w:sz="0" w:space="0"/>
          <w:right w:val="none" w:color="000000" w:sz="0" w:space="0"/>
        </w:pBdr>
        <w:spacing w:before="0" w:after="0" w:line="400" w:lineRule="atLeast"/>
        <w:ind w:left="0" w:right="0" w:firstLine="482"/>
        <w:jc w:val="both"/>
        <w:rPr>
          <w:color w:val="auto"/>
          <w:highlight w:val="none"/>
        </w:rPr>
      </w:pPr>
      <w:r>
        <w:rPr>
          <w:rFonts w:ascii="宋体" w:hAnsi="宋体" w:eastAsia="宋体" w:cs="宋体"/>
          <w:color w:val="auto"/>
          <w:sz w:val="24"/>
          <w:highlight w:val="none"/>
        </w:rPr>
        <w:t>3</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《磋商报价表》</w:t>
      </w:r>
    </w:p>
    <w:p w14:paraId="33A0487B">
      <w:pPr>
        <w:pBdr>
          <w:top w:val="none" w:color="000000" w:sz="0" w:space="0"/>
          <w:left w:val="none" w:color="000000" w:sz="0" w:space="0"/>
          <w:bottom w:val="none" w:color="000000" w:sz="0" w:space="0"/>
          <w:right w:val="none" w:color="000000" w:sz="0" w:space="0"/>
        </w:pBdr>
        <w:spacing w:before="0" w:after="0" w:line="400" w:lineRule="atLeast"/>
        <w:ind w:left="0" w:right="0" w:firstLine="482"/>
        <w:jc w:val="both"/>
        <w:rPr>
          <w:color w:val="auto"/>
          <w:highlight w:val="none"/>
        </w:rPr>
      </w:pPr>
      <w:r>
        <w:rPr>
          <w:rFonts w:ascii="宋体" w:hAnsi="宋体" w:eastAsia="宋体" w:cs="宋体"/>
          <w:color w:val="auto"/>
          <w:sz w:val="24"/>
          <w:highlight w:val="none"/>
        </w:rPr>
        <w:t>4</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《分项价格表》</w:t>
      </w:r>
    </w:p>
    <w:p w14:paraId="5366F11D">
      <w:pPr>
        <w:pBdr>
          <w:top w:val="none" w:color="000000" w:sz="0" w:space="0"/>
          <w:left w:val="none" w:color="000000" w:sz="0" w:space="0"/>
          <w:bottom w:val="none" w:color="000000" w:sz="0" w:space="0"/>
          <w:right w:val="none" w:color="000000" w:sz="0" w:space="0"/>
        </w:pBdr>
        <w:spacing w:before="0" w:after="0" w:line="400" w:lineRule="atLeast"/>
        <w:ind w:left="0" w:right="0" w:firstLine="482"/>
        <w:jc w:val="both"/>
        <w:rPr>
          <w:color w:val="auto"/>
          <w:highlight w:val="none"/>
        </w:rPr>
      </w:pPr>
      <w:r>
        <w:rPr>
          <w:rFonts w:ascii="宋体" w:hAnsi="宋体" w:eastAsia="宋体" w:cs="宋体"/>
          <w:color w:val="auto"/>
          <w:sz w:val="24"/>
          <w:highlight w:val="none"/>
        </w:rPr>
        <w:t>5</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《偏离表》</w:t>
      </w:r>
    </w:p>
    <w:p w14:paraId="7A41370C">
      <w:pPr>
        <w:pBdr>
          <w:top w:val="none" w:color="000000" w:sz="0" w:space="0"/>
          <w:left w:val="none" w:color="000000" w:sz="0" w:space="0"/>
          <w:bottom w:val="none" w:color="000000" w:sz="0" w:space="0"/>
          <w:right w:val="none" w:color="000000" w:sz="0" w:space="0"/>
        </w:pBdr>
        <w:spacing w:before="0" w:after="0" w:line="400" w:lineRule="atLeast"/>
        <w:ind w:left="0" w:right="0" w:firstLine="482"/>
        <w:jc w:val="both"/>
        <w:rPr>
          <w:color w:val="auto"/>
          <w:highlight w:val="none"/>
        </w:rPr>
      </w:pPr>
      <w:r>
        <w:rPr>
          <w:rFonts w:ascii="宋体" w:hAnsi="宋体" w:eastAsia="宋体" w:cs="宋体"/>
          <w:color w:val="auto"/>
          <w:sz w:val="24"/>
          <w:highlight w:val="none"/>
        </w:rPr>
        <w:t>6</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《合同草案条款》</w:t>
      </w:r>
    </w:p>
    <w:p w14:paraId="3ED7C72B">
      <w:pPr>
        <w:pBdr>
          <w:top w:val="none" w:color="000000" w:sz="0" w:space="0"/>
          <w:left w:val="none" w:color="000000" w:sz="0" w:space="0"/>
          <w:bottom w:val="none" w:color="000000" w:sz="0" w:space="0"/>
          <w:right w:val="none" w:color="000000" w:sz="0" w:space="0"/>
        </w:pBdr>
        <w:spacing w:before="0" w:after="0" w:line="400" w:lineRule="atLeast"/>
        <w:ind w:left="0" w:right="0" w:firstLine="482"/>
        <w:jc w:val="both"/>
        <w:rPr>
          <w:color w:val="auto"/>
          <w:highlight w:val="none"/>
        </w:rPr>
      </w:pPr>
      <w:r>
        <w:rPr>
          <w:rFonts w:ascii="宋体" w:hAnsi="宋体" w:eastAsia="宋体" w:cs="宋体"/>
          <w:color w:val="auto"/>
          <w:sz w:val="24"/>
          <w:highlight w:val="none"/>
        </w:rPr>
        <w:t>7</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《承诺书》</w:t>
      </w:r>
    </w:p>
    <w:p w14:paraId="7E4AA86E">
      <w:pPr>
        <w:pBdr>
          <w:top w:val="none" w:color="000000" w:sz="0" w:space="0"/>
          <w:left w:val="none" w:color="000000" w:sz="0" w:space="0"/>
          <w:bottom w:val="none" w:color="000000" w:sz="0" w:space="0"/>
          <w:right w:val="none" w:color="000000" w:sz="0" w:space="0"/>
        </w:pBdr>
        <w:spacing w:before="0" w:after="0" w:line="400" w:lineRule="atLeast"/>
        <w:ind w:left="0" w:right="0" w:firstLine="482"/>
        <w:jc w:val="both"/>
        <w:rPr>
          <w:color w:val="auto"/>
          <w:highlight w:val="none"/>
        </w:rPr>
      </w:pPr>
      <w:r>
        <w:rPr>
          <w:rFonts w:ascii="宋体" w:hAnsi="宋体" w:eastAsia="宋体" w:cs="宋体"/>
          <w:color w:val="auto"/>
          <w:sz w:val="24"/>
          <w:highlight w:val="none"/>
        </w:rPr>
        <w:t>8</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《授权委托书》</w:t>
      </w:r>
    </w:p>
    <w:p w14:paraId="5742A539">
      <w:pPr>
        <w:pBdr>
          <w:top w:val="none" w:color="000000" w:sz="0" w:space="0"/>
          <w:left w:val="none" w:color="000000" w:sz="0" w:space="0"/>
          <w:bottom w:val="none" w:color="000000" w:sz="0" w:space="0"/>
          <w:right w:val="none" w:color="000000" w:sz="0" w:space="0"/>
        </w:pBdr>
        <w:spacing w:before="0" w:after="0" w:line="400" w:lineRule="atLeast"/>
        <w:ind w:left="0" w:right="0" w:firstLine="482"/>
        <w:jc w:val="both"/>
        <w:rPr>
          <w:color w:val="auto"/>
          <w:highlight w:val="none"/>
        </w:rPr>
      </w:pPr>
      <w:r>
        <w:rPr>
          <w:rFonts w:ascii="宋体" w:hAnsi="宋体" w:eastAsia="宋体" w:cs="宋体"/>
          <w:color w:val="auto"/>
          <w:sz w:val="24"/>
          <w:highlight w:val="none"/>
        </w:rPr>
        <w:t>9</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《中小企业声明函》</w:t>
      </w:r>
    </w:p>
    <w:p w14:paraId="439D57B4">
      <w:pPr>
        <w:pBdr>
          <w:top w:val="none" w:color="000000" w:sz="0" w:space="0"/>
          <w:left w:val="none" w:color="000000" w:sz="0" w:space="0"/>
          <w:bottom w:val="none" w:color="000000" w:sz="0" w:space="0"/>
          <w:right w:val="none" w:color="000000" w:sz="0" w:space="0"/>
        </w:pBdr>
        <w:spacing w:before="0" w:after="0" w:line="400" w:lineRule="atLeast"/>
        <w:ind w:left="0" w:right="0" w:firstLine="482"/>
        <w:jc w:val="both"/>
        <w:rPr>
          <w:color w:val="auto"/>
          <w:highlight w:val="none"/>
        </w:rPr>
      </w:pPr>
      <w:r>
        <w:rPr>
          <w:rFonts w:ascii="宋体" w:hAnsi="宋体" w:eastAsia="宋体" w:cs="宋体"/>
          <w:color w:val="auto"/>
          <w:sz w:val="24"/>
          <w:highlight w:val="none"/>
        </w:rPr>
        <w:t>10</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《供应商参加政府采购活动前3年内在经营活动中没有重大违法记录的书面声明》</w:t>
      </w:r>
    </w:p>
    <w:p w14:paraId="38F577A5">
      <w:pPr>
        <w:pBdr>
          <w:top w:val="none" w:color="000000" w:sz="0" w:space="0"/>
          <w:left w:val="none" w:color="000000" w:sz="0" w:space="0"/>
          <w:bottom w:val="none" w:color="000000" w:sz="0" w:space="0"/>
          <w:right w:val="none" w:color="000000" w:sz="0" w:space="0"/>
        </w:pBdr>
        <w:spacing w:before="0" w:after="0" w:line="400" w:lineRule="atLeast"/>
        <w:ind w:left="0" w:right="0" w:firstLine="482"/>
        <w:jc w:val="both"/>
        <w:rPr>
          <w:color w:val="auto"/>
          <w:highlight w:val="none"/>
        </w:rPr>
      </w:pPr>
      <w:r>
        <w:rPr>
          <w:rFonts w:ascii="宋体" w:hAnsi="宋体" w:eastAsia="宋体" w:cs="宋体"/>
          <w:color w:val="auto"/>
          <w:sz w:val="24"/>
          <w:highlight w:val="none"/>
        </w:rPr>
        <w:t>11</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《残疾人福利性单位声明函》</w:t>
      </w:r>
    </w:p>
    <w:p w14:paraId="7DBFD79F">
      <w:pPr>
        <w:pBdr>
          <w:top w:val="none" w:color="000000" w:sz="0" w:space="0"/>
          <w:left w:val="none" w:color="000000" w:sz="0" w:space="0"/>
          <w:bottom w:val="none" w:color="000000" w:sz="0" w:space="0"/>
          <w:right w:val="none" w:color="000000" w:sz="0" w:space="0"/>
        </w:pBdr>
        <w:spacing w:before="0" w:after="0" w:line="400" w:lineRule="atLeast"/>
        <w:ind w:left="0" w:right="0" w:firstLine="482"/>
        <w:jc w:val="left"/>
        <w:rPr>
          <w:color w:val="auto"/>
          <w:highlight w:val="none"/>
        </w:rPr>
      </w:pPr>
      <w:r>
        <w:rPr>
          <w:rFonts w:ascii="宋体" w:hAnsi="宋体" w:eastAsia="宋体" w:cs="宋体"/>
          <w:color w:val="auto"/>
          <w:sz w:val="24"/>
          <w:highlight w:val="none"/>
        </w:rPr>
        <w:t>12</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 xml:space="preserve">《具备履行合同所必需的设备和专业技术能力的书面声明（附证明材料）格式》 </w:t>
      </w:r>
      <w:r>
        <w:rPr>
          <w:rFonts w:ascii="宋体" w:hAnsi="宋体" w:eastAsia="宋体" w:cs="宋体"/>
          <w:color w:val="auto"/>
          <w:sz w:val="24"/>
          <w:highlight w:val="none"/>
        </w:rPr>
        <w:br w:type="textWrapping"/>
      </w:r>
      <w:r>
        <w:rPr>
          <w:rFonts w:ascii="宋体" w:hAnsi="宋体" w:eastAsia="宋体" w:cs="宋体"/>
          <w:color w:val="auto"/>
          <w:sz w:val="24"/>
          <w:highlight w:val="none"/>
        </w:rPr>
        <w:t>  13</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《预付款保函支付条款模板》</w:t>
      </w:r>
    </w:p>
    <w:p w14:paraId="58E6B73C">
      <w:pPr>
        <w:pBdr>
          <w:top w:val="none" w:color="000000" w:sz="0" w:space="0"/>
          <w:left w:val="none" w:color="000000" w:sz="0" w:space="0"/>
          <w:bottom w:val="none" w:color="000000" w:sz="0" w:space="0"/>
          <w:right w:val="none" w:color="000000" w:sz="0" w:space="0"/>
        </w:pBdr>
        <w:spacing w:before="0" w:after="0" w:line="400" w:lineRule="atLeast"/>
        <w:ind w:left="0" w:right="0" w:firstLine="482"/>
        <w:jc w:val="both"/>
        <w:rPr>
          <w:color w:val="auto"/>
          <w:highlight w:val="none"/>
        </w:rPr>
      </w:pPr>
      <w:r>
        <w:rPr>
          <w:rFonts w:ascii="宋体" w:hAnsi="宋体" w:eastAsia="宋体" w:cs="宋体"/>
          <w:color w:val="auto"/>
          <w:sz w:val="24"/>
          <w:highlight w:val="none"/>
        </w:rPr>
        <w:t>14</w:t>
      </w:r>
      <w:r>
        <w:rPr>
          <w:rFonts w:hint="eastAsia" w:ascii="宋体" w:hAnsi="宋体" w:cs="宋体"/>
          <w:color w:val="auto"/>
          <w:sz w:val="24"/>
          <w:highlight w:val="none"/>
          <w:lang w:val="en-US" w:eastAsia="zh-CN"/>
        </w:rPr>
        <w:t>.</w:t>
      </w:r>
      <w:r>
        <w:rPr>
          <w:rFonts w:ascii="宋体" w:hAnsi="宋体" w:eastAsia="宋体" w:cs="宋体"/>
          <w:color w:val="auto"/>
          <w:sz w:val="24"/>
          <w:highlight w:val="none"/>
        </w:rPr>
        <w:t>《代理服务收费标准》</w:t>
      </w:r>
    </w:p>
    <w:p w14:paraId="27948FC2">
      <w:pPr>
        <w:numPr>
          <w:ilvl w:val="0"/>
          <w:numId w:val="4"/>
        </w:numPr>
        <w:pBdr>
          <w:top w:val="none" w:color="000000" w:sz="0" w:space="0"/>
          <w:left w:val="none" w:color="000000" w:sz="0" w:space="0"/>
          <w:bottom w:val="none" w:color="000000" w:sz="0" w:space="0"/>
          <w:right w:val="none" w:color="000000" w:sz="0" w:space="0"/>
        </w:pBdr>
        <w:spacing w:before="0" w:after="0"/>
        <w:ind w:left="2310" w:leftChars="0" w:firstLineChars="0"/>
        <w:jc w:val="center"/>
        <w:rPr>
          <w:color w:val="auto"/>
          <w:highlight w:val="none"/>
        </w:rPr>
      </w:pPr>
      <w:bookmarkStart w:id="7" w:name="_GoBack"/>
      <w:bookmarkEnd w:id="7"/>
      <w:r>
        <w:rPr>
          <w:color w:val="auto"/>
          <w:highlight w:val="none"/>
        </w:rPr>
        <w:br w:type="page" w:clear="all"/>
      </w:r>
    </w:p>
    <w:p w14:paraId="5FDCC24A">
      <w:pPr>
        <w:numPr>
          <w:ilvl w:val="0"/>
          <w:numId w:val="0"/>
        </w:numPr>
        <w:pBdr>
          <w:top w:val="none" w:color="000000" w:sz="0" w:space="0"/>
          <w:left w:val="none" w:color="000000" w:sz="0" w:space="0"/>
          <w:bottom w:val="none" w:color="000000" w:sz="0" w:space="0"/>
          <w:right w:val="none" w:color="000000" w:sz="0" w:space="0"/>
        </w:pBdr>
        <w:spacing w:before="0" w:after="0"/>
        <w:jc w:val="center"/>
        <w:rPr>
          <w:color w:val="auto"/>
          <w:highlight w:val="none"/>
        </w:rPr>
      </w:pPr>
      <w:r>
        <w:rPr>
          <w:rFonts w:hint="eastAsia" w:ascii="宋体" w:hAnsi="宋体" w:cs="宋体"/>
          <w:b/>
          <w:color w:val="auto"/>
          <w:sz w:val="36"/>
          <w:highlight w:val="none"/>
          <w:lang w:val="en-US" w:eastAsia="zh-CN"/>
        </w:rPr>
        <w:t>1、</w:t>
      </w:r>
      <w:r>
        <w:rPr>
          <w:rFonts w:ascii="宋体" w:hAnsi="宋体" w:eastAsia="宋体" w:cs="宋体"/>
          <w:b/>
          <w:color w:val="auto"/>
          <w:sz w:val="36"/>
          <w:highlight w:val="none"/>
        </w:rPr>
        <w:t>评分细则</w:t>
      </w:r>
    </w:p>
    <w:tbl>
      <w:tblPr>
        <w:tblStyle w:val="51"/>
        <w:tblW w:w="10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559"/>
        <w:gridCol w:w="7497"/>
      </w:tblGrid>
      <w:tr w14:paraId="42678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2662" w:type="dxa"/>
            <w:gridSpan w:val="2"/>
            <w:noWrap w:val="0"/>
            <w:vAlign w:val="center"/>
          </w:tcPr>
          <w:p w14:paraId="6A250BB7">
            <w:pPr>
              <w:widowControl/>
              <w:jc w:val="center"/>
              <w:rPr>
                <w:rFonts w:hint="eastAsia" w:ascii="宋体" w:hAnsi="宋体" w:eastAsia="宋体" w:cs="宋体"/>
                <w:b/>
                <w:bCs/>
                <w:color w:val="auto"/>
                <w:sz w:val="24"/>
                <w:szCs w:val="24"/>
                <w:highlight w:val="none"/>
                <w:lang w:val="en-US" w:eastAsia="zh-Hans"/>
              </w:rPr>
            </w:pPr>
            <w:r>
              <w:rPr>
                <w:rFonts w:hint="eastAsia" w:ascii="宋体" w:hAnsi="宋体" w:eastAsia="宋体" w:cs="宋体"/>
                <w:b/>
                <w:bCs/>
                <w:color w:val="auto"/>
                <w:sz w:val="24"/>
                <w:szCs w:val="24"/>
                <w:highlight w:val="none"/>
                <w:lang w:val="en-US" w:eastAsia="zh-CN"/>
              </w:rPr>
              <w:t>项目分值</w:t>
            </w:r>
          </w:p>
        </w:tc>
        <w:tc>
          <w:tcPr>
            <w:tcW w:w="7497" w:type="dxa"/>
            <w:noWrap w:val="0"/>
            <w:vAlign w:val="center"/>
          </w:tcPr>
          <w:p w14:paraId="085D6238">
            <w:pPr>
              <w:widowControl/>
              <w:jc w:val="center"/>
              <w:rPr>
                <w:rFonts w:hint="eastAsia" w:ascii="宋体" w:hAnsi="宋体" w:eastAsia="宋体" w:cs="宋体"/>
                <w:b/>
                <w:bCs/>
                <w:color w:val="auto"/>
                <w:sz w:val="24"/>
                <w:szCs w:val="24"/>
                <w:highlight w:val="none"/>
                <w:lang w:val="en-US" w:eastAsia="zh-Hans"/>
              </w:rPr>
            </w:pPr>
            <w:r>
              <w:rPr>
                <w:rFonts w:hint="eastAsia" w:ascii="宋体" w:hAnsi="宋体" w:eastAsia="宋体" w:cs="宋体"/>
                <w:b/>
                <w:bCs/>
                <w:color w:val="auto"/>
                <w:sz w:val="24"/>
                <w:szCs w:val="24"/>
                <w:highlight w:val="none"/>
                <w:lang w:val="en-US" w:eastAsia="zh-CN"/>
              </w:rPr>
              <w:t>评分标准</w:t>
            </w:r>
          </w:p>
        </w:tc>
      </w:tr>
      <w:tr w14:paraId="5EBCC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1" w:hRule="atLeast"/>
          <w:jc w:val="center"/>
        </w:trPr>
        <w:tc>
          <w:tcPr>
            <w:tcW w:w="2662" w:type="dxa"/>
            <w:gridSpan w:val="2"/>
            <w:noWrap w:val="0"/>
            <w:vAlign w:val="center"/>
          </w:tcPr>
          <w:p w14:paraId="0AEC9FA7">
            <w:pPr>
              <w:widowControl/>
              <w:ind w:firstLine="660"/>
              <w:jc w:val="both"/>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报价</w:t>
            </w:r>
            <w:r>
              <w:rPr>
                <w:rFonts w:hint="eastAsia" w:ascii="宋体" w:hAnsi="宋体" w:cs="宋体"/>
                <w:b/>
                <w:bCs/>
                <w:color w:val="auto"/>
                <w:sz w:val="24"/>
                <w:szCs w:val="24"/>
                <w:highlight w:val="none"/>
                <w:lang w:val="en-US" w:eastAsia="zh-CN"/>
              </w:rPr>
              <w:t>部分</w:t>
            </w:r>
          </w:p>
          <w:p w14:paraId="7BD2775E">
            <w:pPr>
              <w:widowControl/>
              <w:ind w:firstLine="440"/>
              <w:jc w:val="both"/>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w:t>
            </w:r>
            <w:r>
              <w:rPr>
                <w:rFonts w:hint="eastAsia" w:ascii="宋体" w:hAnsi="宋体" w:cs="宋体"/>
                <w:b/>
                <w:bCs/>
                <w:color w:val="auto"/>
                <w:sz w:val="24"/>
                <w:szCs w:val="24"/>
                <w:highlight w:val="none"/>
                <w:lang w:val="en-US" w:eastAsia="zh-CN"/>
              </w:rPr>
              <w:t>5</w:t>
            </w:r>
            <w:r>
              <w:rPr>
                <w:rFonts w:hint="eastAsia" w:ascii="宋体" w:hAnsi="宋体" w:eastAsia="宋体" w:cs="宋体"/>
                <w:b/>
                <w:bCs/>
                <w:color w:val="auto"/>
                <w:sz w:val="24"/>
                <w:szCs w:val="24"/>
                <w:highlight w:val="none"/>
                <w:lang w:val="en-US" w:eastAsia="zh-CN"/>
              </w:rPr>
              <w:t>分）</w:t>
            </w:r>
          </w:p>
        </w:tc>
        <w:tc>
          <w:tcPr>
            <w:tcW w:w="7497" w:type="dxa"/>
            <w:noWrap w:val="0"/>
            <w:vAlign w:val="center"/>
          </w:tcPr>
          <w:p w14:paraId="7C6EF88F">
            <w:pPr>
              <w:widowControl/>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采用低价优先法计算，即满足磋商文件要求且最后报价最低的供应商的价格为磋商基准价，其价格分为满分。其他供应商的价格分统一按照下列公式计算：磋商报价得分=（磋商基准价/最后磋商报价）×1</w:t>
            </w:r>
            <w:r>
              <w:rPr>
                <w:rFonts w:hint="eastAsia" w:ascii="宋体" w:hAnsi="宋体" w:cs="宋体"/>
                <w:color w:val="auto"/>
                <w:sz w:val="24"/>
                <w:szCs w:val="24"/>
                <w:highlight w:val="none"/>
                <w:lang w:val="en-US" w:eastAsia="zh-CN"/>
              </w:rPr>
              <w:t>5</w:t>
            </w:r>
          </w:p>
          <w:p w14:paraId="70C6C499">
            <w:pPr>
              <w:widowControl/>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（按四舍五入取至小数点后两位）</w:t>
            </w:r>
          </w:p>
          <w:p w14:paraId="4CC0F67B">
            <w:pPr>
              <w:widowControl/>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服务全部由符合政策要求的小微企业、监狱企业、享受政府采购支持政策的残疾人福利性单位承接的（以</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提供的《中小企业声明函》、监狱企业证明文件和《残疾人福利性单位声明函》等相关材料为准），给予10%的价格扣除，用扣除后的价格参加评审。该</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的评审价格=《开标一览表》中的“总价”*（100%-10%）</w:t>
            </w:r>
          </w:p>
        </w:tc>
      </w:tr>
      <w:tr w14:paraId="2D6D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2" w:hRule="atLeast"/>
          <w:jc w:val="center"/>
        </w:trPr>
        <w:tc>
          <w:tcPr>
            <w:tcW w:w="1103" w:type="dxa"/>
            <w:vMerge w:val="restart"/>
            <w:noWrap w:val="0"/>
            <w:vAlign w:val="center"/>
          </w:tcPr>
          <w:p w14:paraId="4EAAEE03">
            <w:pPr>
              <w:widowControl/>
              <w:jc w:val="center"/>
              <w:rPr>
                <w:rFonts w:hint="eastAsia" w:ascii="宋体" w:hAnsi="宋体" w:eastAsia="宋体" w:cs="宋体"/>
                <w:b/>
                <w:bCs/>
                <w:color w:val="auto"/>
                <w:sz w:val="24"/>
                <w:szCs w:val="24"/>
                <w:highlight w:val="none"/>
                <w:lang w:val="en-US" w:eastAsia="zh-Hans"/>
              </w:rPr>
            </w:pPr>
            <w:r>
              <w:rPr>
                <w:rFonts w:hint="eastAsia" w:ascii="宋体" w:hAnsi="宋体" w:eastAsia="宋体" w:cs="宋体"/>
                <w:b/>
                <w:bCs/>
                <w:color w:val="auto"/>
                <w:sz w:val="24"/>
                <w:szCs w:val="24"/>
                <w:highlight w:val="none"/>
                <w:lang w:val="en-US" w:eastAsia="zh-Hans"/>
              </w:rPr>
              <w:t>技术部分</w:t>
            </w:r>
          </w:p>
          <w:p w14:paraId="302E58F7">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81</w:t>
            </w:r>
            <w:r>
              <w:rPr>
                <w:rFonts w:hint="eastAsia" w:ascii="宋体" w:hAnsi="宋体" w:eastAsia="宋体" w:cs="宋体"/>
                <w:b/>
                <w:bCs/>
                <w:color w:val="auto"/>
                <w:sz w:val="24"/>
                <w:szCs w:val="24"/>
                <w:highlight w:val="none"/>
                <w:lang w:val="en-US" w:eastAsia="zh-CN"/>
              </w:rPr>
              <w:t>分）</w:t>
            </w:r>
          </w:p>
        </w:tc>
        <w:tc>
          <w:tcPr>
            <w:tcW w:w="1559" w:type="dxa"/>
            <w:noWrap w:val="0"/>
            <w:vAlign w:val="center"/>
          </w:tcPr>
          <w:p w14:paraId="5BEC71F6">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rPr>
              <w:t>项目整体实施方案</w:t>
            </w:r>
            <w:r>
              <w:rPr>
                <w:rFonts w:hint="eastAsia" w:ascii="宋体" w:hAnsi="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lang w:val="en-US" w:eastAsia="zh-CN"/>
              </w:rPr>
              <w:t>（12分）</w:t>
            </w:r>
          </w:p>
        </w:tc>
        <w:tc>
          <w:tcPr>
            <w:tcW w:w="7497" w:type="dxa"/>
            <w:shd w:val="clear" w:color="auto" w:fill="auto"/>
            <w:noWrap w:val="0"/>
            <w:vAlign w:val="center"/>
          </w:tcPr>
          <w:p w14:paraId="23598D3B">
            <w:pP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根据</w:t>
            </w:r>
            <w:r>
              <w:rPr>
                <w:rFonts w:hint="eastAsia" w:ascii="宋体" w:hAnsi="宋体" w:cs="宋体"/>
                <w:b w:val="0"/>
                <w:bCs w:val="0"/>
                <w:color w:val="auto"/>
                <w:sz w:val="24"/>
                <w:szCs w:val="24"/>
                <w:highlight w:val="none"/>
                <w:lang w:eastAsia="zh-CN"/>
              </w:rPr>
              <w:t>响应文件</w:t>
            </w:r>
            <w:r>
              <w:rPr>
                <w:rFonts w:hint="eastAsia" w:ascii="宋体" w:hAnsi="宋体" w:eastAsia="宋体" w:cs="宋体"/>
                <w:b w:val="0"/>
                <w:bCs w:val="0"/>
                <w:color w:val="auto"/>
                <w:sz w:val="24"/>
                <w:szCs w:val="24"/>
                <w:highlight w:val="none"/>
              </w:rPr>
              <w:t>中针对本项目土山汉墓考古报告学术属性、项目周期、交付标准，制定完整、科学、针对性强的全流程实施方案，包含但不限于项目整体推进计划、阶段划分、节点管控、项目重难点分析、风险预判及应对措施、整体统筹保障机制进行综合评分。</w:t>
            </w:r>
          </w:p>
          <w:p w14:paraId="732DFDFE">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（1）全面性（4分）</w:t>
            </w:r>
          </w:p>
          <w:p w14:paraId="75982137">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方案完整覆盖项目整体推进计划、阶段划分、节点管控、重难点分析、风险预判及应对措施、整体统筹保障机制等全部要素，且每个要素均有具体细化的执行内容，各环节衔接紧密、逻辑严谨的，得4分；覆盖大部分要素但个别内容简略或逻辑衔接不够紧密的，得2分；仅覆盖少量要素或内容空泛的，得1分；未提供的得0分。</w:t>
            </w:r>
          </w:p>
          <w:p w14:paraId="2B78071A">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（2）针对性（4分）</w:t>
            </w:r>
          </w:p>
          <w:p w14:paraId="2C0EFCD8">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方案完全贴合本项目土山汉墓考古报告出版重难点分析精准、应对措施完全针对本项目实际需求的，得4分；方案与项目需求基本匹配，重难点分析有一定指向性但缺乏针对考古出版特殊性的精细化措施的，得2分；方案内容未能体现对本项目独有特点的深入理解的，得1分；未提供的得0分。</w:t>
            </w:r>
          </w:p>
          <w:p w14:paraId="2304DDDE">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（3）可行性（4分）：</w:t>
            </w:r>
          </w:p>
          <w:p w14:paraId="5CB55B46">
            <w:pPr>
              <w:numPr>
                <w:ilvl w:val="0"/>
                <w:numId w:val="0"/>
              </w:numPr>
              <w:ind w:left="0" w:leftChars="0" w:firstLine="0" w:firstLineChars="0"/>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val="0"/>
                <w:bCs w:val="0"/>
                <w:color w:val="auto"/>
                <w:sz w:val="24"/>
                <w:szCs w:val="24"/>
                <w:highlight w:val="none"/>
              </w:rPr>
              <w:t>方案中各阶段划分合理、时间节点明确、风险防控措施可操作、统筹保障机制能够在合同约定的12个月内落地执行的，得4分；方案总体可行但部分环节安排偏紧或保障措施不够细致的，得2分；方案存在明显逻辑漏洞、时间安排不切实际或难以落地的，得1分；未提供的得0分。</w:t>
            </w:r>
          </w:p>
        </w:tc>
      </w:tr>
      <w:tr w14:paraId="2C235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9" w:hRule="atLeast"/>
          <w:jc w:val="center"/>
        </w:trPr>
        <w:tc>
          <w:tcPr>
            <w:tcW w:w="1103" w:type="dxa"/>
            <w:vMerge w:val="continue"/>
            <w:noWrap w:val="0"/>
            <w:vAlign w:val="center"/>
          </w:tcPr>
          <w:p w14:paraId="2E3C8BB9">
            <w:pPr>
              <w:widowControl/>
              <w:jc w:val="center"/>
              <w:rPr>
                <w:rFonts w:hint="eastAsia" w:ascii="宋体" w:hAnsi="宋体" w:eastAsia="宋体" w:cs="宋体"/>
                <w:color w:val="auto"/>
                <w:sz w:val="24"/>
                <w:szCs w:val="24"/>
                <w:highlight w:val="none"/>
                <w:lang w:val="en-US" w:eastAsia="zh-CN"/>
              </w:rPr>
            </w:pPr>
          </w:p>
        </w:tc>
        <w:tc>
          <w:tcPr>
            <w:tcW w:w="1559" w:type="dxa"/>
            <w:noWrap w:val="0"/>
            <w:vAlign w:val="center"/>
          </w:tcPr>
          <w:p w14:paraId="102C19C1">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rPr>
              <w:t>考古文稿整编与三级编审、多轮校对方案</w:t>
            </w:r>
            <w:r>
              <w:rPr>
                <w:rFonts w:hint="eastAsia" w:ascii="宋体" w:hAnsi="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lang w:val="en-US" w:eastAsia="zh-CN"/>
              </w:rPr>
              <w:t>（12分）</w:t>
            </w:r>
          </w:p>
        </w:tc>
        <w:tc>
          <w:tcPr>
            <w:tcW w:w="7497" w:type="dxa"/>
            <w:noWrap w:val="0"/>
            <w:vAlign w:val="center"/>
          </w:tcPr>
          <w:p w14:paraId="75C6CFDA">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根据</w:t>
            </w:r>
            <w:r>
              <w:rPr>
                <w:rFonts w:hint="eastAsia" w:ascii="宋体" w:hAnsi="宋体" w:cs="宋体"/>
                <w:b w:val="0"/>
                <w:bCs w:val="0"/>
                <w:color w:val="auto"/>
                <w:sz w:val="24"/>
                <w:szCs w:val="24"/>
                <w:highlight w:val="none"/>
                <w:lang w:eastAsia="zh-CN"/>
              </w:rPr>
              <w:t>响应文件</w:t>
            </w:r>
            <w:r>
              <w:rPr>
                <w:rFonts w:hint="eastAsia" w:ascii="宋体" w:hAnsi="宋体" w:eastAsia="宋体" w:cs="宋体"/>
                <w:b w:val="0"/>
                <w:bCs w:val="0"/>
                <w:color w:val="auto"/>
                <w:sz w:val="24"/>
                <w:szCs w:val="24"/>
                <w:highlight w:val="none"/>
              </w:rPr>
              <w:t>中针对考古报告专业特性，制定适合汉代诸侯王墓葬报告的文稿整编、术语统一、体例规范、三级编审、多轮校对及专家配合服务方案，包含但不限于文稿梳理整编、术语编号统一、三级分级编审、六类专项校对、多轮修改台账留存、专家组及主管部门审稿配合全流程进行综合评分。</w:t>
            </w:r>
          </w:p>
          <w:p w14:paraId="524D4445">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（1）全面性（4分）</w:t>
            </w:r>
          </w:p>
          <w:p w14:paraId="6314576C">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方案体系完善，完整覆盖文稿梳理整编、术语编号统一、三级编审、六类专项校对、多轮修改台账留存、专家组及主管部门审稿配合全流程，且每个环节均有具体操作规范的，得4分；覆盖核心编审、校对流程但个别专项环节缺失或简略的，得2分；仅阐述基础出版流程，无专项校对、台账管理等细化内容的，得1分；未提供的得0分。</w:t>
            </w:r>
          </w:p>
          <w:p w14:paraId="074BDA60">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（2）针对性（4分）</w:t>
            </w:r>
          </w:p>
          <w:p w14:paraId="6941043E">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方案完全贴合考古报告学术出版标准，针对汉代诸侯王墓葬报告的特点，制定了专门的术语统一规范和数据核对机制的，得4分；方案符合考古出版基本规范，但未充分体现对本项目庞大体量和复杂数据特点的针对性设计的，得2分；方案为通用出版流程，缺乏考古专业特性的，得1分；未提供的得0分。</w:t>
            </w:r>
          </w:p>
          <w:p w14:paraId="14D3E272">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（3）可行性（4分）：</w:t>
            </w:r>
          </w:p>
          <w:p w14:paraId="0D7EB114">
            <w:pPr>
              <w:widowControl/>
              <w:jc w:val="left"/>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rPr>
              <w:t>方案中各环节操作流程明确、三级编审责任落实到岗、校对周期安排合理、修改台账管理规范、专家组审稿配合渠道畅通，能够在合同约定的12个月内高效完成的，得4分；方案基本可行但部分环节职责划分不够清晰或审稿配合机制不够细化的，得2分；方案存在流程缺失或安排明显不合理、难以支撑项目按期完成的，得1分；未提供的得0分。</w:t>
            </w:r>
          </w:p>
        </w:tc>
      </w:tr>
      <w:tr w14:paraId="7D4BB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6" w:hRule="atLeast"/>
          <w:jc w:val="center"/>
        </w:trPr>
        <w:tc>
          <w:tcPr>
            <w:tcW w:w="1103" w:type="dxa"/>
            <w:vMerge w:val="continue"/>
            <w:noWrap w:val="0"/>
            <w:vAlign w:val="center"/>
          </w:tcPr>
          <w:p w14:paraId="5320DF3E">
            <w:pPr>
              <w:widowControl/>
              <w:jc w:val="center"/>
              <w:rPr>
                <w:rFonts w:hint="eastAsia" w:ascii="宋体" w:hAnsi="宋体" w:eastAsia="宋体" w:cs="宋体"/>
                <w:color w:val="auto"/>
                <w:sz w:val="24"/>
                <w:szCs w:val="24"/>
                <w:highlight w:val="none"/>
                <w:lang w:val="en-US" w:eastAsia="zh-CN"/>
              </w:rPr>
            </w:pPr>
          </w:p>
        </w:tc>
        <w:tc>
          <w:tcPr>
            <w:tcW w:w="1559" w:type="dxa"/>
            <w:noWrap w:val="0"/>
            <w:vAlign w:val="center"/>
          </w:tcPr>
          <w:p w14:paraId="59E5BE5C">
            <w:pP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考古图文、线图、拓片专业处理方案（12分） </w:t>
            </w:r>
          </w:p>
          <w:p w14:paraId="034A2E99">
            <w:pPr>
              <w:widowControl/>
              <w:jc w:val="center"/>
              <w:rPr>
                <w:rFonts w:hint="eastAsia" w:ascii="宋体" w:hAnsi="宋体" w:eastAsia="宋体" w:cs="宋体"/>
                <w:color w:val="auto"/>
                <w:sz w:val="24"/>
                <w:szCs w:val="24"/>
                <w:highlight w:val="none"/>
                <w:lang w:val="en-US" w:eastAsia="zh-Hans"/>
              </w:rPr>
            </w:pPr>
          </w:p>
        </w:tc>
        <w:tc>
          <w:tcPr>
            <w:tcW w:w="7497" w:type="dxa"/>
            <w:noWrap w:val="0"/>
            <w:vAlign w:val="center"/>
          </w:tcPr>
          <w:p w14:paraId="0E56377B">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根据</w:t>
            </w:r>
            <w:r>
              <w:rPr>
                <w:rFonts w:hint="eastAsia" w:ascii="宋体" w:hAnsi="宋体" w:cs="宋体"/>
                <w:b w:val="0"/>
                <w:bCs w:val="0"/>
                <w:color w:val="auto"/>
                <w:sz w:val="24"/>
                <w:szCs w:val="24"/>
                <w:highlight w:val="none"/>
                <w:lang w:eastAsia="zh-CN"/>
              </w:rPr>
              <w:t>响应文件</w:t>
            </w:r>
            <w:r>
              <w:rPr>
                <w:rFonts w:hint="eastAsia" w:ascii="宋体" w:hAnsi="宋体" w:eastAsia="宋体" w:cs="宋体"/>
                <w:b w:val="0"/>
                <w:bCs w:val="0"/>
                <w:color w:val="auto"/>
                <w:sz w:val="24"/>
                <w:szCs w:val="24"/>
                <w:highlight w:val="none"/>
              </w:rPr>
              <w:t>中针对本项目墓葬照片、文物影像、平剖面图、测绘线图、封泥拓片、铭文素材等专属图料，制定高清修复、校色还原、规范编排、图文对应、源文件归档的专项处理方案，包含但不限于瑕疵修复、除尘匀光、色彩真实还原、线条铭文清晰优化、图号图注规范编制、图文精准对应、分类型图版编排、高清源文件归档全套措施进行综合评分。</w:t>
            </w:r>
          </w:p>
          <w:p w14:paraId="167C60B0">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（1）全面性（</w:t>
            </w: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分）</w:t>
            </w:r>
          </w:p>
          <w:p w14:paraId="13C35373">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方案细化全面，完整覆盖瑕疵修复、除尘匀光、色彩还原、线条/铭文优化、图号图注编制、图文对应、图版分类编排、源文件归档全部环节，且明确各环节技术标准和操作规范，符合300dpi出版要求的，得</w:t>
            </w: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分；覆盖核心图文处理流程但个别专项细节存在不足的，得2分；仅包含常规图片裁剪和基础排版，缺乏针对考古线图、拓片、铭文专业处理措施的，得1分；未提供的得0分。</w:t>
            </w:r>
          </w:p>
          <w:p w14:paraId="4A5F6DBE">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（2）针对性（4分）</w:t>
            </w:r>
          </w:p>
          <w:p w14:paraId="7D94DF05">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方案完全针对本项目图料特点，制定了分类型差异化处理标准，对不同材质文物的色彩还原、拓片去底、线条矢量化有专门技术方案的，得4分；方案符合考古图版出版基本要求，但未能充分体现对不同类型图料差异化处理的，得2分；方案为通用图片处理流程，无针对考古图料的专业措施的，得1分；未提供的得0分。</w:t>
            </w:r>
          </w:p>
          <w:p w14:paraId="4BA94C01">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（3）可行性（</w:t>
            </w: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分）：</w:t>
            </w:r>
          </w:p>
          <w:p w14:paraId="03FBC417">
            <w:pPr>
              <w:widowControl/>
              <w:jc w:val="left"/>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rPr>
              <w:t>方案中各项处理措施操作性强，处理周期安排合理，源文件归档格式明确，能够在项目周期内完成全部图料处理的，得</w:t>
            </w: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分；方案总体可行但部分环节技术标准不够明确或归档格式不完整的，得2分；方案缺乏具体操作细节或处理周期安排不合理的，得1分；未提供的得0分。</w:t>
            </w:r>
          </w:p>
        </w:tc>
      </w:tr>
      <w:tr w14:paraId="7410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jc w:val="center"/>
        </w:trPr>
        <w:tc>
          <w:tcPr>
            <w:tcW w:w="1103" w:type="dxa"/>
            <w:vMerge w:val="continue"/>
            <w:noWrap w:val="0"/>
            <w:vAlign w:val="center"/>
          </w:tcPr>
          <w:p w14:paraId="133BD06C">
            <w:pPr>
              <w:widowControl/>
              <w:jc w:val="center"/>
              <w:rPr>
                <w:rFonts w:hint="eastAsia" w:ascii="宋体" w:hAnsi="宋体" w:eastAsia="宋体" w:cs="宋体"/>
                <w:color w:val="auto"/>
                <w:sz w:val="24"/>
                <w:szCs w:val="24"/>
                <w:highlight w:val="none"/>
                <w:lang w:val="en-US" w:eastAsia="zh-CN"/>
              </w:rPr>
            </w:pPr>
          </w:p>
        </w:tc>
        <w:tc>
          <w:tcPr>
            <w:tcW w:w="1559" w:type="dxa"/>
            <w:noWrap w:val="0"/>
            <w:vAlign w:val="center"/>
          </w:tcPr>
          <w:p w14:paraId="7750DEAA">
            <w:pPr>
              <w:numPr>
                <w:ilvl w:val="0"/>
                <w:numId w:val="0"/>
              </w:numPr>
              <w:ind w:left="0" w:leftChars="0" w:firstLine="0" w:firstLine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装帧印刷工艺与质量控制方案</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（10分）</w:t>
            </w:r>
          </w:p>
          <w:p w14:paraId="3F4CBD0A">
            <w:pPr>
              <w:widowControl/>
              <w:jc w:val="center"/>
              <w:rPr>
                <w:rFonts w:hint="eastAsia" w:ascii="宋体" w:hAnsi="宋体" w:eastAsia="宋体" w:cs="宋体"/>
                <w:color w:val="auto"/>
                <w:sz w:val="24"/>
                <w:szCs w:val="24"/>
                <w:highlight w:val="none"/>
                <w:lang w:val="en-US" w:eastAsia="zh-CN"/>
              </w:rPr>
            </w:pPr>
          </w:p>
        </w:tc>
        <w:tc>
          <w:tcPr>
            <w:tcW w:w="7497" w:type="dxa"/>
            <w:shd w:val="clear" w:color="auto" w:fill="auto"/>
            <w:noWrap w:val="0"/>
            <w:vAlign w:val="center"/>
          </w:tcPr>
          <w:p w14:paraId="1369E37C">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根据</w:t>
            </w:r>
            <w:r>
              <w:rPr>
                <w:rFonts w:hint="eastAsia" w:ascii="宋体" w:hAnsi="宋体" w:cs="宋体"/>
                <w:b w:val="0"/>
                <w:bCs w:val="0"/>
                <w:color w:val="auto"/>
                <w:sz w:val="24"/>
                <w:szCs w:val="24"/>
                <w:highlight w:val="none"/>
                <w:lang w:eastAsia="zh-CN"/>
              </w:rPr>
              <w:t>响应文件</w:t>
            </w:r>
            <w:r>
              <w:rPr>
                <w:rFonts w:hint="eastAsia" w:ascii="宋体" w:hAnsi="宋体" w:eastAsia="宋体" w:cs="宋体"/>
                <w:b w:val="0"/>
                <w:bCs w:val="0"/>
                <w:color w:val="auto"/>
                <w:sz w:val="24"/>
                <w:szCs w:val="24"/>
                <w:highlight w:val="none"/>
              </w:rPr>
              <w:t>中针对本项目装帧印刷需求，制定纸张选型、绿色环保印刷措施、胶印色彩管理及套印精准度控制、锁线精装工艺细节以及全过程质量监控方案进行综合评分。</w:t>
            </w:r>
          </w:p>
          <w:p w14:paraId="49207197">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（1）全面性（3分）：</w:t>
            </w:r>
          </w:p>
          <w:p w14:paraId="478DFA17">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方案完整覆盖纸张选型、绿色环保印刷、胶印色彩管理与套印精度控制、锁线精装防脱胶工艺细节、全过程质量监控全部环节，且技术参数具体明确的，得3分；材料及工艺符合采购需求，有基本的环保和质控措施，但工艺细节描述不够详尽的，得2分；材料及工艺描述简单，缺乏具体的色彩管理、防脱胶等质量保障技术细节的，得1分；未提供的得0分。</w:t>
            </w:r>
          </w:p>
          <w:p w14:paraId="6B7A3F31">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（2）针对性（3分）：</w:t>
            </w:r>
          </w:p>
          <w:p w14:paraId="1B51922D">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方案完全针对本项目七卷册、多色混排、大印量的特点，制定了差异化的印刷质量控制标准，对封泥卷占比最高的全彩印刷有专门的色彩还原保障措施的，得3分；方案满足本项目基本印制需求，但未能充分体现对大批量、多色混排特点的针对性控制的，得2分；方案为通用印刷工艺描述，无针对本项目特点的专门措施的，得1分；未提供的得0分。</w:t>
            </w:r>
          </w:p>
          <w:p w14:paraId="1BEFD774">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（3）可行性（4分）：</w:t>
            </w:r>
          </w:p>
          <w:p w14:paraId="5BDAAD0B">
            <w:pPr>
              <w:numPr>
                <w:ilvl w:val="0"/>
                <w:numId w:val="0"/>
              </w:numPr>
              <w:ind w:left="0" w:leftChars="0" w:firstLine="0" w:firstLineChars="0"/>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val="0"/>
                <w:bCs w:val="0"/>
                <w:color w:val="auto"/>
                <w:sz w:val="24"/>
                <w:szCs w:val="24"/>
                <w:highlight w:val="none"/>
              </w:rPr>
              <w:t>方案中选型材料市场供应充足、印刷参数明确、色彩管理流程清晰、防脱胶工艺可操作、质控标准符合国家基础要求、全流程监控落实到具体环节的，得4分；方案总体可行，符合国家图书印制质量标准，但部分工艺细节或质控节点不够明确的，得2分；方案存在技术缺陷或质控标准不明确的，得1分；未提供的得0分。</w:t>
            </w:r>
          </w:p>
        </w:tc>
      </w:tr>
      <w:tr w14:paraId="6A5FC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9" w:hRule="atLeast"/>
          <w:jc w:val="center"/>
        </w:trPr>
        <w:tc>
          <w:tcPr>
            <w:tcW w:w="1103" w:type="dxa"/>
            <w:vMerge w:val="continue"/>
            <w:noWrap w:val="0"/>
            <w:vAlign w:val="center"/>
          </w:tcPr>
          <w:p w14:paraId="1CA0B7D9">
            <w:pPr>
              <w:widowControl/>
              <w:jc w:val="center"/>
              <w:rPr>
                <w:rFonts w:hint="eastAsia" w:ascii="宋体" w:hAnsi="宋体" w:eastAsia="宋体" w:cs="宋体"/>
                <w:color w:val="auto"/>
                <w:sz w:val="24"/>
                <w:szCs w:val="24"/>
                <w:highlight w:val="none"/>
                <w:lang w:val="en-US" w:eastAsia="zh-CN"/>
              </w:rPr>
            </w:pPr>
          </w:p>
        </w:tc>
        <w:tc>
          <w:tcPr>
            <w:tcW w:w="1559" w:type="dxa"/>
            <w:noWrap w:val="0"/>
            <w:vAlign w:val="center"/>
          </w:tcPr>
          <w:p w14:paraId="318810A8">
            <w:pPr>
              <w:numPr>
                <w:ilvl w:val="0"/>
                <w:numId w:val="0"/>
              </w:numPr>
              <w:ind w:left="0" w:leftChars="0" w:firstLine="0" w:firstLine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项目团队配置与专业能力保障</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（10分）</w:t>
            </w:r>
          </w:p>
          <w:p w14:paraId="39B8ED5C">
            <w:pPr>
              <w:widowControl/>
              <w:jc w:val="center"/>
              <w:rPr>
                <w:rFonts w:hint="eastAsia" w:ascii="宋体" w:hAnsi="宋体" w:eastAsia="宋体" w:cs="宋体"/>
                <w:color w:val="auto"/>
                <w:sz w:val="24"/>
                <w:szCs w:val="24"/>
                <w:highlight w:val="none"/>
                <w:lang w:val="en-US" w:eastAsia="zh-CN"/>
              </w:rPr>
            </w:pPr>
          </w:p>
        </w:tc>
        <w:tc>
          <w:tcPr>
            <w:tcW w:w="7497" w:type="dxa"/>
            <w:noWrap w:val="0"/>
            <w:vAlign w:val="center"/>
          </w:tcPr>
          <w:p w14:paraId="57A5CAAE">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根据</w:t>
            </w:r>
            <w:r>
              <w:rPr>
                <w:rFonts w:hint="eastAsia" w:ascii="宋体" w:hAnsi="宋体" w:cs="宋体"/>
                <w:b w:val="0"/>
                <w:bCs w:val="0"/>
                <w:color w:val="auto"/>
                <w:sz w:val="24"/>
                <w:szCs w:val="24"/>
                <w:highlight w:val="none"/>
                <w:lang w:eastAsia="zh-CN"/>
              </w:rPr>
              <w:t>响应文件</w:t>
            </w:r>
            <w:r>
              <w:rPr>
                <w:rFonts w:hint="eastAsia" w:ascii="宋体" w:hAnsi="宋体" w:eastAsia="宋体" w:cs="宋体"/>
                <w:b w:val="0"/>
                <w:bCs w:val="0"/>
                <w:color w:val="auto"/>
                <w:sz w:val="24"/>
                <w:szCs w:val="24"/>
                <w:highlight w:val="none"/>
              </w:rPr>
              <w:t>中针对本项目实施需求，制定项目团队组织架构及各岗位职责分工方案，包含但不限于团队组织架构图、各岗位职责分工、项目负责人及责任编辑资质与履历、考古专业编辑力量及考古专业顾问资源的配备情况、团队人员稳定性保障措施进行综合评分。</w:t>
            </w:r>
          </w:p>
          <w:p w14:paraId="66F23754">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bCs/>
                <w:color w:val="auto"/>
                <w:sz w:val="24"/>
                <w:szCs w:val="24"/>
                <w:highlight w:val="none"/>
              </w:rPr>
              <w:t>（1）项目负责人（4分）</w:t>
            </w:r>
          </w:p>
          <w:p w14:paraId="563B62D7">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①项目负责人具有考古学、文物与博物馆学等相关专业本科及以上学历背景的，得2分，须提供学历证书或学位证书扫描件，未提供不得分；</w:t>
            </w:r>
          </w:p>
          <w:p w14:paraId="5207AC77">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②项目负责人具有副高级及以上出版专业技术人员职业资格（或责任编辑证书）且同时具有考古文博类专业背景的，得2分；具有中级出版专业技术人员职业资格且同时具有考古文博类专业背景的，得1分；须提供职称证书或职业资格证书扫描件，未提供不得分。</w:t>
            </w:r>
          </w:p>
          <w:p w14:paraId="3B6E2853">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本项最高得4分。</w:t>
            </w:r>
          </w:p>
          <w:p w14:paraId="16794D8D">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bCs/>
                <w:color w:val="auto"/>
                <w:sz w:val="24"/>
                <w:szCs w:val="24"/>
                <w:highlight w:val="none"/>
              </w:rPr>
              <w:t>（2）责任编辑专业能力（2分）</w:t>
            </w:r>
          </w:p>
          <w:p w14:paraId="3C3F7B83">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本项目配备的责任编辑具有考古学、文物与博物馆学等相关专业本科及以上学历，或具有考古报告、文物图录等同类项目责任编辑从业经验（提供学历证书或从业证明扫描件），得2分；未提供的得0分。</w:t>
            </w:r>
          </w:p>
          <w:p w14:paraId="63CF02EF">
            <w:pPr>
              <w:numPr>
                <w:ilvl w:val="0"/>
                <w:numId w:val="0"/>
              </w:numPr>
              <w:ind w:left="0" w:leftChars="0" w:firstLine="0" w:firstLine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（3）团队架构全面性（2分）</w:t>
            </w:r>
          </w:p>
          <w:p w14:paraId="6E65E10C">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在满足上述人员资质要求的基础上，方案完整覆盖团队组织架构图、各岗位职责分工明细、考古专业顾问资源配备、团队人员稳定性保障措施全部要素，且责任到岗到人的，得2分；架构合理，职责较清晰，核心岗位人员齐全，有基本的考古专业顾问资源和人员稳定措施，但部分要素不够细化的，得1分；架构模糊，分工不明确，缺乏考古专业顾问资源介入机制的，得0.5分；未提供团队架构方案的，得0分。</w:t>
            </w:r>
          </w:p>
          <w:p w14:paraId="06D2224D">
            <w:pPr>
              <w:numPr>
                <w:ilvl w:val="0"/>
                <w:numId w:val="0"/>
              </w:numPr>
              <w:ind w:left="0" w:leftChars="0" w:firstLine="0" w:firstLine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（4）团队针对性（2分）</w:t>
            </w:r>
          </w:p>
          <w:p w14:paraId="3DF5C1E9">
            <w:pPr>
              <w:numPr>
                <w:ilvl w:val="0"/>
                <w:numId w:val="0"/>
              </w:numPr>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rPr>
              <w:t>方案完全针对本项目七卷册考古报告的专业需求，配置了具备考古报告、文物图录等同类项目编辑出版经验的团队成员（提供履历说明或业绩证明）、配置了对口考古领域的专业顾问资源、团队人员安排数量与项目工作量相匹配的，得2分；方案基本满足项目需求，但未充分体现团队考古出版经验或人员数量匹配不足的，得1分；方案缺乏针对性的，得0.5分；未提供的得0分。</w:t>
            </w:r>
          </w:p>
        </w:tc>
      </w:tr>
      <w:tr w14:paraId="702DA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jc w:val="center"/>
        </w:trPr>
        <w:tc>
          <w:tcPr>
            <w:tcW w:w="1103" w:type="dxa"/>
            <w:vMerge w:val="continue"/>
            <w:noWrap w:val="0"/>
            <w:vAlign w:val="center"/>
          </w:tcPr>
          <w:p w14:paraId="4B4E0D24">
            <w:pPr>
              <w:widowControl/>
              <w:jc w:val="center"/>
              <w:rPr>
                <w:rFonts w:hint="eastAsia" w:ascii="宋体" w:hAnsi="宋体" w:eastAsia="宋体" w:cs="宋体"/>
                <w:color w:val="auto"/>
                <w:sz w:val="24"/>
                <w:szCs w:val="24"/>
                <w:highlight w:val="none"/>
                <w:lang w:val="en-US" w:eastAsia="zh-CN"/>
              </w:rPr>
            </w:pPr>
          </w:p>
        </w:tc>
        <w:tc>
          <w:tcPr>
            <w:tcW w:w="1559" w:type="dxa"/>
            <w:noWrap w:val="0"/>
            <w:vAlign w:val="center"/>
          </w:tcPr>
          <w:p w14:paraId="4D344C1E">
            <w:pPr>
              <w:numPr>
                <w:ilvl w:val="0"/>
                <w:numId w:val="0"/>
              </w:numPr>
              <w:ind w:left="0" w:leftChars="0" w:firstLine="0" w:firstLine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项目实施与履约保障方案（1</w:t>
            </w:r>
            <w:r>
              <w:rPr>
                <w:rFonts w:hint="eastAsia" w:ascii="宋体" w:hAnsi="宋体" w:eastAsia="宋体" w:cs="宋体"/>
                <w:b/>
                <w:bCs/>
                <w:color w:val="auto"/>
                <w:sz w:val="24"/>
                <w:szCs w:val="24"/>
                <w:highlight w:val="none"/>
                <w:lang w:val="en-US" w:eastAsia="zh-CN"/>
              </w:rPr>
              <w:t>0</w:t>
            </w:r>
            <w:r>
              <w:rPr>
                <w:rFonts w:hint="eastAsia" w:ascii="宋体" w:hAnsi="宋体" w:eastAsia="宋体" w:cs="宋体"/>
                <w:b/>
                <w:bCs/>
                <w:color w:val="auto"/>
                <w:sz w:val="24"/>
                <w:szCs w:val="24"/>
                <w:highlight w:val="none"/>
              </w:rPr>
              <w:t>分）</w:t>
            </w:r>
          </w:p>
          <w:p w14:paraId="61832E13">
            <w:pPr>
              <w:widowControl/>
              <w:jc w:val="center"/>
              <w:rPr>
                <w:rFonts w:hint="eastAsia" w:ascii="宋体" w:hAnsi="宋体" w:eastAsia="宋体" w:cs="宋体"/>
                <w:color w:val="auto"/>
                <w:sz w:val="24"/>
                <w:szCs w:val="24"/>
                <w:highlight w:val="none"/>
                <w:lang w:val="en-US" w:eastAsia="zh-CN"/>
              </w:rPr>
            </w:pPr>
          </w:p>
        </w:tc>
        <w:tc>
          <w:tcPr>
            <w:tcW w:w="7497" w:type="dxa"/>
            <w:shd w:val="clear" w:color="auto" w:fill="auto"/>
            <w:noWrap w:val="0"/>
            <w:vAlign w:val="center"/>
          </w:tcPr>
          <w:p w14:paraId="15499CC6">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根据</w:t>
            </w:r>
            <w:r>
              <w:rPr>
                <w:rFonts w:hint="eastAsia" w:ascii="宋体" w:hAnsi="宋体" w:cs="宋体"/>
                <w:b w:val="0"/>
                <w:bCs w:val="0"/>
                <w:color w:val="auto"/>
                <w:sz w:val="24"/>
                <w:szCs w:val="24"/>
                <w:highlight w:val="none"/>
                <w:lang w:eastAsia="zh-CN"/>
              </w:rPr>
              <w:t>响应文件</w:t>
            </w:r>
            <w:r>
              <w:rPr>
                <w:rFonts w:hint="eastAsia" w:ascii="宋体" w:hAnsi="宋体" w:eastAsia="宋体" w:cs="宋体"/>
                <w:b w:val="0"/>
                <w:bCs w:val="0"/>
                <w:color w:val="auto"/>
                <w:sz w:val="24"/>
                <w:szCs w:val="24"/>
                <w:highlight w:val="none"/>
              </w:rPr>
              <w:t>中针对本项目从文稿接收到成品交付的全链条履约保障方案进行综合评分，方案应至少包含以下内容：①人员安排（项目实施各阶段的人员配置及分工）；②实施流程（从文稿接收到成品交付的全流程步骤、关键节点管控）；③供货保障措施（印制产能保障、批量交付能力）；④供货计划安排（各阶段时间节点、进度控制及与采购人交稿节点的衔接安排）；⑤包装运输方案（图书包装防护、防潮防压措施、运输配送安排及指定地点送货上门）。</w:t>
            </w:r>
          </w:p>
          <w:p w14:paraId="2122976A">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（1）全面性（</w:t>
            </w: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分）</w:t>
            </w:r>
          </w:p>
          <w:p w14:paraId="3EF42858">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方案完整覆盖上述5个方面，且每个方面均有具体细化的执行措施：①人员安排明确各阶段配置数量与分工；②实施流程步骤清晰、环环相扣；③供货保障措施涵盖印制产能和批量交付能力；④供货计划包含各阶段时间节点并与采购人交稿节点有效衔接；⑤包装运输方案包含包装材料、防护标准、运输方式、到货验收安排的，得</w:t>
            </w: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分；覆盖大部分方面但个别方面内容</w:t>
            </w:r>
            <w:r>
              <w:rPr>
                <w:rFonts w:hint="eastAsia" w:ascii="宋体" w:hAnsi="宋体" w:eastAsia="宋体" w:cs="宋体"/>
                <w:b w:val="0"/>
                <w:bCs w:val="0"/>
                <w:color w:val="auto"/>
                <w:sz w:val="24"/>
                <w:szCs w:val="24"/>
                <w:highlight w:val="none"/>
                <w:lang w:val="en-US" w:eastAsia="zh-CN"/>
              </w:rPr>
              <w:t>不全性不强</w:t>
            </w:r>
            <w:r>
              <w:rPr>
                <w:rFonts w:hint="eastAsia" w:ascii="宋体" w:hAnsi="宋体" w:eastAsia="宋体" w:cs="宋体"/>
                <w:b w:val="0"/>
                <w:bCs w:val="0"/>
                <w:color w:val="auto"/>
                <w:sz w:val="24"/>
                <w:szCs w:val="24"/>
                <w:highlight w:val="none"/>
              </w:rPr>
              <w:t>的，得2分；仅覆盖少量方面的，得1分；未提供的得0分。</w:t>
            </w:r>
          </w:p>
          <w:p w14:paraId="0C9AE444">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（2）针对性（</w:t>
            </w: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分）</w:t>
            </w:r>
          </w:p>
          <w:p w14:paraId="74E776CA">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方案完全针对本项目批量印制特点，对大批量同时交付的物流调度、多批次送货协调有专门安排的，得</w:t>
            </w: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分；方案基本匹配项目需求但缺少对大批量精装图书交付特殊性的精细化设计的，得2分；方案为通用交付流程，未能体现对本项目交付特点的理解的，得1分；未提供的得0分。</w:t>
            </w:r>
          </w:p>
          <w:p w14:paraId="50FC045E">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（3）可行性（4分）</w:t>
            </w:r>
          </w:p>
          <w:p w14:paraId="59A6CEBA">
            <w:pPr>
              <w:numPr>
                <w:ilvl w:val="0"/>
                <w:numId w:val="0"/>
              </w:numPr>
              <w:ind w:left="0" w:leftChars="0" w:firstLine="0" w:firstLineChars="0"/>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val="0"/>
                <w:bCs w:val="0"/>
                <w:color w:val="auto"/>
                <w:sz w:val="24"/>
                <w:szCs w:val="24"/>
                <w:highlight w:val="none"/>
              </w:rPr>
              <w:t>方案中各阶段时间节点安排合理、印制产能与项目需求匹配、包装防护标准明确、运输配送路线清晰且能够落实“指定地点、负责卸货、清点验收”要求的，得4分；方案总体可行但部分环节安排偏紧或保障措施不够细致的，得2分；方案存在明显逻辑漏洞或时间安排脱离实际的，得1分；未提供的得0分。</w:t>
            </w:r>
          </w:p>
        </w:tc>
      </w:tr>
      <w:tr w14:paraId="15C38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jc w:val="center"/>
        </w:trPr>
        <w:tc>
          <w:tcPr>
            <w:tcW w:w="1103" w:type="dxa"/>
            <w:vMerge w:val="continue"/>
            <w:noWrap w:val="0"/>
            <w:vAlign w:val="center"/>
          </w:tcPr>
          <w:p w14:paraId="29B0B9AF">
            <w:pPr>
              <w:widowControl/>
              <w:jc w:val="center"/>
              <w:rPr>
                <w:rFonts w:hint="eastAsia" w:ascii="宋体" w:hAnsi="宋体" w:eastAsia="宋体" w:cs="宋体"/>
                <w:color w:val="auto"/>
                <w:sz w:val="24"/>
                <w:szCs w:val="24"/>
                <w:highlight w:val="none"/>
                <w:lang w:val="en-US" w:eastAsia="zh-CN"/>
              </w:rPr>
            </w:pPr>
          </w:p>
        </w:tc>
        <w:tc>
          <w:tcPr>
            <w:tcW w:w="1559" w:type="dxa"/>
            <w:noWrap w:val="0"/>
            <w:vAlign w:val="center"/>
          </w:tcPr>
          <w:p w14:paraId="473C6A66">
            <w:pPr>
              <w:numPr>
                <w:ilvl w:val="0"/>
                <w:numId w:val="0"/>
              </w:numPr>
              <w:ind w:left="0" w:leftChars="0" w:firstLine="0" w:firstLine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保密、档案管理与售后服务方案</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8</w:t>
            </w:r>
            <w:r>
              <w:rPr>
                <w:rFonts w:hint="eastAsia" w:ascii="宋体" w:hAnsi="宋体" w:eastAsia="宋体" w:cs="宋体"/>
                <w:b/>
                <w:bCs/>
                <w:color w:val="auto"/>
                <w:sz w:val="24"/>
                <w:szCs w:val="24"/>
                <w:highlight w:val="none"/>
              </w:rPr>
              <w:t>分）</w:t>
            </w:r>
          </w:p>
          <w:p w14:paraId="5DB9289A">
            <w:pPr>
              <w:jc w:val="center"/>
              <w:rPr>
                <w:rFonts w:hint="eastAsia" w:ascii="宋体" w:hAnsi="宋体" w:eastAsia="宋体" w:cs="宋体"/>
                <w:color w:val="auto"/>
                <w:sz w:val="24"/>
                <w:szCs w:val="24"/>
                <w:highlight w:val="none"/>
                <w:lang w:val="en-US" w:eastAsia="zh-CN"/>
              </w:rPr>
            </w:pPr>
          </w:p>
        </w:tc>
        <w:tc>
          <w:tcPr>
            <w:tcW w:w="7497" w:type="dxa"/>
            <w:shd w:val="clear" w:color="auto" w:fill="auto"/>
            <w:noWrap w:val="0"/>
            <w:vAlign w:val="center"/>
          </w:tcPr>
          <w:p w14:paraId="62B3D585">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根据</w:t>
            </w:r>
            <w:r>
              <w:rPr>
                <w:rFonts w:hint="eastAsia" w:ascii="宋体" w:hAnsi="宋体" w:cs="宋体"/>
                <w:b w:val="0"/>
                <w:bCs w:val="0"/>
                <w:color w:val="auto"/>
                <w:sz w:val="24"/>
                <w:szCs w:val="24"/>
                <w:highlight w:val="none"/>
                <w:lang w:eastAsia="zh-CN"/>
              </w:rPr>
              <w:t>响应文件</w:t>
            </w:r>
            <w:r>
              <w:rPr>
                <w:rFonts w:hint="eastAsia" w:ascii="宋体" w:hAnsi="宋体" w:eastAsia="宋体" w:cs="宋体"/>
                <w:b w:val="0"/>
                <w:bCs w:val="0"/>
                <w:color w:val="auto"/>
                <w:sz w:val="24"/>
                <w:szCs w:val="24"/>
                <w:highlight w:val="none"/>
              </w:rPr>
              <w:t>中针对本项目保密及售后需求，制定原始考古资料保密、过程及终稿资料归档移交、废旧资料销毁及售后质保方案，包含但不限于保密物理与技术措施、样书及废书回收销毁闭环机制、24个月质保期内的响应速度、15%批量质量问题的召回预案及后期技术支持承诺进行综合评分。</w:t>
            </w:r>
          </w:p>
          <w:p w14:paraId="72B6C267">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（1）全面性（</w:t>
            </w: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分）：</w:t>
            </w:r>
          </w:p>
          <w:p w14:paraId="02DBC30E">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方案完整覆盖保密物理与技术措施、过程资料归档标准、终稿移交清单、废书废页回收销毁闭环机制、24个月质保期内响应承诺、15%批量质量问题召回预案、后期技术支持承诺全部要素，且各环节均有具体操作规范的，得</w:t>
            </w: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分；措施常规，售后及召回预案缺乏实操细节，废书销毁机制不清晰的，得1分；未提供的得0分。</w:t>
            </w:r>
          </w:p>
          <w:p w14:paraId="0218386B">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（2）针对性（</w:t>
            </w: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分）</w:t>
            </w:r>
          </w:p>
          <w:p w14:paraId="0089BBD5">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方案完全针对本项目考古资料的高保密要求，保密措施涵盖了物理隔离与数字加密双重手段；废书销毁流程为闭环可追溯设计；批量召回预案针对精装图书脱页、开胶等常见批量缺陷制定了具体的处置流程，且24个月质保响应时间优于要求的，得</w:t>
            </w: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分；保密和销毁措施较完善，召回及售后预案较合理，满足采购基本需求的，得2分；措施缺乏保密针对性或售后响应机制不明确的，得1分；未提供的得0分。</w:t>
            </w:r>
          </w:p>
          <w:p w14:paraId="7B8E148F">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（3）可行性（3分）</w:t>
            </w:r>
          </w:p>
          <w:p w14:paraId="04061E5B">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方案中保密制度可操作性强、电子档案加密传输方案明确、归档移交清单完整、废书集中销毁渠道正规且有书面销毁说明出具承诺、售后团队及响应流程能确保24小时内响应的，得3分；方案总体可行但部分环节衔接不够清晰的，得2分；方案中保密措施笼统、售后响应无法落实的，得1分；未提供的得0分。</w:t>
            </w:r>
          </w:p>
        </w:tc>
      </w:tr>
      <w:tr w14:paraId="2B4CA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jc w:val="center"/>
        </w:trPr>
        <w:tc>
          <w:tcPr>
            <w:tcW w:w="1103" w:type="dxa"/>
            <w:vMerge w:val="continue"/>
            <w:noWrap w:val="0"/>
            <w:vAlign w:val="center"/>
          </w:tcPr>
          <w:p w14:paraId="04DB1331">
            <w:pPr>
              <w:widowControl/>
              <w:jc w:val="center"/>
              <w:rPr>
                <w:rFonts w:hint="eastAsia" w:ascii="宋体" w:hAnsi="宋体" w:eastAsia="宋体" w:cs="宋体"/>
                <w:color w:val="auto"/>
                <w:sz w:val="24"/>
                <w:szCs w:val="24"/>
                <w:highlight w:val="none"/>
                <w:lang w:val="en-US" w:eastAsia="zh-CN"/>
              </w:rPr>
            </w:pPr>
          </w:p>
        </w:tc>
        <w:tc>
          <w:tcPr>
            <w:tcW w:w="1559" w:type="dxa"/>
            <w:noWrap w:val="0"/>
            <w:vAlign w:val="center"/>
          </w:tcPr>
          <w:p w14:paraId="1D5E2617">
            <w:pPr>
              <w:numPr>
                <w:ilvl w:val="0"/>
                <w:numId w:val="0"/>
              </w:numPr>
              <w:ind w:left="0" w:leftChars="0" w:firstLine="0" w:firstLine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配合与服从采购人管理方案</w:t>
            </w:r>
            <w:r>
              <w:rPr>
                <w:rFonts w:hint="eastAsia" w:ascii="宋体" w:hAnsi="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（4分）</w:t>
            </w:r>
          </w:p>
          <w:p w14:paraId="208182D6">
            <w:pPr>
              <w:jc w:val="center"/>
              <w:rPr>
                <w:rFonts w:hint="eastAsia" w:ascii="宋体" w:hAnsi="宋体" w:eastAsia="宋体" w:cs="宋体"/>
                <w:color w:val="auto"/>
                <w:sz w:val="24"/>
                <w:szCs w:val="24"/>
                <w:highlight w:val="none"/>
                <w:lang w:val="en-US" w:eastAsia="zh-CN"/>
              </w:rPr>
            </w:pPr>
          </w:p>
        </w:tc>
        <w:tc>
          <w:tcPr>
            <w:tcW w:w="7497" w:type="dxa"/>
            <w:shd w:val="clear" w:color="auto" w:fill="auto"/>
            <w:noWrap w:val="0"/>
            <w:vAlign w:val="center"/>
          </w:tcPr>
          <w:p w14:paraId="039CE36C">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根据</w:t>
            </w:r>
            <w:r>
              <w:rPr>
                <w:rFonts w:hint="eastAsia" w:ascii="宋体" w:hAnsi="宋体" w:cs="宋体"/>
                <w:b w:val="0"/>
                <w:bCs w:val="0"/>
                <w:color w:val="auto"/>
                <w:sz w:val="24"/>
                <w:szCs w:val="24"/>
                <w:highlight w:val="none"/>
                <w:lang w:eastAsia="zh-CN"/>
              </w:rPr>
              <w:t>响应文件</w:t>
            </w:r>
            <w:r>
              <w:rPr>
                <w:rFonts w:hint="eastAsia" w:ascii="宋体" w:hAnsi="宋体" w:eastAsia="宋体" w:cs="宋体"/>
                <w:b w:val="0"/>
                <w:bCs w:val="0"/>
                <w:color w:val="auto"/>
                <w:sz w:val="24"/>
                <w:szCs w:val="24"/>
                <w:highlight w:val="none"/>
              </w:rPr>
              <w:t>中针对本项目实施过程中配合采购人管理、服从统筹协调的方案进行综合评分。方案应包含但不限于：与采购人对接沟通机制、接受采购人对服务质量的监督检查、按采购人要求配合考古专家组及文物主管部门审稿协调、对采购人提出的合理修改意见的响应机制、项目定期汇报制度等内容。</w:t>
            </w:r>
          </w:p>
          <w:p w14:paraId="0AD33515">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（1）配合对接机制（2分）</w:t>
            </w:r>
          </w:p>
          <w:p w14:paraId="29532AAE">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设有专人对接、沟通渠道明确、响应迅速的，得2分；有基本对接安排的，得1分；未提供的得0分。</w:t>
            </w:r>
          </w:p>
          <w:p w14:paraId="04BC369A">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（2）管理服从与配合全面性（2分）</w:t>
            </w:r>
          </w:p>
          <w:p w14:paraId="312A0A47">
            <w:pPr>
              <w:numPr>
                <w:ilvl w:val="0"/>
                <w:numId w:val="0"/>
              </w:numPr>
              <w:ind w:left="0" w:leftChars="0" w:firstLine="0" w:firstLineChars="0"/>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rPr>
              <w:t>方案完整覆盖监督检查配合、专家组审稿协调、修改意见响应、定期汇报等全部要素，且有具体操作流程和承诺的，得2分；方案涵盖大部分要素但个别内容简略的，得1分；未提供的得0分。</w:t>
            </w:r>
          </w:p>
        </w:tc>
      </w:tr>
      <w:tr w14:paraId="69E4E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1103" w:type="dxa"/>
            <w:vMerge w:val="continue"/>
            <w:noWrap w:val="0"/>
            <w:vAlign w:val="center"/>
          </w:tcPr>
          <w:p w14:paraId="7C152464">
            <w:pPr>
              <w:widowControl/>
              <w:jc w:val="center"/>
              <w:rPr>
                <w:rFonts w:hint="eastAsia" w:ascii="宋体" w:hAnsi="宋体" w:eastAsia="宋体" w:cs="宋体"/>
                <w:color w:val="auto"/>
                <w:sz w:val="24"/>
                <w:szCs w:val="24"/>
                <w:highlight w:val="none"/>
                <w:lang w:val="en-US" w:eastAsia="zh-CN"/>
              </w:rPr>
            </w:pPr>
          </w:p>
        </w:tc>
        <w:tc>
          <w:tcPr>
            <w:tcW w:w="1559" w:type="dxa"/>
            <w:noWrap w:val="0"/>
            <w:vAlign w:val="center"/>
          </w:tcPr>
          <w:p w14:paraId="55E5B4E3">
            <w:pPr>
              <w:numPr>
                <w:ilvl w:val="0"/>
                <w:numId w:val="0"/>
              </w:numP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绿色出版承诺及措施</w:t>
            </w:r>
          </w:p>
          <w:p w14:paraId="16F53D2B">
            <w:pPr>
              <w:numPr>
                <w:ilvl w:val="0"/>
                <w:numId w:val="0"/>
              </w:numPr>
              <w:ind w:left="0" w:leftChars="0" w:firstLine="0" w:firstLine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分）</w:t>
            </w:r>
          </w:p>
          <w:p w14:paraId="1DD64C1F">
            <w:pPr>
              <w:keepNext w:val="0"/>
              <w:keepLines w:val="0"/>
              <w:widowControl/>
              <w:suppressLineNumbers w:val="0"/>
              <w:jc w:val="center"/>
              <w:rPr>
                <w:rFonts w:hint="eastAsia" w:ascii="宋体" w:hAnsi="宋体" w:eastAsia="宋体" w:cs="宋体"/>
                <w:color w:val="auto"/>
                <w:sz w:val="24"/>
                <w:szCs w:val="24"/>
                <w:highlight w:val="none"/>
                <w:lang w:val="en-US" w:eastAsia="zh-CN"/>
              </w:rPr>
            </w:pPr>
          </w:p>
        </w:tc>
        <w:tc>
          <w:tcPr>
            <w:tcW w:w="7497" w:type="dxa"/>
            <w:shd w:val="clear" w:color="auto" w:fill="auto"/>
            <w:noWrap w:val="0"/>
            <w:vAlign w:val="center"/>
          </w:tcPr>
          <w:p w14:paraId="654DE79A">
            <w:pPr>
              <w:numPr>
                <w:ilvl w:val="0"/>
                <w:numId w:val="0"/>
              </w:numPr>
              <w:ind w:left="0"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承诺在项目实施中优先使用绿色印刷材料和环保工艺，并提供具体环保措施说明的得</w:t>
            </w: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分；仅承诺但未提供具体措施的得1分；未承诺的得0分。</w:t>
            </w:r>
          </w:p>
        </w:tc>
      </w:tr>
      <w:tr w14:paraId="7AF65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8" w:hRule="atLeast"/>
          <w:jc w:val="center"/>
        </w:trPr>
        <w:tc>
          <w:tcPr>
            <w:tcW w:w="1103" w:type="dxa"/>
            <w:noWrap w:val="0"/>
            <w:vAlign w:val="center"/>
          </w:tcPr>
          <w:p w14:paraId="5DB400EC">
            <w:pPr>
              <w:widowControl/>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Hans"/>
              </w:rPr>
              <w:t>商务部分</w:t>
            </w: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4</w:t>
            </w:r>
            <w:r>
              <w:rPr>
                <w:rFonts w:hint="eastAsia" w:ascii="宋体" w:hAnsi="宋体" w:eastAsia="宋体" w:cs="宋体"/>
                <w:b/>
                <w:bCs/>
                <w:color w:val="auto"/>
                <w:sz w:val="24"/>
                <w:szCs w:val="24"/>
                <w:highlight w:val="none"/>
                <w:lang w:val="en-US" w:eastAsia="zh-CN"/>
              </w:rPr>
              <w:t>分）</w:t>
            </w:r>
          </w:p>
        </w:tc>
        <w:tc>
          <w:tcPr>
            <w:tcW w:w="1559" w:type="dxa"/>
            <w:noWrap w:val="0"/>
            <w:vAlign w:val="center"/>
          </w:tcPr>
          <w:p w14:paraId="56700718">
            <w:pPr>
              <w:widowControl/>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供应商业绩</w:t>
            </w:r>
          </w:p>
          <w:p w14:paraId="1E17B7A8">
            <w:pPr>
              <w:widowControl/>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（4分）</w:t>
            </w:r>
          </w:p>
        </w:tc>
        <w:tc>
          <w:tcPr>
            <w:tcW w:w="7497" w:type="dxa"/>
            <w:shd w:val="clear" w:color="auto" w:fill="auto"/>
            <w:noWrap w:val="0"/>
            <w:vAlign w:val="center"/>
          </w:tcPr>
          <w:p w14:paraId="6F58E7A8">
            <w:pPr>
              <w:spacing w:line="0" w:lineRule="atLeas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eastAsia="zh-CN"/>
              </w:rPr>
              <w:t>响应文件</w:t>
            </w:r>
            <w:r>
              <w:rPr>
                <w:rFonts w:hint="eastAsia" w:ascii="宋体" w:hAnsi="宋体" w:eastAsia="宋体" w:cs="宋体"/>
                <w:color w:val="auto"/>
                <w:sz w:val="24"/>
                <w:szCs w:val="24"/>
                <w:highlight w:val="none"/>
              </w:rPr>
              <w:t>中提供</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lang w:val="en-US" w:eastAsia="zh-CN"/>
              </w:rPr>
              <w:t>为卖方(乙方)，合同签订日期在2023年</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月1日（含）之后，合同内容为本项目相同或类似业绩，每提供一个有效业绩的，得2分，本项最高得4分，未提供不得分。</w:t>
            </w:r>
          </w:p>
          <w:p w14:paraId="3C19A4B7">
            <w:pPr>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注：提供合同原件扫描件，业绩时间以合同签订时间为准，未提供或提供不全者不得分。</w:t>
            </w:r>
          </w:p>
        </w:tc>
      </w:tr>
    </w:tbl>
    <w:p w14:paraId="487CD110">
      <w:pPr>
        <w:pBdr>
          <w:top w:val="none" w:color="000000" w:sz="0" w:space="0"/>
          <w:left w:val="none" w:color="000000" w:sz="0" w:space="0"/>
          <w:bottom w:val="none" w:color="000000" w:sz="0" w:space="0"/>
          <w:right w:val="none" w:color="000000" w:sz="0" w:space="0"/>
        </w:pBdr>
        <w:spacing w:before="240" w:after="240" w:line="74" w:lineRule="atLeast"/>
        <w:ind w:left="0" w:right="0" w:firstLine="0"/>
        <w:rPr>
          <w:color w:val="auto"/>
          <w:highlight w:val="none"/>
        </w:rPr>
      </w:pPr>
      <w:r>
        <w:rPr>
          <w:rFonts w:ascii="宋体" w:hAnsi="宋体" w:eastAsia="宋体" w:cs="宋体"/>
          <w:color w:val="auto"/>
          <w:sz w:val="24"/>
          <w:highlight w:val="none"/>
        </w:rPr>
        <w:t>本章说明：本项目采用综合评分法，得分保留小数点后两位。</w:t>
      </w:r>
      <w:r>
        <w:rPr>
          <w:rFonts w:ascii="宋体" w:hAnsi="宋体" w:eastAsia="宋体" w:cs="宋体"/>
          <w:color w:val="auto"/>
          <w:sz w:val="24"/>
          <w:highlight w:val="none"/>
        </w:rPr>
        <w:br w:type="page" w:clear="all"/>
      </w:r>
    </w:p>
    <w:p w14:paraId="3FB9CE6D">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b/>
          <w:color w:val="auto"/>
          <w:sz w:val="36"/>
          <w:highlight w:val="none"/>
        </w:rPr>
        <w:t>2、项目要求（采购需求）</w:t>
      </w:r>
    </w:p>
    <w:p w14:paraId="58325A33">
      <w:pPr>
        <w:spacing w:line="520" w:lineRule="exact"/>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一、说明</w:t>
      </w:r>
    </w:p>
    <w:p w14:paraId="2F8B8937">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（一）采购人：徐州市文物保护和考古研究所</w:t>
      </w:r>
    </w:p>
    <w:p w14:paraId="26AFB20F">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（二）采购项目名称：土山汉墓发掘报告出版</w:t>
      </w:r>
    </w:p>
    <w:p w14:paraId="0D7EEF77">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（三）采购标的：土山汉墓发掘报告出版</w:t>
      </w:r>
    </w:p>
    <w:p w14:paraId="072C10C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土山汉墓发掘报告出版对应的中小企业划分标准所属行业为其他未列明行业。</w:t>
      </w:r>
    </w:p>
    <w:p w14:paraId="6A2C6CF9">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注：中小企业划分标准所属行业以《工业和信息化部、国家统计局、国家发展和改革委员会、财政部关于印发中小企业划型标准规定的通知》（工信部联企业[2011]300号）的规定为准。</w:t>
      </w:r>
    </w:p>
    <w:p w14:paraId="080D4BAF">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（四）本项目</w:t>
      </w:r>
      <w:r>
        <w:rPr>
          <w:rFonts w:hint="eastAsia" w:ascii="宋体" w:hAnsi="宋体" w:eastAsia="宋体" w:cs="宋体"/>
          <w:color w:val="auto"/>
          <w:sz w:val="24"/>
          <w:szCs w:val="24"/>
          <w:highlight w:val="none"/>
          <w:lang w:val="en-US" w:eastAsia="zh-CN"/>
        </w:rPr>
        <w:t>不</w:t>
      </w:r>
      <w:r>
        <w:rPr>
          <w:rFonts w:hint="eastAsia" w:ascii="宋体" w:hAnsi="宋体" w:eastAsia="宋体" w:cs="宋体"/>
          <w:color w:val="auto"/>
          <w:sz w:val="24"/>
          <w:szCs w:val="24"/>
          <w:highlight w:val="none"/>
        </w:rPr>
        <w:t>属于专门面向中小企业的项目。</w:t>
      </w:r>
    </w:p>
    <w:p w14:paraId="6D509B27">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（五）预算金额为120万元。</w:t>
      </w:r>
    </w:p>
    <w:p w14:paraId="6F672182">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（六）服务期限：</w:t>
      </w:r>
    </w:p>
    <w:p w14:paraId="05795048">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本项目服务期限分为两个阶段：</w:t>
      </w:r>
    </w:p>
    <w:p w14:paraId="2C846879">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采购人交稿阶段：采购人于2026年12月31日前完成全部文稿定稿并移交</w:t>
      </w:r>
      <w:r>
        <w:rPr>
          <w:rFonts w:hint="eastAsia" w:ascii="宋体" w:hAnsi="宋体" w:cs="宋体"/>
          <w:color w:val="auto"/>
          <w:sz w:val="24"/>
          <w:szCs w:val="24"/>
          <w:highlight w:val="none"/>
          <w:lang w:val="en-US" w:eastAsia="zh-CN"/>
        </w:rPr>
        <w:t>成交</w:t>
      </w:r>
      <w:r>
        <w:rPr>
          <w:rFonts w:hint="eastAsia" w:ascii="宋体" w:hAnsi="宋体" w:eastAsia="宋体" w:cs="宋体"/>
          <w:color w:val="auto"/>
          <w:sz w:val="24"/>
          <w:szCs w:val="24"/>
          <w:highlight w:val="none"/>
        </w:rPr>
        <w:t>供应商。具体交稿时间以采购人书面通知为准。</w:t>
      </w:r>
    </w:p>
    <w:p w14:paraId="2A96889D">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供应商出版交付阶段：自采购人向供应商提交完整定稿之日起12个月内，供应商须完成全部出版印制及成品交付验收工作。</w:t>
      </w:r>
    </w:p>
    <w:p w14:paraId="52370AFE">
      <w:pPr>
        <w:spacing w:line="520" w:lineRule="exact"/>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报价包括但不限于所有人工费、差旅费、书号管理费、编审费、排版设计费、印刷费、耗材费、技术服务费、相关税费等全部费用，采购人不再支付报价以外的任何费用。</w:t>
      </w:r>
    </w:p>
    <w:p w14:paraId="4EBBAC35">
      <w:pPr>
        <w:spacing w:line="520" w:lineRule="exact"/>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二、项目背景 </w:t>
      </w:r>
    </w:p>
    <w:p w14:paraId="679D966F">
      <w:pPr>
        <w:spacing w:line="520" w:lineRule="exact"/>
        <w:ind w:firstLine="480" w:firstLineChars="200"/>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土山汉墓位于徐州云龙山北麓徐州博物馆院内，为全国唯一原址设于博物馆院内的东汉诸侯王陵墓，入选 “2020 年度全国十大考古新发现”。墓葬结构复杂，出土各类文物近 5000 件（套），封土内出土封泥 4500 余枚。经综合考证，墓主确定为东汉第一代彭城王刘恭。该考古报告对研究东汉诸侯王陵墓制度、徐州汉代历史具有重要学术价值。本次出版服务须达到国内一流考古报告的学术水准及印制质量。</w:t>
      </w:r>
    </w:p>
    <w:p w14:paraId="28DE6D7B">
      <w:pPr>
        <w:spacing w:line="520" w:lineRule="exact"/>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三、项目概况</w:t>
      </w:r>
    </w:p>
    <w:p w14:paraId="630A636C">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本项目为土山汉墓考古发掘报告出版服务采购。系统梳理土山汉墓考古勘探、发掘、文物整理、现场保护等全过程资料，整合墓葬形制结构、出土文物、石刻铭文及专项研究成果。服务内容包含文稿整编、图文校对、排版设计、装帧印刷、出版报审、成品交付等全部工作。成品需符合考古类出版物规范与国家图书印制质量标准，内容严谨、图文规范，保障学术性与专业性，按期完成出版印制及交付，为汉代陵墓考古研究提供权威资料支撑。</w:t>
      </w:r>
    </w:p>
    <w:p w14:paraId="7F5EBB57">
      <w:pPr>
        <w:spacing w:line="520" w:lineRule="exact"/>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四、服务要求</w:t>
      </w:r>
    </w:p>
    <w:p w14:paraId="545412C5">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考古文稿整编与学术编审 </w:t>
      </w:r>
    </w:p>
    <w:p w14:paraId="799D3061">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（1）系统梳理土山汉墓考古勘探、田野发掘、文物清理、现场保护、资料整理全周期原始档案、文字初稿、发掘记录、工作日志、科研文稿；</w:t>
      </w:r>
    </w:p>
    <w:p w14:paraId="63F88038">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（2）统一全书考古术语、编号体系、计量单位、墓葬定名、文物定名、地层编号，严格遵循《考古发掘报告编写规范》《文物出版物体例规范》；</w:t>
      </w:r>
    </w:p>
    <w:p w14:paraId="6CA222FB">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完成初审、复审、终审三级编审：初审核查内容完整性、逻辑结构、篇章体例；复审专项核对墓葬形制数据、文物尺寸、材质、纹饰、铭文、线图、照片对应关系；终审把控学术结论、研究观点、内容严谨性；</w:t>
      </w:r>
    </w:p>
    <w:p w14:paraId="695B1BD8">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（4）开展三次全面校对 + 专项校对：文字校对、标点校对、数据校对、图文对应校对、拓片/铭文释文校对、编号校对；逐页修正错字、漏字、衍字、专业错误、格式错误；</w:t>
      </w:r>
    </w:p>
    <w:p w14:paraId="0EA2FFD1">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全程配合考古专家组、文物主管部门审稿，按修改意见完成文稿增补、删减、调整、润色，直至学术定稿，留存全套审稿记录、修改台账。供应商需配合采购人合理学术修改，常规篇章调整、图文校对修改全部免费；因采购人提出全书体例重构、大规模内容重编等颠覆性修改，双方另行协商（费用按国家出版行业编审费标准或市场公允价格结算，由双方签订补充协议确认），不纳入本次包干服务范围。</w:t>
      </w:r>
    </w:p>
    <w:p w14:paraId="66927E79">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图片、线图、拓片、图文处理 </w:t>
      </w:r>
    </w:p>
    <w:p w14:paraId="50EFEE69">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（1）统一处理考古现场照片、文物摄影、航拍图、墓葬结构图、平剖面图、测绘线图、石刻拓片、铭文照片等全部图料；</w:t>
      </w:r>
    </w:p>
    <w:p w14:paraId="2DE03CB4">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（2）图片处理要求：高清校色、瑕疵修复、除尘、匀光、色彩还原，文物纹饰、铭文、线条清晰可辨，符合考古图版出版标准；</w:t>
      </w:r>
    </w:p>
    <w:p w14:paraId="4DC24E9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（3）按照考古规范完成图号、图名、图注、图例、比例尺编制，做到一图一注、图文一一对应；</w:t>
      </w:r>
    </w:p>
    <w:p w14:paraId="69031E0F">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（4）完成彩版、黑白图版、插页、跨页大图、拉页的分区编排，全书图版体例统一、排序合规；</w:t>
      </w:r>
    </w:p>
    <w:p w14:paraId="62BF3D29">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（5）所有图片、线图、拓片源文件归档，交付可编辑高清文件（格式要求：未压缩原图，TIFF或JPEG格式，分辨率不低于300dpi；线图需提供矢量格式，AI、CDR或EPS）。</w:t>
      </w:r>
    </w:p>
    <w:p w14:paraId="3C8D3E1A">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具体服务要求</w:t>
      </w:r>
      <w:r>
        <w:rPr>
          <w:rFonts w:hint="eastAsia" w:ascii="宋体" w:hAnsi="宋体" w:eastAsia="宋体" w:cs="宋体"/>
          <w:color w:val="auto"/>
          <w:sz w:val="24"/>
          <w:szCs w:val="24"/>
          <w:highlight w:val="none"/>
        </w:rPr>
        <w:t xml:space="preserve"> </w:t>
      </w:r>
    </w:p>
    <w:p w14:paraId="42D793CB">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（1）《土山汉墓考古报告》（</w:t>
      </w:r>
      <w:bookmarkStart w:id="4" w:name="OLE_LINK9"/>
      <w:bookmarkStart w:id="5" w:name="OLE_LINK8"/>
      <w:r>
        <w:rPr>
          <w:rFonts w:hint="eastAsia" w:ascii="宋体" w:hAnsi="宋体" w:eastAsia="宋体" w:cs="宋体"/>
          <w:color w:val="auto"/>
          <w:sz w:val="24"/>
          <w:szCs w:val="24"/>
          <w:highlight w:val="none"/>
          <w:lang w:val="en-US" w:eastAsia="zh-CN"/>
        </w:rPr>
        <w:t>七卷册</w:t>
      </w:r>
      <w:bookmarkEnd w:id="4"/>
      <w:bookmarkEnd w:id="5"/>
      <w:r>
        <w:rPr>
          <w:rFonts w:hint="eastAsia" w:ascii="宋体" w:hAnsi="宋体" w:eastAsia="宋体" w:cs="宋体"/>
          <w:color w:val="auto"/>
          <w:sz w:val="24"/>
          <w:szCs w:val="24"/>
          <w:highlight w:val="none"/>
          <w:lang w:val="en-US" w:eastAsia="zh-CN"/>
        </w:rPr>
        <w:t>）：</w:t>
      </w:r>
    </w:p>
    <w:p w14:paraId="53C06AE7">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七卷册，黑白1040面、全彩1364面。其中：</w:t>
      </w:r>
    </w:p>
    <w:p w14:paraId="0B713971">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综合卷（两卷册）：652面（552面黑白+100面四色）</w:t>
      </w:r>
    </w:p>
    <w:p w14:paraId="1ABDC191">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封泥卷（三卷册）：1056面（256面黑白+800面四色）</w:t>
      </w:r>
    </w:p>
    <w:p w14:paraId="21FCFEFF">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石刻卷（两卷册）：696面（232面黑白+464面四色）</w:t>
      </w:r>
    </w:p>
    <w:p w14:paraId="0900994B">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包装：单本收缩包装后打纸包入五层纸箱</w:t>
      </w:r>
    </w:p>
    <w:p w14:paraId="2A1BDAFC">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送货：作者指定地点</w:t>
      </w:r>
    </w:p>
    <w:p w14:paraId="6D1A7366">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数量：综合卷、封泥卷、石刻卷各700套，总计4900卷册</w:t>
      </w:r>
    </w:p>
    <w:p w14:paraId="7575EB4F">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（2）《土山汉墓考古发掘报告·综合卷》（两卷册）：</w:t>
      </w:r>
    </w:p>
    <w:p w14:paraId="2B3EFAC9">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成品：大16开（210mm*285mm）</w:t>
      </w:r>
    </w:p>
    <w:p w14:paraId="5A902028">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图文信息：预计折合652面两卷册。</w:t>
      </w:r>
    </w:p>
    <w:p w14:paraId="3A6D4520">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封面：纸面平脊精装，157克有光铜版纸，单面哑膜，局部UV，烫电化铝</w:t>
      </w:r>
    </w:p>
    <w:p w14:paraId="332BF186">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环衬用纸：前后环衬，180克特种纸，不印刷</w:t>
      </w:r>
    </w:p>
    <w:p w14:paraId="6730DB92">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内文用纸：80克胶版纸，552面，黑白单色印刷</w:t>
      </w:r>
    </w:p>
    <w:p w14:paraId="35E05F1C">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128克铜版纸（有光），100面，四色印刷</w:t>
      </w:r>
    </w:p>
    <w:p w14:paraId="02762E32">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装订工艺：锁线胶订</w:t>
      </w:r>
    </w:p>
    <w:p w14:paraId="291DE9AF">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版面字数：1800字/面×652面≈1174千字</w:t>
      </w:r>
    </w:p>
    <w:p w14:paraId="0C56CA06">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（3）《土山汉墓考古发掘报告·封泥卷》（三卷册）：</w:t>
      </w:r>
    </w:p>
    <w:p w14:paraId="74ACE0E2">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成品：大16开（210mm*285mm）</w:t>
      </w:r>
    </w:p>
    <w:p w14:paraId="420150EE">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图文信息：预计折合1056面三卷册。</w:t>
      </w:r>
    </w:p>
    <w:p w14:paraId="7F8C60BF">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封面：纸面平脊精装，157克有光铜版纸，单面哑膜，局部UV，烫电化铝</w:t>
      </w:r>
    </w:p>
    <w:p w14:paraId="75E069DF">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环衬用纸：前后环衬，180克特种纸，不印刷</w:t>
      </w:r>
    </w:p>
    <w:p w14:paraId="7BFFF067">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内文用纸：80克胶版纸，256面，黑白单色印刷</w:t>
      </w:r>
    </w:p>
    <w:p w14:paraId="446C376D">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128克铜版纸（有光），800面，四色印刷</w:t>
      </w:r>
    </w:p>
    <w:p w14:paraId="284FEC6F">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装订工艺：锁线胶订</w:t>
      </w:r>
    </w:p>
    <w:p w14:paraId="1109BCC7">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版面字数：1800字/面×1056面≈1901千字</w:t>
      </w:r>
    </w:p>
    <w:p w14:paraId="48A67E5B">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（4）《土山汉墓考古发掘报告·石刻卷》（两卷册）：</w:t>
      </w:r>
    </w:p>
    <w:p w14:paraId="3FA1DE0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成品：大16开（210mm*285mm）</w:t>
      </w:r>
    </w:p>
    <w:p w14:paraId="63339769">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图文信息：预计折合</w:t>
      </w:r>
      <w:bookmarkStart w:id="6" w:name="OLE_LINK6"/>
      <w:r>
        <w:rPr>
          <w:rFonts w:hint="eastAsia" w:ascii="宋体" w:hAnsi="宋体" w:eastAsia="宋体" w:cs="宋体"/>
          <w:color w:val="auto"/>
          <w:sz w:val="24"/>
          <w:szCs w:val="24"/>
          <w:highlight w:val="none"/>
        </w:rPr>
        <w:t>696面</w:t>
      </w:r>
      <w:bookmarkEnd w:id="6"/>
      <w:r>
        <w:rPr>
          <w:rFonts w:hint="eastAsia" w:ascii="宋体" w:hAnsi="宋体" w:eastAsia="宋体" w:cs="宋体"/>
          <w:color w:val="auto"/>
          <w:sz w:val="24"/>
          <w:szCs w:val="24"/>
          <w:highlight w:val="none"/>
        </w:rPr>
        <w:t>两卷册。</w:t>
      </w:r>
    </w:p>
    <w:p w14:paraId="74BDC3E2">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封面：纸面平脊精装，157克有光铜版纸，单面哑膜，局部UV，烫电化铝</w:t>
      </w:r>
    </w:p>
    <w:p w14:paraId="696C7C21">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环衬用纸：前后环衬，180克特种纸，不印刷</w:t>
      </w:r>
    </w:p>
    <w:p w14:paraId="276A7129">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内文用纸：80克胶版纸，232面，黑白单色印刷</w:t>
      </w:r>
    </w:p>
    <w:p w14:paraId="4EED485D">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128克铜版纸（有光），464面，四色印刷</w:t>
      </w:r>
    </w:p>
    <w:p w14:paraId="276E9B5D">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装订工艺：锁线胶订</w:t>
      </w:r>
    </w:p>
    <w:p w14:paraId="1D8632B3">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版面字数：1800字/面×696面≈1253千字</w:t>
      </w:r>
    </w:p>
    <w:p w14:paraId="1C80B9CB">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）版式标准：严格执行《图书版式通用规范》《考古出版物制图与排版规范》，区分正文、引文、注释、图注、表格、附录、参考文献、索引，统一字体、字号、行距、段距、页眉、页脚、页码；</w:t>
      </w:r>
    </w:p>
    <w:p w14:paraId="10146E8F">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）完成全书数字化排版、拼版、出片，依次提供初排样、一校样、二校样、终校样、蓝纸样、打样样书，每轮修改均按采购人及专家意见执行；</w:t>
      </w:r>
    </w:p>
    <w:p w14:paraId="33240EFD">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）印刷工艺：胶印，套印精准、无重影、无漏印、无污渍、无偏色，墨色均匀；</w:t>
      </w:r>
    </w:p>
    <w:p w14:paraId="58926576">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）装订工艺：锁线精装，书壳平整、包边牢固、翻阅顺畅，不掉页、不脱胶、不散页；</w:t>
      </w:r>
    </w:p>
    <w:p w14:paraId="048CAE58">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印刷</w:t>
      </w:r>
      <w:r>
        <w:rPr>
          <w:rFonts w:hint="eastAsia" w:ascii="宋体" w:hAnsi="宋体" w:eastAsia="宋体" w:cs="宋体"/>
          <w:color w:val="auto"/>
          <w:sz w:val="24"/>
          <w:szCs w:val="24"/>
          <w:highlight w:val="none"/>
        </w:rPr>
        <w:t>标准：严格符合GB/T 34053.3-2017《纸质印刷产品印制质量检验规范 第3部分：图书期刊》，达到国家一级图书印制质量。</w:t>
      </w:r>
    </w:p>
    <w:p w14:paraId="1C0C27D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四</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出版报审、书号、CIP及合规办理 </w:t>
      </w:r>
    </w:p>
    <w:p w14:paraId="092E4C4F">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（1）负责图书选题申报、出版社三审备案，全程对接正规出版社；</w:t>
      </w:r>
    </w:p>
    <w:p w14:paraId="600FA097">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（2）办理国家正规ISBN书号、CIP数据核字号，确保书号、CIP真实有效、可在国家新闻出版署官网查询；</w:t>
      </w:r>
    </w:p>
    <w:p w14:paraId="5B473F86">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（3）完成属地新闻出版部门、文物主管部门报审、备案、抽检配合工作；</w:t>
      </w:r>
    </w:p>
    <w:p w14:paraId="11F5C230">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（4）出具全套出版合规文件：出版合同复印件、书号证明、CIP备案页、出版社资质复印件。</w:t>
      </w:r>
    </w:p>
    <w:p w14:paraId="02702141">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成品交付、档案归档、售后质保 </w:t>
      </w:r>
    </w:p>
    <w:p w14:paraId="254F28F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印制数量（印数）</w:t>
      </w:r>
    </w:p>
    <w:p w14:paraId="3DF8E112">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成品图书印制数量为综合卷、封泥卷、石刻卷各700套，总计4900卷册，全套分册数以最终考古定稿及出版排版结果为准，总价包干不调整。</w:t>
      </w:r>
    </w:p>
    <w:p w14:paraId="2A2CFE15">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 xml:space="preserve"> 交付与验收</w:t>
      </w:r>
    </w:p>
    <w:p w14:paraId="2787A61B">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（1）成品图书：按采购人约定数量印制、打包、运输、送货至采购人指定地点，负责卸货、清点、验收；</w:t>
      </w:r>
    </w:p>
    <w:p w14:paraId="1F08C3E7">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（2）电子档案交付：</w:t>
      </w:r>
    </w:p>
    <w:p w14:paraId="64E2DD55">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全书高清PDF定稿（不可编辑版，分辨率不低于300dpi）；</w:t>
      </w:r>
    </w:p>
    <w:p w14:paraId="70B977D7">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全书可编辑源文件（正文为Word或InDesign文件，图表为可编辑的AI、CDR或PSD分层源文件）；</w:t>
      </w:r>
    </w:p>
    <w:p w14:paraId="45F8A774">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全部图片源文件（要求：未压缩原图，TIFF或JPEG格式，分辨率不低于300dpi）；</w:t>
      </w:r>
    </w:p>
    <w:p w14:paraId="7D7242D4">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全部线图源文件（要求：矢量格式，AI、CDR或EPS）；</w:t>
      </w:r>
    </w:p>
    <w:p w14:paraId="54389CA3">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全部审稿记录、校对台账（PDF或Word格式）。</w:t>
      </w:r>
    </w:p>
    <w:p w14:paraId="7B14AA10">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（3）纸质档案交付：</w:t>
      </w:r>
    </w:p>
    <w:p w14:paraId="60C46844">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全套审稿单、校对单、设计稿、打样稿、出版审批资料、印制质检报告、出厂合格证；所有打样样书、废页、废书履约结束后由中标单位统一回收销毁，不得私自留存外流，同步向采购人提交书面销毁说明。</w:t>
      </w:r>
    </w:p>
    <w:p w14:paraId="74EE3937">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质量质保</w:t>
      </w:r>
    </w:p>
    <w:p w14:paraId="1276EAD1">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（1）成品图书质保期不少于24个月（自验收合格之日起计算）。质保期内出现脱页、开胶、印刷瑕疵、装订缺陷等质量问题，供应商须在24小时内响应，无条件免费更换、返工。</w:t>
      </w:r>
    </w:p>
    <w:p w14:paraId="1F41F910">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批量质量问题处置：在质保期内，如批量图书中有15%以上（含15%）的图书存在相同质量问题（如批量开胶、缺页、印刷错误等），经采购人确认或双方认可的第三方检测机构认定后，供应商应召回全部问题图书，采购人有权要求更换全部图书或退货，由此产生的一切费用由供应商负担。</w:t>
      </w:r>
    </w:p>
    <w:p w14:paraId="0FE81309">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（3）后期服务：配合采购人完成图书入库、归档、展览、赠送、查阅等工作，长期提供电子版查阅、格式适配等技术支持。</w:t>
      </w:r>
    </w:p>
    <w:p w14:paraId="755D39E5">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六、出版社专业能力要求</w:t>
      </w:r>
    </w:p>
    <w:p w14:paraId="4A01C44C">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供应商应为本项目配备经验丰富的专业编辑团队，项目负责人及责任编辑应具有文物考古类专业编辑从业经验（需提供职称证书或从业证明）；</w:t>
      </w:r>
    </w:p>
    <w:p w14:paraId="173A28DF">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供应商应具备采编排版系统、文物图片处理能力、专业校对人员及考古类专业顾问资源。</w:t>
      </w:r>
    </w:p>
    <w:p w14:paraId="4469277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七、核心条款说明</w:t>
      </w:r>
    </w:p>
    <w:p w14:paraId="637DCD42">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rPr>
        <w:t>）违约责任</w:t>
      </w:r>
    </w:p>
    <w:p w14:paraId="6EF7DFE1">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逾期交付的，每逾期一日按合同总金额的1‰支付违约金；逾期超过30日历天，采购人有权单方解除合同，供应商须退还采购人已支付全部款项，并承担合同总金额10%的违约金，同时赔偿采购人实际经济损失。</w:t>
      </w:r>
    </w:p>
    <w:p w14:paraId="43FC0B1B">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因泄密、著作权侵权、重大批量质量缺陷、擅自转包分包等根本性违约的，违约方按合同总金额20%向守约方支付违约金，并赔偿由此造成的全部实际损失。</w:t>
      </w:r>
    </w:p>
    <w:p w14:paraId="64A1B36F">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）知识产权</w:t>
      </w:r>
    </w:p>
    <w:p w14:paraId="20E7AD84">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保证所出版图书不侵犯任何第三方著作权、专利权、商标权等权利。本项目全部文稿、图片、拓片、排版源文件、设计稿件、成书等全部内容的著作权、知识产权永久归采购人所有；供应商仅拥有本项目履约必要使用权限，履约完毕须完整移交全部源文件资料，不得私自留存、备份、转载、商用。如因侵权引发纠纷，由供应商承担全部法律责任和经济损失。</w:t>
      </w:r>
    </w:p>
    <w:p w14:paraId="7139FF8A">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rPr>
        <w:t>）保密义务</w:t>
      </w:r>
    </w:p>
    <w:p w14:paraId="5B3F6DFA">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对采购人提供的考古原始资料、未公开研究成果、出土文物影像、墓葬数据等负有保密义务，未经采购人书面同意，不得向任何第三方泄露或用于本合同目的以外的用途。违反保密义务的，采购人有权解除合同并追究供应商法律责任。项目作废资料、残次品图书统一由供应商回收销毁，留存销毁台账备查。</w:t>
      </w:r>
    </w:p>
    <w:p w14:paraId="019AE341">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四</w:t>
      </w:r>
      <w:r>
        <w:rPr>
          <w:rFonts w:hint="eastAsia" w:ascii="宋体" w:hAnsi="宋体" w:eastAsia="宋体" w:cs="宋体"/>
          <w:color w:val="auto"/>
          <w:sz w:val="24"/>
          <w:szCs w:val="24"/>
          <w:highlight w:val="none"/>
        </w:rPr>
        <w:t>）争议解决</w:t>
      </w:r>
    </w:p>
    <w:p w14:paraId="73F69064">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因本合同引起的任何争议，由双方协商解决；协商不成的，依法向采购人所在地人民法院提起诉讼。</w:t>
      </w:r>
    </w:p>
    <w:p w14:paraId="1C4348D3">
      <w:pPr>
        <w:spacing w:line="500" w:lineRule="exact"/>
        <w:ind w:firstLine="48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eastAsia="zh-CN"/>
        </w:rPr>
        <w:t>七</w:t>
      </w:r>
      <w:r>
        <w:rPr>
          <w:rFonts w:hint="eastAsia" w:ascii="宋体" w:hAnsi="宋体" w:eastAsia="宋体" w:cs="宋体"/>
          <w:b/>
          <w:color w:val="auto"/>
          <w:sz w:val="24"/>
          <w:szCs w:val="24"/>
          <w:highlight w:val="none"/>
        </w:rPr>
        <w:t>、其他要求：</w:t>
      </w:r>
      <w:r>
        <w:rPr>
          <w:rFonts w:hint="eastAsia" w:ascii="宋体" w:hAnsi="宋体" w:eastAsia="宋体" w:cs="宋体"/>
          <w:b w:val="0"/>
          <w:bCs/>
          <w:color w:val="auto"/>
          <w:sz w:val="24"/>
          <w:szCs w:val="24"/>
          <w:highlight w:val="none"/>
        </w:rPr>
        <w:t>见《磋商文件》附件：《合同草案条款》。</w:t>
      </w:r>
    </w:p>
    <w:p w14:paraId="378CD58F">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auto"/>
          <w:highlight w:val="none"/>
        </w:rPr>
      </w:pPr>
      <w:r>
        <w:rPr>
          <w:color w:val="auto"/>
          <w:highlight w:val="none"/>
        </w:rPr>
        <w:br w:type="page" w:clear="all"/>
      </w:r>
    </w:p>
    <w:p w14:paraId="59721B79">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auto"/>
          <w:highlight w:val="none"/>
        </w:rPr>
      </w:pPr>
      <w:r>
        <w:rPr>
          <w:rFonts w:ascii="宋体" w:hAnsi="宋体" w:eastAsia="宋体" w:cs="宋体"/>
          <w:b/>
          <w:color w:val="auto"/>
          <w:sz w:val="36"/>
          <w:highlight w:val="none"/>
        </w:rPr>
        <w:t>3、磋商报价表</w:t>
      </w:r>
    </w:p>
    <w:p w14:paraId="2BEA796E">
      <w:pPr>
        <w:pBdr>
          <w:top w:val="none" w:color="000000" w:sz="0" w:space="0"/>
          <w:left w:val="none" w:color="000000" w:sz="0" w:space="0"/>
          <w:bottom w:val="none" w:color="000000" w:sz="0" w:space="0"/>
          <w:right w:val="none" w:color="000000" w:sz="0" w:space="0"/>
        </w:pBdr>
        <w:spacing w:before="0" w:after="0" w:line="85" w:lineRule="atLeast"/>
        <w:ind w:left="0" w:right="0" w:firstLine="0"/>
        <w:rPr>
          <w:rFonts w:ascii="宋体" w:hAnsi="宋体" w:eastAsia="宋体" w:cs="宋体"/>
          <w:color w:val="auto"/>
          <w:sz w:val="24"/>
          <w:highlight w:val="none"/>
        </w:rPr>
      </w:pPr>
    </w:p>
    <w:p w14:paraId="7E376D19">
      <w:pPr>
        <w:pBdr>
          <w:top w:val="none" w:color="000000" w:sz="0" w:space="0"/>
          <w:left w:val="none" w:color="000000" w:sz="0" w:space="0"/>
          <w:bottom w:val="none" w:color="000000" w:sz="0" w:space="0"/>
          <w:right w:val="none" w:color="000000" w:sz="0" w:space="0"/>
        </w:pBdr>
        <w:spacing w:before="0" w:after="0" w:line="85" w:lineRule="atLeast"/>
        <w:ind w:left="0" w:right="0" w:firstLine="0"/>
        <w:rPr>
          <w:rFonts w:hint="eastAsia" w:eastAsia="宋体"/>
          <w:color w:val="auto"/>
          <w:highlight w:val="none"/>
          <w:lang w:eastAsia="zh-CN"/>
        </w:rPr>
      </w:pPr>
      <w:r>
        <w:rPr>
          <w:rFonts w:ascii="宋体" w:hAnsi="宋体" w:eastAsia="宋体" w:cs="宋体"/>
          <w:color w:val="auto"/>
          <w:sz w:val="24"/>
          <w:highlight w:val="none"/>
        </w:rPr>
        <w:t>项目编号：</w:t>
      </w:r>
      <w:r>
        <w:rPr>
          <w:rFonts w:hint="eastAsia" w:ascii="宋体" w:hAnsi="宋体" w:cs="宋体"/>
          <w:color w:val="auto"/>
          <w:sz w:val="24"/>
          <w:highlight w:val="none"/>
          <w:lang w:eastAsia="zh-CN"/>
        </w:rPr>
        <w:t>JSZC-320300-ZJZB-C2026-0087</w:t>
      </w:r>
    </w:p>
    <w:p w14:paraId="13E6AD25">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rPr>
          <w:color w:val="auto"/>
          <w:highlight w:val="none"/>
        </w:rPr>
      </w:pPr>
      <w:r>
        <w:rPr>
          <w:rFonts w:ascii="宋体" w:hAnsi="宋体" w:eastAsia="宋体" w:cs="宋体"/>
          <w:color w:val="auto"/>
          <w:sz w:val="24"/>
          <w:highlight w:val="none"/>
        </w:rPr>
        <w:t>本次为首次报价</w:t>
      </w:r>
    </w:p>
    <w:p w14:paraId="09D4385F">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rPr>
          <w:color w:val="auto"/>
          <w:highlight w:val="none"/>
        </w:rPr>
      </w:pPr>
      <w:r>
        <w:rPr>
          <w:rFonts w:ascii="宋体" w:hAnsi="宋体" w:eastAsia="宋体" w:cs="宋体"/>
          <w:color w:val="auto"/>
          <w:sz w:val="24"/>
          <w:highlight w:val="none"/>
        </w:rPr>
        <w:t>货币单位：人民币元</w:t>
      </w:r>
    </w:p>
    <w:p w14:paraId="20B7B9F1">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auto"/>
          <w:highlight w:val="none"/>
        </w:rPr>
      </w:pPr>
      <w:r>
        <w:rPr>
          <w:rFonts w:ascii="宋体" w:hAnsi="宋体" w:eastAsia="宋体" w:cs="宋体"/>
          <w:b/>
          <w:bCs/>
          <w:color w:val="auto"/>
          <w:sz w:val="24"/>
          <w:highlight w:val="none"/>
        </w:rPr>
        <w:t>详见苏采云系统中的格式。</w:t>
      </w:r>
    </w:p>
    <w:p w14:paraId="5626406E">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rPr>
          <w:color w:val="auto"/>
          <w:highlight w:val="none"/>
        </w:rPr>
      </w:pPr>
      <w:r>
        <w:rPr>
          <w:rFonts w:ascii="宋体" w:hAnsi="宋体" w:eastAsia="宋体" w:cs="宋体"/>
          <w:color w:val="auto"/>
          <w:sz w:val="24"/>
          <w:highlight w:val="none"/>
        </w:rPr>
        <w:t> </w:t>
      </w:r>
    </w:p>
    <w:p w14:paraId="696DFF2C">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rPr>
          <w:color w:val="auto"/>
          <w:highlight w:val="none"/>
        </w:rPr>
      </w:pPr>
      <w:r>
        <w:rPr>
          <w:rFonts w:ascii="宋体" w:hAnsi="宋体" w:eastAsia="宋体" w:cs="宋体"/>
          <w:color w:val="auto"/>
          <w:sz w:val="24"/>
          <w:highlight w:val="none"/>
        </w:rPr>
        <w:t> </w:t>
      </w:r>
    </w:p>
    <w:p w14:paraId="746E4C86">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rPr>
          <w:color w:val="auto"/>
          <w:highlight w:val="none"/>
        </w:rPr>
      </w:pPr>
      <w:r>
        <w:rPr>
          <w:rFonts w:ascii="宋体" w:hAnsi="宋体" w:eastAsia="宋体" w:cs="宋体"/>
          <w:color w:val="auto"/>
          <w:sz w:val="24"/>
          <w:highlight w:val="none"/>
        </w:rPr>
        <w:t>报价说明：</w:t>
      </w:r>
    </w:p>
    <w:p w14:paraId="0C1100E7">
      <w:pPr>
        <w:pBdr>
          <w:top w:val="none" w:color="000000" w:sz="0" w:space="0"/>
          <w:left w:val="none" w:color="000000" w:sz="0" w:space="0"/>
          <w:bottom w:val="none" w:color="000000" w:sz="0" w:space="0"/>
          <w:right w:val="none" w:color="000000" w:sz="0" w:space="0"/>
        </w:pBdr>
        <w:spacing w:before="0" w:after="0" w:line="85" w:lineRule="atLeast"/>
        <w:ind w:left="0" w:right="0" w:firstLine="480"/>
        <w:jc w:val="both"/>
        <w:rPr>
          <w:color w:val="auto"/>
          <w:highlight w:val="none"/>
        </w:rPr>
      </w:pPr>
      <w:r>
        <w:rPr>
          <w:rFonts w:ascii="宋体" w:hAnsi="宋体" w:eastAsia="宋体" w:cs="宋体"/>
          <w:color w:val="auto"/>
          <w:sz w:val="24"/>
          <w:highlight w:val="none"/>
        </w:rPr>
        <w:t>1、报价应包括磋商文件所确定的招标范围内所含的全部内容，以及为完成上述内容所需的全部费用；</w:t>
      </w:r>
    </w:p>
    <w:p w14:paraId="304CAD47">
      <w:pPr>
        <w:pBdr>
          <w:top w:val="none" w:color="000000" w:sz="0" w:space="0"/>
          <w:left w:val="none" w:color="000000" w:sz="0" w:space="0"/>
          <w:bottom w:val="none" w:color="000000" w:sz="0" w:space="0"/>
          <w:right w:val="none" w:color="000000" w:sz="0" w:space="0"/>
        </w:pBdr>
        <w:spacing w:before="0" w:after="0" w:line="85" w:lineRule="atLeast"/>
        <w:ind w:left="0" w:right="0" w:firstLine="480"/>
        <w:jc w:val="both"/>
        <w:rPr>
          <w:color w:val="auto"/>
          <w:highlight w:val="none"/>
        </w:rPr>
      </w:pPr>
      <w:r>
        <w:rPr>
          <w:rFonts w:ascii="宋体" w:hAnsi="宋体" w:eastAsia="宋体" w:cs="宋体"/>
          <w:color w:val="auto"/>
          <w:sz w:val="24"/>
          <w:highlight w:val="none"/>
        </w:rPr>
        <w:t>2、报价以总价为准，大小写不一致以大写为准；</w:t>
      </w:r>
    </w:p>
    <w:p w14:paraId="4B391C15">
      <w:pPr>
        <w:pBdr>
          <w:top w:val="none" w:color="000000" w:sz="0" w:space="0"/>
          <w:left w:val="none" w:color="000000" w:sz="0" w:space="0"/>
          <w:bottom w:val="none" w:color="000000" w:sz="0" w:space="0"/>
          <w:right w:val="none" w:color="000000" w:sz="0" w:space="0"/>
        </w:pBdr>
        <w:spacing w:before="0" w:after="0" w:line="85" w:lineRule="atLeast"/>
        <w:ind w:left="0" w:right="0" w:firstLine="480"/>
        <w:jc w:val="both"/>
        <w:rPr>
          <w:color w:val="auto"/>
          <w:highlight w:val="none"/>
        </w:rPr>
      </w:pPr>
      <w:r>
        <w:rPr>
          <w:rFonts w:ascii="宋体" w:hAnsi="宋体" w:eastAsia="宋体" w:cs="宋体"/>
          <w:color w:val="auto"/>
          <w:sz w:val="24"/>
          <w:highlight w:val="none"/>
        </w:rPr>
        <w:t>3、偏离说明：详见《偏离表》；</w:t>
      </w:r>
    </w:p>
    <w:p w14:paraId="1172B9A5">
      <w:pPr>
        <w:pBdr>
          <w:top w:val="none" w:color="000000" w:sz="0" w:space="0"/>
          <w:left w:val="none" w:color="000000" w:sz="0" w:space="0"/>
          <w:bottom w:val="none" w:color="000000" w:sz="0" w:space="0"/>
          <w:right w:val="none" w:color="000000" w:sz="0" w:space="0"/>
        </w:pBdr>
        <w:spacing w:before="0" w:after="0" w:line="85" w:lineRule="atLeast"/>
        <w:ind w:left="0" w:right="0" w:firstLine="480"/>
        <w:jc w:val="both"/>
        <w:rPr>
          <w:color w:val="auto"/>
          <w:highlight w:val="none"/>
        </w:rPr>
      </w:pPr>
      <w:r>
        <w:rPr>
          <w:rFonts w:ascii="宋体" w:hAnsi="宋体" w:eastAsia="宋体" w:cs="宋体"/>
          <w:color w:val="auto"/>
          <w:sz w:val="24"/>
          <w:highlight w:val="none"/>
        </w:rPr>
        <w:t>4、如最后报价未列明单价，则最后所报各项单价计算方法为：（最后报价/最初报价）* 各项最初报价的单价。</w:t>
      </w:r>
    </w:p>
    <w:p w14:paraId="5F787BB2">
      <w:pPr>
        <w:pBdr>
          <w:top w:val="none" w:color="000000" w:sz="0" w:space="0"/>
          <w:left w:val="none" w:color="000000" w:sz="0" w:space="0"/>
          <w:bottom w:val="none" w:color="000000" w:sz="0" w:space="0"/>
          <w:right w:val="none" w:color="000000" w:sz="0" w:space="0"/>
        </w:pBdr>
        <w:spacing w:before="0" w:after="0" w:line="85" w:lineRule="atLeast"/>
        <w:ind w:left="0" w:right="0" w:firstLine="480"/>
        <w:jc w:val="both"/>
        <w:rPr>
          <w:color w:val="auto"/>
          <w:highlight w:val="none"/>
        </w:rPr>
      </w:pPr>
      <w:r>
        <w:rPr>
          <w:rFonts w:ascii="宋体" w:hAnsi="宋体" w:eastAsia="宋体" w:cs="宋体"/>
          <w:color w:val="auto"/>
          <w:sz w:val="24"/>
          <w:highlight w:val="none"/>
        </w:rPr>
        <w:t> </w:t>
      </w:r>
    </w:p>
    <w:p w14:paraId="67F26D25">
      <w:pPr>
        <w:pBdr>
          <w:top w:val="none" w:color="000000" w:sz="0" w:space="0"/>
          <w:left w:val="none" w:color="000000" w:sz="0" w:space="0"/>
          <w:bottom w:val="none" w:color="000000" w:sz="0" w:space="0"/>
          <w:right w:val="none" w:color="000000" w:sz="0" w:space="0"/>
        </w:pBdr>
        <w:spacing w:before="0" w:after="0" w:line="85" w:lineRule="atLeast"/>
        <w:ind w:left="0" w:right="0" w:firstLine="480"/>
        <w:jc w:val="both"/>
        <w:rPr>
          <w:color w:val="auto"/>
          <w:highlight w:val="none"/>
        </w:rPr>
      </w:pPr>
      <w:r>
        <w:rPr>
          <w:rFonts w:ascii="宋体" w:hAnsi="宋体" w:eastAsia="宋体" w:cs="宋体"/>
          <w:color w:val="auto"/>
          <w:sz w:val="24"/>
          <w:highlight w:val="none"/>
        </w:rPr>
        <w:t> </w:t>
      </w:r>
    </w:p>
    <w:p w14:paraId="0063E59A">
      <w:pPr>
        <w:pBdr>
          <w:top w:val="none" w:color="000000" w:sz="0" w:space="0"/>
          <w:left w:val="none" w:color="000000" w:sz="0" w:space="0"/>
          <w:bottom w:val="none" w:color="000000" w:sz="0" w:space="0"/>
          <w:right w:val="none" w:color="000000" w:sz="0" w:space="0"/>
        </w:pBdr>
        <w:spacing w:before="0" w:after="0" w:line="85" w:lineRule="atLeast"/>
        <w:ind w:left="0" w:right="29" w:firstLine="0"/>
        <w:jc w:val="both"/>
        <w:rPr>
          <w:color w:val="auto"/>
          <w:highlight w:val="none"/>
        </w:rPr>
      </w:pPr>
      <w:r>
        <w:rPr>
          <w:rFonts w:ascii="宋体" w:hAnsi="宋体" w:eastAsia="宋体" w:cs="宋体"/>
          <w:color w:val="auto"/>
          <w:sz w:val="24"/>
          <w:highlight w:val="none"/>
        </w:rPr>
        <w:t>                       供应商（电子签章）：</w:t>
      </w:r>
    </w:p>
    <w:p w14:paraId="5405E7E9">
      <w:pPr>
        <w:pBdr>
          <w:top w:val="none" w:color="000000" w:sz="0" w:space="0"/>
          <w:left w:val="none" w:color="000000" w:sz="0" w:space="0"/>
          <w:bottom w:val="none" w:color="000000" w:sz="0" w:space="0"/>
          <w:right w:val="none" w:color="000000" w:sz="0" w:space="0"/>
        </w:pBdr>
        <w:spacing w:before="0" w:after="0" w:line="85" w:lineRule="atLeast"/>
        <w:ind w:left="0" w:right="29" w:firstLine="0"/>
        <w:jc w:val="both"/>
        <w:rPr>
          <w:color w:val="auto"/>
          <w:highlight w:val="none"/>
        </w:rPr>
      </w:pPr>
      <w:r>
        <w:rPr>
          <w:rFonts w:ascii="宋体" w:hAnsi="宋体" w:eastAsia="宋体" w:cs="宋体"/>
          <w:color w:val="auto"/>
          <w:sz w:val="24"/>
          <w:highlight w:val="none"/>
        </w:rPr>
        <w:t>                       日期：</w:t>
      </w:r>
    </w:p>
    <w:p w14:paraId="5021B7C4">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b/>
          <w:color w:val="auto"/>
          <w:sz w:val="36"/>
          <w:highlight w:val="none"/>
        </w:rPr>
        <w:t> </w:t>
      </w:r>
    </w:p>
    <w:p w14:paraId="27E76BFA">
      <w:pPr>
        <w:pBdr>
          <w:top w:val="none" w:color="000000" w:sz="0" w:space="0"/>
          <w:left w:val="none" w:color="000000" w:sz="0" w:space="0"/>
          <w:bottom w:val="none" w:color="000000" w:sz="0" w:space="0"/>
          <w:right w:val="none" w:color="000000" w:sz="0" w:space="0"/>
        </w:pBdr>
        <w:spacing w:before="210" w:after="0" w:line="315" w:lineRule="atLeast"/>
        <w:ind w:left="0" w:right="0" w:firstLine="420"/>
        <w:jc w:val="both"/>
        <w:rPr>
          <w:color w:val="auto"/>
          <w:highlight w:val="none"/>
        </w:rPr>
      </w:pPr>
      <w:r>
        <w:rPr>
          <w:rFonts w:ascii="宋体" w:hAnsi="宋体" w:eastAsia="宋体" w:cs="宋体"/>
          <w:color w:val="auto"/>
          <w:sz w:val="21"/>
          <w:highlight w:val="none"/>
        </w:rPr>
        <w:t> </w:t>
      </w:r>
    </w:p>
    <w:p w14:paraId="3EAB3EDD">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b/>
          <w:color w:val="auto"/>
          <w:sz w:val="36"/>
          <w:highlight w:val="none"/>
        </w:rPr>
        <w:t> </w:t>
      </w:r>
    </w:p>
    <w:p w14:paraId="3FB30BF7">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color w:val="auto"/>
          <w:highlight w:val="none"/>
        </w:rPr>
        <w:br w:type="page" w:clear="all"/>
      </w:r>
    </w:p>
    <w:p w14:paraId="1ECE604F">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b/>
          <w:color w:val="auto"/>
          <w:sz w:val="36"/>
          <w:highlight w:val="none"/>
        </w:rPr>
        <w:t>4、</w:t>
      </w:r>
      <w:r>
        <w:rPr>
          <w:rFonts w:ascii="宋体" w:hAnsi="宋体" w:eastAsia="宋体" w:cs="宋体"/>
          <w:b/>
          <w:color w:val="auto"/>
          <w:sz w:val="36"/>
          <w:highlight w:val="none"/>
          <w:u w:val="none"/>
        </w:rPr>
        <w:t>分项价格表</w:t>
      </w:r>
    </w:p>
    <w:p w14:paraId="21B97326">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rPr>
          <w:color w:val="auto"/>
          <w:highlight w:val="none"/>
        </w:rPr>
      </w:pPr>
      <w:r>
        <w:rPr>
          <w:rFonts w:ascii="宋体" w:hAnsi="宋体" w:eastAsia="宋体" w:cs="宋体"/>
          <w:color w:val="auto"/>
          <w:sz w:val="24"/>
          <w:highlight w:val="none"/>
        </w:rPr>
        <w:t> </w:t>
      </w:r>
    </w:p>
    <w:p w14:paraId="0F22EFAC">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rPr>
          <w:color w:val="auto"/>
          <w:highlight w:val="none"/>
        </w:rPr>
      </w:pPr>
      <w:r>
        <w:rPr>
          <w:rFonts w:ascii="宋体" w:hAnsi="宋体" w:eastAsia="宋体" w:cs="宋体"/>
          <w:color w:val="auto"/>
          <w:sz w:val="24"/>
          <w:highlight w:val="none"/>
        </w:rPr>
        <w:t>本次为首次报价</w:t>
      </w:r>
    </w:p>
    <w:p w14:paraId="0CE362D1">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rPr>
          <w:rFonts w:hint="eastAsia" w:eastAsia="宋体"/>
          <w:color w:val="auto"/>
          <w:highlight w:val="none"/>
          <w:lang w:eastAsia="zh-CN"/>
        </w:rPr>
      </w:pPr>
      <w:r>
        <w:rPr>
          <w:rFonts w:ascii="宋体" w:hAnsi="宋体" w:eastAsia="宋体" w:cs="宋体"/>
          <w:color w:val="auto"/>
          <w:sz w:val="24"/>
          <w:highlight w:val="none"/>
        </w:rPr>
        <w:t>项目编号：</w:t>
      </w:r>
      <w:r>
        <w:rPr>
          <w:rFonts w:hint="eastAsia" w:ascii="宋体" w:hAnsi="宋体" w:cs="宋体"/>
          <w:color w:val="auto"/>
          <w:sz w:val="24"/>
          <w:highlight w:val="none"/>
          <w:lang w:eastAsia="zh-CN"/>
        </w:rPr>
        <w:t>JSZC-320300-ZJZB-C2026-0087</w:t>
      </w:r>
    </w:p>
    <w:p w14:paraId="64D68651">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rPr>
          <w:rFonts w:hint="eastAsia" w:eastAsia="宋体"/>
          <w:color w:val="auto"/>
          <w:highlight w:val="none"/>
          <w:lang w:eastAsia="zh-CN"/>
        </w:rPr>
      </w:pPr>
      <w:r>
        <w:rPr>
          <w:rFonts w:ascii="宋体" w:hAnsi="宋体" w:eastAsia="宋体" w:cs="宋体"/>
          <w:color w:val="auto"/>
          <w:sz w:val="24"/>
          <w:highlight w:val="none"/>
        </w:rPr>
        <w:t>项目名称：</w:t>
      </w:r>
      <w:r>
        <w:rPr>
          <w:rFonts w:hint="eastAsia" w:ascii="宋体" w:hAnsi="宋体" w:cs="宋体"/>
          <w:color w:val="auto"/>
          <w:sz w:val="24"/>
          <w:highlight w:val="none"/>
          <w:lang w:eastAsia="zh-CN"/>
        </w:rPr>
        <w:t>土山汉墓发掘报告出版项目</w:t>
      </w:r>
    </w:p>
    <w:p w14:paraId="640B4DD7">
      <w:pPr>
        <w:pBdr>
          <w:top w:val="none" w:color="000000" w:sz="0" w:space="0"/>
          <w:left w:val="none" w:color="000000" w:sz="0" w:space="0"/>
          <w:bottom w:val="none" w:color="000000" w:sz="0" w:space="0"/>
          <w:right w:val="none" w:color="000000" w:sz="0" w:space="0"/>
        </w:pBdr>
        <w:spacing w:before="0" w:after="0" w:line="65" w:lineRule="atLeast"/>
        <w:ind w:left="0" w:right="0" w:firstLine="0"/>
        <w:jc w:val="both"/>
        <w:rPr>
          <w:color w:val="auto"/>
          <w:highlight w:val="none"/>
        </w:rPr>
      </w:pPr>
      <w:r>
        <w:rPr>
          <w:rFonts w:ascii="宋体" w:hAnsi="宋体" w:eastAsia="宋体" w:cs="宋体"/>
          <w:color w:val="auto"/>
          <w:sz w:val="24"/>
          <w:highlight w:val="none"/>
        </w:rPr>
        <w:t> </w:t>
      </w:r>
    </w:p>
    <w:p w14:paraId="6C4CF35E">
      <w:pPr>
        <w:pBdr>
          <w:top w:val="none" w:color="000000" w:sz="0" w:space="0"/>
          <w:left w:val="none" w:color="000000" w:sz="0" w:space="0"/>
          <w:bottom w:val="none" w:color="000000" w:sz="0" w:space="0"/>
          <w:right w:val="none" w:color="000000" w:sz="0" w:space="0"/>
        </w:pBdr>
        <w:spacing w:before="240" w:after="240"/>
        <w:ind w:left="420" w:right="33" w:firstLine="0"/>
        <w:rPr>
          <w:color w:val="auto"/>
          <w:highlight w:val="none"/>
        </w:rPr>
      </w:pPr>
      <w:r>
        <w:rPr>
          <w:rFonts w:ascii="宋体" w:hAnsi="宋体" w:eastAsia="宋体" w:cs="宋体"/>
          <w:color w:val="auto"/>
          <w:sz w:val="24"/>
          <w:highlight w:val="none"/>
        </w:rPr>
        <w:t> </w:t>
      </w:r>
    </w:p>
    <w:p w14:paraId="06AE4A85">
      <w:pPr>
        <w:pBdr>
          <w:top w:val="none" w:color="000000" w:sz="0" w:space="0"/>
          <w:left w:val="none" w:color="000000" w:sz="0" w:space="0"/>
          <w:bottom w:val="none" w:color="000000" w:sz="0" w:space="0"/>
          <w:right w:val="none" w:color="000000" w:sz="0" w:space="0"/>
        </w:pBdr>
        <w:spacing w:before="0" w:after="0" w:line="65" w:lineRule="atLeast"/>
        <w:ind w:left="0" w:right="0" w:firstLine="0"/>
        <w:jc w:val="center"/>
        <w:rPr>
          <w:color w:val="auto"/>
          <w:highlight w:val="none"/>
        </w:rPr>
      </w:pPr>
      <w:r>
        <w:rPr>
          <w:rFonts w:hint="eastAsia" w:ascii="宋体" w:hAnsi="宋体" w:cs="宋体"/>
          <w:color w:val="auto"/>
          <w:sz w:val="24"/>
          <w:highlight w:val="none"/>
          <w:lang w:val="en-US" w:eastAsia="zh-CN"/>
        </w:rPr>
        <w:t>格式自拟。</w:t>
      </w:r>
    </w:p>
    <w:p w14:paraId="072310A5">
      <w:pPr>
        <w:pBdr>
          <w:top w:val="none" w:color="000000" w:sz="0" w:space="0"/>
          <w:left w:val="none" w:color="000000" w:sz="0" w:space="0"/>
          <w:bottom w:val="none" w:color="000000" w:sz="0" w:space="0"/>
          <w:right w:val="none" w:color="000000" w:sz="0" w:space="0"/>
        </w:pBdr>
        <w:spacing w:before="0" w:after="0" w:line="65" w:lineRule="atLeast"/>
        <w:ind w:left="0" w:right="0" w:firstLine="0"/>
        <w:jc w:val="both"/>
        <w:rPr>
          <w:color w:val="auto"/>
          <w:highlight w:val="none"/>
        </w:rPr>
      </w:pPr>
      <w:r>
        <w:rPr>
          <w:rFonts w:ascii="宋体" w:hAnsi="宋体" w:eastAsia="宋体" w:cs="宋体"/>
          <w:color w:val="auto"/>
          <w:sz w:val="24"/>
          <w:highlight w:val="none"/>
        </w:rPr>
        <w:t> </w:t>
      </w:r>
    </w:p>
    <w:p w14:paraId="5B4F05ED">
      <w:pPr>
        <w:pBdr>
          <w:top w:val="none" w:color="000000" w:sz="0" w:space="0"/>
          <w:left w:val="none" w:color="000000" w:sz="0" w:space="0"/>
          <w:bottom w:val="none" w:color="000000" w:sz="0" w:space="0"/>
          <w:right w:val="none" w:color="000000" w:sz="0" w:space="0"/>
        </w:pBdr>
        <w:spacing w:before="0" w:after="0" w:line="65" w:lineRule="atLeast"/>
        <w:ind w:left="0" w:right="0" w:firstLine="0"/>
        <w:jc w:val="both"/>
        <w:rPr>
          <w:color w:val="auto"/>
          <w:highlight w:val="none"/>
        </w:rPr>
      </w:pPr>
      <w:r>
        <w:rPr>
          <w:rFonts w:ascii="宋体" w:hAnsi="宋体" w:eastAsia="宋体" w:cs="宋体"/>
          <w:color w:val="auto"/>
          <w:sz w:val="24"/>
          <w:highlight w:val="none"/>
        </w:rPr>
        <w:t> </w:t>
      </w:r>
    </w:p>
    <w:p w14:paraId="712E9C8E">
      <w:pPr>
        <w:pBdr>
          <w:top w:val="none" w:color="000000" w:sz="0" w:space="0"/>
          <w:left w:val="none" w:color="000000" w:sz="0" w:space="0"/>
          <w:bottom w:val="none" w:color="000000" w:sz="0" w:space="0"/>
          <w:right w:val="none" w:color="000000" w:sz="0" w:space="0"/>
        </w:pBdr>
        <w:spacing w:before="0" w:after="0" w:line="65" w:lineRule="atLeast"/>
        <w:ind w:left="0" w:right="0" w:firstLine="0"/>
        <w:jc w:val="both"/>
        <w:rPr>
          <w:color w:val="auto"/>
          <w:highlight w:val="none"/>
        </w:rPr>
      </w:pPr>
      <w:r>
        <w:rPr>
          <w:rFonts w:ascii="宋体" w:hAnsi="宋体" w:eastAsia="宋体" w:cs="宋体"/>
          <w:color w:val="auto"/>
          <w:sz w:val="24"/>
          <w:highlight w:val="none"/>
        </w:rPr>
        <w:t> </w:t>
      </w:r>
    </w:p>
    <w:p w14:paraId="105C629F">
      <w:pPr>
        <w:pBdr>
          <w:top w:val="none" w:color="000000" w:sz="0" w:space="0"/>
          <w:left w:val="none" w:color="000000" w:sz="0" w:space="0"/>
          <w:bottom w:val="none" w:color="000000" w:sz="0" w:space="0"/>
          <w:right w:val="none" w:color="000000" w:sz="0" w:space="0"/>
        </w:pBdr>
        <w:spacing w:before="0" w:after="0" w:line="65" w:lineRule="atLeast"/>
        <w:ind w:left="0" w:right="0" w:firstLine="0"/>
        <w:jc w:val="both"/>
        <w:rPr>
          <w:color w:val="auto"/>
          <w:highlight w:val="none"/>
        </w:rPr>
      </w:pPr>
      <w:r>
        <w:rPr>
          <w:rFonts w:ascii="宋体" w:hAnsi="宋体" w:eastAsia="宋体" w:cs="宋体"/>
          <w:color w:val="auto"/>
          <w:sz w:val="24"/>
          <w:highlight w:val="none"/>
        </w:rPr>
        <w:t> </w:t>
      </w:r>
    </w:p>
    <w:p w14:paraId="38C55C77">
      <w:pPr>
        <w:pBdr>
          <w:top w:val="none" w:color="000000" w:sz="0" w:space="0"/>
          <w:left w:val="none" w:color="000000" w:sz="0" w:space="0"/>
          <w:bottom w:val="none" w:color="000000" w:sz="0" w:space="0"/>
          <w:right w:val="none" w:color="000000" w:sz="0" w:space="0"/>
        </w:pBdr>
        <w:spacing w:before="0" w:after="0" w:line="65" w:lineRule="atLeast"/>
        <w:ind w:left="0" w:right="0" w:firstLine="0"/>
        <w:jc w:val="both"/>
        <w:rPr>
          <w:color w:val="auto"/>
          <w:highlight w:val="none"/>
        </w:rPr>
      </w:pPr>
      <w:r>
        <w:rPr>
          <w:rFonts w:ascii="宋体" w:hAnsi="宋体" w:eastAsia="宋体" w:cs="宋体"/>
          <w:color w:val="auto"/>
          <w:sz w:val="24"/>
          <w:highlight w:val="none"/>
        </w:rPr>
        <w:t> </w:t>
      </w:r>
    </w:p>
    <w:p w14:paraId="23EC1BB0">
      <w:pPr>
        <w:pBdr>
          <w:top w:val="none" w:color="000000" w:sz="0" w:space="0"/>
          <w:left w:val="none" w:color="000000" w:sz="0" w:space="0"/>
          <w:bottom w:val="none" w:color="000000" w:sz="0" w:space="0"/>
          <w:right w:val="none" w:color="000000" w:sz="0" w:space="0"/>
        </w:pBdr>
        <w:spacing w:before="0" w:after="0" w:line="65" w:lineRule="atLeast"/>
        <w:ind w:left="0" w:right="0" w:firstLine="0"/>
        <w:jc w:val="both"/>
        <w:rPr>
          <w:color w:val="auto"/>
          <w:highlight w:val="none"/>
        </w:rPr>
      </w:pPr>
      <w:r>
        <w:rPr>
          <w:rFonts w:ascii="宋体" w:hAnsi="宋体" w:eastAsia="宋体" w:cs="宋体"/>
          <w:color w:val="auto"/>
          <w:sz w:val="24"/>
          <w:highlight w:val="none"/>
        </w:rPr>
        <w:t> </w:t>
      </w:r>
    </w:p>
    <w:p w14:paraId="3947AE5A">
      <w:pPr>
        <w:pBdr>
          <w:top w:val="none" w:color="000000" w:sz="0" w:space="0"/>
          <w:left w:val="none" w:color="000000" w:sz="0" w:space="0"/>
          <w:bottom w:val="none" w:color="000000" w:sz="0" w:space="0"/>
          <w:right w:val="none" w:color="000000" w:sz="0" w:space="0"/>
        </w:pBdr>
        <w:spacing w:before="0" w:after="0" w:line="65" w:lineRule="atLeast"/>
        <w:ind w:left="0" w:right="0" w:firstLine="2280"/>
        <w:jc w:val="both"/>
        <w:rPr>
          <w:color w:val="auto"/>
          <w:highlight w:val="none"/>
        </w:rPr>
      </w:pPr>
      <w:r>
        <w:rPr>
          <w:rFonts w:ascii="宋体" w:hAnsi="宋体" w:eastAsia="宋体" w:cs="宋体"/>
          <w:color w:val="auto"/>
          <w:sz w:val="24"/>
          <w:highlight w:val="none"/>
        </w:rPr>
        <w:t>     供应商（电子签章）：</w:t>
      </w:r>
    </w:p>
    <w:p w14:paraId="0A1EFF70">
      <w:pPr>
        <w:pBdr>
          <w:top w:val="none" w:color="000000" w:sz="0" w:space="0"/>
          <w:left w:val="none" w:color="000000" w:sz="0" w:space="0"/>
          <w:bottom w:val="none" w:color="000000" w:sz="0" w:space="0"/>
          <w:right w:val="none" w:color="000000" w:sz="0" w:space="0"/>
        </w:pBdr>
        <w:spacing w:before="0" w:after="0" w:line="65" w:lineRule="atLeast"/>
        <w:ind w:left="0" w:right="0" w:firstLine="0"/>
        <w:jc w:val="both"/>
        <w:rPr>
          <w:color w:val="auto"/>
          <w:highlight w:val="none"/>
        </w:rPr>
      </w:pPr>
      <w:r>
        <w:rPr>
          <w:rFonts w:ascii="宋体" w:hAnsi="宋体" w:eastAsia="宋体" w:cs="宋体"/>
          <w:color w:val="auto"/>
          <w:sz w:val="24"/>
          <w:highlight w:val="none"/>
        </w:rPr>
        <w:t>                        日期：</w:t>
      </w:r>
    </w:p>
    <w:p w14:paraId="782353CE">
      <w:pPr>
        <w:pBdr>
          <w:top w:val="none" w:color="000000" w:sz="0" w:space="0"/>
          <w:left w:val="none" w:color="000000" w:sz="0" w:space="0"/>
          <w:bottom w:val="none" w:color="000000" w:sz="0" w:space="0"/>
          <w:right w:val="none" w:color="000000" w:sz="0" w:space="0"/>
        </w:pBdr>
        <w:spacing w:before="0" w:after="0" w:line="65" w:lineRule="atLeast"/>
        <w:ind w:left="0" w:right="0" w:firstLine="0"/>
        <w:jc w:val="both"/>
        <w:rPr>
          <w:color w:val="auto"/>
          <w:highlight w:val="none"/>
        </w:rPr>
      </w:pPr>
      <w:r>
        <w:rPr>
          <w:rFonts w:ascii="宋体" w:hAnsi="宋体" w:eastAsia="宋体" w:cs="宋体"/>
          <w:color w:val="auto"/>
          <w:sz w:val="24"/>
          <w:highlight w:val="none"/>
        </w:rPr>
        <w:t> </w:t>
      </w:r>
    </w:p>
    <w:p w14:paraId="7E284AE6">
      <w:pPr>
        <w:pBdr>
          <w:top w:val="none" w:color="000000" w:sz="0" w:space="0"/>
          <w:left w:val="none" w:color="000000" w:sz="0" w:space="0"/>
          <w:bottom w:val="none" w:color="000000" w:sz="0" w:space="0"/>
          <w:right w:val="none" w:color="000000" w:sz="0" w:space="0"/>
        </w:pBdr>
        <w:spacing w:before="0" w:after="0" w:line="65" w:lineRule="atLeast"/>
        <w:ind w:left="0" w:right="0" w:firstLine="0"/>
        <w:jc w:val="both"/>
        <w:rPr>
          <w:color w:val="auto"/>
          <w:highlight w:val="none"/>
        </w:rPr>
      </w:pPr>
      <w:r>
        <w:rPr>
          <w:rFonts w:ascii="宋体" w:hAnsi="宋体" w:eastAsia="宋体" w:cs="宋体"/>
          <w:color w:val="auto"/>
          <w:sz w:val="24"/>
          <w:highlight w:val="none"/>
        </w:rPr>
        <w:t> </w:t>
      </w:r>
    </w:p>
    <w:p w14:paraId="640CEDCB">
      <w:pPr>
        <w:pBdr>
          <w:top w:val="none" w:color="000000" w:sz="0" w:space="0"/>
          <w:left w:val="none" w:color="000000" w:sz="0" w:space="0"/>
          <w:bottom w:val="none" w:color="000000" w:sz="0" w:space="0"/>
          <w:right w:val="none" w:color="000000" w:sz="0" w:space="0"/>
        </w:pBdr>
        <w:spacing w:before="0" w:after="0" w:line="65" w:lineRule="atLeast"/>
        <w:ind w:left="0" w:right="0" w:firstLine="0"/>
        <w:jc w:val="both"/>
        <w:rPr>
          <w:color w:val="auto"/>
          <w:highlight w:val="none"/>
        </w:rPr>
      </w:pPr>
      <w:r>
        <w:rPr>
          <w:rFonts w:ascii="宋体" w:hAnsi="宋体" w:eastAsia="宋体" w:cs="宋体"/>
          <w:color w:val="auto"/>
          <w:sz w:val="24"/>
          <w:highlight w:val="none"/>
        </w:rPr>
        <w:t>注：1．</w:t>
      </w:r>
      <w:r>
        <w:rPr>
          <w:rFonts w:ascii="宋体" w:hAnsi="宋体" w:eastAsia="宋体" w:cs="宋体"/>
          <w:b/>
          <w:color w:val="auto"/>
          <w:sz w:val="24"/>
          <w:highlight w:val="none"/>
        </w:rPr>
        <w:t>如果不提供《分项价格表》将视为没有实质性响应。</w:t>
      </w:r>
    </w:p>
    <w:p w14:paraId="0410ADC7">
      <w:pPr>
        <w:numPr>
          <w:ilvl w:val="0"/>
          <w:numId w:val="5"/>
        </w:numPr>
        <w:pBdr>
          <w:top w:val="none" w:color="000000" w:sz="0" w:space="0"/>
          <w:left w:val="none" w:color="000000" w:sz="0" w:space="0"/>
          <w:bottom w:val="none" w:color="000000" w:sz="0" w:space="0"/>
          <w:right w:val="none" w:color="000000" w:sz="0" w:space="0"/>
        </w:pBdr>
        <w:spacing w:before="0" w:after="0" w:line="65" w:lineRule="atLeast"/>
        <w:jc w:val="both"/>
        <w:rPr>
          <w:color w:val="auto"/>
          <w:highlight w:val="none"/>
        </w:rPr>
      </w:pPr>
      <w:r>
        <w:rPr>
          <w:rFonts w:ascii="宋体" w:hAnsi="宋体" w:eastAsia="宋体" w:cs="宋体"/>
          <w:color w:val="auto"/>
          <w:sz w:val="24"/>
          <w:highlight w:val="none"/>
        </w:rPr>
        <w:t>响应供应商对以上数据的真实性负责。</w:t>
      </w:r>
    </w:p>
    <w:p w14:paraId="4FFEB513">
      <w:pPr>
        <w:pBdr>
          <w:top w:val="none" w:color="000000" w:sz="0" w:space="0"/>
          <w:left w:val="none" w:color="000000" w:sz="0" w:space="0"/>
          <w:bottom w:val="none" w:color="000000" w:sz="0" w:space="0"/>
          <w:right w:val="none" w:color="000000" w:sz="0" w:space="0"/>
        </w:pBdr>
        <w:spacing w:before="0" w:after="0" w:line="65" w:lineRule="atLeast"/>
        <w:ind w:left="0" w:right="0" w:firstLine="482"/>
        <w:jc w:val="both"/>
        <w:rPr>
          <w:color w:val="auto"/>
          <w:highlight w:val="none"/>
        </w:rPr>
      </w:pPr>
      <w:r>
        <w:rPr>
          <w:rFonts w:ascii="宋体" w:hAnsi="宋体" w:eastAsia="宋体" w:cs="宋体"/>
          <w:b/>
          <w:i/>
          <w:color w:val="auto"/>
          <w:sz w:val="24"/>
          <w:highlight w:val="none"/>
          <w:u w:val="single"/>
        </w:rPr>
        <w:t>采购人或采购代理机构有权将以上内容进行公示。</w:t>
      </w:r>
    </w:p>
    <w:p w14:paraId="0C8F7DF1">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color w:val="auto"/>
          <w:highlight w:val="none"/>
        </w:rPr>
        <w:br w:type="page" w:clear="all"/>
      </w:r>
    </w:p>
    <w:p w14:paraId="7E3F587C">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b/>
          <w:color w:val="auto"/>
          <w:sz w:val="36"/>
          <w:highlight w:val="none"/>
        </w:rPr>
        <w:t>5、</w:t>
      </w:r>
      <w:r>
        <w:rPr>
          <w:rFonts w:ascii="宋体" w:hAnsi="宋体" w:eastAsia="宋体" w:cs="宋体"/>
          <w:b/>
          <w:color w:val="auto"/>
          <w:sz w:val="36"/>
          <w:highlight w:val="none"/>
          <w:u w:val="none"/>
        </w:rPr>
        <w:t>偏离表</w:t>
      </w:r>
    </w:p>
    <w:p w14:paraId="3F36469D">
      <w:pPr>
        <w:pBdr>
          <w:top w:val="none" w:color="000000" w:sz="0" w:space="0"/>
          <w:left w:val="none" w:color="000000" w:sz="0" w:space="0"/>
          <w:bottom w:val="none" w:color="000000" w:sz="0" w:space="0"/>
          <w:right w:val="none" w:color="000000" w:sz="0" w:space="0"/>
        </w:pBdr>
        <w:spacing w:before="0" w:after="0" w:line="85" w:lineRule="atLeast"/>
        <w:ind w:left="0" w:right="0" w:firstLine="0"/>
        <w:rPr>
          <w:rFonts w:hint="eastAsia" w:eastAsia="宋体"/>
          <w:color w:val="auto"/>
          <w:highlight w:val="none"/>
          <w:lang w:eastAsia="zh-CN"/>
        </w:rPr>
      </w:pPr>
      <w:r>
        <w:rPr>
          <w:rFonts w:ascii="宋体" w:hAnsi="宋体" w:eastAsia="宋体" w:cs="宋体"/>
          <w:color w:val="auto"/>
          <w:sz w:val="24"/>
          <w:highlight w:val="none"/>
        </w:rPr>
        <w:t>项目编号：</w:t>
      </w:r>
      <w:r>
        <w:rPr>
          <w:rFonts w:hint="eastAsia" w:ascii="宋体" w:hAnsi="宋体" w:cs="宋体"/>
          <w:color w:val="auto"/>
          <w:sz w:val="24"/>
          <w:highlight w:val="none"/>
          <w:lang w:eastAsia="zh-CN"/>
        </w:rPr>
        <w:t>JSZC-320300-ZJZB-C2026-0087</w:t>
      </w:r>
    </w:p>
    <w:p w14:paraId="369F2A74">
      <w:pPr>
        <w:pBdr>
          <w:top w:val="none" w:color="000000" w:sz="0" w:space="0"/>
          <w:left w:val="none" w:color="000000" w:sz="0" w:space="0"/>
          <w:bottom w:val="none" w:color="000000" w:sz="0" w:space="0"/>
          <w:right w:val="none" w:color="000000" w:sz="0" w:space="0"/>
        </w:pBdr>
        <w:spacing w:before="0" w:after="0" w:line="85" w:lineRule="atLeast"/>
        <w:ind w:left="0" w:right="0" w:firstLine="0"/>
        <w:rPr>
          <w:rFonts w:hint="eastAsia" w:eastAsia="宋体"/>
          <w:color w:val="auto"/>
          <w:highlight w:val="none"/>
          <w:lang w:eastAsia="zh-CN"/>
        </w:rPr>
      </w:pPr>
      <w:r>
        <w:rPr>
          <w:rFonts w:ascii="宋体" w:hAnsi="宋体" w:eastAsia="宋体" w:cs="宋体"/>
          <w:color w:val="auto"/>
          <w:sz w:val="24"/>
          <w:highlight w:val="none"/>
        </w:rPr>
        <w:t>项目名称：</w:t>
      </w:r>
      <w:r>
        <w:rPr>
          <w:rFonts w:hint="eastAsia" w:ascii="宋体" w:hAnsi="宋体" w:cs="宋体"/>
          <w:color w:val="auto"/>
          <w:sz w:val="24"/>
          <w:highlight w:val="none"/>
          <w:lang w:eastAsia="zh-CN"/>
        </w:rPr>
        <w:t>土山汉墓发掘报告出版项目</w:t>
      </w:r>
    </w:p>
    <w:tbl>
      <w:tblPr>
        <w:tblStyle w:val="52"/>
        <w:tblW w:w="9157" w:type="dxa"/>
        <w:jc w:val="cente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869"/>
        <w:gridCol w:w="1248"/>
        <w:gridCol w:w="2779"/>
        <w:gridCol w:w="1685"/>
        <w:gridCol w:w="1807"/>
        <w:gridCol w:w="769"/>
      </w:tblGrid>
      <w:tr w14:paraId="7C8DEEA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943" w:hRule="atLeast"/>
          <w:jc w:val="center"/>
        </w:trPr>
        <w:tc>
          <w:tcPr>
            <w:tcW w:w="869"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972FA6E">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序号</w:t>
            </w:r>
          </w:p>
        </w:tc>
        <w:tc>
          <w:tcPr>
            <w:tcW w:w="1248"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60D4259C">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偏离内容</w:t>
            </w:r>
          </w:p>
        </w:tc>
        <w:tc>
          <w:tcPr>
            <w:tcW w:w="2779"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29D09D97">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竞争性磋商文件（含竞争性磋商文件的澄清或者修改）的要求</w:t>
            </w:r>
          </w:p>
        </w:tc>
        <w:tc>
          <w:tcPr>
            <w:tcW w:w="1685"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67B54231">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首次响应文件中的内容</w:t>
            </w:r>
          </w:p>
        </w:tc>
        <w:tc>
          <w:tcPr>
            <w:tcW w:w="1807"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6B151F5D">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（正/负/无）偏离</w:t>
            </w:r>
          </w:p>
        </w:tc>
        <w:tc>
          <w:tcPr>
            <w:tcW w:w="769"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34466E0E">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说明</w:t>
            </w:r>
          </w:p>
        </w:tc>
      </w:tr>
      <w:tr w14:paraId="48D24B7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805" w:hRule="atLeast"/>
          <w:jc w:val="center"/>
        </w:trPr>
        <w:tc>
          <w:tcPr>
            <w:tcW w:w="86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D4FA897">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 </w:t>
            </w:r>
          </w:p>
        </w:tc>
        <w:tc>
          <w:tcPr>
            <w:tcW w:w="1248"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36E1C55">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 </w:t>
            </w:r>
          </w:p>
        </w:tc>
        <w:tc>
          <w:tcPr>
            <w:tcW w:w="277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4157684">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 </w:t>
            </w:r>
          </w:p>
        </w:tc>
        <w:tc>
          <w:tcPr>
            <w:tcW w:w="1685"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2A09F75">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 </w:t>
            </w:r>
          </w:p>
        </w:tc>
        <w:tc>
          <w:tcPr>
            <w:tcW w:w="1807"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0748709">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 </w:t>
            </w:r>
          </w:p>
        </w:tc>
        <w:tc>
          <w:tcPr>
            <w:tcW w:w="76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646FBC8">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 </w:t>
            </w:r>
          </w:p>
        </w:tc>
      </w:tr>
      <w:tr w14:paraId="7959655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805" w:hRule="atLeast"/>
          <w:jc w:val="center"/>
        </w:trPr>
        <w:tc>
          <w:tcPr>
            <w:tcW w:w="86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98F1DA9">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248"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BF7DC86">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277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61EEBF9">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685"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5DBD283">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807"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5425620">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76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4F1398A">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r>
      <w:tr w14:paraId="0BF46C3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805" w:hRule="atLeast"/>
          <w:jc w:val="center"/>
        </w:trPr>
        <w:tc>
          <w:tcPr>
            <w:tcW w:w="86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D0C5A94">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248"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8F5BBB2">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277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DB38ABA">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685"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275189B5">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807"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F0E504F">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76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81AB69B">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r>
      <w:tr w14:paraId="785B6D3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805" w:hRule="atLeast"/>
          <w:jc w:val="center"/>
        </w:trPr>
        <w:tc>
          <w:tcPr>
            <w:tcW w:w="86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FC10EFF">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248"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3808F24">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277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4E4FE5D">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685"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C763F3D">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807"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EF2F1E2">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76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4E07BBA">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r>
      <w:tr w14:paraId="45B33A6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805" w:hRule="atLeast"/>
          <w:jc w:val="center"/>
        </w:trPr>
        <w:tc>
          <w:tcPr>
            <w:tcW w:w="86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613A8F2">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248"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EFE8883">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277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A95CC54">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685"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CA61DDB">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807"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752E2FF">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76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748A03B">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r>
      <w:tr w14:paraId="67BF1AF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805" w:hRule="atLeast"/>
          <w:jc w:val="center"/>
        </w:trPr>
        <w:tc>
          <w:tcPr>
            <w:tcW w:w="86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8382816">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248"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D79993B">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277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20B4ED1">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685"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28638BFF">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807"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42E753B">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76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2FF9AB7">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r>
      <w:tr w14:paraId="1C2D48F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805" w:hRule="atLeast"/>
          <w:jc w:val="center"/>
        </w:trPr>
        <w:tc>
          <w:tcPr>
            <w:tcW w:w="86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ACA2629">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248"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2DC0C50">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277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418DB9F">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685"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2AE71CB">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807"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27CEFFD3">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76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247DAC8">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r>
      <w:tr w14:paraId="0C2D711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805" w:hRule="atLeast"/>
          <w:jc w:val="center"/>
        </w:trPr>
        <w:tc>
          <w:tcPr>
            <w:tcW w:w="86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F0CE6A1">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248"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B0AC821">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277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28AB05DA">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685"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F5B1571">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807"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8A03D08">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76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C2847E7">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r>
      <w:tr w14:paraId="6653663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825" w:hRule="atLeast"/>
          <w:jc w:val="center"/>
        </w:trPr>
        <w:tc>
          <w:tcPr>
            <w:tcW w:w="86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5A2C3EB">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248"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3452A65">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277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2C93341">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685"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517296A">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1807"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D0EEFD7">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c>
          <w:tcPr>
            <w:tcW w:w="76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AF7005A">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rFonts w:ascii="宋体" w:hAnsi="宋体" w:eastAsia="宋体" w:cs="宋体"/>
                <w:color w:val="auto"/>
                <w:sz w:val="24"/>
                <w:highlight w:val="none"/>
              </w:rPr>
              <w:t> </w:t>
            </w:r>
          </w:p>
        </w:tc>
      </w:tr>
    </w:tbl>
    <w:p w14:paraId="69FF064A">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rPr>
          <w:rFonts w:ascii="宋体" w:hAnsi="宋体" w:eastAsia="宋体" w:cs="宋体"/>
          <w:color w:val="auto"/>
          <w:sz w:val="24"/>
          <w:highlight w:val="none"/>
          <w:u w:val="single"/>
        </w:rPr>
      </w:pPr>
    </w:p>
    <w:p w14:paraId="6314E6BC">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rPr>
          <w:color w:val="auto"/>
          <w:highlight w:val="none"/>
        </w:rPr>
      </w:pPr>
      <w:r>
        <w:rPr>
          <w:rFonts w:ascii="宋体" w:hAnsi="宋体" w:eastAsia="宋体" w:cs="宋体"/>
          <w:color w:val="auto"/>
          <w:sz w:val="24"/>
          <w:highlight w:val="none"/>
          <w:u w:val="single"/>
        </w:rPr>
        <w:t>注：供应商的首次响应文件中的内容与竞争性磋商文件（含竞争性磋商文件的澄清或者修改，下同）的要求不同时，逐条列在偏离表中，否则将认为供应商接受竞争性磋商文件的要求。</w:t>
      </w:r>
    </w:p>
    <w:p w14:paraId="4D274397">
      <w:pPr>
        <w:pBdr>
          <w:top w:val="none" w:color="000000" w:sz="0" w:space="0"/>
          <w:left w:val="none" w:color="000000" w:sz="0" w:space="0"/>
          <w:bottom w:val="none" w:color="000000" w:sz="0" w:space="0"/>
          <w:right w:val="none" w:color="000000" w:sz="0" w:space="0"/>
        </w:pBdr>
        <w:spacing w:before="0" w:after="0" w:line="85" w:lineRule="atLeast"/>
        <w:ind w:left="0" w:right="29" w:firstLine="0"/>
        <w:jc w:val="both"/>
        <w:rPr>
          <w:color w:val="auto"/>
          <w:highlight w:val="none"/>
        </w:rPr>
      </w:pPr>
      <w:r>
        <w:rPr>
          <w:rFonts w:ascii="宋体" w:hAnsi="宋体" w:eastAsia="宋体" w:cs="宋体"/>
          <w:color w:val="auto"/>
          <w:sz w:val="24"/>
          <w:highlight w:val="none"/>
        </w:rPr>
        <w:t>                       供应商（电子签章）：</w:t>
      </w:r>
    </w:p>
    <w:p w14:paraId="46674286">
      <w:pPr>
        <w:pBdr>
          <w:top w:val="none" w:color="000000" w:sz="0" w:space="0"/>
          <w:left w:val="none" w:color="000000" w:sz="0" w:space="0"/>
          <w:bottom w:val="none" w:color="000000" w:sz="0" w:space="0"/>
          <w:right w:val="none" w:color="000000" w:sz="0" w:space="0"/>
        </w:pBdr>
        <w:spacing w:before="0" w:after="0" w:line="85" w:lineRule="atLeast"/>
        <w:ind w:left="0" w:right="29" w:firstLine="2880"/>
        <w:jc w:val="both"/>
        <w:rPr>
          <w:color w:val="auto"/>
          <w:highlight w:val="none"/>
        </w:rPr>
      </w:pPr>
      <w:r>
        <w:rPr>
          <w:rFonts w:ascii="宋体" w:hAnsi="宋体" w:eastAsia="宋体" w:cs="宋体"/>
          <w:color w:val="auto"/>
          <w:sz w:val="24"/>
          <w:highlight w:val="none"/>
        </w:rPr>
        <w:t>日期：</w:t>
      </w:r>
    </w:p>
    <w:p w14:paraId="20082D7E">
      <w:pPr>
        <w:pBdr>
          <w:top w:val="none" w:color="000000" w:sz="0" w:space="0"/>
          <w:left w:val="none" w:color="000000" w:sz="0" w:space="0"/>
          <w:bottom w:val="none" w:color="000000" w:sz="0" w:space="0"/>
          <w:right w:val="none" w:color="000000" w:sz="0" w:space="0"/>
        </w:pBdr>
        <w:spacing w:before="240" w:after="240"/>
        <w:ind w:left="420" w:right="33" w:firstLine="0"/>
        <w:rPr>
          <w:color w:val="auto"/>
          <w:highlight w:val="none"/>
        </w:rPr>
      </w:pPr>
      <w:r>
        <w:rPr>
          <w:rFonts w:ascii="Times New Roman" w:hAnsi="Times New Roman" w:eastAsia="Times New Roman" w:cs="Times New Roman"/>
          <w:color w:val="auto"/>
          <w:sz w:val="24"/>
          <w:highlight w:val="none"/>
        </w:rPr>
        <w:t> </w:t>
      </w:r>
    </w:p>
    <w:p w14:paraId="56E9BDC6">
      <w:pPr>
        <w:pBdr>
          <w:top w:val="none" w:color="000000" w:sz="0" w:space="0"/>
          <w:left w:val="none" w:color="000000" w:sz="0" w:space="0"/>
          <w:bottom w:val="none" w:color="000000" w:sz="0" w:space="0"/>
          <w:right w:val="none" w:color="000000" w:sz="0" w:space="0"/>
        </w:pBdr>
        <w:spacing w:before="0" w:after="0" w:line="85" w:lineRule="atLeast"/>
        <w:ind w:left="0" w:right="29" w:firstLine="0"/>
        <w:jc w:val="center"/>
        <w:rPr>
          <w:color w:val="auto"/>
          <w:highlight w:val="none"/>
        </w:rPr>
      </w:pPr>
      <w:r>
        <w:rPr>
          <w:color w:val="auto"/>
          <w:highlight w:val="none"/>
        </w:rPr>
        <w:br w:type="page" w:clear="all"/>
      </w:r>
    </w:p>
    <w:p w14:paraId="5AB4E45C">
      <w:pPr>
        <w:pBdr>
          <w:top w:val="none" w:color="000000" w:sz="0" w:space="0"/>
          <w:left w:val="none" w:color="000000" w:sz="0" w:space="0"/>
          <w:bottom w:val="none" w:color="000000" w:sz="0" w:space="0"/>
          <w:right w:val="none" w:color="000000" w:sz="0" w:space="0"/>
        </w:pBdr>
        <w:spacing w:before="0" w:after="0" w:line="85" w:lineRule="atLeast"/>
        <w:ind w:left="0" w:right="29" w:firstLine="0"/>
        <w:jc w:val="center"/>
        <w:rPr>
          <w:color w:val="auto"/>
          <w:highlight w:val="none"/>
        </w:rPr>
      </w:pPr>
      <w:r>
        <w:rPr>
          <w:rFonts w:ascii="宋体" w:hAnsi="宋体" w:eastAsia="宋体" w:cs="宋体"/>
          <w:b/>
          <w:color w:val="auto"/>
          <w:sz w:val="36"/>
          <w:highlight w:val="none"/>
        </w:rPr>
        <w:t>6、合同草案条款</w:t>
      </w:r>
    </w:p>
    <w:p w14:paraId="7D6AC81D">
      <w:pPr>
        <w:pBdr>
          <w:top w:val="none" w:color="000000" w:sz="0" w:space="0"/>
          <w:left w:val="none" w:color="000000" w:sz="0" w:space="0"/>
          <w:bottom w:val="none" w:color="000000" w:sz="0" w:space="0"/>
          <w:right w:val="none" w:color="000000" w:sz="0" w:space="0"/>
        </w:pBdr>
        <w:spacing w:before="0" w:after="0" w:line="85" w:lineRule="atLeast"/>
        <w:ind w:left="0" w:right="0" w:firstLine="482"/>
        <w:jc w:val="center"/>
        <w:rPr>
          <w:color w:val="auto"/>
          <w:highlight w:val="none"/>
        </w:rPr>
      </w:pPr>
      <w:r>
        <w:rPr>
          <w:rFonts w:ascii="宋体" w:hAnsi="宋体" w:eastAsia="宋体" w:cs="宋体"/>
          <w:b/>
          <w:color w:val="auto"/>
          <w:sz w:val="24"/>
          <w:highlight w:val="none"/>
        </w:rPr>
        <w:t>（以采购人与成交供应商最终签订版本为准）</w:t>
      </w:r>
    </w:p>
    <w:p w14:paraId="521B7032">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rPr>
          <w:color w:val="auto"/>
          <w:highlight w:val="none"/>
        </w:rPr>
      </w:pPr>
      <w:r>
        <w:rPr>
          <w:rFonts w:ascii="宋体" w:hAnsi="宋体" w:eastAsia="宋体" w:cs="宋体"/>
          <w:color w:val="auto"/>
          <w:sz w:val="24"/>
          <w:highlight w:val="none"/>
        </w:rPr>
        <w:t xml:space="preserve">项目名称： </w:t>
      </w:r>
    </w:p>
    <w:p w14:paraId="0923D531">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rPr>
          <w:color w:val="auto"/>
          <w:highlight w:val="none"/>
        </w:rPr>
      </w:pPr>
      <w:r>
        <w:rPr>
          <w:rFonts w:ascii="宋体" w:hAnsi="宋体" w:eastAsia="宋体" w:cs="宋体"/>
          <w:color w:val="auto"/>
          <w:sz w:val="24"/>
          <w:highlight w:val="none"/>
        </w:rPr>
        <w:t>项目编号：</w:t>
      </w:r>
    </w:p>
    <w:p w14:paraId="0F265A61">
      <w:pPr>
        <w:pBdr>
          <w:top w:val="none" w:color="000000" w:sz="0" w:space="0"/>
          <w:left w:val="none" w:color="000000" w:sz="0" w:space="0"/>
          <w:bottom w:val="none" w:color="000000" w:sz="0" w:space="0"/>
          <w:right w:val="none" w:color="000000" w:sz="0" w:space="0"/>
        </w:pBdr>
        <w:spacing w:before="210" w:after="120"/>
        <w:ind w:left="0" w:right="0" w:firstLine="0"/>
        <w:jc w:val="center"/>
        <w:rPr>
          <w:color w:val="auto"/>
          <w:highlight w:val="none"/>
        </w:rPr>
      </w:pPr>
      <w:r>
        <w:rPr>
          <w:rFonts w:ascii="宋体" w:hAnsi="宋体" w:eastAsia="宋体" w:cs="宋体"/>
          <w:color w:val="auto"/>
          <w:sz w:val="72"/>
          <w:highlight w:val="none"/>
        </w:rPr>
        <w:t>政</w:t>
      </w:r>
    </w:p>
    <w:p w14:paraId="0FE06A34">
      <w:pPr>
        <w:pBdr>
          <w:top w:val="none" w:color="000000" w:sz="0" w:space="0"/>
          <w:left w:val="none" w:color="000000" w:sz="0" w:space="0"/>
          <w:bottom w:val="none" w:color="000000" w:sz="0" w:space="0"/>
          <w:right w:val="none" w:color="000000" w:sz="0" w:space="0"/>
        </w:pBdr>
        <w:spacing w:before="210" w:after="120"/>
        <w:ind w:left="0" w:right="0" w:firstLine="0"/>
        <w:jc w:val="center"/>
        <w:rPr>
          <w:color w:val="auto"/>
          <w:highlight w:val="none"/>
        </w:rPr>
      </w:pPr>
      <w:r>
        <w:rPr>
          <w:rFonts w:ascii="宋体" w:hAnsi="宋体" w:eastAsia="宋体" w:cs="宋体"/>
          <w:color w:val="auto"/>
          <w:sz w:val="72"/>
          <w:highlight w:val="none"/>
        </w:rPr>
        <w:t>府</w:t>
      </w:r>
    </w:p>
    <w:p w14:paraId="732EB376">
      <w:pPr>
        <w:pBdr>
          <w:top w:val="none" w:color="000000" w:sz="0" w:space="0"/>
          <w:left w:val="none" w:color="000000" w:sz="0" w:space="0"/>
          <w:bottom w:val="none" w:color="000000" w:sz="0" w:space="0"/>
          <w:right w:val="none" w:color="000000" w:sz="0" w:space="0"/>
        </w:pBdr>
        <w:spacing w:before="210" w:after="120"/>
        <w:ind w:left="0" w:right="0" w:firstLine="0"/>
        <w:jc w:val="center"/>
        <w:rPr>
          <w:color w:val="auto"/>
          <w:highlight w:val="none"/>
        </w:rPr>
      </w:pPr>
      <w:r>
        <w:rPr>
          <w:rFonts w:ascii="宋体" w:hAnsi="宋体" w:eastAsia="宋体" w:cs="宋体"/>
          <w:color w:val="auto"/>
          <w:sz w:val="72"/>
          <w:highlight w:val="none"/>
        </w:rPr>
        <w:t>采</w:t>
      </w:r>
    </w:p>
    <w:p w14:paraId="22E051B3">
      <w:pPr>
        <w:pBdr>
          <w:top w:val="none" w:color="000000" w:sz="0" w:space="0"/>
          <w:left w:val="none" w:color="000000" w:sz="0" w:space="0"/>
          <w:bottom w:val="none" w:color="000000" w:sz="0" w:space="0"/>
          <w:right w:val="none" w:color="000000" w:sz="0" w:space="0"/>
        </w:pBdr>
        <w:spacing w:before="210" w:after="120"/>
        <w:ind w:left="0" w:right="0" w:firstLine="0"/>
        <w:jc w:val="center"/>
        <w:rPr>
          <w:color w:val="auto"/>
          <w:highlight w:val="none"/>
        </w:rPr>
      </w:pPr>
      <w:r>
        <w:rPr>
          <w:rFonts w:ascii="宋体" w:hAnsi="宋体" w:eastAsia="宋体" w:cs="宋体"/>
          <w:color w:val="auto"/>
          <w:sz w:val="72"/>
          <w:highlight w:val="none"/>
        </w:rPr>
        <w:t>购</w:t>
      </w:r>
    </w:p>
    <w:p w14:paraId="36E9C5FA">
      <w:pPr>
        <w:pBdr>
          <w:top w:val="none" w:color="000000" w:sz="0" w:space="0"/>
          <w:left w:val="none" w:color="000000" w:sz="0" w:space="0"/>
          <w:bottom w:val="none" w:color="000000" w:sz="0" w:space="0"/>
          <w:right w:val="none" w:color="000000" w:sz="0" w:space="0"/>
        </w:pBdr>
        <w:spacing w:before="210" w:after="120"/>
        <w:ind w:left="0" w:right="0" w:firstLine="0"/>
        <w:jc w:val="center"/>
        <w:rPr>
          <w:color w:val="auto"/>
          <w:highlight w:val="none"/>
        </w:rPr>
      </w:pPr>
      <w:r>
        <w:rPr>
          <w:rFonts w:ascii="宋体" w:hAnsi="宋体" w:eastAsia="宋体" w:cs="宋体"/>
          <w:color w:val="auto"/>
          <w:sz w:val="72"/>
          <w:highlight w:val="none"/>
        </w:rPr>
        <w:t>合</w:t>
      </w:r>
    </w:p>
    <w:p w14:paraId="04AFF79E">
      <w:pPr>
        <w:pBdr>
          <w:top w:val="none" w:color="000000" w:sz="0" w:space="0"/>
          <w:left w:val="none" w:color="000000" w:sz="0" w:space="0"/>
          <w:bottom w:val="none" w:color="000000" w:sz="0" w:space="0"/>
          <w:right w:val="none" w:color="000000" w:sz="0" w:space="0"/>
        </w:pBdr>
        <w:spacing w:before="210" w:after="120"/>
        <w:ind w:left="0" w:right="0" w:firstLine="0"/>
        <w:jc w:val="center"/>
        <w:rPr>
          <w:color w:val="auto"/>
          <w:highlight w:val="none"/>
        </w:rPr>
      </w:pPr>
      <w:r>
        <w:rPr>
          <w:rFonts w:ascii="宋体" w:hAnsi="宋体" w:eastAsia="宋体" w:cs="宋体"/>
          <w:color w:val="auto"/>
          <w:sz w:val="72"/>
          <w:highlight w:val="none"/>
        </w:rPr>
        <w:t>同</w:t>
      </w:r>
    </w:p>
    <w:p w14:paraId="3F29D8A9">
      <w:pPr>
        <w:pBdr>
          <w:top w:val="none" w:color="000000" w:sz="0" w:space="0"/>
          <w:left w:val="none" w:color="000000" w:sz="0" w:space="0"/>
          <w:bottom w:val="none" w:color="000000" w:sz="0" w:space="0"/>
          <w:right w:val="none" w:color="000000" w:sz="0" w:space="0"/>
        </w:pBdr>
        <w:spacing w:before="0" w:after="0" w:line="85" w:lineRule="atLeast"/>
        <w:ind w:left="0" w:right="0" w:firstLine="360"/>
        <w:jc w:val="both"/>
        <w:rPr>
          <w:color w:val="auto"/>
          <w:highlight w:val="none"/>
        </w:rPr>
      </w:pPr>
      <w:r>
        <w:rPr>
          <w:rFonts w:ascii="宋体" w:hAnsi="宋体" w:eastAsia="宋体" w:cs="宋体"/>
          <w:color w:val="auto"/>
          <w:sz w:val="24"/>
          <w:highlight w:val="none"/>
        </w:rPr>
        <w:t> </w:t>
      </w:r>
    </w:p>
    <w:p w14:paraId="51A2881C">
      <w:pPr>
        <w:pBdr>
          <w:top w:val="none" w:color="000000" w:sz="0" w:space="0"/>
          <w:left w:val="none" w:color="000000" w:sz="0" w:space="0"/>
          <w:bottom w:val="none" w:color="000000" w:sz="0" w:space="0"/>
          <w:right w:val="none" w:color="000000" w:sz="0" w:space="0"/>
        </w:pBdr>
        <w:spacing w:before="0" w:after="0" w:line="85" w:lineRule="atLeast"/>
        <w:ind w:left="0" w:right="0" w:firstLine="1320"/>
        <w:jc w:val="both"/>
        <w:rPr>
          <w:rFonts w:hint="eastAsia" w:eastAsia="宋体"/>
          <w:color w:val="auto"/>
          <w:highlight w:val="none"/>
          <w:lang w:eastAsia="zh-CN"/>
        </w:rPr>
      </w:pPr>
      <w:r>
        <w:rPr>
          <w:rFonts w:ascii="宋体" w:hAnsi="宋体" w:eastAsia="宋体" w:cs="宋体"/>
          <w:color w:val="auto"/>
          <w:sz w:val="24"/>
          <w:highlight w:val="none"/>
        </w:rPr>
        <w:t>采购人：</w:t>
      </w:r>
      <w:r>
        <w:rPr>
          <w:rFonts w:hint="eastAsia" w:ascii="宋体" w:hAnsi="宋体" w:cs="宋体"/>
          <w:color w:val="auto"/>
          <w:sz w:val="24"/>
          <w:highlight w:val="none"/>
          <w:lang w:eastAsia="zh-CN"/>
        </w:rPr>
        <w:t>徐州市文物保护和考古研究所</w:t>
      </w:r>
    </w:p>
    <w:p w14:paraId="54A686C2">
      <w:pPr>
        <w:pBdr>
          <w:top w:val="none" w:color="000000" w:sz="0" w:space="0"/>
          <w:left w:val="none" w:color="000000" w:sz="0" w:space="0"/>
          <w:bottom w:val="none" w:color="000000" w:sz="0" w:space="0"/>
          <w:right w:val="none" w:color="000000" w:sz="0" w:space="0"/>
        </w:pBdr>
        <w:spacing w:before="0" w:after="0" w:line="85" w:lineRule="atLeast"/>
        <w:ind w:left="0" w:right="0" w:firstLine="1320"/>
        <w:jc w:val="both"/>
        <w:rPr>
          <w:color w:val="auto"/>
          <w:highlight w:val="none"/>
        </w:rPr>
      </w:pPr>
      <w:r>
        <w:rPr>
          <w:rFonts w:ascii="宋体" w:hAnsi="宋体" w:eastAsia="宋体" w:cs="宋体"/>
          <w:color w:val="auto"/>
          <w:sz w:val="24"/>
          <w:highlight w:val="none"/>
        </w:rPr>
        <w:t>成交供应商：</w:t>
      </w:r>
    </w:p>
    <w:p w14:paraId="3EA54BFC">
      <w:pPr>
        <w:pBdr>
          <w:top w:val="none" w:color="000000" w:sz="0" w:space="0"/>
          <w:left w:val="none" w:color="000000" w:sz="0" w:space="0"/>
          <w:bottom w:val="none" w:color="000000" w:sz="0" w:space="0"/>
          <w:right w:val="none" w:color="000000" w:sz="0" w:space="0"/>
        </w:pBdr>
        <w:spacing w:before="0" w:after="0" w:line="85" w:lineRule="atLeast"/>
        <w:ind w:left="0" w:right="0" w:firstLine="1320"/>
        <w:jc w:val="both"/>
        <w:rPr>
          <w:color w:val="auto"/>
          <w:highlight w:val="none"/>
        </w:rPr>
      </w:pPr>
      <w:r>
        <w:rPr>
          <w:rFonts w:ascii="宋体" w:hAnsi="宋体" w:eastAsia="宋体" w:cs="宋体"/>
          <w:color w:val="auto"/>
          <w:sz w:val="24"/>
          <w:highlight w:val="none"/>
        </w:rPr>
        <w:t>合同签订日期：年</w:t>
      </w:r>
      <w:r>
        <w:rPr>
          <w:rFonts w:hint="eastAsia" w:ascii="宋体" w:hAnsi="宋体" w:cs="宋体"/>
          <w:color w:val="auto"/>
          <w:sz w:val="24"/>
          <w:highlight w:val="none"/>
          <w:lang w:val="en-US" w:eastAsia="zh-CN"/>
        </w:rPr>
        <w:t xml:space="preserve"> </w:t>
      </w:r>
      <w:r>
        <w:rPr>
          <w:rFonts w:ascii="宋体" w:hAnsi="宋体" w:eastAsia="宋体" w:cs="宋体"/>
          <w:color w:val="auto"/>
          <w:sz w:val="24"/>
          <w:highlight w:val="none"/>
        </w:rPr>
        <w:t>月</w:t>
      </w:r>
      <w:r>
        <w:rPr>
          <w:rFonts w:hint="eastAsia" w:ascii="宋体" w:hAnsi="宋体" w:cs="宋体"/>
          <w:color w:val="auto"/>
          <w:sz w:val="24"/>
          <w:highlight w:val="none"/>
          <w:lang w:val="en-US" w:eastAsia="zh-CN"/>
        </w:rPr>
        <w:t xml:space="preserve"> </w:t>
      </w:r>
      <w:r>
        <w:rPr>
          <w:rFonts w:ascii="宋体" w:hAnsi="宋体" w:eastAsia="宋体" w:cs="宋体"/>
          <w:color w:val="auto"/>
          <w:sz w:val="24"/>
          <w:highlight w:val="none"/>
        </w:rPr>
        <w:t>日</w:t>
      </w:r>
    </w:p>
    <w:p w14:paraId="768BF856">
      <w:pPr>
        <w:pBdr>
          <w:top w:val="none" w:color="000000" w:sz="0" w:space="0"/>
          <w:left w:val="none" w:color="000000" w:sz="0" w:space="0"/>
          <w:bottom w:val="none" w:color="000000" w:sz="0" w:space="0"/>
          <w:right w:val="none" w:color="000000" w:sz="0" w:space="0"/>
        </w:pBdr>
        <w:spacing w:before="240" w:after="240" w:line="85" w:lineRule="atLeast"/>
        <w:ind w:left="0" w:right="0" w:firstLine="480"/>
        <w:rPr>
          <w:color w:val="auto"/>
          <w:highlight w:val="none"/>
        </w:rPr>
      </w:pPr>
      <w:r>
        <w:rPr>
          <w:rFonts w:ascii="宋体" w:hAnsi="宋体" w:eastAsia="宋体" w:cs="宋体"/>
          <w:b/>
          <w:color w:val="auto"/>
          <w:sz w:val="24"/>
          <w:highlight w:val="none"/>
        </w:rPr>
        <w:t>友情提醒：采购人与中标、成交供应商应当在中标、成交通知书发出之日起三十日内，按照采购文件确定的事项签订政府采购合同。</w:t>
      </w:r>
    </w:p>
    <w:p w14:paraId="3D5B4302">
      <w:pPr>
        <w:pBdr>
          <w:top w:val="none" w:color="000000" w:sz="0" w:space="0"/>
          <w:left w:val="none" w:color="000000" w:sz="0" w:space="0"/>
          <w:bottom w:val="none" w:color="000000" w:sz="0" w:space="0"/>
          <w:right w:val="none" w:color="000000" w:sz="0" w:space="0"/>
        </w:pBdr>
        <w:spacing w:before="240" w:after="240" w:line="85" w:lineRule="atLeast"/>
        <w:ind w:left="0" w:right="0" w:firstLine="480"/>
        <w:rPr>
          <w:color w:val="auto"/>
          <w:highlight w:val="none"/>
        </w:rPr>
      </w:pPr>
      <w:r>
        <w:rPr>
          <w:rFonts w:ascii="宋体" w:hAnsi="宋体" w:eastAsia="宋体" w:cs="宋体"/>
          <w:b/>
          <w:color w:val="auto"/>
          <w:sz w:val="24"/>
          <w:highlight w:val="none"/>
        </w:rPr>
        <w:t>采购人应当自政府采购合同签订之日起2个工作日内，将政府采购合同在省级以上人民政府财政部门指定的媒体上公告，但政府采购合同中涉及国家秘密、商业秘密的内容除外。</w:t>
      </w:r>
      <w:r>
        <w:rPr>
          <w:color w:val="auto"/>
          <w:highlight w:val="none"/>
        </w:rPr>
        <w:br w:type="page" w:clear="all"/>
      </w:r>
    </w:p>
    <w:p w14:paraId="28D58229">
      <w:pPr>
        <w:pStyle w:val="20"/>
        <w:keepNext w:val="0"/>
        <w:keepLines w:val="0"/>
        <w:pageBreakBefore w:val="0"/>
        <w:widowControl/>
        <w:kinsoku/>
        <w:wordWrap/>
        <w:overflowPunct/>
        <w:topLinePunct w:val="0"/>
        <w:autoSpaceDE/>
        <w:autoSpaceDN/>
        <w:bidi w:val="0"/>
        <w:snapToGrid/>
        <w:spacing w:before="0" w:after="0" w:afterLines="0" w:line="460" w:lineRule="exact"/>
        <w:ind w:firstLine="420" w:firstLineChars="200"/>
        <w:jc w:val="left"/>
        <w:textAlignment w:val="auto"/>
        <w:outlineLvl w:val="9"/>
        <w:rPr>
          <w:rFonts w:hint="eastAsia" w:ascii="宋体" w:hAnsi="宋体" w:eastAsia="宋体" w:cs="宋体"/>
          <w:b w:val="0"/>
          <w:bCs w:val="0"/>
          <w:i w:val="0"/>
          <w:color w:val="auto"/>
          <w:sz w:val="24"/>
          <w:szCs w:val="24"/>
          <w:highlight w:val="none"/>
        </w:rPr>
      </w:pPr>
      <w:r>
        <w:rPr>
          <w:rFonts w:ascii="Times New Roman" w:hAnsi="Times New Roman" w:eastAsia="Times New Roman" w:cs="Times New Roman"/>
          <w:color w:val="auto"/>
          <w:sz w:val="21"/>
          <w:highlight w:val="none"/>
        </w:rPr>
        <w:t> </w:t>
      </w:r>
      <w:r>
        <w:rPr>
          <w:rFonts w:hint="eastAsia" w:ascii="宋体" w:hAnsi="宋体" w:eastAsia="宋体" w:cs="宋体"/>
          <w:b w:val="0"/>
          <w:bCs w:val="0"/>
          <w:i w:val="0"/>
          <w:color w:val="auto"/>
          <w:sz w:val="24"/>
          <w:szCs w:val="24"/>
          <w:highlight w:val="none"/>
        </w:rPr>
        <w:t>甲方（采购人）：徐州市文物保护和考古研究所</w:t>
      </w:r>
    </w:p>
    <w:p w14:paraId="104AC912">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乙方（供应商）：</w:t>
      </w:r>
    </w:p>
    <w:p w14:paraId="5AEEC933">
      <w:pPr>
        <w:pStyle w:val="20"/>
        <w:keepNext w:val="0"/>
        <w:keepLines w:val="0"/>
        <w:pageBreakBefore w:val="0"/>
        <w:widowControl/>
        <w:kinsoku/>
        <w:wordWrap/>
        <w:overflowPunct/>
        <w:topLinePunct w:val="0"/>
        <w:autoSpaceDE/>
        <w:autoSpaceDN/>
        <w:bidi w:val="0"/>
        <w:snapToGrid/>
        <w:spacing w:before="0" w:after="0" w:afterLines="0" w:line="50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根据《中华人民共和国政府采购法》《中华人民共和国民法典》等法律、法规规定，按照土山汉墓发掘报告出版项目（项目编号：JSZC-320300-ZJZB-C2026-0087）采购文件、乙方的</w:t>
      </w:r>
      <w:r>
        <w:rPr>
          <w:rFonts w:hint="eastAsia" w:ascii="宋体" w:hAnsi="宋体" w:eastAsia="宋体" w:cs="宋体"/>
          <w:b w:val="0"/>
          <w:bCs w:val="0"/>
          <w:i w:val="0"/>
          <w:color w:val="auto"/>
          <w:sz w:val="24"/>
          <w:szCs w:val="24"/>
          <w:highlight w:val="none"/>
          <w:lang w:eastAsia="zh-CN"/>
        </w:rPr>
        <w:t>响应文件</w:t>
      </w:r>
      <w:r>
        <w:rPr>
          <w:rFonts w:hint="eastAsia" w:ascii="宋体" w:hAnsi="宋体" w:eastAsia="宋体" w:cs="宋体"/>
          <w:b w:val="0"/>
          <w:bCs w:val="0"/>
          <w:i w:val="0"/>
          <w:color w:val="auto"/>
          <w:sz w:val="24"/>
          <w:szCs w:val="24"/>
          <w:highlight w:val="none"/>
        </w:rPr>
        <w:t>和</w:t>
      </w:r>
      <w:r>
        <w:rPr>
          <w:rFonts w:hint="eastAsia" w:ascii="宋体" w:hAnsi="宋体" w:eastAsia="宋体" w:cs="宋体"/>
          <w:b w:val="0"/>
          <w:bCs w:val="0"/>
          <w:i w:val="0"/>
          <w:color w:val="auto"/>
          <w:sz w:val="24"/>
          <w:szCs w:val="24"/>
          <w:highlight w:val="none"/>
          <w:lang w:eastAsia="zh-CN"/>
        </w:rPr>
        <w:t>成交通知书</w:t>
      </w:r>
      <w:r>
        <w:rPr>
          <w:rFonts w:hint="eastAsia" w:ascii="宋体" w:hAnsi="宋体" w:eastAsia="宋体" w:cs="宋体"/>
          <w:b w:val="0"/>
          <w:bCs w:val="0"/>
          <w:i w:val="0"/>
          <w:color w:val="auto"/>
          <w:sz w:val="24"/>
          <w:szCs w:val="24"/>
          <w:highlight w:val="none"/>
        </w:rPr>
        <w:t>，甲方向乙方购买相关服务，双方同意按下述条款和条件签订本合同，并共同遵守。</w:t>
      </w:r>
    </w:p>
    <w:p w14:paraId="635EF17D">
      <w:pPr>
        <w:keepNext w:val="0"/>
        <w:keepLines w:val="0"/>
        <w:pageBreakBefore w:val="0"/>
        <w:widowControl/>
        <w:numPr>
          <w:ilvl w:val="0"/>
          <w:numId w:val="0"/>
        </w:numPr>
        <w:shd w:val="clear" w:color="auto" w:fill="FFFFFF"/>
        <w:kinsoku/>
        <w:wordWrap/>
        <w:overflowPunct/>
        <w:topLinePunct w:val="0"/>
        <w:autoSpaceDE/>
        <w:autoSpaceDN/>
        <w:bidi w:val="0"/>
        <w:snapToGrid/>
        <w:spacing w:before="0" w:line="500" w:lineRule="exact"/>
        <w:ind w:firstLine="482" w:firstLineChars="200"/>
        <w:jc w:val="left"/>
        <w:textAlignment w:val="auto"/>
        <w:outlineLvl w:val="9"/>
        <w:rPr>
          <w:rFonts w:hint="eastAsia" w:ascii="宋体" w:hAnsi="宋体" w:eastAsia="宋体" w:cs="宋体"/>
          <w:b/>
          <w:bCs/>
          <w:i w:val="0"/>
          <w:color w:val="auto"/>
          <w:kern w:val="2"/>
          <w:sz w:val="24"/>
          <w:szCs w:val="24"/>
          <w:highlight w:val="none"/>
          <w:lang w:bidi="ar-SA"/>
        </w:rPr>
      </w:pPr>
      <w:r>
        <w:rPr>
          <w:rFonts w:hint="eastAsia" w:ascii="宋体" w:hAnsi="宋体" w:eastAsia="宋体" w:cs="宋体"/>
          <w:b/>
          <w:bCs/>
          <w:i w:val="0"/>
          <w:color w:val="auto"/>
          <w:kern w:val="2"/>
          <w:sz w:val="24"/>
          <w:szCs w:val="24"/>
          <w:highlight w:val="none"/>
          <w:lang w:val="en-US" w:eastAsia="zh-CN" w:bidi="ar-SA"/>
        </w:rPr>
        <w:t>第一条</w:t>
      </w:r>
      <w:r>
        <w:rPr>
          <w:rFonts w:hint="eastAsia" w:ascii="宋体" w:hAnsi="宋体" w:eastAsia="宋体" w:cs="宋体"/>
          <w:b/>
          <w:bCs/>
          <w:i w:val="0"/>
          <w:color w:val="auto"/>
          <w:kern w:val="2"/>
          <w:sz w:val="24"/>
          <w:szCs w:val="24"/>
          <w:highlight w:val="none"/>
          <w:lang w:bidi="ar-SA"/>
        </w:rPr>
        <w:t>服务内容及要求</w:t>
      </w:r>
    </w:p>
    <w:p w14:paraId="57DEEB2A">
      <w:pPr>
        <w:pStyle w:val="20"/>
        <w:keepNext w:val="0"/>
        <w:keepLines w:val="0"/>
        <w:pageBreakBefore w:val="0"/>
        <w:widowControl/>
        <w:numPr>
          <w:ilvl w:val="0"/>
          <w:numId w:val="6"/>
        </w:numPr>
        <w:kinsoku/>
        <w:wordWrap/>
        <w:overflowPunct/>
        <w:topLinePunct w:val="0"/>
        <w:autoSpaceDE/>
        <w:autoSpaceDN/>
        <w:bidi w:val="0"/>
        <w:snapToGrid/>
        <w:spacing w:before="0" w:after="0" w:afterLines="0" w:line="500" w:lineRule="exact"/>
        <w:ind w:left="0" w:leftChars="0"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服务名称：土山汉墓发掘报告出版服务。</w:t>
      </w:r>
    </w:p>
    <w:p w14:paraId="760F63A7">
      <w:pPr>
        <w:pStyle w:val="20"/>
        <w:keepNext w:val="0"/>
        <w:keepLines w:val="0"/>
        <w:pageBreakBefore w:val="0"/>
        <w:widowControl/>
        <w:numPr>
          <w:ilvl w:val="0"/>
          <w:numId w:val="6"/>
        </w:numPr>
        <w:kinsoku/>
        <w:wordWrap/>
        <w:overflowPunct/>
        <w:topLinePunct w:val="0"/>
        <w:autoSpaceDE/>
        <w:autoSpaceDN/>
        <w:bidi w:val="0"/>
        <w:snapToGrid/>
        <w:spacing w:before="0" w:after="0" w:afterLines="0" w:line="500" w:lineRule="exact"/>
        <w:ind w:left="0" w:leftChars="0"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服务内容：系统梳理土山汉墓考古勘探、发掘、文物整理等全过程资料，提供文稿整编、图文校对、排版设计、装帧印刷、出版报审、成品交付等全部工作。具体包括：</w:t>
      </w:r>
    </w:p>
    <w:p w14:paraId="31E1CD67">
      <w:pPr>
        <w:pStyle w:val="20"/>
        <w:keepNext w:val="0"/>
        <w:keepLines w:val="0"/>
        <w:pageBreakBefore w:val="0"/>
        <w:widowControl/>
        <w:kinsoku/>
        <w:wordWrap/>
        <w:overflowPunct/>
        <w:topLinePunct w:val="0"/>
        <w:autoSpaceDE/>
        <w:autoSpaceDN/>
        <w:bidi w:val="0"/>
        <w:snapToGrid/>
        <w:spacing w:before="0" w:after="0" w:afterLines="0" w:line="50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i w:val="0"/>
          <w:color w:val="auto"/>
          <w:sz w:val="24"/>
          <w:szCs w:val="24"/>
          <w:highlight w:val="none"/>
        </w:rPr>
        <w:t>考古文稿整编与学术编审：系统梳理土山汉墓考古勘探、田野发掘、文物清理、现场保护、资料整理全周期原始档案、文字初稿、发掘记录、工作日志、科研文稿；统一全书考古术语、编号体系、计量单位、墓葬定名、文物定名、地层编号，严格遵循《考古发掘报告编写规范》《文物出版物体例规范》；完成初审、复审、终审三级编审；开展三次全面校对及专项校对（文字校对、标点校对、数据校对、图文对应校对、拓片/铭文释文校对、编号校对）；全程配合考古专家组、文物主管部门审稿，留存全套审稿记录、修改台账。</w:t>
      </w:r>
    </w:p>
    <w:p w14:paraId="527843F2">
      <w:pPr>
        <w:pStyle w:val="20"/>
        <w:keepNext w:val="0"/>
        <w:keepLines w:val="0"/>
        <w:pageBreakBefore w:val="0"/>
        <w:widowControl/>
        <w:kinsoku/>
        <w:wordWrap/>
        <w:overflowPunct/>
        <w:topLinePunct w:val="0"/>
        <w:autoSpaceDE/>
        <w:autoSpaceDN/>
        <w:bidi w:val="0"/>
        <w:snapToGrid/>
        <w:spacing w:before="0" w:after="0" w:afterLines="0" w:line="50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w:t>
      </w:r>
      <w:r>
        <w:rPr>
          <w:rFonts w:hint="eastAsia" w:ascii="宋体" w:hAnsi="宋体" w:eastAsia="宋体" w:cs="宋体"/>
          <w:b w:val="0"/>
          <w:bCs w:val="0"/>
          <w:i w:val="0"/>
          <w:color w:val="auto"/>
          <w:sz w:val="24"/>
          <w:szCs w:val="24"/>
          <w:highlight w:val="none"/>
        </w:rPr>
        <w:t>图片、线图、拓片、图文处理：统一处理考古现场照片、文物摄影、航拍图、墓葬结构图、平剖面图、测绘线图、石刻拓片、铭文照片等全部图料；图片处理要求高清校色、瑕疵修复、除尘、匀光、色彩还原，文物纹饰、铭文、线条清晰可辨，符合考古图版出版标准；按照考古规范完成图号、图名、图注、图例、比例尺编制，做到一图一注、图文一一对应；完成彩版、黑白图版、插页、跨页大图、拉页的分区编排；所有图片、线图、拓片源文件归档，交付可编辑高清文件。</w:t>
      </w:r>
    </w:p>
    <w:p w14:paraId="04652733">
      <w:pPr>
        <w:pStyle w:val="20"/>
        <w:keepNext w:val="0"/>
        <w:keepLines w:val="0"/>
        <w:pageBreakBefore w:val="0"/>
        <w:widowControl/>
        <w:kinsoku/>
        <w:wordWrap/>
        <w:overflowPunct/>
        <w:topLinePunct w:val="0"/>
        <w:autoSpaceDE/>
        <w:autoSpaceDN/>
        <w:bidi w:val="0"/>
        <w:snapToGrid/>
        <w:spacing w:before="0" w:after="0" w:afterLines="0" w:line="50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i w:val="0"/>
          <w:color w:val="auto"/>
          <w:sz w:val="24"/>
          <w:szCs w:val="24"/>
          <w:highlight w:val="none"/>
          <w:lang w:val="en-US" w:eastAsia="zh-CN"/>
        </w:rPr>
        <w:t>3.</w:t>
      </w:r>
      <w:r>
        <w:rPr>
          <w:rFonts w:hint="eastAsia" w:ascii="宋体" w:hAnsi="宋体" w:eastAsia="宋体" w:cs="宋体"/>
          <w:b w:val="0"/>
          <w:bCs w:val="0"/>
          <w:i w:val="0"/>
          <w:color w:val="auto"/>
          <w:sz w:val="24"/>
          <w:szCs w:val="24"/>
          <w:highlight w:val="none"/>
        </w:rPr>
        <w:t>具体印制规格：</w:t>
      </w:r>
    </w:p>
    <w:tbl>
      <w:tblPr>
        <w:tblStyle w:val="51"/>
        <w:tblW w:w="501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172"/>
        <w:gridCol w:w="1922"/>
        <w:gridCol w:w="2480"/>
        <w:gridCol w:w="1114"/>
        <w:gridCol w:w="1368"/>
        <w:gridCol w:w="1240"/>
      </w:tblGrid>
      <w:tr w14:paraId="31FCD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630" w:type="pct"/>
            <w:noWrap w:val="0"/>
            <w:tcMar>
              <w:top w:w="150" w:type="dxa"/>
              <w:left w:w="0" w:type="dxa"/>
              <w:bottom w:w="150" w:type="dxa"/>
              <w:right w:w="240" w:type="dxa"/>
            </w:tcMar>
            <w:vAlign w:val="center"/>
          </w:tcPr>
          <w:p w14:paraId="7713B688">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分册</w:t>
            </w:r>
          </w:p>
        </w:tc>
        <w:tc>
          <w:tcPr>
            <w:tcW w:w="1033" w:type="pct"/>
            <w:noWrap w:val="0"/>
            <w:tcMar>
              <w:top w:w="150" w:type="dxa"/>
              <w:left w:w="240" w:type="dxa"/>
              <w:bottom w:w="150" w:type="dxa"/>
              <w:right w:w="240" w:type="dxa"/>
            </w:tcMar>
            <w:vAlign w:val="center"/>
          </w:tcPr>
          <w:p w14:paraId="5CEDC31E">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成品尺寸</w:t>
            </w:r>
          </w:p>
        </w:tc>
        <w:tc>
          <w:tcPr>
            <w:tcW w:w="1334" w:type="pct"/>
            <w:noWrap w:val="0"/>
            <w:tcMar>
              <w:top w:w="150" w:type="dxa"/>
              <w:left w:w="240" w:type="dxa"/>
              <w:bottom w:w="150" w:type="dxa"/>
              <w:right w:w="240" w:type="dxa"/>
            </w:tcMar>
            <w:vAlign w:val="center"/>
          </w:tcPr>
          <w:p w14:paraId="4C5683A2">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内文用纸</w:t>
            </w:r>
          </w:p>
        </w:tc>
        <w:tc>
          <w:tcPr>
            <w:tcW w:w="599" w:type="pct"/>
            <w:noWrap w:val="0"/>
            <w:tcMar>
              <w:top w:w="150" w:type="dxa"/>
              <w:left w:w="240" w:type="dxa"/>
              <w:bottom w:w="150" w:type="dxa"/>
              <w:right w:w="240" w:type="dxa"/>
            </w:tcMar>
            <w:vAlign w:val="center"/>
          </w:tcPr>
          <w:p w14:paraId="450E834D">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面数</w:t>
            </w:r>
          </w:p>
        </w:tc>
        <w:tc>
          <w:tcPr>
            <w:tcW w:w="735" w:type="pct"/>
            <w:noWrap w:val="0"/>
            <w:tcMar>
              <w:top w:w="150" w:type="dxa"/>
              <w:left w:w="240" w:type="dxa"/>
              <w:bottom w:w="150" w:type="dxa"/>
              <w:right w:w="240" w:type="dxa"/>
            </w:tcMar>
            <w:vAlign w:val="center"/>
          </w:tcPr>
          <w:p w14:paraId="51168506">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印刷 方式</w:t>
            </w:r>
          </w:p>
        </w:tc>
        <w:tc>
          <w:tcPr>
            <w:tcW w:w="666" w:type="pct"/>
            <w:noWrap w:val="0"/>
            <w:tcMar>
              <w:top w:w="150" w:type="dxa"/>
              <w:left w:w="240" w:type="dxa"/>
              <w:bottom w:w="150" w:type="dxa"/>
              <w:right w:w="240" w:type="dxa"/>
            </w:tcMar>
            <w:vAlign w:val="center"/>
          </w:tcPr>
          <w:p w14:paraId="067F3F69">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装订工艺</w:t>
            </w:r>
          </w:p>
        </w:tc>
      </w:tr>
      <w:tr w14:paraId="13966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630" w:type="pct"/>
            <w:noWrap w:val="0"/>
            <w:tcMar>
              <w:top w:w="150" w:type="dxa"/>
              <w:left w:w="0" w:type="dxa"/>
              <w:bottom w:w="150" w:type="dxa"/>
              <w:right w:w="240" w:type="dxa"/>
            </w:tcMar>
            <w:vAlign w:val="center"/>
          </w:tcPr>
          <w:p w14:paraId="2CAE29CE">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综合卷（两卷册）</w:t>
            </w:r>
          </w:p>
        </w:tc>
        <w:tc>
          <w:tcPr>
            <w:tcW w:w="1033" w:type="pct"/>
            <w:noWrap w:val="0"/>
            <w:tcMar>
              <w:top w:w="150" w:type="dxa"/>
              <w:left w:w="240" w:type="dxa"/>
              <w:bottom w:w="150" w:type="dxa"/>
              <w:right w:w="240" w:type="dxa"/>
            </w:tcMar>
            <w:vAlign w:val="center"/>
          </w:tcPr>
          <w:p w14:paraId="53DFB1CF">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大16开（210mm×285mm）</w:t>
            </w:r>
          </w:p>
        </w:tc>
        <w:tc>
          <w:tcPr>
            <w:tcW w:w="1334" w:type="pct"/>
            <w:noWrap w:val="0"/>
            <w:tcMar>
              <w:top w:w="150" w:type="dxa"/>
              <w:left w:w="240" w:type="dxa"/>
              <w:bottom w:w="150" w:type="dxa"/>
              <w:right w:w="240" w:type="dxa"/>
            </w:tcMar>
            <w:vAlign w:val="center"/>
          </w:tcPr>
          <w:p w14:paraId="3924AF57">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80克胶版纸552面+128克铜版纸100面</w:t>
            </w:r>
          </w:p>
        </w:tc>
        <w:tc>
          <w:tcPr>
            <w:tcW w:w="599" w:type="pct"/>
            <w:noWrap w:val="0"/>
            <w:tcMar>
              <w:top w:w="150" w:type="dxa"/>
              <w:left w:w="240" w:type="dxa"/>
              <w:bottom w:w="150" w:type="dxa"/>
              <w:right w:w="240" w:type="dxa"/>
            </w:tcMar>
            <w:vAlign w:val="center"/>
          </w:tcPr>
          <w:p w14:paraId="35F41BCF">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652面</w:t>
            </w:r>
          </w:p>
        </w:tc>
        <w:tc>
          <w:tcPr>
            <w:tcW w:w="735" w:type="pct"/>
            <w:noWrap w:val="0"/>
            <w:tcMar>
              <w:top w:w="150" w:type="dxa"/>
              <w:left w:w="240" w:type="dxa"/>
              <w:bottom w:w="150" w:type="dxa"/>
              <w:right w:w="240" w:type="dxa"/>
            </w:tcMar>
            <w:vAlign w:val="center"/>
          </w:tcPr>
          <w:p w14:paraId="578E1089">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黑白552面+四色100面</w:t>
            </w:r>
          </w:p>
        </w:tc>
        <w:tc>
          <w:tcPr>
            <w:tcW w:w="666" w:type="pct"/>
            <w:noWrap w:val="0"/>
            <w:tcMar>
              <w:top w:w="150" w:type="dxa"/>
              <w:left w:w="240" w:type="dxa"/>
              <w:bottom w:w="150" w:type="dxa"/>
              <w:right w:w="0" w:type="dxa"/>
            </w:tcMar>
            <w:vAlign w:val="center"/>
          </w:tcPr>
          <w:p w14:paraId="5E521BBE">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锁线精装</w:t>
            </w:r>
          </w:p>
        </w:tc>
      </w:tr>
      <w:tr w14:paraId="371E8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630" w:type="pct"/>
            <w:noWrap w:val="0"/>
            <w:tcMar>
              <w:top w:w="150" w:type="dxa"/>
              <w:left w:w="0" w:type="dxa"/>
              <w:bottom w:w="150" w:type="dxa"/>
              <w:right w:w="240" w:type="dxa"/>
            </w:tcMar>
            <w:vAlign w:val="center"/>
          </w:tcPr>
          <w:p w14:paraId="5EF52C48">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封泥卷（三卷册）</w:t>
            </w:r>
          </w:p>
        </w:tc>
        <w:tc>
          <w:tcPr>
            <w:tcW w:w="1033" w:type="pct"/>
            <w:noWrap w:val="0"/>
            <w:tcMar>
              <w:top w:w="150" w:type="dxa"/>
              <w:left w:w="240" w:type="dxa"/>
              <w:bottom w:w="150" w:type="dxa"/>
              <w:right w:w="240" w:type="dxa"/>
            </w:tcMar>
            <w:vAlign w:val="center"/>
          </w:tcPr>
          <w:p w14:paraId="7F809889">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大16开（210mm×285mm）</w:t>
            </w:r>
          </w:p>
        </w:tc>
        <w:tc>
          <w:tcPr>
            <w:tcW w:w="1334" w:type="pct"/>
            <w:noWrap w:val="0"/>
            <w:tcMar>
              <w:top w:w="150" w:type="dxa"/>
              <w:left w:w="240" w:type="dxa"/>
              <w:bottom w:w="150" w:type="dxa"/>
              <w:right w:w="240" w:type="dxa"/>
            </w:tcMar>
            <w:vAlign w:val="center"/>
          </w:tcPr>
          <w:p w14:paraId="544BCDA8">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80克胶版纸256面+128克铜版纸800面</w:t>
            </w:r>
          </w:p>
        </w:tc>
        <w:tc>
          <w:tcPr>
            <w:tcW w:w="599" w:type="pct"/>
            <w:noWrap w:val="0"/>
            <w:tcMar>
              <w:top w:w="150" w:type="dxa"/>
              <w:left w:w="240" w:type="dxa"/>
              <w:bottom w:w="150" w:type="dxa"/>
              <w:right w:w="240" w:type="dxa"/>
            </w:tcMar>
            <w:vAlign w:val="center"/>
          </w:tcPr>
          <w:p w14:paraId="2D6BD8B7">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1056面</w:t>
            </w:r>
          </w:p>
        </w:tc>
        <w:tc>
          <w:tcPr>
            <w:tcW w:w="735" w:type="pct"/>
            <w:noWrap w:val="0"/>
            <w:tcMar>
              <w:top w:w="150" w:type="dxa"/>
              <w:left w:w="240" w:type="dxa"/>
              <w:bottom w:w="150" w:type="dxa"/>
              <w:right w:w="240" w:type="dxa"/>
            </w:tcMar>
            <w:vAlign w:val="center"/>
          </w:tcPr>
          <w:p w14:paraId="353C90DD">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黑白256面+四色800面</w:t>
            </w:r>
          </w:p>
        </w:tc>
        <w:tc>
          <w:tcPr>
            <w:tcW w:w="666" w:type="pct"/>
            <w:noWrap w:val="0"/>
            <w:tcMar>
              <w:top w:w="150" w:type="dxa"/>
              <w:left w:w="240" w:type="dxa"/>
              <w:bottom w:w="150" w:type="dxa"/>
              <w:right w:w="0" w:type="dxa"/>
            </w:tcMar>
            <w:vAlign w:val="center"/>
          </w:tcPr>
          <w:p w14:paraId="0E972E74">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锁线精装</w:t>
            </w:r>
          </w:p>
        </w:tc>
      </w:tr>
      <w:tr w14:paraId="03E91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630" w:type="pct"/>
            <w:noWrap w:val="0"/>
            <w:tcMar>
              <w:top w:w="150" w:type="dxa"/>
              <w:left w:w="0" w:type="dxa"/>
              <w:bottom w:w="150" w:type="dxa"/>
              <w:right w:w="240" w:type="dxa"/>
            </w:tcMar>
            <w:vAlign w:val="center"/>
          </w:tcPr>
          <w:p w14:paraId="376CC347">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石刻卷（两卷册）</w:t>
            </w:r>
          </w:p>
        </w:tc>
        <w:tc>
          <w:tcPr>
            <w:tcW w:w="1033" w:type="pct"/>
            <w:noWrap w:val="0"/>
            <w:tcMar>
              <w:top w:w="150" w:type="dxa"/>
              <w:left w:w="240" w:type="dxa"/>
              <w:bottom w:w="150" w:type="dxa"/>
              <w:right w:w="240" w:type="dxa"/>
            </w:tcMar>
            <w:vAlign w:val="center"/>
          </w:tcPr>
          <w:p w14:paraId="53F8A33D">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大16开（210mm×285mm）</w:t>
            </w:r>
          </w:p>
        </w:tc>
        <w:tc>
          <w:tcPr>
            <w:tcW w:w="1334" w:type="pct"/>
            <w:noWrap w:val="0"/>
            <w:tcMar>
              <w:top w:w="150" w:type="dxa"/>
              <w:left w:w="240" w:type="dxa"/>
              <w:bottom w:w="150" w:type="dxa"/>
              <w:right w:w="240" w:type="dxa"/>
            </w:tcMar>
            <w:vAlign w:val="center"/>
          </w:tcPr>
          <w:p w14:paraId="5D5C2C8D">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80克胶版纸232面+128克铜版纸464面</w:t>
            </w:r>
          </w:p>
        </w:tc>
        <w:tc>
          <w:tcPr>
            <w:tcW w:w="599" w:type="pct"/>
            <w:noWrap w:val="0"/>
            <w:tcMar>
              <w:top w:w="150" w:type="dxa"/>
              <w:left w:w="240" w:type="dxa"/>
              <w:bottom w:w="150" w:type="dxa"/>
              <w:right w:w="240" w:type="dxa"/>
            </w:tcMar>
            <w:vAlign w:val="center"/>
          </w:tcPr>
          <w:p w14:paraId="59DD220F">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696面</w:t>
            </w:r>
          </w:p>
        </w:tc>
        <w:tc>
          <w:tcPr>
            <w:tcW w:w="735" w:type="pct"/>
            <w:noWrap w:val="0"/>
            <w:tcMar>
              <w:top w:w="150" w:type="dxa"/>
              <w:left w:w="240" w:type="dxa"/>
              <w:bottom w:w="150" w:type="dxa"/>
              <w:right w:w="240" w:type="dxa"/>
            </w:tcMar>
            <w:vAlign w:val="center"/>
          </w:tcPr>
          <w:p w14:paraId="25D54606">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黑白232面+四色464面</w:t>
            </w:r>
          </w:p>
        </w:tc>
        <w:tc>
          <w:tcPr>
            <w:tcW w:w="666" w:type="pct"/>
            <w:noWrap w:val="0"/>
            <w:tcMar>
              <w:top w:w="150" w:type="dxa"/>
              <w:left w:w="240" w:type="dxa"/>
              <w:bottom w:w="150" w:type="dxa"/>
              <w:right w:w="0" w:type="dxa"/>
            </w:tcMar>
            <w:vAlign w:val="center"/>
          </w:tcPr>
          <w:p w14:paraId="32352AC8">
            <w:pPr>
              <w:keepNext w:val="0"/>
              <w:keepLines w:val="0"/>
              <w:pageBreakBefore w:val="0"/>
              <w:widowControl/>
              <w:suppressLineNumbers w:val="0"/>
              <w:kinsoku/>
              <w:wordWrap/>
              <w:overflowPunct/>
              <w:topLinePunct w:val="0"/>
              <w:autoSpaceDE/>
              <w:autoSpaceDN/>
              <w:bidi w:val="0"/>
              <w:snapToGrid/>
              <w:spacing w:line="460" w:lineRule="exact"/>
              <w:jc w:val="center"/>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4"/>
                <w:szCs w:val="24"/>
                <w:highlight w:val="none"/>
                <w:lang w:val="en-US" w:eastAsia="zh-CN" w:bidi="ar"/>
              </w:rPr>
              <w:t>锁线精装</w:t>
            </w:r>
          </w:p>
        </w:tc>
      </w:tr>
    </w:tbl>
    <w:p w14:paraId="664C91CA">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i w:val="0"/>
          <w:color w:val="auto"/>
          <w:sz w:val="24"/>
          <w:szCs w:val="24"/>
          <w:highlight w:val="none"/>
        </w:rPr>
        <w:t>全套共七卷册，黑白1040面、全彩1364面。封面：纸面平脊精装，157克有光铜版纸，单面哑膜，局部UV，烫电化铝；环衬：前后环衬，180克特种纸，不印刷；包装：单本收缩包装后打纸包入五层纸箱。</w:t>
      </w:r>
    </w:p>
    <w:p w14:paraId="4BD8E2A4">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i w:val="0"/>
          <w:color w:val="auto"/>
          <w:sz w:val="24"/>
          <w:szCs w:val="24"/>
          <w:highlight w:val="none"/>
        </w:rPr>
        <w:t>出版报审、书号、CIP及合规办理：负责图书选题申报、出版社三审备案；办理国家正规ISBN书号、CIP数据核字号；完成属地新闻出版部门、文物主管部门报审、备案、抽检配合工作；出具全套出版合规文件。</w:t>
      </w:r>
    </w:p>
    <w:p w14:paraId="52FD4EDD">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w:t>
      </w:r>
      <w:r>
        <w:rPr>
          <w:rFonts w:hint="eastAsia" w:ascii="宋体" w:hAnsi="宋体" w:eastAsia="宋体" w:cs="宋体"/>
          <w:b w:val="0"/>
          <w:bCs w:val="0"/>
          <w:i w:val="0"/>
          <w:color w:val="auto"/>
          <w:sz w:val="24"/>
          <w:szCs w:val="24"/>
          <w:highlight w:val="none"/>
        </w:rPr>
        <w:t>成品交付、档案归档、售后质保：印制数量为综合卷、封泥卷、石刻卷各700套，总计4900卷册；送货至甲方指定地点，负责卸货、清点、验收；交付电子档案（全书高清PDF、可编辑源文件、图片源文件、线图源文件、审稿记录及校对台账）及纸质档案（全套审稿单、校对单、设计稿、打样稿、出版审批资料、印制质检报告、出厂合格证）。</w:t>
      </w:r>
    </w:p>
    <w:p w14:paraId="13B3C806">
      <w:pPr>
        <w:pStyle w:val="20"/>
        <w:keepNext w:val="0"/>
        <w:keepLines w:val="0"/>
        <w:pageBreakBefore w:val="0"/>
        <w:widowControl/>
        <w:numPr>
          <w:ilvl w:val="0"/>
          <w:numId w:val="6"/>
        </w:numPr>
        <w:kinsoku/>
        <w:wordWrap/>
        <w:overflowPunct/>
        <w:topLinePunct w:val="0"/>
        <w:autoSpaceDE/>
        <w:autoSpaceDN/>
        <w:bidi w:val="0"/>
        <w:snapToGrid/>
        <w:spacing w:before="0" w:after="0" w:afterLines="0" w:line="460" w:lineRule="exact"/>
        <w:ind w:left="0" w:leftChars="0"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服务时间：</w:t>
      </w:r>
    </w:p>
    <w:p w14:paraId="587545D2">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本项目服务期限分为两个阶段：</w:t>
      </w:r>
    </w:p>
    <w:p w14:paraId="258DB6C3">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i w:val="0"/>
          <w:color w:val="auto"/>
          <w:sz w:val="24"/>
          <w:szCs w:val="24"/>
          <w:highlight w:val="none"/>
        </w:rPr>
        <w:t>采购人交稿阶段：甲方承诺于2026年12月31日前完成全部文稿定稿并移交乙方。具体交稿时间以甲方书面通知为准。</w:t>
      </w:r>
    </w:p>
    <w:p w14:paraId="37E46FBA">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w:t>
      </w:r>
      <w:r>
        <w:rPr>
          <w:rFonts w:hint="eastAsia" w:ascii="宋体" w:hAnsi="宋体" w:eastAsia="宋体" w:cs="宋体"/>
          <w:b w:val="0"/>
          <w:bCs w:val="0"/>
          <w:i w:val="0"/>
          <w:color w:val="auto"/>
          <w:sz w:val="24"/>
          <w:szCs w:val="24"/>
          <w:highlight w:val="none"/>
        </w:rPr>
        <w:t>乙方出版交付阶段：自甲方向乙方提交完整定稿之日起12个月内，乙方须完成全部出版印制及成品交付验收工作。如甲方迟于2026年12月31日交稿，交付截止日相应顺延。</w:t>
      </w:r>
    </w:p>
    <w:p w14:paraId="538F7161">
      <w:pPr>
        <w:pStyle w:val="20"/>
        <w:keepNext w:val="0"/>
        <w:keepLines w:val="0"/>
        <w:pageBreakBefore w:val="0"/>
        <w:widowControl/>
        <w:numPr>
          <w:ilvl w:val="0"/>
          <w:numId w:val="6"/>
        </w:numPr>
        <w:kinsoku/>
        <w:wordWrap/>
        <w:overflowPunct/>
        <w:topLinePunct w:val="0"/>
        <w:autoSpaceDE/>
        <w:autoSpaceDN/>
        <w:bidi w:val="0"/>
        <w:snapToGrid/>
        <w:spacing w:before="0" w:after="0" w:afterLines="0" w:line="460" w:lineRule="exact"/>
        <w:ind w:left="0" w:leftChars="0"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服务标准：符合考古类出版物规范与国家图书印制质量标准，达到国家一级图书印制质量；编校差错率低于万分之一。</w:t>
      </w:r>
    </w:p>
    <w:p w14:paraId="4F4055B9">
      <w:pPr>
        <w:pStyle w:val="20"/>
        <w:keepNext w:val="0"/>
        <w:keepLines w:val="0"/>
        <w:pageBreakBefore w:val="0"/>
        <w:widowControl/>
        <w:numPr>
          <w:ilvl w:val="0"/>
          <w:numId w:val="6"/>
        </w:numPr>
        <w:kinsoku/>
        <w:wordWrap/>
        <w:overflowPunct/>
        <w:topLinePunct w:val="0"/>
        <w:autoSpaceDE/>
        <w:autoSpaceDN/>
        <w:bidi w:val="0"/>
        <w:snapToGrid/>
        <w:spacing w:before="0" w:after="0" w:afterLines="0" w:line="460" w:lineRule="exact"/>
        <w:ind w:left="0" w:leftChars="0"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提供服务的地点：甲方指定地点。</w:t>
      </w:r>
    </w:p>
    <w:p w14:paraId="2BAD728F">
      <w:pPr>
        <w:pStyle w:val="20"/>
        <w:keepNext w:val="0"/>
        <w:keepLines w:val="0"/>
        <w:pageBreakBefore w:val="0"/>
        <w:widowControl/>
        <w:numPr>
          <w:ilvl w:val="0"/>
          <w:numId w:val="6"/>
        </w:numPr>
        <w:kinsoku/>
        <w:wordWrap/>
        <w:overflowPunct/>
        <w:topLinePunct w:val="0"/>
        <w:autoSpaceDE/>
        <w:autoSpaceDN/>
        <w:bidi w:val="0"/>
        <w:snapToGrid/>
        <w:spacing w:before="0" w:after="0" w:afterLines="0" w:line="460" w:lineRule="exact"/>
        <w:ind w:left="0" w:leftChars="0"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提供服务的形式：纸质图书交付、电子档案交付及纸质档案交付。</w:t>
      </w:r>
    </w:p>
    <w:p w14:paraId="1AFEF29E">
      <w:pPr>
        <w:keepNext w:val="0"/>
        <w:keepLines w:val="0"/>
        <w:pageBreakBefore w:val="0"/>
        <w:widowControl/>
        <w:numPr>
          <w:ilvl w:val="0"/>
          <w:numId w:val="0"/>
        </w:numPr>
        <w:shd w:val="clear" w:color="auto" w:fill="FFFFFF"/>
        <w:kinsoku/>
        <w:wordWrap/>
        <w:overflowPunct/>
        <w:topLinePunct w:val="0"/>
        <w:autoSpaceDE/>
        <w:autoSpaceDN/>
        <w:bidi w:val="0"/>
        <w:snapToGrid/>
        <w:spacing w:before="0" w:line="240" w:lineRule="auto"/>
        <w:jc w:val="center"/>
        <w:textAlignment w:val="auto"/>
        <w:outlineLvl w:val="9"/>
        <w:rPr>
          <w:rFonts w:hint="eastAsia" w:ascii="宋体" w:hAnsi="宋体" w:eastAsia="宋体" w:cs="宋体"/>
          <w:b/>
          <w:bCs/>
          <w:i w:val="0"/>
          <w:color w:val="auto"/>
          <w:kern w:val="2"/>
          <w:sz w:val="24"/>
          <w:szCs w:val="24"/>
          <w:highlight w:val="none"/>
          <w:lang w:val="en-US" w:eastAsia="zh-CN" w:bidi="ar-SA"/>
        </w:rPr>
      </w:pPr>
      <w:r>
        <w:rPr>
          <w:rFonts w:hint="eastAsia" w:ascii="宋体" w:hAnsi="宋体" w:eastAsia="宋体" w:cs="宋体"/>
          <w:b/>
          <w:bCs/>
          <w:i w:val="0"/>
          <w:color w:val="auto"/>
          <w:kern w:val="2"/>
          <w:sz w:val="24"/>
          <w:szCs w:val="24"/>
          <w:highlight w:val="none"/>
          <w:lang w:val="en-US" w:eastAsia="zh-CN" w:bidi="ar-SA"/>
        </w:rPr>
        <w:t>第二条合同金额及付款方式</w:t>
      </w:r>
    </w:p>
    <w:p w14:paraId="0C60BE0F">
      <w:pPr>
        <w:pStyle w:val="20"/>
        <w:keepNext w:val="0"/>
        <w:keepLines w:val="0"/>
        <w:pageBreakBefore w:val="0"/>
        <w:widowControl/>
        <w:numPr>
          <w:ilvl w:val="0"/>
          <w:numId w:val="7"/>
        </w:numPr>
        <w:kinsoku/>
        <w:wordWrap/>
        <w:overflowPunct/>
        <w:topLinePunct w:val="0"/>
        <w:autoSpaceDE/>
        <w:autoSpaceDN/>
        <w:bidi w:val="0"/>
        <w:snapToGrid/>
        <w:spacing w:before="0" w:after="0" w:afterLines="0" w:line="460" w:lineRule="exact"/>
        <w:ind w:left="0" w:leftChars="0"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合同总金额：本合同总金额为人民币大写金额</w:t>
      </w:r>
      <w:r>
        <w:rPr>
          <w:rFonts w:hint="eastAsia" w:ascii="宋体" w:hAnsi="宋体" w:cs="宋体"/>
          <w:b w:val="0"/>
          <w:bCs w:val="0"/>
          <w:i w:val="0"/>
          <w:color w:val="auto"/>
          <w:sz w:val="24"/>
          <w:szCs w:val="24"/>
          <w:highlight w:val="none"/>
          <w:u w:val="single"/>
          <w:lang w:val="en-US" w:eastAsia="zh-CN"/>
        </w:rPr>
        <w:t xml:space="preserve">              </w:t>
      </w:r>
      <w:r>
        <w:rPr>
          <w:rFonts w:hint="eastAsia" w:ascii="宋体" w:hAnsi="宋体" w:eastAsia="宋体" w:cs="宋体"/>
          <w:b w:val="0"/>
          <w:bCs w:val="0"/>
          <w:i w:val="0"/>
          <w:color w:val="auto"/>
          <w:sz w:val="24"/>
          <w:szCs w:val="24"/>
          <w:highlight w:val="none"/>
        </w:rPr>
        <w:t>元（小写金额：¥</w:t>
      </w:r>
      <w:r>
        <w:rPr>
          <w:rFonts w:hint="eastAsia" w:ascii="宋体" w:hAnsi="宋体" w:cs="宋体"/>
          <w:b w:val="0"/>
          <w:bCs w:val="0"/>
          <w:i w:val="0"/>
          <w:color w:val="auto"/>
          <w:sz w:val="24"/>
          <w:szCs w:val="24"/>
          <w:highlight w:val="none"/>
          <w:u w:val="single"/>
          <w:lang w:val="en-US" w:eastAsia="zh-CN"/>
        </w:rPr>
        <w:t xml:space="preserve">              </w:t>
      </w:r>
      <w:r>
        <w:rPr>
          <w:rFonts w:hint="eastAsia" w:ascii="宋体" w:hAnsi="宋体" w:eastAsia="宋体" w:cs="宋体"/>
          <w:b w:val="0"/>
          <w:bCs w:val="0"/>
          <w:i w:val="0"/>
          <w:color w:val="auto"/>
          <w:sz w:val="24"/>
          <w:szCs w:val="24"/>
          <w:highlight w:val="none"/>
        </w:rPr>
        <w:t>元）。</w:t>
      </w:r>
    </w:p>
    <w:p w14:paraId="79697F4D">
      <w:pPr>
        <w:pStyle w:val="20"/>
        <w:keepNext w:val="0"/>
        <w:keepLines w:val="0"/>
        <w:pageBreakBefore w:val="0"/>
        <w:widowControl/>
        <w:numPr>
          <w:ilvl w:val="0"/>
          <w:numId w:val="7"/>
        </w:numPr>
        <w:kinsoku/>
        <w:wordWrap/>
        <w:overflowPunct/>
        <w:topLinePunct w:val="0"/>
        <w:autoSpaceDE/>
        <w:autoSpaceDN/>
        <w:bidi w:val="0"/>
        <w:snapToGrid/>
        <w:spacing w:before="0" w:after="0" w:afterLines="0" w:line="460" w:lineRule="exact"/>
        <w:ind w:left="0" w:leftChars="0"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报价说明：本合同总金额包括但不限于所有人工费、差旅费、书号管理费、编审费、排版设计费、印刷费、耗材费、技术服务费、相关税费等全部费用，甲方不再支付报价以外的任何费用。</w:t>
      </w:r>
    </w:p>
    <w:p w14:paraId="3D18E6ED">
      <w:pPr>
        <w:pStyle w:val="20"/>
        <w:keepNext w:val="0"/>
        <w:keepLines w:val="0"/>
        <w:pageBreakBefore w:val="0"/>
        <w:widowControl/>
        <w:numPr>
          <w:ilvl w:val="0"/>
          <w:numId w:val="7"/>
        </w:numPr>
        <w:kinsoku/>
        <w:wordWrap/>
        <w:overflowPunct/>
        <w:topLinePunct w:val="0"/>
        <w:autoSpaceDE/>
        <w:autoSpaceDN/>
        <w:bidi w:val="0"/>
        <w:snapToGrid/>
        <w:spacing w:before="0" w:after="0" w:afterLines="0" w:line="460" w:lineRule="exact"/>
        <w:ind w:left="0" w:leftChars="0"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付款方式：</w:t>
      </w:r>
    </w:p>
    <w:p w14:paraId="0440BD42">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经双方协商一致，选择以下第</w:t>
      </w:r>
      <w:r>
        <w:rPr>
          <w:rFonts w:hint="eastAsia" w:ascii="宋体" w:hAnsi="宋体" w:cs="宋体"/>
          <w:b w:val="0"/>
          <w:bCs w:val="0"/>
          <w:i w:val="0"/>
          <w:color w:val="auto"/>
          <w:sz w:val="24"/>
          <w:szCs w:val="24"/>
          <w:highlight w:val="none"/>
          <w:u w:val="single"/>
          <w:lang w:val="en-US" w:eastAsia="zh-CN"/>
        </w:rPr>
        <w:t xml:space="preserve">   </w:t>
      </w:r>
      <w:r>
        <w:rPr>
          <w:rFonts w:hint="eastAsia" w:ascii="宋体" w:hAnsi="宋体" w:eastAsia="宋体" w:cs="宋体"/>
          <w:b w:val="0"/>
          <w:bCs w:val="0"/>
          <w:i w:val="0"/>
          <w:color w:val="auto"/>
          <w:sz w:val="24"/>
          <w:szCs w:val="24"/>
          <w:highlight w:val="none"/>
        </w:rPr>
        <w:t>种付款方式：</w:t>
      </w:r>
    </w:p>
    <w:p w14:paraId="11A527D7">
      <w:pPr>
        <w:pStyle w:val="20"/>
        <w:keepNext w:val="0"/>
        <w:keepLines w:val="0"/>
        <w:pageBreakBefore w:val="0"/>
        <w:widowControl/>
        <w:numPr>
          <w:ilvl w:val="0"/>
          <w:numId w:val="8"/>
        </w:numPr>
        <w:kinsoku/>
        <w:wordWrap/>
        <w:overflowPunct/>
        <w:topLinePunct w:val="0"/>
        <w:autoSpaceDE/>
        <w:autoSpaceDN/>
        <w:bidi w:val="0"/>
        <w:snapToGrid/>
        <w:spacing w:before="0" w:after="0" w:afterLines="0" w:line="460" w:lineRule="exact"/>
        <w:ind w:left="0" w:leftChars="0"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付款方式（提交预付款保函的）</w:t>
      </w:r>
    </w:p>
    <w:p w14:paraId="75BAB57E">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合同签订且乙方向甲方出具预付款保函后10个工作日内，甲方应支付合同价款的百分之</w:t>
      </w:r>
      <w:r>
        <w:rPr>
          <w:rFonts w:hint="eastAsia" w:ascii="宋体" w:hAnsi="宋体" w:eastAsia="宋体" w:cs="宋体"/>
          <w:b w:val="0"/>
          <w:bCs w:val="0"/>
          <w:i w:val="0"/>
          <w:color w:val="auto"/>
          <w:sz w:val="24"/>
          <w:szCs w:val="24"/>
          <w:highlight w:val="none"/>
          <w:u w:val="single"/>
        </w:rPr>
        <w:t>四十（40%）</w:t>
      </w:r>
      <w:r>
        <w:rPr>
          <w:rFonts w:hint="eastAsia" w:ascii="宋体" w:hAnsi="宋体" w:eastAsia="宋体" w:cs="宋体"/>
          <w:b w:val="0"/>
          <w:bCs w:val="0"/>
          <w:i w:val="0"/>
          <w:color w:val="auto"/>
          <w:sz w:val="24"/>
          <w:szCs w:val="24"/>
          <w:highlight w:val="none"/>
        </w:rPr>
        <w:t>，小写¥</w:t>
      </w:r>
      <w:r>
        <w:rPr>
          <w:rFonts w:hint="eastAsia" w:ascii="宋体" w:hAnsi="宋体" w:cs="宋体"/>
          <w:b w:val="0"/>
          <w:bCs w:val="0"/>
          <w:i w:val="0"/>
          <w:color w:val="auto"/>
          <w:sz w:val="24"/>
          <w:szCs w:val="24"/>
          <w:highlight w:val="none"/>
          <w:u w:val="single"/>
          <w:lang w:val="en-US" w:eastAsia="zh-CN"/>
        </w:rPr>
        <w:t xml:space="preserve">            </w:t>
      </w:r>
      <w:r>
        <w:rPr>
          <w:rFonts w:hint="eastAsia" w:ascii="宋体" w:hAnsi="宋体" w:eastAsia="宋体" w:cs="宋体"/>
          <w:b w:val="0"/>
          <w:bCs w:val="0"/>
          <w:i w:val="0"/>
          <w:color w:val="auto"/>
          <w:sz w:val="24"/>
          <w:szCs w:val="24"/>
          <w:highlight w:val="none"/>
        </w:rPr>
        <w:t>大写：人民币</w:t>
      </w:r>
      <w:r>
        <w:rPr>
          <w:rFonts w:hint="eastAsia" w:ascii="宋体" w:hAnsi="宋体" w:cs="宋体"/>
          <w:b w:val="0"/>
          <w:bCs w:val="0"/>
          <w:i w:val="0"/>
          <w:color w:val="auto"/>
          <w:sz w:val="24"/>
          <w:szCs w:val="24"/>
          <w:highlight w:val="none"/>
          <w:u w:val="single"/>
          <w:lang w:val="en-US" w:eastAsia="zh-CN"/>
        </w:rPr>
        <w:t xml:space="preserve">            </w:t>
      </w:r>
      <w:r>
        <w:rPr>
          <w:rFonts w:hint="eastAsia" w:ascii="宋体" w:hAnsi="宋体" w:eastAsia="宋体" w:cs="宋体"/>
          <w:b w:val="0"/>
          <w:bCs w:val="0"/>
          <w:i w:val="0"/>
          <w:color w:val="auto"/>
          <w:sz w:val="24"/>
          <w:szCs w:val="24"/>
          <w:highlight w:val="none"/>
        </w:rPr>
        <w:t>作为预付款；乙方提交完整稿件，经甲方编辑审核通过确定可以排版印刷后30日内，甲方应支付合同价款的百分之</w:t>
      </w:r>
      <w:r>
        <w:rPr>
          <w:rFonts w:hint="eastAsia" w:ascii="宋体" w:hAnsi="宋体" w:eastAsia="宋体" w:cs="宋体"/>
          <w:b w:val="0"/>
          <w:bCs w:val="0"/>
          <w:i w:val="0"/>
          <w:color w:val="auto"/>
          <w:sz w:val="24"/>
          <w:szCs w:val="24"/>
          <w:highlight w:val="none"/>
          <w:u w:val="single"/>
        </w:rPr>
        <w:t>五十（50%）</w:t>
      </w:r>
      <w:r>
        <w:rPr>
          <w:rFonts w:hint="eastAsia" w:ascii="宋体" w:hAnsi="宋体" w:eastAsia="宋体" w:cs="宋体"/>
          <w:b w:val="0"/>
          <w:bCs w:val="0"/>
          <w:i w:val="0"/>
          <w:color w:val="auto"/>
          <w:sz w:val="24"/>
          <w:szCs w:val="24"/>
          <w:highlight w:val="none"/>
        </w:rPr>
        <w:t>，小写¥</w:t>
      </w:r>
      <w:r>
        <w:rPr>
          <w:rFonts w:hint="eastAsia" w:ascii="宋体" w:hAnsi="宋体" w:cs="宋体"/>
          <w:b w:val="0"/>
          <w:bCs w:val="0"/>
          <w:i w:val="0"/>
          <w:color w:val="auto"/>
          <w:sz w:val="24"/>
          <w:szCs w:val="24"/>
          <w:highlight w:val="none"/>
          <w:u w:val="single"/>
          <w:lang w:val="en-US" w:eastAsia="zh-CN"/>
        </w:rPr>
        <w:t xml:space="preserve">      </w:t>
      </w:r>
      <w:r>
        <w:rPr>
          <w:rFonts w:hint="eastAsia" w:ascii="宋体" w:hAnsi="宋体" w:eastAsia="宋体" w:cs="宋体"/>
          <w:b w:val="0"/>
          <w:bCs w:val="0"/>
          <w:i w:val="0"/>
          <w:color w:val="auto"/>
          <w:sz w:val="24"/>
          <w:szCs w:val="24"/>
          <w:highlight w:val="none"/>
        </w:rPr>
        <w:t>大写：人民币</w:t>
      </w:r>
      <w:r>
        <w:rPr>
          <w:rFonts w:hint="eastAsia" w:ascii="宋体" w:hAnsi="宋体" w:cs="宋体"/>
          <w:b w:val="0"/>
          <w:bCs w:val="0"/>
          <w:i w:val="0"/>
          <w:color w:val="auto"/>
          <w:sz w:val="24"/>
          <w:szCs w:val="24"/>
          <w:highlight w:val="none"/>
          <w:u w:val="single"/>
          <w:lang w:val="en-US" w:eastAsia="zh-CN"/>
        </w:rPr>
        <w:t xml:space="preserve">      </w:t>
      </w:r>
      <w:r>
        <w:rPr>
          <w:rFonts w:hint="eastAsia" w:ascii="宋体" w:hAnsi="宋体" w:eastAsia="宋体" w:cs="宋体"/>
          <w:b w:val="0"/>
          <w:bCs w:val="0"/>
          <w:i w:val="0"/>
          <w:color w:val="auto"/>
          <w:sz w:val="24"/>
          <w:szCs w:val="24"/>
          <w:highlight w:val="none"/>
        </w:rPr>
        <w:t>；乙方报告出版并经甲方验收合格后30日内，甲方应支付合同价款的百分之</w:t>
      </w:r>
      <w:r>
        <w:rPr>
          <w:rFonts w:hint="eastAsia" w:ascii="宋体" w:hAnsi="宋体" w:eastAsia="宋体" w:cs="宋体"/>
          <w:b w:val="0"/>
          <w:bCs w:val="0"/>
          <w:i w:val="0"/>
          <w:color w:val="auto"/>
          <w:sz w:val="24"/>
          <w:szCs w:val="24"/>
          <w:highlight w:val="none"/>
          <w:u w:val="single"/>
        </w:rPr>
        <w:t>十（10%）</w:t>
      </w:r>
      <w:r>
        <w:rPr>
          <w:rFonts w:hint="eastAsia" w:ascii="宋体" w:hAnsi="宋体" w:eastAsia="宋体" w:cs="宋体"/>
          <w:b w:val="0"/>
          <w:bCs w:val="0"/>
          <w:i w:val="0"/>
          <w:color w:val="auto"/>
          <w:sz w:val="24"/>
          <w:szCs w:val="24"/>
          <w:highlight w:val="none"/>
        </w:rPr>
        <w:t>，小写¥</w:t>
      </w:r>
      <w:r>
        <w:rPr>
          <w:rFonts w:hint="eastAsia" w:ascii="宋体" w:hAnsi="宋体" w:cs="宋体"/>
          <w:b w:val="0"/>
          <w:bCs w:val="0"/>
          <w:i w:val="0"/>
          <w:color w:val="auto"/>
          <w:sz w:val="24"/>
          <w:szCs w:val="24"/>
          <w:highlight w:val="none"/>
          <w:u w:val="single"/>
          <w:lang w:val="en-US" w:eastAsia="zh-CN"/>
        </w:rPr>
        <w:t xml:space="preserve">              </w:t>
      </w:r>
      <w:r>
        <w:rPr>
          <w:rFonts w:hint="eastAsia" w:ascii="宋体" w:hAnsi="宋体" w:eastAsia="宋体" w:cs="宋体"/>
          <w:b w:val="0"/>
          <w:bCs w:val="0"/>
          <w:i w:val="0"/>
          <w:color w:val="auto"/>
          <w:sz w:val="24"/>
          <w:szCs w:val="24"/>
          <w:highlight w:val="none"/>
        </w:rPr>
        <w:t>大写：人民币</w:t>
      </w:r>
      <w:r>
        <w:rPr>
          <w:rFonts w:hint="eastAsia" w:ascii="宋体" w:hAnsi="宋体" w:cs="宋体"/>
          <w:b w:val="0"/>
          <w:bCs w:val="0"/>
          <w:i w:val="0"/>
          <w:color w:val="auto"/>
          <w:sz w:val="24"/>
          <w:szCs w:val="24"/>
          <w:highlight w:val="none"/>
          <w:u w:val="single"/>
          <w:lang w:val="en-US" w:eastAsia="zh-CN"/>
        </w:rPr>
        <w:t xml:space="preserve">              </w:t>
      </w:r>
      <w:r>
        <w:rPr>
          <w:rFonts w:hint="eastAsia" w:ascii="宋体" w:hAnsi="宋体" w:eastAsia="宋体" w:cs="宋体"/>
          <w:b w:val="0"/>
          <w:bCs w:val="0"/>
          <w:i w:val="0"/>
          <w:color w:val="auto"/>
          <w:sz w:val="24"/>
          <w:szCs w:val="24"/>
          <w:highlight w:val="none"/>
        </w:rPr>
        <w:t>。</w:t>
      </w:r>
    </w:p>
    <w:p w14:paraId="26C85091">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乙方需提交的支付文件包括：乙方出具的符合甲方要求的全额正式发票。</w:t>
      </w:r>
    </w:p>
    <w:p w14:paraId="4CD0FD88">
      <w:pPr>
        <w:pStyle w:val="20"/>
        <w:keepNext w:val="0"/>
        <w:keepLines w:val="0"/>
        <w:pageBreakBefore w:val="0"/>
        <w:widowControl/>
        <w:numPr>
          <w:ilvl w:val="0"/>
          <w:numId w:val="8"/>
        </w:numPr>
        <w:kinsoku/>
        <w:wordWrap/>
        <w:overflowPunct/>
        <w:topLinePunct w:val="0"/>
        <w:autoSpaceDE/>
        <w:autoSpaceDN/>
        <w:bidi w:val="0"/>
        <w:snapToGrid/>
        <w:spacing w:before="0" w:after="0" w:afterLines="0" w:line="460" w:lineRule="exact"/>
        <w:ind w:left="0" w:leftChars="0"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付款方式（不提交预付款保函的） </w:t>
      </w:r>
      <w:r>
        <w:rPr>
          <w:rFonts w:hint="eastAsia" w:ascii="宋体" w:hAnsi="宋体" w:cs="宋体"/>
          <w:b w:val="0"/>
          <w:bCs w:val="0"/>
          <w:i w:val="0"/>
          <w:color w:val="auto"/>
          <w:sz w:val="24"/>
          <w:szCs w:val="24"/>
          <w:highlight w:val="none"/>
          <w:lang w:eastAsia="zh-CN"/>
        </w:rPr>
        <w:t>□</w:t>
      </w:r>
      <w:r>
        <w:rPr>
          <w:rFonts w:hint="eastAsia" w:ascii="宋体" w:hAnsi="宋体" w:eastAsia="宋体" w:cs="宋体"/>
          <w:b w:val="0"/>
          <w:bCs w:val="0"/>
          <w:i w:val="0"/>
          <w:color w:val="auto"/>
          <w:sz w:val="24"/>
          <w:szCs w:val="24"/>
          <w:highlight w:val="none"/>
        </w:rPr>
        <w:t> （本合同选用）</w:t>
      </w:r>
    </w:p>
    <w:p w14:paraId="39844E8A">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合同签订后10个工作日内甲方支付合同价款的</w:t>
      </w:r>
      <w:r>
        <w:rPr>
          <w:rFonts w:hint="eastAsia" w:ascii="宋体" w:hAnsi="宋体" w:eastAsia="宋体" w:cs="宋体"/>
          <w:b w:val="0"/>
          <w:bCs w:val="0"/>
          <w:i w:val="0"/>
          <w:color w:val="auto"/>
          <w:sz w:val="24"/>
          <w:szCs w:val="24"/>
          <w:highlight w:val="none"/>
          <w:u w:val="single"/>
        </w:rPr>
        <w:t>百分之三十（30%）</w:t>
      </w:r>
      <w:r>
        <w:rPr>
          <w:rFonts w:hint="eastAsia" w:ascii="宋体" w:hAnsi="宋体" w:eastAsia="宋体" w:cs="宋体"/>
          <w:b w:val="0"/>
          <w:bCs w:val="0"/>
          <w:i w:val="0"/>
          <w:color w:val="auto"/>
          <w:sz w:val="24"/>
          <w:szCs w:val="24"/>
          <w:highlight w:val="none"/>
        </w:rPr>
        <w:t>，小写¥</w:t>
      </w:r>
      <w:r>
        <w:rPr>
          <w:rFonts w:hint="eastAsia" w:ascii="宋体" w:hAnsi="宋体" w:cs="宋体"/>
          <w:b w:val="0"/>
          <w:bCs w:val="0"/>
          <w:i w:val="0"/>
          <w:color w:val="auto"/>
          <w:sz w:val="24"/>
          <w:szCs w:val="24"/>
          <w:highlight w:val="none"/>
          <w:u w:val="single"/>
          <w:lang w:val="en-US" w:eastAsia="zh-CN"/>
        </w:rPr>
        <w:t xml:space="preserve">              </w:t>
      </w:r>
      <w:r>
        <w:rPr>
          <w:rFonts w:hint="eastAsia" w:ascii="宋体" w:hAnsi="宋体" w:eastAsia="宋体" w:cs="宋体"/>
          <w:b w:val="0"/>
          <w:bCs w:val="0"/>
          <w:i w:val="0"/>
          <w:color w:val="auto"/>
          <w:sz w:val="24"/>
          <w:szCs w:val="24"/>
          <w:highlight w:val="none"/>
        </w:rPr>
        <w:t>大写：人民币</w:t>
      </w:r>
      <w:r>
        <w:rPr>
          <w:rFonts w:hint="eastAsia" w:ascii="宋体" w:hAnsi="宋体" w:cs="宋体"/>
          <w:b w:val="0"/>
          <w:bCs w:val="0"/>
          <w:i w:val="0"/>
          <w:color w:val="auto"/>
          <w:sz w:val="24"/>
          <w:szCs w:val="24"/>
          <w:highlight w:val="none"/>
          <w:u w:val="single"/>
          <w:lang w:val="en-US" w:eastAsia="zh-CN"/>
        </w:rPr>
        <w:t xml:space="preserve">              </w:t>
      </w:r>
      <w:r>
        <w:rPr>
          <w:rFonts w:hint="eastAsia" w:ascii="宋体" w:hAnsi="宋体" w:eastAsia="宋体" w:cs="宋体"/>
          <w:b w:val="0"/>
          <w:bCs w:val="0"/>
          <w:i w:val="0"/>
          <w:color w:val="auto"/>
          <w:sz w:val="24"/>
          <w:szCs w:val="24"/>
          <w:highlight w:val="none"/>
        </w:rPr>
        <w:t>作为预付款；乙方提交完整稿件，经甲方编辑审核通过确定可以排版印刷后30日内，甲方应支付合同价款的</w:t>
      </w:r>
      <w:r>
        <w:rPr>
          <w:rFonts w:hint="eastAsia" w:ascii="宋体" w:hAnsi="宋体" w:eastAsia="宋体" w:cs="宋体"/>
          <w:b w:val="0"/>
          <w:bCs w:val="0"/>
          <w:i w:val="0"/>
          <w:color w:val="auto"/>
          <w:sz w:val="24"/>
          <w:szCs w:val="24"/>
          <w:highlight w:val="none"/>
          <w:u w:val="single"/>
        </w:rPr>
        <w:t>百分之六十（60%）</w:t>
      </w:r>
      <w:r>
        <w:rPr>
          <w:rFonts w:hint="eastAsia" w:ascii="宋体" w:hAnsi="宋体" w:eastAsia="宋体" w:cs="宋体"/>
          <w:b w:val="0"/>
          <w:bCs w:val="0"/>
          <w:i w:val="0"/>
          <w:color w:val="auto"/>
          <w:sz w:val="24"/>
          <w:szCs w:val="24"/>
          <w:highlight w:val="none"/>
        </w:rPr>
        <w:t>，小写¥</w:t>
      </w:r>
      <w:r>
        <w:rPr>
          <w:rFonts w:hint="eastAsia" w:ascii="宋体" w:hAnsi="宋体" w:cs="宋体"/>
          <w:b w:val="0"/>
          <w:bCs w:val="0"/>
          <w:i w:val="0"/>
          <w:color w:val="auto"/>
          <w:sz w:val="24"/>
          <w:szCs w:val="24"/>
          <w:highlight w:val="none"/>
          <w:u w:val="single"/>
          <w:lang w:val="en-US" w:eastAsia="zh-CN"/>
        </w:rPr>
        <w:t xml:space="preserve">            </w:t>
      </w:r>
      <w:r>
        <w:rPr>
          <w:rFonts w:hint="eastAsia" w:ascii="宋体" w:hAnsi="宋体" w:eastAsia="宋体" w:cs="宋体"/>
          <w:b w:val="0"/>
          <w:bCs w:val="0"/>
          <w:i w:val="0"/>
          <w:color w:val="auto"/>
          <w:sz w:val="24"/>
          <w:szCs w:val="24"/>
          <w:highlight w:val="none"/>
        </w:rPr>
        <w:t>大写：人民币</w:t>
      </w:r>
      <w:r>
        <w:rPr>
          <w:rFonts w:hint="eastAsia" w:ascii="宋体" w:hAnsi="宋体" w:cs="宋体"/>
          <w:b w:val="0"/>
          <w:bCs w:val="0"/>
          <w:i w:val="0"/>
          <w:color w:val="auto"/>
          <w:sz w:val="24"/>
          <w:szCs w:val="24"/>
          <w:highlight w:val="none"/>
          <w:u w:val="single"/>
          <w:lang w:val="en-US" w:eastAsia="zh-CN"/>
        </w:rPr>
        <w:t xml:space="preserve">            </w:t>
      </w:r>
      <w:r>
        <w:rPr>
          <w:rFonts w:hint="eastAsia" w:ascii="宋体" w:hAnsi="宋体" w:eastAsia="宋体" w:cs="宋体"/>
          <w:b w:val="0"/>
          <w:bCs w:val="0"/>
          <w:i w:val="0"/>
          <w:color w:val="auto"/>
          <w:sz w:val="24"/>
          <w:szCs w:val="24"/>
          <w:highlight w:val="none"/>
        </w:rPr>
        <w:t>；乙方报告出版并经甲方验收合格后30日内，甲方应支付合同价款的</w:t>
      </w:r>
      <w:r>
        <w:rPr>
          <w:rFonts w:hint="eastAsia" w:ascii="宋体" w:hAnsi="宋体" w:eastAsia="宋体" w:cs="宋体"/>
          <w:b w:val="0"/>
          <w:bCs w:val="0"/>
          <w:i w:val="0"/>
          <w:color w:val="auto"/>
          <w:sz w:val="24"/>
          <w:szCs w:val="24"/>
          <w:highlight w:val="none"/>
          <w:u w:val="single"/>
        </w:rPr>
        <w:t>百分之十（10%）</w:t>
      </w:r>
      <w:r>
        <w:rPr>
          <w:rFonts w:hint="eastAsia" w:ascii="宋体" w:hAnsi="宋体" w:eastAsia="宋体" w:cs="宋体"/>
          <w:b w:val="0"/>
          <w:bCs w:val="0"/>
          <w:i w:val="0"/>
          <w:color w:val="auto"/>
          <w:sz w:val="24"/>
          <w:szCs w:val="24"/>
          <w:highlight w:val="none"/>
        </w:rPr>
        <w:t>，小写¥</w:t>
      </w:r>
      <w:r>
        <w:rPr>
          <w:rFonts w:hint="eastAsia" w:ascii="宋体" w:hAnsi="宋体" w:cs="宋体"/>
          <w:b w:val="0"/>
          <w:bCs w:val="0"/>
          <w:i w:val="0"/>
          <w:color w:val="auto"/>
          <w:sz w:val="24"/>
          <w:szCs w:val="24"/>
          <w:highlight w:val="none"/>
          <w:u w:val="single"/>
          <w:lang w:val="en-US" w:eastAsia="zh-CN"/>
        </w:rPr>
        <w:t xml:space="preserve">              </w:t>
      </w:r>
      <w:r>
        <w:rPr>
          <w:rFonts w:hint="eastAsia" w:ascii="宋体" w:hAnsi="宋体" w:eastAsia="宋体" w:cs="宋体"/>
          <w:b w:val="0"/>
          <w:bCs w:val="0"/>
          <w:i w:val="0"/>
          <w:color w:val="auto"/>
          <w:sz w:val="24"/>
          <w:szCs w:val="24"/>
          <w:highlight w:val="none"/>
        </w:rPr>
        <w:t>大写：人民币</w:t>
      </w:r>
      <w:r>
        <w:rPr>
          <w:rFonts w:hint="eastAsia" w:ascii="宋体" w:hAnsi="宋体" w:cs="宋体"/>
          <w:b w:val="0"/>
          <w:bCs w:val="0"/>
          <w:i w:val="0"/>
          <w:color w:val="auto"/>
          <w:sz w:val="24"/>
          <w:szCs w:val="24"/>
          <w:highlight w:val="none"/>
          <w:u w:val="single"/>
          <w:lang w:val="en-US" w:eastAsia="zh-CN"/>
        </w:rPr>
        <w:t xml:space="preserve">              </w:t>
      </w:r>
      <w:r>
        <w:rPr>
          <w:rFonts w:hint="eastAsia" w:ascii="宋体" w:hAnsi="宋体" w:eastAsia="宋体" w:cs="宋体"/>
          <w:b w:val="0"/>
          <w:bCs w:val="0"/>
          <w:i w:val="0"/>
          <w:color w:val="auto"/>
          <w:sz w:val="24"/>
          <w:szCs w:val="24"/>
          <w:highlight w:val="none"/>
        </w:rPr>
        <w:t>。</w:t>
      </w:r>
    </w:p>
    <w:p w14:paraId="6A7956FE">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乙方需提交的支付文件包括：乙方出具的符合甲方要求的全额正式发票。</w:t>
      </w:r>
    </w:p>
    <w:p w14:paraId="43221E82">
      <w:pPr>
        <w:keepNext w:val="0"/>
        <w:keepLines w:val="0"/>
        <w:pageBreakBefore w:val="0"/>
        <w:widowControl/>
        <w:numPr>
          <w:ilvl w:val="0"/>
          <w:numId w:val="0"/>
        </w:numPr>
        <w:shd w:val="clear" w:color="auto" w:fill="FFFFFF"/>
        <w:kinsoku/>
        <w:wordWrap/>
        <w:overflowPunct/>
        <w:topLinePunct w:val="0"/>
        <w:autoSpaceDE/>
        <w:autoSpaceDN/>
        <w:bidi w:val="0"/>
        <w:snapToGrid/>
        <w:spacing w:before="0" w:line="240" w:lineRule="auto"/>
        <w:jc w:val="center"/>
        <w:textAlignment w:val="auto"/>
        <w:outlineLvl w:val="9"/>
        <w:rPr>
          <w:rFonts w:hint="eastAsia" w:ascii="宋体" w:hAnsi="宋体" w:eastAsia="宋体" w:cs="宋体"/>
          <w:b/>
          <w:bCs/>
          <w:i w:val="0"/>
          <w:color w:val="auto"/>
          <w:kern w:val="2"/>
          <w:sz w:val="24"/>
          <w:szCs w:val="24"/>
          <w:highlight w:val="none"/>
          <w:lang w:val="en-US" w:eastAsia="zh-CN" w:bidi="ar-SA"/>
        </w:rPr>
      </w:pPr>
      <w:r>
        <w:rPr>
          <w:rFonts w:hint="eastAsia" w:ascii="宋体" w:hAnsi="宋体" w:eastAsia="宋体" w:cs="宋体"/>
          <w:b/>
          <w:bCs/>
          <w:i w:val="0"/>
          <w:color w:val="auto"/>
          <w:kern w:val="2"/>
          <w:sz w:val="24"/>
          <w:szCs w:val="24"/>
          <w:highlight w:val="none"/>
          <w:lang w:val="en-US" w:eastAsia="zh-CN" w:bidi="ar-SA"/>
        </w:rPr>
        <w:t>第三条组成本合同的有关文件</w:t>
      </w:r>
    </w:p>
    <w:p w14:paraId="6F8DEEB4">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本合同由以下文件组成，如有不明确或不一致之处，按照下列文件次序在先者为准；同一层次合同文件有矛盾的，以时间较后的为准：</w:t>
      </w:r>
    </w:p>
    <w:p w14:paraId="09186562">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i w:val="0"/>
          <w:color w:val="auto"/>
          <w:sz w:val="24"/>
          <w:szCs w:val="24"/>
          <w:highlight w:val="none"/>
        </w:rPr>
        <w:t>本合同履行过程中双方共同签署的补充</w:t>
      </w:r>
      <w:r>
        <w:rPr>
          <w:rFonts w:hint="eastAsia" w:ascii="宋体" w:hAnsi="宋体" w:cs="宋体"/>
          <w:b w:val="0"/>
          <w:bCs w:val="0"/>
          <w:i w:val="0"/>
          <w:color w:val="auto"/>
          <w:sz w:val="24"/>
          <w:szCs w:val="24"/>
          <w:highlight w:val="none"/>
          <w:lang w:val="en-US" w:eastAsia="zh-CN"/>
        </w:rPr>
        <w:t>材料</w:t>
      </w:r>
      <w:r>
        <w:rPr>
          <w:rFonts w:hint="eastAsia" w:ascii="宋体" w:hAnsi="宋体" w:eastAsia="宋体" w:cs="宋体"/>
          <w:b w:val="0"/>
          <w:bCs w:val="0"/>
          <w:i w:val="0"/>
          <w:color w:val="auto"/>
          <w:sz w:val="24"/>
          <w:szCs w:val="24"/>
          <w:highlight w:val="none"/>
        </w:rPr>
        <w:t>；</w:t>
      </w:r>
    </w:p>
    <w:p w14:paraId="01A62A04">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w:t>
      </w:r>
      <w:r>
        <w:rPr>
          <w:rFonts w:hint="eastAsia" w:ascii="宋体" w:hAnsi="宋体" w:eastAsia="宋体" w:cs="宋体"/>
          <w:b w:val="0"/>
          <w:bCs w:val="0"/>
          <w:i w:val="0"/>
          <w:color w:val="auto"/>
          <w:sz w:val="24"/>
          <w:szCs w:val="24"/>
          <w:highlight w:val="none"/>
        </w:rPr>
        <w:t>本合同书；</w:t>
      </w:r>
    </w:p>
    <w:p w14:paraId="46D0D716">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本项目</w:t>
      </w:r>
      <w:r>
        <w:rPr>
          <w:rFonts w:hint="eastAsia" w:ascii="宋体" w:hAnsi="宋体" w:eastAsia="宋体" w:cs="宋体"/>
          <w:b w:val="0"/>
          <w:bCs w:val="0"/>
          <w:i w:val="0"/>
          <w:color w:val="auto"/>
          <w:sz w:val="24"/>
          <w:szCs w:val="24"/>
          <w:highlight w:val="none"/>
          <w:lang w:eastAsia="zh-CN"/>
        </w:rPr>
        <w:t>成交通知书</w:t>
      </w:r>
      <w:r>
        <w:rPr>
          <w:rFonts w:hint="eastAsia" w:ascii="宋体" w:hAnsi="宋体" w:eastAsia="宋体" w:cs="宋体"/>
          <w:b w:val="0"/>
          <w:bCs w:val="0"/>
          <w:i w:val="0"/>
          <w:color w:val="auto"/>
          <w:sz w:val="24"/>
          <w:szCs w:val="24"/>
          <w:highlight w:val="none"/>
        </w:rPr>
        <w:t>；</w:t>
      </w:r>
    </w:p>
    <w:p w14:paraId="2ABA625D">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乙方的本项目</w:t>
      </w:r>
      <w:r>
        <w:rPr>
          <w:rFonts w:hint="eastAsia" w:ascii="宋体" w:hAnsi="宋体" w:eastAsia="宋体" w:cs="宋体"/>
          <w:b w:val="0"/>
          <w:bCs w:val="0"/>
          <w:i w:val="0"/>
          <w:color w:val="auto"/>
          <w:sz w:val="24"/>
          <w:szCs w:val="24"/>
          <w:highlight w:val="none"/>
          <w:lang w:eastAsia="zh-CN"/>
        </w:rPr>
        <w:t>响应文件</w:t>
      </w:r>
      <w:r>
        <w:rPr>
          <w:rFonts w:hint="eastAsia" w:ascii="宋体" w:hAnsi="宋体" w:eastAsia="宋体" w:cs="宋体"/>
          <w:b w:val="0"/>
          <w:bCs w:val="0"/>
          <w:i w:val="0"/>
          <w:color w:val="auto"/>
          <w:sz w:val="24"/>
          <w:szCs w:val="24"/>
          <w:highlight w:val="none"/>
        </w:rPr>
        <w:t>的全部内容；</w:t>
      </w:r>
    </w:p>
    <w:p w14:paraId="626797AE">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本项目采购文件中的全部内容</w:t>
      </w:r>
      <w:r>
        <w:rPr>
          <w:rFonts w:hint="eastAsia" w:ascii="宋体" w:hAnsi="宋体" w:cs="宋体"/>
          <w:b w:val="0"/>
          <w:bCs w:val="0"/>
          <w:i w:val="0"/>
          <w:color w:val="auto"/>
          <w:sz w:val="24"/>
          <w:szCs w:val="24"/>
          <w:highlight w:val="none"/>
          <w:lang w:eastAsia="zh-CN"/>
        </w:rPr>
        <w:t>。</w:t>
      </w:r>
    </w:p>
    <w:p w14:paraId="754CA09A">
      <w:pPr>
        <w:keepNext w:val="0"/>
        <w:keepLines w:val="0"/>
        <w:pageBreakBefore w:val="0"/>
        <w:widowControl/>
        <w:numPr>
          <w:ilvl w:val="0"/>
          <w:numId w:val="0"/>
        </w:numPr>
        <w:shd w:val="clear" w:color="auto" w:fill="FFFFFF"/>
        <w:kinsoku/>
        <w:wordWrap/>
        <w:overflowPunct/>
        <w:topLinePunct w:val="0"/>
        <w:autoSpaceDE/>
        <w:autoSpaceDN/>
        <w:bidi w:val="0"/>
        <w:snapToGrid/>
        <w:spacing w:before="0" w:line="240" w:lineRule="auto"/>
        <w:jc w:val="center"/>
        <w:textAlignment w:val="auto"/>
        <w:outlineLvl w:val="9"/>
        <w:rPr>
          <w:rFonts w:hint="eastAsia" w:ascii="宋体" w:hAnsi="宋体" w:eastAsia="宋体" w:cs="宋体"/>
          <w:b/>
          <w:bCs/>
          <w:i w:val="0"/>
          <w:color w:val="auto"/>
          <w:kern w:val="2"/>
          <w:sz w:val="24"/>
          <w:szCs w:val="24"/>
          <w:highlight w:val="none"/>
          <w:lang w:val="en-US" w:eastAsia="zh-CN" w:bidi="ar-SA"/>
        </w:rPr>
      </w:pPr>
      <w:r>
        <w:rPr>
          <w:rFonts w:hint="eastAsia" w:ascii="宋体" w:hAnsi="宋体" w:eastAsia="宋体" w:cs="宋体"/>
          <w:b/>
          <w:bCs/>
          <w:i w:val="0"/>
          <w:color w:val="auto"/>
          <w:kern w:val="2"/>
          <w:sz w:val="24"/>
          <w:szCs w:val="24"/>
          <w:highlight w:val="none"/>
          <w:lang w:val="en-US" w:eastAsia="zh-CN" w:bidi="ar-SA"/>
        </w:rPr>
        <w:t>第四条甲方权利与义务</w:t>
      </w:r>
    </w:p>
    <w:p w14:paraId="4C255BF4">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i w:val="0"/>
          <w:color w:val="auto"/>
          <w:sz w:val="24"/>
          <w:szCs w:val="24"/>
          <w:highlight w:val="none"/>
        </w:rPr>
        <w:t>甲方有权向乙方询问工作进展情况及相关的内容，有权检查和监督乙方的服务工作的质量、管理等情况，有权要求乙方以书面形式就前述内容进行汇报。</w:t>
      </w:r>
    </w:p>
    <w:p w14:paraId="5E209584">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w:t>
      </w:r>
      <w:r>
        <w:rPr>
          <w:rFonts w:hint="eastAsia" w:ascii="宋体" w:hAnsi="宋体" w:eastAsia="宋体" w:cs="宋体"/>
          <w:b w:val="0"/>
          <w:bCs w:val="0"/>
          <w:i w:val="0"/>
          <w:color w:val="auto"/>
          <w:sz w:val="24"/>
          <w:szCs w:val="24"/>
          <w:highlight w:val="none"/>
        </w:rPr>
        <w:t>甲方有权对乙方服务过程中出现的具体问题提出建议和意见，有权通知乙方对违反合同规定的行为及时纠正，并按本合同有关规定给予处理。甲方或获其授权的代表可就本合同的任何问题向乙方发出书面</w:t>
      </w:r>
      <w:r>
        <w:rPr>
          <w:rFonts w:hint="eastAsia" w:ascii="宋体" w:hAnsi="宋体" w:cs="宋体"/>
          <w:b w:val="0"/>
          <w:bCs w:val="0"/>
          <w:i w:val="0"/>
          <w:color w:val="auto"/>
          <w:sz w:val="24"/>
          <w:szCs w:val="24"/>
          <w:highlight w:val="none"/>
          <w:lang w:eastAsia="zh-CN"/>
        </w:rPr>
        <w:t>通知</w:t>
      </w:r>
      <w:r>
        <w:rPr>
          <w:rFonts w:hint="eastAsia" w:ascii="宋体" w:hAnsi="宋体" w:eastAsia="宋体" w:cs="宋体"/>
          <w:b w:val="0"/>
          <w:bCs w:val="0"/>
          <w:i w:val="0"/>
          <w:color w:val="auto"/>
          <w:sz w:val="24"/>
          <w:szCs w:val="24"/>
          <w:highlight w:val="none"/>
        </w:rPr>
        <w:t>。乙方须立刻执行甲方发出的</w:t>
      </w:r>
      <w:r>
        <w:rPr>
          <w:rFonts w:hint="eastAsia" w:ascii="宋体" w:hAnsi="宋体" w:cs="宋体"/>
          <w:b w:val="0"/>
          <w:bCs w:val="0"/>
          <w:i w:val="0"/>
          <w:color w:val="auto"/>
          <w:sz w:val="24"/>
          <w:szCs w:val="24"/>
          <w:highlight w:val="none"/>
          <w:lang w:eastAsia="zh-CN"/>
        </w:rPr>
        <w:t>通知</w:t>
      </w:r>
      <w:r>
        <w:rPr>
          <w:rFonts w:hint="eastAsia" w:ascii="宋体" w:hAnsi="宋体" w:eastAsia="宋体" w:cs="宋体"/>
          <w:b w:val="0"/>
          <w:bCs w:val="0"/>
          <w:i w:val="0"/>
          <w:color w:val="auto"/>
          <w:sz w:val="24"/>
          <w:szCs w:val="24"/>
          <w:highlight w:val="none"/>
        </w:rPr>
        <w:t>。若在收到甲方催促执行已发</w:t>
      </w:r>
      <w:r>
        <w:rPr>
          <w:rFonts w:hint="eastAsia" w:ascii="宋体" w:hAnsi="宋体" w:cs="宋体"/>
          <w:b w:val="0"/>
          <w:bCs w:val="0"/>
          <w:i w:val="0"/>
          <w:color w:val="auto"/>
          <w:sz w:val="24"/>
          <w:szCs w:val="24"/>
          <w:highlight w:val="none"/>
          <w:lang w:eastAsia="zh-CN"/>
        </w:rPr>
        <w:t>通知</w:t>
      </w:r>
      <w:r>
        <w:rPr>
          <w:rFonts w:hint="eastAsia" w:ascii="宋体" w:hAnsi="宋体" w:eastAsia="宋体" w:cs="宋体"/>
          <w:b w:val="0"/>
          <w:bCs w:val="0"/>
          <w:i w:val="0"/>
          <w:color w:val="auto"/>
          <w:sz w:val="24"/>
          <w:szCs w:val="24"/>
          <w:highlight w:val="none"/>
        </w:rPr>
        <w:t>的书面通知后三日之内，乙方仍未执行，甲方可另聘第三人执行该</w:t>
      </w:r>
      <w:r>
        <w:rPr>
          <w:rFonts w:hint="eastAsia" w:ascii="宋体" w:hAnsi="宋体" w:cs="宋体"/>
          <w:b w:val="0"/>
          <w:bCs w:val="0"/>
          <w:i w:val="0"/>
          <w:color w:val="auto"/>
          <w:sz w:val="24"/>
          <w:szCs w:val="24"/>
          <w:highlight w:val="none"/>
          <w:lang w:eastAsia="zh-CN"/>
        </w:rPr>
        <w:t>通知</w:t>
      </w:r>
      <w:r>
        <w:rPr>
          <w:rFonts w:hint="eastAsia" w:ascii="宋体" w:hAnsi="宋体" w:eastAsia="宋体" w:cs="宋体"/>
          <w:b w:val="0"/>
          <w:bCs w:val="0"/>
          <w:i w:val="0"/>
          <w:color w:val="auto"/>
          <w:sz w:val="24"/>
          <w:szCs w:val="24"/>
          <w:highlight w:val="none"/>
        </w:rPr>
        <w:t>所要求的工作，并将有关费用作为债务向乙方追讨，或从本合同应付或将付款项中扣除。</w:t>
      </w:r>
    </w:p>
    <w:p w14:paraId="713247CB">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甲方在任何时候可以向乙方发出书面</w:t>
      </w:r>
      <w:r>
        <w:rPr>
          <w:rFonts w:hint="eastAsia" w:ascii="宋体" w:hAnsi="宋体" w:cs="宋体"/>
          <w:b w:val="0"/>
          <w:bCs w:val="0"/>
          <w:i w:val="0"/>
          <w:color w:val="auto"/>
          <w:sz w:val="24"/>
          <w:szCs w:val="24"/>
          <w:highlight w:val="none"/>
          <w:lang w:val="en-US" w:eastAsia="zh-CN"/>
        </w:rPr>
        <w:t>通知</w:t>
      </w:r>
      <w:r>
        <w:rPr>
          <w:rFonts w:hint="eastAsia" w:ascii="宋体" w:hAnsi="宋体" w:eastAsia="宋体" w:cs="宋体"/>
          <w:b w:val="0"/>
          <w:bCs w:val="0"/>
          <w:i w:val="0"/>
          <w:color w:val="auto"/>
          <w:sz w:val="24"/>
          <w:szCs w:val="24"/>
          <w:highlight w:val="none"/>
        </w:rPr>
        <w:t>，在合同总体范围内提出变更。若上述任何变更导致了乙方履行本合同项下任何部分义务的费用或所需时间的增减，应对合同总金额和/或项目进度进行合理的调整同时相应地修改合同。乙方必须在接到甲方的变更</w:t>
      </w:r>
      <w:r>
        <w:rPr>
          <w:rFonts w:hint="eastAsia" w:ascii="宋体" w:hAnsi="宋体" w:cs="宋体"/>
          <w:b w:val="0"/>
          <w:bCs w:val="0"/>
          <w:i w:val="0"/>
          <w:color w:val="auto"/>
          <w:sz w:val="24"/>
          <w:szCs w:val="24"/>
          <w:highlight w:val="none"/>
          <w:lang w:eastAsia="zh-CN"/>
        </w:rPr>
        <w:t>通知</w:t>
      </w:r>
      <w:r>
        <w:rPr>
          <w:rFonts w:hint="eastAsia" w:ascii="宋体" w:hAnsi="宋体" w:eastAsia="宋体" w:cs="宋体"/>
          <w:b w:val="0"/>
          <w:bCs w:val="0"/>
          <w:i w:val="0"/>
          <w:color w:val="auto"/>
          <w:sz w:val="24"/>
          <w:szCs w:val="24"/>
          <w:highlight w:val="none"/>
        </w:rPr>
        <w:t>后三日内根据本条款提出调整的要求。如乙方未能在上述期限内提供调整的要求，或者如果甲方经与乙方协商，在合理时间内不同意合同总金额的增减，调整交付期和/或对合同的其他修改等，甲方有权决定项目变更是否实施。</w:t>
      </w:r>
    </w:p>
    <w:p w14:paraId="632C998F">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当甲方认定乙方项目服务人员不按项目服务合同履行其职责，或专业能力、管理能力、责任心较差，不能有效与甲方配合并履行其项目服务义务，或与第三人串通给甲方造成经济损失的，甲方有权要求乙方更换项目服务专业人员，如对甲方造成实际损失的，甲方有权解除合同并要求乙方承担相应的赔偿责任。</w:t>
      </w:r>
    </w:p>
    <w:p w14:paraId="5F75048F">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甲方有权同意或不同意乙方因自身工作需要而更换合同约定的项目服务人员的要求。</w:t>
      </w:r>
    </w:p>
    <w:p w14:paraId="7626E08A">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甲方有义务在适当的范围内公开考核结果。甲方有权对项目资金使用情况进行监督、检查，并要求乙方提供相关资料。</w:t>
      </w:r>
    </w:p>
    <w:p w14:paraId="0615BF9C">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7</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因突发情况，甲方需调动乙方人员和器材设备时，乙方应服从安排，予以配合。</w:t>
      </w:r>
    </w:p>
    <w:p w14:paraId="1DDADAF9">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8</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甲方承诺按本合同第一条约定的时间完成文稿定稿并移交乙方。甲方需全程配合考古专家组、文物主管部门审稿，并及时反馈修改意见。</w:t>
      </w:r>
    </w:p>
    <w:p w14:paraId="63675B38">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9</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甲方提出的常规篇章调整、图文校对修改，乙方应免费配合。</w:t>
      </w:r>
    </w:p>
    <w:p w14:paraId="1C221432">
      <w:pPr>
        <w:keepNext w:val="0"/>
        <w:keepLines w:val="0"/>
        <w:pageBreakBefore w:val="0"/>
        <w:widowControl/>
        <w:numPr>
          <w:ilvl w:val="0"/>
          <w:numId w:val="0"/>
        </w:numPr>
        <w:shd w:val="clear" w:color="auto" w:fill="FFFFFF"/>
        <w:kinsoku/>
        <w:wordWrap/>
        <w:overflowPunct/>
        <w:topLinePunct w:val="0"/>
        <w:autoSpaceDE/>
        <w:autoSpaceDN/>
        <w:bidi w:val="0"/>
        <w:snapToGrid/>
        <w:spacing w:before="0" w:line="240" w:lineRule="auto"/>
        <w:jc w:val="center"/>
        <w:textAlignment w:val="auto"/>
        <w:outlineLvl w:val="9"/>
        <w:rPr>
          <w:rFonts w:hint="eastAsia" w:ascii="宋体" w:hAnsi="宋体" w:eastAsia="宋体" w:cs="宋体"/>
          <w:b/>
          <w:bCs/>
          <w:i w:val="0"/>
          <w:color w:val="auto"/>
          <w:kern w:val="2"/>
          <w:sz w:val="24"/>
          <w:szCs w:val="24"/>
          <w:highlight w:val="none"/>
          <w:lang w:val="en-US" w:eastAsia="zh-CN" w:bidi="ar-SA"/>
        </w:rPr>
      </w:pPr>
      <w:r>
        <w:rPr>
          <w:rFonts w:hint="eastAsia" w:ascii="宋体" w:hAnsi="宋体" w:eastAsia="宋体" w:cs="宋体"/>
          <w:b/>
          <w:bCs/>
          <w:i w:val="0"/>
          <w:color w:val="auto"/>
          <w:kern w:val="2"/>
          <w:sz w:val="24"/>
          <w:szCs w:val="24"/>
          <w:highlight w:val="none"/>
          <w:lang w:val="en-US" w:eastAsia="zh-CN" w:bidi="ar-SA"/>
        </w:rPr>
        <w:t>第五条乙方权利与义务</w:t>
      </w:r>
    </w:p>
    <w:p w14:paraId="0D0C6243">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i w:val="0"/>
          <w:color w:val="auto"/>
          <w:sz w:val="24"/>
          <w:szCs w:val="24"/>
          <w:highlight w:val="none"/>
        </w:rPr>
        <w:t>乙方应严格遵守相关法律法规的规定，保证在合法且不侵犯他人利益的原则下进行项目服务活动，并对其所进行的服务活动负责。</w:t>
      </w:r>
    </w:p>
    <w:p w14:paraId="475BC629">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w:t>
      </w:r>
      <w:r>
        <w:rPr>
          <w:rFonts w:hint="eastAsia" w:ascii="宋体" w:hAnsi="宋体" w:eastAsia="宋体" w:cs="宋体"/>
          <w:b w:val="0"/>
          <w:bCs w:val="0"/>
          <w:i w:val="0"/>
          <w:color w:val="auto"/>
          <w:sz w:val="24"/>
          <w:szCs w:val="24"/>
          <w:highlight w:val="none"/>
        </w:rPr>
        <w:t>乙方应按本合同所述的时间、服务范围和内容，依据本合同约定及行业通常接受的技术惯例和专业机构承认的标准，高效地履行自己的义务。</w:t>
      </w:r>
    </w:p>
    <w:p w14:paraId="6B3ECF8A">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乙方应对本项目所提供服务结果的可靠性、准确性、全面性向甲方负责，由于服务结果的可靠性、准确性、全面性不足而导致甲方工作偏差或失误，乙方应承担相应法律责任。</w:t>
      </w:r>
    </w:p>
    <w:p w14:paraId="319725E2">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乙方在履行合同期间，履行本合同所确定的项目团队负责人及主要专业技术、管理人员等必须是本项目的实际操作者，未经甲方同意，乙方不得调换或撤离上述人员。</w:t>
      </w:r>
    </w:p>
    <w:p w14:paraId="1F9CE1B8">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乙方须严格按照国家出版管理规定，配合合作出版社完成初审、复审、终审三级编审，并开展三次全面校对及专项校对（含文字、数据、图文对应、拓片/铭文释文等），逐页修正错误，留存全套审稿记录与修改台账。</w:t>
      </w:r>
    </w:p>
    <w:p w14:paraId="4BF401E2">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乙方负责所有打样样书、废页、废书的统一回收销毁，不得私自留存外流，并在履约结束后向甲方提交书面销毁说明。</w:t>
      </w:r>
    </w:p>
    <w:p w14:paraId="50B4F312">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7</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乙方负责办理图书选题申报、出版社三审备案，办理国家正规ISBN书号、CIP数据核字号，完成属地新闻出版部门、文物主管部门报审、备案、抽检配合工作，出具全套出版合规文件。</w:t>
      </w:r>
    </w:p>
    <w:p w14:paraId="4AEA833F">
      <w:pPr>
        <w:keepNext w:val="0"/>
        <w:keepLines w:val="0"/>
        <w:pageBreakBefore w:val="0"/>
        <w:widowControl/>
        <w:numPr>
          <w:ilvl w:val="0"/>
          <w:numId w:val="0"/>
        </w:numPr>
        <w:shd w:val="clear" w:color="auto" w:fill="FFFFFF"/>
        <w:kinsoku/>
        <w:wordWrap/>
        <w:overflowPunct/>
        <w:topLinePunct w:val="0"/>
        <w:autoSpaceDE/>
        <w:autoSpaceDN/>
        <w:bidi w:val="0"/>
        <w:snapToGrid/>
        <w:spacing w:before="0" w:line="240" w:lineRule="auto"/>
        <w:jc w:val="center"/>
        <w:textAlignment w:val="auto"/>
        <w:outlineLvl w:val="9"/>
        <w:rPr>
          <w:rFonts w:hint="eastAsia" w:ascii="宋体" w:hAnsi="宋体" w:eastAsia="宋体" w:cs="宋体"/>
          <w:b/>
          <w:bCs/>
          <w:i w:val="0"/>
          <w:color w:val="auto"/>
          <w:kern w:val="2"/>
          <w:sz w:val="24"/>
          <w:szCs w:val="24"/>
          <w:highlight w:val="none"/>
          <w:lang w:val="en-US" w:eastAsia="zh-CN" w:bidi="ar-SA"/>
        </w:rPr>
      </w:pPr>
      <w:r>
        <w:rPr>
          <w:rFonts w:hint="eastAsia" w:ascii="宋体" w:hAnsi="宋体" w:eastAsia="宋体" w:cs="宋体"/>
          <w:b/>
          <w:bCs/>
          <w:i w:val="0"/>
          <w:color w:val="auto"/>
          <w:kern w:val="2"/>
          <w:sz w:val="24"/>
          <w:szCs w:val="24"/>
          <w:highlight w:val="none"/>
          <w:lang w:val="en-US" w:eastAsia="zh-CN" w:bidi="ar-SA"/>
        </w:rPr>
        <w:t>第六条权利保证</w:t>
      </w:r>
    </w:p>
    <w:p w14:paraId="1B8D87C7">
      <w:pPr>
        <w:pStyle w:val="20"/>
        <w:keepNext w:val="0"/>
        <w:keepLines w:val="0"/>
        <w:pageBreakBefore w:val="0"/>
        <w:widowControl/>
        <w:kinsoku/>
        <w:wordWrap/>
        <w:overflowPunct/>
        <w:topLinePunct w:val="0"/>
        <w:autoSpaceDE/>
        <w:autoSpaceDN/>
        <w:bidi w:val="0"/>
        <w:snapToGrid/>
        <w:spacing w:before="0" w:after="0" w:afterLines="0" w:line="240" w:lineRule="auto"/>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（一）知识产权</w:t>
      </w:r>
    </w:p>
    <w:p w14:paraId="34D9D19B">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i w:val="0"/>
          <w:color w:val="auto"/>
          <w:sz w:val="24"/>
          <w:szCs w:val="24"/>
          <w:highlight w:val="none"/>
        </w:rPr>
        <w:t>在项目期间内，乙方根据本合同要求提交的项目文件及服务成果（包括但不限于阶段性、过程性成果等相关资料）的知识产权（此处及以下所称“知识产权”的类型，包括但不限于专利权、著作权、商标权、商业秘密），归甲方所有，乙方就此不做任何的权利保留。本项目全部文稿、图片、拓片、排版源文件、设计稿件、成书等全部内容的著作权、知识产权永久归甲方所有；乙方仅拥有本项目履约必要使用权限。</w:t>
      </w:r>
    </w:p>
    <w:p w14:paraId="1B4633B2">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w:t>
      </w:r>
      <w:r>
        <w:rPr>
          <w:rFonts w:hint="eastAsia" w:ascii="宋体" w:hAnsi="宋体" w:eastAsia="宋体" w:cs="宋体"/>
          <w:b w:val="0"/>
          <w:bCs w:val="0"/>
          <w:i w:val="0"/>
          <w:color w:val="auto"/>
          <w:sz w:val="24"/>
          <w:szCs w:val="24"/>
          <w:highlight w:val="none"/>
        </w:rPr>
        <w:t>乙方在项目中使用的由甲方提供的所有资料，包括但不限于本合同及附件、采购文件、设计文件及说明等资料的所有权和知识产权均属于甲方。乙方为履行本合同所形成的深化设计成果及其他任何成果的完整知识产权均属甲方所有。</w:t>
      </w:r>
    </w:p>
    <w:p w14:paraId="331CB720">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乙方应确保其按照本合同要求所提交的服务成果及为完成项目而实施的其它工作不侵犯第三人的知识产权。如因上述原因，第三方向甲方提起投诉、申诉或诉讼等，乙方有义务协助甲方处理相关投诉、申诉或诉讼，由此引起的法律责任全部由乙方承担。</w:t>
      </w:r>
    </w:p>
    <w:p w14:paraId="68475476">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履约完毕须完整移交全部源文件资料（包括但不限于未转曲的InDesign排版源文件及完整链接图包、未压缩的高清图片TIFF/JPEG源文件、矢量线图源文件等），乙方不得私自留存、备份、转载、商用。</w:t>
      </w:r>
    </w:p>
    <w:p w14:paraId="42554A3A">
      <w:pPr>
        <w:pStyle w:val="20"/>
        <w:keepNext w:val="0"/>
        <w:keepLines w:val="0"/>
        <w:pageBreakBefore w:val="0"/>
        <w:widowControl/>
        <w:kinsoku/>
        <w:wordWrap/>
        <w:overflowPunct/>
        <w:topLinePunct w:val="0"/>
        <w:autoSpaceDE/>
        <w:autoSpaceDN/>
        <w:bidi w:val="0"/>
        <w:snapToGrid/>
        <w:spacing w:before="0" w:after="0" w:afterLines="0" w:line="240" w:lineRule="auto"/>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（二）</w:t>
      </w:r>
      <w:r>
        <w:rPr>
          <w:rFonts w:hint="eastAsia" w:ascii="宋体" w:hAnsi="宋体" w:eastAsia="宋体" w:cs="宋体"/>
          <w:b w:val="0"/>
          <w:bCs w:val="0"/>
          <w:color w:val="auto"/>
          <w:sz w:val="24"/>
          <w:szCs w:val="24"/>
          <w:highlight w:val="none"/>
        </w:rPr>
        <w:t>所有权</w:t>
      </w:r>
    </w:p>
    <w:p w14:paraId="47377D0B">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在项目期间内，乙方根据本合同要求提交的项目文件及服务成果（包括但不限于阶段性、过程性成果等相关资料）的所有权，归甲方所有。除公安机关、人民法院、人民检察院及其他相关政府部门依据相关法律法规查阅外，乙方需要查阅的，应向甲方提出申请，经甲方同意后可以查阅与其有关的材料（应对乙方保密的材料除外）。未经甲方同意，乙方不得擅自将服务成果对外展示或使用，否则，甲方有权解除合同。</w:t>
      </w:r>
    </w:p>
    <w:p w14:paraId="7732A8D3">
      <w:pPr>
        <w:keepNext w:val="0"/>
        <w:keepLines w:val="0"/>
        <w:pageBreakBefore w:val="0"/>
        <w:widowControl/>
        <w:numPr>
          <w:ilvl w:val="0"/>
          <w:numId w:val="0"/>
        </w:numPr>
        <w:shd w:val="clear" w:color="auto" w:fill="FFFFFF"/>
        <w:kinsoku/>
        <w:wordWrap/>
        <w:overflowPunct/>
        <w:topLinePunct w:val="0"/>
        <w:autoSpaceDE/>
        <w:autoSpaceDN/>
        <w:bidi w:val="0"/>
        <w:snapToGrid/>
        <w:spacing w:before="0" w:line="240" w:lineRule="auto"/>
        <w:jc w:val="center"/>
        <w:textAlignment w:val="auto"/>
        <w:outlineLvl w:val="9"/>
        <w:rPr>
          <w:rFonts w:hint="eastAsia" w:ascii="宋体" w:hAnsi="宋体" w:eastAsia="宋体" w:cs="宋体"/>
          <w:b/>
          <w:bCs/>
          <w:i w:val="0"/>
          <w:color w:val="auto"/>
          <w:kern w:val="2"/>
          <w:sz w:val="24"/>
          <w:szCs w:val="24"/>
          <w:highlight w:val="none"/>
          <w:lang w:val="en-US" w:eastAsia="zh-CN" w:bidi="ar-SA"/>
        </w:rPr>
      </w:pPr>
      <w:r>
        <w:rPr>
          <w:rFonts w:hint="eastAsia" w:ascii="宋体" w:hAnsi="宋体" w:eastAsia="宋体" w:cs="宋体"/>
          <w:b/>
          <w:bCs/>
          <w:i w:val="0"/>
          <w:color w:val="auto"/>
          <w:kern w:val="2"/>
          <w:sz w:val="24"/>
          <w:szCs w:val="24"/>
          <w:highlight w:val="none"/>
          <w:lang w:val="en-US" w:eastAsia="zh-CN" w:bidi="ar-SA"/>
        </w:rPr>
        <w:t>第七条质量保证</w:t>
      </w:r>
    </w:p>
    <w:p w14:paraId="4410F123">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i w:val="0"/>
          <w:color w:val="auto"/>
          <w:sz w:val="24"/>
          <w:szCs w:val="24"/>
          <w:highlight w:val="none"/>
        </w:rPr>
        <w:t>采购文件规定、</w:t>
      </w:r>
      <w:r>
        <w:rPr>
          <w:rFonts w:hint="eastAsia" w:ascii="宋体" w:hAnsi="宋体" w:eastAsia="宋体" w:cs="宋体"/>
          <w:b w:val="0"/>
          <w:bCs w:val="0"/>
          <w:i w:val="0"/>
          <w:color w:val="auto"/>
          <w:sz w:val="24"/>
          <w:szCs w:val="24"/>
          <w:highlight w:val="none"/>
          <w:lang w:eastAsia="zh-CN"/>
        </w:rPr>
        <w:t>响应文件</w:t>
      </w:r>
      <w:r>
        <w:rPr>
          <w:rFonts w:hint="eastAsia" w:ascii="宋体" w:hAnsi="宋体" w:eastAsia="宋体" w:cs="宋体"/>
          <w:b w:val="0"/>
          <w:bCs w:val="0"/>
          <w:i w:val="0"/>
          <w:color w:val="auto"/>
          <w:sz w:val="24"/>
          <w:szCs w:val="24"/>
          <w:highlight w:val="none"/>
        </w:rPr>
        <w:t>承诺的规范及要求明确的，乙方所交付项目的质量标准应当符合采购文件规定、</w:t>
      </w:r>
      <w:r>
        <w:rPr>
          <w:rFonts w:hint="eastAsia" w:ascii="宋体" w:hAnsi="宋体" w:eastAsia="宋体" w:cs="宋体"/>
          <w:b w:val="0"/>
          <w:bCs w:val="0"/>
          <w:i w:val="0"/>
          <w:color w:val="auto"/>
          <w:sz w:val="24"/>
          <w:szCs w:val="24"/>
          <w:highlight w:val="none"/>
          <w:lang w:eastAsia="zh-CN"/>
        </w:rPr>
        <w:t>响应文件</w:t>
      </w:r>
      <w:r>
        <w:rPr>
          <w:rFonts w:hint="eastAsia" w:ascii="宋体" w:hAnsi="宋体" w:eastAsia="宋体" w:cs="宋体"/>
          <w:b w:val="0"/>
          <w:bCs w:val="0"/>
          <w:i w:val="0"/>
          <w:color w:val="auto"/>
          <w:sz w:val="24"/>
          <w:szCs w:val="24"/>
          <w:highlight w:val="none"/>
        </w:rPr>
        <w:t>承诺的规范及要求，且不应低于国家强制性标准。</w:t>
      </w:r>
    </w:p>
    <w:p w14:paraId="25BB0F1A">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w:t>
      </w:r>
      <w:r>
        <w:rPr>
          <w:rFonts w:hint="eastAsia" w:ascii="宋体" w:hAnsi="宋体" w:eastAsia="宋体" w:cs="宋体"/>
          <w:b w:val="0"/>
          <w:bCs w:val="0"/>
          <w:i w:val="0"/>
          <w:color w:val="auto"/>
          <w:sz w:val="24"/>
          <w:szCs w:val="24"/>
          <w:highlight w:val="none"/>
        </w:rPr>
        <w:t>采购文件规定、</w:t>
      </w:r>
      <w:r>
        <w:rPr>
          <w:rFonts w:hint="eastAsia" w:ascii="宋体" w:hAnsi="宋体" w:eastAsia="宋体" w:cs="宋体"/>
          <w:b w:val="0"/>
          <w:bCs w:val="0"/>
          <w:i w:val="0"/>
          <w:color w:val="auto"/>
          <w:sz w:val="24"/>
          <w:szCs w:val="24"/>
          <w:highlight w:val="none"/>
          <w:lang w:eastAsia="zh-CN"/>
        </w:rPr>
        <w:t>响应文件</w:t>
      </w:r>
      <w:r>
        <w:rPr>
          <w:rFonts w:hint="eastAsia" w:ascii="宋体" w:hAnsi="宋体" w:eastAsia="宋体" w:cs="宋体"/>
          <w:b w:val="0"/>
          <w:bCs w:val="0"/>
          <w:i w:val="0"/>
          <w:color w:val="auto"/>
          <w:sz w:val="24"/>
          <w:szCs w:val="24"/>
          <w:highlight w:val="none"/>
        </w:rPr>
        <w:t>承诺的规范及要求不明确的，乙方所交付项目的质量标准应按照最新的国家、地方标准或行业标准或企业标准确定，均有标准的以</w:t>
      </w:r>
      <w:r>
        <w:rPr>
          <w:rFonts w:hint="eastAsia" w:ascii="宋体" w:hAnsi="宋体" w:cs="宋体"/>
          <w:b w:val="0"/>
          <w:bCs w:val="0"/>
          <w:i w:val="0"/>
          <w:color w:val="auto"/>
          <w:sz w:val="24"/>
          <w:szCs w:val="24"/>
          <w:highlight w:val="none"/>
          <w:lang w:val="en-US" w:eastAsia="zh-CN"/>
        </w:rPr>
        <w:t>国家标准</w:t>
      </w:r>
      <w:r>
        <w:rPr>
          <w:rFonts w:hint="eastAsia" w:ascii="宋体" w:hAnsi="宋体" w:eastAsia="宋体" w:cs="宋体"/>
          <w:b w:val="0"/>
          <w:bCs w:val="0"/>
          <w:i w:val="0"/>
          <w:color w:val="auto"/>
          <w:sz w:val="24"/>
          <w:szCs w:val="24"/>
          <w:highlight w:val="none"/>
        </w:rPr>
        <w:t>为准。没有国家、地方标准、行业标准或企业标准的，按照通常标准或者符合合同目的的特定标准确定。</w:t>
      </w:r>
    </w:p>
    <w:p w14:paraId="52701F78">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乙方所交付的项目还应符合国家和江苏省有关安全、环保、卫生之规定。</w:t>
      </w:r>
    </w:p>
    <w:p w14:paraId="12374ED8">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如乙方未能按合同规定履行其质量保证责任和义务，甲方有权委托其他单位来实施，甲方因寻求替代履行所支付的费用和损失，有权向乙方提出赔偿，或从本合同应付或将付款项中扣除。</w:t>
      </w:r>
    </w:p>
    <w:p w14:paraId="5FBCF23C">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成品图书质保期不少于24个月（自验收合格之日起计算）。质保期内出现脱页、开胶、印刷瑕疵、装订缺陷等质量问题，乙方须在24小时内响应，无条件免费更换、返工。</w:t>
      </w:r>
    </w:p>
    <w:p w14:paraId="278A98EE">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批量质量问题处置：在质保期内，如批量图书中有15%以上（含15%） 的图书存在相同质量问题（如批量开胶、缺页、印刷错误等），经甲方确认或双方认可的第三方检测机构认定后，乙方应召回全部问题图书，甲方有权要求更换全部图书或退货，由此产生的一切费用由乙方负担。</w:t>
      </w:r>
    </w:p>
    <w:p w14:paraId="32592BAE">
      <w:pPr>
        <w:keepNext w:val="0"/>
        <w:keepLines w:val="0"/>
        <w:pageBreakBefore w:val="0"/>
        <w:widowControl/>
        <w:numPr>
          <w:ilvl w:val="0"/>
          <w:numId w:val="0"/>
        </w:numPr>
        <w:shd w:val="clear" w:color="auto" w:fill="FFFFFF"/>
        <w:kinsoku/>
        <w:wordWrap/>
        <w:overflowPunct/>
        <w:topLinePunct w:val="0"/>
        <w:autoSpaceDE/>
        <w:autoSpaceDN/>
        <w:bidi w:val="0"/>
        <w:snapToGrid/>
        <w:spacing w:before="0" w:line="240" w:lineRule="auto"/>
        <w:jc w:val="center"/>
        <w:textAlignment w:val="auto"/>
        <w:outlineLvl w:val="9"/>
        <w:rPr>
          <w:rFonts w:hint="eastAsia" w:ascii="宋体" w:hAnsi="宋体" w:eastAsia="宋体" w:cs="宋体"/>
          <w:b/>
          <w:bCs/>
          <w:i w:val="0"/>
          <w:color w:val="auto"/>
          <w:kern w:val="2"/>
          <w:sz w:val="24"/>
          <w:szCs w:val="24"/>
          <w:highlight w:val="none"/>
          <w:lang w:val="en-US" w:eastAsia="zh-CN" w:bidi="ar-SA"/>
        </w:rPr>
      </w:pPr>
      <w:r>
        <w:rPr>
          <w:rFonts w:hint="eastAsia" w:ascii="宋体" w:hAnsi="宋体" w:eastAsia="宋体" w:cs="宋体"/>
          <w:b/>
          <w:bCs/>
          <w:i w:val="0"/>
          <w:color w:val="auto"/>
          <w:kern w:val="2"/>
          <w:sz w:val="24"/>
          <w:szCs w:val="24"/>
          <w:highlight w:val="none"/>
          <w:lang w:val="en-US" w:eastAsia="zh-CN" w:bidi="ar-SA"/>
        </w:rPr>
        <w:t>第八条交付使用和验收</w:t>
      </w:r>
    </w:p>
    <w:p w14:paraId="12EE186A">
      <w:pPr>
        <w:pStyle w:val="20"/>
        <w:keepNext w:val="0"/>
        <w:keepLines w:val="0"/>
        <w:pageBreakBefore w:val="0"/>
        <w:widowControl/>
        <w:numPr>
          <w:ilvl w:val="0"/>
          <w:numId w:val="9"/>
        </w:numPr>
        <w:kinsoku/>
        <w:wordWrap/>
        <w:overflowPunct/>
        <w:topLinePunct w:val="0"/>
        <w:autoSpaceDE/>
        <w:autoSpaceDN/>
        <w:bidi w:val="0"/>
        <w:snapToGrid/>
        <w:spacing w:before="0" w:after="0" w:afterLines="0" w:line="460" w:lineRule="exact"/>
        <w:ind w:left="0" w:leftChars="0"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项目报告：乙方根据项目执行进度提供中期报告、结项报告，报告内容需体现项目实施内容，并提供有效佐证材料。</w:t>
      </w:r>
    </w:p>
    <w:p w14:paraId="2195CA01">
      <w:pPr>
        <w:pStyle w:val="20"/>
        <w:keepNext w:val="0"/>
        <w:keepLines w:val="0"/>
        <w:pageBreakBefore w:val="0"/>
        <w:widowControl/>
        <w:numPr>
          <w:ilvl w:val="0"/>
          <w:numId w:val="9"/>
        </w:numPr>
        <w:kinsoku/>
        <w:wordWrap/>
        <w:overflowPunct/>
        <w:topLinePunct w:val="0"/>
        <w:autoSpaceDE/>
        <w:autoSpaceDN/>
        <w:bidi w:val="0"/>
        <w:snapToGrid/>
        <w:spacing w:before="0" w:after="0" w:afterLines="0" w:line="460" w:lineRule="exact"/>
        <w:ind w:left="0" w:leftChars="0"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交付清单：</w:t>
      </w:r>
    </w:p>
    <w:p w14:paraId="296B48C7">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i w:val="0"/>
          <w:color w:val="auto"/>
          <w:sz w:val="24"/>
          <w:szCs w:val="24"/>
          <w:highlight w:val="none"/>
        </w:rPr>
        <w:t>成品图书：综合卷、封泥卷、石刻卷各700套，总计4900卷册（按甲方约定数量及地点交付）；</w:t>
      </w:r>
    </w:p>
    <w:p w14:paraId="47F38A0A">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w:t>
      </w:r>
      <w:r>
        <w:rPr>
          <w:rFonts w:hint="eastAsia" w:ascii="宋体" w:hAnsi="宋体" w:eastAsia="宋体" w:cs="宋体"/>
          <w:b w:val="0"/>
          <w:bCs w:val="0"/>
          <w:i w:val="0"/>
          <w:color w:val="auto"/>
          <w:sz w:val="24"/>
          <w:szCs w:val="24"/>
          <w:highlight w:val="none"/>
        </w:rPr>
        <w:t>电子档案：全书高清PDF定稿、可编辑源文件、图片源文件、线图源文件、审稿记录及校对台账；</w:t>
      </w:r>
    </w:p>
    <w:p w14:paraId="17AD3EFE">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纸质档案：全套审稿单、校对单、设计稿、打样稿、出版审批资料、印制质检报告、出厂合格证、出版合同复印件、书号证明、CIP备案页、出版社资质复印件。</w:t>
      </w:r>
    </w:p>
    <w:p w14:paraId="58D37390">
      <w:pPr>
        <w:pStyle w:val="20"/>
        <w:keepNext w:val="0"/>
        <w:keepLines w:val="0"/>
        <w:pageBreakBefore w:val="0"/>
        <w:widowControl/>
        <w:numPr>
          <w:ilvl w:val="0"/>
          <w:numId w:val="9"/>
        </w:numPr>
        <w:kinsoku/>
        <w:wordWrap/>
        <w:overflowPunct/>
        <w:topLinePunct w:val="0"/>
        <w:autoSpaceDE/>
        <w:autoSpaceDN/>
        <w:bidi w:val="0"/>
        <w:snapToGrid/>
        <w:spacing w:before="0" w:after="0" w:afterLines="0" w:line="460" w:lineRule="exact"/>
        <w:ind w:left="0" w:leftChars="0"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验收：</w:t>
      </w:r>
    </w:p>
    <w:p w14:paraId="705405A6">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甲方应当根据国家、行业验收标准，以及合同约定验收方案，明确验收时间、方式、程序和内容等事项，组成验收小组，在收到乙方项目验收申请之日起7个工作日内，对本项目进行实质性验收（验收申请有明显不当的除外）。乙方应对提交的服务成果作出全面检查和整理，并列出清单，作为甲方验收和使用技术条件依据，清单应随提交的服务成果交给甲方。</w:t>
      </w:r>
    </w:p>
    <w:p w14:paraId="45AC0325">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甲方自行组织或视情邀请相关专家或国家认可的质量检测机构参加验收，乙方提供的服务不符合采购文件、乙方</w:t>
      </w:r>
      <w:r>
        <w:rPr>
          <w:rFonts w:hint="eastAsia" w:ascii="宋体" w:hAnsi="宋体" w:eastAsia="宋体" w:cs="宋体"/>
          <w:b w:val="0"/>
          <w:bCs w:val="0"/>
          <w:i w:val="0"/>
          <w:color w:val="auto"/>
          <w:sz w:val="24"/>
          <w:szCs w:val="24"/>
          <w:highlight w:val="none"/>
          <w:lang w:eastAsia="zh-CN"/>
        </w:rPr>
        <w:t>响应文件</w:t>
      </w:r>
      <w:r>
        <w:rPr>
          <w:rFonts w:hint="eastAsia" w:ascii="宋体" w:hAnsi="宋体" w:eastAsia="宋体" w:cs="宋体"/>
          <w:b w:val="0"/>
          <w:bCs w:val="0"/>
          <w:i w:val="0"/>
          <w:color w:val="auto"/>
          <w:sz w:val="24"/>
          <w:szCs w:val="24"/>
          <w:highlight w:val="none"/>
        </w:rPr>
        <w:t>及承诺等有关附件和合同规定的，甲方有权拒收，并由乙方承担验收费用等。</w:t>
      </w:r>
    </w:p>
    <w:p w14:paraId="4D73A106">
      <w:pPr>
        <w:keepNext w:val="0"/>
        <w:keepLines w:val="0"/>
        <w:pageBreakBefore w:val="0"/>
        <w:widowControl/>
        <w:numPr>
          <w:ilvl w:val="0"/>
          <w:numId w:val="0"/>
        </w:numPr>
        <w:shd w:val="clear" w:color="auto" w:fill="FFFFFF"/>
        <w:kinsoku/>
        <w:wordWrap/>
        <w:overflowPunct/>
        <w:topLinePunct w:val="0"/>
        <w:autoSpaceDE/>
        <w:autoSpaceDN/>
        <w:bidi w:val="0"/>
        <w:snapToGrid/>
        <w:spacing w:before="0" w:line="240" w:lineRule="auto"/>
        <w:jc w:val="center"/>
        <w:textAlignment w:val="auto"/>
        <w:outlineLvl w:val="9"/>
        <w:rPr>
          <w:rFonts w:hint="eastAsia" w:ascii="宋体" w:hAnsi="宋体" w:eastAsia="宋体" w:cs="宋体"/>
          <w:b/>
          <w:bCs/>
          <w:i w:val="0"/>
          <w:color w:val="auto"/>
          <w:kern w:val="2"/>
          <w:sz w:val="24"/>
          <w:szCs w:val="24"/>
          <w:highlight w:val="none"/>
          <w:lang w:val="en-US" w:eastAsia="zh-CN" w:bidi="ar-SA"/>
        </w:rPr>
      </w:pPr>
      <w:r>
        <w:rPr>
          <w:rFonts w:hint="eastAsia" w:ascii="宋体" w:hAnsi="宋体" w:eastAsia="宋体" w:cs="宋体"/>
          <w:b/>
          <w:bCs/>
          <w:i w:val="0"/>
          <w:color w:val="auto"/>
          <w:kern w:val="2"/>
          <w:sz w:val="24"/>
          <w:szCs w:val="24"/>
          <w:highlight w:val="none"/>
          <w:lang w:val="en-US" w:eastAsia="zh-CN" w:bidi="ar-SA"/>
        </w:rPr>
        <w:t>第九条履约保证金</w:t>
      </w:r>
    </w:p>
    <w:p w14:paraId="26240150">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本项目无履约保证金。</w:t>
      </w:r>
    </w:p>
    <w:p w14:paraId="0EBFE339">
      <w:pPr>
        <w:keepNext w:val="0"/>
        <w:keepLines w:val="0"/>
        <w:pageBreakBefore w:val="0"/>
        <w:widowControl/>
        <w:numPr>
          <w:ilvl w:val="0"/>
          <w:numId w:val="0"/>
        </w:numPr>
        <w:shd w:val="clear" w:color="auto" w:fill="FFFFFF"/>
        <w:kinsoku/>
        <w:wordWrap/>
        <w:overflowPunct/>
        <w:topLinePunct w:val="0"/>
        <w:autoSpaceDE/>
        <w:autoSpaceDN/>
        <w:bidi w:val="0"/>
        <w:snapToGrid/>
        <w:spacing w:before="0" w:line="240" w:lineRule="auto"/>
        <w:jc w:val="center"/>
        <w:textAlignment w:val="auto"/>
        <w:outlineLvl w:val="9"/>
        <w:rPr>
          <w:rFonts w:hint="eastAsia" w:ascii="宋体" w:hAnsi="宋体" w:eastAsia="宋体" w:cs="宋体"/>
          <w:b/>
          <w:bCs/>
          <w:i w:val="0"/>
          <w:color w:val="auto"/>
          <w:kern w:val="2"/>
          <w:sz w:val="24"/>
          <w:szCs w:val="24"/>
          <w:highlight w:val="none"/>
          <w:lang w:val="en-US" w:eastAsia="zh-CN" w:bidi="ar-SA"/>
        </w:rPr>
      </w:pPr>
      <w:r>
        <w:rPr>
          <w:rFonts w:hint="eastAsia" w:ascii="宋体" w:hAnsi="宋体" w:eastAsia="宋体" w:cs="宋体"/>
          <w:b/>
          <w:bCs/>
          <w:i w:val="0"/>
          <w:color w:val="auto"/>
          <w:kern w:val="2"/>
          <w:sz w:val="24"/>
          <w:szCs w:val="24"/>
          <w:highlight w:val="none"/>
          <w:lang w:val="en-US" w:eastAsia="zh-CN" w:bidi="ar-SA"/>
        </w:rPr>
        <w:t>第十条违约责任</w:t>
      </w:r>
    </w:p>
    <w:p w14:paraId="4E254917">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i w:val="0"/>
          <w:color w:val="auto"/>
          <w:sz w:val="24"/>
          <w:szCs w:val="24"/>
          <w:highlight w:val="none"/>
        </w:rPr>
        <w:t>甲方未按合同规定的期限向乙方支付服务费的，每逾期1日甲方向乙方支付欠款总额0.05%的违约金，但累计违约金总额不超过欠款总额的5%，因财政资金未按时拨付导致甲方迟延付款的，甲方不承担违约责任。</w:t>
      </w:r>
    </w:p>
    <w:p w14:paraId="31C4464F">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w:t>
      </w:r>
      <w:r>
        <w:rPr>
          <w:rFonts w:hint="eastAsia" w:ascii="宋体" w:hAnsi="宋体" w:eastAsia="宋体" w:cs="宋体"/>
          <w:b w:val="0"/>
          <w:bCs w:val="0"/>
          <w:i w:val="0"/>
          <w:color w:val="auto"/>
          <w:sz w:val="24"/>
          <w:szCs w:val="24"/>
          <w:highlight w:val="none"/>
        </w:rPr>
        <w:t>如乙方拒绝提供服务的，甲方有权单方解除合同，乙方还应向甲方支付合同总金额30%的违约金。</w:t>
      </w:r>
    </w:p>
    <w:p w14:paraId="41543DED">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乙方逾期交付的，每逾期一日按合同总金额的1‰支付违约金；逾期超过30日历天，甲方有权单方解除合同，乙方须退还甲方已支付全部款项，并承担合同总金额10% 的违约金，同时赔偿甲方实际经济损失。</w:t>
      </w:r>
    </w:p>
    <w:p w14:paraId="568996C8">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1）乙方所提供的服务中任何一部分不符合合同约定的，甲方有权拒收全部乙方服务内容，甲方亦有权根据实际情况拒收不符合约定部分的服务内容。无论是甲方拒收全部服务内容还是拒收不符合约定部分的服务内容，甲方均有权单方解除合同，甲方无需向乙方支付任何款项，已支付的款项（如有）乙方应予全额退还。</w:t>
      </w:r>
    </w:p>
    <w:p w14:paraId="10516729">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（2）甲方仅拒收部分服务内容的，对于该拒收的服务内容，甲方不再向乙方付费，如甲方已支付则乙方应予退还，同时，每出现一次不符合约定的服务内容，乙方应向甲方支付合同总金额1%的违约金。</w:t>
      </w:r>
    </w:p>
    <w:p w14:paraId="231AF175">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i w:val="0"/>
          <w:color w:val="auto"/>
          <w:sz w:val="24"/>
          <w:szCs w:val="24"/>
          <w:highlight w:val="none"/>
        </w:rPr>
        <w:t>（3）经甲方同意，对于不符合约定的服务内容，乙方整改后重新提供且重新提供内容符合约定的，甲方对于该部分服务内容应予付费，但针对每一整改事项，乙方应向甲方支付合同总金额1%的违约金；整改后仍不符合约定的，甲方有权拒收该部分服务内容，并根据上述第（1）（2）项约定执行。</w:t>
      </w:r>
    </w:p>
    <w:p w14:paraId="2AFB76FE">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如乙方在本合同履行过程中出现任何一项违约情形，甲方均有权扣除乙方已缴纳的履约保证金（如有），并将乙方应承担的违约责任、侵权责任等全部责任金额在后续应付款中直接扣减，履约保证金和后续应付款不足以支付本合同约定的违约责任或者给甲方造成损失的赔偿责任的，乙方应根据甲方要求另行向甲方支付。</w:t>
      </w:r>
    </w:p>
    <w:p w14:paraId="3AEBF9FF">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甲方依法或者依照本合同约定解除合同的，解除合同的通知自到达乙方时生效，乙方应退还全部已付合同款（如有），并向甲方支付按合同总金额10%的违约金（其他条款针对违约金有特别约定的从其约定），乙方履约保证金（如有）不予退还。</w:t>
      </w:r>
    </w:p>
    <w:p w14:paraId="3B38BB58">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乙方在承担上述一项或多项违约责任后，仍应继续履行合同规定的义务（甲方解除合同的除外）。甲方未能及时追究乙方的任何一项违约责任并不表明甲方放弃追究乙方该项或其他违约责任。</w:t>
      </w:r>
    </w:p>
    <w:p w14:paraId="1EA2CAFC">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8</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乙方响应属虚假承诺，或经权威部门检测提供的服务不能满足采购文件要求，或是由于乙方的过错造成合同无法继续履行的，乙方履约保证金（如有）不予退还外，还应向甲方支付不少于合同总金额30%的违约金。</w:t>
      </w:r>
    </w:p>
    <w:p w14:paraId="205250F0">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9</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甲乙双方任何一方违反本合同约定的，除应承担上述违约责任外，违约方还应当赔偿因此给守约方造成的一切直接和间接损失，包括但不限于守约方的实际损失、预期可得利益损失以及为实现债权而产生的费用（包括但不限于诉讼费、保全费、保全担保费、律师费、公证费、鉴定费、差旅费）。</w:t>
      </w:r>
    </w:p>
    <w:p w14:paraId="4A859C72">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10</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因乙方泄密、著作权侵权、重大批量质量缺陷、擅自转包分包等根本性违约的，乙方按合同总金额20% 向甲方支付违约金，并赔偿由此造成的全部实际损失。</w:t>
      </w:r>
    </w:p>
    <w:p w14:paraId="63CFE28B">
      <w:pPr>
        <w:keepNext w:val="0"/>
        <w:keepLines w:val="0"/>
        <w:pageBreakBefore w:val="0"/>
        <w:widowControl/>
        <w:numPr>
          <w:ilvl w:val="0"/>
          <w:numId w:val="0"/>
        </w:numPr>
        <w:shd w:val="clear" w:color="auto" w:fill="FFFFFF"/>
        <w:kinsoku/>
        <w:wordWrap/>
        <w:overflowPunct/>
        <w:topLinePunct w:val="0"/>
        <w:autoSpaceDE/>
        <w:autoSpaceDN/>
        <w:bidi w:val="0"/>
        <w:snapToGrid/>
        <w:spacing w:before="0" w:line="240" w:lineRule="auto"/>
        <w:jc w:val="center"/>
        <w:textAlignment w:val="auto"/>
        <w:outlineLvl w:val="9"/>
        <w:rPr>
          <w:rFonts w:hint="eastAsia" w:ascii="宋体" w:hAnsi="宋体" w:eastAsia="宋体" w:cs="宋体"/>
          <w:b/>
          <w:bCs/>
          <w:i w:val="0"/>
          <w:color w:val="auto"/>
          <w:kern w:val="2"/>
          <w:sz w:val="24"/>
          <w:szCs w:val="24"/>
          <w:highlight w:val="none"/>
          <w:lang w:val="en-US" w:eastAsia="zh-CN" w:bidi="ar-SA"/>
        </w:rPr>
      </w:pPr>
      <w:r>
        <w:rPr>
          <w:rFonts w:hint="eastAsia" w:ascii="宋体" w:hAnsi="宋体" w:eastAsia="宋体" w:cs="宋体"/>
          <w:b/>
          <w:bCs/>
          <w:i w:val="0"/>
          <w:color w:val="auto"/>
          <w:kern w:val="2"/>
          <w:sz w:val="24"/>
          <w:szCs w:val="24"/>
          <w:highlight w:val="none"/>
          <w:lang w:val="en-US" w:eastAsia="zh-CN" w:bidi="ar-SA"/>
        </w:rPr>
        <w:t>第十一条保密</w:t>
      </w:r>
    </w:p>
    <w:p w14:paraId="1A7DC969">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i w:val="0"/>
          <w:color w:val="auto"/>
          <w:sz w:val="24"/>
          <w:szCs w:val="24"/>
          <w:highlight w:val="none"/>
        </w:rPr>
        <w:t>甲乙双方在履行本合同过程中，所提供、接触、知悉的对方相关仍处于不为公众所知悉或尚未主动对外公开的信息（包括但不限于有关人员、技术、经营、管理等方面的各类信息），均为本条款项下双方所应恪守保密义务所针对的对象。</w:t>
      </w:r>
    </w:p>
    <w:p w14:paraId="54E860BA">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w:t>
      </w:r>
      <w:r>
        <w:rPr>
          <w:rFonts w:hint="eastAsia" w:ascii="宋体" w:hAnsi="宋体" w:eastAsia="宋体" w:cs="宋体"/>
          <w:b w:val="0"/>
          <w:bCs w:val="0"/>
          <w:i w:val="0"/>
          <w:color w:val="auto"/>
          <w:sz w:val="24"/>
          <w:szCs w:val="24"/>
          <w:highlight w:val="none"/>
        </w:rPr>
        <w:t>乙方在项目中使用的由甲方提供的所有资料，包括但不限于本合同及附件、采购文件、设计文件及说明等资料，在未事先征得甲方书面同意的情况下，乙方及其任何人员不得发表、引用或向第三方提供或泄漏与项目、本合同或甲方的业务活动有关的资料，以及在合同履行过程中已经形成的制作成果或文字资料。即使乙方并非为了营利目的，如广告宣传、介绍业绩等而采用与项目、本合同或甲方的业务活动有关的文字、图像、模型等，均必须事先经甲方书面同意。</w:t>
      </w:r>
    </w:p>
    <w:p w14:paraId="22961739">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乙方为履行本合同所形成的任何成果，乙方负有保密义务。</w:t>
      </w:r>
    </w:p>
    <w:p w14:paraId="015BAD3E">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甲乙双方在合同中专辟本保密条款，视为双方已就相关需保密信息采取了必要、适当的保密措施。在履行本合同的过程中，除须配合司法调查的情形外，在未征得对方书面同意之前，甲乙双方均负有保密义务，不得向第三方泄露、披露、透露或促使第三方获得前述应当保密的信息。</w:t>
      </w:r>
    </w:p>
    <w:p w14:paraId="51509FB9">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违反保密义务的，视为严重的根本违约行为，除应按合同约定承担有关违约责任外，还应当承担由此导致的行政乃至刑事法律责任，并应承担损失赔偿责任。</w:t>
      </w:r>
    </w:p>
    <w:p w14:paraId="30ACAF24">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保密的内容包括但不限于书面、电子数据等承载保密信息的各种形式。</w:t>
      </w:r>
    </w:p>
    <w:p w14:paraId="516C775B">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7</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前述保密义务条款为独立条款，不因本协议的解除、终止而失效。</w:t>
      </w:r>
    </w:p>
    <w:p w14:paraId="0F30EA0E">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8</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乙方对甲方提供的考古原始资料、未公开研究成果、出土文物影像、墓葬数据等负有严格保密义务。项目作废资料、残次品图书统一由乙方回收销毁，留存销毁台账备查。未经甲方书面同意，不得向任何第三方泄露或用于本合同目的以外的用途。</w:t>
      </w:r>
    </w:p>
    <w:p w14:paraId="72DF9524">
      <w:pPr>
        <w:keepNext w:val="0"/>
        <w:keepLines w:val="0"/>
        <w:pageBreakBefore w:val="0"/>
        <w:widowControl/>
        <w:numPr>
          <w:ilvl w:val="0"/>
          <w:numId w:val="0"/>
        </w:numPr>
        <w:shd w:val="clear" w:color="auto" w:fill="FFFFFF"/>
        <w:kinsoku/>
        <w:wordWrap/>
        <w:overflowPunct/>
        <w:topLinePunct w:val="0"/>
        <w:autoSpaceDE/>
        <w:autoSpaceDN/>
        <w:bidi w:val="0"/>
        <w:snapToGrid/>
        <w:spacing w:before="0" w:line="240" w:lineRule="auto"/>
        <w:jc w:val="center"/>
        <w:textAlignment w:val="auto"/>
        <w:outlineLvl w:val="9"/>
        <w:rPr>
          <w:rFonts w:hint="eastAsia" w:ascii="宋体" w:hAnsi="宋体" w:eastAsia="宋体" w:cs="宋体"/>
          <w:b/>
          <w:bCs/>
          <w:i w:val="0"/>
          <w:color w:val="auto"/>
          <w:kern w:val="2"/>
          <w:sz w:val="24"/>
          <w:szCs w:val="24"/>
          <w:highlight w:val="none"/>
          <w:lang w:val="en-US" w:eastAsia="zh-CN" w:bidi="ar-SA"/>
        </w:rPr>
      </w:pPr>
      <w:r>
        <w:rPr>
          <w:rFonts w:hint="eastAsia" w:ascii="宋体" w:hAnsi="宋体" w:eastAsia="宋体" w:cs="宋体"/>
          <w:b/>
          <w:bCs/>
          <w:i w:val="0"/>
          <w:color w:val="auto"/>
          <w:kern w:val="2"/>
          <w:sz w:val="24"/>
          <w:szCs w:val="24"/>
          <w:highlight w:val="none"/>
          <w:lang w:val="en-US" w:eastAsia="zh-CN" w:bidi="ar-SA"/>
        </w:rPr>
        <w:t>第十二条合同的变更和终止</w:t>
      </w:r>
    </w:p>
    <w:p w14:paraId="15DFF51F">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i w:val="0"/>
          <w:color w:val="auto"/>
          <w:sz w:val="24"/>
          <w:szCs w:val="24"/>
          <w:highlight w:val="none"/>
        </w:rPr>
        <w:t>除《中华人民共和国政府采购法》第49条、第50条第二款规定的情形外，本合同一经签订，甲乙双方不得擅自变更、中止或终止合同。</w:t>
      </w:r>
    </w:p>
    <w:p w14:paraId="369B2BED">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w:t>
      </w:r>
      <w:r>
        <w:rPr>
          <w:rFonts w:hint="eastAsia" w:ascii="宋体" w:hAnsi="宋体" w:eastAsia="宋体" w:cs="宋体"/>
          <w:b w:val="0"/>
          <w:bCs w:val="0"/>
          <w:i w:val="0"/>
          <w:color w:val="auto"/>
          <w:sz w:val="24"/>
          <w:szCs w:val="24"/>
          <w:highlight w:val="none"/>
        </w:rPr>
        <w:t>除发生法律规定的不能预见、不能避免并不能克服的客观情况外，甲乙双方不得放弃或拒绝履行合同。</w:t>
      </w:r>
    </w:p>
    <w:p w14:paraId="32D94D22">
      <w:pPr>
        <w:keepNext w:val="0"/>
        <w:keepLines w:val="0"/>
        <w:pageBreakBefore w:val="0"/>
        <w:widowControl/>
        <w:numPr>
          <w:ilvl w:val="0"/>
          <w:numId w:val="0"/>
        </w:numPr>
        <w:shd w:val="clear" w:color="auto" w:fill="FFFFFF"/>
        <w:kinsoku/>
        <w:wordWrap/>
        <w:overflowPunct/>
        <w:topLinePunct w:val="0"/>
        <w:autoSpaceDE/>
        <w:autoSpaceDN/>
        <w:bidi w:val="0"/>
        <w:snapToGrid/>
        <w:spacing w:before="0" w:line="240" w:lineRule="auto"/>
        <w:jc w:val="center"/>
        <w:textAlignment w:val="auto"/>
        <w:outlineLvl w:val="9"/>
        <w:rPr>
          <w:rFonts w:hint="eastAsia" w:ascii="宋体" w:hAnsi="宋体" w:eastAsia="宋体" w:cs="宋体"/>
          <w:b/>
          <w:bCs/>
          <w:i w:val="0"/>
          <w:color w:val="auto"/>
          <w:kern w:val="2"/>
          <w:sz w:val="24"/>
          <w:szCs w:val="24"/>
          <w:highlight w:val="none"/>
          <w:lang w:val="en-US" w:eastAsia="zh-CN" w:bidi="ar-SA"/>
        </w:rPr>
      </w:pPr>
      <w:r>
        <w:rPr>
          <w:rFonts w:hint="eastAsia" w:ascii="宋体" w:hAnsi="宋体" w:eastAsia="宋体" w:cs="宋体"/>
          <w:b/>
          <w:bCs/>
          <w:i w:val="0"/>
          <w:color w:val="auto"/>
          <w:kern w:val="2"/>
          <w:sz w:val="24"/>
          <w:szCs w:val="24"/>
          <w:highlight w:val="none"/>
          <w:lang w:val="en-US" w:eastAsia="zh-CN" w:bidi="ar-SA"/>
        </w:rPr>
        <w:t>第十三条合同的转让</w:t>
      </w:r>
    </w:p>
    <w:p w14:paraId="40FAD6DA">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i w:val="0"/>
          <w:color w:val="auto"/>
          <w:sz w:val="24"/>
          <w:szCs w:val="24"/>
          <w:highlight w:val="none"/>
        </w:rPr>
        <w:t>乙方不得将本项目转包或分包，否则甲方有权单方解除本合同。</w:t>
      </w:r>
    </w:p>
    <w:p w14:paraId="7BFBD1D5">
      <w:pPr>
        <w:keepNext w:val="0"/>
        <w:keepLines w:val="0"/>
        <w:pageBreakBefore w:val="0"/>
        <w:widowControl/>
        <w:numPr>
          <w:ilvl w:val="0"/>
          <w:numId w:val="0"/>
        </w:numPr>
        <w:shd w:val="clear" w:color="auto" w:fill="FFFFFF"/>
        <w:kinsoku/>
        <w:wordWrap/>
        <w:overflowPunct/>
        <w:topLinePunct w:val="0"/>
        <w:autoSpaceDE/>
        <w:autoSpaceDN/>
        <w:bidi w:val="0"/>
        <w:snapToGrid/>
        <w:spacing w:before="0" w:line="240" w:lineRule="auto"/>
        <w:jc w:val="center"/>
        <w:textAlignment w:val="auto"/>
        <w:outlineLvl w:val="9"/>
        <w:rPr>
          <w:rFonts w:hint="eastAsia" w:ascii="宋体" w:hAnsi="宋体" w:eastAsia="宋体" w:cs="宋体"/>
          <w:b/>
          <w:bCs/>
          <w:i w:val="0"/>
          <w:color w:val="auto"/>
          <w:kern w:val="2"/>
          <w:sz w:val="24"/>
          <w:szCs w:val="24"/>
          <w:highlight w:val="none"/>
          <w:lang w:val="en-US" w:eastAsia="zh-CN" w:bidi="ar-SA"/>
        </w:rPr>
      </w:pPr>
      <w:r>
        <w:rPr>
          <w:rFonts w:hint="eastAsia" w:ascii="宋体" w:hAnsi="宋体" w:eastAsia="宋体" w:cs="宋体"/>
          <w:b/>
          <w:bCs/>
          <w:i w:val="0"/>
          <w:color w:val="auto"/>
          <w:kern w:val="2"/>
          <w:sz w:val="24"/>
          <w:szCs w:val="24"/>
          <w:highlight w:val="none"/>
          <w:lang w:val="en-US" w:eastAsia="zh-CN" w:bidi="ar-SA"/>
        </w:rPr>
        <w:t>第十四条不可抗力</w:t>
      </w:r>
    </w:p>
    <w:p w14:paraId="69CB5B85">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i w:val="0"/>
          <w:color w:val="auto"/>
          <w:sz w:val="24"/>
          <w:szCs w:val="24"/>
          <w:highlight w:val="none"/>
        </w:rPr>
        <w:t>如果合同各方因不可抗力而导致合同实施延误或不能履行合同义务的话，不应该承担误期赔偿或不能履行合同义务的责任。</w:t>
      </w:r>
    </w:p>
    <w:p w14:paraId="6D650000">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w:t>
      </w:r>
      <w:r>
        <w:rPr>
          <w:rFonts w:hint="eastAsia" w:ascii="宋体" w:hAnsi="宋体" w:eastAsia="宋体" w:cs="宋体"/>
          <w:b w:val="0"/>
          <w:bCs w:val="0"/>
          <w:i w:val="0"/>
          <w:color w:val="auto"/>
          <w:sz w:val="24"/>
          <w:szCs w:val="24"/>
          <w:highlight w:val="none"/>
        </w:rPr>
        <w:t>在不可抗力事件发生后，当事方应尽快以书面形式将不可抗力的情况和原因通知对方，并在15日内将有关当局出具的不可抗力证明文件发送给另一方确认。合同各方应尽实际可能继续履行合同义务，并积极寻求采取合理的方案履行不受不可抗力影响的其他事项。合同各方应通过友好协商在合理的时间内达成进一步履行合同的协议。</w:t>
      </w:r>
    </w:p>
    <w:p w14:paraId="27DE3B89">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当不可抗力情形终止或消除后，受影响的一方应尽快以电话、传真或邮政EMS通知对方。</w:t>
      </w:r>
    </w:p>
    <w:p w14:paraId="1B699C90">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受不可抗力影响方应尽一切努力减少因不可抗力而产生的损失，否则应对扩大的损失承担责任。</w:t>
      </w:r>
    </w:p>
    <w:p w14:paraId="73E9BADD">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如不可抗力延续超过45日以上（含本数）时，双方应通过友好协商解决本合同的履行问题，并应尽快达成协议。</w:t>
      </w:r>
    </w:p>
    <w:p w14:paraId="0BAD1607">
      <w:pPr>
        <w:keepNext w:val="0"/>
        <w:keepLines w:val="0"/>
        <w:pageBreakBefore w:val="0"/>
        <w:widowControl/>
        <w:numPr>
          <w:ilvl w:val="0"/>
          <w:numId w:val="0"/>
        </w:numPr>
        <w:shd w:val="clear" w:color="auto" w:fill="FFFFFF"/>
        <w:kinsoku/>
        <w:wordWrap/>
        <w:overflowPunct/>
        <w:topLinePunct w:val="0"/>
        <w:autoSpaceDE/>
        <w:autoSpaceDN/>
        <w:bidi w:val="0"/>
        <w:snapToGrid/>
        <w:spacing w:before="0" w:line="240" w:lineRule="auto"/>
        <w:jc w:val="center"/>
        <w:textAlignment w:val="auto"/>
        <w:outlineLvl w:val="9"/>
        <w:rPr>
          <w:rFonts w:hint="eastAsia" w:ascii="宋体" w:hAnsi="宋体" w:eastAsia="宋体" w:cs="宋体"/>
          <w:b/>
          <w:bCs/>
          <w:i w:val="0"/>
          <w:color w:val="auto"/>
          <w:kern w:val="2"/>
          <w:sz w:val="24"/>
          <w:szCs w:val="24"/>
          <w:highlight w:val="none"/>
          <w:lang w:val="en-US" w:eastAsia="zh-CN" w:bidi="ar-SA"/>
        </w:rPr>
      </w:pPr>
      <w:r>
        <w:rPr>
          <w:rFonts w:hint="eastAsia" w:ascii="宋体" w:hAnsi="宋体" w:eastAsia="宋体" w:cs="宋体"/>
          <w:b/>
          <w:bCs/>
          <w:i w:val="0"/>
          <w:color w:val="auto"/>
          <w:kern w:val="2"/>
          <w:sz w:val="24"/>
          <w:szCs w:val="24"/>
          <w:highlight w:val="none"/>
          <w:lang w:val="en-US" w:eastAsia="zh-CN" w:bidi="ar-SA"/>
        </w:rPr>
        <w:t>第十五条争议的解决</w:t>
      </w:r>
    </w:p>
    <w:p w14:paraId="1A8597CA">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因履行本合同引起的或与本合同有关的争议，甲、乙双方应首先通过友好协商解决，如果协商不能解决争议，则采取以下第（1）种方式解决争议：</w:t>
      </w:r>
    </w:p>
    <w:p w14:paraId="629AAC51">
      <w:pPr>
        <w:pStyle w:val="20"/>
        <w:keepNext w:val="0"/>
        <w:keepLines w:val="0"/>
        <w:pageBreakBefore w:val="0"/>
        <w:widowControl/>
        <w:numPr>
          <w:ilvl w:val="0"/>
          <w:numId w:val="10"/>
        </w:numPr>
        <w:kinsoku/>
        <w:wordWrap/>
        <w:overflowPunct/>
        <w:topLinePunct w:val="0"/>
        <w:autoSpaceDE/>
        <w:autoSpaceDN/>
        <w:bidi w:val="0"/>
        <w:snapToGrid/>
        <w:spacing w:before="0" w:after="0" w:afterLines="0" w:line="460" w:lineRule="exact"/>
        <w:ind w:left="0" w:leftChars="0"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向甲方所在地有管辖权的人民法院提起诉讼；</w:t>
      </w:r>
    </w:p>
    <w:p w14:paraId="67CE4541">
      <w:pPr>
        <w:pStyle w:val="20"/>
        <w:keepNext w:val="0"/>
        <w:keepLines w:val="0"/>
        <w:pageBreakBefore w:val="0"/>
        <w:widowControl/>
        <w:numPr>
          <w:ilvl w:val="0"/>
          <w:numId w:val="10"/>
        </w:numPr>
        <w:kinsoku/>
        <w:wordWrap/>
        <w:overflowPunct/>
        <w:topLinePunct w:val="0"/>
        <w:autoSpaceDE/>
        <w:autoSpaceDN/>
        <w:bidi w:val="0"/>
        <w:snapToGrid/>
        <w:spacing w:before="0" w:after="0" w:afterLines="0" w:line="460" w:lineRule="exact"/>
        <w:ind w:left="0" w:leftChars="0"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向徐州仲裁委员会按其仲裁规则申请仲裁。</w:t>
      </w:r>
    </w:p>
    <w:p w14:paraId="6BABD3C4">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在争议解决期间，本合同应继续履行。</w:t>
      </w:r>
    </w:p>
    <w:p w14:paraId="26372894">
      <w:pPr>
        <w:keepNext w:val="0"/>
        <w:keepLines w:val="0"/>
        <w:pageBreakBefore w:val="0"/>
        <w:widowControl/>
        <w:numPr>
          <w:ilvl w:val="0"/>
          <w:numId w:val="0"/>
        </w:numPr>
        <w:shd w:val="clear" w:color="auto" w:fill="FFFFFF"/>
        <w:kinsoku/>
        <w:wordWrap/>
        <w:overflowPunct/>
        <w:topLinePunct w:val="0"/>
        <w:autoSpaceDE/>
        <w:autoSpaceDN/>
        <w:bidi w:val="0"/>
        <w:snapToGrid/>
        <w:spacing w:before="0" w:line="240" w:lineRule="auto"/>
        <w:jc w:val="center"/>
        <w:textAlignment w:val="auto"/>
        <w:outlineLvl w:val="9"/>
        <w:rPr>
          <w:rFonts w:hint="eastAsia" w:ascii="宋体" w:hAnsi="宋体" w:eastAsia="宋体" w:cs="宋体"/>
          <w:b/>
          <w:bCs/>
          <w:i w:val="0"/>
          <w:color w:val="auto"/>
          <w:kern w:val="2"/>
          <w:sz w:val="24"/>
          <w:szCs w:val="24"/>
          <w:highlight w:val="none"/>
          <w:lang w:val="en-US" w:eastAsia="zh-CN" w:bidi="ar-SA"/>
        </w:rPr>
      </w:pPr>
      <w:r>
        <w:rPr>
          <w:rFonts w:hint="eastAsia" w:ascii="宋体" w:hAnsi="宋体" w:eastAsia="宋体" w:cs="宋体"/>
          <w:b/>
          <w:bCs/>
          <w:i w:val="0"/>
          <w:color w:val="auto"/>
          <w:kern w:val="2"/>
          <w:sz w:val="24"/>
          <w:szCs w:val="24"/>
          <w:highlight w:val="none"/>
          <w:lang w:val="en-US" w:eastAsia="zh-CN" w:bidi="ar-SA"/>
        </w:rPr>
        <w:t>第十六条诚实信用</w:t>
      </w:r>
    </w:p>
    <w:p w14:paraId="044378E1">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乙方应诚实信用，严格按照采购文件要求和承诺履行合同，不向甲方进行商业贿赂或者提供不正当利益。</w:t>
      </w:r>
    </w:p>
    <w:p w14:paraId="52913249">
      <w:pPr>
        <w:keepNext w:val="0"/>
        <w:keepLines w:val="0"/>
        <w:pageBreakBefore w:val="0"/>
        <w:widowControl/>
        <w:numPr>
          <w:ilvl w:val="0"/>
          <w:numId w:val="0"/>
        </w:numPr>
        <w:shd w:val="clear" w:color="auto" w:fill="FFFFFF"/>
        <w:kinsoku/>
        <w:wordWrap/>
        <w:overflowPunct/>
        <w:topLinePunct w:val="0"/>
        <w:autoSpaceDE/>
        <w:autoSpaceDN/>
        <w:bidi w:val="0"/>
        <w:snapToGrid/>
        <w:spacing w:before="0" w:line="240" w:lineRule="auto"/>
        <w:jc w:val="center"/>
        <w:textAlignment w:val="auto"/>
        <w:outlineLvl w:val="9"/>
        <w:rPr>
          <w:rFonts w:hint="eastAsia" w:ascii="宋体" w:hAnsi="宋体" w:eastAsia="宋体" w:cs="宋体"/>
          <w:b/>
          <w:bCs/>
          <w:i w:val="0"/>
          <w:color w:val="auto"/>
          <w:kern w:val="2"/>
          <w:sz w:val="24"/>
          <w:szCs w:val="24"/>
          <w:highlight w:val="none"/>
          <w:lang w:val="en-US" w:eastAsia="zh-CN" w:bidi="ar-SA"/>
        </w:rPr>
      </w:pPr>
      <w:r>
        <w:rPr>
          <w:rFonts w:hint="eastAsia" w:ascii="宋体" w:hAnsi="宋体" w:eastAsia="宋体" w:cs="宋体"/>
          <w:b/>
          <w:bCs/>
          <w:i w:val="0"/>
          <w:color w:val="auto"/>
          <w:kern w:val="2"/>
          <w:sz w:val="24"/>
          <w:szCs w:val="24"/>
          <w:highlight w:val="none"/>
          <w:lang w:val="en-US" w:eastAsia="zh-CN" w:bidi="ar-SA"/>
        </w:rPr>
        <w:t>第十七条合同生效及其他</w:t>
      </w:r>
    </w:p>
    <w:p w14:paraId="556AE55E">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i w:val="0"/>
          <w:color w:val="auto"/>
          <w:sz w:val="24"/>
          <w:szCs w:val="24"/>
          <w:highlight w:val="none"/>
        </w:rPr>
        <w:t>本合同自双方加盖公章之日起生效。</w:t>
      </w:r>
    </w:p>
    <w:p w14:paraId="3E3C0328">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w:t>
      </w:r>
      <w:r>
        <w:rPr>
          <w:rFonts w:hint="eastAsia" w:ascii="宋体" w:hAnsi="宋体" w:eastAsia="宋体" w:cs="宋体"/>
          <w:b w:val="0"/>
          <w:bCs w:val="0"/>
          <w:i w:val="0"/>
          <w:color w:val="auto"/>
          <w:sz w:val="24"/>
          <w:szCs w:val="24"/>
          <w:highlight w:val="none"/>
        </w:rPr>
        <w:t>本合同一式</w:t>
      </w:r>
      <w:r>
        <w:rPr>
          <w:rFonts w:hint="eastAsia" w:ascii="宋体" w:hAnsi="宋体" w:eastAsia="宋体" w:cs="宋体"/>
          <w:b w:val="0"/>
          <w:bCs w:val="0"/>
          <w:i w:val="0"/>
          <w:color w:val="auto"/>
          <w:sz w:val="24"/>
          <w:szCs w:val="24"/>
          <w:highlight w:val="none"/>
          <w:u w:val="single"/>
        </w:rPr>
        <w:t>四</w:t>
      </w:r>
      <w:r>
        <w:rPr>
          <w:rFonts w:hint="eastAsia" w:ascii="宋体" w:hAnsi="宋体" w:eastAsia="宋体" w:cs="宋体"/>
          <w:b w:val="0"/>
          <w:bCs w:val="0"/>
          <w:i w:val="0"/>
          <w:color w:val="auto"/>
          <w:sz w:val="24"/>
          <w:szCs w:val="24"/>
          <w:highlight w:val="none"/>
        </w:rPr>
        <w:t>份，甲乙双方各执</w:t>
      </w:r>
      <w:r>
        <w:rPr>
          <w:rFonts w:hint="eastAsia" w:ascii="宋体" w:hAnsi="宋体" w:eastAsia="宋体" w:cs="宋体"/>
          <w:b w:val="0"/>
          <w:bCs w:val="0"/>
          <w:i w:val="0"/>
          <w:color w:val="auto"/>
          <w:sz w:val="24"/>
          <w:szCs w:val="24"/>
          <w:highlight w:val="none"/>
          <w:u w:val="single"/>
        </w:rPr>
        <w:t>二</w:t>
      </w:r>
      <w:r>
        <w:rPr>
          <w:rFonts w:hint="eastAsia" w:ascii="宋体" w:hAnsi="宋体" w:eastAsia="宋体" w:cs="宋体"/>
          <w:b w:val="0"/>
          <w:bCs w:val="0"/>
          <w:i w:val="0"/>
          <w:color w:val="auto"/>
          <w:sz w:val="24"/>
          <w:szCs w:val="24"/>
          <w:highlight w:val="none"/>
        </w:rPr>
        <w:t>份，具有同等法律效力。</w:t>
      </w:r>
    </w:p>
    <w:p w14:paraId="770D21AA">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本合同应按照中华人民共和国的现行法律进行解释。</w:t>
      </w:r>
    </w:p>
    <w:p w14:paraId="257C55C4">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olor w:val="auto"/>
          <w:sz w:val="24"/>
          <w:szCs w:val="24"/>
          <w:highlight w:val="none"/>
        </w:rPr>
        <w:t>本合同载明的地址适用于本合同履行及其后可能的诉讼程序，寄送至该地址的书面通知、函件及诉讼文书等，受送达方必须签收，并在签收后三个自然日内将回执寄送给送达方。如受送达方未签收，则留置之日或者邮件退回之日即为送达之日。地址变更的，应当及时书面通知对方，并由对方出具收到该书面通知的回执，变更自回执载明的收到之日起生效，否则变更无效。合同未载明通讯地址的，以住所地为联系地址。</w:t>
      </w:r>
    </w:p>
    <w:p w14:paraId="4D20D169">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p>
    <w:p w14:paraId="5D95AE6A">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甲方：徐州市文物保护和考古研究所</w:t>
      </w:r>
    </w:p>
    <w:p w14:paraId="0E1D665C">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地址：江苏省徐州市泉山区湖东路5-1号</w:t>
      </w:r>
    </w:p>
    <w:p w14:paraId="061A063E">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法定代表人或授权代表（签字</w:t>
      </w:r>
      <w:r>
        <w:rPr>
          <w:rFonts w:hint="eastAsia" w:ascii="宋体" w:hAnsi="宋体" w:cs="宋体"/>
          <w:b w:val="0"/>
          <w:bCs w:val="0"/>
          <w:i w:val="0"/>
          <w:color w:val="auto"/>
          <w:sz w:val="24"/>
          <w:szCs w:val="24"/>
          <w:highlight w:val="none"/>
          <w:lang w:val="en-US" w:eastAsia="zh-CN"/>
        </w:rPr>
        <w:t>或</w:t>
      </w:r>
      <w:r>
        <w:rPr>
          <w:rFonts w:hint="eastAsia" w:ascii="宋体" w:hAnsi="宋体" w:eastAsia="宋体" w:cs="宋体"/>
          <w:b w:val="0"/>
          <w:bCs w:val="0"/>
          <w:i w:val="0"/>
          <w:color w:val="auto"/>
          <w:sz w:val="24"/>
          <w:szCs w:val="24"/>
          <w:highlight w:val="none"/>
        </w:rPr>
        <w:t>盖章）：</w:t>
      </w:r>
      <w:r>
        <w:rPr>
          <w:rFonts w:hint="eastAsia" w:ascii="宋体" w:hAnsi="宋体" w:cs="宋体"/>
          <w:b w:val="0"/>
          <w:bCs w:val="0"/>
          <w:i w:val="0"/>
          <w:color w:val="auto"/>
          <w:sz w:val="24"/>
          <w:szCs w:val="24"/>
          <w:highlight w:val="none"/>
          <w:u w:val="single"/>
          <w:lang w:val="en-US" w:eastAsia="zh-CN"/>
        </w:rPr>
        <w:t xml:space="preserve">            </w:t>
      </w:r>
    </w:p>
    <w:p w14:paraId="6DBF10BC">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纳税人识别号：______</w:t>
      </w:r>
      <w:r>
        <w:rPr>
          <w:rFonts w:hint="eastAsia" w:ascii="宋体" w:hAnsi="宋体" w:cs="宋体"/>
          <w:b w:val="0"/>
          <w:bCs w:val="0"/>
          <w:i w:val="0"/>
          <w:color w:val="auto"/>
          <w:sz w:val="24"/>
          <w:szCs w:val="24"/>
          <w:highlight w:val="none"/>
          <w:u w:val="single"/>
          <w:lang w:val="en-US" w:eastAsia="zh-CN"/>
        </w:rPr>
        <w:t xml:space="preserve">              </w:t>
      </w:r>
      <w:r>
        <w:rPr>
          <w:rFonts w:hint="eastAsia" w:ascii="宋体" w:hAnsi="宋体" w:cs="宋体"/>
          <w:b w:val="0"/>
          <w:bCs w:val="0"/>
          <w:i w:val="0"/>
          <w:color w:val="auto"/>
          <w:sz w:val="24"/>
          <w:szCs w:val="24"/>
          <w:highlight w:val="none"/>
          <w:u w:val="none"/>
          <w:lang w:val="en-US" w:eastAsia="zh-CN"/>
        </w:rPr>
        <w:t xml:space="preserve">             </w:t>
      </w:r>
    </w:p>
    <w:p w14:paraId="6919138B">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开户行及账号：______</w:t>
      </w:r>
    </w:p>
    <w:p w14:paraId="680E9E92">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联系电话：0516-83806011</w:t>
      </w:r>
    </w:p>
    <w:p w14:paraId="48DAC2F0">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签订日期：______年______月______日</w:t>
      </w:r>
    </w:p>
    <w:p w14:paraId="049F47B3">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p>
    <w:p w14:paraId="3A35785E">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乙方：______</w:t>
      </w:r>
    </w:p>
    <w:p w14:paraId="022AFAEA">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地址：______</w:t>
      </w:r>
    </w:p>
    <w:p w14:paraId="22123D03">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法定代表人或授权代表（签字</w:t>
      </w:r>
      <w:r>
        <w:rPr>
          <w:rFonts w:hint="eastAsia" w:ascii="宋体" w:hAnsi="宋体" w:cs="宋体"/>
          <w:b w:val="0"/>
          <w:bCs w:val="0"/>
          <w:i w:val="0"/>
          <w:color w:val="auto"/>
          <w:sz w:val="24"/>
          <w:szCs w:val="24"/>
          <w:highlight w:val="none"/>
          <w:lang w:val="en-US" w:eastAsia="zh-CN"/>
        </w:rPr>
        <w:t>或</w:t>
      </w:r>
      <w:r>
        <w:rPr>
          <w:rFonts w:hint="eastAsia" w:ascii="宋体" w:hAnsi="宋体" w:eastAsia="宋体" w:cs="宋体"/>
          <w:b w:val="0"/>
          <w:bCs w:val="0"/>
          <w:i w:val="0"/>
          <w:color w:val="auto"/>
          <w:sz w:val="24"/>
          <w:szCs w:val="24"/>
          <w:highlight w:val="none"/>
        </w:rPr>
        <w:t>盖章）：______</w:t>
      </w:r>
    </w:p>
    <w:p w14:paraId="1C5FE00E">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纳税人识别号：______</w:t>
      </w:r>
    </w:p>
    <w:p w14:paraId="0C88C8C9">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开户行及账号：______</w:t>
      </w:r>
    </w:p>
    <w:p w14:paraId="0E50BA51">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联系电话：______</w:t>
      </w:r>
    </w:p>
    <w:p w14:paraId="73BE5D78">
      <w:pPr>
        <w:pStyle w:val="20"/>
        <w:keepNext w:val="0"/>
        <w:keepLines w:val="0"/>
        <w:pageBreakBefore w:val="0"/>
        <w:widowControl/>
        <w:kinsoku/>
        <w:wordWrap/>
        <w:overflowPunct/>
        <w:topLinePunct w:val="0"/>
        <w:autoSpaceDE/>
        <w:autoSpaceDN/>
        <w:bidi w:val="0"/>
        <w:snapToGrid/>
        <w:spacing w:before="0" w:after="0" w:afterLines="0" w:line="460" w:lineRule="exact"/>
        <w:ind w:firstLine="480" w:firstLineChars="200"/>
        <w:jc w:val="left"/>
        <w:textAlignment w:val="auto"/>
        <w:outlineLvl w:val="9"/>
        <w:rPr>
          <w:rFonts w:hint="eastAsia" w:ascii="宋体" w:hAnsi="宋体" w:eastAsia="宋体" w:cs="宋体"/>
          <w:b w:val="0"/>
          <w:bCs w:val="0"/>
          <w:i w:val="0"/>
          <w:color w:val="auto"/>
          <w:sz w:val="24"/>
          <w:szCs w:val="24"/>
          <w:highlight w:val="none"/>
        </w:rPr>
      </w:pPr>
      <w:r>
        <w:rPr>
          <w:rFonts w:hint="eastAsia" w:ascii="宋体" w:hAnsi="宋体" w:eastAsia="宋体" w:cs="宋体"/>
          <w:b w:val="0"/>
          <w:bCs w:val="0"/>
          <w:i w:val="0"/>
          <w:color w:val="auto"/>
          <w:sz w:val="24"/>
          <w:szCs w:val="24"/>
          <w:highlight w:val="none"/>
        </w:rPr>
        <w:t>签订日期：______年______月______日</w:t>
      </w:r>
    </w:p>
    <w:p w14:paraId="1B4A2A0E">
      <w:pPr>
        <w:keepNext w:val="0"/>
        <w:keepLines w:val="0"/>
        <w:pageBreakBefore w:val="0"/>
        <w:kinsoku/>
        <w:wordWrap/>
        <w:overflowPunct/>
        <w:topLinePunct w:val="0"/>
        <w:autoSpaceDE/>
        <w:autoSpaceDN/>
        <w:bidi w:val="0"/>
        <w:snapToGrid/>
        <w:spacing w:line="460" w:lineRule="exact"/>
        <w:ind w:firstLine="420" w:firstLineChars="200"/>
        <w:jc w:val="left"/>
        <w:textAlignment w:val="auto"/>
        <w:outlineLvl w:val="9"/>
        <w:rPr>
          <w:rFonts w:hint="eastAsia" w:ascii="宋体" w:hAnsi="宋体" w:eastAsia="宋体" w:cs="宋体"/>
          <w:b w:val="0"/>
          <w:bCs w:val="0"/>
          <w:color w:val="auto"/>
          <w:highlight w:val="none"/>
        </w:rPr>
      </w:pPr>
    </w:p>
    <w:p w14:paraId="4FEB1DB4">
      <w:pPr>
        <w:rPr>
          <w:rFonts w:ascii="宋体" w:hAnsi="宋体" w:eastAsia="宋体" w:cs="宋体"/>
          <w:b/>
          <w:color w:val="auto"/>
          <w:sz w:val="36"/>
          <w:highlight w:val="none"/>
        </w:rPr>
      </w:pPr>
      <w:r>
        <w:rPr>
          <w:rFonts w:ascii="宋体" w:hAnsi="宋体" w:eastAsia="宋体" w:cs="宋体"/>
          <w:b/>
          <w:color w:val="auto"/>
          <w:sz w:val="36"/>
          <w:highlight w:val="none"/>
        </w:rPr>
        <w:br w:type="page"/>
      </w:r>
    </w:p>
    <w:p w14:paraId="1082998B">
      <w:pPr>
        <w:pBdr>
          <w:top w:val="none" w:color="000000" w:sz="0" w:space="0"/>
          <w:left w:val="none" w:color="000000" w:sz="0" w:space="0"/>
          <w:bottom w:val="none" w:color="000000" w:sz="0" w:space="0"/>
          <w:right w:val="none" w:color="000000" w:sz="0" w:space="0"/>
        </w:pBdr>
        <w:spacing w:before="0" w:after="0" w:line="85" w:lineRule="atLeast"/>
        <w:ind w:left="0" w:right="0" w:firstLine="420"/>
        <w:jc w:val="center"/>
        <w:rPr>
          <w:color w:val="auto"/>
          <w:highlight w:val="none"/>
        </w:rPr>
      </w:pPr>
      <w:r>
        <w:rPr>
          <w:rFonts w:ascii="宋体" w:hAnsi="宋体" w:eastAsia="宋体" w:cs="宋体"/>
          <w:b/>
          <w:color w:val="auto"/>
          <w:sz w:val="36"/>
          <w:highlight w:val="none"/>
        </w:rPr>
        <w:t>7、承诺书</w:t>
      </w:r>
    </w:p>
    <w:p w14:paraId="4785716B">
      <w:pPr>
        <w:pBdr>
          <w:top w:val="none" w:color="000000" w:sz="0" w:space="0"/>
          <w:left w:val="none" w:color="000000" w:sz="0" w:space="0"/>
          <w:bottom w:val="none" w:color="000000" w:sz="0" w:space="0"/>
          <w:right w:val="none" w:color="000000" w:sz="0" w:space="0"/>
        </w:pBdr>
        <w:spacing w:before="0" w:after="0" w:line="74" w:lineRule="atLeast"/>
        <w:ind w:left="0" w:right="0" w:firstLine="0"/>
        <w:rPr>
          <w:color w:val="auto"/>
          <w:sz w:val="24"/>
          <w:szCs w:val="24"/>
          <w:highlight w:val="none"/>
        </w:rPr>
      </w:pPr>
      <w:r>
        <w:rPr>
          <w:rFonts w:ascii="宋体" w:hAnsi="宋体" w:eastAsia="宋体" w:cs="宋体"/>
          <w:color w:val="auto"/>
          <w:sz w:val="24"/>
          <w:szCs w:val="24"/>
          <w:highlight w:val="none"/>
        </w:rPr>
        <w:t>致</w:t>
      </w:r>
      <w:r>
        <w:rPr>
          <w:rFonts w:hint="eastAsia" w:ascii="宋体" w:hAnsi="宋体" w:cs="宋体"/>
          <w:color w:val="auto"/>
          <w:sz w:val="24"/>
          <w:szCs w:val="24"/>
          <w:highlight w:val="none"/>
          <w:u w:val="single"/>
          <w:lang w:eastAsia="zh-CN"/>
        </w:rPr>
        <w:t xml:space="preserve"> 徐州市文物保护和考古研究所</w:t>
      </w:r>
      <w:r>
        <w:rPr>
          <w:rFonts w:ascii="宋体" w:hAnsi="宋体" w:eastAsia="宋体" w:cs="宋体"/>
          <w:color w:val="auto"/>
          <w:sz w:val="24"/>
          <w:szCs w:val="24"/>
          <w:highlight w:val="none"/>
        </w:rPr>
        <w:t>：</w:t>
      </w:r>
    </w:p>
    <w:p w14:paraId="1FDA6943">
      <w:pPr>
        <w:pBdr>
          <w:top w:val="none" w:color="000000" w:sz="0" w:space="0"/>
          <w:left w:val="none" w:color="000000" w:sz="0" w:space="0"/>
          <w:bottom w:val="none" w:color="000000" w:sz="0" w:space="0"/>
          <w:right w:val="none" w:color="000000" w:sz="0" w:space="0"/>
        </w:pBdr>
        <w:spacing w:before="240" w:after="240" w:line="74" w:lineRule="atLeast"/>
        <w:ind w:left="0" w:right="0" w:firstLine="480"/>
        <w:rPr>
          <w:color w:val="auto"/>
          <w:sz w:val="24"/>
          <w:szCs w:val="24"/>
          <w:highlight w:val="none"/>
        </w:rPr>
      </w:pPr>
      <w:r>
        <w:rPr>
          <w:rFonts w:ascii="宋体" w:hAnsi="宋体" w:eastAsia="宋体" w:cs="宋体"/>
          <w:color w:val="auto"/>
          <w:sz w:val="24"/>
          <w:szCs w:val="24"/>
          <w:highlight w:val="none"/>
        </w:rPr>
        <w:t>根据贵方《磋商文件》（项目编号：</w:t>
      </w:r>
      <w:r>
        <w:rPr>
          <w:rFonts w:hint="eastAsia" w:ascii="宋体" w:hAnsi="宋体" w:cs="宋体"/>
          <w:color w:val="auto"/>
          <w:sz w:val="24"/>
          <w:szCs w:val="24"/>
          <w:highlight w:val="none"/>
          <w:u w:val="single"/>
          <w:lang w:eastAsia="zh-CN"/>
        </w:rPr>
        <w:t>JSZC-320300-ZJZB-C2026-0087</w:t>
      </w:r>
      <w:r>
        <w:rPr>
          <w:rFonts w:ascii="宋体" w:hAnsi="宋体" w:eastAsia="宋体" w:cs="宋体"/>
          <w:color w:val="auto"/>
          <w:sz w:val="24"/>
          <w:szCs w:val="24"/>
          <w:highlight w:val="none"/>
        </w:rPr>
        <w:t>）要求，本供应商正式提交以下首次响应文件。</w:t>
      </w:r>
    </w:p>
    <w:p w14:paraId="03D7B61C">
      <w:pPr>
        <w:pBdr>
          <w:top w:val="none" w:color="000000" w:sz="0" w:space="0"/>
          <w:left w:val="none" w:color="000000" w:sz="0" w:space="0"/>
          <w:bottom w:val="none" w:color="000000" w:sz="0" w:space="0"/>
          <w:right w:val="none" w:color="000000" w:sz="0" w:space="0"/>
        </w:pBdr>
        <w:spacing w:before="240" w:after="240" w:line="74" w:lineRule="atLeast"/>
        <w:ind w:left="0" w:right="0" w:firstLine="480"/>
        <w:rPr>
          <w:color w:val="auto"/>
          <w:sz w:val="24"/>
          <w:szCs w:val="24"/>
          <w:highlight w:val="none"/>
        </w:rPr>
      </w:pPr>
      <w:r>
        <w:rPr>
          <w:rFonts w:ascii="宋体" w:hAnsi="宋体" w:eastAsia="宋体" w:cs="宋体"/>
          <w:color w:val="auto"/>
          <w:sz w:val="24"/>
          <w:szCs w:val="24"/>
          <w:highlight w:val="none"/>
        </w:rPr>
        <w:t xml:space="preserve">（1）承诺书； </w:t>
      </w:r>
    </w:p>
    <w:p w14:paraId="05238D47">
      <w:pPr>
        <w:pBdr>
          <w:top w:val="none" w:color="000000" w:sz="0" w:space="0"/>
          <w:left w:val="none" w:color="000000" w:sz="0" w:space="0"/>
          <w:bottom w:val="none" w:color="000000" w:sz="0" w:space="0"/>
          <w:right w:val="none" w:color="000000" w:sz="0" w:space="0"/>
        </w:pBdr>
        <w:spacing w:before="240" w:after="240" w:line="74" w:lineRule="atLeast"/>
        <w:ind w:left="0" w:right="0" w:firstLine="480"/>
        <w:rPr>
          <w:color w:val="auto"/>
          <w:sz w:val="24"/>
          <w:szCs w:val="24"/>
          <w:highlight w:val="none"/>
        </w:rPr>
      </w:pPr>
      <w:r>
        <w:rPr>
          <w:rFonts w:ascii="宋体" w:hAnsi="宋体" w:eastAsia="宋体" w:cs="宋体"/>
          <w:color w:val="auto"/>
          <w:sz w:val="24"/>
          <w:szCs w:val="24"/>
          <w:highlight w:val="none"/>
        </w:rPr>
        <w:t xml:space="preserve">（2）磋商报价表； </w:t>
      </w:r>
    </w:p>
    <w:p w14:paraId="2170C3AF">
      <w:pPr>
        <w:pBdr>
          <w:top w:val="none" w:color="000000" w:sz="0" w:space="0"/>
          <w:left w:val="none" w:color="000000" w:sz="0" w:space="0"/>
          <w:bottom w:val="none" w:color="000000" w:sz="0" w:space="0"/>
          <w:right w:val="none" w:color="000000" w:sz="0" w:space="0"/>
        </w:pBdr>
        <w:spacing w:before="240" w:after="240" w:line="74" w:lineRule="atLeast"/>
        <w:ind w:left="0" w:right="0" w:firstLine="480"/>
        <w:rPr>
          <w:color w:val="auto"/>
          <w:sz w:val="24"/>
          <w:szCs w:val="24"/>
          <w:highlight w:val="none"/>
        </w:rPr>
      </w:pPr>
      <w:r>
        <w:rPr>
          <w:rFonts w:ascii="宋体" w:hAnsi="宋体" w:eastAsia="宋体" w:cs="宋体"/>
          <w:color w:val="auto"/>
          <w:sz w:val="24"/>
          <w:szCs w:val="24"/>
          <w:highlight w:val="none"/>
        </w:rPr>
        <w:t>（3）偏离表；</w:t>
      </w:r>
    </w:p>
    <w:p w14:paraId="17C4690A">
      <w:pPr>
        <w:pBdr>
          <w:top w:val="none" w:color="000000" w:sz="0" w:space="0"/>
          <w:left w:val="none" w:color="000000" w:sz="0" w:space="0"/>
          <w:bottom w:val="none" w:color="000000" w:sz="0" w:space="0"/>
          <w:right w:val="none" w:color="000000" w:sz="0" w:space="0"/>
        </w:pBdr>
        <w:spacing w:before="240" w:after="240" w:line="74" w:lineRule="atLeast"/>
        <w:ind w:left="0" w:right="0" w:firstLine="480"/>
        <w:rPr>
          <w:color w:val="auto"/>
          <w:sz w:val="24"/>
          <w:szCs w:val="24"/>
          <w:highlight w:val="none"/>
        </w:rPr>
      </w:pPr>
      <w:r>
        <w:rPr>
          <w:rFonts w:ascii="宋体" w:hAnsi="宋体" w:eastAsia="宋体" w:cs="宋体"/>
          <w:color w:val="auto"/>
          <w:sz w:val="24"/>
          <w:szCs w:val="24"/>
          <w:highlight w:val="none"/>
        </w:rPr>
        <w:t>（4）磋商文件要求提供的其他响应文件。</w:t>
      </w:r>
    </w:p>
    <w:p w14:paraId="10ED18D8">
      <w:pPr>
        <w:pBdr>
          <w:top w:val="none" w:color="000000" w:sz="0" w:space="0"/>
          <w:left w:val="none" w:color="000000" w:sz="0" w:space="0"/>
          <w:bottom w:val="none" w:color="000000" w:sz="0" w:space="0"/>
          <w:right w:val="none" w:color="000000" w:sz="0" w:space="0"/>
        </w:pBdr>
        <w:spacing w:before="240" w:after="240" w:line="74" w:lineRule="atLeast"/>
        <w:ind w:left="0" w:right="0" w:firstLine="480"/>
        <w:rPr>
          <w:color w:val="auto"/>
          <w:sz w:val="24"/>
          <w:szCs w:val="24"/>
          <w:highlight w:val="none"/>
        </w:rPr>
      </w:pPr>
      <w:r>
        <w:rPr>
          <w:rFonts w:ascii="宋体" w:hAnsi="宋体" w:eastAsia="宋体" w:cs="宋体"/>
          <w:color w:val="auto"/>
          <w:sz w:val="24"/>
          <w:szCs w:val="24"/>
          <w:highlight w:val="none"/>
        </w:rPr>
        <w:t>我单位符合《中华人民共和国政府采购法》第二十二条的规定，符合本项目供应商资格要求。</w:t>
      </w:r>
    </w:p>
    <w:p w14:paraId="30DFE251">
      <w:pPr>
        <w:pBdr>
          <w:top w:val="none" w:color="000000" w:sz="0" w:space="0"/>
          <w:left w:val="none" w:color="000000" w:sz="0" w:space="0"/>
          <w:bottom w:val="none" w:color="000000" w:sz="0" w:space="0"/>
          <w:right w:val="none" w:color="000000" w:sz="0" w:space="0"/>
        </w:pBdr>
        <w:spacing w:before="240" w:after="240" w:line="74" w:lineRule="atLeast"/>
        <w:ind w:left="0" w:right="0" w:firstLine="480"/>
        <w:rPr>
          <w:color w:val="auto"/>
          <w:sz w:val="24"/>
          <w:szCs w:val="24"/>
          <w:highlight w:val="none"/>
        </w:rPr>
      </w:pPr>
      <w:r>
        <w:rPr>
          <w:rFonts w:ascii="宋体" w:hAnsi="宋体" w:eastAsia="宋体" w:cs="宋体"/>
          <w:color w:val="auto"/>
          <w:sz w:val="24"/>
          <w:szCs w:val="24"/>
          <w:highlight w:val="none"/>
        </w:rPr>
        <w:t>我单位按照磋商文件的要求编制响应文件，并对其提交的响应文件的真实性、合法性承担法律责任。</w:t>
      </w:r>
    </w:p>
    <w:p w14:paraId="297AC6FD">
      <w:pPr>
        <w:pBdr>
          <w:top w:val="none" w:color="000000" w:sz="0" w:space="0"/>
          <w:left w:val="none" w:color="000000" w:sz="0" w:space="0"/>
          <w:bottom w:val="none" w:color="000000" w:sz="0" w:space="0"/>
          <w:right w:val="none" w:color="000000" w:sz="0" w:space="0"/>
        </w:pBdr>
        <w:spacing w:before="0" w:after="0" w:line="74" w:lineRule="atLeast"/>
        <w:ind w:left="0" w:right="0" w:firstLine="480"/>
        <w:rPr>
          <w:color w:val="auto"/>
          <w:sz w:val="24"/>
          <w:szCs w:val="24"/>
          <w:highlight w:val="none"/>
        </w:rPr>
      </w:pPr>
      <w:r>
        <w:rPr>
          <w:rFonts w:ascii="宋体" w:hAnsi="宋体" w:eastAsia="宋体" w:cs="宋体"/>
          <w:color w:val="auto"/>
          <w:sz w:val="24"/>
          <w:szCs w:val="24"/>
          <w:highlight w:val="none"/>
        </w:rPr>
        <w:t xml:space="preserve">供应商兹宣布同意如下： </w:t>
      </w:r>
    </w:p>
    <w:p w14:paraId="61F9CA65">
      <w:pPr>
        <w:pBdr>
          <w:top w:val="none" w:color="000000" w:sz="0" w:space="0"/>
          <w:left w:val="none" w:color="000000" w:sz="0" w:space="0"/>
          <w:bottom w:val="none" w:color="000000" w:sz="0" w:space="0"/>
          <w:right w:val="none" w:color="000000" w:sz="0" w:space="0"/>
        </w:pBdr>
        <w:spacing w:before="240" w:after="240" w:line="74" w:lineRule="atLeast"/>
        <w:ind w:left="0" w:right="0" w:firstLine="480"/>
        <w:rPr>
          <w:color w:val="auto"/>
          <w:sz w:val="24"/>
          <w:szCs w:val="24"/>
          <w:highlight w:val="none"/>
        </w:rPr>
      </w:pPr>
      <w:r>
        <w:rPr>
          <w:rFonts w:ascii="宋体" w:hAnsi="宋体" w:eastAsia="宋体" w:cs="宋体"/>
          <w:color w:val="auto"/>
          <w:sz w:val="24"/>
          <w:szCs w:val="24"/>
          <w:highlight w:val="none"/>
        </w:rPr>
        <w:t>一、完全承担根据《磋商文件》规定完成合同的责任和义务（如有偏离，将全部填写在偏离表中）。</w:t>
      </w:r>
    </w:p>
    <w:p w14:paraId="71FCD886">
      <w:pPr>
        <w:pBdr>
          <w:top w:val="none" w:color="000000" w:sz="0" w:space="0"/>
          <w:left w:val="none" w:color="000000" w:sz="0" w:space="0"/>
          <w:bottom w:val="none" w:color="000000" w:sz="0" w:space="0"/>
          <w:right w:val="none" w:color="000000" w:sz="0" w:space="0"/>
        </w:pBdr>
        <w:spacing w:before="240" w:after="240" w:line="74" w:lineRule="atLeast"/>
        <w:ind w:left="0" w:right="0" w:firstLine="480"/>
        <w:rPr>
          <w:color w:val="auto"/>
          <w:sz w:val="24"/>
          <w:szCs w:val="24"/>
          <w:highlight w:val="none"/>
        </w:rPr>
      </w:pPr>
      <w:r>
        <w:rPr>
          <w:rFonts w:ascii="宋体" w:hAnsi="宋体" w:eastAsia="宋体" w:cs="宋体"/>
          <w:color w:val="auto"/>
          <w:sz w:val="24"/>
          <w:szCs w:val="24"/>
          <w:highlight w:val="none"/>
        </w:rPr>
        <w:t>二、保证所提供的响应文件及所有材料的真实、合法、有效，并对其负责。</w:t>
      </w:r>
    </w:p>
    <w:p w14:paraId="4241E183">
      <w:pPr>
        <w:pBdr>
          <w:top w:val="none" w:color="000000" w:sz="0" w:space="0"/>
          <w:left w:val="none" w:color="000000" w:sz="0" w:space="0"/>
          <w:bottom w:val="none" w:color="000000" w:sz="0" w:space="0"/>
          <w:right w:val="none" w:color="000000" w:sz="0" w:space="0"/>
        </w:pBdr>
        <w:spacing w:before="0" w:after="0" w:line="74" w:lineRule="atLeast"/>
        <w:ind w:left="0" w:right="0" w:firstLine="480"/>
        <w:rPr>
          <w:color w:val="auto"/>
          <w:sz w:val="24"/>
          <w:szCs w:val="24"/>
          <w:highlight w:val="none"/>
        </w:rPr>
      </w:pPr>
      <w:r>
        <w:rPr>
          <w:rFonts w:ascii="宋体" w:hAnsi="宋体" w:eastAsia="宋体" w:cs="宋体"/>
          <w:color w:val="auto"/>
          <w:sz w:val="24"/>
          <w:szCs w:val="24"/>
          <w:highlight w:val="none"/>
        </w:rPr>
        <w:t>三、已详细审核竞争性磋商文件（含竞争性磋商文件的澄清或者修改），本供应商完全理解并同意放弃对这方面不明及误解的权利。</w:t>
      </w:r>
    </w:p>
    <w:p w14:paraId="4B176C79">
      <w:pPr>
        <w:pBdr>
          <w:top w:val="none" w:color="000000" w:sz="0" w:space="0"/>
          <w:left w:val="none" w:color="000000" w:sz="0" w:space="0"/>
          <w:bottom w:val="none" w:color="000000" w:sz="0" w:space="0"/>
          <w:right w:val="none" w:color="000000" w:sz="0" w:space="0"/>
        </w:pBdr>
        <w:spacing w:before="0" w:after="0" w:line="74" w:lineRule="atLeast"/>
        <w:ind w:left="0" w:right="0" w:firstLine="480"/>
        <w:rPr>
          <w:color w:val="auto"/>
          <w:sz w:val="24"/>
          <w:szCs w:val="24"/>
          <w:highlight w:val="none"/>
        </w:rPr>
      </w:pPr>
      <w:r>
        <w:rPr>
          <w:rFonts w:ascii="宋体" w:hAnsi="宋体" w:eastAsia="宋体" w:cs="宋体"/>
          <w:color w:val="auto"/>
          <w:sz w:val="24"/>
          <w:szCs w:val="24"/>
          <w:highlight w:val="none"/>
        </w:rPr>
        <w:t>四、所供</w:t>
      </w:r>
      <w:r>
        <w:rPr>
          <w:rFonts w:hint="eastAsia" w:ascii="宋体" w:hAnsi="宋体" w:cs="宋体"/>
          <w:color w:val="auto"/>
          <w:sz w:val="24"/>
          <w:szCs w:val="24"/>
          <w:highlight w:val="none"/>
          <w:lang w:val="en-US" w:eastAsia="zh-CN"/>
        </w:rPr>
        <w:t>服务</w:t>
      </w:r>
      <w:r>
        <w:rPr>
          <w:rFonts w:ascii="宋体" w:hAnsi="宋体" w:eastAsia="宋体" w:cs="宋体"/>
          <w:color w:val="auto"/>
          <w:sz w:val="24"/>
          <w:szCs w:val="24"/>
          <w:highlight w:val="none"/>
        </w:rPr>
        <w:t>保证符合国家有关产品质量、性能和安全标准，无权利瑕疵。</w:t>
      </w:r>
    </w:p>
    <w:p w14:paraId="2A9EBE04">
      <w:pPr>
        <w:pBdr>
          <w:top w:val="none" w:color="000000" w:sz="0" w:space="0"/>
          <w:left w:val="none" w:color="000000" w:sz="0" w:space="0"/>
          <w:bottom w:val="none" w:color="000000" w:sz="0" w:space="0"/>
          <w:right w:val="none" w:color="000000" w:sz="0" w:space="0"/>
        </w:pBdr>
        <w:spacing w:before="0" w:after="0" w:line="74" w:lineRule="atLeast"/>
        <w:ind w:left="0" w:right="0" w:firstLine="480"/>
        <w:rPr>
          <w:color w:val="auto"/>
          <w:sz w:val="24"/>
          <w:szCs w:val="24"/>
          <w:highlight w:val="none"/>
        </w:rPr>
      </w:pPr>
      <w:r>
        <w:rPr>
          <w:rFonts w:ascii="宋体" w:hAnsi="宋体" w:eastAsia="宋体" w:cs="宋体"/>
          <w:color w:val="auto"/>
          <w:sz w:val="24"/>
          <w:szCs w:val="24"/>
          <w:highlight w:val="none"/>
        </w:rPr>
        <w:t>五、报价有效期为30个工作日。</w:t>
      </w:r>
    </w:p>
    <w:p w14:paraId="18EADD69">
      <w:pPr>
        <w:pBdr>
          <w:top w:val="none" w:color="000000" w:sz="0" w:space="0"/>
          <w:left w:val="none" w:color="000000" w:sz="0" w:space="0"/>
          <w:bottom w:val="none" w:color="000000" w:sz="0" w:space="0"/>
          <w:right w:val="none" w:color="000000" w:sz="0" w:space="0"/>
        </w:pBdr>
        <w:spacing w:before="0" w:after="0" w:line="74" w:lineRule="atLeast"/>
        <w:ind w:left="0" w:right="0" w:firstLine="480"/>
        <w:rPr>
          <w:color w:val="auto"/>
          <w:sz w:val="24"/>
          <w:szCs w:val="24"/>
          <w:highlight w:val="none"/>
        </w:rPr>
      </w:pPr>
      <w:r>
        <w:rPr>
          <w:rFonts w:ascii="宋体" w:hAnsi="宋体" w:eastAsia="宋体" w:cs="宋体"/>
          <w:color w:val="auto"/>
          <w:sz w:val="24"/>
          <w:szCs w:val="24"/>
          <w:highlight w:val="none"/>
        </w:rPr>
        <w:t>六、同意向贵方提供贵方可能要求的与本次磋商采购有关的任何证据或资料。</w:t>
      </w:r>
    </w:p>
    <w:p w14:paraId="6599AE9C">
      <w:pPr>
        <w:pBdr>
          <w:top w:val="none" w:color="000000" w:sz="0" w:space="0"/>
          <w:left w:val="none" w:color="000000" w:sz="0" w:space="0"/>
          <w:bottom w:val="none" w:color="000000" w:sz="0" w:space="0"/>
          <w:right w:val="none" w:color="000000" w:sz="0" w:space="0"/>
        </w:pBdr>
        <w:spacing w:before="0" w:after="0" w:line="74" w:lineRule="atLeast"/>
        <w:ind w:left="0" w:right="0" w:firstLine="480"/>
        <w:rPr>
          <w:color w:val="auto"/>
          <w:sz w:val="24"/>
          <w:szCs w:val="24"/>
          <w:highlight w:val="none"/>
        </w:rPr>
      </w:pPr>
      <w:r>
        <w:rPr>
          <w:rFonts w:ascii="宋体" w:hAnsi="宋体" w:eastAsia="宋体" w:cs="宋体"/>
          <w:color w:val="auto"/>
          <w:sz w:val="24"/>
          <w:szCs w:val="24"/>
          <w:highlight w:val="none"/>
        </w:rPr>
        <w:t>七、完全理解贵方不一定要接受最低的报价或收到的任何报价。</w:t>
      </w:r>
    </w:p>
    <w:p w14:paraId="67B11EC4">
      <w:pPr>
        <w:pBdr>
          <w:top w:val="none" w:color="000000" w:sz="0" w:space="0"/>
          <w:left w:val="none" w:color="000000" w:sz="0" w:space="0"/>
          <w:bottom w:val="none" w:color="000000" w:sz="0" w:space="0"/>
          <w:right w:val="none" w:color="000000" w:sz="0" w:space="0"/>
        </w:pBdr>
        <w:spacing w:before="0" w:after="0" w:line="74" w:lineRule="atLeast"/>
        <w:ind w:left="0" w:right="0" w:firstLine="480"/>
        <w:rPr>
          <w:color w:val="auto"/>
          <w:sz w:val="24"/>
          <w:szCs w:val="24"/>
          <w:highlight w:val="none"/>
        </w:rPr>
      </w:pPr>
      <w:r>
        <w:rPr>
          <w:rFonts w:ascii="宋体" w:hAnsi="宋体" w:eastAsia="宋体" w:cs="宋体"/>
          <w:color w:val="auto"/>
          <w:sz w:val="24"/>
          <w:szCs w:val="24"/>
          <w:highlight w:val="none"/>
        </w:rPr>
        <w:t>八、采购人或采购代理机构有权将我单位本项目的《磋商报价表》和《分项价格表》予以公示，公示的方式由江苏中际招标代理有限公司确定。</w:t>
      </w:r>
    </w:p>
    <w:p w14:paraId="7DFB7D29">
      <w:pPr>
        <w:pBdr>
          <w:top w:val="none" w:color="000000" w:sz="0" w:space="0"/>
          <w:left w:val="none" w:color="000000" w:sz="0" w:space="0"/>
          <w:bottom w:val="none" w:color="000000" w:sz="0" w:space="0"/>
          <w:right w:val="none" w:color="000000" w:sz="0" w:space="0"/>
        </w:pBdr>
        <w:spacing w:before="0" w:after="0" w:line="74" w:lineRule="atLeast"/>
        <w:ind w:left="0" w:right="0" w:firstLine="480"/>
        <w:rPr>
          <w:color w:val="auto"/>
          <w:sz w:val="24"/>
          <w:szCs w:val="24"/>
          <w:highlight w:val="none"/>
        </w:rPr>
      </w:pPr>
      <w:r>
        <w:rPr>
          <w:rFonts w:ascii="宋体" w:hAnsi="宋体" w:eastAsia="宋体" w:cs="宋体"/>
          <w:color w:val="auto"/>
          <w:sz w:val="24"/>
          <w:szCs w:val="24"/>
          <w:highlight w:val="none"/>
        </w:rPr>
        <w:t>九、采购人或采购代理机构有权对供应商的响应文件的真实性进行核实，如供应商不能在采购人规定的时间内向采购人提供有效的证明文件，将被采购人认定为具有《中华人民共和国政府采购法》第七十七条所规定的“提供虚假材料谋取中标、成交的”情形，并承担相应的法律责任。</w:t>
      </w:r>
    </w:p>
    <w:p w14:paraId="671DA054">
      <w:pPr>
        <w:pBdr>
          <w:top w:val="none" w:color="000000" w:sz="0" w:space="0"/>
          <w:left w:val="none" w:color="000000" w:sz="0" w:space="0"/>
          <w:bottom w:val="none" w:color="000000" w:sz="0" w:space="0"/>
          <w:right w:val="none" w:color="000000" w:sz="0" w:space="0"/>
        </w:pBdr>
        <w:spacing w:before="0" w:after="0" w:line="74" w:lineRule="atLeast"/>
        <w:ind w:left="0" w:right="0" w:firstLine="480"/>
        <w:rPr>
          <w:color w:val="auto"/>
          <w:sz w:val="24"/>
          <w:szCs w:val="24"/>
          <w:highlight w:val="none"/>
        </w:rPr>
      </w:pPr>
      <w:r>
        <w:rPr>
          <w:rFonts w:ascii="宋体" w:hAnsi="宋体" w:eastAsia="宋体" w:cs="宋体"/>
          <w:color w:val="auto"/>
          <w:sz w:val="24"/>
          <w:szCs w:val="24"/>
          <w:highlight w:val="none"/>
        </w:rPr>
        <w:t> </w:t>
      </w:r>
    </w:p>
    <w:p w14:paraId="6CF3E977">
      <w:pPr>
        <w:pBdr>
          <w:top w:val="none" w:color="000000" w:sz="0" w:space="0"/>
          <w:left w:val="none" w:color="000000" w:sz="0" w:space="0"/>
          <w:bottom w:val="none" w:color="000000" w:sz="0" w:space="0"/>
          <w:right w:val="none" w:color="000000" w:sz="0" w:space="0"/>
        </w:pBdr>
        <w:spacing w:before="0" w:after="0" w:line="74" w:lineRule="atLeast"/>
        <w:ind w:left="0" w:right="0" w:firstLine="1920"/>
        <w:rPr>
          <w:color w:val="auto"/>
          <w:sz w:val="24"/>
          <w:szCs w:val="24"/>
          <w:highlight w:val="none"/>
        </w:rPr>
      </w:pPr>
      <w:r>
        <w:rPr>
          <w:rFonts w:ascii="宋体" w:hAnsi="宋体" w:eastAsia="宋体" w:cs="宋体"/>
          <w:color w:val="auto"/>
          <w:sz w:val="24"/>
          <w:szCs w:val="24"/>
          <w:highlight w:val="none"/>
        </w:rPr>
        <w:t>供应商（电子签章）：</w:t>
      </w:r>
    </w:p>
    <w:p w14:paraId="71A508DF">
      <w:pPr>
        <w:pBdr>
          <w:top w:val="none" w:color="000000" w:sz="0" w:space="0"/>
          <w:left w:val="none" w:color="000000" w:sz="0" w:space="0"/>
          <w:bottom w:val="none" w:color="000000" w:sz="0" w:space="0"/>
          <w:right w:val="none" w:color="000000" w:sz="0" w:space="0"/>
        </w:pBdr>
        <w:spacing w:before="0" w:after="0" w:line="74" w:lineRule="atLeast"/>
        <w:ind w:left="0" w:right="0" w:firstLine="1920"/>
        <w:rPr>
          <w:color w:val="auto"/>
          <w:sz w:val="24"/>
          <w:szCs w:val="24"/>
          <w:highlight w:val="none"/>
        </w:rPr>
      </w:pPr>
      <w:r>
        <w:rPr>
          <w:rFonts w:ascii="宋体" w:hAnsi="宋体" w:eastAsia="宋体" w:cs="宋体"/>
          <w:color w:val="auto"/>
          <w:sz w:val="24"/>
          <w:szCs w:val="24"/>
          <w:highlight w:val="none"/>
        </w:rPr>
        <w:t>法定代表人（负责人)或授权代表（签字或盖章）：  </w:t>
      </w:r>
    </w:p>
    <w:p w14:paraId="3025F2B7">
      <w:pPr>
        <w:pBdr>
          <w:top w:val="none" w:color="000000" w:sz="0" w:space="0"/>
          <w:left w:val="none" w:color="000000" w:sz="0" w:space="0"/>
          <w:bottom w:val="none" w:color="000000" w:sz="0" w:space="0"/>
          <w:right w:val="none" w:color="000000" w:sz="0" w:space="0"/>
        </w:pBdr>
        <w:spacing w:before="0" w:after="0" w:line="74" w:lineRule="atLeast"/>
        <w:ind w:left="0" w:right="0" w:firstLine="1920"/>
        <w:rPr>
          <w:color w:val="auto"/>
          <w:sz w:val="24"/>
          <w:szCs w:val="24"/>
          <w:highlight w:val="none"/>
        </w:rPr>
      </w:pPr>
      <w:r>
        <w:rPr>
          <w:rFonts w:ascii="宋体" w:hAnsi="宋体" w:eastAsia="宋体" w:cs="宋体"/>
          <w:color w:val="auto"/>
          <w:sz w:val="24"/>
          <w:szCs w:val="24"/>
          <w:highlight w:val="none"/>
        </w:rPr>
        <w:t>联系电话：</w:t>
      </w:r>
    </w:p>
    <w:p w14:paraId="7564AFBE">
      <w:pPr>
        <w:pBdr>
          <w:top w:val="none" w:color="000000" w:sz="0" w:space="0"/>
          <w:left w:val="none" w:color="000000" w:sz="0" w:space="0"/>
          <w:bottom w:val="none" w:color="000000" w:sz="0" w:space="0"/>
          <w:right w:val="none" w:color="000000" w:sz="0" w:space="0"/>
        </w:pBdr>
        <w:spacing w:before="0" w:after="0" w:line="74" w:lineRule="atLeast"/>
        <w:ind w:left="0" w:right="0" w:firstLine="1920"/>
        <w:rPr>
          <w:color w:val="auto"/>
          <w:sz w:val="24"/>
          <w:szCs w:val="24"/>
          <w:highlight w:val="none"/>
        </w:rPr>
      </w:pPr>
      <w:r>
        <w:rPr>
          <w:rFonts w:ascii="宋体" w:hAnsi="宋体" w:eastAsia="宋体" w:cs="宋体"/>
          <w:color w:val="auto"/>
          <w:sz w:val="24"/>
          <w:szCs w:val="24"/>
          <w:highlight w:val="none"/>
        </w:rPr>
        <w:t>移动电话：</w:t>
      </w:r>
    </w:p>
    <w:p w14:paraId="7A85DFF1">
      <w:pPr>
        <w:pBdr>
          <w:top w:val="none" w:color="000000" w:sz="0" w:space="0"/>
          <w:left w:val="none" w:color="000000" w:sz="0" w:space="0"/>
          <w:bottom w:val="none" w:color="000000" w:sz="0" w:space="0"/>
          <w:right w:val="none" w:color="000000" w:sz="0" w:space="0"/>
        </w:pBdr>
        <w:spacing w:before="0" w:after="0" w:line="74" w:lineRule="atLeast"/>
        <w:ind w:left="0" w:right="0" w:firstLine="1920"/>
        <w:rPr>
          <w:color w:val="auto"/>
          <w:sz w:val="24"/>
          <w:szCs w:val="24"/>
          <w:highlight w:val="none"/>
        </w:rPr>
      </w:pPr>
      <w:r>
        <w:rPr>
          <w:rFonts w:ascii="宋体" w:hAnsi="宋体" w:eastAsia="宋体" w:cs="宋体"/>
          <w:color w:val="auto"/>
          <w:sz w:val="24"/>
          <w:szCs w:val="24"/>
          <w:highlight w:val="none"/>
        </w:rPr>
        <w:t>日期：</w:t>
      </w:r>
    </w:p>
    <w:p w14:paraId="14CB765D">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color w:val="auto"/>
          <w:highlight w:val="none"/>
        </w:rPr>
        <w:br w:type="page" w:clear="all"/>
      </w:r>
    </w:p>
    <w:p w14:paraId="59871EB2">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b/>
          <w:color w:val="auto"/>
          <w:sz w:val="36"/>
          <w:highlight w:val="none"/>
        </w:rPr>
        <w:t>8、授权委托书</w:t>
      </w:r>
    </w:p>
    <w:p w14:paraId="53D30990">
      <w:pPr>
        <w:pBdr>
          <w:top w:val="none" w:color="000000" w:sz="0" w:space="0"/>
          <w:left w:val="none" w:color="000000" w:sz="0" w:space="0"/>
          <w:bottom w:val="none" w:color="000000" w:sz="0" w:space="0"/>
          <w:right w:val="none" w:color="000000" w:sz="0" w:space="0"/>
        </w:pBdr>
        <w:spacing w:before="0" w:after="0" w:line="499" w:lineRule="atLeast"/>
        <w:ind w:left="0" w:right="0" w:firstLine="0"/>
        <w:jc w:val="both"/>
        <w:rPr>
          <w:color w:val="auto"/>
          <w:highlight w:val="none"/>
        </w:rPr>
      </w:pPr>
      <w:r>
        <w:rPr>
          <w:rFonts w:ascii="宋体" w:hAnsi="宋体" w:eastAsia="宋体" w:cs="宋体"/>
          <w:color w:val="auto"/>
          <w:sz w:val="24"/>
          <w:highlight w:val="none"/>
        </w:rPr>
        <w:t>委托人（全称）：</w:t>
      </w:r>
    </w:p>
    <w:p w14:paraId="415A2222">
      <w:pPr>
        <w:pBdr>
          <w:top w:val="none" w:color="000000" w:sz="0" w:space="0"/>
          <w:left w:val="none" w:color="000000" w:sz="0" w:space="0"/>
          <w:bottom w:val="none" w:color="000000" w:sz="0" w:space="0"/>
          <w:right w:val="none" w:color="000000" w:sz="0" w:space="0"/>
        </w:pBdr>
        <w:spacing w:before="0" w:after="0" w:line="499" w:lineRule="atLeast"/>
        <w:ind w:left="0" w:right="0" w:firstLine="0"/>
        <w:jc w:val="both"/>
        <w:rPr>
          <w:color w:val="auto"/>
          <w:highlight w:val="none"/>
        </w:rPr>
      </w:pPr>
      <w:r>
        <w:rPr>
          <w:rFonts w:ascii="宋体" w:hAnsi="宋体" w:eastAsia="宋体" w:cs="宋体"/>
          <w:color w:val="auto"/>
          <w:sz w:val="24"/>
          <w:highlight w:val="none"/>
        </w:rPr>
        <w:t>地址：</w:t>
      </w:r>
    </w:p>
    <w:p w14:paraId="4BEF910C">
      <w:pPr>
        <w:pBdr>
          <w:top w:val="none" w:color="000000" w:sz="0" w:space="0"/>
          <w:left w:val="none" w:color="000000" w:sz="0" w:space="0"/>
          <w:bottom w:val="none" w:color="000000" w:sz="0" w:space="0"/>
          <w:right w:val="none" w:color="000000" w:sz="0" w:space="0"/>
        </w:pBdr>
        <w:spacing w:before="0" w:after="0" w:line="499" w:lineRule="atLeast"/>
        <w:ind w:left="0" w:right="0" w:firstLine="0"/>
        <w:jc w:val="both"/>
        <w:rPr>
          <w:color w:val="auto"/>
          <w:highlight w:val="none"/>
        </w:rPr>
      </w:pPr>
      <w:r>
        <w:rPr>
          <w:rFonts w:ascii="宋体" w:hAnsi="宋体" w:eastAsia="宋体" w:cs="宋体"/>
          <w:color w:val="auto"/>
          <w:sz w:val="24"/>
          <w:highlight w:val="none"/>
        </w:rPr>
        <w:t>法定代表人（负责人）：</w:t>
      </w:r>
    </w:p>
    <w:p w14:paraId="2750D14E">
      <w:pPr>
        <w:pBdr>
          <w:top w:val="none" w:color="000000" w:sz="0" w:space="0"/>
          <w:left w:val="none" w:color="000000" w:sz="0" w:space="0"/>
          <w:bottom w:val="none" w:color="000000" w:sz="0" w:space="0"/>
          <w:right w:val="none" w:color="000000" w:sz="0" w:space="0"/>
        </w:pBdr>
        <w:spacing w:before="0" w:after="0" w:line="499" w:lineRule="atLeast"/>
        <w:ind w:left="0" w:right="0" w:firstLine="0"/>
        <w:jc w:val="both"/>
        <w:rPr>
          <w:color w:val="auto"/>
          <w:highlight w:val="none"/>
        </w:rPr>
      </w:pPr>
      <w:r>
        <w:rPr>
          <w:rFonts w:ascii="宋体" w:hAnsi="宋体" w:eastAsia="宋体" w:cs="宋体"/>
          <w:color w:val="auto"/>
          <w:sz w:val="24"/>
          <w:highlight w:val="none"/>
        </w:rPr>
        <w:t>统一社会信用代码：</w:t>
      </w:r>
    </w:p>
    <w:p w14:paraId="5A454EA0">
      <w:pPr>
        <w:pBdr>
          <w:top w:val="none" w:color="000000" w:sz="0" w:space="0"/>
          <w:left w:val="none" w:color="000000" w:sz="0" w:space="0"/>
          <w:bottom w:val="none" w:color="000000" w:sz="0" w:space="0"/>
          <w:right w:val="none" w:color="000000" w:sz="0" w:space="0"/>
        </w:pBdr>
        <w:spacing w:before="0" w:after="0" w:line="499" w:lineRule="atLeast"/>
        <w:ind w:left="0" w:right="0" w:firstLine="0"/>
        <w:jc w:val="both"/>
        <w:rPr>
          <w:color w:val="auto"/>
          <w:highlight w:val="none"/>
        </w:rPr>
      </w:pPr>
      <w:r>
        <w:rPr>
          <w:rFonts w:ascii="宋体" w:hAnsi="宋体" w:eastAsia="宋体" w:cs="宋体"/>
          <w:color w:val="auto"/>
          <w:sz w:val="24"/>
          <w:highlight w:val="none"/>
        </w:rPr>
        <w:t> </w:t>
      </w:r>
    </w:p>
    <w:p w14:paraId="77F11FD0">
      <w:pPr>
        <w:pBdr>
          <w:top w:val="none" w:color="000000" w:sz="0" w:space="0"/>
          <w:left w:val="none" w:color="000000" w:sz="0" w:space="0"/>
          <w:bottom w:val="none" w:color="000000" w:sz="0" w:space="0"/>
          <w:right w:val="none" w:color="000000" w:sz="0" w:space="0"/>
        </w:pBdr>
        <w:spacing w:before="0" w:after="0" w:line="499" w:lineRule="atLeast"/>
        <w:ind w:left="0" w:right="0" w:firstLine="0"/>
        <w:jc w:val="both"/>
        <w:rPr>
          <w:color w:val="auto"/>
          <w:highlight w:val="none"/>
        </w:rPr>
      </w:pPr>
      <w:r>
        <w:rPr>
          <w:rFonts w:ascii="宋体" w:hAnsi="宋体" w:eastAsia="宋体" w:cs="宋体"/>
          <w:color w:val="auto"/>
          <w:sz w:val="24"/>
          <w:highlight w:val="none"/>
        </w:rPr>
        <w:t>受托人：先生（女士）</w:t>
      </w:r>
    </w:p>
    <w:p w14:paraId="636C7EE3">
      <w:pPr>
        <w:pBdr>
          <w:top w:val="none" w:color="000000" w:sz="0" w:space="0"/>
          <w:left w:val="none" w:color="000000" w:sz="0" w:space="0"/>
          <w:bottom w:val="none" w:color="000000" w:sz="0" w:space="0"/>
          <w:right w:val="none" w:color="000000" w:sz="0" w:space="0"/>
        </w:pBdr>
        <w:spacing w:before="0" w:after="0" w:line="499" w:lineRule="atLeast"/>
        <w:ind w:left="0" w:right="0" w:firstLine="0"/>
        <w:jc w:val="both"/>
        <w:rPr>
          <w:color w:val="auto"/>
          <w:highlight w:val="none"/>
        </w:rPr>
      </w:pPr>
      <w:r>
        <w:rPr>
          <w:rFonts w:ascii="宋体" w:hAnsi="宋体" w:eastAsia="宋体" w:cs="宋体"/>
          <w:color w:val="auto"/>
          <w:sz w:val="24"/>
          <w:highlight w:val="none"/>
        </w:rPr>
        <w:t>身份证号：</w:t>
      </w:r>
    </w:p>
    <w:p w14:paraId="6C8752ED">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 </w:t>
      </w:r>
    </w:p>
    <w:p w14:paraId="2162CFA1">
      <w:pPr>
        <w:pBdr>
          <w:top w:val="none" w:color="000000" w:sz="0" w:space="0"/>
          <w:left w:val="none" w:color="000000" w:sz="0" w:space="0"/>
          <w:bottom w:val="none" w:color="000000" w:sz="0" w:space="0"/>
          <w:right w:val="none" w:color="000000" w:sz="0" w:space="0"/>
        </w:pBdr>
        <w:spacing w:before="0" w:after="0" w:line="499" w:lineRule="atLeast"/>
        <w:ind w:left="0" w:right="0" w:firstLine="0"/>
        <w:jc w:val="both"/>
        <w:rPr>
          <w:color w:val="auto"/>
          <w:highlight w:val="none"/>
        </w:rPr>
      </w:pPr>
      <w:r>
        <w:rPr>
          <w:rFonts w:ascii="宋体" w:hAnsi="宋体" w:eastAsia="宋体" w:cs="宋体"/>
          <w:color w:val="auto"/>
          <w:sz w:val="24"/>
          <w:highlight w:val="none"/>
        </w:rPr>
        <w:t> </w:t>
      </w:r>
    </w:p>
    <w:p w14:paraId="33DBD2CF">
      <w:pPr>
        <w:pBdr>
          <w:top w:val="none" w:color="000000" w:sz="0" w:space="0"/>
          <w:left w:val="none" w:color="000000" w:sz="0" w:space="0"/>
          <w:bottom w:val="none" w:color="000000" w:sz="0" w:space="0"/>
          <w:right w:val="none" w:color="000000" w:sz="0" w:space="0"/>
        </w:pBdr>
        <w:spacing w:before="0" w:after="0" w:line="85" w:lineRule="atLeast"/>
        <w:ind w:left="0" w:right="0" w:firstLine="480"/>
        <w:jc w:val="both"/>
        <w:rPr>
          <w:color w:val="auto"/>
          <w:highlight w:val="none"/>
        </w:rPr>
      </w:pPr>
      <w:r>
        <w:rPr>
          <w:rFonts w:ascii="宋体" w:hAnsi="宋体" w:eastAsia="宋体" w:cs="宋体"/>
          <w:color w:val="auto"/>
          <w:sz w:val="24"/>
          <w:highlight w:val="none"/>
        </w:rPr>
        <w:t>兹委托（</w:t>
      </w:r>
      <w:r>
        <w:rPr>
          <w:rFonts w:hint="eastAsia" w:ascii="宋体" w:hAnsi="宋体" w:cs="宋体"/>
          <w:color w:val="auto"/>
          <w:sz w:val="24"/>
          <w:highlight w:val="none"/>
          <w:lang w:val="en-US" w:eastAsia="zh-CN"/>
        </w:rPr>
        <w:t xml:space="preserve">   </w:t>
      </w:r>
      <w:r>
        <w:rPr>
          <w:rFonts w:ascii="宋体" w:hAnsi="宋体" w:eastAsia="宋体" w:cs="宋体"/>
          <w:color w:val="auto"/>
          <w:sz w:val="24"/>
          <w:highlight w:val="none"/>
        </w:rPr>
        <w:t>）全权代表我企业（公司）参与</w:t>
      </w:r>
      <w:r>
        <w:rPr>
          <w:rFonts w:hint="eastAsia" w:ascii="宋体" w:hAnsi="宋体" w:cs="宋体"/>
          <w:color w:val="auto"/>
          <w:sz w:val="24"/>
          <w:highlight w:val="none"/>
          <w:lang w:eastAsia="zh-CN"/>
        </w:rPr>
        <w:t>土山汉墓发掘报告出版项目</w:t>
      </w:r>
      <w:r>
        <w:rPr>
          <w:rFonts w:ascii="宋体" w:hAnsi="宋体" w:eastAsia="宋体" w:cs="宋体"/>
          <w:color w:val="auto"/>
          <w:sz w:val="24"/>
          <w:highlight w:val="none"/>
        </w:rPr>
        <w:t>[项目编号：</w:t>
      </w:r>
      <w:r>
        <w:rPr>
          <w:rFonts w:hint="eastAsia" w:ascii="宋体" w:hAnsi="宋体" w:cs="宋体"/>
          <w:color w:val="auto"/>
          <w:sz w:val="24"/>
          <w:highlight w:val="none"/>
          <w:lang w:eastAsia="zh-CN"/>
        </w:rPr>
        <w:t>JSZC-320300-ZJZB-C2026-0087</w:t>
      </w:r>
      <w:r>
        <w:rPr>
          <w:rFonts w:ascii="宋体" w:hAnsi="宋体" w:eastAsia="宋体" w:cs="宋体"/>
          <w:color w:val="auto"/>
          <w:sz w:val="24"/>
          <w:highlight w:val="none"/>
        </w:rPr>
        <w:t>]的磋商活动及签订合同。（         ）以我企业（公司）名义所为的行为及签署的文件，我企业（公司）均予以认可。有关法律责任均由我企业（公司）承担。（         ）无转委托权。委托期限自    年  月   日起至    年  月    日止。</w:t>
      </w:r>
    </w:p>
    <w:p w14:paraId="3A3B2B02">
      <w:pPr>
        <w:pBdr>
          <w:top w:val="none" w:color="000000" w:sz="0" w:space="0"/>
          <w:left w:val="none" w:color="000000" w:sz="0" w:space="0"/>
          <w:bottom w:val="none" w:color="000000" w:sz="0" w:space="0"/>
          <w:right w:val="none" w:color="000000" w:sz="0" w:space="0"/>
        </w:pBdr>
        <w:spacing w:before="0" w:after="0" w:line="499" w:lineRule="atLeast"/>
        <w:ind w:left="0" w:right="0" w:firstLine="0"/>
        <w:jc w:val="both"/>
        <w:rPr>
          <w:color w:val="auto"/>
          <w:highlight w:val="none"/>
        </w:rPr>
      </w:pPr>
      <w:r>
        <w:rPr>
          <w:rFonts w:ascii="宋体" w:hAnsi="宋体" w:eastAsia="宋体" w:cs="宋体"/>
          <w:color w:val="auto"/>
          <w:sz w:val="24"/>
          <w:highlight w:val="none"/>
        </w:rPr>
        <w:t> </w:t>
      </w:r>
    </w:p>
    <w:p w14:paraId="3A1D2005">
      <w:pPr>
        <w:pBdr>
          <w:top w:val="none" w:color="000000" w:sz="0" w:space="0"/>
          <w:left w:val="none" w:color="000000" w:sz="0" w:space="0"/>
          <w:bottom w:val="none" w:color="000000" w:sz="0" w:space="0"/>
          <w:right w:val="none" w:color="000000" w:sz="0" w:space="0"/>
        </w:pBdr>
        <w:spacing w:before="0" w:after="0" w:line="499" w:lineRule="atLeast"/>
        <w:ind w:left="0" w:right="0" w:firstLine="480"/>
        <w:jc w:val="both"/>
        <w:rPr>
          <w:color w:val="auto"/>
          <w:highlight w:val="none"/>
        </w:rPr>
      </w:pPr>
      <w:r>
        <w:rPr>
          <w:rFonts w:ascii="宋体" w:hAnsi="宋体" w:eastAsia="宋体" w:cs="宋体"/>
          <w:color w:val="auto"/>
          <w:sz w:val="24"/>
          <w:highlight w:val="none"/>
        </w:rPr>
        <w:t>委托人（电子签章）：</w:t>
      </w:r>
    </w:p>
    <w:p w14:paraId="3029629B">
      <w:pPr>
        <w:pBdr>
          <w:top w:val="none" w:color="000000" w:sz="0" w:space="0"/>
          <w:left w:val="none" w:color="000000" w:sz="0" w:space="0"/>
          <w:bottom w:val="none" w:color="000000" w:sz="0" w:space="0"/>
          <w:right w:val="none" w:color="000000" w:sz="0" w:space="0"/>
        </w:pBdr>
        <w:spacing w:before="0" w:after="0" w:line="499" w:lineRule="atLeast"/>
        <w:ind w:left="0" w:right="0" w:firstLine="0"/>
        <w:jc w:val="both"/>
        <w:rPr>
          <w:color w:val="auto"/>
          <w:highlight w:val="none"/>
        </w:rPr>
      </w:pPr>
      <w:r>
        <w:rPr>
          <w:rFonts w:ascii="宋体" w:hAnsi="宋体" w:eastAsia="宋体" w:cs="宋体"/>
          <w:color w:val="auto"/>
          <w:sz w:val="24"/>
          <w:highlight w:val="none"/>
        </w:rPr>
        <w:t> </w:t>
      </w:r>
    </w:p>
    <w:p w14:paraId="331F184F">
      <w:pPr>
        <w:pBdr>
          <w:top w:val="none" w:color="000000" w:sz="0" w:space="0"/>
          <w:left w:val="none" w:color="000000" w:sz="0" w:space="0"/>
          <w:bottom w:val="none" w:color="000000" w:sz="0" w:space="0"/>
          <w:right w:val="none" w:color="000000" w:sz="0" w:space="0"/>
        </w:pBdr>
        <w:spacing w:before="0" w:after="0" w:line="499" w:lineRule="atLeast"/>
        <w:ind w:left="0" w:right="0" w:firstLine="3561"/>
        <w:jc w:val="both"/>
        <w:rPr>
          <w:color w:val="auto"/>
          <w:highlight w:val="none"/>
        </w:rPr>
      </w:pPr>
      <w:r>
        <w:rPr>
          <w:rFonts w:ascii="宋体" w:hAnsi="宋体" w:eastAsia="宋体" w:cs="宋体"/>
          <w:color w:val="auto"/>
          <w:sz w:val="24"/>
          <w:highlight w:val="none"/>
        </w:rPr>
        <w:t>                   年月日</w:t>
      </w:r>
    </w:p>
    <w:p w14:paraId="05E79D9C">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 </w:t>
      </w:r>
    </w:p>
    <w:p w14:paraId="5550EED1">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 </w:t>
      </w:r>
    </w:p>
    <w:p w14:paraId="6DD69646">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 </w:t>
      </w:r>
    </w:p>
    <w:p w14:paraId="1258EDFC">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 </w:t>
      </w:r>
    </w:p>
    <w:p w14:paraId="71F27B16">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 </w:t>
      </w:r>
    </w:p>
    <w:p w14:paraId="7B689ACC">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 </w:t>
      </w:r>
    </w:p>
    <w:p w14:paraId="2F3C478B">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b/>
          <w:color w:val="auto"/>
          <w:sz w:val="24"/>
          <w:highlight w:val="none"/>
        </w:rPr>
        <w:t>（受托人身份证复印件附后)</w:t>
      </w:r>
    </w:p>
    <w:p w14:paraId="066EDC45">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auto"/>
          <w:highlight w:val="none"/>
        </w:rPr>
      </w:pPr>
      <w:r>
        <w:rPr>
          <w:color w:val="auto"/>
          <w:highlight w:val="none"/>
        </w:rPr>
        <w:br w:type="page" w:clear="all"/>
      </w:r>
    </w:p>
    <w:p w14:paraId="6ECD5287">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auto"/>
          <w:highlight w:val="none"/>
        </w:rPr>
      </w:pPr>
      <w:r>
        <w:rPr>
          <w:rFonts w:ascii="宋体" w:hAnsi="宋体" w:eastAsia="宋体" w:cs="宋体"/>
          <w:b/>
          <w:color w:val="auto"/>
          <w:sz w:val="36"/>
          <w:highlight w:val="none"/>
        </w:rPr>
        <w:t>9、</w:t>
      </w:r>
      <w:r>
        <w:rPr>
          <w:rFonts w:ascii="宋体" w:hAnsi="宋体" w:eastAsia="宋体" w:cs="宋体"/>
          <w:b/>
          <w:color w:val="auto"/>
          <w:sz w:val="36"/>
          <w:highlight w:val="none"/>
          <w:u w:val="none"/>
        </w:rPr>
        <w:t>中小企业声明函</w:t>
      </w:r>
    </w:p>
    <w:p w14:paraId="3185FB49">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rFonts w:hint="eastAsia" w:eastAsia="宋体"/>
          <w:color w:val="auto"/>
          <w:highlight w:val="none"/>
          <w:lang w:eastAsia="zh-CN"/>
        </w:rPr>
      </w:pPr>
      <w:r>
        <w:rPr>
          <w:rFonts w:ascii="宋体" w:hAnsi="宋体" w:eastAsia="宋体" w:cs="宋体"/>
          <w:color w:val="auto"/>
          <w:sz w:val="24"/>
          <w:highlight w:val="none"/>
        </w:rPr>
        <w:t>项目编号：</w:t>
      </w:r>
      <w:r>
        <w:rPr>
          <w:rFonts w:hint="eastAsia" w:ascii="宋体" w:hAnsi="宋体" w:cs="宋体"/>
          <w:color w:val="auto"/>
          <w:sz w:val="24"/>
          <w:highlight w:val="none"/>
          <w:lang w:eastAsia="zh-CN"/>
        </w:rPr>
        <w:t>JSZC-320300-ZJZB-C2026-0087</w:t>
      </w:r>
    </w:p>
    <w:p w14:paraId="4C23AF34">
      <w:pPr>
        <w:pBdr>
          <w:top w:val="none" w:color="000000" w:sz="0" w:space="0"/>
          <w:left w:val="none" w:color="000000" w:sz="0" w:space="0"/>
          <w:bottom w:val="none" w:color="000000" w:sz="0" w:space="0"/>
          <w:right w:val="none" w:color="000000" w:sz="0" w:space="0"/>
        </w:pBdr>
        <w:spacing w:before="0" w:after="0" w:line="479" w:lineRule="atLeast"/>
        <w:ind w:left="0" w:right="0" w:firstLine="504"/>
        <w:jc w:val="both"/>
        <w:rPr>
          <w:color w:val="auto"/>
          <w:highlight w:val="none"/>
        </w:rPr>
      </w:pPr>
      <w:r>
        <w:rPr>
          <w:rFonts w:ascii="宋体" w:hAnsi="宋体" w:eastAsia="宋体" w:cs="宋体"/>
          <w:color w:val="auto"/>
          <w:spacing w:val="6"/>
          <w:sz w:val="24"/>
          <w:highlight w:val="none"/>
        </w:rPr>
        <w:t>项目名称：</w:t>
      </w:r>
      <w:r>
        <w:rPr>
          <w:rFonts w:hint="eastAsia" w:ascii="宋体" w:hAnsi="宋体" w:cs="宋体"/>
          <w:color w:val="auto"/>
          <w:spacing w:val="6"/>
          <w:sz w:val="24"/>
          <w:highlight w:val="none"/>
          <w:lang w:eastAsia="zh-CN"/>
        </w:rPr>
        <w:t>土山汉墓发掘报告出版项目</w:t>
      </w:r>
      <w:r>
        <w:rPr>
          <w:rFonts w:ascii="宋体" w:hAnsi="宋体" w:eastAsia="宋体" w:cs="宋体"/>
          <w:color w:val="auto"/>
          <w:spacing w:val="6"/>
          <w:sz w:val="24"/>
          <w:highlight w:val="none"/>
        </w:rPr>
        <w:t> </w:t>
      </w:r>
    </w:p>
    <w:p w14:paraId="645E9954">
      <w:pPr>
        <w:pBdr>
          <w:top w:val="none" w:color="000000" w:sz="0" w:space="0"/>
          <w:left w:val="none" w:color="000000" w:sz="0" w:space="0"/>
          <w:bottom w:val="none" w:color="000000" w:sz="0" w:space="0"/>
          <w:right w:val="none" w:color="000000" w:sz="0" w:space="0"/>
        </w:pBdr>
        <w:spacing w:before="0" w:after="0" w:line="479" w:lineRule="atLeast"/>
        <w:ind w:left="0" w:right="0" w:firstLine="504"/>
        <w:jc w:val="both"/>
        <w:rPr>
          <w:rFonts w:hint="eastAsia" w:eastAsia="宋体"/>
          <w:color w:val="auto"/>
          <w:highlight w:val="none"/>
          <w:lang w:eastAsia="zh-CN"/>
        </w:rPr>
      </w:pPr>
      <w:r>
        <w:rPr>
          <w:rFonts w:ascii="宋体" w:hAnsi="宋体" w:eastAsia="宋体" w:cs="宋体"/>
          <w:color w:val="auto"/>
          <w:spacing w:val="6"/>
          <w:sz w:val="24"/>
          <w:highlight w:val="none"/>
        </w:rPr>
        <w:t>项目编号：</w:t>
      </w:r>
      <w:r>
        <w:rPr>
          <w:rFonts w:hint="eastAsia" w:ascii="宋体" w:hAnsi="宋体" w:cs="宋体"/>
          <w:color w:val="auto"/>
          <w:spacing w:val="6"/>
          <w:sz w:val="24"/>
          <w:highlight w:val="none"/>
          <w:lang w:eastAsia="zh-CN"/>
        </w:rPr>
        <w:t>JSZC-320300-ZJZB-C2026-0087</w:t>
      </w:r>
    </w:p>
    <w:p w14:paraId="168B8D95">
      <w:pPr>
        <w:pBdr>
          <w:top w:val="none" w:color="000000" w:sz="0" w:space="0"/>
          <w:left w:val="none" w:color="000000" w:sz="0" w:space="0"/>
          <w:bottom w:val="none" w:color="000000" w:sz="0" w:space="0"/>
          <w:right w:val="none" w:color="000000" w:sz="0" w:space="0"/>
        </w:pBdr>
        <w:spacing w:before="0" w:after="0" w:line="479" w:lineRule="atLeast"/>
        <w:ind w:left="0" w:right="0" w:firstLine="504"/>
        <w:jc w:val="both"/>
        <w:rPr>
          <w:rFonts w:ascii="宋体" w:hAnsi="宋体" w:eastAsia="宋体" w:cs="宋体"/>
          <w:color w:val="auto"/>
          <w:spacing w:val="6"/>
          <w:sz w:val="24"/>
          <w:highlight w:val="none"/>
        </w:rPr>
      </w:pPr>
    </w:p>
    <w:p w14:paraId="0D9017E1">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本公司郑重声明，根据《政府采购促进中小企业发展管理办法》（财库﹝2020﹞46 号）的规定，本公司参加</w:t>
      </w:r>
      <w:r>
        <w:rPr>
          <w:rFonts w:hint="eastAsia" w:ascii="宋体" w:hAnsi="宋体" w:eastAsia="宋体" w:cs="宋体"/>
          <w:color w:val="auto"/>
          <w:sz w:val="24"/>
          <w:szCs w:val="24"/>
          <w:highlight w:val="none"/>
          <w:u w:val="single"/>
        </w:rPr>
        <w:t>（单位名称）</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采购活动，服务全部由符合政策要求的中小企业承接。相关企业的具体情况如下：</w:t>
      </w:r>
    </w:p>
    <w:p w14:paraId="2CDC0194">
      <w:pPr>
        <w:spacing w:line="480" w:lineRule="exact"/>
        <w:ind w:firstLine="480" w:firstLineChars="200"/>
        <w:rPr>
          <w:rFonts w:hint="eastAsia" w:ascii="宋体" w:hAnsi="宋体" w:eastAsia="宋体" w:cs="宋体"/>
          <w:color w:val="auto"/>
          <w:spacing w:val="6"/>
          <w:sz w:val="24"/>
          <w:szCs w:val="24"/>
          <w:highlight w:val="none"/>
        </w:rPr>
      </w:pPr>
      <w:r>
        <w:rPr>
          <w:rFonts w:hint="eastAsia" w:ascii="宋体" w:hAnsi="宋体" w:eastAsia="宋体" w:cs="宋体"/>
          <w:color w:val="auto"/>
          <w:sz w:val="24"/>
          <w:szCs w:val="24"/>
          <w:highlight w:val="none"/>
          <w:u w:val="single"/>
        </w:rPr>
        <w:t>（</w:t>
      </w:r>
      <w:r>
        <w:rPr>
          <w:rFonts w:hint="eastAsia" w:ascii="宋体" w:hAnsi="宋体" w:cs="宋体"/>
          <w:color w:val="auto"/>
          <w:spacing w:val="6"/>
          <w:sz w:val="24"/>
          <w:highlight w:val="none"/>
          <w:u w:val="single"/>
          <w:lang w:eastAsia="zh-CN"/>
        </w:rPr>
        <w:t>土山汉墓发掘报告出版项目</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eastAsia="zh-CN"/>
        </w:rPr>
        <w:t>其他未列明行业</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 承建（承接）企业为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万元，属于（□中型企业、□小型企业、</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微型企业</w:t>
      </w:r>
      <w:r>
        <w:rPr>
          <w:rFonts w:hint="eastAsia" w:ascii="宋体" w:hAnsi="宋体" w:eastAsia="宋体" w:cs="宋体"/>
          <w:color w:val="auto"/>
          <w:sz w:val="24"/>
          <w:szCs w:val="24"/>
          <w:highlight w:val="none"/>
          <w:lang w:eastAsia="zh-CN"/>
        </w:rPr>
        <w:t>，请勾选！</w:t>
      </w:r>
      <w:r>
        <w:rPr>
          <w:rFonts w:hint="eastAsia" w:ascii="宋体" w:hAnsi="宋体" w:eastAsia="宋体" w:cs="宋体"/>
          <w:color w:val="auto"/>
          <w:sz w:val="24"/>
          <w:szCs w:val="24"/>
          <w:highlight w:val="none"/>
        </w:rPr>
        <w:t>）；</w:t>
      </w:r>
    </w:p>
    <w:p w14:paraId="67240420">
      <w:pPr>
        <w:spacing w:line="480" w:lineRule="exact"/>
        <w:ind w:firstLine="480" w:firstLineChars="200"/>
        <w:rPr>
          <w:rFonts w:hint="eastAsia" w:ascii="宋体" w:hAnsi="宋体" w:eastAsia="宋体" w:cs="宋体"/>
          <w:color w:val="auto"/>
          <w:spacing w:val="6"/>
          <w:sz w:val="24"/>
          <w:szCs w:val="24"/>
          <w:highlight w:val="none"/>
        </w:rPr>
      </w:pPr>
      <w:r>
        <w:rPr>
          <w:rFonts w:hint="eastAsia"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06CC9F0A">
      <w:pPr>
        <w:spacing w:line="480" w:lineRule="exact"/>
        <w:ind w:firstLine="480" w:firstLineChars="200"/>
        <w:rPr>
          <w:rFonts w:hint="eastAsia" w:ascii="宋体" w:hAnsi="宋体" w:eastAsia="宋体" w:cs="宋体"/>
          <w:color w:val="auto"/>
          <w:spacing w:val="6"/>
          <w:sz w:val="24"/>
          <w:szCs w:val="24"/>
          <w:highlight w:val="none"/>
        </w:rPr>
      </w:pPr>
      <w:r>
        <w:rPr>
          <w:rFonts w:hint="eastAsia" w:ascii="宋体" w:hAnsi="宋体" w:eastAsia="宋体" w:cs="宋体"/>
          <w:color w:val="auto"/>
          <w:sz w:val="24"/>
          <w:szCs w:val="24"/>
          <w:highlight w:val="none"/>
        </w:rPr>
        <w:t>本企业对上述声明内容的真实性负责。如有虚假，将依法承担相应责任。</w:t>
      </w:r>
    </w:p>
    <w:p w14:paraId="26A8B4CF">
      <w:pPr>
        <w:widowControl/>
        <w:spacing w:line="480" w:lineRule="exact"/>
        <w:ind w:firstLine="600"/>
        <w:jc w:val="left"/>
        <w:rPr>
          <w:rFonts w:hint="eastAsia" w:ascii="宋体" w:hAnsi="宋体" w:eastAsia="宋体" w:cs="宋体"/>
          <w:color w:val="auto"/>
          <w:kern w:val="0"/>
          <w:sz w:val="24"/>
          <w:szCs w:val="24"/>
          <w:highlight w:val="none"/>
        </w:rPr>
      </w:pPr>
    </w:p>
    <w:p w14:paraId="0E1F151D">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企业名称（盖单位电子签章）：</w:t>
      </w:r>
    </w:p>
    <w:p w14:paraId="7988573F">
      <w:pPr>
        <w:autoSpaceDE w:val="0"/>
        <w:autoSpaceDN w:val="0"/>
        <w:spacing w:line="46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日期：</w:t>
      </w:r>
    </w:p>
    <w:p w14:paraId="321F12AE">
      <w:pPr>
        <w:autoSpaceDE w:val="0"/>
        <w:autoSpaceDN w:val="0"/>
        <w:spacing w:line="46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注：本项目采购的服务属于</w:t>
      </w:r>
      <w:r>
        <w:rPr>
          <w:rFonts w:hint="eastAsia" w:ascii="宋体" w:hAnsi="宋体" w:eastAsia="宋体" w:cs="宋体"/>
          <w:color w:val="auto"/>
          <w:sz w:val="24"/>
          <w:szCs w:val="24"/>
          <w:highlight w:val="none"/>
          <w:u w:val="single"/>
          <w:lang w:eastAsia="zh-CN"/>
        </w:rPr>
        <w:t>其他未列明行业</w:t>
      </w:r>
      <w:r>
        <w:rPr>
          <w:rFonts w:hint="eastAsia" w:ascii="宋体" w:hAnsi="宋体" w:eastAsia="宋体" w:cs="宋体"/>
          <w:color w:val="auto"/>
          <w:sz w:val="24"/>
          <w:szCs w:val="24"/>
          <w:highlight w:val="none"/>
        </w:rPr>
        <w:t>。</w:t>
      </w:r>
    </w:p>
    <w:p w14:paraId="68FB2C56">
      <w:pPr>
        <w:pStyle w:val="10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说明：</w:t>
      </w:r>
    </w:p>
    <w:p w14:paraId="1ED1E339">
      <w:pPr>
        <w:spacing w:line="480" w:lineRule="exact"/>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中小微企业的划分具体以《政府采购促进中小企业发展管理办法》（财库﹝2020﹞46号）和《工业和信息化部、国家统计局、国家发展和改革委员会、财政部关于印发中小企业划型标准规定的通知》（工信部联企业[2011]300号）的规定为准。</w:t>
      </w:r>
    </w:p>
    <w:p w14:paraId="388EAEAB">
      <w:pPr>
        <w:spacing w:line="480" w:lineRule="exact"/>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2.从业人员、营业收入、资产总额填报供应商上一年度数据，无上一年度数据的新成立企业可不填报。</w:t>
      </w:r>
    </w:p>
    <w:p w14:paraId="25E6BC2C">
      <w:pPr>
        <w:spacing w:line="480" w:lineRule="exact"/>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3.成交供应商为小型、微型企业的，采购人或者其委托的采购代理机构有权随中标、成交结果同时公告其《中小企业声明函》，接受社会监督。</w:t>
      </w:r>
    </w:p>
    <w:p w14:paraId="38D1D1BD">
      <w:pPr>
        <w:spacing w:line="480" w:lineRule="exact"/>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4.执行江苏省财政厅关于进一步加大政府采购支持中小企业力度的通知（苏财购〔2022〕45号）的规定。</w:t>
      </w:r>
    </w:p>
    <w:p w14:paraId="6683C466">
      <w:pPr>
        <w:spacing w:line="480" w:lineRule="exact"/>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5.供应商提供的《中小企业声明函》与事实不符的，依照《政府采购法》第七十七条第一款的规定追究法律责任。</w:t>
      </w:r>
    </w:p>
    <w:p w14:paraId="12654AD6">
      <w:pPr>
        <w:spacing w:line="480" w:lineRule="exact"/>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6.《中小企业声明函》查询渠道用微信搜索“中小企业规模类型自测小程序”。</w:t>
      </w:r>
    </w:p>
    <w:p w14:paraId="3F4A1C2D">
      <w:pPr>
        <w:pStyle w:val="15"/>
        <w:rPr>
          <w:rFonts w:ascii="宋体" w:hAnsi="宋体"/>
          <w:color w:val="auto"/>
          <w:highlight w:val="none"/>
        </w:rPr>
      </w:pPr>
      <w:r>
        <w:rPr>
          <w:rFonts w:hint="eastAsia" w:ascii="宋体" w:hAnsi="宋体"/>
          <w:color w:val="auto"/>
          <w:highlight w:val="none"/>
        </w:rPr>
        <w:drawing>
          <wp:inline distT="0" distB="0" distL="114300" distR="114300">
            <wp:extent cx="2331085" cy="4370705"/>
            <wp:effectExtent l="0" t="0" r="12065" b="10795"/>
            <wp:docPr id="2" name="图片 1"/>
            <wp:cNvGraphicFramePr/>
            <a:graphic xmlns:a="http://schemas.openxmlformats.org/drawingml/2006/main">
              <a:graphicData uri="http://schemas.openxmlformats.org/drawingml/2006/picture">
                <pic:pic xmlns:pic="http://schemas.openxmlformats.org/drawingml/2006/picture">
                  <pic:nvPicPr>
                    <pic:cNvPr id="2" name="图片 1"/>
                    <pic:cNvPicPr/>
                  </pic:nvPicPr>
                  <pic:blipFill>
                    <a:blip r:embed="rId7"/>
                    <a:srcRect t="4498"/>
                    <a:stretch>
                      <a:fillRect/>
                    </a:stretch>
                  </pic:blipFill>
                  <pic:spPr>
                    <a:xfrm>
                      <a:off x="0" y="0"/>
                      <a:ext cx="2331085" cy="4370705"/>
                    </a:xfrm>
                    <a:prstGeom prst="rect">
                      <a:avLst/>
                    </a:prstGeom>
                    <a:noFill/>
                    <a:ln>
                      <a:noFill/>
                    </a:ln>
                  </pic:spPr>
                </pic:pic>
              </a:graphicData>
            </a:graphic>
          </wp:inline>
        </w:drawing>
      </w:r>
    </w:p>
    <w:p w14:paraId="33C47CD8">
      <w:pPr>
        <w:pBdr>
          <w:top w:val="none" w:color="000000" w:sz="0" w:space="0"/>
          <w:left w:val="none" w:color="000000" w:sz="0" w:space="0"/>
          <w:bottom w:val="none" w:color="000000" w:sz="0" w:space="0"/>
          <w:right w:val="none" w:color="000000" w:sz="0" w:space="0"/>
        </w:pBdr>
        <w:spacing w:before="0" w:after="0" w:line="479" w:lineRule="atLeast"/>
        <w:ind w:left="0" w:right="0" w:firstLine="482"/>
        <w:jc w:val="both"/>
        <w:rPr>
          <w:color w:val="auto"/>
          <w:highlight w:val="none"/>
        </w:rPr>
      </w:pPr>
      <w:r>
        <w:rPr>
          <w:rFonts w:ascii="宋体" w:hAnsi="宋体" w:eastAsia="宋体" w:cs="宋体"/>
          <w:b/>
          <w:color w:val="auto"/>
          <w:sz w:val="24"/>
          <w:highlight w:val="none"/>
        </w:rPr>
        <w:t>注：本项目采购项目属性为：</w:t>
      </w:r>
      <w:r>
        <w:rPr>
          <w:rFonts w:hint="eastAsia" w:ascii="宋体" w:hAnsi="宋体" w:eastAsia="宋体" w:cs="宋体"/>
          <w:b/>
          <w:color w:val="auto"/>
          <w:sz w:val="24"/>
          <w:highlight w:val="none"/>
          <w:lang w:eastAsia="zh-CN"/>
        </w:rPr>
        <w:t>其他未列明</w:t>
      </w:r>
      <w:r>
        <w:rPr>
          <w:rFonts w:hint="eastAsia" w:ascii="宋体" w:hAnsi="宋体" w:cs="宋体"/>
          <w:b/>
          <w:color w:val="auto"/>
          <w:sz w:val="24"/>
          <w:highlight w:val="none"/>
          <w:lang w:eastAsia="zh-CN"/>
        </w:rPr>
        <w:t>行业</w:t>
      </w:r>
      <w:r>
        <w:rPr>
          <w:rFonts w:ascii="宋体" w:hAnsi="宋体" w:eastAsia="宋体" w:cs="宋体"/>
          <w:b/>
          <w:color w:val="auto"/>
          <w:sz w:val="24"/>
          <w:highlight w:val="none"/>
        </w:rPr>
        <w:t>。</w:t>
      </w:r>
    </w:p>
    <w:p w14:paraId="37D418EA">
      <w:pPr>
        <w:pBdr>
          <w:top w:val="none" w:color="000000" w:sz="0" w:space="0"/>
          <w:left w:val="none" w:color="000000" w:sz="0" w:space="0"/>
          <w:bottom w:val="none" w:color="000000" w:sz="0" w:space="0"/>
          <w:right w:val="none" w:color="000000" w:sz="0" w:space="0"/>
        </w:pBdr>
        <w:spacing w:before="0" w:after="0" w:line="479" w:lineRule="atLeast"/>
        <w:ind w:left="0" w:right="0" w:firstLine="482"/>
        <w:jc w:val="both"/>
        <w:rPr>
          <w:color w:val="auto"/>
          <w:highlight w:val="none"/>
        </w:rPr>
      </w:pPr>
      <w:r>
        <w:rPr>
          <w:rFonts w:ascii="宋体" w:hAnsi="宋体" w:eastAsia="宋体" w:cs="宋体"/>
          <w:b/>
          <w:color w:val="auto"/>
          <w:sz w:val="24"/>
          <w:highlight w:val="none"/>
        </w:rPr>
        <w:t>备注：从业人员、营业收入、资产总额填报上一年度数据，无上一年度数据的新成立企业可不填报。</w:t>
      </w:r>
    </w:p>
    <w:p w14:paraId="4AB153E0">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p>
    <w:p w14:paraId="5C2B0E16">
      <w:pPr>
        <w:pBdr>
          <w:top w:val="none" w:color="000000" w:sz="0" w:space="0"/>
          <w:left w:val="none" w:color="000000" w:sz="0" w:space="0"/>
          <w:bottom w:val="none" w:color="000000" w:sz="0" w:space="0"/>
          <w:right w:val="none" w:color="000000" w:sz="0" w:space="0"/>
        </w:pBdr>
        <w:spacing w:before="0" w:after="0"/>
        <w:ind w:left="0" w:right="0" w:firstLine="0"/>
        <w:jc w:val="center"/>
        <w:rPr>
          <w:rFonts w:ascii="宋体" w:hAnsi="宋体" w:eastAsia="宋体" w:cs="宋体"/>
          <w:b/>
          <w:color w:val="auto"/>
          <w:sz w:val="36"/>
          <w:highlight w:val="none"/>
        </w:rPr>
        <w:sectPr>
          <w:footerReference r:id="rId5" w:type="first"/>
          <w:headerReference r:id="rId3" w:type="default"/>
          <w:footerReference r:id="rId4" w:type="default"/>
          <w:pgSz w:w="11906" w:h="16838"/>
          <w:pgMar w:top="1383" w:right="1440" w:bottom="1383" w:left="1440" w:header="851" w:footer="992" w:gutter="0"/>
          <w:pgBorders>
            <w:top w:val="none" w:sz="0" w:space="0"/>
            <w:left w:val="none" w:sz="0" w:space="0"/>
            <w:bottom w:val="none" w:sz="0" w:space="0"/>
            <w:right w:val="none" w:sz="0" w:space="0"/>
          </w:pgBorders>
          <w:cols w:space="720" w:num="1"/>
          <w:titlePg/>
          <w:docGrid w:linePitch="360" w:charSpace="0"/>
        </w:sectPr>
      </w:pPr>
    </w:p>
    <w:p w14:paraId="19A87638">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b/>
          <w:color w:val="auto"/>
          <w:sz w:val="36"/>
          <w:highlight w:val="none"/>
        </w:rPr>
        <w:t>10、供应商参加政府采购活动前3年内在经营活动中没有重大违法记录的书面声明</w:t>
      </w:r>
    </w:p>
    <w:p w14:paraId="56ADF6C0">
      <w:pPr>
        <w:pBdr>
          <w:top w:val="none" w:color="000000" w:sz="0" w:space="0"/>
          <w:left w:val="none" w:color="000000" w:sz="0" w:space="0"/>
          <w:bottom w:val="none" w:color="000000" w:sz="0" w:space="0"/>
          <w:right w:val="none" w:color="000000" w:sz="0" w:space="0"/>
        </w:pBdr>
        <w:spacing w:before="100" w:after="100" w:line="85" w:lineRule="atLeast"/>
        <w:ind w:left="0" w:right="0" w:firstLine="480"/>
        <w:rPr>
          <w:color w:val="auto"/>
          <w:sz w:val="24"/>
          <w:szCs w:val="24"/>
          <w:highlight w:val="none"/>
        </w:rPr>
      </w:pPr>
      <w:r>
        <w:rPr>
          <w:rFonts w:ascii="宋体" w:hAnsi="宋体" w:eastAsia="宋体" w:cs="宋体"/>
          <w:color w:val="auto"/>
          <w:sz w:val="24"/>
          <w:szCs w:val="24"/>
          <w:highlight w:val="none"/>
        </w:rPr>
        <w:t>我单位在参加</w:t>
      </w:r>
      <w:r>
        <w:rPr>
          <w:rFonts w:hint="eastAsia" w:ascii="宋体" w:hAnsi="宋体" w:cs="宋体"/>
          <w:color w:val="auto"/>
          <w:sz w:val="24"/>
          <w:szCs w:val="24"/>
          <w:highlight w:val="none"/>
          <w:lang w:eastAsia="zh-CN"/>
        </w:rPr>
        <w:t>土山汉墓发掘报告出版项目</w:t>
      </w:r>
      <w:r>
        <w:rPr>
          <w:rFonts w:ascii="宋体" w:hAnsi="宋体" w:eastAsia="宋体" w:cs="宋体"/>
          <w:color w:val="auto"/>
          <w:sz w:val="24"/>
          <w:szCs w:val="24"/>
          <w:highlight w:val="none"/>
        </w:rPr>
        <w:t>（项目编号：</w:t>
      </w:r>
      <w:r>
        <w:rPr>
          <w:rFonts w:hint="eastAsia" w:ascii="宋体" w:hAnsi="宋体" w:cs="宋体"/>
          <w:color w:val="auto"/>
          <w:sz w:val="24"/>
          <w:szCs w:val="24"/>
          <w:highlight w:val="none"/>
          <w:lang w:eastAsia="zh-CN"/>
        </w:rPr>
        <w:t>JSZC-320300-ZJZB-C2026-0087</w:t>
      </w:r>
      <w:r>
        <w:rPr>
          <w:rFonts w:ascii="宋体" w:hAnsi="宋体" w:eastAsia="宋体" w:cs="宋体"/>
          <w:color w:val="auto"/>
          <w:sz w:val="24"/>
          <w:szCs w:val="24"/>
          <w:highlight w:val="none"/>
        </w:rPr>
        <w:t>）政府采购活动前3年内在经营活动中没有重大违法记录。重大违法记录是指因违法经营受到刑事处罚或者责令停产停业、吊销许可证或者执照、较大数额罚款等行政处罚。</w:t>
      </w:r>
    </w:p>
    <w:p w14:paraId="0B95B7B3">
      <w:pPr>
        <w:pBdr>
          <w:top w:val="none" w:color="000000" w:sz="0" w:space="0"/>
          <w:left w:val="none" w:color="000000" w:sz="0" w:space="0"/>
          <w:bottom w:val="none" w:color="000000" w:sz="0" w:space="0"/>
          <w:right w:val="none" w:color="000000" w:sz="0" w:space="0"/>
        </w:pBdr>
        <w:spacing w:before="100" w:after="100" w:line="85" w:lineRule="atLeast"/>
        <w:ind w:left="0" w:right="0" w:firstLine="480"/>
        <w:rPr>
          <w:color w:val="auto"/>
          <w:sz w:val="24"/>
          <w:szCs w:val="24"/>
          <w:highlight w:val="none"/>
        </w:rPr>
      </w:pPr>
      <w:r>
        <w:rPr>
          <w:rFonts w:ascii="宋体" w:hAnsi="宋体" w:eastAsia="宋体" w:cs="宋体"/>
          <w:color w:val="auto"/>
          <w:sz w:val="24"/>
          <w:szCs w:val="24"/>
          <w:highlight w:val="none"/>
        </w:rPr>
        <w:t>我单位对上述声明的真实性负责。如有虚假，将依法承担相应责任。</w:t>
      </w:r>
    </w:p>
    <w:p w14:paraId="1A721E49">
      <w:pPr>
        <w:pBdr>
          <w:top w:val="none" w:color="000000" w:sz="0" w:space="0"/>
          <w:left w:val="none" w:color="000000" w:sz="0" w:space="0"/>
          <w:bottom w:val="none" w:color="000000" w:sz="0" w:space="0"/>
          <w:right w:val="none" w:color="000000" w:sz="0" w:space="0"/>
        </w:pBdr>
        <w:spacing w:before="0" w:after="0"/>
        <w:ind w:left="0" w:right="29" w:firstLine="0"/>
        <w:jc w:val="both"/>
        <w:rPr>
          <w:color w:val="auto"/>
          <w:sz w:val="24"/>
          <w:szCs w:val="24"/>
          <w:highlight w:val="none"/>
        </w:rPr>
      </w:pPr>
      <w:r>
        <w:rPr>
          <w:rFonts w:ascii="宋体" w:hAnsi="宋体" w:eastAsia="宋体" w:cs="宋体"/>
          <w:color w:val="auto"/>
          <w:sz w:val="24"/>
          <w:szCs w:val="24"/>
          <w:highlight w:val="none"/>
        </w:rPr>
        <w:t> </w:t>
      </w:r>
    </w:p>
    <w:p w14:paraId="420238BD">
      <w:pPr>
        <w:pBdr>
          <w:top w:val="none" w:color="000000" w:sz="0" w:space="0"/>
          <w:left w:val="none" w:color="000000" w:sz="0" w:space="0"/>
          <w:bottom w:val="none" w:color="000000" w:sz="0" w:space="0"/>
          <w:right w:val="none" w:color="000000" w:sz="0" w:space="0"/>
        </w:pBdr>
        <w:spacing w:before="0" w:after="0"/>
        <w:ind w:left="0" w:right="29" w:firstLine="0"/>
        <w:jc w:val="both"/>
        <w:rPr>
          <w:color w:val="auto"/>
          <w:sz w:val="24"/>
          <w:szCs w:val="24"/>
          <w:highlight w:val="none"/>
        </w:rPr>
      </w:pPr>
      <w:r>
        <w:rPr>
          <w:rFonts w:ascii="宋体" w:hAnsi="宋体" w:eastAsia="宋体" w:cs="宋体"/>
          <w:color w:val="auto"/>
          <w:sz w:val="24"/>
          <w:szCs w:val="24"/>
          <w:highlight w:val="none"/>
        </w:rPr>
        <w:t> </w:t>
      </w:r>
    </w:p>
    <w:p w14:paraId="5AB8159A">
      <w:pPr>
        <w:pBdr>
          <w:top w:val="none" w:color="000000" w:sz="0" w:space="0"/>
          <w:left w:val="none" w:color="000000" w:sz="0" w:space="0"/>
          <w:bottom w:val="none" w:color="000000" w:sz="0" w:space="0"/>
          <w:right w:val="none" w:color="000000" w:sz="0" w:space="0"/>
        </w:pBdr>
        <w:spacing w:before="0" w:after="0" w:line="85" w:lineRule="atLeast"/>
        <w:ind w:left="0" w:right="29" w:firstLine="0"/>
        <w:jc w:val="both"/>
        <w:rPr>
          <w:color w:val="auto"/>
          <w:sz w:val="24"/>
          <w:szCs w:val="24"/>
          <w:highlight w:val="none"/>
        </w:rPr>
      </w:pPr>
      <w:r>
        <w:rPr>
          <w:rFonts w:ascii="宋体" w:hAnsi="宋体" w:eastAsia="宋体" w:cs="宋体"/>
          <w:color w:val="auto"/>
          <w:sz w:val="24"/>
          <w:szCs w:val="24"/>
          <w:highlight w:val="none"/>
        </w:rPr>
        <w:t>                          供应商（电子签章）：</w:t>
      </w:r>
    </w:p>
    <w:p w14:paraId="77AAA6F9">
      <w:pPr>
        <w:pBdr>
          <w:top w:val="none" w:color="000000" w:sz="0" w:space="0"/>
          <w:left w:val="none" w:color="000000" w:sz="0" w:space="0"/>
          <w:bottom w:val="none" w:color="000000" w:sz="0" w:space="0"/>
          <w:right w:val="none" w:color="000000" w:sz="0" w:space="0"/>
        </w:pBdr>
        <w:spacing w:before="0" w:after="0" w:line="85" w:lineRule="atLeast"/>
        <w:ind w:left="0" w:right="29" w:firstLine="0"/>
        <w:jc w:val="both"/>
        <w:rPr>
          <w:color w:val="auto"/>
          <w:sz w:val="24"/>
          <w:szCs w:val="24"/>
          <w:highlight w:val="none"/>
        </w:rPr>
      </w:pPr>
      <w:r>
        <w:rPr>
          <w:rFonts w:ascii="宋体" w:hAnsi="宋体" w:eastAsia="宋体" w:cs="宋体"/>
          <w:color w:val="auto"/>
          <w:sz w:val="24"/>
          <w:szCs w:val="24"/>
          <w:highlight w:val="none"/>
        </w:rPr>
        <w:t>                          日期：</w:t>
      </w:r>
    </w:p>
    <w:p w14:paraId="1F4FD643">
      <w:pPr>
        <w:pBdr>
          <w:top w:val="none" w:color="000000" w:sz="0" w:space="0"/>
          <w:left w:val="none" w:color="000000" w:sz="0" w:space="0"/>
          <w:bottom w:val="none" w:color="000000" w:sz="0" w:space="0"/>
          <w:right w:val="none" w:color="000000" w:sz="0" w:space="0"/>
        </w:pBdr>
        <w:spacing w:before="0" w:after="0" w:line="85" w:lineRule="atLeast"/>
        <w:ind w:left="239" w:right="0" w:firstLine="2640"/>
        <w:rPr>
          <w:color w:val="auto"/>
          <w:highlight w:val="none"/>
        </w:rPr>
      </w:pPr>
      <w:r>
        <w:rPr>
          <w:rFonts w:ascii="宋体" w:hAnsi="宋体" w:eastAsia="宋体" w:cs="宋体"/>
          <w:color w:val="auto"/>
          <w:sz w:val="24"/>
          <w:highlight w:val="none"/>
        </w:rPr>
        <w:t> </w:t>
      </w:r>
    </w:p>
    <w:p w14:paraId="5462B537">
      <w:pPr>
        <w:pBdr>
          <w:top w:val="none" w:color="000000" w:sz="0" w:space="0"/>
          <w:left w:val="none" w:color="000000" w:sz="0" w:space="0"/>
          <w:bottom w:val="none" w:color="000000" w:sz="0" w:space="0"/>
          <w:right w:val="none" w:color="000000" w:sz="0" w:space="0"/>
        </w:pBdr>
        <w:spacing w:before="100" w:after="100"/>
        <w:ind w:left="239" w:right="0" w:firstLine="2640"/>
        <w:rPr>
          <w:color w:val="auto"/>
          <w:highlight w:val="none"/>
        </w:rPr>
      </w:pPr>
      <w:r>
        <w:rPr>
          <w:rFonts w:ascii="宋体" w:hAnsi="宋体" w:eastAsia="宋体" w:cs="宋体"/>
          <w:color w:val="auto"/>
          <w:sz w:val="24"/>
          <w:highlight w:val="none"/>
        </w:rPr>
        <w:t> </w:t>
      </w:r>
    </w:p>
    <w:p w14:paraId="596FE8B2">
      <w:pPr>
        <w:pBdr>
          <w:top w:val="none" w:color="000000" w:sz="0" w:space="0"/>
          <w:left w:val="none" w:color="000000" w:sz="0" w:space="0"/>
          <w:bottom w:val="none" w:color="000000" w:sz="0" w:space="0"/>
          <w:right w:val="none" w:color="000000" w:sz="0" w:space="0"/>
        </w:pBdr>
        <w:spacing w:before="100" w:after="100"/>
        <w:ind w:left="239" w:right="0" w:firstLine="2640"/>
        <w:rPr>
          <w:color w:val="auto"/>
          <w:highlight w:val="none"/>
        </w:rPr>
      </w:pPr>
      <w:r>
        <w:rPr>
          <w:rFonts w:ascii="宋体" w:hAnsi="宋体" w:eastAsia="宋体" w:cs="宋体"/>
          <w:color w:val="auto"/>
          <w:sz w:val="24"/>
          <w:highlight w:val="none"/>
        </w:rPr>
        <w:t> </w:t>
      </w:r>
    </w:p>
    <w:p w14:paraId="5FC09140">
      <w:pPr>
        <w:pBdr>
          <w:top w:val="none" w:color="000000" w:sz="0" w:space="0"/>
          <w:left w:val="none" w:color="000000" w:sz="0" w:space="0"/>
          <w:bottom w:val="none" w:color="000000" w:sz="0" w:space="0"/>
          <w:right w:val="none" w:color="000000" w:sz="0" w:space="0"/>
        </w:pBdr>
        <w:spacing w:before="100" w:after="100"/>
        <w:ind w:left="239" w:right="0" w:firstLine="2640"/>
        <w:rPr>
          <w:color w:val="auto"/>
          <w:highlight w:val="none"/>
        </w:rPr>
      </w:pPr>
      <w:r>
        <w:rPr>
          <w:rFonts w:ascii="宋体" w:hAnsi="宋体" w:eastAsia="宋体" w:cs="宋体"/>
          <w:color w:val="auto"/>
          <w:sz w:val="24"/>
          <w:highlight w:val="none"/>
        </w:rPr>
        <w:t> </w:t>
      </w:r>
    </w:p>
    <w:p w14:paraId="7B534293">
      <w:pPr>
        <w:pBdr>
          <w:top w:val="none" w:color="000000" w:sz="0" w:space="0"/>
          <w:left w:val="none" w:color="000000" w:sz="0" w:space="0"/>
          <w:bottom w:val="none" w:color="000000" w:sz="0" w:space="0"/>
          <w:right w:val="none" w:color="000000" w:sz="0" w:space="0"/>
        </w:pBdr>
        <w:spacing w:before="100" w:after="100"/>
        <w:ind w:left="239" w:right="0" w:firstLine="2640"/>
        <w:rPr>
          <w:color w:val="auto"/>
          <w:highlight w:val="none"/>
        </w:rPr>
      </w:pPr>
      <w:r>
        <w:rPr>
          <w:rFonts w:ascii="宋体" w:hAnsi="宋体" w:eastAsia="宋体" w:cs="宋体"/>
          <w:color w:val="auto"/>
          <w:sz w:val="24"/>
          <w:highlight w:val="none"/>
        </w:rPr>
        <w:t> </w:t>
      </w:r>
    </w:p>
    <w:p w14:paraId="7104D83C">
      <w:pPr>
        <w:pBdr>
          <w:top w:val="none" w:color="000000" w:sz="0" w:space="0"/>
          <w:left w:val="none" w:color="000000" w:sz="0" w:space="0"/>
          <w:bottom w:val="none" w:color="000000" w:sz="0" w:space="0"/>
          <w:right w:val="none" w:color="000000" w:sz="0" w:space="0"/>
        </w:pBdr>
        <w:spacing w:before="100" w:after="100"/>
        <w:ind w:left="239" w:right="0" w:firstLine="2640"/>
        <w:rPr>
          <w:color w:val="auto"/>
          <w:highlight w:val="none"/>
        </w:rPr>
      </w:pPr>
      <w:r>
        <w:rPr>
          <w:rFonts w:ascii="宋体" w:hAnsi="宋体" w:eastAsia="宋体" w:cs="宋体"/>
          <w:color w:val="auto"/>
          <w:sz w:val="24"/>
          <w:highlight w:val="none"/>
        </w:rPr>
        <w:t> </w:t>
      </w:r>
    </w:p>
    <w:p w14:paraId="6E4AEC2B">
      <w:pPr>
        <w:pBdr>
          <w:top w:val="none" w:color="000000" w:sz="0" w:space="0"/>
          <w:left w:val="none" w:color="000000" w:sz="0" w:space="0"/>
          <w:bottom w:val="none" w:color="000000" w:sz="0" w:space="0"/>
          <w:right w:val="none" w:color="000000" w:sz="0" w:space="0"/>
        </w:pBdr>
        <w:spacing w:before="100" w:after="100"/>
        <w:ind w:left="239" w:right="0" w:firstLine="2640"/>
        <w:rPr>
          <w:color w:val="auto"/>
          <w:highlight w:val="none"/>
        </w:rPr>
      </w:pPr>
      <w:r>
        <w:rPr>
          <w:rFonts w:ascii="宋体" w:hAnsi="宋体" w:eastAsia="宋体" w:cs="宋体"/>
          <w:color w:val="auto"/>
          <w:sz w:val="24"/>
          <w:highlight w:val="none"/>
        </w:rPr>
        <w:t> </w:t>
      </w:r>
    </w:p>
    <w:p w14:paraId="0AC82501">
      <w:pPr>
        <w:pBdr>
          <w:top w:val="none" w:color="000000" w:sz="0" w:space="0"/>
          <w:left w:val="none" w:color="000000" w:sz="0" w:space="0"/>
          <w:bottom w:val="none" w:color="000000" w:sz="0" w:space="0"/>
          <w:right w:val="none" w:color="000000" w:sz="0" w:space="0"/>
        </w:pBdr>
        <w:spacing w:before="100" w:after="100"/>
        <w:ind w:left="239" w:right="0" w:firstLine="2640"/>
        <w:rPr>
          <w:color w:val="auto"/>
          <w:highlight w:val="none"/>
        </w:rPr>
      </w:pPr>
      <w:r>
        <w:rPr>
          <w:rFonts w:ascii="宋体" w:hAnsi="宋体" w:eastAsia="宋体" w:cs="宋体"/>
          <w:color w:val="auto"/>
          <w:sz w:val="24"/>
          <w:highlight w:val="none"/>
        </w:rPr>
        <w:t> </w:t>
      </w:r>
    </w:p>
    <w:p w14:paraId="6998808B">
      <w:pPr>
        <w:pBdr>
          <w:top w:val="none" w:color="000000" w:sz="0" w:space="0"/>
          <w:left w:val="none" w:color="000000" w:sz="0" w:space="0"/>
          <w:bottom w:val="none" w:color="000000" w:sz="0" w:space="0"/>
          <w:right w:val="none" w:color="000000" w:sz="0" w:space="0"/>
        </w:pBdr>
        <w:spacing w:before="0" w:after="0"/>
        <w:ind w:left="0" w:right="0" w:firstLine="0"/>
        <w:rPr>
          <w:color w:val="auto"/>
          <w:highlight w:val="none"/>
        </w:rPr>
      </w:pPr>
      <w:r>
        <w:rPr>
          <w:color w:val="auto"/>
          <w:highlight w:val="none"/>
        </w:rPr>
        <w:br w:type="page" w:clear="all"/>
      </w:r>
    </w:p>
    <w:p w14:paraId="121287AD">
      <w:pPr>
        <w:pBdr>
          <w:top w:val="none" w:color="000000" w:sz="0" w:space="0"/>
          <w:left w:val="none" w:color="000000" w:sz="0" w:space="0"/>
          <w:bottom w:val="none" w:color="000000" w:sz="0" w:space="0"/>
          <w:right w:val="none" w:color="000000" w:sz="0" w:space="0"/>
        </w:pBdr>
        <w:spacing w:before="0" w:after="0" w:line="587" w:lineRule="atLeast"/>
        <w:ind w:left="0" w:right="0" w:firstLine="0"/>
        <w:jc w:val="center"/>
        <w:rPr>
          <w:color w:val="auto"/>
          <w:highlight w:val="none"/>
        </w:rPr>
      </w:pPr>
      <w:r>
        <w:rPr>
          <w:rFonts w:ascii="宋体" w:hAnsi="宋体" w:eastAsia="宋体" w:cs="宋体"/>
          <w:b/>
          <w:color w:val="auto"/>
          <w:sz w:val="36"/>
          <w:highlight w:val="none"/>
          <w:u w:val="none"/>
        </w:rPr>
        <w:t>11、残疾人福利性单位声明函</w:t>
      </w:r>
    </w:p>
    <w:p w14:paraId="74F2D381">
      <w:pPr>
        <w:pBdr>
          <w:top w:val="none" w:color="000000" w:sz="0" w:space="0"/>
          <w:left w:val="none" w:color="000000" w:sz="0" w:space="0"/>
          <w:bottom w:val="none" w:color="000000" w:sz="0" w:space="0"/>
          <w:right w:val="none" w:color="000000" w:sz="0" w:space="0"/>
        </w:pBdr>
        <w:spacing w:before="240" w:after="240"/>
        <w:ind w:left="0" w:right="0" w:firstLine="0"/>
        <w:jc w:val="center"/>
        <w:rPr>
          <w:color w:val="auto"/>
          <w:highlight w:val="none"/>
        </w:rPr>
      </w:pPr>
      <w:r>
        <w:rPr>
          <w:rFonts w:ascii="宋体" w:hAnsi="宋体" w:eastAsia="宋体" w:cs="宋体"/>
          <w:b/>
          <w:color w:val="auto"/>
          <w:sz w:val="24"/>
          <w:highlight w:val="none"/>
        </w:rPr>
        <w:t>（注：如供应商不属于残疾人福利性单位，不需提供此声明函）</w:t>
      </w:r>
    </w:p>
    <w:p w14:paraId="7F4676BD">
      <w:pPr>
        <w:pBdr>
          <w:top w:val="none" w:color="000000" w:sz="0" w:space="0"/>
          <w:left w:val="none" w:color="000000" w:sz="0" w:space="0"/>
          <w:bottom w:val="none" w:color="000000" w:sz="0" w:space="0"/>
          <w:right w:val="none" w:color="000000" w:sz="0" w:space="0"/>
        </w:pBdr>
        <w:spacing w:before="0" w:after="0" w:line="519" w:lineRule="atLeast"/>
        <w:ind w:left="0" w:right="0" w:firstLine="0"/>
        <w:jc w:val="center"/>
        <w:rPr>
          <w:rFonts w:hint="eastAsia" w:eastAsia="宋体"/>
          <w:color w:val="auto"/>
          <w:highlight w:val="none"/>
          <w:lang w:eastAsia="zh-CN"/>
        </w:rPr>
      </w:pPr>
      <w:r>
        <w:rPr>
          <w:rFonts w:ascii="宋体" w:hAnsi="宋体" w:eastAsia="宋体" w:cs="宋体"/>
          <w:color w:val="auto"/>
          <w:sz w:val="24"/>
          <w:highlight w:val="none"/>
        </w:rPr>
        <w:t xml:space="preserve">项目编号： </w:t>
      </w:r>
      <w:r>
        <w:rPr>
          <w:rFonts w:hint="eastAsia" w:ascii="宋体" w:hAnsi="宋体" w:cs="宋体"/>
          <w:color w:val="auto"/>
          <w:sz w:val="24"/>
          <w:highlight w:val="none"/>
          <w:lang w:eastAsia="zh-CN"/>
        </w:rPr>
        <w:t>JSZC-320300-ZJZB-C2026-0087</w:t>
      </w:r>
    </w:p>
    <w:p w14:paraId="26FAA73A">
      <w:pPr>
        <w:pBdr>
          <w:top w:val="none" w:color="000000" w:sz="0" w:space="0"/>
          <w:left w:val="none" w:color="000000" w:sz="0" w:space="0"/>
          <w:bottom w:val="none" w:color="000000" w:sz="0" w:space="0"/>
          <w:right w:val="none" w:color="000000" w:sz="0" w:space="0"/>
        </w:pBdr>
        <w:spacing w:before="0" w:after="0" w:line="519" w:lineRule="atLeast"/>
        <w:ind w:left="0" w:right="0" w:firstLine="504"/>
        <w:jc w:val="both"/>
        <w:rPr>
          <w:color w:val="auto"/>
          <w:highlight w:val="none"/>
        </w:rPr>
      </w:pPr>
      <w:r>
        <w:rPr>
          <w:rFonts w:ascii="宋体" w:hAnsi="宋体" w:eastAsia="宋体" w:cs="宋体"/>
          <w:color w:val="auto"/>
          <w:spacing w:val="6"/>
          <w:sz w:val="24"/>
          <w:highlight w:val="none"/>
        </w:rPr>
        <w:t> </w:t>
      </w:r>
    </w:p>
    <w:p w14:paraId="28162944">
      <w:pPr>
        <w:pBdr>
          <w:top w:val="none" w:color="000000" w:sz="0" w:space="0"/>
          <w:left w:val="none" w:color="000000" w:sz="0" w:space="0"/>
          <w:bottom w:val="none" w:color="000000" w:sz="0" w:space="0"/>
          <w:right w:val="none" w:color="000000" w:sz="0" w:space="0"/>
        </w:pBdr>
        <w:spacing w:before="0" w:after="0" w:line="519" w:lineRule="atLeast"/>
        <w:ind w:left="0" w:right="0" w:firstLine="504"/>
        <w:jc w:val="both"/>
        <w:rPr>
          <w:color w:val="auto"/>
          <w:highlight w:val="none"/>
        </w:rPr>
      </w:pPr>
      <w:r>
        <w:rPr>
          <w:rFonts w:ascii="宋体" w:hAnsi="宋体" w:eastAsia="宋体" w:cs="宋体"/>
          <w:color w:val="auto"/>
          <w:spacing w:val="6"/>
          <w:sz w:val="24"/>
          <w:highlight w:val="none"/>
        </w:rPr>
        <w:t>本单位郑重声明，根据《财政部 民政部 中国残疾人联合会关于促进残疾人就业政府采购政策的通知》（财库</w:t>
      </w:r>
      <w:r>
        <w:rPr>
          <w:rFonts w:ascii="宋体" w:hAnsi="宋体" w:eastAsia="宋体" w:cs="宋体"/>
          <w:color w:val="auto"/>
          <w:sz w:val="24"/>
          <w:highlight w:val="none"/>
        </w:rPr>
        <w:t>〔2017〕141</w:t>
      </w:r>
      <w:r>
        <w:rPr>
          <w:rFonts w:ascii="宋体" w:hAnsi="宋体" w:eastAsia="宋体" w:cs="宋体"/>
          <w:color w:val="auto"/>
          <w:spacing w:val="6"/>
          <w:sz w:val="24"/>
          <w:highlight w:val="none"/>
        </w:rPr>
        <w:t>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746A9569">
      <w:pPr>
        <w:pBdr>
          <w:top w:val="none" w:color="000000" w:sz="0" w:space="0"/>
          <w:left w:val="none" w:color="000000" w:sz="0" w:space="0"/>
          <w:bottom w:val="none" w:color="000000" w:sz="0" w:space="0"/>
          <w:right w:val="none" w:color="000000" w:sz="0" w:space="0"/>
        </w:pBdr>
        <w:spacing w:before="0" w:after="0" w:line="519" w:lineRule="atLeast"/>
        <w:ind w:left="0" w:right="0" w:firstLine="504"/>
        <w:jc w:val="both"/>
        <w:rPr>
          <w:color w:val="auto"/>
          <w:highlight w:val="none"/>
        </w:rPr>
      </w:pPr>
      <w:r>
        <w:rPr>
          <w:rFonts w:ascii="宋体" w:hAnsi="宋体" w:eastAsia="宋体" w:cs="宋体"/>
          <w:color w:val="auto"/>
          <w:spacing w:val="6"/>
          <w:sz w:val="24"/>
          <w:highlight w:val="none"/>
        </w:rPr>
        <w:t>本单位对上述声明的真实性负责。如有虚假，将依法承担相应责任。</w:t>
      </w:r>
    </w:p>
    <w:p w14:paraId="1A5514EC">
      <w:pPr>
        <w:pBdr>
          <w:top w:val="none" w:color="000000" w:sz="0" w:space="0"/>
          <w:left w:val="none" w:color="000000" w:sz="0" w:space="0"/>
          <w:bottom w:val="none" w:color="000000" w:sz="0" w:space="0"/>
          <w:right w:val="none" w:color="000000" w:sz="0" w:space="0"/>
        </w:pBdr>
        <w:spacing w:before="0" w:after="0" w:line="519" w:lineRule="atLeast"/>
        <w:ind w:left="0" w:right="0" w:firstLine="504"/>
        <w:jc w:val="both"/>
        <w:rPr>
          <w:color w:val="auto"/>
          <w:highlight w:val="none"/>
        </w:rPr>
      </w:pPr>
      <w:r>
        <w:rPr>
          <w:rFonts w:ascii="宋体" w:hAnsi="宋体" w:eastAsia="宋体" w:cs="宋体"/>
          <w:color w:val="auto"/>
          <w:spacing w:val="6"/>
          <w:sz w:val="24"/>
          <w:highlight w:val="none"/>
        </w:rPr>
        <w:t> </w:t>
      </w:r>
    </w:p>
    <w:p w14:paraId="3F66952A">
      <w:pPr>
        <w:pBdr>
          <w:top w:val="none" w:color="000000" w:sz="0" w:space="0"/>
          <w:left w:val="none" w:color="000000" w:sz="0" w:space="0"/>
          <w:bottom w:val="none" w:color="000000" w:sz="0" w:space="0"/>
          <w:right w:val="none" w:color="000000" w:sz="0" w:space="0"/>
        </w:pBdr>
        <w:spacing w:before="0" w:after="0" w:line="519" w:lineRule="atLeast"/>
        <w:ind w:left="0" w:right="0" w:firstLine="504"/>
        <w:jc w:val="both"/>
        <w:rPr>
          <w:color w:val="auto"/>
          <w:highlight w:val="none"/>
        </w:rPr>
      </w:pPr>
      <w:r>
        <w:rPr>
          <w:rFonts w:ascii="宋体" w:hAnsi="宋体" w:eastAsia="宋体" w:cs="宋体"/>
          <w:color w:val="auto"/>
          <w:spacing w:val="6"/>
          <w:sz w:val="24"/>
          <w:highlight w:val="none"/>
        </w:rPr>
        <w:t> </w:t>
      </w:r>
    </w:p>
    <w:p w14:paraId="1AED7057">
      <w:pPr>
        <w:pBdr>
          <w:top w:val="none" w:color="000000" w:sz="0" w:space="0"/>
          <w:left w:val="none" w:color="000000" w:sz="0" w:space="0"/>
          <w:bottom w:val="none" w:color="000000" w:sz="0" w:space="0"/>
          <w:right w:val="none" w:color="000000" w:sz="0" w:space="0"/>
        </w:pBdr>
        <w:spacing w:before="0" w:after="0" w:line="519" w:lineRule="atLeast"/>
        <w:ind w:left="0" w:right="1560" w:firstLine="504"/>
        <w:jc w:val="center"/>
        <w:rPr>
          <w:color w:val="auto"/>
          <w:highlight w:val="none"/>
        </w:rPr>
      </w:pPr>
      <w:r>
        <w:rPr>
          <w:rFonts w:ascii="宋体" w:hAnsi="宋体" w:eastAsia="宋体" w:cs="宋体"/>
          <w:color w:val="auto"/>
          <w:spacing w:val="6"/>
          <w:sz w:val="24"/>
          <w:highlight w:val="none"/>
        </w:rPr>
        <w:t>               单位名称（电子签章）：</w:t>
      </w:r>
    </w:p>
    <w:p w14:paraId="0D8A5365">
      <w:pPr>
        <w:pBdr>
          <w:top w:val="none" w:color="000000" w:sz="0" w:space="0"/>
          <w:left w:val="none" w:color="000000" w:sz="0" w:space="0"/>
          <w:bottom w:val="none" w:color="000000" w:sz="0" w:space="0"/>
          <w:right w:val="none" w:color="000000" w:sz="0" w:space="0"/>
        </w:pBdr>
        <w:spacing w:before="0" w:after="0" w:line="519" w:lineRule="atLeast"/>
        <w:ind w:left="0" w:right="1560" w:firstLine="504"/>
        <w:jc w:val="center"/>
        <w:rPr>
          <w:color w:val="auto"/>
          <w:highlight w:val="none"/>
        </w:rPr>
      </w:pPr>
      <w:r>
        <w:rPr>
          <w:rFonts w:ascii="宋体" w:hAnsi="宋体" w:eastAsia="宋体" w:cs="宋体"/>
          <w:color w:val="auto"/>
          <w:spacing w:val="6"/>
          <w:sz w:val="24"/>
          <w:highlight w:val="none"/>
        </w:rPr>
        <w:t>       日期：</w:t>
      </w:r>
    </w:p>
    <w:p w14:paraId="3E5D129B">
      <w:pPr>
        <w:pBdr>
          <w:top w:val="none" w:color="000000" w:sz="0" w:space="0"/>
          <w:left w:val="none" w:color="000000" w:sz="0" w:space="0"/>
          <w:bottom w:val="none" w:color="000000" w:sz="0" w:space="0"/>
          <w:right w:val="none" w:color="000000" w:sz="0" w:space="0"/>
        </w:pBdr>
        <w:spacing w:before="0" w:after="0" w:line="519" w:lineRule="atLeast"/>
        <w:ind w:left="0" w:right="0" w:firstLine="0"/>
        <w:jc w:val="both"/>
        <w:rPr>
          <w:color w:val="auto"/>
          <w:highlight w:val="none"/>
        </w:rPr>
      </w:pPr>
      <w:r>
        <w:rPr>
          <w:rFonts w:ascii="宋体" w:hAnsi="宋体" w:eastAsia="宋体" w:cs="宋体"/>
          <w:color w:val="auto"/>
          <w:sz w:val="24"/>
          <w:highlight w:val="none"/>
        </w:rPr>
        <w:t> </w:t>
      </w:r>
    </w:p>
    <w:p w14:paraId="7DC32EA8">
      <w:pPr>
        <w:pBdr>
          <w:top w:val="none" w:color="000000" w:sz="0" w:space="0"/>
          <w:left w:val="none" w:color="000000" w:sz="0" w:space="0"/>
          <w:bottom w:val="none" w:color="000000" w:sz="0" w:space="0"/>
          <w:right w:val="none" w:color="000000" w:sz="0" w:space="0"/>
        </w:pBdr>
        <w:spacing w:before="0" w:after="0" w:line="519" w:lineRule="atLeast"/>
        <w:ind w:left="0" w:right="0" w:firstLine="0"/>
        <w:rPr>
          <w:color w:val="auto"/>
          <w:highlight w:val="none"/>
        </w:rPr>
      </w:pPr>
      <w:r>
        <w:rPr>
          <w:rFonts w:ascii="宋体" w:hAnsi="宋体" w:eastAsia="宋体" w:cs="宋体"/>
          <w:color w:val="auto"/>
          <w:sz w:val="24"/>
          <w:highlight w:val="none"/>
        </w:rPr>
        <w:t>说明：</w:t>
      </w:r>
    </w:p>
    <w:p w14:paraId="061B7940">
      <w:pPr>
        <w:pBdr>
          <w:top w:val="none" w:color="000000" w:sz="0" w:space="0"/>
          <w:left w:val="none" w:color="000000" w:sz="0" w:space="0"/>
          <w:bottom w:val="none" w:color="000000" w:sz="0" w:space="0"/>
          <w:right w:val="none" w:color="000000" w:sz="0" w:space="0"/>
        </w:pBdr>
        <w:spacing w:before="0" w:after="0" w:line="519" w:lineRule="atLeast"/>
        <w:ind w:left="0" w:right="0" w:firstLine="480"/>
        <w:rPr>
          <w:color w:val="auto"/>
          <w:highlight w:val="none"/>
        </w:rPr>
      </w:pPr>
      <w:r>
        <w:rPr>
          <w:rFonts w:ascii="宋体" w:hAnsi="宋体" w:eastAsia="宋体" w:cs="宋体"/>
          <w:color w:val="auto"/>
          <w:sz w:val="24"/>
          <w:highlight w:val="none"/>
        </w:rPr>
        <w:t>中标、成交供应商为残疾人福利性单位的，采购人或者其委托的采购代理机构应当随中标、成交结果同时公告其《残疾人福利性单位声明函》，接受社会监督。</w:t>
      </w:r>
    </w:p>
    <w:p w14:paraId="48E76DD0">
      <w:pPr>
        <w:pBdr>
          <w:top w:val="none" w:color="000000" w:sz="0" w:space="0"/>
          <w:left w:val="none" w:color="000000" w:sz="0" w:space="0"/>
          <w:bottom w:val="none" w:color="000000" w:sz="0" w:space="0"/>
          <w:right w:val="none" w:color="000000" w:sz="0" w:space="0"/>
        </w:pBdr>
        <w:spacing w:before="0" w:after="0" w:line="519" w:lineRule="atLeast"/>
        <w:ind w:left="0" w:right="0" w:firstLine="480"/>
        <w:rPr>
          <w:color w:val="auto"/>
          <w:highlight w:val="none"/>
        </w:rPr>
      </w:pPr>
      <w:r>
        <w:rPr>
          <w:rFonts w:ascii="宋体" w:hAnsi="宋体" w:eastAsia="宋体" w:cs="宋体"/>
          <w:color w:val="auto"/>
          <w:sz w:val="24"/>
          <w:highlight w:val="none"/>
        </w:rPr>
        <w:t>供应商提供的《残疾人福利性单位声明函》与事实不符的，依照《政府采购法》第七十七条第一款的规定追究法律责任。</w:t>
      </w:r>
    </w:p>
    <w:p w14:paraId="4F8674B2">
      <w:pPr>
        <w:pBdr>
          <w:top w:val="none" w:color="000000" w:sz="0" w:space="0"/>
          <w:left w:val="none" w:color="000000" w:sz="0" w:space="0"/>
          <w:bottom w:val="none" w:color="000000" w:sz="0" w:space="0"/>
          <w:right w:val="none" w:color="000000" w:sz="0" w:space="0"/>
        </w:pBdr>
        <w:spacing w:before="0" w:after="0"/>
        <w:ind w:left="0" w:right="0" w:firstLine="600"/>
        <w:rPr>
          <w:color w:val="auto"/>
          <w:highlight w:val="none"/>
        </w:rPr>
      </w:pPr>
      <w:r>
        <w:rPr>
          <w:rFonts w:ascii="宋体" w:hAnsi="宋体" w:eastAsia="宋体" w:cs="宋体"/>
          <w:color w:val="auto"/>
          <w:sz w:val="30"/>
          <w:highlight w:val="none"/>
        </w:rPr>
        <w:t> </w:t>
      </w:r>
    </w:p>
    <w:p w14:paraId="5376A700">
      <w:pPr>
        <w:pBdr>
          <w:top w:val="none" w:color="000000" w:sz="0" w:space="0"/>
          <w:left w:val="none" w:color="000000" w:sz="0" w:space="0"/>
          <w:bottom w:val="none" w:color="000000" w:sz="0" w:space="0"/>
          <w:right w:val="none" w:color="000000" w:sz="0" w:space="0"/>
        </w:pBdr>
        <w:spacing w:before="0" w:after="0" w:line="587" w:lineRule="atLeast"/>
        <w:ind w:left="0" w:right="0" w:firstLine="0"/>
        <w:jc w:val="center"/>
        <w:rPr>
          <w:color w:val="auto"/>
          <w:highlight w:val="none"/>
        </w:rPr>
      </w:pPr>
      <w:r>
        <w:rPr>
          <w:color w:val="auto"/>
          <w:highlight w:val="none"/>
        </w:rPr>
        <w:br w:type="page" w:clear="all"/>
      </w:r>
    </w:p>
    <w:p w14:paraId="0DE6C90D">
      <w:pPr>
        <w:pBdr>
          <w:top w:val="none" w:color="000000" w:sz="0" w:space="0"/>
          <w:left w:val="none" w:color="000000" w:sz="0" w:space="0"/>
          <w:bottom w:val="none" w:color="000000" w:sz="0" w:space="0"/>
          <w:right w:val="none" w:color="000000" w:sz="0" w:space="0"/>
        </w:pBdr>
        <w:spacing w:before="0" w:after="0" w:line="587" w:lineRule="atLeast"/>
        <w:ind w:left="0" w:right="0" w:firstLine="0"/>
        <w:jc w:val="center"/>
        <w:rPr>
          <w:color w:val="auto"/>
          <w:highlight w:val="none"/>
        </w:rPr>
      </w:pPr>
      <w:r>
        <w:rPr>
          <w:rFonts w:ascii="宋体" w:hAnsi="宋体" w:eastAsia="宋体" w:cs="宋体"/>
          <w:b/>
          <w:color w:val="auto"/>
          <w:sz w:val="36"/>
          <w:highlight w:val="none"/>
        </w:rPr>
        <w:t>12、具备履行合同所必需的设备和专业技术能力的书面声明（附证明材料）格式</w:t>
      </w:r>
    </w:p>
    <w:p w14:paraId="3816B543">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rPr>
          <w:color w:val="auto"/>
          <w:highlight w:val="none"/>
        </w:rPr>
      </w:pPr>
      <w:r>
        <w:rPr>
          <w:rFonts w:ascii="宋体" w:hAnsi="宋体" w:eastAsia="宋体" w:cs="宋体"/>
          <w:color w:val="auto"/>
          <w:sz w:val="24"/>
          <w:highlight w:val="none"/>
        </w:rPr>
        <w:t> </w:t>
      </w:r>
    </w:p>
    <w:p w14:paraId="48C1C837">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rPr>
          <w:color w:val="auto"/>
          <w:highlight w:val="none"/>
        </w:rPr>
      </w:pPr>
      <w:r>
        <w:rPr>
          <w:rFonts w:ascii="宋体" w:hAnsi="宋体" w:eastAsia="宋体" w:cs="宋体"/>
          <w:color w:val="auto"/>
          <w:sz w:val="24"/>
          <w:highlight w:val="none"/>
        </w:rPr>
        <w:t>项目编号：</w:t>
      </w:r>
    </w:p>
    <w:p w14:paraId="0B29BCF3">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rPr>
          <w:color w:val="auto"/>
          <w:highlight w:val="none"/>
        </w:rPr>
      </w:pPr>
      <w:r>
        <w:rPr>
          <w:rFonts w:ascii="宋体" w:hAnsi="宋体" w:eastAsia="宋体" w:cs="宋体"/>
          <w:color w:val="auto"/>
          <w:sz w:val="24"/>
          <w:highlight w:val="none"/>
        </w:rPr>
        <w:t>项目名称：</w:t>
      </w:r>
    </w:p>
    <w:p w14:paraId="6AE8F77C">
      <w:pPr>
        <w:pBdr>
          <w:top w:val="none" w:color="000000" w:sz="0" w:space="0"/>
          <w:left w:val="none" w:color="000000" w:sz="0" w:space="0"/>
          <w:bottom w:val="none" w:color="000000" w:sz="0" w:space="0"/>
          <w:right w:val="none" w:color="000000" w:sz="0" w:space="0"/>
        </w:pBdr>
        <w:spacing w:before="0" w:after="0" w:line="460" w:lineRule="atLeast"/>
        <w:ind w:left="0" w:right="0" w:firstLine="560"/>
        <w:jc w:val="both"/>
        <w:rPr>
          <w:color w:val="auto"/>
          <w:highlight w:val="none"/>
        </w:rPr>
      </w:pPr>
      <w:r>
        <w:rPr>
          <w:rFonts w:ascii="宋体" w:hAnsi="宋体" w:eastAsia="宋体" w:cs="宋体"/>
          <w:color w:val="auto"/>
          <w:sz w:val="24"/>
          <w:highlight w:val="none"/>
        </w:rPr>
        <w:t>供应商郑重声明：</w:t>
      </w:r>
      <w:r>
        <w:rPr>
          <w:rFonts w:hint="eastAsia" w:ascii="宋体" w:hAnsi="宋体" w:cs="宋体"/>
          <w:color w:val="auto"/>
          <w:sz w:val="24"/>
          <w:highlight w:val="none"/>
          <w:lang w:eastAsia="zh-CN"/>
        </w:rPr>
        <w:t>供应商</w:t>
      </w:r>
      <w:r>
        <w:rPr>
          <w:rFonts w:ascii="宋体" w:hAnsi="宋体" w:eastAsia="宋体" w:cs="宋体"/>
          <w:color w:val="auto"/>
          <w:sz w:val="24"/>
          <w:highlight w:val="none"/>
        </w:rPr>
        <w:t>具备履行合同（项目名称：</w:t>
      </w:r>
      <w:r>
        <w:rPr>
          <w:rFonts w:hint="eastAsia" w:ascii="宋体" w:hAnsi="宋体" w:cs="宋体"/>
          <w:color w:val="auto"/>
          <w:sz w:val="24"/>
          <w:highlight w:val="none"/>
          <w:lang w:eastAsia="zh-CN"/>
        </w:rPr>
        <w:t>土山汉墓发掘报告出版项目</w:t>
      </w:r>
      <w:r>
        <w:rPr>
          <w:rFonts w:ascii="宋体" w:hAnsi="宋体" w:eastAsia="宋体" w:cs="宋体"/>
          <w:color w:val="auto"/>
          <w:sz w:val="24"/>
          <w:highlight w:val="none"/>
        </w:rPr>
        <w:t>，项目编号：</w:t>
      </w:r>
      <w:r>
        <w:rPr>
          <w:rFonts w:hint="eastAsia" w:ascii="宋体" w:hAnsi="宋体" w:cs="宋体"/>
          <w:color w:val="auto"/>
          <w:sz w:val="24"/>
          <w:highlight w:val="none"/>
          <w:lang w:eastAsia="zh-CN"/>
        </w:rPr>
        <w:t>JSZC-320300-ZJZB-C2026-0087）</w:t>
      </w:r>
      <w:r>
        <w:rPr>
          <w:rFonts w:ascii="宋体" w:hAnsi="宋体" w:eastAsia="宋体" w:cs="宋体"/>
          <w:color w:val="auto"/>
          <w:sz w:val="24"/>
          <w:highlight w:val="none"/>
        </w:rPr>
        <w:t>所必需的设备和专业技术能力， 具体为：</w:t>
      </w:r>
    </w:p>
    <w:p w14:paraId="60F76444">
      <w:pPr>
        <w:pBdr>
          <w:top w:val="none" w:color="000000" w:sz="0" w:space="0"/>
          <w:left w:val="none" w:color="000000" w:sz="0" w:space="0"/>
          <w:bottom w:val="none" w:color="000000" w:sz="0" w:space="0"/>
          <w:right w:val="none" w:color="000000" w:sz="0" w:space="0"/>
        </w:pBdr>
        <w:spacing w:before="0" w:after="0" w:line="460" w:lineRule="atLeast"/>
        <w:ind w:left="0" w:right="0" w:firstLine="0"/>
        <w:jc w:val="both"/>
        <w:rPr>
          <w:color w:val="auto"/>
          <w:highlight w:val="none"/>
        </w:rPr>
      </w:pPr>
      <w:r>
        <w:rPr>
          <w:rFonts w:ascii="宋体" w:hAnsi="宋体" w:eastAsia="宋体" w:cs="宋体"/>
          <w:color w:val="auto"/>
          <w:sz w:val="24"/>
          <w:highlight w:val="none"/>
        </w:rPr>
        <w:t>设备：</w:t>
      </w:r>
    </w:p>
    <w:p w14:paraId="17024630">
      <w:pPr>
        <w:pBdr>
          <w:top w:val="none" w:color="000000" w:sz="0" w:space="0"/>
          <w:left w:val="none" w:color="000000" w:sz="0" w:space="0"/>
          <w:bottom w:val="none" w:color="000000" w:sz="0" w:space="0"/>
          <w:right w:val="none" w:color="000000" w:sz="0" w:space="0"/>
        </w:pBdr>
        <w:spacing w:before="0" w:after="0" w:line="460" w:lineRule="atLeast"/>
        <w:ind w:left="0" w:right="0" w:firstLine="0"/>
        <w:jc w:val="both"/>
        <w:rPr>
          <w:color w:val="auto"/>
          <w:highlight w:val="none"/>
        </w:rPr>
      </w:pPr>
      <w:r>
        <w:rPr>
          <w:rFonts w:ascii="宋体" w:hAnsi="宋体" w:eastAsia="宋体" w:cs="宋体"/>
          <w:color w:val="auto"/>
          <w:sz w:val="24"/>
          <w:highlight w:val="none"/>
        </w:rPr>
        <w:t>1、（证明材料扫描件附后）</w:t>
      </w:r>
    </w:p>
    <w:p w14:paraId="5DEFC797">
      <w:pPr>
        <w:pBdr>
          <w:top w:val="none" w:color="000000" w:sz="0" w:space="0"/>
          <w:left w:val="none" w:color="000000" w:sz="0" w:space="0"/>
          <w:bottom w:val="none" w:color="000000" w:sz="0" w:space="0"/>
          <w:right w:val="none" w:color="000000" w:sz="0" w:space="0"/>
        </w:pBdr>
        <w:spacing w:before="0" w:after="0" w:line="460" w:lineRule="atLeast"/>
        <w:ind w:left="0" w:right="0" w:firstLine="0"/>
        <w:jc w:val="both"/>
        <w:rPr>
          <w:color w:val="auto"/>
          <w:highlight w:val="none"/>
        </w:rPr>
      </w:pPr>
      <w:r>
        <w:rPr>
          <w:rFonts w:ascii="宋体" w:hAnsi="宋体" w:eastAsia="宋体" w:cs="宋体"/>
          <w:color w:val="auto"/>
          <w:sz w:val="24"/>
          <w:highlight w:val="none"/>
        </w:rPr>
        <w:t>2、（证明材料扫描件附后）</w:t>
      </w:r>
    </w:p>
    <w:p w14:paraId="628B3322">
      <w:pPr>
        <w:pBdr>
          <w:top w:val="none" w:color="000000" w:sz="0" w:space="0"/>
          <w:left w:val="none" w:color="000000" w:sz="0" w:space="0"/>
          <w:bottom w:val="none" w:color="000000" w:sz="0" w:space="0"/>
          <w:right w:val="none" w:color="000000" w:sz="0" w:space="0"/>
        </w:pBdr>
        <w:spacing w:before="0" w:after="0" w:line="460" w:lineRule="atLeast"/>
        <w:ind w:left="0" w:right="0" w:firstLine="0"/>
        <w:jc w:val="both"/>
        <w:rPr>
          <w:color w:val="auto"/>
          <w:highlight w:val="none"/>
        </w:rPr>
      </w:pPr>
      <w:r>
        <w:rPr>
          <w:rFonts w:ascii="宋体" w:hAnsi="宋体" w:eastAsia="宋体" w:cs="宋体"/>
          <w:color w:val="auto"/>
          <w:sz w:val="24"/>
          <w:highlight w:val="none"/>
        </w:rPr>
        <w:t>3、（证明材料扫描件附后）</w:t>
      </w:r>
    </w:p>
    <w:p w14:paraId="136DE65E">
      <w:pPr>
        <w:pBdr>
          <w:top w:val="none" w:color="000000" w:sz="0" w:space="0"/>
          <w:left w:val="none" w:color="000000" w:sz="0" w:space="0"/>
          <w:bottom w:val="none" w:color="000000" w:sz="0" w:space="0"/>
          <w:right w:val="none" w:color="000000" w:sz="0" w:space="0"/>
        </w:pBdr>
        <w:spacing w:before="0" w:after="0" w:line="460" w:lineRule="atLeast"/>
        <w:ind w:left="0" w:right="0" w:firstLine="0"/>
        <w:jc w:val="both"/>
        <w:rPr>
          <w:color w:val="auto"/>
          <w:highlight w:val="none"/>
        </w:rPr>
      </w:pPr>
      <w:r>
        <w:rPr>
          <w:rFonts w:ascii="宋体" w:hAnsi="宋体" w:eastAsia="宋体" w:cs="宋体"/>
          <w:color w:val="auto"/>
          <w:sz w:val="24"/>
          <w:highlight w:val="none"/>
        </w:rPr>
        <w:t>…………</w:t>
      </w:r>
    </w:p>
    <w:p w14:paraId="549F7953">
      <w:pPr>
        <w:pBdr>
          <w:top w:val="none" w:color="000000" w:sz="0" w:space="0"/>
          <w:left w:val="none" w:color="000000" w:sz="0" w:space="0"/>
          <w:bottom w:val="none" w:color="000000" w:sz="0" w:space="0"/>
          <w:right w:val="none" w:color="000000" w:sz="0" w:space="0"/>
        </w:pBdr>
        <w:spacing w:before="0" w:after="0" w:line="460" w:lineRule="atLeast"/>
        <w:ind w:left="0" w:right="0" w:firstLine="0"/>
        <w:jc w:val="both"/>
        <w:rPr>
          <w:color w:val="auto"/>
          <w:highlight w:val="none"/>
        </w:rPr>
      </w:pPr>
      <w:r>
        <w:rPr>
          <w:rFonts w:ascii="宋体" w:hAnsi="宋体" w:eastAsia="宋体" w:cs="宋体"/>
          <w:color w:val="auto"/>
          <w:sz w:val="24"/>
          <w:highlight w:val="none"/>
        </w:rPr>
        <w:t>专业技术能力：</w:t>
      </w:r>
    </w:p>
    <w:p w14:paraId="61747E75">
      <w:pPr>
        <w:pBdr>
          <w:top w:val="none" w:color="000000" w:sz="0" w:space="0"/>
          <w:left w:val="none" w:color="000000" w:sz="0" w:space="0"/>
          <w:bottom w:val="none" w:color="000000" w:sz="0" w:space="0"/>
          <w:right w:val="none" w:color="000000" w:sz="0" w:space="0"/>
        </w:pBdr>
        <w:spacing w:before="0" w:after="0" w:line="460" w:lineRule="atLeast"/>
        <w:ind w:left="0" w:right="0" w:firstLine="0"/>
        <w:jc w:val="both"/>
        <w:rPr>
          <w:color w:val="auto"/>
          <w:highlight w:val="none"/>
        </w:rPr>
      </w:pPr>
      <w:r>
        <w:rPr>
          <w:rFonts w:ascii="宋体" w:hAnsi="宋体" w:eastAsia="宋体" w:cs="宋体"/>
          <w:color w:val="auto"/>
          <w:sz w:val="24"/>
          <w:highlight w:val="none"/>
        </w:rPr>
        <w:t>1、（证明材料扫描件附后）</w:t>
      </w:r>
    </w:p>
    <w:p w14:paraId="7782925F">
      <w:pPr>
        <w:pBdr>
          <w:top w:val="none" w:color="000000" w:sz="0" w:space="0"/>
          <w:left w:val="none" w:color="000000" w:sz="0" w:space="0"/>
          <w:bottom w:val="none" w:color="000000" w:sz="0" w:space="0"/>
          <w:right w:val="none" w:color="000000" w:sz="0" w:space="0"/>
        </w:pBdr>
        <w:spacing w:before="0" w:after="0" w:line="460" w:lineRule="atLeast"/>
        <w:ind w:left="0" w:right="0" w:firstLine="0"/>
        <w:jc w:val="both"/>
        <w:rPr>
          <w:color w:val="auto"/>
          <w:highlight w:val="none"/>
        </w:rPr>
      </w:pPr>
      <w:r>
        <w:rPr>
          <w:rFonts w:ascii="宋体" w:hAnsi="宋体" w:eastAsia="宋体" w:cs="宋体"/>
          <w:color w:val="auto"/>
          <w:sz w:val="24"/>
          <w:highlight w:val="none"/>
        </w:rPr>
        <w:t>2、（证明材料扫描件附后）</w:t>
      </w:r>
    </w:p>
    <w:p w14:paraId="3B714550">
      <w:pPr>
        <w:pBdr>
          <w:top w:val="none" w:color="000000" w:sz="0" w:space="0"/>
          <w:left w:val="none" w:color="000000" w:sz="0" w:space="0"/>
          <w:bottom w:val="none" w:color="000000" w:sz="0" w:space="0"/>
          <w:right w:val="none" w:color="000000" w:sz="0" w:space="0"/>
        </w:pBdr>
        <w:spacing w:before="0" w:after="0" w:line="460" w:lineRule="atLeast"/>
        <w:ind w:left="0" w:right="0" w:firstLine="0"/>
        <w:jc w:val="both"/>
        <w:rPr>
          <w:color w:val="auto"/>
          <w:highlight w:val="none"/>
        </w:rPr>
      </w:pPr>
      <w:r>
        <w:rPr>
          <w:rFonts w:ascii="宋体" w:hAnsi="宋体" w:eastAsia="宋体" w:cs="宋体"/>
          <w:color w:val="auto"/>
          <w:sz w:val="24"/>
          <w:highlight w:val="none"/>
        </w:rPr>
        <w:t>3、（证明材料扫描件附后）</w:t>
      </w:r>
    </w:p>
    <w:p w14:paraId="78987160">
      <w:pPr>
        <w:pBdr>
          <w:top w:val="none" w:color="000000" w:sz="0" w:space="0"/>
          <w:left w:val="none" w:color="000000" w:sz="0" w:space="0"/>
          <w:bottom w:val="none" w:color="000000" w:sz="0" w:space="0"/>
          <w:right w:val="none" w:color="000000" w:sz="0" w:space="0"/>
        </w:pBdr>
        <w:spacing w:before="0" w:after="0" w:line="460" w:lineRule="atLeast"/>
        <w:ind w:left="0" w:right="0" w:firstLine="0"/>
        <w:jc w:val="both"/>
        <w:rPr>
          <w:color w:val="auto"/>
          <w:highlight w:val="none"/>
        </w:rPr>
      </w:pPr>
      <w:r>
        <w:rPr>
          <w:rFonts w:ascii="宋体" w:hAnsi="宋体" w:eastAsia="宋体" w:cs="宋体"/>
          <w:color w:val="auto"/>
          <w:sz w:val="24"/>
          <w:highlight w:val="none"/>
        </w:rPr>
        <w:t>………… 特此声明。</w:t>
      </w:r>
    </w:p>
    <w:p w14:paraId="26AD2F57">
      <w:pPr>
        <w:pBdr>
          <w:top w:val="none" w:color="000000" w:sz="0" w:space="0"/>
          <w:left w:val="none" w:color="000000" w:sz="0" w:space="0"/>
          <w:bottom w:val="none" w:color="000000" w:sz="0" w:space="0"/>
          <w:right w:val="none" w:color="000000" w:sz="0" w:space="0"/>
        </w:pBdr>
        <w:spacing w:before="0" w:after="0" w:line="460" w:lineRule="atLeast"/>
        <w:ind w:left="0" w:right="0" w:firstLine="0"/>
        <w:jc w:val="both"/>
        <w:rPr>
          <w:color w:val="auto"/>
          <w:highlight w:val="none"/>
        </w:rPr>
      </w:pPr>
      <w:r>
        <w:rPr>
          <w:rFonts w:ascii="宋体" w:hAnsi="宋体" w:eastAsia="宋体" w:cs="宋体"/>
          <w:color w:val="auto"/>
          <w:sz w:val="24"/>
          <w:highlight w:val="none"/>
        </w:rPr>
        <w:t>供应商对上述声明的真实性负责。如有虚假，将依法承担相应责任。</w:t>
      </w:r>
    </w:p>
    <w:p w14:paraId="528D760E">
      <w:pPr>
        <w:pBdr>
          <w:top w:val="none" w:color="000000" w:sz="0" w:space="0"/>
          <w:left w:val="none" w:color="000000" w:sz="0" w:space="0"/>
          <w:bottom w:val="none" w:color="000000" w:sz="0" w:space="0"/>
          <w:right w:val="none" w:color="000000" w:sz="0" w:space="0"/>
        </w:pBdr>
        <w:spacing w:before="0" w:after="0" w:line="460" w:lineRule="atLeast"/>
        <w:ind w:left="0" w:right="29" w:firstLine="0"/>
        <w:jc w:val="right"/>
        <w:rPr>
          <w:color w:val="auto"/>
          <w:highlight w:val="none"/>
        </w:rPr>
      </w:pPr>
      <w:r>
        <w:rPr>
          <w:rFonts w:ascii="宋体" w:hAnsi="宋体" w:eastAsia="宋体" w:cs="宋体"/>
          <w:color w:val="auto"/>
          <w:sz w:val="24"/>
          <w:highlight w:val="none"/>
        </w:rPr>
        <w:t> </w:t>
      </w:r>
    </w:p>
    <w:p w14:paraId="66E261FF">
      <w:pPr>
        <w:pBdr>
          <w:top w:val="none" w:color="000000" w:sz="0" w:space="0"/>
          <w:left w:val="none" w:color="000000" w:sz="0" w:space="0"/>
          <w:bottom w:val="none" w:color="000000" w:sz="0" w:space="0"/>
          <w:right w:val="none" w:color="000000" w:sz="0" w:space="0"/>
        </w:pBdr>
        <w:spacing w:before="0" w:after="0" w:line="460" w:lineRule="atLeast"/>
        <w:ind w:left="0" w:right="29" w:firstLine="0"/>
        <w:jc w:val="center"/>
        <w:rPr>
          <w:color w:val="auto"/>
          <w:highlight w:val="none"/>
        </w:rPr>
      </w:pPr>
      <w:r>
        <w:rPr>
          <w:rFonts w:hint="eastAsia" w:ascii="宋体" w:hAnsi="宋体" w:cs="宋体"/>
          <w:color w:val="auto"/>
          <w:sz w:val="24"/>
          <w:highlight w:val="none"/>
          <w:lang w:eastAsia="zh-CN"/>
        </w:rPr>
        <w:t>供应商</w:t>
      </w:r>
      <w:r>
        <w:rPr>
          <w:rFonts w:ascii="宋体" w:hAnsi="宋体" w:eastAsia="宋体" w:cs="宋体"/>
          <w:color w:val="auto"/>
          <w:sz w:val="24"/>
          <w:highlight w:val="none"/>
        </w:rPr>
        <w:t>（电子签章）：</w:t>
      </w:r>
    </w:p>
    <w:p w14:paraId="6C2A1ED6">
      <w:pPr>
        <w:pBdr>
          <w:top w:val="none" w:color="000000" w:sz="0" w:space="0"/>
          <w:left w:val="none" w:color="000000" w:sz="0" w:space="0"/>
          <w:bottom w:val="none" w:color="000000" w:sz="0" w:space="0"/>
          <w:right w:val="none" w:color="000000" w:sz="0" w:space="0"/>
        </w:pBdr>
        <w:spacing w:before="0" w:after="0" w:line="460" w:lineRule="atLeast"/>
        <w:ind w:left="0" w:right="29" w:firstLine="0"/>
        <w:jc w:val="center"/>
        <w:rPr>
          <w:color w:val="auto"/>
          <w:highlight w:val="none"/>
        </w:rPr>
      </w:pPr>
      <w:r>
        <w:rPr>
          <w:rFonts w:ascii="宋体" w:hAnsi="宋体" w:eastAsia="宋体" w:cs="宋体"/>
          <w:color w:val="auto"/>
          <w:sz w:val="24"/>
          <w:highlight w:val="none"/>
        </w:rPr>
        <w:t>日期：</w:t>
      </w:r>
      <w:r>
        <w:rPr>
          <w:rFonts w:hint="eastAsia" w:ascii="宋体" w:hAnsi="宋体" w:cs="宋体"/>
          <w:color w:val="auto"/>
          <w:sz w:val="24"/>
          <w:highlight w:val="none"/>
          <w:lang w:val="en-US" w:eastAsia="zh-CN"/>
        </w:rPr>
        <w:t xml:space="preserve"> </w:t>
      </w:r>
      <w:r>
        <w:rPr>
          <w:rFonts w:ascii="宋体" w:hAnsi="宋体" w:eastAsia="宋体" w:cs="宋体"/>
          <w:color w:val="auto"/>
          <w:sz w:val="24"/>
          <w:highlight w:val="none"/>
        </w:rPr>
        <w:t>年</w:t>
      </w:r>
      <w:r>
        <w:rPr>
          <w:rFonts w:hint="eastAsia" w:ascii="宋体" w:hAnsi="宋体" w:cs="宋体"/>
          <w:color w:val="auto"/>
          <w:sz w:val="24"/>
          <w:highlight w:val="none"/>
          <w:lang w:val="en-US" w:eastAsia="zh-CN"/>
        </w:rPr>
        <w:t xml:space="preserve"> </w:t>
      </w:r>
      <w:r>
        <w:rPr>
          <w:rFonts w:ascii="宋体" w:hAnsi="宋体" w:eastAsia="宋体" w:cs="宋体"/>
          <w:color w:val="auto"/>
          <w:sz w:val="24"/>
          <w:highlight w:val="none"/>
        </w:rPr>
        <w:t>月</w:t>
      </w:r>
      <w:r>
        <w:rPr>
          <w:rFonts w:hint="eastAsia" w:ascii="宋体" w:hAnsi="宋体" w:cs="宋体"/>
          <w:color w:val="auto"/>
          <w:sz w:val="24"/>
          <w:highlight w:val="none"/>
          <w:lang w:val="en-US" w:eastAsia="zh-CN"/>
        </w:rPr>
        <w:t xml:space="preserve"> </w:t>
      </w:r>
      <w:r>
        <w:rPr>
          <w:rFonts w:ascii="宋体" w:hAnsi="宋体" w:eastAsia="宋体" w:cs="宋体"/>
          <w:color w:val="auto"/>
          <w:sz w:val="24"/>
          <w:highlight w:val="none"/>
        </w:rPr>
        <w:t>日</w:t>
      </w:r>
    </w:p>
    <w:p w14:paraId="7346BB73">
      <w:pPr>
        <w:pBdr>
          <w:top w:val="none" w:color="000000" w:sz="0" w:space="0"/>
          <w:left w:val="none" w:color="000000" w:sz="0" w:space="0"/>
          <w:bottom w:val="none" w:color="000000" w:sz="0" w:space="0"/>
          <w:right w:val="none" w:color="000000" w:sz="0" w:space="0"/>
        </w:pBdr>
        <w:spacing w:before="0" w:after="0" w:line="85" w:lineRule="atLeast"/>
        <w:ind w:left="0" w:right="0" w:firstLine="560"/>
        <w:jc w:val="both"/>
        <w:rPr>
          <w:color w:val="auto"/>
          <w:highlight w:val="none"/>
        </w:rPr>
      </w:pPr>
      <w:r>
        <w:rPr>
          <w:rFonts w:ascii="宋体" w:hAnsi="宋体" w:eastAsia="宋体" w:cs="宋体"/>
          <w:color w:val="auto"/>
          <w:sz w:val="24"/>
          <w:highlight w:val="none"/>
        </w:rPr>
        <w:t> </w:t>
      </w:r>
    </w:p>
    <w:p w14:paraId="69FA151A">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color w:val="auto"/>
          <w:highlight w:val="none"/>
        </w:rPr>
        <w:br w:type="page" w:clear="all"/>
      </w:r>
    </w:p>
    <w:p w14:paraId="40FE276E">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b/>
          <w:color w:val="auto"/>
          <w:sz w:val="36"/>
          <w:highlight w:val="none"/>
        </w:rPr>
        <w:t>13、预付款保函支付条款模板</w:t>
      </w:r>
    </w:p>
    <w:p w14:paraId="6CA0130B">
      <w:pPr>
        <w:pBdr>
          <w:top w:val="none" w:color="000000" w:sz="0" w:space="0"/>
          <w:left w:val="none" w:color="000000" w:sz="0" w:space="0"/>
          <w:bottom w:val="none" w:color="000000" w:sz="0" w:space="0"/>
          <w:right w:val="none" w:color="000000" w:sz="0" w:space="0"/>
        </w:pBdr>
        <w:spacing w:before="210" w:after="120" w:line="85" w:lineRule="atLeast"/>
        <w:ind w:left="0" w:right="0" w:firstLine="0"/>
        <w:jc w:val="both"/>
        <w:rPr>
          <w:color w:val="auto"/>
          <w:highlight w:val="none"/>
        </w:rPr>
      </w:pPr>
      <w:r>
        <w:rPr>
          <w:rFonts w:ascii="宋体" w:hAnsi="宋体" w:eastAsia="宋体" w:cs="宋体"/>
          <w:color w:val="auto"/>
          <w:sz w:val="24"/>
          <w:highlight w:val="none"/>
        </w:rPr>
        <w:t> </w:t>
      </w:r>
    </w:p>
    <w:p w14:paraId="487A2C10">
      <w:pPr>
        <w:pBdr>
          <w:top w:val="none" w:color="000000" w:sz="0" w:space="0"/>
          <w:left w:val="none" w:color="000000" w:sz="0" w:space="0"/>
          <w:bottom w:val="none" w:color="000000" w:sz="0" w:space="0"/>
          <w:right w:val="none" w:color="000000" w:sz="0" w:space="0"/>
        </w:pBdr>
        <w:spacing w:before="210" w:after="120" w:line="85" w:lineRule="atLeast"/>
        <w:ind w:left="0" w:right="0" w:firstLine="480"/>
        <w:jc w:val="both"/>
        <w:rPr>
          <w:color w:val="auto"/>
          <w:highlight w:val="none"/>
        </w:rPr>
      </w:pPr>
      <w:r>
        <w:rPr>
          <w:rFonts w:ascii="宋体" w:hAnsi="宋体" w:eastAsia="宋体" w:cs="宋体"/>
          <w:color w:val="auto"/>
          <w:sz w:val="24"/>
          <w:highlight w:val="none"/>
        </w:rPr>
        <w:t>付款条件一：提交预付款保函的</w:t>
      </w:r>
    </w:p>
    <w:p w14:paraId="67D808BD">
      <w:pPr>
        <w:pBdr>
          <w:top w:val="none" w:color="000000" w:sz="0" w:space="0"/>
          <w:left w:val="none" w:color="000000" w:sz="0" w:space="0"/>
          <w:bottom w:val="none" w:color="000000" w:sz="0" w:space="0"/>
          <w:right w:val="none" w:color="000000" w:sz="0" w:space="0"/>
        </w:pBdr>
        <w:spacing w:before="0" w:after="0" w:line="85" w:lineRule="atLeast"/>
        <w:ind w:left="0" w:right="0" w:firstLine="480"/>
        <w:jc w:val="both"/>
        <w:rPr>
          <w:color w:val="auto"/>
          <w:highlight w:val="none"/>
        </w:rPr>
      </w:pPr>
      <w:r>
        <w:rPr>
          <w:rFonts w:ascii="宋体" w:hAnsi="宋体" w:eastAsia="宋体" w:cs="宋体"/>
          <w:color w:val="auto"/>
          <w:sz w:val="24"/>
          <w:highlight w:val="none"/>
        </w:rPr>
        <w:t>（1）合同签订且乙方向甲方出具预付款保函后个工作日内，甲方应支付合同价款的百分之</w:t>
      </w:r>
      <w:r>
        <w:rPr>
          <w:rFonts w:ascii="宋体" w:hAnsi="宋体" w:eastAsia="宋体" w:cs="宋体"/>
          <w:color w:val="auto"/>
          <w:sz w:val="24"/>
          <w:highlight w:val="none"/>
          <w:u w:val="single"/>
        </w:rPr>
        <w:t> xx  </w:t>
      </w:r>
      <w:r>
        <w:rPr>
          <w:rFonts w:ascii="宋体" w:hAnsi="宋体" w:eastAsia="宋体" w:cs="宋体"/>
          <w:color w:val="auto"/>
          <w:sz w:val="24"/>
          <w:highlight w:val="none"/>
        </w:rPr>
        <w:t>（</w:t>
      </w:r>
      <w:r>
        <w:rPr>
          <w:rFonts w:ascii="宋体" w:hAnsi="宋体" w:eastAsia="宋体" w:cs="宋体"/>
          <w:color w:val="auto"/>
          <w:sz w:val="24"/>
          <w:highlight w:val="none"/>
          <w:u w:val="single"/>
        </w:rPr>
        <w:t> xx</w:t>
      </w:r>
      <w:r>
        <w:rPr>
          <w:rFonts w:ascii="宋体" w:hAnsi="宋体" w:eastAsia="宋体" w:cs="宋体"/>
          <w:color w:val="auto"/>
          <w:sz w:val="24"/>
          <w:highlight w:val="none"/>
        </w:rPr>
        <w:t>%)小写¥大写：人民币。</w:t>
      </w:r>
    </w:p>
    <w:p w14:paraId="50FE077A">
      <w:pPr>
        <w:pBdr>
          <w:top w:val="none" w:color="000000" w:sz="0" w:space="0"/>
          <w:left w:val="none" w:color="000000" w:sz="0" w:space="0"/>
          <w:bottom w:val="none" w:color="000000" w:sz="0" w:space="0"/>
          <w:right w:val="none" w:color="000000" w:sz="0" w:space="0"/>
        </w:pBdr>
        <w:spacing w:before="210" w:after="120" w:line="85" w:lineRule="atLeast"/>
        <w:ind w:left="0" w:right="0" w:firstLine="480"/>
        <w:jc w:val="both"/>
        <w:rPr>
          <w:color w:val="auto"/>
          <w:highlight w:val="none"/>
        </w:rPr>
      </w:pPr>
      <w:r>
        <w:rPr>
          <w:rFonts w:ascii="宋体" w:hAnsi="宋体" w:eastAsia="宋体" w:cs="宋体"/>
          <w:color w:val="auto"/>
          <w:sz w:val="24"/>
          <w:highlight w:val="none"/>
        </w:rPr>
        <w:t>（2）验收合格后个工作日内，甲方应支付合同价款的百分之</w:t>
      </w:r>
      <w:r>
        <w:rPr>
          <w:rFonts w:ascii="宋体" w:hAnsi="宋体" w:eastAsia="宋体" w:cs="宋体"/>
          <w:color w:val="auto"/>
          <w:sz w:val="24"/>
          <w:highlight w:val="none"/>
          <w:u w:val="single"/>
        </w:rPr>
        <w:t xml:space="preserve"> XX </w:t>
      </w:r>
      <w:r>
        <w:rPr>
          <w:rFonts w:ascii="宋体" w:hAnsi="宋体" w:eastAsia="宋体" w:cs="宋体"/>
          <w:color w:val="auto"/>
          <w:sz w:val="24"/>
          <w:highlight w:val="none"/>
        </w:rPr>
        <w:t>（ %）小写￥大写：人民币。</w:t>
      </w:r>
    </w:p>
    <w:p w14:paraId="0CAD7811">
      <w:pPr>
        <w:pBdr>
          <w:top w:val="none" w:color="000000" w:sz="0" w:space="0"/>
          <w:left w:val="none" w:color="000000" w:sz="0" w:space="0"/>
          <w:bottom w:val="none" w:color="000000" w:sz="0" w:space="0"/>
          <w:right w:val="none" w:color="000000" w:sz="0" w:space="0"/>
        </w:pBdr>
        <w:spacing w:before="210" w:after="120" w:line="85" w:lineRule="atLeast"/>
        <w:ind w:left="0" w:right="0" w:firstLine="480"/>
        <w:jc w:val="both"/>
        <w:rPr>
          <w:color w:val="auto"/>
          <w:highlight w:val="none"/>
        </w:rPr>
      </w:pPr>
      <w:r>
        <w:rPr>
          <w:rFonts w:ascii="宋体" w:hAnsi="宋体" w:eastAsia="宋体" w:cs="宋体"/>
          <w:color w:val="auto"/>
          <w:sz w:val="24"/>
          <w:highlight w:val="none"/>
        </w:rPr>
        <w:t>……</w:t>
      </w:r>
    </w:p>
    <w:p w14:paraId="57A77958">
      <w:pPr>
        <w:pBdr>
          <w:top w:val="none" w:color="000000" w:sz="0" w:space="0"/>
          <w:left w:val="none" w:color="000000" w:sz="0" w:space="0"/>
          <w:bottom w:val="none" w:color="000000" w:sz="0" w:space="0"/>
          <w:right w:val="none" w:color="000000" w:sz="0" w:space="0"/>
        </w:pBdr>
        <w:spacing w:before="210" w:after="120" w:line="85" w:lineRule="atLeast"/>
        <w:ind w:left="0" w:right="0" w:firstLine="480"/>
        <w:jc w:val="both"/>
        <w:rPr>
          <w:color w:val="auto"/>
          <w:highlight w:val="none"/>
        </w:rPr>
      </w:pPr>
      <w:r>
        <w:rPr>
          <w:rFonts w:ascii="宋体" w:hAnsi="宋体" w:eastAsia="宋体" w:cs="宋体"/>
          <w:color w:val="auto"/>
          <w:sz w:val="24"/>
          <w:highlight w:val="none"/>
        </w:rPr>
        <w:t>付款条件二： 不提交预付款保函的</w:t>
      </w:r>
    </w:p>
    <w:p w14:paraId="76DB06BD">
      <w:pPr>
        <w:pBdr>
          <w:top w:val="none" w:color="000000" w:sz="0" w:space="0"/>
          <w:left w:val="none" w:color="000000" w:sz="0" w:space="0"/>
          <w:bottom w:val="none" w:color="000000" w:sz="0" w:space="0"/>
          <w:right w:val="none" w:color="000000" w:sz="0" w:space="0"/>
        </w:pBdr>
        <w:spacing w:before="210" w:after="120" w:line="85" w:lineRule="atLeast"/>
        <w:ind w:left="0" w:right="0" w:firstLine="480"/>
        <w:jc w:val="both"/>
        <w:rPr>
          <w:color w:val="auto"/>
          <w:highlight w:val="none"/>
        </w:rPr>
      </w:pPr>
      <w:r>
        <w:rPr>
          <w:rFonts w:ascii="宋体" w:hAnsi="宋体" w:eastAsia="宋体" w:cs="宋体"/>
          <w:color w:val="auto"/>
          <w:sz w:val="24"/>
          <w:highlight w:val="none"/>
        </w:rPr>
        <w:t>（1）合同签订后个工作日内，甲方应支付合同价款的百分之</w:t>
      </w:r>
      <w:r>
        <w:rPr>
          <w:rFonts w:ascii="宋体" w:hAnsi="宋体" w:eastAsia="宋体" w:cs="宋体"/>
          <w:color w:val="auto"/>
          <w:sz w:val="24"/>
          <w:highlight w:val="none"/>
          <w:u w:val="single"/>
        </w:rPr>
        <w:t>XX</w:t>
      </w:r>
      <w:r>
        <w:rPr>
          <w:rFonts w:ascii="宋体" w:hAnsi="宋体" w:eastAsia="宋体" w:cs="宋体"/>
          <w:color w:val="auto"/>
          <w:sz w:val="24"/>
          <w:highlight w:val="none"/>
        </w:rPr>
        <w:t> （％）小写￥大写：人民币。</w:t>
      </w:r>
    </w:p>
    <w:p w14:paraId="56CB2D01">
      <w:pPr>
        <w:pBdr>
          <w:top w:val="none" w:color="000000" w:sz="0" w:space="0"/>
          <w:left w:val="none" w:color="000000" w:sz="0" w:space="0"/>
          <w:bottom w:val="none" w:color="000000" w:sz="0" w:space="0"/>
          <w:right w:val="none" w:color="000000" w:sz="0" w:space="0"/>
        </w:pBdr>
        <w:spacing w:before="210" w:after="120" w:line="85" w:lineRule="atLeast"/>
        <w:ind w:left="0" w:right="0" w:firstLine="480"/>
        <w:jc w:val="both"/>
        <w:rPr>
          <w:color w:val="auto"/>
          <w:highlight w:val="none"/>
        </w:rPr>
      </w:pPr>
      <w:r>
        <w:rPr>
          <w:rFonts w:ascii="宋体" w:hAnsi="宋体" w:eastAsia="宋体" w:cs="宋体"/>
          <w:color w:val="auto"/>
          <w:sz w:val="24"/>
          <w:highlight w:val="none"/>
        </w:rPr>
        <w:t>（2）验收合格后个工作日内，甲方应支付合同价款的百分之</w:t>
      </w:r>
      <w:r>
        <w:rPr>
          <w:rFonts w:ascii="宋体" w:hAnsi="宋体" w:eastAsia="宋体" w:cs="宋体"/>
          <w:color w:val="auto"/>
          <w:sz w:val="24"/>
          <w:highlight w:val="none"/>
          <w:u w:val="single"/>
        </w:rPr>
        <w:t>XX</w:t>
      </w:r>
      <w:r>
        <w:rPr>
          <w:rFonts w:ascii="宋体" w:hAnsi="宋体" w:eastAsia="宋体" w:cs="宋体"/>
          <w:color w:val="auto"/>
          <w:sz w:val="24"/>
          <w:highlight w:val="none"/>
        </w:rPr>
        <w:t>（％）小写￥大写：人民币。</w:t>
      </w:r>
    </w:p>
    <w:p w14:paraId="02B83676">
      <w:pPr>
        <w:pBdr>
          <w:top w:val="none" w:color="000000" w:sz="0" w:space="0"/>
          <w:left w:val="none" w:color="000000" w:sz="0" w:space="0"/>
          <w:bottom w:val="none" w:color="000000" w:sz="0" w:space="0"/>
          <w:right w:val="none" w:color="000000" w:sz="0" w:space="0"/>
        </w:pBdr>
        <w:spacing w:before="210" w:after="120" w:line="85" w:lineRule="atLeast"/>
        <w:ind w:left="0" w:right="0" w:firstLine="480"/>
        <w:jc w:val="both"/>
        <w:rPr>
          <w:color w:val="auto"/>
          <w:highlight w:val="none"/>
        </w:rPr>
      </w:pPr>
      <w:r>
        <w:rPr>
          <w:rFonts w:ascii="宋体" w:hAnsi="宋体" w:eastAsia="宋体" w:cs="宋体"/>
          <w:color w:val="auto"/>
          <w:sz w:val="24"/>
          <w:highlight w:val="none"/>
        </w:rPr>
        <w:t> </w:t>
      </w:r>
    </w:p>
    <w:p w14:paraId="11C7851B">
      <w:pPr>
        <w:pBdr>
          <w:top w:val="none" w:color="000000" w:sz="0" w:space="0"/>
          <w:left w:val="none" w:color="000000" w:sz="0" w:space="0"/>
          <w:bottom w:val="none" w:color="000000" w:sz="0" w:space="0"/>
          <w:right w:val="none" w:color="000000" w:sz="0" w:space="0"/>
        </w:pBdr>
        <w:spacing w:before="210" w:after="120" w:line="85" w:lineRule="atLeast"/>
        <w:ind w:left="0" w:right="0" w:firstLine="480"/>
        <w:jc w:val="both"/>
        <w:rPr>
          <w:color w:val="auto"/>
          <w:highlight w:val="none"/>
        </w:rPr>
      </w:pPr>
      <w:r>
        <w:rPr>
          <w:rFonts w:ascii="宋体" w:hAnsi="宋体" w:eastAsia="宋体" w:cs="宋体"/>
          <w:color w:val="auto"/>
          <w:sz w:val="24"/>
          <w:highlight w:val="none"/>
        </w:rPr>
        <w:t> </w:t>
      </w:r>
    </w:p>
    <w:p w14:paraId="612321DB">
      <w:pPr>
        <w:pBdr>
          <w:top w:val="none" w:color="000000" w:sz="0" w:space="0"/>
          <w:left w:val="none" w:color="000000" w:sz="0" w:space="0"/>
          <w:bottom w:val="none" w:color="000000" w:sz="0" w:space="0"/>
          <w:right w:val="none" w:color="000000" w:sz="0" w:space="0"/>
        </w:pBdr>
        <w:spacing w:before="240" w:after="240"/>
        <w:ind w:left="420" w:right="33" w:firstLine="0"/>
        <w:rPr>
          <w:color w:val="auto"/>
          <w:highlight w:val="none"/>
        </w:rPr>
      </w:pPr>
      <w:r>
        <w:rPr>
          <w:rFonts w:ascii="宋体" w:hAnsi="宋体" w:eastAsia="宋体" w:cs="宋体"/>
          <w:color w:val="auto"/>
          <w:sz w:val="24"/>
          <w:highlight w:val="none"/>
        </w:rPr>
        <w:t>注：1、付款条件一中，出具预付款保函后支付的合同款应当与保函金额一致。</w:t>
      </w:r>
    </w:p>
    <w:p w14:paraId="674F70BB">
      <w:pPr>
        <w:pBdr>
          <w:top w:val="none" w:color="000000" w:sz="0" w:space="0"/>
          <w:left w:val="none" w:color="000000" w:sz="0" w:space="0"/>
          <w:bottom w:val="none" w:color="000000" w:sz="0" w:space="0"/>
          <w:right w:val="none" w:color="000000" w:sz="0" w:space="0"/>
        </w:pBdr>
        <w:spacing w:before="240" w:after="240"/>
        <w:ind w:left="420" w:right="33" w:firstLine="0"/>
        <w:rPr>
          <w:color w:val="auto"/>
          <w:highlight w:val="none"/>
        </w:rPr>
      </w:pPr>
      <w:r>
        <w:rPr>
          <w:rFonts w:ascii="宋体" w:hAnsi="宋体" w:eastAsia="宋体" w:cs="宋体"/>
          <w:color w:val="auto"/>
          <w:sz w:val="24"/>
          <w:highlight w:val="none"/>
        </w:rPr>
        <w:t>2、付款条件二中，预付款比例设定应符合《关于做好政府采购支持企业发展有关事项的通知》（苏财购（2020)52号）要求。</w:t>
      </w:r>
    </w:p>
    <w:p w14:paraId="2E441403">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r>
        <w:rPr>
          <w:color w:val="auto"/>
          <w:highlight w:val="none"/>
        </w:rPr>
        <w:br w:type="page" w:clear="all"/>
      </w:r>
    </w:p>
    <w:p w14:paraId="7FA5ECEA">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b/>
          <w:color w:val="auto"/>
          <w:sz w:val="36"/>
          <w:highlight w:val="none"/>
        </w:rPr>
        <w:t>14、代理服务收费标准</w:t>
      </w:r>
    </w:p>
    <w:tbl>
      <w:tblPr>
        <w:tblStyle w:val="52"/>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5337"/>
        <w:gridCol w:w="3545"/>
      </w:tblGrid>
      <w:tr w14:paraId="34C3D2C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75" w:hRule="atLeast"/>
        </w:trPr>
        <w:tc>
          <w:tcPr>
            <w:tcW w:w="5337"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2E8637C">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b/>
                <w:color w:val="auto"/>
                <w:sz w:val="24"/>
                <w:highlight w:val="none"/>
              </w:rPr>
              <w:t>中标或者成交金额</w:t>
            </w:r>
          </w:p>
        </w:tc>
        <w:tc>
          <w:tcPr>
            <w:tcW w:w="3545"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48CB8DD">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b/>
                <w:color w:val="auto"/>
                <w:sz w:val="24"/>
                <w:highlight w:val="none"/>
              </w:rPr>
              <w:t>费率</w:t>
            </w:r>
          </w:p>
        </w:tc>
      </w:tr>
      <w:tr w14:paraId="557C252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75" w:hRule="atLeast"/>
        </w:trPr>
        <w:tc>
          <w:tcPr>
            <w:tcW w:w="533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EC21E63">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最低收费金额（每个委托项目）</w:t>
            </w:r>
          </w:p>
        </w:tc>
        <w:tc>
          <w:tcPr>
            <w:tcW w:w="3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5B4762E">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5000元</w:t>
            </w:r>
          </w:p>
        </w:tc>
      </w:tr>
      <w:tr w14:paraId="2EDB8DD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75" w:hRule="atLeast"/>
        </w:trPr>
        <w:tc>
          <w:tcPr>
            <w:tcW w:w="533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A278EB8">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50万元以下（含50万元）</w:t>
            </w:r>
          </w:p>
        </w:tc>
        <w:tc>
          <w:tcPr>
            <w:tcW w:w="3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5AA6C00">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1.6%</w:t>
            </w:r>
          </w:p>
        </w:tc>
      </w:tr>
      <w:tr w14:paraId="12C8D88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75" w:hRule="atLeast"/>
        </w:trPr>
        <w:tc>
          <w:tcPr>
            <w:tcW w:w="533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E856379">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50-400万元（含400万元）</w:t>
            </w:r>
          </w:p>
        </w:tc>
        <w:tc>
          <w:tcPr>
            <w:tcW w:w="3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84C3019">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1.5%</w:t>
            </w:r>
          </w:p>
        </w:tc>
      </w:tr>
      <w:tr w14:paraId="675A320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75" w:hRule="atLeast"/>
        </w:trPr>
        <w:tc>
          <w:tcPr>
            <w:tcW w:w="533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BF43FC6">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400-1000万元（含1000万元）</w:t>
            </w:r>
          </w:p>
        </w:tc>
        <w:tc>
          <w:tcPr>
            <w:tcW w:w="3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B302E7F">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1.1%</w:t>
            </w:r>
          </w:p>
        </w:tc>
      </w:tr>
      <w:tr w14:paraId="76E3665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75" w:hRule="atLeast"/>
        </w:trPr>
        <w:tc>
          <w:tcPr>
            <w:tcW w:w="533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94B5A28">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1000-5000万元（含5000万元）</w:t>
            </w:r>
          </w:p>
        </w:tc>
        <w:tc>
          <w:tcPr>
            <w:tcW w:w="3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B1A0FA0">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0.8%</w:t>
            </w:r>
          </w:p>
        </w:tc>
      </w:tr>
      <w:tr w14:paraId="54D4094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75" w:hRule="atLeast"/>
        </w:trPr>
        <w:tc>
          <w:tcPr>
            <w:tcW w:w="533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DF6D421">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5000-1亿元（含1亿元）</w:t>
            </w:r>
          </w:p>
        </w:tc>
        <w:tc>
          <w:tcPr>
            <w:tcW w:w="3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0BAB1C9">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0.25%</w:t>
            </w:r>
          </w:p>
        </w:tc>
      </w:tr>
      <w:tr w14:paraId="17988A9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75" w:hRule="atLeast"/>
        </w:trPr>
        <w:tc>
          <w:tcPr>
            <w:tcW w:w="533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D0ADF62">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1-10亿元（含10亿元）</w:t>
            </w:r>
          </w:p>
        </w:tc>
        <w:tc>
          <w:tcPr>
            <w:tcW w:w="3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5AA2D63">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0.05%</w:t>
            </w:r>
          </w:p>
        </w:tc>
      </w:tr>
      <w:tr w14:paraId="0E63225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75" w:hRule="atLeast"/>
        </w:trPr>
        <w:tc>
          <w:tcPr>
            <w:tcW w:w="533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38F6A40">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10-50亿元（含50亿元）</w:t>
            </w:r>
          </w:p>
        </w:tc>
        <w:tc>
          <w:tcPr>
            <w:tcW w:w="3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17D8F11">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0.01%</w:t>
            </w:r>
          </w:p>
        </w:tc>
      </w:tr>
      <w:tr w14:paraId="733C636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87" w:hRule="atLeast"/>
        </w:trPr>
        <w:tc>
          <w:tcPr>
            <w:tcW w:w="533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A1541C6">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50亿元以上</w:t>
            </w:r>
          </w:p>
        </w:tc>
        <w:tc>
          <w:tcPr>
            <w:tcW w:w="3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718055D">
            <w:pPr>
              <w:pBdr>
                <w:top w:val="none" w:color="000000" w:sz="0" w:space="0"/>
                <w:left w:val="none" w:color="000000" w:sz="0" w:space="0"/>
                <w:bottom w:val="none" w:color="000000" w:sz="0" w:space="0"/>
                <w:right w:val="none" w:color="000000" w:sz="0" w:space="0"/>
              </w:pBdr>
              <w:spacing w:before="0" w:after="0"/>
              <w:ind w:left="0" w:right="0" w:firstLine="0"/>
              <w:jc w:val="center"/>
              <w:rPr>
                <w:color w:val="auto"/>
                <w:highlight w:val="none"/>
              </w:rPr>
            </w:pPr>
            <w:r>
              <w:rPr>
                <w:rFonts w:ascii="宋体" w:hAnsi="宋体" w:eastAsia="宋体" w:cs="宋体"/>
                <w:color w:val="auto"/>
                <w:sz w:val="24"/>
                <w:highlight w:val="none"/>
              </w:rPr>
              <w:t>0.005%</w:t>
            </w:r>
          </w:p>
        </w:tc>
      </w:tr>
    </w:tbl>
    <w:p w14:paraId="34E89B7D">
      <w:pPr>
        <w:pBdr>
          <w:top w:val="none" w:color="000000" w:sz="0" w:space="0"/>
          <w:left w:val="none" w:color="000000" w:sz="0" w:space="0"/>
          <w:bottom w:val="none" w:color="000000" w:sz="0" w:space="0"/>
          <w:right w:val="none" w:color="000000" w:sz="0" w:space="0"/>
        </w:pBdr>
        <w:spacing w:before="0" w:after="0" w:line="68" w:lineRule="atLeast"/>
        <w:ind w:left="0" w:right="0" w:firstLine="561"/>
        <w:jc w:val="both"/>
        <w:rPr>
          <w:color w:val="auto"/>
          <w:highlight w:val="none"/>
        </w:rPr>
      </w:pPr>
      <w:r>
        <w:rPr>
          <w:rFonts w:ascii="宋体" w:hAnsi="宋体" w:eastAsia="宋体" w:cs="宋体"/>
          <w:color w:val="auto"/>
          <w:sz w:val="24"/>
          <w:highlight w:val="none"/>
        </w:rPr>
        <w:t>说明：</w:t>
      </w:r>
    </w:p>
    <w:p w14:paraId="5A98FB97">
      <w:pPr>
        <w:pBdr>
          <w:top w:val="none" w:color="000000" w:sz="0" w:space="0"/>
          <w:left w:val="none" w:color="000000" w:sz="0" w:space="0"/>
          <w:bottom w:val="none" w:color="000000" w:sz="0" w:space="0"/>
          <w:right w:val="none" w:color="000000" w:sz="0" w:space="0"/>
        </w:pBdr>
        <w:spacing w:before="0" w:after="0" w:line="68" w:lineRule="atLeast"/>
        <w:ind w:left="0" w:right="0" w:firstLine="561"/>
        <w:jc w:val="both"/>
        <w:rPr>
          <w:color w:val="auto"/>
          <w:highlight w:val="none"/>
        </w:rPr>
      </w:pPr>
      <w:r>
        <w:rPr>
          <w:rFonts w:ascii="宋体" w:hAnsi="宋体" w:eastAsia="宋体" w:cs="宋体"/>
          <w:color w:val="auto"/>
          <w:sz w:val="24"/>
          <w:highlight w:val="none"/>
        </w:rPr>
        <w:t>1.按上表计算的收费为代理服务全过程的收费金额。各社会代理机构不再收取采购文件制作售卖费用。</w:t>
      </w:r>
    </w:p>
    <w:p w14:paraId="08709BA6">
      <w:pPr>
        <w:pBdr>
          <w:top w:val="none" w:color="000000" w:sz="0" w:space="0"/>
          <w:left w:val="none" w:color="000000" w:sz="0" w:space="0"/>
          <w:bottom w:val="none" w:color="000000" w:sz="0" w:space="0"/>
          <w:right w:val="none" w:color="000000" w:sz="0" w:space="0"/>
        </w:pBdr>
        <w:spacing w:before="0" w:after="0" w:line="68" w:lineRule="atLeast"/>
        <w:ind w:left="0" w:right="0" w:firstLine="561"/>
        <w:jc w:val="both"/>
        <w:rPr>
          <w:color w:val="auto"/>
          <w:highlight w:val="none"/>
        </w:rPr>
      </w:pPr>
      <w:r>
        <w:rPr>
          <w:rFonts w:ascii="宋体" w:hAnsi="宋体" w:eastAsia="宋体" w:cs="宋体"/>
          <w:color w:val="auto"/>
          <w:sz w:val="24"/>
          <w:highlight w:val="none"/>
        </w:rPr>
        <w:t>2.代理服务费按差额定率累进法计算。</w:t>
      </w:r>
    </w:p>
    <w:p w14:paraId="4E74B6B9">
      <w:pPr>
        <w:pBdr>
          <w:top w:val="none" w:color="000000" w:sz="0" w:space="0"/>
          <w:left w:val="none" w:color="000000" w:sz="0" w:space="0"/>
          <w:bottom w:val="none" w:color="000000" w:sz="0" w:space="0"/>
          <w:right w:val="none" w:color="000000" w:sz="0" w:space="0"/>
        </w:pBdr>
        <w:spacing w:before="0" w:after="0" w:line="68" w:lineRule="atLeast"/>
        <w:ind w:left="0" w:right="0" w:firstLine="561"/>
        <w:jc w:val="both"/>
        <w:rPr>
          <w:color w:val="auto"/>
          <w:highlight w:val="none"/>
        </w:rPr>
      </w:pPr>
      <w:r>
        <w:rPr>
          <w:rFonts w:ascii="宋体" w:hAnsi="宋体" w:eastAsia="宋体" w:cs="宋体"/>
          <w:color w:val="auto"/>
          <w:sz w:val="24"/>
          <w:highlight w:val="none"/>
        </w:rPr>
        <w:t>3.代理服务费基准金额（按差额定率累进法计算的）=中标金额（按差额定率累进法计算的） * 费率（%）。</w:t>
      </w:r>
    </w:p>
    <w:p w14:paraId="3705B72A">
      <w:pPr>
        <w:pBdr>
          <w:top w:val="none" w:color="000000" w:sz="0" w:space="0"/>
          <w:left w:val="none" w:color="000000" w:sz="0" w:space="0"/>
          <w:bottom w:val="none" w:color="000000" w:sz="0" w:space="0"/>
          <w:right w:val="none" w:color="000000" w:sz="0" w:space="0"/>
        </w:pBdr>
        <w:spacing w:before="0" w:after="0" w:line="68" w:lineRule="atLeast"/>
        <w:ind w:left="0" w:right="0" w:firstLine="561"/>
        <w:jc w:val="both"/>
        <w:rPr>
          <w:color w:val="auto"/>
          <w:highlight w:val="none"/>
        </w:rPr>
      </w:pPr>
      <w:r>
        <w:rPr>
          <w:rFonts w:ascii="宋体" w:hAnsi="宋体" w:eastAsia="宋体" w:cs="宋体"/>
          <w:color w:val="auto"/>
          <w:sz w:val="24"/>
          <w:highlight w:val="none"/>
        </w:rPr>
        <w:t>4.代理服务费应收取金额=代理服务费基准金额（按差额定率累进法计算的）的合计数。</w:t>
      </w:r>
    </w:p>
    <w:p w14:paraId="6CA4297A">
      <w:pPr>
        <w:pBdr>
          <w:top w:val="none" w:color="000000" w:sz="0" w:space="0"/>
          <w:left w:val="none" w:color="000000" w:sz="0" w:space="0"/>
          <w:bottom w:val="none" w:color="000000" w:sz="0" w:space="0"/>
          <w:right w:val="none" w:color="000000" w:sz="0" w:space="0"/>
        </w:pBdr>
        <w:spacing w:before="0" w:after="0" w:line="68" w:lineRule="atLeast"/>
        <w:ind w:left="0" w:right="0" w:firstLine="561"/>
        <w:jc w:val="both"/>
        <w:rPr>
          <w:color w:val="auto"/>
          <w:highlight w:val="none"/>
        </w:rPr>
      </w:pPr>
      <w:r>
        <w:rPr>
          <w:rFonts w:ascii="宋体" w:hAnsi="宋体" w:eastAsia="宋体" w:cs="宋体"/>
          <w:color w:val="auto"/>
          <w:sz w:val="24"/>
          <w:highlight w:val="none"/>
        </w:rPr>
        <w:t>5.定点类等无金额或事先不能计算出价格总额的项目，按中标（成交）金额100万元计算。</w:t>
      </w:r>
    </w:p>
    <w:p w14:paraId="4D211F04">
      <w:pPr>
        <w:pBdr>
          <w:top w:val="none" w:color="000000" w:sz="0" w:space="0"/>
          <w:left w:val="none" w:color="000000" w:sz="0" w:space="0"/>
          <w:bottom w:val="none" w:color="000000" w:sz="0" w:space="0"/>
          <w:right w:val="none" w:color="000000" w:sz="0" w:space="0"/>
        </w:pBdr>
        <w:spacing w:before="0" w:after="0" w:line="68" w:lineRule="atLeast"/>
        <w:ind w:left="0" w:right="0" w:firstLine="561"/>
        <w:jc w:val="both"/>
        <w:rPr>
          <w:color w:val="auto"/>
          <w:highlight w:val="none"/>
        </w:rPr>
      </w:pPr>
      <w:r>
        <w:rPr>
          <w:rFonts w:ascii="宋体" w:hAnsi="宋体" w:eastAsia="宋体" w:cs="宋体"/>
          <w:color w:val="auto"/>
          <w:sz w:val="24"/>
          <w:highlight w:val="none"/>
        </w:rPr>
        <w:t>6.有分包（分标段）的按一个项目计算。</w:t>
      </w:r>
    </w:p>
    <w:p w14:paraId="2D9D846A">
      <w:pPr>
        <w:pBdr>
          <w:top w:val="none" w:color="000000" w:sz="0" w:space="0"/>
          <w:left w:val="none" w:color="000000" w:sz="0" w:space="0"/>
          <w:bottom w:val="none" w:color="000000" w:sz="0" w:space="0"/>
          <w:right w:val="none" w:color="000000" w:sz="0" w:space="0"/>
        </w:pBdr>
        <w:spacing w:before="0" w:after="0" w:line="68" w:lineRule="atLeast"/>
        <w:ind w:left="0" w:right="0" w:firstLine="561"/>
        <w:jc w:val="both"/>
        <w:rPr>
          <w:rFonts w:ascii="宋体" w:hAnsi="宋体" w:eastAsia="宋体" w:cs="宋体"/>
          <w:color w:val="auto"/>
          <w:sz w:val="24"/>
          <w:highlight w:val="none"/>
        </w:rPr>
      </w:pPr>
      <w:r>
        <w:rPr>
          <w:rFonts w:ascii="宋体" w:hAnsi="宋体" w:eastAsia="宋体" w:cs="宋体"/>
          <w:color w:val="auto"/>
          <w:sz w:val="24"/>
          <w:highlight w:val="none"/>
        </w:rPr>
        <w:t>7.以上价格为协会指导价，双方可根据项目难易程度和优质优价原则协商确定。</w:t>
      </w:r>
    </w:p>
    <w:p w14:paraId="7471F161">
      <w:pPr>
        <w:pBdr>
          <w:top w:val="none" w:color="000000" w:sz="0" w:space="0"/>
          <w:left w:val="none" w:color="000000" w:sz="0" w:space="0"/>
          <w:bottom w:val="none" w:color="000000" w:sz="0" w:space="0"/>
          <w:right w:val="none" w:color="000000" w:sz="0" w:space="0"/>
        </w:pBdr>
        <w:spacing w:before="0" w:after="0" w:line="68" w:lineRule="atLeast"/>
        <w:ind w:left="0" w:right="0" w:firstLine="561"/>
        <w:jc w:val="both"/>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8.本项目代理服务费由成交供应商支付。</w:t>
      </w:r>
    </w:p>
    <w:p w14:paraId="6F6A1F85">
      <w:pPr>
        <w:pBdr>
          <w:top w:val="none" w:color="000000" w:sz="0" w:space="0"/>
          <w:left w:val="none" w:color="000000" w:sz="0" w:space="0"/>
          <w:bottom w:val="none" w:color="000000" w:sz="0" w:space="0"/>
          <w:right w:val="none" w:color="000000" w:sz="0" w:space="0"/>
        </w:pBdr>
        <w:spacing w:before="0" w:after="0" w:line="68" w:lineRule="atLeast"/>
        <w:ind w:left="0" w:right="0" w:firstLine="561"/>
        <w:jc w:val="both"/>
        <w:rPr>
          <w:color w:val="auto"/>
          <w:highlight w:val="none"/>
        </w:rPr>
      </w:pPr>
      <w:r>
        <w:rPr>
          <w:rFonts w:hint="eastAsia" w:ascii="宋体" w:hAnsi="宋体" w:cs="宋体"/>
          <w:color w:val="auto"/>
          <w:sz w:val="24"/>
          <w:highlight w:val="none"/>
          <w:lang w:val="en-US" w:eastAsia="zh-CN"/>
        </w:rPr>
        <w:t>9</w:t>
      </w:r>
      <w:r>
        <w:rPr>
          <w:rFonts w:ascii="宋体" w:hAnsi="宋体" w:eastAsia="宋体" w:cs="宋体"/>
          <w:color w:val="auto"/>
          <w:sz w:val="24"/>
          <w:highlight w:val="none"/>
        </w:rPr>
        <w:t>.账户信息：</w:t>
      </w:r>
    </w:p>
    <w:p w14:paraId="7C270E80">
      <w:pPr>
        <w:pBdr>
          <w:top w:val="none" w:color="000000" w:sz="0" w:space="0"/>
          <w:left w:val="none" w:color="000000" w:sz="0" w:space="0"/>
          <w:bottom w:val="none" w:color="000000" w:sz="0" w:space="0"/>
          <w:right w:val="none" w:color="000000" w:sz="0" w:space="0"/>
        </w:pBdr>
        <w:spacing w:before="0" w:after="0" w:line="68" w:lineRule="atLeast"/>
        <w:ind w:left="0" w:right="0" w:firstLine="561"/>
        <w:jc w:val="both"/>
        <w:rPr>
          <w:color w:val="auto"/>
          <w:highlight w:val="none"/>
        </w:rPr>
      </w:pPr>
      <w:r>
        <w:rPr>
          <w:rFonts w:ascii="宋体" w:hAnsi="宋体" w:eastAsia="宋体" w:cs="宋体"/>
          <w:color w:val="auto"/>
          <w:sz w:val="24"/>
          <w:highlight w:val="none"/>
        </w:rPr>
        <w:t>收款人：江苏中际招标代理有限公司</w:t>
      </w:r>
    </w:p>
    <w:p w14:paraId="2DB48D46">
      <w:pPr>
        <w:pBdr>
          <w:top w:val="none" w:color="000000" w:sz="0" w:space="0"/>
          <w:left w:val="none" w:color="000000" w:sz="0" w:space="0"/>
          <w:bottom w:val="none" w:color="000000" w:sz="0" w:space="0"/>
          <w:right w:val="none" w:color="000000" w:sz="0" w:space="0"/>
        </w:pBdr>
        <w:spacing w:before="0" w:after="0" w:line="68" w:lineRule="atLeast"/>
        <w:ind w:left="0" w:right="0" w:firstLine="561"/>
        <w:jc w:val="both"/>
        <w:rPr>
          <w:color w:val="auto"/>
          <w:highlight w:val="none"/>
        </w:rPr>
      </w:pPr>
      <w:r>
        <w:rPr>
          <w:rFonts w:ascii="宋体" w:hAnsi="宋体" w:eastAsia="宋体" w:cs="宋体"/>
          <w:color w:val="auto"/>
          <w:sz w:val="24"/>
          <w:highlight w:val="none"/>
        </w:rPr>
        <w:t>开户银行：徐州农村商业银行股份有限公司彭园支行</w:t>
      </w:r>
    </w:p>
    <w:p w14:paraId="1DB06C91">
      <w:pPr>
        <w:pBdr>
          <w:top w:val="none" w:color="000000" w:sz="0" w:space="0"/>
          <w:left w:val="none" w:color="000000" w:sz="0" w:space="0"/>
          <w:bottom w:val="none" w:color="000000" w:sz="0" w:space="0"/>
          <w:right w:val="none" w:color="000000" w:sz="0" w:space="0"/>
        </w:pBdr>
        <w:spacing w:before="0" w:after="0" w:line="68" w:lineRule="atLeast"/>
        <w:ind w:left="0" w:right="0" w:firstLine="561"/>
        <w:jc w:val="both"/>
        <w:rPr>
          <w:color w:val="auto"/>
          <w:highlight w:val="none"/>
        </w:rPr>
      </w:pPr>
      <w:r>
        <w:rPr>
          <w:rFonts w:ascii="宋体" w:hAnsi="宋体" w:eastAsia="宋体" w:cs="宋体"/>
          <w:color w:val="auto"/>
          <w:sz w:val="24"/>
          <w:highlight w:val="none"/>
        </w:rPr>
        <w:t>账号：3203020171010000003980</w:t>
      </w:r>
    </w:p>
    <w:p w14:paraId="728920B3">
      <w:pPr>
        <w:pBdr>
          <w:top w:val="none" w:color="000000" w:sz="0" w:space="0"/>
          <w:left w:val="none" w:color="000000" w:sz="0" w:space="0"/>
          <w:bottom w:val="none" w:color="000000" w:sz="0" w:space="0"/>
          <w:right w:val="none" w:color="000000" w:sz="0" w:space="0"/>
        </w:pBdr>
        <w:spacing w:before="0" w:after="0" w:line="68" w:lineRule="atLeast"/>
        <w:ind w:left="0" w:right="0" w:firstLine="561"/>
        <w:jc w:val="both"/>
        <w:rPr>
          <w:color w:val="auto"/>
          <w:highlight w:val="none"/>
        </w:rPr>
      </w:pPr>
      <w:r>
        <w:rPr>
          <w:rFonts w:ascii="宋体" w:hAnsi="宋体" w:eastAsia="宋体" w:cs="宋体"/>
          <w:color w:val="auto"/>
          <w:sz w:val="24"/>
          <w:highlight w:val="none"/>
        </w:rPr>
        <w:t>行号：314303000180</w:t>
      </w:r>
    </w:p>
    <w:p w14:paraId="0FC9B57E">
      <w:pPr>
        <w:pBdr>
          <w:top w:val="none" w:color="000000" w:sz="0" w:space="0"/>
          <w:left w:val="none" w:color="000000" w:sz="0" w:space="0"/>
          <w:bottom w:val="none" w:color="000000" w:sz="0" w:space="0"/>
          <w:right w:val="none" w:color="000000" w:sz="0" w:space="0"/>
        </w:pBdr>
        <w:spacing w:before="0" w:after="0" w:line="85" w:lineRule="atLeast"/>
        <w:ind w:left="0" w:right="0" w:firstLine="420"/>
        <w:jc w:val="both"/>
        <w:rPr>
          <w:color w:val="auto"/>
          <w:highlight w:val="none"/>
        </w:rPr>
      </w:pPr>
      <w:r>
        <w:rPr>
          <w:rFonts w:ascii="Times New Roman" w:hAnsi="Times New Roman" w:eastAsia="Times New Roman" w:cs="Times New Roman"/>
          <w:color w:val="auto"/>
          <w:sz w:val="21"/>
          <w:highlight w:val="none"/>
        </w:rPr>
        <w:t> </w:t>
      </w:r>
    </w:p>
    <w:p w14:paraId="23531D4E">
      <w:pPr>
        <w:rPr>
          <w:color w:val="auto"/>
          <w:highlight w:val="none"/>
        </w:rPr>
      </w:pPr>
    </w:p>
    <w:sectPr>
      <w:pgSz w:w="11906" w:h="16838"/>
      <w:pgMar w:top="1383" w:right="1440" w:bottom="1383" w:left="1440" w:header="851" w:footer="992" w:gutter="0"/>
      <w:pgBorders>
        <w:top w:val="none" w:sz="0" w:space="0"/>
        <w:left w:val="none" w:sz="0" w:space="0"/>
        <w:bottom w:val="none" w:sz="0" w:space="0"/>
        <w:right w:val="none" w:sz="0" w:space="0"/>
      </w:pgBorders>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B0503020202020204"/>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auto"/>
    <w:pitch w:val="default"/>
    <w:sig w:usb0="E00006FF" w:usb1="420024FF" w:usb2="02000000" w:usb3="00000000" w:csb0="2000019F" w:csb1="00000000"/>
  </w:font>
  <w:font w:name="仿宋_GB2312">
    <w:altName w:val="仿宋"/>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Arial Unicode MS">
    <w:altName w:val="宋体"/>
    <w:panose1 w:val="020B0604020202020204"/>
    <w:charset w:val="86"/>
    <w:family w:val="auto"/>
    <w:pitch w:val="default"/>
    <w:sig w:usb0="00000000" w:usb1="00000000" w:usb2="0000003F" w:usb3="00000000" w:csb0="603F01FF" w:csb1="FFFF0000"/>
  </w:font>
  <w:font w:name="MingLiU">
    <w:altName w:val="PMingLiU-ExtB"/>
    <w:panose1 w:val="02020509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Verdana">
    <w:panose1 w:val="020B0604030504040204"/>
    <w:charset w:val="00"/>
    <w:family w:val="auto"/>
    <w:pitch w:val="default"/>
    <w:sig w:usb0="A00006FF" w:usb1="4000205B" w:usb2="00000010" w:usb3="00000000" w:csb0="2000019F" w:csb1="00000000"/>
  </w:font>
  <w:font w:name="Arial Rounded MT Bold">
    <w:altName w:val="Arial"/>
    <w:panose1 w:val="020F0704030504030204"/>
    <w:charset w:val="00"/>
    <w:family w:val="auto"/>
    <w:pitch w:val="default"/>
    <w:sig w:usb0="00000000" w:usb1="00000000" w:usb2="00000000" w:usb3="00000000" w:csb0="20000001" w:csb1="00000000"/>
  </w:font>
  <w:font w:name="幼圆">
    <w:altName w:val="宋体"/>
    <w:panose1 w:val="02010509060101010101"/>
    <w:charset w:val="86"/>
    <w:family w:val="auto"/>
    <w:pitch w:val="default"/>
    <w:sig w:usb0="00000000" w:usb1="00000000" w:usb2="00000000" w:usb3="00000000" w:csb0="00040000" w:csb1="00000000"/>
  </w:font>
  <w:font w:name="Arial Black">
    <w:panose1 w:val="020B0A04020102020204"/>
    <w:charset w:val="00"/>
    <w:family w:val="auto"/>
    <w:pitch w:val="default"/>
    <w:sig w:usb0="A00002AF" w:usb1="400078FB" w:usb2="00000000" w:usb3="00000000" w:csb0="6000009F" w:csb1="DFD70000"/>
  </w:font>
  <w:font w:name="方正楷体_GBK">
    <w:altName w:val="微软雅黑"/>
    <w:panose1 w:val="020B0503020202020204"/>
    <w:charset w:val="00"/>
    <w:family w:val="auto"/>
    <w:pitch w:val="default"/>
    <w:sig w:usb0="00000000" w:usb1="00000000" w:usb2="00000000" w:usb3="00000000" w:csb0="00000000" w:csb1="00000000"/>
  </w:font>
  <w:font w:name="PMingLiU">
    <w:altName w:val="PMingLiU-ExtB"/>
    <w:panose1 w:val="02020500000000000000"/>
    <w:charset w:val="88"/>
    <w:family w:val="auto"/>
    <w:pitch w:val="default"/>
    <w:sig w:usb0="00000000" w:usb1="00000000" w:usb2="00000016" w:usb3="00000000" w:csb0="00100001" w:csb1="00000000"/>
  </w:font>
  <w:font w:name="全真中明體">
    <w:altName w:val="Yu Gothic UI"/>
    <w:panose1 w:val="020B0503020202020204"/>
    <w:charset w:val="00"/>
    <w:family w:val="auto"/>
    <w:pitch w:val="default"/>
    <w:sig w:usb0="00000000" w:usb1="00000000" w:usb2="00000000" w:usb3="00000000" w:csb0="00000000" w:csb1="00000000"/>
  </w:font>
  <w:font w:name="Yu Gothic UI">
    <w:panose1 w:val="020B0500000000000000"/>
    <w:charset w:val="80"/>
    <w:family w:val="auto"/>
    <w:pitch w:val="default"/>
    <w:sig w:usb0="E00002FF" w:usb1="2AC7FDFF" w:usb2="00000016" w:usb3="00000000" w:csb0="2002009F" w:csb1="00000000"/>
  </w:font>
  <w:font w:name="Futura Bk">
    <w:altName w:val="Yu Gothic UI"/>
    <w:panose1 w:val="020B05030202020202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58960"/>
      <w:lock w:val="sdtContentLocked"/>
    </w:sdtPr>
    <w:sdtContent>
      <w:p w14:paraId="50B96060">
        <w:pPr>
          <w:pStyle w:val="32"/>
          <w:ind w:firstLine="360"/>
          <w:jc w:val="center"/>
        </w:pPr>
        <w:r>
          <w:fldChar w:fldCharType="begin"/>
        </w:r>
        <w:r>
          <w:instrText xml:space="preserve"> PAGE   \* MERGEFORMAT </w:instrText>
        </w:r>
        <w:r>
          <w:fldChar w:fldCharType="separate"/>
        </w:r>
        <w:r>
          <w:rPr>
            <w:lang w:val="zh-CN"/>
          </w:rPr>
          <w:t>66</w:t>
        </w:r>
        <w:r>
          <w:rPr>
            <w:lang w:val="zh-CN"/>
          </w:rPr>
          <w:fldChar w:fldCharType="end"/>
        </w:r>
      </w:p>
    </w:sdtContent>
  </w:sdt>
  <w:p w14:paraId="1BD48774">
    <w:pPr>
      <w:pStyle w:val="3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8F991">
    <w:pPr>
      <w:pStyle w:val="3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miter/>
                      </a:ln>
                    </wps:spPr>
                    <wps:txbx>
                      <w:txbxContent>
                        <w:p w14:paraId="53DB8C63">
                          <w:pPr>
                            <w:pStyle w:val="32"/>
                          </w:pPr>
                          <w:r>
                            <w:rPr>
                              <w:rFonts w:hint="eastAsia"/>
                            </w:rPr>
                            <w:fldChar w:fldCharType="begin"/>
                          </w:r>
                          <w:r>
                            <w:rPr>
                              <w:rFonts w:hint="eastAsia"/>
                            </w:rPr>
                            <w:instrText xml:space="preserve"> PAGE  \* MERGEFORMAT </w:instrText>
                          </w:r>
                          <w:r>
                            <w:rPr>
                              <w:rFonts w:hint="eastAsia"/>
                            </w:rPr>
                            <w:fldChar w:fldCharType="separate"/>
                          </w:r>
                          <w:r>
                            <w:t>65</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&#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DWRAu+1QEAALEDAAAOAAAAAAAAAAEAIAAAAB4B&#10;AABkcnMvZTJvRG9jLnhtbFBLBQYAAAAABgAGAFkBAABlBQAAAAA=&#10;">
              <v:fill on="f" focussize="0,0"/>
              <v:stroke on="f" joinstyle="miter"/>
              <v:imagedata o:title=""/>
              <o:lock v:ext="edit" aspectratio="f"/>
              <v:textbox inset="0mm,0mm,0mm,0mm" style="mso-fit-shape-to-text:t;">
                <w:txbxContent>
                  <w:p w14:paraId="53DB8C63">
                    <w:pPr>
                      <w:pStyle w:val="32"/>
                    </w:pPr>
                    <w:r>
                      <w:rPr>
                        <w:rFonts w:hint="eastAsia"/>
                      </w:rPr>
                      <w:fldChar w:fldCharType="begin"/>
                    </w:r>
                    <w:r>
                      <w:rPr>
                        <w:rFonts w:hint="eastAsia"/>
                      </w:rPr>
                      <w:instrText xml:space="preserve"> PAGE  \* MERGEFORMAT </w:instrText>
                    </w:r>
                    <w:r>
                      <w:rPr>
                        <w:rFonts w:hint="eastAsia"/>
                      </w:rPr>
                      <w:fldChar w:fldCharType="separate"/>
                    </w:r>
                    <w:r>
                      <w:t>65</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FF4ED">
    <w:pPr>
      <w:rPr>
        <w:iCs/>
        <w:sz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F3FDAE"/>
    <w:multiLevelType w:val="singleLevel"/>
    <w:tmpl w:val="88F3FDAE"/>
    <w:lvl w:ilvl="0" w:tentative="0">
      <w:start w:val="1"/>
      <w:numFmt w:val="chineseCounting"/>
      <w:suff w:val="nothing"/>
      <w:lvlText w:val="（%1）"/>
      <w:lvlJc w:val="left"/>
      <w:pPr>
        <w:ind w:left="0" w:firstLine="482"/>
      </w:pPr>
      <w:rPr>
        <w:rFonts w:hint="eastAsia"/>
      </w:rPr>
    </w:lvl>
  </w:abstractNum>
  <w:abstractNum w:abstractNumId="1">
    <w:nsid w:val="9239341B"/>
    <w:multiLevelType w:val="multilevel"/>
    <w:tmpl w:val="9239341B"/>
    <w:lvl w:ilvl="0" w:tentative="0">
      <w:start w:val="1"/>
      <w:numFmt w:val="decimal"/>
      <w:lvlText w:val="%1、"/>
      <w:lvlJc w:val="left"/>
      <w:pPr>
        <w:ind w:left="2310" w:firstLine="0"/>
      </w:pPr>
    </w:lvl>
    <w:lvl w:ilvl="1" w:tentative="0">
      <w:start w:val="1"/>
      <w:numFmt w:val="bullet"/>
      <w:lvlText w:val="&quot;o&quot;"/>
      <w:lvlJc w:val="left"/>
      <w:pPr>
        <w:ind w:left="1440" w:hanging="360"/>
      </w:pPr>
      <w:rPr>
        <w:rFonts w:hint="default" w:ascii="Courier New" w:hAnsi="Courier New" w:eastAsia="Courier New" w:cs="Courier New"/>
      </w:rPr>
    </w:lvl>
    <w:lvl w:ilvl="2" w:tentative="0">
      <w:start w:val="1"/>
      <w:numFmt w:val="bullet"/>
      <w:lvlText w:val="&quot;§&quot;"/>
      <w:lvlJc w:val="left"/>
      <w:pPr>
        <w:ind w:left="2160" w:hanging="360"/>
      </w:pPr>
      <w:rPr>
        <w:rFonts w:hint="default" w:ascii="Wingdings" w:hAnsi="Wingdings" w:eastAsia="Wingdings" w:cs="Wingdings"/>
      </w:rPr>
    </w:lvl>
    <w:lvl w:ilvl="3" w:tentative="0">
      <w:start w:val="1"/>
      <w:numFmt w:val="bullet"/>
      <w:lvlText w:val="&quot;·&quot;"/>
      <w:lvlJc w:val="left"/>
      <w:pPr>
        <w:ind w:left="2880" w:hanging="360"/>
      </w:pPr>
      <w:rPr>
        <w:rFonts w:hint="default" w:ascii="Symbol" w:hAnsi="Symbol" w:eastAsia="Symbol" w:cs="Symbol"/>
      </w:rPr>
    </w:lvl>
    <w:lvl w:ilvl="4" w:tentative="0">
      <w:start w:val="1"/>
      <w:numFmt w:val="bullet"/>
      <w:lvlText w:val="&quot;o&quot;"/>
      <w:lvlJc w:val="left"/>
      <w:pPr>
        <w:ind w:left="3600" w:hanging="360"/>
      </w:pPr>
      <w:rPr>
        <w:rFonts w:hint="default" w:ascii="Courier New" w:hAnsi="Courier New" w:eastAsia="Courier New" w:cs="Courier New"/>
      </w:rPr>
    </w:lvl>
    <w:lvl w:ilvl="5" w:tentative="0">
      <w:start w:val="1"/>
      <w:numFmt w:val="bullet"/>
      <w:lvlText w:val="&quot;§&quot;"/>
      <w:lvlJc w:val="left"/>
      <w:pPr>
        <w:ind w:left="4320" w:hanging="360"/>
      </w:pPr>
      <w:rPr>
        <w:rFonts w:hint="default" w:ascii="Wingdings" w:hAnsi="Wingdings" w:eastAsia="Wingdings" w:cs="Wingdings"/>
      </w:rPr>
    </w:lvl>
    <w:lvl w:ilvl="6" w:tentative="0">
      <w:start w:val="1"/>
      <w:numFmt w:val="bullet"/>
      <w:lvlText w:val="&quot;·&quot;"/>
      <w:lvlJc w:val="left"/>
      <w:pPr>
        <w:ind w:left="5040" w:hanging="360"/>
      </w:pPr>
      <w:rPr>
        <w:rFonts w:hint="default" w:ascii="Symbol" w:hAnsi="Symbol" w:eastAsia="Symbol" w:cs="Symbol"/>
      </w:rPr>
    </w:lvl>
    <w:lvl w:ilvl="7" w:tentative="0">
      <w:start w:val="1"/>
      <w:numFmt w:val="bullet"/>
      <w:lvlText w:val="&quot;o&quot;"/>
      <w:lvlJc w:val="left"/>
      <w:pPr>
        <w:ind w:left="5760" w:hanging="360"/>
      </w:pPr>
      <w:rPr>
        <w:rFonts w:hint="default" w:ascii="Courier New" w:hAnsi="Courier New" w:eastAsia="Courier New" w:cs="Courier New"/>
      </w:rPr>
    </w:lvl>
    <w:lvl w:ilvl="8" w:tentative="0">
      <w:start w:val="1"/>
      <w:numFmt w:val="bullet"/>
      <w:lvlText w:val="&quot;§&quot;"/>
      <w:lvlJc w:val="left"/>
      <w:pPr>
        <w:ind w:left="6480" w:hanging="360"/>
      </w:pPr>
      <w:rPr>
        <w:rFonts w:hint="default" w:ascii="Wingdings" w:hAnsi="Wingdings" w:eastAsia="Wingdings" w:cs="Wingdings"/>
      </w:rPr>
    </w:lvl>
  </w:abstractNum>
  <w:abstractNum w:abstractNumId="2">
    <w:nsid w:val="C81D885D"/>
    <w:multiLevelType w:val="singleLevel"/>
    <w:tmpl w:val="C81D885D"/>
    <w:lvl w:ilvl="0" w:tentative="0">
      <w:start w:val="1"/>
      <w:numFmt w:val="decimal"/>
      <w:suff w:val="nothing"/>
      <w:lvlText w:val="（%1）"/>
      <w:lvlJc w:val="left"/>
      <w:pPr>
        <w:ind w:left="0" w:firstLine="482"/>
      </w:pPr>
      <w:rPr>
        <w:rFonts w:hint="default"/>
      </w:rPr>
    </w:lvl>
  </w:abstractNum>
  <w:abstractNum w:abstractNumId="3">
    <w:nsid w:val="0248C179"/>
    <w:multiLevelType w:val="multilevel"/>
    <w:tmpl w:val="0248C179"/>
    <w:lvl w:ilvl="0" w:tentative="0">
      <w:start w:val="1"/>
      <w:numFmt w:val="decimal"/>
      <w:lvlText w:val="%1."/>
      <w:lvlJc w:val="left"/>
      <w:pPr>
        <w:tabs>
          <w:tab w:val="left" w:pos="720"/>
        </w:tabs>
        <w:ind w:left="720" w:hanging="360"/>
      </w:pPr>
      <w:rPr>
        <w:rFonts w:hint="default"/>
      </w:rPr>
    </w:lvl>
    <w:lvl w:ilvl="1" w:tentative="0">
      <w:start w:val="1"/>
      <w:numFmt w:val="lowerLetter"/>
      <w:pStyle w:val="301"/>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pStyle w:val="302"/>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4">
    <w:nsid w:val="15210866"/>
    <w:multiLevelType w:val="singleLevel"/>
    <w:tmpl w:val="15210866"/>
    <w:lvl w:ilvl="0" w:tentative="0">
      <w:start w:val="1"/>
      <w:numFmt w:val="chineseCounting"/>
      <w:suff w:val="nothing"/>
      <w:lvlText w:val="（%1）"/>
      <w:lvlJc w:val="left"/>
      <w:pPr>
        <w:ind w:left="0" w:firstLine="482"/>
      </w:pPr>
      <w:rPr>
        <w:rFonts w:hint="eastAsia"/>
      </w:rPr>
    </w:lvl>
  </w:abstractNum>
  <w:abstractNum w:abstractNumId="5">
    <w:nsid w:val="249C4168"/>
    <w:multiLevelType w:val="singleLevel"/>
    <w:tmpl w:val="249C4168"/>
    <w:lvl w:ilvl="0" w:tentative="0">
      <w:start w:val="1"/>
      <w:numFmt w:val="decimal"/>
      <w:suff w:val="nothing"/>
      <w:lvlText w:val="（%1）"/>
      <w:lvlJc w:val="left"/>
      <w:pPr>
        <w:ind w:left="0" w:firstLine="480"/>
      </w:pPr>
      <w:rPr>
        <w:rFonts w:hint="default"/>
      </w:rPr>
    </w:lvl>
  </w:abstractNum>
  <w:abstractNum w:abstractNumId="6">
    <w:nsid w:val="2A8F537B"/>
    <w:multiLevelType w:val="multilevel"/>
    <w:tmpl w:val="2A8F537B"/>
    <w:lvl w:ilvl="0" w:tentative="0">
      <w:start w:val="2"/>
      <w:numFmt w:val="decimal"/>
      <w:lvlText w:val="%1."/>
      <w:lvlJc w:val="left"/>
      <w:pPr>
        <w:ind w:left="0" w:firstLine="0"/>
      </w:pPr>
    </w:lvl>
    <w:lvl w:ilvl="1" w:tentative="0">
      <w:start w:val="1"/>
      <w:numFmt w:val="bullet"/>
      <w:lvlText w:val="&quot;o&quot;"/>
      <w:lvlJc w:val="left"/>
      <w:pPr>
        <w:ind w:left="1440" w:hanging="360"/>
      </w:pPr>
      <w:rPr>
        <w:rFonts w:hint="default" w:ascii="Courier New" w:hAnsi="Courier New" w:eastAsia="Courier New" w:cs="Courier New"/>
      </w:rPr>
    </w:lvl>
    <w:lvl w:ilvl="2" w:tentative="0">
      <w:start w:val="1"/>
      <w:numFmt w:val="bullet"/>
      <w:lvlText w:val="&quot;§&quot;"/>
      <w:lvlJc w:val="left"/>
      <w:pPr>
        <w:ind w:left="2160" w:hanging="360"/>
      </w:pPr>
      <w:rPr>
        <w:rFonts w:hint="default" w:ascii="Wingdings" w:hAnsi="Wingdings" w:eastAsia="Wingdings" w:cs="Wingdings"/>
      </w:rPr>
    </w:lvl>
    <w:lvl w:ilvl="3" w:tentative="0">
      <w:start w:val="1"/>
      <w:numFmt w:val="bullet"/>
      <w:lvlText w:val="&quot;·&quot;"/>
      <w:lvlJc w:val="left"/>
      <w:pPr>
        <w:ind w:left="2880" w:hanging="360"/>
      </w:pPr>
      <w:rPr>
        <w:rFonts w:hint="default" w:ascii="Symbol" w:hAnsi="Symbol" w:eastAsia="Symbol" w:cs="Symbol"/>
      </w:rPr>
    </w:lvl>
    <w:lvl w:ilvl="4" w:tentative="0">
      <w:start w:val="1"/>
      <w:numFmt w:val="bullet"/>
      <w:lvlText w:val="&quot;o&quot;"/>
      <w:lvlJc w:val="left"/>
      <w:pPr>
        <w:ind w:left="3600" w:hanging="360"/>
      </w:pPr>
      <w:rPr>
        <w:rFonts w:hint="default" w:ascii="Courier New" w:hAnsi="Courier New" w:eastAsia="Courier New" w:cs="Courier New"/>
      </w:rPr>
    </w:lvl>
    <w:lvl w:ilvl="5" w:tentative="0">
      <w:start w:val="1"/>
      <w:numFmt w:val="bullet"/>
      <w:lvlText w:val="&quot;§&quot;"/>
      <w:lvlJc w:val="left"/>
      <w:pPr>
        <w:ind w:left="4320" w:hanging="360"/>
      </w:pPr>
      <w:rPr>
        <w:rFonts w:hint="default" w:ascii="Wingdings" w:hAnsi="Wingdings" w:eastAsia="Wingdings" w:cs="Wingdings"/>
      </w:rPr>
    </w:lvl>
    <w:lvl w:ilvl="6" w:tentative="0">
      <w:start w:val="1"/>
      <w:numFmt w:val="bullet"/>
      <w:lvlText w:val="&quot;·&quot;"/>
      <w:lvlJc w:val="left"/>
      <w:pPr>
        <w:ind w:left="5040" w:hanging="360"/>
      </w:pPr>
      <w:rPr>
        <w:rFonts w:hint="default" w:ascii="Symbol" w:hAnsi="Symbol" w:eastAsia="Symbol" w:cs="Symbol"/>
      </w:rPr>
    </w:lvl>
    <w:lvl w:ilvl="7" w:tentative="0">
      <w:start w:val="1"/>
      <w:numFmt w:val="bullet"/>
      <w:lvlText w:val="&quot;o&quot;"/>
      <w:lvlJc w:val="left"/>
      <w:pPr>
        <w:ind w:left="5760" w:hanging="360"/>
      </w:pPr>
      <w:rPr>
        <w:rFonts w:hint="default" w:ascii="Courier New" w:hAnsi="Courier New" w:eastAsia="Courier New" w:cs="Courier New"/>
      </w:rPr>
    </w:lvl>
    <w:lvl w:ilvl="8" w:tentative="0">
      <w:start w:val="1"/>
      <w:numFmt w:val="bullet"/>
      <w:lvlText w:val="&quot;§&quot;"/>
      <w:lvlJc w:val="left"/>
      <w:pPr>
        <w:ind w:left="6480" w:hanging="360"/>
      </w:pPr>
      <w:rPr>
        <w:rFonts w:hint="default" w:ascii="Wingdings" w:hAnsi="Wingdings" w:eastAsia="Wingdings" w:cs="Wingdings"/>
      </w:rPr>
    </w:lvl>
  </w:abstractNum>
  <w:abstractNum w:abstractNumId="7">
    <w:nsid w:val="4344C9B2"/>
    <w:multiLevelType w:val="singleLevel"/>
    <w:tmpl w:val="4344C9B2"/>
    <w:lvl w:ilvl="0" w:tentative="0">
      <w:start w:val="1"/>
      <w:numFmt w:val="chineseCounting"/>
      <w:suff w:val="nothing"/>
      <w:lvlText w:val="（%1）"/>
      <w:lvlJc w:val="left"/>
      <w:pPr>
        <w:ind w:left="0" w:firstLine="482"/>
      </w:pPr>
      <w:rPr>
        <w:rFonts w:hint="eastAsia"/>
      </w:rPr>
    </w:lvl>
  </w:abstractNum>
  <w:abstractNum w:abstractNumId="8">
    <w:nsid w:val="5444B498"/>
    <w:multiLevelType w:val="singleLevel"/>
    <w:tmpl w:val="5444B498"/>
    <w:lvl w:ilvl="0" w:tentative="0">
      <w:start w:val="5"/>
      <w:numFmt w:val="decimal"/>
      <w:lvlText w:val="%1."/>
      <w:lvlJc w:val="left"/>
      <w:pPr>
        <w:tabs>
          <w:tab w:val="left" w:pos="312"/>
        </w:tabs>
      </w:pPr>
    </w:lvl>
  </w:abstractNum>
  <w:abstractNum w:abstractNumId="9">
    <w:nsid w:val="72183CF9"/>
    <w:multiLevelType w:val="multilevel"/>
    <w:tmpl w:val="72183CF9"/>
    <w:lvl w:ilvl="0" w:tentative="0">
      <w:start w:val="1"/>
      <w:numFmt w:val="decimal"/>
      <w:pStyle w:val="279"/>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3"/>
  </w:num>
  <w:num w:numId="3">
    <w:abstractNumId w:val="8"/>
  </w:num>
  <w:num w:numId="4">
    <w:abstractNumId w:val="1"/>
  </w:num>
  <w:num w:numId="5">
    <w:abstractNumId w:val="6"/>
  </w:num>
  <w:num w:numId="6">
    <w:abstractNumId w:val="4"/>
  </w:num>
  <w:num w:numId="7">
    <w:abstractNumId w:val="7"/>
  </w:num>
  <w:num w:numId="8">
    <w:abstractNumId w:val="2"/>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623E3"/>
    <w:rsid w:val="013578AD"/>
    <w:rsid w:val="03304250"/>
    <w:rsid w:val="05D215EF"/>
    <w:rsid w:val="06CE1DB6"/>
    <w:rsid w:val="0922463B"/>
    <w:rsid w:val="09565CBB"/>
    <w:rsid w:val="0A0A75A9"/>
    <w:rsid w:val="0A612060"/>
    <w:rsid w:val="0A726EFC"/>
    <w:rsid w:val="0AE93662"/>
    <w:rsid w:val="0BC55E7E"/>
    <w:rsid w:val="0D077DD0"/>
    <w:rsid w:val="0D110C4F"/>
    <w:rsid w:val="0DDA25BF"/>
    <w:rsid w:val="0E2F5830"/>
    <w:rsid w:val="0F0071CD"/>
    <w:rsid w:val="0F96368D"/>
    <w:rsid w:val="100A5921"/>
    <w:rsid w:val="10134CDE"/>
    <w:rsid w:val="120314AE"/>
    <w:rsid w:val="120C7C36"/>
    <w:rsid w:val="13051255"/>
    <w:rsid w:val="138A3509"/>
    <w:rsid w:val="1404150D"/>
    <w:rsid w:val="142E658A"/>
    <w:rsid w:val="14496F20"/>
    <w:rsid w:val="156A35F2"/>
    <w:rsid w:val="15D127F1"/>
    <w:rsid w:val="19A5109C"/>
    <w:rsid w:val="1AFA5418"/>
    <w:rsid w:val="1B4C2C1A"/>
    <w:rsid w:val="1C4526C3"/>
    <w:rsid w:val="1C962F1E"/>
    <w:rsid w:val="1CD001DE"/>
    <w:rsid w:val="1E58492F"/>
    <w:rsid w:val="1E765BA8"/>
    <w:rsid w:val="1E7E1EBC"/>
    <w:rsid w:val="1F9951FF"/>
    <w:rsid w:val="1FCB2EDF"/>
    <w:rsid w:val="20A0611A"/>
    <w:rsid w:val="21E71F37"/>
    <w:rsid w:val="22E449E3"/>
    <w:rsid w:val="23287AAC"/>
    <w:rsid w:val="23AE4FF1"/>
    <w:rsid w:val="247D50F0"/>
    <w:rsid w:val="248875F1"/>
    <w:rsid w:val="25C7239A"/>
    <w:rsid w:val="28BB61E6"/>
    <w:rsid w:val="2A381715"/>
    <w:rsid w:val="2B1C0A93"/>
    <w:rsid w:val="2BF33EE9"/>
    <w:rsid w:val="2CB2345D"/>
    <w:rsid w:val="2DBA527C"/>
    <w:rsid w:val="2EBF6305"/>
    <w:rsid w:val="2F016914"/>
    <w:rsid w:val="30BC0D4E"/>
    <w:rsid w:val="318178A1"/>
    <w:rsid w:val="31945827"/>
    <w:rsid w:val="31AD4B3A"/>
    <w:rsid w:val="31F134B7"/>
    <w:rsid w:val="32002EBC"/>
    <w:rsid w:val="325F4FA4"/>
    <w:rsid w:val="331A7FAD"/>
    <w:rsid w:val="33D91C17"/>
    <w:rsid w:val="343D03F7"/>
    <w:rsid w:val="349E1F84"/>
    <w:rsid w:val="34AA710F"/>
    <w:rsid w:val="34F12F90"/>
    <w:rsid w:val="353335A8"/>
    <w:rsid w:val="357339E7"/>
    <w:rsid w:val="36201D7F"/>
    <w:rsid w:val="36511F38"/>
    <w:rsid w:val="36851BE2"/>
    <w:rsid w:val="36C941C4"/>
    <w:rsid w:val="373074C2"/>
    <w:rsid w:val="380A4A95"/>
    <w:rsid w:val="39AD1B7B"/>
    <w:rsid w:val="39B527DE"/>
    <w:rsid w:val="3A802DEC"/>
    <w:rsid w:val="3AF86E26"/>
    <w:rsid w:val="3BAD44F6"/>
    <w:rsid w:val="3C7921E9"/>
    <w:rsid w:val="3D474095"/>
    <w:rsid w:val="3D6C7658"/>
    <w:rsid w:val="3F2A5A1C"/>
    <w:rsid w:val="3F656A54"/>
    <w:rsid w:val="3FB05F21"/>
    <w:rsid w:val="406B6B98"/>
    <w:rsid w:val="414D77A0"/>
    <w:rsid w:val="42D068DB"/>
    <w:rsid w:val="436B215F"/>
    <w:rsid w:val="4413082D"/>
    <w:rsid w:val="44EE3048"/>
    <w:rsid w:val="44FF34A7"/>
    <w:rsid w:val="45835E86"/>
    <w:rsid w:val="480A63EB"/>
    <w:rsid w:val="4888626D"/>
    <w:rsid w:val="48AE6126"/>
    <w:rsid w:val="48F00331"/>
    <w:rsid w:val="4A606796"/>
    <w:rsid w:val="4AC705C3"/>
    <w:rsid w:val="4B09298A"/>
    <w:rsid w:val="4CF33CBA"/>
    <w:rsid w:val="4D4952BF"/>
    <w:rsid w:val="4D904DAA"/>
    <w:rsid w:val="4DE66FB2"/>
    <w:rsid w:val="4E5C1022"/>
    <w:rsid w:val="4E7520E4"/>
    <w:rsid w:val="4ED17C62"/>
    <w:rsid w:val="4FC6709B"/>
    <w:rsid w:val="501E6ED7"/>
    <w:rsid w:val="503F29AA"/>
    <w:rsid w:val="50C5033F"/>
    <w:rsid w:val="514B3CFC"/>
    <w:rsid w:val="525210BA"/>
    <w:rsid w:val="52D970E6"/>
    <w:rsid w:val="53266253"/>
    <w:rsid w:val="53395DD6"/>
    <w:rsid w:val="53FD6E04"/>
    <w:rsid w:val="55603AEE"/>
    <w:rsid w:val="569B59C1"/>
    <w:rsid w:val="57390153"/>
    <w:rsid w:val="57713D91"/>
    <w:rsid w:val="58366D88"/>
    <w:rsid w:val="59215342"/>
    <w:rsid w:val="5932477C"/>
    <w:rsid w:val="59411541"/>
    <w:rsid w:val="59D92D59"/>
    <w:rsid w:val="59F210B1"/>
    <w:rsid w:val="5A3410A5"/>
    <w:rsid w:val="5AA955EF"/>
    <w:rsid w:val="5B637E94"/>
    <w:rsid w:val="5C1E200D"/>
    <w:rsid w:val="5C294C3A"/>
    <w:rsid w:val="5C4001D5"/>
    <w:rsid w:val="5F8B3350"/>
    <w:rsid w:val="5FB05672"/>
    <w:rsid w:val="60354E3F"/>
    <w:rsid w:val="604A1623"/>
    <w:rsid w:val="6089214B"/>
    <w:rsid w:val="62031A89"/>
    <w:rsid w:val="625B18C5"/>
    <w:rsid w:val="62D13935"/>
    <w:rsid w:val="641C32D6"/>
    <w:rsid w:val="655D7702"/>
    <w:rsid w:val="65960E66"/>
    <w:rsid w:val="671B5AC7"/>
    <w:rsid w:val="677C50D9"/>
    <w:rsid w:val="684B23DC"/>
    <w:rsid w:val="6AB204F0"/>
    <w:rsid w:val="6CA13541"/>
    <w:rsid w:val="6E7855AD"/>
    <w:rsid w:val="6E91041D"/>
    <w:rsid w:val="70645DE9"/>
    <w:rsid w:val="708F6BDE"/>
    <w:rsid w:val="71566079"/>
    <w:rsid w:val="720553A9"/>
    <w:rsid w:val="724C2FD8"/>
    <w:rsid w:val="728E30E2"/>
    <w:rsid w:val="72E52C31"/>
    <w:rsid w:val="735A34D3"/>
    <w:rsid w:val="738D5656"/>
    <w:rsid w:val="73CF2113"/>
    <w:rsid w:val="74654825"/>
    <w:rsid w:val="768014A2"/>
    <w:rsid w:val="771A0FF2"/>
    <w:rsid w:val="77273500"/>
    <w:rsid w:val="77C90C27"/>
    <w:rsid w:val="796C2BD8"/>
    <w:rsid w:val="799534B7"/>
    <w:rsid w:val="79A61220"/>
    <w:rsid w:val="79DE4E5E"/>
    <w:rsid w:val="7C266648"/>
    <w:rsid w:val="7C7E0232"/>
    <w:rsid w:val="7CFE1373"/>
    <w:rsid w:val="7FAB3A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9" w:semiHidden="0" w:name="heading 3"/>
    <w:lsdException w:qFormat="1" w:unhideWhenUsed="0" w:uiPriority="9" w:semiHidden="0" w:name="heading 4"/>
    <w:lsdException w:qFormat="1" w:unhideWhenUsed="0" w:uiPriority="99"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iPriority="0" w:semiHidden="0"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nhideWhenUsed="0" w:uiPriority="0" w:semiHidden="0" w:name="envelope return"/>
    <w:lsdException w:qFormat="1" w:uiPriority="99"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iPriority="99" w:name="endnote reference"/>
    <w:lsdException w:qFormat="1" w:uiPriority="0" w:semiHidden="0"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6" w:semiHidden="0" w:name="Block Text"/>
    <w:lsdException w:qFormat="1" w:uiPriority="0" w:semiHidden="0" w:name="Hyperlink"/>
    <w:lsdException w:qFormat="1" w:uiPriority="99" w:name="FollowedHyperlink"/>
    <w:lsdException w:qFormat="1" w:unhideWhenUsed="0" w:uiPriority="22" w:semiHidden="0" w:name="Strong"/>
    <w:lsdException w:qFormat="1" w:unhideWhenUsed="0" w:uiPriority="0" w:semiHidden="0" w:name="Emphasis"/>
    <w:lsdException w:qFormat="1" w:uiPriority="99"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link w:val="316"/>
    <w:qFormat/>
    <w:uiPriority w:val="99"/>
    <w:pPr>
      <w:keepNext/>
      <w:keepLines/>
      <w:spacing w:before="340" w:after="330" w:line="578" w:lineRule="atLeast"/>
      <w:outlineLvl w:val="0"/>
    </w:pPr>
    <w:rPr>
      <w:rFonts w:eastAsia="方正仿宋_GBK"/>
      <w:b/>
      <w:sz w:val="44"/>
      <w:szCs w:val="20"/>
    </w:rPr>
  </w:style>
  <w:style w:type="paragraph" w:styleId="3">
    <w:name w:val="heading 2"/>
    <w:basedOn w:val="1"/>
    <w:next w:val="1"/>
    <w:link w:val="308"/>
    <w:qFormat/>
    <w:uiPriority w:val="99"/>
    <w:pPr>
      <w:keepNext/>
      <w:keepLines/>
      <w:spacing w:before="260" w:after="260" w:line="360" w:lineRule="auto"/>
      <w:ind w:firstLine="200"/>
      <w:jc w:val="center"/>
      <w:outlineLvl w:val="1"/>
    </w:pPr>
    <w:rPr>
      <w:rFonts w:ascii="Cambria" w:hAnsi="Cambria"/>
      <w:b/>
      <w:bCs/>
      <w:sz w:val="32"/>
      <w:szCs w:val="32"/>
    </w:rPr>
  </w:style>
  <w:style w:type="paragraph" w:styleId="4">
    <w:name w:val="heading 3"/>
    <w:basedOn w:val="1"/>
    <w:next w:val="1"/>
    <w:link w:val="315"/>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317"/>
    <w:qFormat/>
    <w:uiPriority w:val="9"/>
    <w:pPr>
      <w:keepNext/>
      <w:keepLines/>
      <w:spacing w:before="280" w:after="290" w:line="376" w:lineRule="auto"/>
      <w:outlineLvl w:val="3"/>
    </w:pPr>
    <w:rPr>
      <w:rFonts w:ascii="Cambria" w:hAnsi="Cambria"/>
      <w:b/>
      <w:bCs/>
      <w:sz w:val="28"/>
      <w:szCs w:val="28"/>
    </w:rPr>
  </w:style>
  <w:style w:type="paragraph" w:styleId="6">
    <w:name w:val="heading 5"/>
    <w:basedOn w:val="1"/>
    <w:next w:val="1"/>
    <w:link w:val="318"/>
    <w:qFormat/>
    <w:uiPriority w:val="99"/>
    <w:pPr>
      <w:keepNext/>
      <w:keepLines/>
      <w:spacing w:before="280" w:after="290" w:line="376" w:lineRule="auto"/>
      <w:outlineLvl w:val="4"/>
    </w:pPr>
    <w:rPr>
      <w:b/>
      <w:bCs/>
      <w:sz w:val="28"/>
      <w:szCs w:val="28"/>
    </w:rPr>
  </w:style>
  <w:style w:type="paragraph" w:styleId="7">
    <w:name w:val="heading 6"/>
    <w:basedOn w:val="1"/>
    <w:next w:val="1"/>
    <w:link w:val="319"/>
    <w:qFormat/>
    <w:uiPriority w:val="0"/>
    <w:pPr>
      <w:keepNext/>
      <w:keepLines/>
      <w:tabs>
        <w:tab w:val="left" w:pos="2520"/>
      </w:tabs>
      <w:spacing w:before="240" w:after="64" w:line="320" w:lineRule="auto"/>
      <w:ind w:left="2520" w:hanging="420"/>
      <w:outlineLvl w:val="5"/>
    </w:pPr>
    <w:rPr>
      <w:rFonts w:ascii="Arial" w:hAnsi="Arial" w:eastAsia="黑体"/>
      <w:b/>
      <w:bCs/>
      <w:sz w:val="24"/>
      <w:lang w:val="zh-CN"/>
    </w:rPr>
  </w:style>
  <w:style w:type="paragraph" w:styleId="8">
    <w:name w:val="heading 7"/>
    <w:basedOn w:val="1"/>
    <w:next w:val="1"/>
    <w:link w:val="320"/>
    <w:qFormat/>
    <w:uiPriority w:val="0"/>
    <w:pPr>
      <w:keepNext/>
      <w:keepLines/>
      <w:tabs>
        <w:tab w:val="left" w:pos="2940"/>
      </w:tabs>
      <w:spacing w:before="240" w:after="64" w:line="320" w:lineRule="auto"/>
      <w:ind w:left="2940" w:hanging="420"/>
      <w:outlineLvl w:val="6"/>
    </w:pPr>
    <w:rPr>
      <w:b/>
      <w:bCs/>
      <w:sz w:val="24"/>
      <w:lang w:val="zh-CN"/>
    </w:rPr>
  </w:style>
  <w:style w:type="paragraph" w:styleId="9">
    <w:name w:val="heading 8"/>
    <w:basedOn w:val="1"/>
    <w:next w:val="1"/>
    <w:link w:val="321"/>
    <w:qFormat/>
    <w:uiPriority w:val="0"/>
    <w:pPr>
      <w:keepNext/>
      <w:keepLines/>
      <w:tabs>
        <w:tab w:val="left" w:pos="3360"/>
      </w:tabs>
      <w:spacing w:before="240" w:after="64" w:line="320" w:lineRule="auto"/>
      <w:ind w:left="3360" w:hanging="420"/>
      <w:outlineLvl w:val="7"/>
    </w:pPr>
    <w:rPr>
      <w:rFonts w:ascii="Arial" w:hAnsi="Arial" w:eastAsia="黑体"/>
      <w:sz w:val="24"/>
      <w:lang w:val="zh-CN"/>
    </w:rPr>
  </w:style>
  <w:style w:type="paragraph" w:styleId="10">
    <w:name w:val="heading 9"/>
    <w:basedOn w:val="1"/>
    <w:next w:val="1"/>
    <w:link w:val="322"/>
    <w:qFormat/>
    <w:uiPriority w:val="0"/>
    <w:pPr>
      <w:keepNext/>
      <w:keepLines/>
      <w:tabs>
        <w:tab w:val="left" w:pos="3780"/>
      </w:tabs>
      <w:spacing w:before="240" w:after="64" w:line="320" w:lineRule="auto"/>
      <w:ind w:left="3780" w:hanging="420"/>
      <w:outlineLvl w:val="8"/>
    </w:pPr>
    <w:rPr>
      <w:rFonts w:ascii="Arial" w:hAnsi="Arial" w:eastAsia="黑体"/>
      <w:szCs w:val="21"/>
      <w:lang w:val="zh-CN"/>
    </w:rPr>
  </w:style>
  <w:style w:type="character" w:default="1" w:styleId="53">
    <w:name w:val="Default Paragraph Font"/>
    <w:semiHidden/>
    <w:unhideWhenUsed/>
    <w:qFormat/>
    <w:uiPriority w:val="1"/>
  </w:style>
  <w:style w:type="table" w:default="1" w:styleId="51">
    <w:name w:val="Normal Table"/>
    <w:semiHidden/>
    <w:unhideWhenUsed/>
    <w:qFormat/>
    <w:uiPriority w:val="99"/>
    <w:tblPr>
      <w:tblCellMar>
        <w:top w:w="0" w:type="dxa"/>
        <w:left w:w="108" w:type="dxa"/>
        <w:bottom w:w="0" w:type="dxa"/>
        <w:right w:w="108" w:type="dxa"/>
      </w:tblCellMar>
    </w:tblPr>
  </w:style>
  <w:style w:type="paragraph" w:styleId="11">
    <w:name w:val="List 3"/>
    <w:basedOn w:val="1"/>
    <w:link w:val="374"/>
    <w:qFormat/>
    <w:uiPriority w:val="0"/>
    <w:pPr>
      <w:ind w:left="100" w:hanging="200"/>
    </w:pPr>
    <w:rPr>
      <w:bCs/>
      <w:sz w:val="24"/>
      <w:szCs w:val="32"/>
    </w:rPr>
  </w:style>
  <w:style w:type="paragraph" w:styleId="12">
    <w:name w:val="toc 7"/>
    <w:basedOn w:val="1"/>
    <w:next w:val="1"/>
    <w:unhideWhenUsed/>
    <w:qFormat/>
    <w:uiPriority w:val="39"/>
    <w:pPr>
      <w:spacing w:after="57"/>
      <w:ind w:left="1701"/>
    </w:pPr>
  </w:style>
  <w:style w:type="paragraph" w:styleId="13">
    <w:name w:val="Normal Indent"/>
    <w:basedOn w:val="1"/>
    <w:link w:val="409"/>
    <w:qFormat/>
    <w:uiPriority w:val="99"/>
    <w:pPr>
      <w:ind w:firstLine="420"/>
    </w:pPr>
  </w:style>
  <w:style w:type="paragraph" w:styleId="14">
    <w:name w:val="caption"/>
    <w:basedOn w:val="1"/>
    <w:next w:val="1"/>
    <w:semiHidden/>
    <w:unhideWhenUsed/>
    <w:qFormat/>
    <w:uiPriority w:val="35"/>
    <w:pPr>
      <w:spacing w:line="276" w:lineRule="auto"/>
    </w:pPr>
    <w:rPr>
      <w:b/>
      <w:bCs/>
      <w:color w:val="4472C4" w:themeColor="accent1"/>
      <w:sz w:val="18"/>
      <w:szCs w:val="18"/>
      <w14:textFill>
        <w14:solidFill>
          <w14:schemeClr w14:val="accent1"/>
        </w14:solidFill>
      </w14:textFill>
    </w:rPr>
  </w:style>
  <w:style w:type="paragraph" w:styleId="15">
    <w:name w:val="index 5"/>
    <w:basedOn w:val="1"/>
    <w:next w:val="1"/>
    <w:qFormat/>
    <w:uiPriority w:val="0"/>
    <w:pPr>
      <w:ind w:left="798"/>
      <w:jc w:val="left"/>
    </w:pPr>
    <w:rPr>
      <w:rFonts w:ascii="Calibri" w:hAnsi="Calibri"/>
    </w:rPr>
  </w:style>
  <w:style w:type="paragraph" w:styleId="16">
    <w:name w:val="List Bullet"/>
    <w:basedOn w:val="1"/>
    <w:unhideWhenUsed/>
    <w:qFormat/>
    <w:uiPriority w:val="99"/>
    <w:pPr>
      <w:tabs>
        <w:tab w:val="left" w:pos="360"/>
        <w:tab w:val="left" w:pos="720"/>
      </w:tabs>
      <w:ind w:left="720" w:firstLine="200"/>
    </w:pPr>
    <w:rPr>
      <w:sz w:val="20"/>
      <w:szCs w:val="20"/>
    </w:rPr>
  </w:style>
  <w:style w:type="paragraph" w:styleId="17">
    <w:name w:val="Document Map"/>
    <w:basedOn w:val="1"/>
    <w:link w:val="384"/>
    <w:unhideWhenUsed/>
    <w:qFormat/>
    <w:uiPriority w:val="99"/>
    <w:rPr>
      <w:rFonts w:ascii="宋体"/>
      <w:sz w:val="18"/>
      <w:szCs w:val="18"/>
    </w:rPr>
  </w:style>
  <w:style w:type="paragraph" w:styleId="18">
    <w:name w:val="annotation text"/>
    <w:basedOn w:val="1"/>
    <w:link w:val="283"/>
    <w:qFormat/>
    <w:uiPriority w:val="99"/>
    <w:pPr>
      <w:jc w:val="left"/>
    </w:pPr>
  </w:style>
  <w:style w:type="paragraph" w:styleId="19">
    <w:name w:val="Body Text 3"/>
    <w:basedOn w:val="1"/>
    <w:link w:val="365"/>
    <w:qFormat/>
    <w:uiPriority w:val="0"/>
    <w:rPr>
      <w:rFonts w:ascii="仿宋_GB2312" w:hAnsi="Arial" w:eastAsia="仿宋_GB2312"/>
      <w:sz w:val="32"/>
      <w:szCs w:val="32"/>
    </w:rPr>
  </w:style>
  <w:style w:type="paragraph" w:styleId="20">
    <w:name w:val="Body Text"/>
    <w:basedOn w:val="1"/>
    <w:link w:val="457"/>
    <w:qFormat/>
    <w:uiPriority w:val="0"/>
    <w:pPr>
      <w:spacing w:after="120"/>
    </w:pPr>
  </w:style>
  <w:style w:type="paragraph" w:styleId="21">
    <w:name w:val="Body Text Indent"/>
    <w:basedOn w:val="1"/>
    <w:link w:val="391"/>
    <w:qFormat/>
    <w:uiPriority w:val="99"/>
    <w:pPr>
      <w:spacing w:after="120"/>
      <w:ind w:left="420"/>
    </w:pPr>
  </w:style>
  <w:style w:type="paragraph" w:styleId="22">
    <w:name w:val="Block Text"/>
    <w:basedOn w:val="1"/>
    <w:next w:val="1"/>
    <w:qFormat/>
    <w:uiPriority w:val="6"/>
    <w:pPr>
      <w:ind w:left="420" w:right="33"/>
      <w:jc w:val="left"/>
    </w:pPr>
    <w:rPr>
      <w:sz w:val="24"/>
      <w:szCs w:val="20"/>
    </w:rPr>
  </w:style>
  <w:style w:type="paragraph" w:styleId="23">
    <w:name w:val="HTML Address"/>
    <w:basedOn w:val="1"/>
    <w:link w:val="405"/>
    <w:qFormat/>
    <w:uiPriority w:val="0"/>
    <w:rPr>
      <w:rFonts w:ascii="宋体"/>
      <w:i/>
      <w:iCs/>
      <w:sz w:val="20"/>
      <w:szCs w:val="21"/>
    </w:rPr>
  </w:style>
  <w:style w:type="paragraph" w:styleId="24">
    <w:name w:val="toc 5"/>
    <w:basedOn w:val="1"/>
    <w:next w:val="1"/>
    <w:unhideWhenUsed/>
    <w:qFormat/>
    <w:uiPriority w:val="39"/>
    <w:pPr>
      <w:spacing w:after="57"/>
      <w:ind w:left="1134"/>
    </w:pPr>
  </w:style>
  <w:style w:type="paragraph" w:styleId="25">
    <w:name w:val="toc 3"/>
    <w:basedOn w:val="1"/>
    <w:next w:val="1"/>
    <w:unhideWhenUsed/>
    <w:qFormat/>
    <w:uiPriority w:val="39"/>
    <w:pPr>
      <w:spacing w:after="57"/>
      <w:ind w:left="567"/>
    </w:pPr>
  </w:style>
  <w:style w:type="paragraph" w:styleId="26">
    <w:name w:val="Plain Text"/>
    <w:basedOn w:val="1"/>
    <w:link w:val="284"/>
    <w:qFormat/>
    <w:uiPriority w:val="0"/>
    <w:rPr>
      <w:rFonts w:ascii="宋体" w:hAnsi="Courier New"/>
      <w:szCs w:val="21"/>
    </w:rPr>
  </w:style>
  <w:style w:type="paragraph" w:styleId="27">
    <w:name w:val="toc 8"/>
    <w:basedOn w:val="1"/>
    <w:next w:val="1"/>
    <w:unhideWhenUsed/>
    <w:qFormat/>
    <w:uiPriority w:val="39"/>
    <w:pPr>
      <w:spacing w:after="57"/>
      <w:ind w:left="1984"/>
    </w:pPr>
  </w:style>
  <w:style w:type="paragraph" w:styleId="28">
    <w:name w:val="Date"/>
    <w:basedOn w:val="1"/>
    <w:next w:val="1"/>
    <w:link w:val="361"/>
    <w:qFormat/>
    <w:uiPriority w:val="99"/>
    <w:rPr>
      <w:sz w:val="24"/>
    </w:rPr>
  </w:style>
  <w:style w:type="paragraph" w:styleId="29">
    <w:name w:val="Body Text Indent 2"/>
    <w:basedOn w:val="1"/>
    <w:link w:val="338"/>
    <w:qFormat/>
    <w:uiPriority w:val="99"/>
    <w:pPr>
      <w:ind w:left="630" w:firstLine="645"/>
    </w:pPr>
    <w:rPr>
      <w:rFonts w:ascii="Arial" w:hAnsi="Arial" w:eastAsia="仿宋_GB2312"/>
      <w:sz w:val="32"/>
      <w:szCs w:val="32"/>
    </w:rPr>
  </w:style>
  <w:style w:type="paragraph" w:styleId="30">
    <w:name w:val="endnote text"/>
    <w:basedOn w:val="1"/>
    <w:link w:val="277"/>
    <w:unhideWhenUsed/>
    <w:qFormat/>
    <w:uiPriority w:val="0"/>
    <w:rPr>
      <w:sz w:val="20"/>
    </w:rPr>
  </w:style>
  <w:style w:type="paragraph" w:styleId="31">
    <w:name w:val="Balloon Text"/>
    <w:basedOn w:val="1"/>
    <w:link w:val="285"/>
    <w:qFormat/>
    <w:uiPriority w:val="99"/>
    <w:rPr>
      <w:sz w:val="18"/>
      <w:szCs w:val="18"/>
    </w:rPr>
  </w:style>
  <w:style w:type="paragraph" w:styleId="32">
    <w:name w:val="footer"/>
    <w:basedOn w:val="1"/>
    <w:link w:val="312"/>
    <w:unhideWhenUsed/>
    <w:qFormat/>
    <w:uiPriority w:val="99"/>
    <w:pPr>
      <w:tabs>
        <w:tab w:val="center" w:pos="4153"/>
        <w:tab w:val="right" w:pos="8306"/>
      </w:tabs>
      <w:jc w:val="left"/>
    </w:pPr>
    <w:rPr>
      <w:sz w:val="18"/>
      <w:szCs w:val="18"/>
    </w:rPr>
  </w:style>
  <w:style w:type="paragraph" w:styleId="33">
    <w:name w:val="envelope return"/>
    <w:basedOn w:val="1"/>
    <w:qFormat/>
    <w:uiPriority w:val="0"/>
    <w:rPr>
      <w:rFonts w:ascii="Arial" w:hAnsi="Arial"/>
    </w:rPr>
  </w:style>
  <w:style w:type="paragraph" w:styleId="34">
    <w:name w:val="header"/>
    <w:basedOn w:val="1"/>
    <w:link w:val="311"/>
    <w:unhideWhenUsed/>
    <w:qFormat/>
    <w:uiPriority w:val="99"/>
    <w:pPr>
      <w:pBdr>
        <w:bottom w:val="single" w:color="auto" w:sz="6" w:space="1"/>
      </w:pBdr>
      <w:tabs>
        <w:tab w:val="center" w:pos="4153"/>
        <w:tab w:val="right" w:pos="8306"/>
      </w:tabs>
      <w:jc w:val="center"/>
    </w:pPr>
    <w:rPr>
      <w:sz w:val="18"/>
      <w:szCs w:val="18"/>
    </w:rPr>
  </w:style>
  <w:style w:type="paragraph" w:styleId="35">
    <w:name w:val="toc 1"/>
    <w:basedOn w:val="1"/>
    <w:next w:val="1"/>
    <w:unhideWhenUsed/>
    <w:qFormat/>
    <w:uiPriority w:val="39"/>
    <w:pPr>
      <w:spacing w:after="57"/>
    </w:pPr>
  </w:style>
  <w:style w:type="paragraph" w:styleId="36">
    <w:name w:val="toc 4"/>
    <w:basedOn w:val="1"/>
    <w:next w:val="1"/>
    <w:unhideWhenUsed/>
    <w:qFormat/>
    <w:uiPriority w:val="39"/>
    <w:pPr>
      <w:spacing w:after="57"/>
      <w:ind w:left="850"/>
    </w:pPr>
  </w:style>
  <w:style w:type="paragraph" w:styleId="37">
    <w:name w:val="Subtitle"/>
    <w:basedOn w:val="1"/>
    <w:next w:val="1"/>
    <w:link w:val="141"/>
    <w:qFormat/>
    <w:uiPriority w:val="11"/>
    <w:pPr>
      <w:spacing w:before="200" w:after="200"/>
    </w:pPr>
    <w:rPr>
      <w:sz w:val="24"/>
    </w:rPr>
  </w:style>
  <w:style w:type="paragraph" w:styleId="38">
    <w:name w:val="footnote text"/>
    <w:basedOn w:val="1"/>
    <w:next w:val="15"/>
    <w:link w:val="276"/>
    <w:unhideWhenUsed/>
    <w:qFormat/>
    <w:uiPriority w:val="0"/>
    <w:pPr>
      <w:spacing w:after="40"/>
    </w:pPr>
    <w:rPr>
      <w:sz w:val="18"/>
    </w:rPr>
  </w:style>
  <w:style w:type="paragraph" w:styleId="39">
    <w:name w:val="toc 6"/>
    <w:basedOn w:val="1"/>
    <w:next w:val="1"/>
    <w:unhideWhenUsed/>
    <w:qFormat/>
    <w:uiPriority w:val="39"/>
    <w:pPr>
      <w:spacing w:after="57"/>
      <w:ind w:left="1417"/>
    </w:pPr>
  </w:style>
  <w:style w:type="paragraph" w:styleId="40">
    <w:name w:val="Body Text Indent 3"/>
    <w:basedOn w:val="1"/>
    <w:link w:val="340"/>
    <w:qFormat/>
    <w:uiPriority w:val="0"/>
    <w:pPr>
      <w:ind w:left="645" w:firstLine="645"/>
    </w:pPr>
    <w:rPr>
      <w:rFonts w:ascii="Arial" w:hAnsi="Arial" w:eastAsia="仿宋_GB2312"/>
      <w:color w:val="FFFF00"/>
      <w:sz w:val="32"/>
      <w:szCs w:val="32"/>
    </w:rPr>
  </w:style>
  <w:style w:type="paragraph" w:styleId="41">
    <w:name w:val="table of figures"/>
    <w:basedOn w:val="1"/>
    <w:next w:val="1"/>
    <w:unhideWhenUsed/>
    <w:qFormat/>
    <w:uiPriority w:val="99"/>
  </w:style>
  <w:style w:type="paragraph" w:styleId="42">
    <w:name w:val="toc 2"/>
    <w:basedOn w:val="1"/>
    <w:next w:val="1"/>
    <w:unhideWhenUsed/>
    <w:qFormat/>
    <w:uiPriority w:val="39"/>
    <w:pPr>
      <w:spacing w:after="57"/>
      <w:ind w:left="283"/>
    </w:pPr>
  </w:style>
  <w:style w:type="paragraph" w:styleId="43">
    <w:name w:val="toc 9"/>
    <w:basedOn w:val="1"/>
    <w:next w:val="1"/>
    <w:unhideWhenUsed/>
    <w:qFormat/>
    <w:uiPriority w:val="39"/>
    <w:pPr>
      <w:spacing w:after="57"/>
      <w:ind w:left="2268"/>
    </w:pPr>
  </w:style>
  <w:style w:type="paragraph" w:styleId="44">
    <w:name w:val="Body Text 2"/>
    <w:basedOn w:val="1"/>
    <w:link w:val="346"/>
    <w:qFormat/>
    <w:uiPriority w:val="0"/>
    <w:pPr>
      <w:widowControl/>
      <w:jc w:val="center"/>
    </w:pPr>
    <w:rPr>
      <w:rFonts w:ascii="楷体_GB2312" w:eastAsia="楷体_GB2312"/>
      <w:sz w:val="28"/>
      <w:szCs w:val="28"/>
    </w:rPr>
  </w:style>
  <w:style w:type="paragraph" w:styleId="45">
    <w:name w:val="HTML Preformatted"/>
    <w:basedOn w:val="1"/>
    <w:link w:val="427"/>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rPr>
  </w:style>
  <w:style w:type="paragraph" w:styleId="46">
    <w:name w:val="Normal (Web)"/>
    <w:basedOn w:val="1"/>
    <w:link w:val="286"/>
    <w:qFormat/>
    <w:uiPriority w:val="0"/>
    <w:pPr>
      <w:widowControl/>
      <w:spacing w:before="100" w:beforeAutospacing="1" w:after="100" w:afterAutospacing="1"/>
      <w:jc w:val="left"/>
    </w:pPr>
    <w:rPr>
      <w:rFonts w:ascii="宋体" w:hAnsi="宋体"/>
      <w:sz w:val="24"/>
    </w:rPr>
  </w:style>
  <w:style w:type="paragraph" w:styleId="47">
    <w:name w:val="Title"/>
    <w:basedOn w:val="1"/>
    <w:next w:val="1"/>
    <w:link w:val="140"/>
    <w:qFormat/>
    <w:uiPriority w:val="10"/>
    <w:pPr>
      <w:spacing w:before="300" w:after="200"/>
      <w:contextualSpacing/>
    </w:pPr>
    <w:rPr>
      <w:sz w:val="48"/>
      <w:szCs w:val="48"/>
    </w:rPr>
  </w:style>
  <w:style w:type="paragraph" w:styleId="48">
    <w:name w:val="annotation subject"/>
    <w:basedOn w:val="18"/>
    <w:next w:val="18"/>
    <w:link w:val="287"/>
    <w:qFormat/>
    <w:uiPriority w:val="99"/>
    <w:rPr>
      <w:b/>
      <w:bCs/>
    </w:rPr>
  </w:style>
  <w:style w:type="paragraph" w:styleId="49">
    <w:name w:val="Body Text First Indent"/>
    <w:basedOn w:val="20"/>
    <w:next w:val="50"/>
    <w:link w:val="403"/>
    <w:qFormat/>
    <w:uiPriority w:val="0"/>
    <w:pPr>
      <w:spacing w:line="360" w:lineRule="auto"/>
      <w:ind w:firstLine="200"/>
    </w:pPr>
    <w:rPr>
      <w:rFonts w:ascii="仿宋_GB2312" w:eastAsia="仿宋_GB2312"/>
      <w:sz w:val="30"/>
      <w:szCs w:val="30"/>
    </w:rPr>
  </w:style>
  <w:style w:type="paragraph" w:styleId="50">
    <w:name w:val="Body Text First Indent 2"/>
    <w:basedOn w:val="21"/>
    <w:link w:val="368"/>
    <w:qFormat/>
    <w:uiPriority w:val="99"/>
    <w:pPr>
      <w:spacing w:after="0" w:line="360" w:lineRule="auto"/>
      <w:ind w:left="0" w:firstLine="420"/>
    </w:pPr>
    <w:rPr>
      <w:rFonts w:ascii="宋体" w:hAnsi="宋体"/>
    </w:rPr>
  </w:style>
  <w:style w:type="table" w:styleId="52">
    <w:name w:val="Table Grid"/>
    <w:basedOn w:val="51"/>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4">
    <w:name w:val="Strong"/>
    <w:qFormat/>
    <w:uiPriority w:val="22"/>
    <w:rPr>
      <w:b/>
      <w:sz w:val="21"/>
    </w:rPr>
  </w:style>
  <w:style w:type="character" w:styleId="55">
    <w:name w:val="endnote reference"/>
    <w:basedOn w:val="53"/>
    <w:semiHidden/>
    <w:unhideWhenUsed/>
    <w:qFormat/>
    <w:uiPriority w:val="99"/>
    <w:rPr>
      <w:vertAlign w:val="superscript"/>
    </w:rPr>
  </w:style>
  <w:style w:type="character" w:styleId="56">
    <w:name w:val="page number"/>
    <w:basedOn w:val="53"/>
    <w:qFormat/>
    <w:uiPriority w:val="0"/>
  </w:style>
  <w:style w:type="character" w:styleId="57">
    <w:name w:val="FollowedHyperlink"/>
    <w:basedOn w:val="53"/>
    <w:semiHidden/>
    <w:unhideWhenUsed/>
    <w:qFormat/>
    <w:uiPriority w:val="99"/>
    <w:rPr>
      <w:color w:val="954F72" w:themeColor="followedHyperlink"/>
      <w:u w:val="single"/>
      <w14:textFill>
        <w14:solidFill>
          <w14:schemeClr w14:val="folHlink"/>
        </w14:solidFill>
      </w14:textFill>
    </w:rPr>
  </w:style>
  <w:style w:type="character" w:styleId="58">
    <w:name w:val="Emphasis"/>
    <w:qFormat/>
    <w:uiPriority w:val="0"/>
    <w:rPr>
      <w:i/>
      <w:iCs/>
    </w:rPr>
  </w:style>
  <w:style w:type="character" w:styleId="59">
    <w:name w:val="Hyperlink"/>
    <w:unhideWhenUsed/>
    <w:qFormat/>
    <w:uiPriority w:val="0"/>
    <w:rPr>
      <w:color w:val="0563C1" w:themeColor="hyperlink"/>
      <w:u w:val="single"/>
      <w14:textFill>
        <w14:solidFill>
          <w14:schemeClr w14:val="hlink"/>
        </w14:solidFill>
      </w14:textFill>
    </w:rPr>
  </w:style>
  <w:style w:type="character" w:styleId="60">
    <w:name w:val="annotation reference"/>
    <w:qFormat/>
    <w:uiPriority w:val="0"/>
    <w:rPr>
      <w:sz w:val="21"/>
      <w:szCs w:val="21"/>
    </w:rPr>
  </w:style>
  <w:style w:type="character" w:styleId="61">
    <w:name w:val="footnote reference"/>
    <w:basedOn w:val="53"/>
    <w:unhideWhenUsed/>
    <w:qFormat/>
    <w:uiPriority w:val="99"/>
    <w:rPr>
      <w:vertAlign w:val="superscript"/>
    </w:rPr>
  </w:style>
  <w:style w:type="paragraph" w:customStyle="1" w:styleId="62">
    <w:name w:val="脚注文本11"/>
    <w:basedOn w:val="1"/>
    <w:next w:val="63"/>
    <w:unhideWhenUsed/>
    <w:qFormat/>
    <w:uiPriority w:val="0"/>
    <w:pPr>
      <w:spacing w:after="40"/>
    </w:pPr>
    <w:rPr>
      <w:sz w:val="18"/>
    </w:rPr>
  </w:style>
  <w:style w:type="paragraph" w:customStyle="1" w:styleId="63">
    <w:name w:val="索引 511"/>
    <w:basedOn w:val="1"/>
    <w:next w:val="1"/>
    <w:qFormat/>
    <w:uiPriority w:val="0"/>
    <w:pPr>
      <w:ind w:left="798"/>
      <w:jc w:val="left"/>
    </w:pPr>
    <w:rPr>
      <w:rFonts w:ascii="Calibri" w:hAnsi="Calibri"/>
    </w:rPr>
  </w:style>
  <w:style w:type="table" w:customStyle="1" w:styleId="64">
    <w:name w:val="Plain Table 1"/>
    <w:basedOn w:val="5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5">
    <w:name w:val="Plain Table 2"/>
    <w:basedOn w:val="51"/>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6">
    <w:name w:val="Plain Table 3"/>
    <w:basedOn w:val="51"/>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7">
    <w:name w:val="Plain Table 4"/>
    <w:basedOn w:val="51"/>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8">
    <w:name w:val="Plain Table 5"/>
    <w:basedOn w:val="51"/>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9">
    <w:name w:val="Grid Table 1 Light"/>
    <w:basedOn w:val="51"/>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70">
    <w:name w:val="Grid Table 2"/>
    <w:basedOn w:val="51"/>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1">
    <w:name w:val="Grid Table 3"/>
    <w:basedOn w:val="51"/>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2">
    <w:name w:val="Grid Table 4"/>
    <w:basedOn w:val="51"/>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3">
    <w:name w:val="Grid Table 5 Dark"/>
    <w:basedOn w:val="5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74">
    <w:name w:val="Grid Table 6 Colorful"/>
    <w:basedOn w:val="51"/>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75">
    <w:name w:val="Grid Table 7 Colorful"/>
    <w:basedOn w:val="51"/>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76">
    <w:name w:val="List Table 1 Light"/>
    <w:basedOn w:val="51"/>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77">
    <w:name w:val="List Table 2"/>
    <w:basedOn w:val="51"/>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78">
    <w:name w:val="List Table 3"/>
    <w:basedOn w:val="51"/>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79">
    <w:name w:val="List Table 4"/>
    <w:basedOn w:val="51"/>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80">
    <w:name w:val="List Table 5 Dark"/>
    <w:basedOn w:val="51"/>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81">
    <w:name w:val="List Table 6 Colorful"/>
    <w:basedOn w:val="51"/>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82">
    <w:name w:val="List Table 7 Colorful"/>
    <w:basedOn w:val="51"/>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paragraph" w:customStyle="1" w:styleId="83">
    <w:name w:val="TOC Heading"/>
    <w:unhideWhenUsed/>
    <w:qFormat/>
    <w:uiPriority w:val="39"/>
    <w:rPr>
      <w:rFonts w:hint="default" w:ascii="Times New Roman" w:hAnsi="Times New Roman" w:eastAsia="宋体" w:cs="Times New Roman"/>
    </w:rPr>
  </w:style>
  <w:style w:type="paragraph" w:customStyle="1" w:styleId="84">
    <w:name w:val="文本块11"/>
    <w:basedOn w:val="85"/>
    <w:qFormat/>
    <w:uiPriority w:val="0"/>
    <w:pPr>
      <w:widowControl/>
      <w:ind w:left="567" w:right="454" w:firstLine="498"/>
      <w:jc w:val="left"/>
    </w:pPr>
    <w:rPr>
      <w:rFonts w:ascii="仿宋_GB2312" w:eastAsia="仿宋_GB2312"/>
      <w:sz w:val="30"/>
      <w:szCs w:val="20"/>
    </w:rPr>
  </w:style>
  <w:style w:type="paragraph" w:customStyle="1" w:styleId="85">
    <w:name w:val="正文12"/>
    <w:next w:val="86"/>
    <w:qFormat/>
    <w:uiPriority w:val="0"/>
    <w:pPr>
      <w:widowControl w:val="0"/>
      <w:spacing w:line="360" w:lineRule="auto"/>
      <w:ind w:firstLine="723"/>
      <w:jc w:val="both"/>
    </w:pPr>
    <w:rPr>
      <w:rFonts w:hint="default" w:ascii="Times New Roman" w:hAnsi="Times New Roman" w:eastAsia="宋体" w:cs="Times New Roman"/>
      <w:sz w:val="24"/>
      <w:szCs w:val="24"/>
      <w:lang w:val="en-US" w:eastAsia="zh-CN" w:bidi="ar-SA"/>
    </w:rPr>
  </w:style>
  <w:style w:type="paragraph" w:customStyle="1" w:styleId="86">
    <w:name w:val="正文文本111"/>
    <w:basedOn w:val="87"/>
    <w:next w:val="85"/>
    <w:qFormat/>
    <w:uiPriority w:val="0"/>
  </w:style>
  <w:style w:type="paragraph" w:customStyle="1" w:styleId="87">
    <w:name w:val="正文1121"/>
    <w:next w:val="86"/>
    <w:qFormat/>
    <w:uiPriority w:val="0"/>
    <w:pPr>
      <w:widowControl w:val="0"/>
      <w:jc w:val="both"/>
    </w:pPr>
    <w:rPr>
      <w:rFonts w:hint="default" w:ascii="Calibri" w:hAnsi="Calibri" w:eastAsia="宋体" w:cs="Times New Roman"/>
      <w:sz w:val="21"/>
      <w:szCs w:val="24"/>
      <w:lang w:val="en-US" w:eastAsia="zh-CN" w:bidi="ar-SA"/>
    </w:rPr>
  </w:style>
  <w:style w:type="paragraph" w:customStyle="1" w:styleId="88">
    <w:name w:val="脚注文本1"/>
    <w:basedOn w:val="89"/>
    <w:next w:val="105"/>
    <w:qFormat/>
    <w:uiPriority w:val="0"/>
    <w:rPr>
      <w:sz w:val="18"/>
      <w:szCs w:val="18"/>
    </w:rPr>
  </w:style>
  <w:style w:type="paragraph" w:customStyle="1" w:styleId="89">
    <w:name w:val="正文1"/>
    <w:basedOn w:val="90"/>
    <w:next w:val="94"/>
    <w:link w:val="511"/>
    <w:qFormat/>
    <w:uiPriority w:val="0"/>
    <w:pPr>
      <w:spacing w:line="360" w:lineRule="auto"/>
      <w:ind w:firstLine="361"/>
    </w:pPr>
    <w:rPr>
      <w:rFonts w:ascii="宋体" w:hAnsi="宋体" w:eastAsia="仿宋_GB2312"/>
      <w:sz w:val="24"/>
    </w:rPr>
  </w:style>
  <w:style w:type="paragraph" w:customStyle="1" w:styleId="90">
    <w:name w:val="正文11"/>
    <w:next w:val="91"/>
    <w:link w:val="512"/>
    <w:qFormat/>
    <w:uiPriority w:val="0"/>
    <w:pPr>
      <w:jc w:val="both"/>
    </w:pPr>
    <w:rPr>
      <w:rFonts w:hint="default" w:ascii="Times New Roman" w:hAnsi="Times New Roman" w:eastAsia="宋体" w:cs="Times New Roman"/>
      <w:lang w:val="en-US" w:eastAsia="zh-CN" w:bidi="ar-SA"/>
    </w:rPr>
  </w:style>
  <w:style w:type="paragraph" w:customStyle="1" w:styleId="91">
    <w:name w:val="文本块1"/>
    <w:basedOn w:val="92"/>
    <w:next w:val="93"/>
    <w:qFormat/>
    <w:uiPriority w:val="0"/>
    <w:pPr>
      <w:ind w:left="256" w:right="6" w:firstLine="624"/>
    </w:pPr>
    <w:rPr>
      <w:rFonts w:eastAsia="仿宋_GB2312"/>
      <w:sz w:val="28"/>
      <w:szCs w:val="20"/>
    </w:rPr>
  </w:style>
  <w:style w:type="paragraph" w:customStyle="1" w:styleId="92">
    <w:name w:val="正文111"/>
    <w:next w:val="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93">
    <w:name w:val="标题 41"/>
    <w:basedOn w:val="89"/>
    <w:next w:val="90"/>
    <w:link w:val="128"/>
    <w:qFormat/>
    <w:uiPriority w:val="0"/>
    <w:pPr>
      <w:keepNext/>
      <w:keepLines/>
      <w:spacing w:before="280" w:after="290" w:line="376" w:lineRule="auto"/>
      <w:outlineLvl w:val="3"/>
    </w:pPr>
    <w:rPr>
      <w:rFonts w:ascii="Arial" w:hAnsi="Arial" w:eastAsia="黑体"/>
      <w:b/>
      <w:bCs/>
      <w:sz w:val="28"/>
      <w:szCs w:val="28"/>
    </w:rPr>
  </w:style>
  <w:style w:type="paragraph" w:customStyle="1" w:styleId="94">
    <w:name w:val="正文文本1"/>
    <w:basedOn w:val="95"/>
    <w:next w:val="102"/>
    <w:qFormat/>
    <w:uiPriority w:val="0"/>
    <w:pPr>
      <w:spacing w:after="120"/>
    </w:pPr>
    <w:rPr>
      <w:lang w:eastAsia="en-US"/>
    </w:rPr>
  </w:style>
  <w:style w:type="paragraph" w:customStyle="1" w:styleId="95">
    <w:name w:val="正文13"/>
    <w:next w:val="96"/>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96">
    <w:name w:val="正文首行缩进1"/>
    <w:basedOn w:val="97"/>
    <w:next w:val="99"/>
    <w:qFormat/>
    <w:uiPriority w:val="0"/>
    <w:pPr>
      <w:ind w:firstLine="420"/>
    </w:pPr>
    <w:rPr>
      <w:rFonts w:ascii="仿宋_GB2312" w:eastAsia="仿宋_GB2312"/>
      <w:sz w:val="30"/>
      <w:szCs w:val="30"/>
    </w:rPr>
  </w:style>
  <w:style w:type="paragraph" w:customStyle="1" w:styleId="97">
    <w:name w:val="正文文本11"/>
    <w:basedOn w:val="98"/>
    <w:next w:val="90"/>
    <w:qFormat/>
    <w:uiPriority w:val="0"/>
    <w:pPr>
      <w:spacing w:after="120"/>
    </w:pPr>
  </w:style>
  <w:style w:type="paragraph" w:customStyle="1" w:styleId="98">
    <w:name w:val="正文112"/>
    <w:next w:val="96"/>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99">
    <w:name w:val="正文首行缩进 211"/>
    <w:basedOn w:val="100"/>
    <w:next w:val="98"/>
    <w:qFormat/>
    <w:uiPriority w:val="0"/>
    <w:pPr>
      <w:ind w:firstLine="420"/>
    </w:pPr>
  </w:style>
  <w:style w:type="paragraph" w:customStyle="1" w:styleId="100">
    <w:name w:val="正文文本缩进11"/>
    <w:basedOn w:val="98"/>
    <w:next w:val="101"/>
    <w:qFormat/>
    <w:uiPriority w:val="0"/>
    <w:pPr>
      <w:spacing w:after="120"/>
      <w:ind w:left="420"/>
    </w:pPr>
    <w:rPr>
      <w:rFonts w:ascii="Calibri" w:hAnsi="Calibri"/>
    </w:rPr>
  </w:style>
  <w:style w:type="paragraph" w:customStyle="1" w:styleId="101">
    <w:name w:val="样式 正文文本缩进 + 首行缩进:  2 字符 行距: 1.5 倍行距"/>
    <w:basedOn w:val="100"/>
    <w:qFormat/>
    <w:uiPriority w:val="0"/>
    <w:pPr>
      <w:spacing w:before="156"/>
      <w:ind w:firstLine="645"/>
    </w:pPr>
    <w:rPr>
      <w:rFonts w:ascii="Calibri" w:hAnsi="Calibri"/>
      <w:sz w:val="28"/>
    </w:rPr>
  </w:style>
  <w:style w:type="paragraph" w:customStyle="1" w:styleId="102">
    <w:name w:val="一级条标题"/>
    <w:basedOn w:val="103"/>
    <w:next w:val="104"/>
    <w:link w:val="366"/>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103">
    <w:name w:val="章标题"/>
    <w:next w:val="1"/>
    <w:link w:val="436"/>
    <w:qFormat/>
    <w:uiPriority w:val="0"/>
    <w:pPr>
      <w:tabs>
        <w:tab w:val="left" w:pos="810"/>
        <w:tab w:val="left" w:pos="1265"/>
      </w:tabs>
      <w:spacing w:before="50" w:after="50"/>
      <w:ind w:left="810" w:hanging="810"/>
      <w:jc w:val="both"/>
      <w:outlineLvl w:val="1"/>
    </w:pPr>
    <w:rPr>
      <w:rFonts w:hint="default" w:ascii="黑体" w:hAnsi="Times New Roman" w:eastAsia="黑体" w:cs="Times New Roman"/>
      <w:sz w:val="21"/>
      <w:szCs w:val="22"/>
      <w:lang w:val="en-US" w:eastAsia="zh-CN" w:bidi="ar-SA"/>
    </w:rPr>
  </w:style>
  <w:style w:type="paragraph" w:customStyle="1" w:styleId="104">
    <w:name w:val="段"/>
    <w:basedOn w:val="90"/>
    <w:next w:val="1"/>
    <w:qFormat/>
    <w:uiPriority w:val="0"/>
    <w:pPr>
      <w:ind w:firstLine="200"/>
    </w:pPr>
    <w:rPr>
      <w:rFonts w:hint="eastAsia" w:ascii="宋体"/>
    </w:rPr>
  </w:style>
  <w:style w:type="paragraph" w:customStyle="1" w:styleId="105">
    <w:name w:val="索引 51"/>
    <w:basedOn w:val="85"/>
    <w:next w:val="89"/>
    <w:qFormat/>
    <w:uiPriority w:val="0"/>
    <w:pPr>
      <w:ind w:left="798"/>
      <w:jc w:val="left"/>
    </w:pPr>
  </w:style>
  <w:style w:type="paragraph" w:customStyle="1" w:styleId="106">
    <w:name w:val="正文1111"/>
    <w:next w:val="84"/>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07">
    <w:name w:val="目录 11"/>
    <w:basedOn w:val="85"/>
    <w:next w:val="90"/>
    <w:qFormat/>
    <w:uiPriority w:val="0"/>
  </w:style>
  <w:style w:type="paragraph" w:customStyle="1" w:styleId="108">
    <w:name w:val="正文文本缩进1"/>
    <w:basedOn w:val="90"/>
    <w:next w:val="109"/>
    <w:qFormat/>
    <w:uiPriority w:val="0"/>
    <w:pPr>
      <w:spacing w:after="120"/>
      <w:ind w:left="420"/>
    </w:pPr>
  </w:style>
  <w:style w:type="paragraph" w:customStyle="1" w:styleId="109">
    <w:name w:val="寄信人地址1"/>
    <w:basedOn w:val="90"/>
    <w:qFormat/>
    <w:uiPriority w:val="0"/>
    <w:rPr>
      <w:rFonts w:ascii="Arial" w:hAnsi="Arial"/>
    </w:rPr>
  </w:style>
  <w:style w:type="paragraph" w:customStyle="1" w:styleId="110">
    <w:name w:val="正文首行缩进 21"/>
    <w:basedOn w:val="108"/>
    <w:qFormat/>
    <w:uiPriority w:val="0"/>
    <w:pPr>
      <w:ind w:firstLine="420"/>
    </w:pPr>
    <w:rPr>
      <w:rFonts w:ascii="仿宋_GB2312" w:eastAsia="仿宋_GB2312"/>
      <w:color w:val="FF6600"/>
      <w:sz w:val="21"/>
    </w:rPr>
  </w:style>
  <w:style w:type="paragraph" w:customStyle="1" w:styleId="111">
    <w:name w:val="正文首行缩进11"/>
    <w:basedOn w:val="97"/>
    <w:next w:val="99"/>
    <w:qFormat/>
    <w:uiPriority w:val="0"/>
    <w:pPr>
      <w:ind w:firstLine="420"/>
    </w:pPr>
    <w:rPr>
      <w:rFonts w:ascii="仿宋_GB2312" w:eastAsia="仿宋_GB2312"/>
      <w:sz w:val="30"/>
      <w:szCs w:val="30"/>
    </w:rPr>
  </w:style>
  <w:style w:type="paragraph" w:customStyle="1" w:styleId="112">
    <w:name w:val="正文文本缩进2"/>
    <w:basedOn w:val="1"/>
    <w:next w:val="113"/>
    <w:qFormat/>
    <w:uiPriority w:val="99"/>
    <w:pPr>
      <w:spacing w:after="120"/>
      <w:ind w:left="420"/>
    </w:pPr>
  </w:style>
  <w:style w:type="paragraph" w:customStyle="1" w:styleId="113">
    <w:name w:val="寄信人地址2"/>
    <w:basedOn w:val="1"/>
    <w:qFormat/>
    <w:uiPriority w:val="0"/>
    <w:rPr>
      <w:rFonts w:ascii="Arial" w:hAnsi="Arial"/>
    </w:rPr>
  </w:style>
  <w:style w:type="paragraph" w:customStyle="1" w:styleId="114">
    <w:name w:val="TOC 标题1"/>
    <w:unhideWhenUsed/>
    <w:qFormat/>
    <w:uiPriority w:val="39"/>
    <w:rPr>
      <w:rFonts w:hint="default" w:ascii="Times New Roman" w:hAnsi="Times New Roman" w:eastAsia="宋体" w:cs="Times New Roman"/>
      <w:lang w:val="en-US" w:eastAsia="zh-CN" w:bidi="ar-SA"/>
    </w:rPr>
  </w:style>
  <w:style w:type="paragraph" w:customStyle="1" w:styleId="115">
    <w:name w:val="标题 211"/>
    <w:basedOn w:val="90"/>
    <w:next w:val="106"/>
    <w:qFormat/>
    <w:uiPriority w:val="0"/>
    <w:pPr>
      <w:keepNext/>
      <w:keepLines/>
      <w:spacing w:before="260" w:after="260" w:line="416" w:lineRule="auto"/>
      <w:outlineLvl w:val="1"/>
    </w:pPr>
    <w:rPr>
      <w:rFonts w:ascii="Calibri Light" w:hAnsi="Calibri Light"/>
      <w:b/>
      <w:bCs/>
      <w:sz w:val="32"/>
      <w:szCs w:val="32"/>
    </w:rPr>
  </w:style>
  <w:style w:type="character" w:customStyle="1" w:styleId="116">
    <w:name w:val="Title Char"/>
    <w:basedOn w:val="53"/>
    <w:qFormat/>
    <w:uiPriority w:val="10"/>
    <w:rPr>
      <w:sz w:val="48"/>
      <w:szCs w:val="48"/>
    </w:rPr>
  </w:style>
  <w:style w:type="character" w:customStyle="1" w:styleId="117">
    <w:name w:val="Subtitle Char"/>
    <w:basedOn w:val="53"/>
    <w:qFormat/>
    <w:uiPriority w:val="11"/>
    <w:rPr>
      <w:sz w:val="24"/>
      <w:szCs w:val="24"/>
    </w:rPr>
  </w:style>
  <w:style w:type="character" w:customStyle="1" w:styleId="118">
    <w:name w:val="Quote Char"/>
    <w:qFormat/>
    <w:uiPriority w:val="29"/>
    <w:rPr>
      <w:i/>
    </w:rPr>
  </w:style>
  <w:style w:type="character" w:customStyle="1" w:styleId="119">
    <w:name w:val="Intense Quote Char"/>
    <w:qFormat/>
    <w:uiPriority w:val="30"/>
    <w:rPr>
      <w:i/>
    </w:rPr>
  </w:style>
  <w:style w:type="character" w:customStyle="1" w:styleId="120">
    <w:name w:val="Footnote Text Char"/>
    <w:qFormat/>
    <w:uiPriority w:val="99"/>
    <w:rPr>
      <w:sz w:val="18"/>
    </w:rPr>
  </w:style>
  <w:style w:type="character" w:customStyle="1" w:styleId="121">
    <w:name w:val="Endnote Text Char"/>
    <w:qFormat/>
    <w:uiPriority w:val="99"/>
    <w:rPr>
      <w:sz w:val="20"/>
    </w:rPr>
  </w:style>
  <w:style w:type="paragraph" w:customStyle="1" w:styleId="122">
    <w:name w:val="TOC 标题111"/>
    <w:unhideWhenUsed/>
    <w:qFormat/>
    <w:uiPriority w:val="39"/>
    <w:rPr>
      <w:rFonts w:hint="default" w:ascii="Times New Roman" w:hAnsi="Times New Roman" w:eastAsia="宋体" w:cs="Times New Roman"/>
      <w:lang w:val="en-US" w:eastAsia="zh-CN" w:bidi="ar-SA"/>
    </w:rPr>
  </w:style>
  <w:style w:type="character" w:customStyle="1" w:styleId="123">
    <w:name w:val="Heading 1 Char"/>
    <w:basedOn w:val="53"/>
    <w:link w:val="124"/>
    <w:qFormat/>
    <w:uiPriority w:val="9"/>
    <w:rPr>
      <w:rFonts w:ascii="Arial" w:hAnsi="Arial" w:eastAsia="Arial" w:cs="Arial"/>
      <w:sz w:val="40"/>
      <w:szCs w:val="40"/>
    </w:rPr>
  </w:style>
  <w:style w:type="paragraph" w:customStyle="1" w:styleId="124">
    <w:name w:val="标题 11"/>
    <w:basedOn w:val="1"/>
    <w:next w:val="1"/>
    <w:link w:val="123"/>
    <w:qFormat/>
    <w:uiPriority w:val="0"/>
    <w:pPr>
      <w:keepNext/>
      <w:keepLines/>
      <w:spacing w:before="340" w:after="330" w:line="578" w:lineRule="auto"/>
      <w:jc w:val="center"/>
      <w:outlineLvl w:val="0"/>
    </w:pPr>
    <w:rPr>
      <w:rFonts w:eastAsia="仿宋"/>
      <w:bCs/>
      <w:sz w:val="30"/>
      <w:szCs w:val="44"/>
    </w:rPr>
  </w:style>
  <w:style w:type="character" w:customStyle="1" w:styleId="125">
    <w:name w:val="Heading 2 Char"/>
    <w:basedOn w:val="53"/>
    <w:qFormat/>
    <w:uiPriority w:val="9"/>
    <w:rPr>
      <w:rFonts w:ascii="Arial" w:hAnsi="Arial" w:eastAsia="Arial" w:cs="Arial"/>
      <w:sz w:val="34"/>
    </w:rPr>
  </w:style>
  <w:style w:type="paragraph" w:customStyle="1" w:styleId="126">
    <w:name w:val="标题 31"/>
    <w:basedOn w:val="90"/>
    <w:next w:val="1"/>
    <w:link w:val="127"/>
    <w:unhideWhenUsed/>
    <w:qFormat/>
    <w:uiPriority w:val="9"/>
    <w:pPr>
      <w:keepNext/>
      <w:keepLines/>
      <w:spacing w:before="320" w:after="200"/>
      <w:outlineLvl w:val="2"/>
    </w:pPr>
    <w:rPr>
      <w:rFonts w:ascii="Arial" w:hAnsi="Arial" w:eastAsia="Arial" w:cs="Arial"/>
      <w:sz w:val="30"/>
      <w:szCs w:val="30"/>
    </w:rPr>
  </w:style>
  <w:style w:type="character" w:customStyle="1" w:styleId="127">
    <w:name w:val="Heading 3 Char"/>
    <w:basedOn w:val="53"/>
    <w:link w:val="126"/>
    <w:qFormat/>
    <w:uiPriority w:val="9"/>
    <w:rPr>
      <w:rFonts w:ascii="Arial" w:hAnsi="Arial" w:eastAsia="Arial" w:cs="Arial"/>
      <w:sz w:val="30"/>
      <w:szCs w:val="30"/>
    </w:rPr>
  </w:style>
  <w:style w:type="character" w:customStyle="1" w:styleId="128">
    <w:name w:val="Heading 4 Char"/>
    <w:basedOn w:val="53"/>
    <w:link w:val="93"/>
    <w:qFormat/>
    <w:uiPriority w:val="9"/>
    <w:rPr>
      <w:rFonts w:ascii="Arial" w:hAnsi="Arial" w:eastAsia="Arial" w:cs="Arial"/>
      <w:b/>
      <w:bCs/>
      <w:sz w:val="26"/>
      <w:szCs w:val="26"/>
    </w:rPr>
  </w:style>
  <w:style w:type="character" w:customStyle="1" w:styleId="129">
    <w:name w:val="Heading 5 Char"/>
    <w:basedOn w:val="53"/>
    <w:qFormat/>
    <w:uiPriority w:val="9"/>
    <w:rPr>
      <w:rFonts w:ascii="Arial" w:hAnsi="Arial" w:eastAsia="Arial" w:cs="Arial"/>
      <w:b/>
      <w:bCs/>
      <w:sz w:val="24"/>
      <w:szCs w:val="24"/>
    </w:rPr>
  </w:style>
  <w:style w:type="paragraph" w:customStyle="1" w:styleId="130">
    <w:name w:val="标题 61"/>
    <w:basedOn w:val="1"/>
    <w:next w:val="1"/>
    <w:link w:val="131"/>
    <w:unhideWhenUsed/>
    <w:qFormat/>
    <w:uiPriority w:val="9"/>
    <w:pPr>
      <w:keepNext/>
      <w:keepLines/>
      <w:spacing w:before="320" w:after="200"/>
      <w:outlineLvl w:val="5"/>
    </w:pPr>
    <w:rPr>
      <w:rFonts w:ascii="Arial" w:hAnsi="Arial" w:eastAsia="Arial" w:cs="Arial"/>
      <w:b/>
      <w:bCs/>
      <w:sz w:val="22"/>
      <w:szCs w:val="22"/>
    </w:rPr>
  </w:style>
  <w:style w:type="character" w:customStyle="1" w:styleId="131">
    <w:name w:val="Heading 6 Char"/>
    <w:basedOn w:val="53"/>
    <w:link w:val="130"/>
    <w:qFormat/>
    <w:uiPriority w:val="9"/>
    <w:rPr>
      <w:rFonts w:ascii="Arial" w:hAnsi="Arial" w:eastAsia="Arial" w:cs="Arial"/>
      <w:b/>
      <w:bCs/>
      <w:sz w:val="22"/>
      <w:szCs w:val="22"/>
    </w:rPr>
  </w:style>
  <w:style w:type="paragraph" w:customStyle="1" w:styleId="132">
    <w:name w:val="标题 71"/>
    <w:basedOn w:val="1"/>
    <w:next w:val="1"/>
    <w:link w:val="133"/>
    <w:unhideWhenUsed/>
    <w:qFormat/>
    <w:uiPriority w:val="9"/>
    <w:pPr>
      <w:keepNext/>
      <w:keepLines/>
      <w:spacing w:before="320" w:after="200"/>
      <w:outlineLvl w:val="6"/>
    </w:pPr>
    <w:rPr>
      <w:rFonts w:ascii="Arial" w:hAnsi="Arial" w:eastAsia="Arial" w:cs="Arial"/>
      <w:b/>
      <w:bCs/>
      <w:i/>
      <w:iCs/>
      <w:sz w:val="22"/>
      <w:szCs w:val="22"/>
    </w:rPr>
  </w:style>
  <w:style w:type="character" w:customStyle="1" w:styleId="133">
    <w:name w:val="Heading 7 Char"/>
    <w:basedOn w:val="53"/>
    <w:link w:val="132"/>
    <w:qFormat/>
    <w:uiPriority w:val="9"/>
    <w:rPr>
      <w:rFonts w:ascii="Arial" w:hAnsi="Arial" w:eastAsia="Arial" w:cs="Arial"/>
      <w:b/>
      <w:bCs/>
      <w:i/>
      <w:iCs/>
      <w:sz w:val="22"/>
      <w:szCs w:val="22"/>
    </w:rPr>
  </w:style>
  <w:style w:type="paragraph" w:customStyle="1" w:styleId="134">
    <w:name w:val="标题 81"/>
    <w:basedOn w:val="1"/>
    <w:next w:val="1"/>
    <w:link w:val="135"/>
    <w:unhideWhenUsed/>
    <w:qFormat/>
    <w:uiPriority w:val="9"/>
    <w:pPr>
      <w:keepNext/>
      <w:keepLines/>
      <w:spacing w:before="320" w:after="200"/>
      <w:outlineLvl w:val="7"/>
    </w:pPr>
    <w:rPr>
      <w:rFonts w:ascii="Arial" w:hAnsi="Arial" w:eastAsia="Arial" w:cs="Arial"/>
      <w:i/>
      <w:iCs/>
      <w:sz w:val="22"/>
      <w:szCs w:val="22"/>
    </w:rPr>
  </w:style>
  <w:style w:type="character" w:customStyle="1" w:styleId="135">
    <w:name w:val="Heading 8 Char"/>
    <w:basedOn w:val="53"/>
    <w:link w:val="134"/>
    <w:qFormat/>
    <w:uiPriority w:val="9"/>
    <w:rPr>
      <w:rFonts w:ascii="Arial" w:hAnsi="Arial" w:eastAsia="Arial" w:cs="Arial"/>
      <w:i/>
      <w:iCs/>
      <w:sz w:val="22"/>
      <w:szCs w:val="22"/>
    </w:rPr>
  </w:style>
  <w:style w:type="paragraph" w:customStyle="1" w:styleId="136">
    <w:name w:val="标题 91"/>
    <w:basedOn w:val="1"/>
    <w:next w:val="1"/>
    <w:link w:val="137"/>
    <w:unhideWhenUsed/>
    <w:qFormat/>
    <w:uiPriority w:val="9"/>
    <w:pPr>
      <w:keepNext/>
      <w:keepLines/>
      <w:spacing w:before="320" w:after="200"/>
      <w:outlineLvl w:val="8"/>
    </w:pPr>
    <w:rPr>
      <w:rFonts w:ascii="Arial" w:hAnsi="Arial" w:eastAsia="Arial" w:cs="Arial"/>
      <w:i/>
      <w:iCs/>
      <w:szCs w:val="21"/>
    </w:rPr>
  </w:style>
  <w:style w:type="character" w:customStyle="1" w:styleId="137">
    <w:name w:val="Heading 9 Char"/>
    <w:basedOn w:val="53"/>
    <w:link w:val="136"/>
    <w:qFormat/>
    <w:uiPriority w:val="9"/>
    <w:rPr>
      <w:rFonts w:ascii="Arial" w:hAnsi="Arial" w:eastAsia="Arial" w:cs="Arial"/>
      <w:i/>
      <w:iCs/>
      <w:sz w:val="21"/>
      <w:szCs w:val="21"/>
    </w:rPr>
  </w:style>
  <w:style w:type="paragraph" w:styleId="138">
    <w:name w:val="List Paragraph"/>
    <w:basedOn w:val="1"/>
    <w:link w:val="309"/>
    <w:qFormat/>
    <w:uiPriority w:val="0"/>
    <w:pPr>
      <w:ind w:left="720"/>
      <w:contextualSpacing/>
    </w:pPr>
  </w:style>
  <w:style w:type="paragraph" w:styleId="139">
    <w:name w:val="No Spacing"/>
    <w:qFormat/>
    <w:uiPriority w:val="1"/>
    <w:rPr>
      <w:rFonts w:hint="default" w:ascii="Times New Roman" w:hAnsi="Times New Roman" w:eastAsia="宋体" w:cs="Times New Roman"/>
      <w:lang w:val="en-US" w:eastAsia="zh-CN" w:bidi="ar-SA"/>
    </w:rPr>
  </w:style>
  <w:style w:type="character" w:customStyle="1" w:styleId="140">
    <w:name w:val="标题 Char"/>
    <w:basedOn w:val="53"/>
    <w:link w:val="47"/>
    <w:qFormat/>
    <w:uiPriority w:val="10"/>
    <w:rPr>
      <w:sz w:val="48"/>
      <w:szCs w:val="48"/>
    </w:rPr>
  </w:style>
  <w:style w:type="character" w:customStyle="1" w:styleId="141">
    <w:name w:val="副标题 Char"/>
    <w:basedOn w:val="53"/>
    <w:link w:val="37"/>
    <w:qFormat/>
    <w:uiPriority w:val="11"/>
    <w:rPr>
      <w:sz w:val="24"/>
      <w:szCs w:val="24"/>
    </w:rPr>
  </w:style>
  <w:style w:type="paragraph" w:styleId="142">
    <w:name w:val="Quote"/>
    <w:basedOn w:val="1"/>
    <w:next w:val="1"/>
    <w:link w:val="143"/>
    <w:qFormat/>
    <w:uiPriority w:val="29"/>
    <w:pPr>
      <w:ind w:left="720" w:right="720"/>
    </w:pPr>
    <w:rPr>
      <w:i/>
    </w:rPr>
  </w:style>
  <w:style w:type="character" w:customStyle="1" w:styleId="143">
    <w:name w:val="引用 Char"/>
    <w:link w:val="142"/>
    <w:qFormat/>
    <w:uiPriority w:val="29"/>
    <w:rPr>
      <w:i/>
    </w:rPr>
  </w:style>
  <w:style w:type="paragraph" w:styleId="144">
    <w:name w:val="Intense Quote"/>
    <w:basedOn w:val="1"/>
    <w:next w:val="1"/>
    <w:link w:val="145"/>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145">
    <w:name w:val="明显引用 Char"/>
    <w:link w:val="144"/>
    <w:qFormat/>
    <w:uiPriority w:val="30"/>
    <w:rPr>
      <w:i/>
    </w:rPr>
  </w:style>
  <w:style w:type="character" w:customStyle="1" w:styleId="146">
    <w:name w:val="Header Char"/>
    <w:basedOn w:val="53"/>
    <w:link w:val="147"/>
    <w:qFormat/>
    <w:uiPriority w:val="99"/>
  </w:style>
  <w:style w:type="paragraph" w:customStyle="1" w:styleId="147">
    <w:name w:val="页眉1"/>
    <w:basedOn w:val="1"/>
    <w:link w:val="146"/>
    <w:qFormat/>
    <w:uiPriority w:val="0"/>
    <w:pPr>
      <w:pBdr>
        <w:bottom w:val="single" w:color="auto" w:sz="6" w:space="1"/>
      </w:pBdr>
      <w:tabs>
        <w:tab w:val="center" w:pos="4153"/>
        <w:tab w:val="right" w:pos="8306"/>
      </w:tabs>
      <w:jc w:val="center"/>
    </w:pPr>
    <w:rPr>
      <w:sz w:val="18"/>
      <w:szCs w:val="18"/>
    </w:rPr>
  </w:style>
  <w:style w:type="character" w:customStyle="1" w:styleId="148">
    <w:name w:val="Footer Char"/>
    <w:basedOn w:val="53"/>
    <w:qFormat/>
    <w:uiPriority w:val="99"/>
  </w:style>
  <w:style w:type="paragraph" w:customStyle="1" w:styleId="149">
    <w:name w:val="题注1"/>
    <w:basedOn w:val="1"/>
    <w:next w:val="1"/>
    <w:semiHidden/>
    <w:unhideWhenUsed/>
    <w:qFormat/>
    <w:uiPriority w:val="35"/>
    <w:pPr>
      <w:spacing w:line="276" w:lineRule="auto"/>
    </w:pPr>
    <w:rPr>
      <w:b/>
      <w:bCs/>
      <w:color w:val="4472C4" w:themeColor="accent1"/>
      <w:sz w:val="18"/>
      <w:szCs w:val="18"/>
      <w14:textFill>
        <w14:solidFill>
          <w14:schemeClr w14:val="accent1"/>
        </w14:solidFill>
      </w14:textFill>
    </w:rPr>
  </w:style>
  <w:style w:type="character" w:customStyle="1" w:styleId="150">
    <w:name w:val="Caption Char"/>
    <w:qFormat/>
    <w:uiPriority w:val="99"/>
  </w:style>
  <w:style w:type="table" w:customStyle="1" w:styleId="151">
    <w:name w:val="Table Grid Light"/>
    <w:basedOn w:val="5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152">
    <w:name w:val="无格式表格 11"/>
    <w:basedOn w:val="5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153">
    <w:name w:val="无格式表格 21"/>
    <w:basedOn w:val="51"/>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154">
    <w:name w:val="无格式表格 31"/>
    <w:basedOn w:val="51"/>
    <w:qFormat/>
    <w:uiPriority w:val="99"/>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155">
    <w:name w:val="无格式表格 41"/>
    <w:basedOn w:val="51"/>
    <w:qFormat/>
    <w:uiPriority w:val="99"/>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156">
    <w:name w:val="无格式表格 51"/>
    <w:basedOn w:val="51"/>
    <w:qFormat/>
    <w:uiPriority w:val="99"/>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157">
    <w:name w:val="网格表 1 浅色1"/>
    <w:basedOn w:val="51"/>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108" w:type="dxa"/>
        <w:bottom w:w="0" w:type="dxa"/>
        <w:right w:w="108"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158">
    <w:name w:val="Grid Table 1 Light - Accent 1"/>
    <w:basedOn w:val="51"/>
    <w:qFormat/>
    <w:uiPriority w:val="99"/>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CellMar>
        <w:top w:w="0" w:type="dxa"/>
        <w:left w:w="108" w:type="dxa"/>
        <w:bottom w:w="0" w:type="dxa"/>
        <w:right w:w="108" w:type="dxa"/>
      </w:tblCellMar>
    </w:tblPr>
    <w:tblStylePr w:type="firstRow">
      <w:rPr>
        <w:b/>
        <w:color w:val="404040"/>
      </w:rPr>
      <w:tcPr>
        <w:tcBorders>
          <w:bottom w:val="single" w:color="91ACDC"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159">
    <w:name w:val="Grid Table 1 Light - Accent 2"/>
    <w:basedOn w:val="51"/>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CellMar>
        <w:top w:w="0" w:type="dxa"/>
        <w:left w:w="108" w:type="dxa"/>
        <w:bottom w:w="0" w:type="dxa"/>
        <w:right w:w="108" w:type="dxa"/>
      </w:tblCellMar>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60">
    <w:name w:val="Grid Table 1 Light - Accent 3"/>
    <w:basedOn w:val="51"/>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CellMar>
        <w:top w:w="0" w:type="dxa"/>
        <w:left w:w="108" w:type="dxa"/>
        <w:bottom w:w="0" w:type="dxa"/>
        <w:right w:w="108" w:type="dxa"/>
      </w:tblCellMar>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61">
    <w:name w:val="Grid Table 1 Light - Accent 4"/>
    <w:basedOn w:val="51"/>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CellMar>
        <w:top w:w="0" w:type="dxa"/>
        <w:left w:w="108" w:type="dxa"/>
        <w:bottom w:w="0" w:type="dxa"/>
        <w:right w:w="108" w:type="dxa"/>
      </w:tblCellMar>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62">
    <w:name w:val="Grid Table 1 Light - Accent 5"/>
    <w:basedOn w:val="51"/>
    <w:qFormat/>
    <w:uiPriority w:val="99"/>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CellMar>
        <w:top w:w="0" w:type="dxa"/>
        <w:left w:w="108" w:type="dxa"/>
        <w:bottom w:w="0" w:type="dxa"/>
        <w:right w:w="108" w:type="dxa"/>
      </w:tblCellMar>
    </w:tblPr>
    <w:tblStylePr w:type="firstRow">
      <w:rPr>
        <w:b/>
        <w:color w:val="404040"/>
      </w:rPr>
      <w:tcPr>
        <w:tcBorders>
          <w:bottom w:val="single" w:color="9FC4E6"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163">
    <w:name w:val="Grid Table 1 Light - Accent 6"/>
    <w:basedOn w:val="51"/>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CellMar>
        <w:top w:w="0" w:type="dxa"/>
        <w:left w:w="108" w:type="dxa"/>
        <w:bottom w:w="0" w:type="dxa"/>
        <w:right w:w="108" w:type="dxa"/>
      </w:tblCellMar>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164">
    <w:name w:val="网格表 21"/>
    <w:basedOn w:val="5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65">
    <w:name w:val="Grid Table 2 - Accent 1"/>
    <w:basedOn w:val="51"/>
    <w:qFormat/>
    <w:uiPriority w:val="99"/>
    <w:tblPr>
      <w:tblBorders>
        <w:bottom w:val="single" w:color="537DC8" w:themeColor="accent1" w:themeTint="EA" w:sz="4" w:space="0"/>
        <w:insideH w:val="single" w:color="537DC8" w:themeColor="accent1" w:themeTint="EA" w:sz="4" w:space="0"/>
        <w:insideV w:val="single" w:color="537DC8"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single" w:color="537DC8" w:themeColor="accent1" w:themeTint="EA" w:sz="12" w:space="0"/>
          <w:right w:val="nil"/>
        </w:tcBorders>
        <w:shd w:val="clear" w:color="FFFFFF" w:fill="auto"/>
      </w:tcPr>
    </w:tblStylePr>
    <w:tblStylePr w:type="lastRow">
      <w:rPr>
        <w:b/>
        <w:color w:val="404040"/>
      </w:rPr>
      <w:tcPr>
        <w:tcBorders>
          <w:top w:val="single" w:color="537DC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1" w:themeTint="34" w:fill="D8E2F2" w:themeFill="accent1" w:themeFillTint="34"/>
      </w:tcPr>
    </w:tblStylePr>
    <w:tblStylePr w:type="band1Horz">
      <w:rPr>
        <w:rFonts w:ascii="Arial" w:hAnsi="Arial"/>
        <w:color w:val="404040"/>
        <w:sz w:val="22"/>
      </w:rPr>
      <w:tcPr>
        <w:shd w:val="clear" w:color="D8E2F2" w:themeColor="accent1" w:themeTint="34" w:fill="D8E2F2" w:themeFill="accent1" w:themeFillTint="34"/>
      </w:tcPr>
    </w:tblStylePr>
  </w:style>
  <w:style w:type="table" w:customStyle="1" w:styleId="166">
    <w:name w:val="Grid Table 2 - Accent 2"/>
    <w:basedOn w:val="51"/>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67">
    <w:name w:val="Grid Table 2 - Accent 3"/>
    <w:basedOn w:val="51"/>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68">
    <w:name w:val="Grid Table 2 - Accent 4"/>
    <w:basedOn w:val="51"/>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69">
    <w:name w:val="Grid Table 2 - Accent 5"/>
    <w:basedOn w:val="51"/>
    <w:qFormat/>
    <w:uiPriority w:val="99"/>
    <w:tblPr>
      <w:tblBorders>
        <w:bottom w:val="single" w:color="5B9BD5" w:themeColor="accent5" w:sz="4" w:space="0"/>
        <w:insideH w:val="single" w:color="5B9BD5" w:themeColor="accent5" w:sz="4" w:space="0"/>
        <w:insideV w:val="single" w:color="5B9BD5" w:themeColor="accent5" w:sz="4" w:space="0"/>
      </w:tblBorders>
      <w:tblCellMar>
        <w:top w:w="0" w:type="dxa"/>
        <w:left w:w="108" w:type="dxa"/>
        <w:bottom w:w="0" w:type="dxa"/>
        <w:right w:w="108" w:type="dxa"/>
      </w:tblCellMar>
    </w:tblPr>
    <w:tblStylePr w:type="firstRow">
      <w:rPr>
        <w:b/>
        <w:color w:val="404040"/>
      </w:rPr>
      <w:tcPr>
        <w:tcBorders>
          <w:top w:val="nil"/>
          <w:left w:val="nil"/>
          <w:bottom w:val="single" w:color="5B9BD5" w:themeColor="accent5" w:sz="12" w:space="0"/>
          <w:right w:val="nil"/>
        </w:tcBorders>
        <w:shd w:val="clear" w:color="FFFFFF" w:fill="auto"/>
      </w:tcPr>
    </w:tblStylePr>
    <w:tblStylePr w:type="lastRow">
      <w:rPr>
        <w:b/>
        <w:color w:val="404040"/>
      </w:rPr>
      <w:tcPr>
        <w:tcBorders>
          <w:top w:val="single" w:color="5B9BD5"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170">
    <w:name w:val="Grid Table 2 - Accent 6"/>
    <w:basedOn w:val="51"/>
    <w:qFormat/>
    <w:uiPriority w:val="99"/>
    <w:tblPr>
      <w:tblBorders>
        <w:bottom w:val="single" w:color="70AD47" w:themeColor="accent6" w:sz="4" w:space="0"/>
        <w:insideH w:val="single" w:color="70AD47" w:themeColor="accent6" w:sz="4" w:space="0"/>
        <w:insideV w:val="single" w:color="70AD47" w:themeColor="accent6" w:sz="4" w:space="0"/>
      </w:tblBorders>
      <w:tblCellMar>
        <w:top w:w="0" w:type="dxa"/>
        <w:left w:w="108" w:type="dxa"/>
        <w:bottom w:w="0" w:type="dxa"/>
        <w:right w:w="108" w:type="dxa"/>
      </w:tblCellMar>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71">
    <w:name w:val="网格表 31"/>
    <w:basedOn w:val="5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72">
    <w:name w:val="Grid Table 3 - Accent 1"/>
    <w:basedOn w:val="51"/>
    <w:qFormat/>
    <w:uiPriority w:val="99"/>
    <w:tblPr>
      <w:tblBorders>
        <w:bottom w:val="single" w:color="537DC8" w:themeColor="accent1" w:themeTint="EA" w:sz="4" w:space="0"/>
        <w:insideH w:val="single" w:color="537DC8" w:themeColor="accent1" w:themeTint="EA" w:sz="4" w:space="0"/>
        <w:insideV w:val="single" w:color="537DC8"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themeColor="accent1" w:themeTint="34" w:fill="D8E2F2" w:themeFill="accent1" w:themeFillTint="34"/>
      </w:tcPr>
    </w:tblStylePr>
    <w:tblStylePr w:type="band1Horz">
      <w:rPr>
        <w:rFonts w:ascii="Arial" w:hAnsi="Arial"/>
        <w:color w:val="404040"/>
        <w:sz w:val="22"/>
      </w:rPr>
      <w:tcPr>
        <w:shd w:val="clear" w:color="D8E2F2" w:themeColor="accent1" w:themeTint="34" w:fill="D8E2F2" w:themeFill="accent1" w:themeFillTint="34"/>
      </w:tcPr>
    </w:tblStylePr>
  </w:style>
  <w:style w:type="table" w:customStyle="1" w:styleId="173">
    <w:name w:val="Grid Table 3 - Accent 2"/>
    <w:basedOn w:val="51"/>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74">
    <w:name w:val="Grid Table 3 - Accent 3"/>
    <w:basedOn w:val="51"/>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75">
    <w:name w:val="Grid Table 3 - Accent 4"/>
    <w:basedOn w:val="51"/>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76">
    <w:name w:val="Grid Table 3 - Accent 5"/>
    <w:basedOn w:val="51"/>
    <w:qFormat/>
    <w:uiPriority w:val="99"/>
    <w:tblPr>
      <w:tblBorders>
        <w:bottom w:val="single" w:color="5B9BD5" w:themeColor="accent5" w:sz="4" w:space="0"/>
        <w:insideH w:val="single" w:color="5B9BD5" w:themeColor="accent5" w:sz="4" w:space="0"/>
        <w:insideV w:val="single" w:color="5B9BD5" w:themeColor="accent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177">
    <w:name w:val="Grid Table 3 - Accent 6"/>
    <w:basedOn w:val="51"/>
    <w:qFormat/>
    <w:uiPriority w:val="99"/>
    <w:tblPr>
      <w:tblBorders>
        <w:bottom w:val="single" w:color="70AD47" w:themeColor="accent6" w:sz="4" w:space="0"/>
        <w:insideH w:val="single" w:color="70AD47" w:themeColor="accent6" w:sz="4" w:space="0"/>
        <w:insideV w:val="single" w:color="70AD47" w:themeColor="accent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78">
    <w:name w:val="网格表 41"/>
    <w:basedOn w:val="51"/>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79">
    <w:name w:val="Grid Table 4 - Accent 1"/>
    <w:basedOn w:val="51"/>
    <w:qFormat/>
    <w:uiPriority w:val="59"/>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shd w:val="clear" w:color="537DC8" w:themeColor="accent1" w:themeTint="EA" w:fill="537DC8" w:themeFill="accent1" w:themeFillTint="EA"/>
      </w:tcPr>
    </w:tblStylePr>
    <w:tblStylePr w:type="lastRow">
      <w:rPr>
        <w:b/>
        <w:color w:val="404040"/>
      </w:rPr>
      <w:tcPr>
        <w:tcBorders>
          <w:top w:val="single" w:color="537DC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3F3" w:themeColor="accent1" w:themeTint="32" w:fill="DAE3F3" w:themeFill="accent1" w:themeFillTint="32"/>
      </w:tcPr>
    </w:tblStylePr>
    <w:tblStylePr w:type="band1Horz">
      <w:rPr>
        <w:rFonts w:ascii="Arial" w:hAnsi="Arial"/>
        <w:color w:val="404040"/>
        <w:sz w:val="22"/>
      </w:rPr>
      <w:tcPr>
        <w:shd w:val="clear" w:color="DAE3F3" w:themeColor="accent1" w:themeTint="32" w:fill="DAE3F3" w:themeFill="accent1" w:themeFillTint="32"/>
      </w:tcPr>
    </w:tblStylePr>
  </w:style>
  <w:style w:type="table" w:customStyle="1" w:styleId="180">
    <w:name w:val="Grid Table 4 - Accent 2"/>
    <w:basedOn w:val="51"/>
    <w:qFormat/>
    <w:uiPriority w:val="5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81">
    <w:name w:val="Grid Table 4 - Accent 3"/>
    <w:basedOn w:val="51"/>
    <w:qFormat/>
    <w:uiPriority w:val="5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82">
    <w:name w:val="Grid Table 4 - Accent 4"/>
    <w:basedOn w:val="51"/>
    <w:qFormat/>
    <w:uiPriority w:val="5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83">
    <w:name w:val="Grid Table 4 - Accent 5"/>
    <w:basedOn w:val="51"/>
    <w:qFormat/>
    <w:uiPriority w:val="59"/>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themeColor="accent5" w:fill="5B9BD5" w:themeFill="accent5"/>
      </w:tcPr>
    </w:tblStylePr>
    <w:tblStylePr w:type="lastRow">
      <w:rPr>
        <w:b/>
        <w:color w:val="404040"/>
      </w:rPr>
      <w:tcPr>
        <w:tcBorders>
          <w:top w:val="single" w:color="5B9BD5"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184">
    <w:name w:val="Grid Table 4 - Accent 6"/>
    <w:basedOn w:val="51"/>
    <w:qFormat/>
    <w:uiPriority w:val="5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85">
    <w:name w:val="网格表 5 深色1"/>
    <w:basedOn w:val="5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86">
    <w:name w:val="Grid Table 5 Dark- Accent 1"/>
    <w:basedOn w:val="5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472C4" w:themeColor="accent1" w:fill="4472C4" w:themeFill="accent1"/>
      </w:tcPr>
    </w:tblStylePr>
    <w:tblStylePr w:type="lastRow">
      <w:rPr>
        <w:rFonts w:ascii="Arial" w:hAnsi="Arial"/>
        <w:b/>
        <w:color w:val="FFFFFF"/>
        <w:sz w:val="22"/>
      </w:rPr>
      <w:tcPr>
        <w:tcBorders>
          <w:top w:val="single" w:color="FFFFFF" w:themeColor="light1" w:sz="4" w:space="0"/>
        </w:tcBorders>
        <w:shd w:val="clear" w:color="4472C4" w:themeColor="accent1" w:fill="4472C4" w:themeFill="accent1"/>
      </w:tcPr>
    </w:tblStylePr>
    <w:tblStylePr w:type="firstCol">
      <w:rPr>
        <w:rFonts w:ascii="Arial" w:hAnsi="Arial"/>
        <w:b/>
        <w:color w:val="FFFFFF"/>
        <w:sz w:val="22"/>
      </w:rPr>
      <w:tcPr>
        <w:shd w:val="clear" w:color="4472C4" w:themeColor="accent1" w:fill="4472C4" w:themeFill="accent1"/>
      </w:tcPr>
    </w:tblStylePr>
    <w:tblStylePr w:type="lastCol">
      <w:rPr>
        <w:rFonts w:ascii="Arial" w:hAnsi="Arial"/>
        <w:b/>
        <w:color w:val="FFFFFF"/>
        <w:sz w:val="22"/>
      </w:rPr>
      <w:tcPr>
        <w:shd w:val="clear" w:color="4472C4" w:themeColor="accent1" w:fill="4472C4" w:themeFill="accent1"/>
      </w:tcPr>
    </w:tblStylePr>
    <w:tblStylePr w:type="band1Vert">
      <w:tcPr>
        <w:shd w:val="clear" w:color="A9BEE3" w:themeColor="accent1" w:themeTint="75" w:fill="A9BEE3" w:themeFill="accent1" w:themeFillTint="75"/>
      </w:tcPr>
    </w:tblStylePr>
    <w:tblStylePr w:type="band1Horz">
      <w:tcPr>
        <w:shd w:val="clear" w:color="A9BEE3" w:themeColor="accent1" w:themeTint="75" w:fill="A9BEE3" w:themeFill="accent1" w:themeFillTint="75"/>
      </w:tcPr>
    </w:tblStylePr>
  </w:style>
  <w:style w:type="table" w:customStyle="1" w:styleId="187">
    <w:name w:val="Grid Table 5 Dark - Accent 2"/>
    <w:basedOn w:val="5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customStyle="1" w:styleId="188">
    <w:name w:val="Grid Table 5 Dark - Accent 3"/>
    <w:basedOn w:val="5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customStyle="1" w:styleId="189">
    <w:name w:val="Grid Table 5 Dark- Accent 4"/>
    <w:basedOn w:val="5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EE289" w:themeColor="accent4" w:themeTint="75" w:fill="FEE289" w:themeFill="accent4" w:themeFillTint="75"/>
      </w:tcPr>
    </w:tblStylePr>
    <w:tblStylePr w:type="band1Horz">
      <w:tcPr>
        <w:shd w:val="clear" w:color="FEE289" w:themeColor="accent4" w:themeTint="75" w:fill="FEE289" w:themeFill="accent4" w:themeFillTint="75"/>
      </w:tcPr>
    </w:tblStylePr>
  </w:style>
  <w:style w:type="table" w:customStyle="1" w:styleId="190">
    <w:name w:val="Grid Table 5 Dark - Accent 5"/>
    <w:basedOn w:val="5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5B9BD5" w:themeColor="accent5" w:fill="5B9BD5" w:themeFill="accent5"/>
      </w:tcPr>
    </w:tblStylePr>
    <w:tblStylePr w:type="lastRow">
      <w:rPr>
        <w:rFonts w:ascii="Arial" w:hAnsi="Arial"/>
        <w:b/>
        <w:color w:val="FFFFFF"/>
        <w:sz w:val="22"/>
      </w:rPr>
      <w:tcPr>
        <w:tcBorders>
          <w:top w:val="single" w:color="FFFFFF" w:themeColor="light1" w:sz="4" w:space="0"/>
        </w:tcBorders>
        <w:shd w:val="clear" w:color="5B9BD5" w:themeColor="accent5" w:fill="5B9BD5" w:themeFill="accent5"/>
      </w:tcPr>
    </w:tblStylePr>
    <w:tblStylePr w:type="firstCol">
      <w:rPr>
        <w:rFonts w:ascii="Arial" w:hAnsi="Arial"/>
        <w:b/>
        <w:color w:val="FFFFFF"/>
        <w:sz w:val="22"/>
      </w:rPr>
      <w:tcPr>
        <w:shd w:val="clear" w:color="5B9BD5" w:themeColor="accent5" w:fill="5B9BD5" w:themeFill="accent5"/>
      </w:tcPr>
    </w:tblStylePr>
    <w:tblStylePr w:type="lastCol">
      <w:rPr>
        <w:rFonts w:ascii="Arial" w:hAnsi="Arial"/>
        <w:b/>
        <w:color w:val="FFFFFF"/>
        <w:sz w:val="22"/>
      </w:rPr>
      <w:tcPr>
        <w:shd w:val="clear" w:color="5B9BD5" w:themeColor="accent5" w:fill="5B9BD5" w:themeFill="accent5"/>
      </w:tcPr>
    </w:tblStylePr>
    <w:tblStylePr w:type="band1Vert">
      <w:tcPr>
        <w:shd w:val="clear" w:color="B3D1EB" w:themeColor="accent5" w:themeTint="75" w:fill="B3D1EB" w:themeFill="accent5" w:themeFillTint="75"/>
      </w:tcPr>
    </w:tblStylePr>
    <w:tblStylePr w:type="band1Horz">
      <w:tcPr>
        <w:shd w:val="clear" w:color="B3D1EB" w:themeColor="accent5" w:themeTint="75" w:fill="B3D1EB" w:themeFill="accent5" w:themeFillTint="75"/>
      </w:tcPr>
    </w:tblStylePr>
  </w:style>
  <w:style w:type="table" w:customStyle="1" w:styleId="191">
    <w:name w:val="Grid Table 5 Dark - Accent 6"/>
    <w:basedOn w:val="5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customStyle="1" w:styleId="192">
    <w:name w:val="网格表 6 彩色1"/>
    <w:basedOn w:val="51"/>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93">
    <w:name w:val="Grid Table 6 Colorful - Accent 1"/>
    <w:basedOn w:val="51"/>
    <w:qFormat/>
    <w:uiPriority w:val="99"/>
    <w:tblPr>
      <w:tblBorders>
        <w:top w:val="single" w:color="A1B8E1" w:themeColor="accent1" w:themeTint="80" w:sz="4" w:space="0"/>
        <w:left w:val="single" w:color="A1B8E1" w:themeColor="accent1" w:themeTint="80" w:sz="4" w:space="0"/>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CellMar>
        <w:top w:w="0" w:type="dxa"/>
        <w:left w:w="108" w:type="dxa"/>
        <w:bottom w:w="0" w:type="dxa"/>
        <w:right w:w="108" w:type="dxa"/>
      </w:tblCellMar>
    </w:tblPr>
    <w:tblStylePr w:type="firstRow">
      <w:rPr>
        <w:b/>
        <w:color w:val="A2B9E2" w:themeColor="accent1" w:themeTint="80"/>
        <w14:textFill>
          <w14:solidFill>
            <w14:schemeClr w14:val="accent1">
              <w14:lumMod w14:val="50000"/>
              <w14:lumOff w14:val="50000"/>
            </w14:schemeClr>
          </w14:solidFill>
        </w14:textFill>
      </w:rPr>
      <w:tcPr>
        <w:tcBorders>
          <w:bottom w:val="single" w:color="A1B8E1" w:themeColor="accent1" w:themeTint="80" w:sz="12" w:space="0"/>
        </w:tcBorders>
      </w:tcPr>
    </w:tblStylePr>
    <w:tblStylePr w:type="lastRow">
      <w:rPr>
        <w:b/>
        <w:color w:val="A2B9E2" w:themeColor="accent1" w:themeTint="80"/>
        <w14:textFill>
          <w14:solidFill>
            <w14:schemeClr w14:val="accent1">
              <w14:lumMod w14:val="50000"/>
              <w14:lumOff w14:val="50000"/>
            </w14:schemeClr>
          </w14:solidFill>
        </w14:textFill>
      </w:rPr>
    </w:tblStylePr>
    <w:tblStylePr w:type="firstCol">
      <w:rPr>
        <w:b/>
        <w:color w:val="A2B9E2" w:themeColor="accent1" w:themeTint="80"/>
        <w14:textFill>
          <w14:solidFill>
            <w14:schemeClr w14:val="accent1">
              <w14:lumMod w14:val="50000"/>
              <w14:lumOff w14:val="50000"/>
            </w14:schemeClr>
          </w14:solidFill>
        </w14:textFill>
      </w:rPr>
    </w:tblStylePr>
    <w:tblStylePr w:type="lastCol">
      <w:rPr>
        <w:b/>
        <w:color w:val="A2B9E2" w:themeColor="accent1" w:themeTint="80"/>
        <w14:textFill>
          <w14:solidFill>
            <w14:schemeClr w14:val="accent1">
              <w14:lumMod w14:val="50000"/>
              <w14:lumOff w14:val="50000"/>
            </w14:schemeClr>
          </w14:solidFill>
        </w14:textFill>
      </w:rPr>
    </w:tblStylePr>
    <w:tblStylePr w:type="band1Vert">
      <w:tcPr>
        <w:shd w:val="clear" w:color="D8E2F2" w:themeColor="accent1" w:themeTint="34" w:fill="D8E2F2" w:themeFill="accent1" w:themeFillTint="34"/>
      </w:tcPr>
    </w:tblStylePr>
    <w:tblStylePr w:type="band1Horz">
      <w:rPr>
        <w:rFonts w:ascii="Arial" w:hAnsi="Arial"/>
        <w:color w:val="A2B9E2" w:themeColor="accent1" w:themeTint="80"/>
        <w:sz w:val="22"/>
        <w14:textFill>
          <w14:solidFill>
            <w14:schemeClr w14:val="accent1">
              <w14:lumMod w14:val="50000"/>
              <w14:lumOff w14:val="50000"/>
            </w14:schemeClr>
          </w14:solidFill>
        </w14:textFill>
      </w:rPr>
      <w:tcPr>
        <w:shd w:val="clear" w:color="D8E2F2" w:themeColor="accent1" w:themeTint="34" w:fill="D8E2F2" w:themeFill="accent1" w:themeFillTint="34"/>
      </w:tcPr>
    </w:tblStylePr>
    <w:tblStylePr w:type="band2Horz">
      <w:rPr>
        <w:rFonts w:ascii="Arial" w:hAnsi="Arial"/>
        <w:color w:val="A2B9E2" w:themeColor="accent1" w:themeTint="80"/>
        <w:sz w:val="22"/>
        <w14:textFill>
          <w14:solidFill>
            <w14:schemeClr w14:val="accent1">
              <w14:lumMod w14:val="50000"/>
              <w14:lumOff w14:val="50000"/>
            </w14:schemeClr>
          </w14:solidFill>
        </w14:textFill>
      </w:rPr>
    </w:tblStylePr>
  </w:style>
  <w:style w:type="table" w:customStyle="1" w:styleId="194">
    <w:name w:val="Grid Table 6 Colorful - Accent 2"/>
    <w:basedOn w:val="51"/>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CellMar>
        <w:top w:w="0" w:type="dxa"/>
        <w:left w:w="108" w:type="dxa"/>
        <w:bottom w:w="0" w:type="dxa"/>
        <w:right w:w="108" w:type="dxa"/>
      </w:tblCellMar>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95">
    <w:name w:val="Grid Table 6 Colorful - Accent 3"/>
    <w:basedOn w:val="51"/>
    <w:qFormat/>
    <w:uiPriority w:val="99"/>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b/>
        <w:color w:val="A5A5A5" w:themeColor="accent3"/>
        <w14:textFill>
          <w14:solidFill>
            <w14:schemeClr w14:val="accent3"/>
          </w14:solidFill>
        </w14:textFill>
      </w:rPr>
      <w:tcPr>
        <w:tcBorders>
          <w:bottom w:val="single" w:color="A5A5A5" w:themeColor="accent3" w:themeTint="FE" w:sz="12" w:space="0"/>
        </w:tcBorders>
      </w:tcPr>
    </w:tblStylePr>
    <w:tblStylePr w:type="lastRow">
      <w:rPr>
        <w:b/>
        <w:color w:val="A5A5A5" w:themeColor="accent3"/>
        <w14:textFill>
          <w14:solidFill>
            <w14:schemeClr w14:val="accent3"/>
          </w14:solidFill>
        </w14:textFill>
      </w:rPr>
    </w:tblStylePr>
    <w:tblStylePr w:type="firstCol">
      <w:rPr>
        <w:b/>
        <w:color w:val="A5A5A5" w:themeColor="accent3"/>
        <w14:textFill>
          <w14:solidFill>
            <w14:schemeClr w14:val="accent3"/>
          </w14:solidFill>
        </w14:textFill>
      </w:rPr>
    </w:tblStylePr>
    <w:tblStylePr w:type="lastCol">
      <w:rPr>
        <w:b/>
        <w:color w:val="A5A5A5" w:themeColor="accent3"/>
        <w14:textFill>
          <w14:solidFill>
            <w14:schemeClr w14:val="accent3"/>
          </w14:solidFill>
        </w14:textFill>
      </w:r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196">
    <w:name w:val="Grid Table 6 Colorful - Accent 4"/>
    <w:basedOn w:val="51"/>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CellMar>
        <w:top w:w="0" w:type="dxa"/>
        <w:left w:w="108" w:type="dxa"/>
        <w:bottom w:w="0" w:type="dxa"/>
        <w:right w:w="108" w:type="dxa"/>
      </w:tblCellMar>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97">
    <w:name w:val="Grid Table 6 Colorful - Accent 5"/>
    <w:basedOn w:val="51"/>
    <w:qFormat/>
    <w:uiPriority w:val="99"/>
    <w:tblPr>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CellMar>
        <w:top w:w="0" w:type="dxa"/>
        <w:left w:w="108" w:type="dxa"/>
        <w:bottom w:w="0" w:type="dxa"/>
        <w:right w:w="108" w:type="dxa"/>
      </w:tblCellMar>
    </w:tblPr>
    <w:tblStylePr w:type="firstRow">
      <w:rPr>
        <w:b/>
        <w:color w:val="245B8C" w:themeColor="accent5" w:themeShade="94"/>
      </w:rPr>
      <w:tcPr>
        <w:tcBorders>
          <w:bottom w:val="single" w:color="5B9BD5" w:themeColor="accent5"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DDEAF6" w:themeColor="accent5" w:themeTint="34" w:fill="DDEAF6" w:themeFill="accent5" w:themeFillTint="34"/>
      </w:tcPr>
    </w:tblStylePr>
    <w:tblStylePr w:type="band1Horz">
      <w:rPr>
        <w:rFonts w:ascii="Arial" w:hAnsi="Arial"/>
        <w:color w:val="245B8C" w:themeColor="accent5" w:themeShade="94"/>
        <w:sz w:val="22"/>
      </w:rPr>
      <w:tcPr>
        <w:shd w:val="clear" w:color="DDEAF6" w:themeColor="accent5" w:themeTint="34" w:fill="DDEAF6" w:themeFill="accent5" w:themeFillTint="34"/>
      </w:tcPr>
    </w:tblStylePr>
    <w:tblStylePr w:type="band2Horz">
      <w:rPr>
        <w:rFonts w:ascii="Arial" w:hAnsi="Arial"/>
        <w:color w:val="245B8C" w:themeColor="accent5" w:themeShade="94"/>
        <w:sz w:val="22"/>
      </w:rPr>
    </w:tblStylePr>
  </w:style>
  <w:style w:type="table" w:customStyle="1" w:styleId="198">
    <w:name w:val="Grid Table 6 Colorful - Accent 6"/>
    <w:basedOn w:val="51"/>
    <w:qFormat/>
    <w:uiPriority w:val="99"/>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CellMar>
        <w:top w:w="0" w:type="dxa"/>
        <w:left w:w="108" w:type="dxa"/>
        <w:bottom w:w="0" w:type="dxa"/>
        <w:right w:w="108" w:type="dxa"/>
      </w:tblCellMar>
    </w:tblPr>
    <w:tblStylePr w:type="firstRow">
      <w:rPr>
        <w:b/>
        <w:color w:val="245B8C" w:themeColor="accent5" w:themeShade="94"/>
      </w:rPr>
      <w:tcPr>
        <w:tcBorders>
          <w:bottom w:val="single" w:color="70AD47" w:themeColor="accent6"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E1EFD8" w:themeColor="accent6" w:themeTint="34" w:fill="E1EFD8" w:themeFill="accent6" w:themeFillTint="34"/>
      </w:tcPr>
    </w:tblStylePr>
    <w:tblStylePr w:type="band1Horz">
      <w:rPr>
        <w:rFonts w:ascii="Arial" w:hAnsi="Arial"/>
        <w:color w:val="245B8C" w:themeColor="accent5" w:themeShade="94"/>
        <w:sz w:val="22"/>
      </w:rPr>
      <w:tcPr>
        <w:shd w:val="clear" w:color="E1EFD8" w:themeColor="accent6" w:themeTint="34" w:fill="E1EFD8" w:themeFill="accent6" w:themeFillTint="34"/>
      </w:tcPr>
    </w:tblStylePr>
    <w:tblStylePr w:type="band2Horz">
      <w:rPr>
        <w:rFonts w:ascii="Arial" w:hAnsi="Arial"/>
        <w:color w:val="245B8C" w:themeColor="accent5" w:themeShade="94"/>
        <w:sz w:val="22"/>
      </w:rPr>
    </w:tblStylePr>
  </w:style>
  <w:style w:type="table" w:customStyle="1" w:styleId="199">
    <w:name w:val="网格表 7 彩色1"/>
    <w:basedOn w:val="51"/>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200">
    <w:name w:val="Grid Table 7 Colorful - Accent 1"/>
    <w:basedOn w:val="51"/>
    <w:qFormat/>
    <w:uiPriority w:val="99"/>
    <w:tblPr>
      <w:tblBorders>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CellMar>
        <w:top w:w="0" w:type="dxa"/>
        <w:left w:w="108" w:type="dxa"/>
        <w:bottom w:w="0" w:type="dxa"/>
        <w:right w:w="108" w:type="dxa"/>
      </w:tblCellMar>
    </w:tblPr>
    <w:tblStylePr w:type="firstRow">
      <w:rPr>
        <w:rFonts w:ascii="Arial" w:hAnsi="Arial"/>
        <w:b/>
        <w:color w:val="A2B9E2" w:themeColor="accent1" w:themeTint="80"/>
        <w:sz w:val="22"/>
        <w14:textFill>
          <w14:solidFill>
            <w14:schemeClr w14:val="accent1">
              <w14:lumMod w14:val="50000"/>
              <w14:lumOff w14:val="50000"/>
            </w14:schemeClr>
          </w14:solidFill>
        </w14:textFill>
      </w:rPr>
      <w:tcPr>
        <w:tcBorders>
          <w:top w:val="nil"/>
          <w:left w:val="nil"/>
          <w:bottom w:val="single" w:color="A1B8E1" w:themeColor="accent1" w:themeTint="80" w:sz="4" w:space="0"/>
          <w:right w:val="nil"/>
        </w:tcBorders>
        <w:shd w:val="clear" w:color="FFFFFF" w:themeColor="light1" w:fill="FFFFFF" w:themeFill="light1"/>
      </w:tcPr>
    </w:tblStylePr>
    <w:tblStylePr w:type="lastRow">
      <w:rPr>
        <w:rFonts w:ascii="Arial" w:hAnsi="Arial"/>
        <w:b/>
        <w:color w:val="A2B9E2" w:themeColor="accent1" w:themeTint="80"/>
        <w:sz w:val="22"/>
        <w14:textFill>
          <w14:solidFill>
            <w14:schemeClr w14:val="accent1">
              <w14:lumMod w14:val="50000"/>
              <w14:lumOff w14:val="50000"/>
            </w14:schemeClr>
          </w14:solidFill>
        </w14:textFill>
      </w:rPr>
      <w:tcPr>
        <w:tcBorders>
          <w:top w:val="single" w:color="A1B8E1"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2B9E2" w:themeColor="accent1" w:themeTint="80"/>
        <w:sz w:val="22"/>
        <w14:textFill>
          <w14:solidFill>
            <w14:schemeClr w14:val="accent1">
              <w14:lumMod w14:val="50000"/>
              <w14:lumOff w14:val="50000"/>
            </w14:schemeClr>
          </w14:solidFill>
        </w14:textFill>
      </w:rPr>
      <w:tcPr>
        <w:tcBorders>
          <w:top w:val="nil"/>
          <w:left w:val="nil"/>
          <w:bottom w:val="nil"/>
          <w:right w:val="single" w:color="A1B8E1" w:themeColor="accent1" w:themeTint="80" w:sz="4" w:space="0"/>
        </w:tcBorders>
        <w:shd w:val="clear" w:color="FFFFFF" w:fill="auto"/>
      </w:tcPr>
    </w:tblStylePr>
    <w:tblStylePr w:type="lastCol">
      <w:rPr>
        <w:rFonts w:ascii="Arial" w:hAnsi="Arial"/>
        <w:i/>
        <w:color w:val="A2B9E2" w:themeColor="accent1" w:themeTint="80"/>
        <w:sz w:val="22"/>
        <w14:textFill>
          <w14:solidFill>
            <w14:schemeClr w14:val="accent1">
              <w14:lumMod w14:val="50000"/>
              <w14:lumOff w14:val="50000"/>
            </w14:schemeClr>
          </w14:solidFill>
        </w14:textFill>
      </w:rPr>
      <w:tcPr>
        <w:tcBorders>
          <w:top w:val="nil"/>
          <w:left w:val="single" w:color="A1B8E1" w:themeColor="accent1" w:themeTint="80" w:sz="4" w:space="0"/>
          <w:bottom w:val="nil"/>
          <w:right w:val="nil"/>
        </w:tcBorders>
        <w:shd w:val="clear" w:color="FFFFFF" w:fill="auto"/>
      </w:tcPr>
    </w:tblStylePr>
    <w:tblStylePr w:type="band1Vert">
      <w:tcPr>
        <w:shd w:val="clear" w:color="D8E2F2" w:themeColor="accent1" w:themeTint="34" w:fill="D8E2F2" w:themeFill="accent1" w:themeFillTint="34"/>
      </w:tcPr>
    </w:tblStylePr>
    <w:tblStylePr w:type="band1Horz">
      <w:rPr>
        <w:rFonts w:ascii="Arial" w:hAnsi="Arial"/>
        <w:color w:val="A2B9E2" w:themeColor="accent1" w:themeTint="80"/>
        <w:sz w:val="22"/>
        <w14:textFill>
          <w14:solidFill>
            <w14:schemeClr w14:val="accent1">
              <w14:lumMod w14:val="50000"/>
              <w14:lumOff w14:val="50000"/>
            </w14:schemeClr>
          </w14:solidFill>
        </w14:textFill>
      </w:rPr>
      <w:tcPr>
        <w:shd w:val="clear" w:color="D8E2F2" w:themeColor="accent1" w:themeTint="34" w:fill="D8E2F2" w:themeFill="accent1" w:themeFillTint="34"/>
      </w:tcPr>
    </w:tblStylePr>
    <w:tblStylePr w:type="band2Horz">
      <w:rPr>
        <w:rFonts w:ascii="Arial" w:hAnsi="Arial"/>
        <w:color w:val="A2B9E2" w:themeColor="accent1" w:themeTint="80"/>
        <w:sz w:val="22"/>
        <w14:textFill>
          <w14:solidFill>
            <w14:schemeClr w14:val="accent1">
              <w14:lumMod w14:val="50000"/>
              <w14:lumOff w14:val="50000"/>
            </w14:schemeClr>
          </w14:solidFill>
        </w14:textFill>
      </w:rPr>
    </w:tblStylePr>
  </w:style>
  <w:style w:type="table" w:customStyle="1" w:styleId="201">
    <w:name w:val="Grid Table 7 Colorful - Accent 2"/>
    <w:basedOn w:val="51"/>
    <w:qFormat/>
    <w:uiPriority w:val="99"/>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CellMar>
        <w:top w:w="0" w:type="dxa"/>
        <w:left w:w="108" w:type="dxa"/>
        <w:bottom w:w="0" w:type="dxa"/>
        <w:right w:w="108" w:type="dxa"/>
      </w:tblCellMar>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202">
    <w:name w:val="Grid Table 7 Colorful - Accent 3"/>
    <w:basedOn w:val="51"/>
    <w:qFormat/>
    <w:uiPriority w:val="99"/>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rFonts w:ascii="Arial" w:hAnsi="Arial"/>
        <w:b/>
        <w:color w:val="A5A5A5" w:themeColor="accent3"/>
        <w:sz w:val="22"/>
        <w14:textFill>
          <w14:solidFill>
            <w14:schemeClr w14:val="accent3"/>
          </w14:solidFill>
        </w14:textFill>
      </w:r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sz w:val="22"/>
        <w14:textFill>
          <w14:solidFill>
            <w14:schemeClr w14:val="accent3"/>
          </w14:solidFill>
        </w14:textFill>
      </w:r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14:textFill>
          <w14:solidFill>
            <w14:schemeClr w14:val="accent3"/>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sz w:val="22"/>
        <w14:textFill>
          <w14:solidFill>
            <w14:schemeClr w14:val="accent3"/>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203">
    <w:name w:val="Grid Table 7 Colorful - Accent 4"/>
    <w:basedOn w:val="51"/>
    <w:qFormat/>
    <w:uiPriority w:val="99"/>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CellMar>
        <w:top w:w="0" w:type="dxa"/>
        <w:left w:w="108" w:type="dxa"/>
        <w:bottom w:w="0" w:type="dxa"/>
        <w:right w:w="108" w:type="dxa"/>
      </w:tblCellMar>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204">
    <w:name w:val="Grid Table 7 Colorful - Accent 5"/>
    <w:basedOn w:val="51"/>
    <w:qFormat/>
    <w:uiPriority w:val="99"/>
    <w:tblPr>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CellMar>
        <w:top w:w="0" w:type="dxa"/>
        <w:left w:w="108" w:type="dxa"/>
        <w:bottom w:w="0" w:type="dxa"/>
        <w:right w:w="108" w:type="dxa"/>
      </w:tblCellMar>
    </w:tblPr>
    <w:tblStylePr w:type="firstRow">
      <w:rPr>
        <w:rFonts w:ascii="Arial" w:hAnsi="Arial"/>
        <w:b/>
        <w:color w:val="245B8C" w:themeColor="accent5" w:themeShade="94"/>
        <w:sz w:val="22"/>
      </w:rPr>
      <w:tcPr>
        <w:tcBorders>
          <w:top w:val="nil"/>
          <w:left w:val="nil"/>
          <w:bottom w:val="single" w:color="A2C6E7" w:themeColor="accent5" w:themeTint="90" w:sz="4" w:space="0"/>
          <w:right w:val="nil"/>
        </w:tcBorders>
        <w:shd w:val="clear" w:color="FFFFFF" w:themeColor="light1" w:fill="FFFFFF" w:themeFill="light1"/>
      </w:tcPr>
    </w:tblStylePr>
    <w:tblStylePr w:type="lastRow">
      <w:rPr>
        <w:rFonts w:ascii="Arial" w:hAnsi="Arial"/>
        <w:b/>
        <w:color w:val="245B8C" w:themeColor="accent5" w:themeShade="94"/>
        <w:sz w:val="22"/>
      </w:rPr>
      <w:tcPr>
        <w:tcBorders>
          <w:top w:val="single" w:color="A2C6E7"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5" w:themeShade="94"/>
        <w:sz w:val="22"/>
      </w:rPr>
      <w:tcPr>
        <w:tcBorders>
          <w:top w:val="nil"/>
          <w:left w:val="nil"/>
          <w:bottom w:val="nil"/>
          <w:right w:val="single" w:color="A2C6E7" w:themeColor="accent5" w:themeTint="90" w:sz="4" w:space="0"/>
        </w:tcBorders>
        <w:shd w:val="clear" w:color="FFFFFF" w:fill="auto"/>
      </w:tcPr>
    </w:tblStylePr>
    <w:tblStylePr w:type="lastCol">
      <w:rPr>
        <w:rFonts w:ascii="Arial" w:hAnsi="Arial"/>
        <w:i/>
        <w:color w:val="245B8C" w:themeColor="accent5" w:themeShade="94"/>
        <w:sz w:val="22"/>
      </w:rPr>
      <w:tcPr>
        <w:tcBorders>
          <w:top w:val="nil"/>
          <w:left w:val="single" w:color="A2C6E7" w:themeColor="accent5" w:themeTint="90" w:sz="4" w:space="0"/>
          <w:bottom w:val="nil"/>
          <w:right w:val="nil"/>
        </w:tcBorders>
        <w:shd w:val="clear" w:color="FFFFFF" w:fill="auto"/>
      </w:tcPr>
    </w:tblStylePr>
    <w:tblStylePr w:type="band1Vert">
      <w:tcPr>
        <w:shd w:val="clear" w:color="DDEAF6" w:themeColor="accent5" w:themeTint="34" w:fill="DDEAF6" w:themeFill="accent5" w:themeFillTint="34"/>
      </w:tcPr>
    </w:tblStylePr>
    <w:tblStylePr w:type="band1Horz">
      <w:rPr>
        <w:rFonts w:ascii="Arial" w:hAnsi="Arial"/>
        <w:color w:val="245B8C" w:themeColor="accent5" w:themeShade="94"/>
        <w:sz w:val="22"/>
      </w:rPr>
      <w:tcPr>
        <w:shd w:val="clear" w:color="DDEAF6" w:themeColor="accent5" w:themeTint="34" w:fill="DDEAF6" w:themeFill="accent5" w:themeFillTint="34"/>
      </w:tcPr>
    </w:tblStylePr>
    <w:tblStylePr w:type="band2Horz">
      <w:rPr>
        <w:rFonts w:ascii="Arial" w:hAnsi="Arial"/>
        <w:color w:val="245B8C" w:themeColor="accent5" w:themeShade="94"/>
        <w:sz w:val="22"/>
      </w:rPr>
    </w:tblStylePr>
  </w:style>
  <w:style w:type="table" w:customStyle="1" w:styleId="205">
    <w:name w:val="Grid Table 7 Colorful - Accent 6"/>
    <w:basedOn w:val="51"/>
    <w:qFormat/>
    <w:uiPriority w:val="99"/>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CellMar>
        <w:top w:w="0" w:type="dxa"/>
        <w:left w:w="108" w:type="dxa"/>
        <w:bottom w:w="0" w:type="dxa"/>
        <w:right w:w="108" w:type="dxa"/>
      </w:tblCellMar>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4"/>
        <w:sz w:val="22"/>
      </w:rPr>
      <w:tcPr>
        <w:shd w:val="clear" w:color="E1EFD8" w:themeColor="accent6" w:themeTint="34" w:fill="E1EFD8" w:themeFill="accent6" w:themeFillTint="34"/>
      </w:tcPr>
    </w:tblStylePr>
    <w:tblStylePr w:type="band2Horz">
      <w:rPr>
        <w:rFonts w:ascii="Arial" w:hAnsi="Arial"/>
        <w:color w:val="416429" w:themeColor="accent6" w:themeShade="94"/>
        <w:sz w:val="22"/>
      </w:rPr>
    </w:tblStylePr>
  </w:style>
  <w:style w:type="table" w:customStyle="1" w:styleId="206">
    <w:name w:val="清单表 1 浅色1"/>
    <w:basedOn w:val="51"/>
    <w:qFormat/>
    <w:uiPriority w:val="99"/>
    <w:tblPr>
      <w:tblCellMar>
        <w:top w:w="0" w:type="dxa"/>
        <w:left w:w="108" w:type="dxa"/>
        <w:bottom w:w="0" w:type="dxa"/>
        <w:right w:w="108"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207">
    <w:name w:val="List Table 1 Light - Accent 1"/>
    <w:basedOn w:val="51"/>
    <w:qFormat/>
    <w:uiPriority w:val="99"/>
    <w:tblPr>
      <w:tblCellMar>
        <w:top w:w="0" w:type="dxa"/>
        <w:left w:w="108" w:type="dxa"/>
        <w:bottom w:w="0" w:type="dxa"/>
        <w:right w:w="108" w:type="dxa"/>
      </w:tblCellMar>
    </w:tblPr>
    <w:tblStylePr w:type="firstRow">
      <w:rPr>
        <w:b/>
        <w:color w:val="404040"/>
      </w:rPr>
      <w:tcPr>
        <w:tcBorders>
          <w:top w:val="nil"/>
          <w:left w:val="nil"/>
          <w:bottom w:val="single" w:color="4472C4" w:themeColor="accent1" w:sz="4" w:space="0"/>
          <w:right w:val="nil"/>
        </w:tcBorders>
      </w:tcPr>
    </w:tblStylePr>
    <w:tblStylePr w:type="lastRow">
      <w:rPr>
        <w:b/>
        <w:color w:val="404040"/>
      </w:rPr>
      <w:tcPr>
        <w:tcBorders>
          <w:top w:val="single" w:color="4472C4"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themeColor="accent1" w:themeTint="40" w:fill="D0DBF0" w:themeFill="accent1" w:themeFillTint="40"/>
      </w:tcPr>
    </w:tblStylePr>
    <w:tblStylePr w:type="band1Horz">
      <w:tcPr>
        <w:shd w:val="clear" w:color="D0DBF0" w:themeColor="accent1" w:themeTint="40" w:fill="D0DBF0" w:themeFill="accent1" w:themeFillTint="40"/>
      </w:tcPr>
    </w:tblStylePr>
  </w:style>
  <w:style w:type="table" w:customStyle="1" w:styleId="208">
    <w:name w:val="List Table 1 Light - Accent 2"/>
    <w:basedOn w:val="51"/>
    <w:qFormat/>
    <w:uiPriority w:val="99"/>
    <w:tblPr>
      <w:tblCellMar>
        <w:top w:w="0" w:type="dxa"/>
        <w:left w:w="108" w:type="dxa"/>
        <w:bottom w:w="0" w:type="dxa"/>
        <w:right w:w="108" w:type="dxa"/>
      </w:tblCellMar>
    </w:tbl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customStyle="1" w:styleId="209">
    <w:name w:val="List Table 1 Light - Accent 3"/>
    <w:basedOn w:val="51"/>
    <w:qFormat/>
    <w:uiPriority w:val="99"/>
    <w:tblPr>
      <w:tblCellMar>
        <w:top w:w="0" w:type="dxa"/>
        <w:left w:w="108" w:type="dxa"/>
        <w:bottom w:w="0" w:type="dxa"/>
        <w:right w:w="108" w:type="dxa"/>
      </w:tblCellMar>
    </w:tbl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customStyle="1" w:styleId="210">
    <w:name w:val="List Table 1 Light - Accent 4"/>
    <w:basedOn w:val="51"/>
    <w:qFormat/>
    <w:uiPriority w:val="99"/>
    <w:tblPr>
      <w:tblCellMar>
        <w:top w:w="0" w:type="dxa"/>
        <w:left w:w="108" w:type="dxa"/>
        <w:bottom w:w="0" w:type="dxa"/>
        <w:right w:w="108" w:type="dxa"/>
      </w:tblCellMar>
    </w:tbl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themeColor="accent4" w:themeTint="40" w:fill="FFEFBE" w:themeFill="accent4" w:themeFillTint="40"/>
      </w:tcPr>
    </w:tblStylePr>
    <w:tblStylePr w:type="band1Horz">
      <w:tcPr>
        <w:shd w:val="clear" w:color="FFEFBE" w:themeColor="accent4" w:themeTint="40" w:fill="FFEFBE" w:themeFill="accent4" w:themeFillTint="40"/>
      </w:tcPr>
    </w:tblStylePr>
  </w:style>
  <w:style w:type="table" w:customStyle="1" w:styleId="211">
    <w:name w:val="List Table 1 Light - Accent 5"/>
    <w:basedOn w:val="51"/>
    <w:qFormat/>
    <w:uiPriority w:val="99"/>
    <w:tblPr>
      <w:tblCellMar>
        <w:top w:w="0" w:type="dxa"/>
        <w:left w:w="108" w:type="dxa"/>
        <w:bottom w:w="0" w:type="dxa"/>
        <w:right w:w="108" w:type="dxa"/>
      </w:tblCellMar>
    </w:tblPr>
    <w:tblStylePr w:type="firstRow">
      <w:rPr>
        <w:b/>
        <w:color w:val="404040"/>
      </w:rPr>
      <w:tcPr>
        <w:tcBorders>
          <w:top w:val="nil"/>
          <w:left w:val="nil"/>
          <w:bottom w:val="single" w:color="5B9BD5" w:themeColor="accent5" w:sz="4" w:space="0"/>
          <w:right w:val="nil"/>
        </w:tcBorders>
      </w:tcPr>
    </w:tblStylePr>
    <w:tblStylePr w:type="lastRow">
      <w:rPr>
        <w:b/>
        <w:color w:val="404040"/>
      </w:rPr>
      <w:tcPr>
        <w:tcBorders>
          <w:top w:val="single" w:color="5B9BD5"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themeColor="accent5" w:themeTint="40" w:fill="D5E5F4" w:themeFill="accent5" w:themeFillTint="40"/>
      </w:tcPr>
    </w:tblStylePr>
    <w:tblStylePr w:type="band1Horz">
      <w:tcPr>
        <w:shd w:val="clear" w:color="D5E5F4" w:themeColor="accent5" w:themeTint="40" w:fill="D5E5F4" w:themeFill="accent5" w:themeFillTint="40"/>
      </w:tcPr>
    </w:tblStylePr>
  </w:style>
  <w:style w:type="table" w:customStyle="1" w:styleId="212">
    <w:name w:val="List Table 1 Light - Accent 6"/>
    <w:basedOn w:val="51"/>
    <w:qFormat/>
    <w:uiPriority w:val="99"/>
    <w:tblPr>
      <w:tblCellMar>
        <w:top w:w="0" w:type="dxa"/>
        <w:left w:w="108" w:type="dxa"/>
        <w:bottom w:w="0" w:type="dxa"/>
        <w:right w:w="108" w:type="dxa"/>
      </w:tblCellMar>
    </w:tbl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customStyle="1" w:styleId="213">
    <w:name w:val="清单表 21"/>
    <w:basedOn w:val="51"/>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214">
    <w:name w:val="List Table 2 - Accent 1"/>
    <w:basedOn w:val="51"/>
    <w:qFormat/>
    <w:uiPriority w:val="99"/>
    <w:tblPr>
      <w:tblBorders>
        <w:top w:val="single" w:color="95AFDD" w:themeColor="accent1" w:themeTint="90" w:sz="4" w:space="0"/>
        <w:bottom w:val="single" w:color="95AFDD" w:themeColor="accent1" w:themeTint="90" w:sz="4" w:space="0"/>
        <w:insideH w:val="single" w:color="95AFDD" w:themeColor="accen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la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themeColor="accent1" w:themeTint="40" w:fill="D0DBF0" w:themeFill="accent1" w:themeFillTint="40"/>
      </w:tcPr>
    </w:tblStylePr>
    <w:tblStylePr w:type="band1Horz">
      <w:rPr>
        <w:rFonts w:ascii="Arial" w:hAnsi="Arial"/>
        <w:color w:val="404040"/>
        <w:sz w:val="22"/>
      </w:rPr>
      <w:tcPr>
        <w:shd w:val="clear" w:color="D0DBF0" w:themeColor="accent1" w:themeTint="40" w:fill="D0DBF0" w:themeFill="accent1" w:themeFillTint="40"/>
      </w:tcPr>
    </w:tblStylePr>
  </w:style>
  <w:style w:type="table" w:customStyle="1" w:styleId="215">
    <w:name w:val="List Table 2 - Accent 2"/>
    <w:basedOn w:val="51"/>
    <w:qFormat/>
    <w:uiPriority w:val="99"/>
    <w:tblPr>
      <w:tblBorders>
        <w:top w:val="single" w:color="F4B58A" w:themeColor="accent2" w:themeTint="90" w:sz="4" w:space="0"/>
        <w:bottom w:val="single" w:color="F4B58A" w:themeColor="accent2" w:themeTint="90" w:sz="4" w:space="0"/>
        <w:insideH w:val="single" w:color="F4B58A" w:themeColor="accent2"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216">
    <w:name w:val="List Table 2 - Accent 3"/>
    <w:basedOn w:val="51"/>
    <w:qFormat/>
    <w:uiPriority w:val="99"/>
    <w:tblPr>
      <w:tblBorders>
        <w:top w:val="single" w:color="CCCCCC" w:themeColor="accent3" w:themeTint="90" w:sz="4" w:space="0"/>
        <w:bottom w:val="single" w:color="CCCCCC" w:themeColor="accent3" w:themeTint="90" w:sz="4" w:space="0"/>
        <w:insideH w:val="single" w:color="CCCCCC" w:themeColor="accent3"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217">
    <w:name w:val="List Table 2 - Accent 4"/>
    <w:basedOn w:val="51"/>
    <w:qFormat/>
    <w:uiPriority w:val="99"/>
    <w:tblPr>
      <w:tblBorders>
        <w:top w:val="single" w:color="FFDB6E" w:themeColor="accent4" w:themeTint="90" w:sz="4" w:space="0"/>
        <w:bottom w:val="single" w:color="FFDB6E" w:themeColor="accent4" w:themeTint="90" w:sz="4" w:space="0"/>
        <w:insideH w:val="single" w:color="FFDB6E" w:themeColor="accent4"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218">
    <w:name w:val="List Table 2 - Accent 5"/>
    <w:basedOn w:val="51"/>
    <w:qFormat/>
    <w:uiPriority w:val="99"/>
    <w:tblPr>
      <w:tblBorders>
        <w:top w:val="single" w:color="A2C6E7" w:themeColor="accent5" w:themeTint="90" w:sz="4" w:space="0"/>
        <w:bottom w:val="single" w:color="A2C6E7" w:themeColor="accent5" w:themeTint="90" w:sz="4" w:space="0"/>
        <w:insideH w:val="single" w:color="A2C6E7" w:themeColor="accent5"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la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5" w:themeTint="40" w:fill="D5E5F4" w:themeFill="accent5" w:themeFillTint="40"/>
      </w:tcPr>
    </w:tblStylePr>
    <w:tblStylePr w:type="band1Horz">
      <w:rPr>
        <w:rFonts w:ascii="Arial" w:hAnsi="Arial"/>
        <w:color w:val="404040"/>
        <w:sz w:val="22"/>
      </w:rPr>
      <w:tcPr>
        <w:shd w:val="clear" w:color="D5E5F4" w:themeColor="accent5" w:themeTint="40" w:fill="D5E5F4" w:themeFill="accent5" w:themeFillTint="40"/>
      </w:tcPr>
    </w:tblStylePr>
  </w:style>
  <w:style w:type="table" w:customStyle="1" w:styleId="219">
    <w:name w:val="List Table 2 - Accent 6"/>
    <w:basedOn w:val="51"/>
    <w:qFormat/>
    <w:uiPriority w:val="99"/>
    <w:tblPr>
      <w:tblBorders>
        <w:top w:val="single" w:color="ADD394" w:themeColor="accent6" w:themeTint="90" w:sz="4" w:space="0"/>
        <w:bottom w:val="single" w:color="ADD394" w:themeColor="accent6" w:themeTint="90" w:sz="4" w:space="0"/>
        <w:insideH w:val="single" w:color="ADD394" w:themeColor="accent6"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220">
    <w:name w:val="清单表 31"/>
    <w:basedOn w:val="5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221">
    <w:name w:val="List Table 3 - Accent 1"/>
    <w:basedOn w:val="51"/>
    <w:qFormat/>
    <w:uiPriority w:val="99"/>
    <w:tblPr>
      <w:tblBorders>
        <w:top w:val="single" w:color="4472C4" w:themeColor="accent1" w:sz="4" w:space="0"/>
        <w:left w:val="single" w:color="4472C4" w:themeColor="accent1" w:sz="4" w:space="0"/>
        <w:bottom w:val="single" w:color="4472C4" w:themeColor="accent1" w:sz="4" w:space="0"/>
        <w:right w:val="single" w:color="4472C4" w:themeColor="accent1" w:sz="4" w:space="0"/>
      </w:tblBorders>
      <w:tblCellMar>
        <w:top w:w="0" w:type="dxa"/>
        <w:left w:w="108" w:type="dxa"/>
        <w:bottom w:w="0" w:type="dxa"/>
        <w:right w:w="108" w:type="dxa"/>
      </w:tblCellMar>
    </w:tblPr>
    <w:tblStylePr w:type="firstRow">
      <w:rPr>
        <w:rFonts w:ascii="Arial" w:hAnsi="Arial"/>
        <w:b/>
        <w:color w:val="FFFFFF"/>
        <w:sz w:val="22"/>
      </w: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472C4" w:themeColor="accent1" w:sz="4" w:space="0"/>
          <w:right w:val="single" w:color="4472C4" w:themeColor="accent1" w:sz="4" w:space="0"/>
        </w:tcBorders>
      </w:tcPr>
    </w:tblStylePr>
    <w:tblStylePr w:type="band1Horz">
      <w:rPr>
        <w:rFonts w:ascii="Arial" w:hAnsi="Arial"/>
        <w:color w:val="404040"/>
        <w:sz w:val="22"/>
      </w:rPr>
      <w:tcPr>
        <w:tcBorders>
          <w:top w:val="single" w:color="4472C4" w:themeColor="accent1" w:sz="4" w:space="0"/>
          <w:bottom w:val="single" w:color="4472C4" w:themeColor="accent1" w:sz="4" w:space="0"/>
        </w:tcBorders>
      </w:tcPr>
    </w:tblStylePr>
  </w:style>
  <w:style w:type="table" w:customStyle="1" w:styleId="222">
    <w:name w:val="List Table 3 - Accent 2"/>
    <w:basedOn w:val="51"/>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CellMar>
        <w:top w:w="0" w:type="dxa"/>
        <w:left w:w="108" w:type="dxa"/>
        <w:bottom w:w="0" w:type="dxa"/>
        <w:right w:w="108" w:type="dxa"/>
      </w:tblCellMar>
    </w:tblPr>
    <w:tblStylePr w:type="firstRow">
      <w:rPr>
        <w:rFonts w:ascii="Arial" w:hAnsi="Arial"/>
        <w:b/>
        <w:color w:val="FFFFFF"/>
        <w:sz w:val="22"/>
      </w:rPr>
      <w:tcPr>
        <w:shd w:val="clear" w:color="F4B285" w:themeColor="accent2" w:themeTint="97"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223">
    <w:name w:val="List Table 3 - Accent 3"/>
    <w:basedOn w:val="51"/>
    <w:qFormat/>
    <w:uiPriority w:val="99"/>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CellMar>
        <w:top w:w="0" w:type="dxa"/>
        <w:left w:w="108" w:type="dxa"/>
        <w:bottom w:w="0" w:type="dxa"/>
        <w:right w:w="108" w:type="dxa"/>
      </w:tblCellMar>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224">
    <w:name w:val="List Table 3 - Accent 4"/>
    <w:basedOn w:val="51"/>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CellMar>
        <w:top w:w="0" w:type="dxa"/>
        <w:left w:w="108" w:type="dxa"/>
        <w:bottom w:w="0" w:type="dxa"/>
        <w:right w:w="108" w:type="dxa"/>
      </w:tblCellMar>
    </w:tblPr>
    <w:tblStylePr w:type="firstRow">
      <w:rPr>
        <w:rFonts w:ascii="Arial" w:hAnsi="Arial"/>
        <w:b/>
        <w:color w:val="FFFFFF"/>
        <w:sz w:val="22"/>
      </w:rPr>
      <w:tcPr>
        <w:shd w:val="clear" w:color="FFD864" w:themeColor="accent4" w:themeTint="9A"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225">
    <w:name w:val="List Table 3 - Accent 5"/>
    <w:basedOn w:val="51"/>
    <w:qFormat/>
    <w:uiPriority w:val="99"/>
    <w:tblPr>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CellMar>
        <w:top w:w="0" w:type="dxa"/>
        <w:left w:w="108" w:type="dxa"/>
        <w:bottom w:w="0" w:type="dxa"/>
        <w:right w:w="108" w:type="dxa"/>
      </w:tblCellMar>
    </w:tblPr>
    <w:tblStylePr w:type="firstRow">
      <w:rPr>
        <w:rFonts w:ascii="Arial" w:hAnsi="Arial"/>
        <w:b/>
        <w:color w:val="FFFFFF"/>
        <w:sz w:val="22"/>
      </w:r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BC2E5" w:themeColor="accent5" w:themeTint="9A" w:sz="4" w:space="0"/>
          <w:right w:val="single" w:color="9BC2E5" w:themeColor="accent5" w:themeTint="9A" w:sz="4" w:space="0"/>
        </w:tcBorders>
      </w:tcPr>
    </w:tblStylePr>
    <w:tblStylePr w:type="band1Horz">
      <w:rPr>
        <w:rFonts w:ascii="Arial" w:hAnsi="Arial"/>
        <w:color w:val="404040"/>
        <w:sz w:val="22"/>
      </w:rPr>
      <w:tcPr>
        <w:tcBorders>
          <w:top w:val="single" w:color="9BC2E5" w:themeColor="accent5" w:themeTint="9A" w:sz="4" w:space="0"/>
          <w:bottom w:val="single" w:color="9BC2E5" w:themeColor="accent5" w:themeTint="9A" w:sz="4" w:space="0"/>
        </w:tcBorders>
      </w:tcPr>
    </w:tblStylePr>
  </w:style>
  <w:style w:type="table" w:customStyle="1" w:styleId="226">
    <w:name w:val="List Table 3 - Accent 6"/>
    <w:basedOn w:val="51"/>
    <w:qFormat/>
    <w:uiPriority w:val="99"/>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CellMar>
        <w:top w:w="0" w:type="dxa"/>
        <w:left w:w="108" w:type="dxa"/>
        <w:bottom w:w="0" w:type="dxa"/>
        <w:right w:w="108" w:type="dxa"/>
      </w:tblCellMar>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227">
    <w:name w:val="清单表 41"/>
    <w:basedOn w:val="5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228">
    <w:name w:val="List Table 4 - Accent 1"/>
    <w:basedOn w:val="51"/>
    <w:qFormat/>
    <w:uiPriority w:val="99"/>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themeColor="accent1" w:themeTint="40" w:fill="D0DBF0" w:themeFill="accent1" w:themeFillTint="40"/>
      </w:tcPr>
    </w:tblStylePr>
    <w:tblStylePr w:type="band1Horz">
      <w:rPr>
        <w:rFonts w:ascii="Arial" w:hAnsi="Arial"/>
        <w:color w:val="404040"/>
        <w:sz w:val="22"/>
      </w:rPr>
      <w:tcPr>
        <w:shd w:val="clear" w:color="D0DBF0" w:themeColor="accent1" w:themeTint="40" w:fill="D0DBF0" w:themeFill="accent1" w:themeFillTint="40"/>
      </w:tcPr>
    </w:tblStylePr>
  </w:style>
  <w:style w:type="table" w:customStyle="1" w:styleId="229">
    <w:name w:val="List Table 4 - Accent 2"/>
    <w:basedOn w:val="51"/>
    <w:qFormat/>
    <w:uiPriority w:val="9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CellMar>
        <w:top w:w="0" w:type="dxa"/>
        <w:left w:w="108" w:type="dxa"/>
        <w:bottom w:w="0" w:type="dxa"/>
        <w:right w:w="108" w:type="dxa"/>
      </w:tblCellMar>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230">
    <w:name w:val="List Table 4 - Accent 3"/>
    <w:basedOn w:val="51"/>
    <w:qFormat/>
    <w:uiPriority w:val="9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CellMar>
        <w:top w:w="0" w:type="dxa"/>
        <w:left w:w="108" w:type="dxa"/>
        <w:bottom w:w="0" w:type="dxa"/>
        <w:right w:w="108" w:type="dxa"/>
      </w:tblCellMar>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231">
    <w:name w:val="List Table 4 - Accent 4"/>
    <w:basedOn w:val="51"/>
    <w:qFormat/>
    <w:uiPriority w:val="9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CellMar>
        <w:top w:w="0" w:type="dxa"/>
        <w:left w:w="108" w:type="dxa"/>
        <w:bottom w:w="0" w:type="dxa"/>
        <w:right w:w="108" w:type="dxa"/>
      </w:tblCellMar>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232">
    <w:name w:val="List Table 4 - Accent 5"/>
    <w:basedOn w:val="51"/>
    <w:qFormat/>
    <w:uiPriority w:val="99"/>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CellMar>
        <w:top w:w="0" w:type="dxa"/>
        <w:left w:w="108" w:type="dxa"/>
        <w:bottom w:w="0" w:type="dxa"/>
        <w:right w:w="108" w:type="dxa"/>
      </w:tblCellMar>
    </w:tblPr>
    <w:tblStylePr w:type="firstRow">
      <w:rPr>
        <w:rFonts w:ascii="Arial" w:hAnsi="Arial"/>
        <w:b/>
        <w:color w:val="FFFFFF"/>
        <w:sz w:val="22"/>
      </w:r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5" w:themeTint="40" w:fill="D5E5F4" w:themeFill="accent5" w:themeFillTint="40"/>
      </w:tcPr>
    </w:tblStylePr>
    <w:tblStylePr w:type="band1Horz">
      <w:rPr>
        <w:rFonts w:ascii="Arial" w:hAnsi="Arial"/>
        <w:color w:val="404040"/>
        <w:sz w:val="22"/>
      </w:rPr>
      <w:tcPr>
        <w:shd w:val="clear" w:color="D5E5F4" w:themeColor="accent5" w:themeTint="40" w:fill="D5E5F4" w:themeFill="accent5" w:themeFillTint="40"/>
      </w:tcPr>
    </w:tblStylePr>
  </w:style>
  <w:style w:type="table" w:customStyle="1" w:styleId="233">
    <w:name w:val="List Table 4 - Accent 6"/>
    <w:basedOn w:val="51"/>
    <w:qFormat/>
    <w:uiPriority w:val="9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CellMar>
        <w:top w:w="0" w:type="dxa"/>
        <w:left w:w="108" w:type="dxa"/>
        <w:bottom w:w="0" w:type="dxa"/>
        <w:right w:w="108" w:type="dxa"/>
      </w:tblCellMar>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234">
    <w:name w:val="清单表 5 深色1"/>
    <w:basedOn w:val="51"/>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235">
    <w:name w:val="List Table 5 Dark - Accent 1"/>
    <w:basedOn w:val="51"/>
    <w:qFormat/>
    <w:uiPriority w:val="99"/>
    <w:tblPr>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4472C4" w:themeColor="accent1" w:sz="32" w:space="0"/>
          <w:bottom w:val="single" w:color="FFFFFF" w:themeColor="light1" w:sz="12" w:space="0"/>
        </w:tcBorders>
        <w:shd w:val="clear" w:color="4472C4" w:themeColor="accent1" w:fill="4472C4"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472C4" w:themeColor="accent1" w:sz="32" w:space="0"/>
          <w:right w:val="single" w:color="FFFFFF" w:themeColor="light1" w:sz="4" w:space="0"/>
        </w:tcBorders>
      </w:tcPr>
    </w:tblStylePr>
    <w:tblStylePr w:type="lastCol">
      <w:tcPr>
        <w:tcBorders>
          <w:left w:val="single" w:color="FFFFFF" w:themeColor="light1" w:sz="4" w:space="0"/>
          <w:right w:val="single" w:color="4472C4" w:themeColor="accent1" w:sz="32" w:space="0"/>
        </w:tcBorders>
      </w:tcPr>
    </w:tblStylePr>
    <w:tblStylePr w:type="band1Vert">
      <w:tcPr>
        <w:tcBorders>
          <w:left w:val="single" w:color="FFFFFF" w:themeColor="light1" w:sz="4" w:space="0"/>
          <w:right w:val="single" w:color="FFFFFF" w:themeColor="light1" w:sz="4" w:space="0"/>
        </w:tcBorders>
        <w:shd w:val="clear" w:color="4472C4" w:themeColor="accent1" w:fill="4472C4"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472C4" w:themeColor="accent1" w:fill="4472C4" w:themeFill="accent1"/>
      </w:tcPr>
    </w:tblStylePr>
    <w:tblStylePr w:type="band2Horz">
      <w:tcPr>
        <w:tcBorders>
          <w:top w:val="single" w:color="FFFFFF" w:themeColor="light1" w:sz="4" w:space="0"/>
          <w:bottom w:val="single" w:color="FFFFFF" w:themeColor="light1" w:sz="4" w:space="0"/>
        </w:tcBorders>
        <w:shd w:val="clear" w:color="4472C4" w:themeColor="accent1" w:fill="4472C4" w:themeFill="accent1"/>
      </w:tcPr>
    </w:tblStylePr>
  </w:style>
  <w:style w:type="table" w:customStyle="1" w:styleId="236">
    <w:name w:val="List Table 5 Dark - Accent 2"/>
    <w:basedOn w:val="51"/>
    <w:qFormat/>
    <w:uiPriority w:val="99"/>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style>
  <w:style w:type="table" w:customStyle="1" w:styleId="237">
    <w:name w:val="List Table 5 Dark - Accent 3"/>
    <w:basedOn w:val="51"/>
    <w:qFormat/>
    <w:uiPriority w:val="99"/>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customStyle="1" w:styleId="238">
    <w:name w:val="List Table 5 Dark - Accent 4"/>
    <w:basedOn w:val="51"/>
    <w:qFormat/>
    <w:uiPriority w:val="99"/>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style>
  <w:style w:type="table" w:customStyle="1" w:styleId="239">
    <w:name w:val="List Table 5 Dark - Accent 5"/>
    <w:basedOn w:val="51"/>
    <w:qFormat/>
    <w:uiPriority w:val="99"/>
    <w:tblPr>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9BC2E5" w:themeColor="accent5" w:themeTint="9A" w:sz="32" w:space="0"/>
          <w:bottom w:val="single" w:color="FFFFFF" w:themeColor="light1" w:sz="12" w:space="0"/>
        </w:tcBorders>
        <w:shd w:val="clear" w:color="9BC2E5" w:themeColor="accent5" w:themeTint="9A" w:fill="9BC2E5"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BC2E5" w:themeColor="accent5" w:themeTint="9A" w:sz="32" w:space="0"/>
          <w:right w:val="single" w:color="FFFFFF" w:themeColor="light1" w:sz="4" w:space="0"/>
        </w:tcBorders>
      </w:tcPr>
    </w:tblStylePr>
    <w:tblStylePr w:type="lastCol">
      <w:tcPr>
        <w:tcBorders>
          <w:left w:val="single" w:color="FFFFFF" w:themeColor="light1" w:sz="4" w:space="0"/>
          <w:right w:val="single" w:color="9BC2E5" w:themeColor="accent5" w:themeTint="9A" w:sz="32" w:space="0"/>
        </w:tcBorders>
      </w:tcPr>
    </w:tblStylePr>
    <w:tblStylePr w:type="band1Vert">
      <w:tcPr>
        <w:tcBorders>
          <w:left w:val="single" w:color="FFFFFF" w:themeColor="light1" w:sz="4" w:space="0"/>
          <w:right w:val="single" w:color="FFFFFF" w:themeColor="light1" w:sz="4" w:space="0"/>
        </w:tcBorders>
        <w:shd w:val="clear" w:color="9BC2E5" w:themeColor="accent5" w:themeTint="9A" w:fill="9BC2E5"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BC2E5" w:themeColor="accent5" w:themeTint="9A" w:fill="9BC2E5" w:themeFill="accent5" w:themeFillTint="9A"/>
      </w:tcPr>
    </w:tblStylePr>
    <w:tblStylePr w:type="band2Horz">
      <w:tcPr>
        <w:tcBorders>
          <w:top w:val="single" w:color="FFFFFF" w:themeColor="light1" w:sz="4" w:space="0"/>
          <w:bottom w:val="single" w:color="FFFFFF" w:themeColor="light1" w:sz="4" w:space="0"/>
        </w:tcBorders>
        <w:shd w:val="clear" w:color="9BC2E5" w:themeColor="accent5" w:themeTint="9A" w:fill="9BC2E5" w:themeFill="accent5" w:themeFillTint="9A"/>
      </w:tcPr>
    </w:tblStylePr>
  </w:style>
  <w:style w:type="table" w:customStyle="1" w:styleId="240">
    <w:name w:val="List Table 5 Dark - Accent 6"/>
    <w:basedOn w:val="51"/>
    <w:qFormat/>
    <w:uiPriority w:val="99"/>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customStyle="1" w:styleId="241">
    <w:name w:val="清单表 6 彩色1"/>
    <w:basedOn w:val="51"/>
    <w:qFormat/>
    <w:uiPriority w:val="99"/>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242">
    <w:name w:val="List Table 6 Colorful - Accent 1"/>
    <w:basedOn w:val="51"/>
    <w:qFormat/>
    <w:uiPriority w:val="99"/>
    <w:tblPr>
      <w:tblBorders>
        <w:top w:val="single" w:color="4472C4" w:themeColor="accent1" w:sz="4" w:space="0"/>
        <w:bottom w:val="single" w:color="4472C4" w:themeColor="accent1" w:sz="4" w:space="0"/>
      </w:tblBorders>
      <w:tblCellMar>
        <w:top w:w="0" w:type="dxa"/>
        <w:left w:w="108" w:type="dxa"/>
        <w:bottom w:w="0" w:type="dxa"/>
        <w:right w:w="108" w:type="dxa"/>
      </w:tblCellMar>
    </w:tblPr>
    <w:tblStylePr w:type="firstRow">
      <w:rPr>
        <w:b/>
        <w:color w:val="254174" w:themeColor="accent1" w:themeShade="94"/>
      </w:rPr>
      <w:tcPr>
        <w:tcBorders>
          <w:bottom w:val="single" w:color="4472C4" w:themeColor="accent1" w:sz="4" w:space="0"/>
        </w:tcBorders>
      </w:tcPr>
    </w:tblStylePr>
    <w:tblStylePr w:type="lastRow">
      <w:rPr>
        <w:b/>
        <w:color w:val="254174" w:themeColor="accent1" w:themeShade="94"/>
      </w:rPr>
      <w:tcPr>
        <w:tcBorders>
          <w:top w:val="single" w:color="4472C4" w:themeColor="accent1" w:sz="4" w:space="0"/>
        </w:tcBorders>
      </w:tcPr>
    </w:tblStylePr>
    <w:tblStylePr w:type="firstCol">
      <w:rPr>
        <w:b/>
        <w:color w:val="254174" w:themeColor="accent1" w:themeShade="94"/>
      </w:rPr>
    </w:tblStylePr>
    <w:tblStylePr w:type="lastCol">
      <w:rPr>
        <w:b/>
        <w:color w:val="254174" w:themeColor="accent1" w:themeShade="94"/>
      </w:rPr>
    </w:tblStylePr>
    <w:tblStylePr w:type="band1Vert">
      <w:tcPr>
        <w:shd w:val="clear" w:color="D0DBF0" w:themeColor="accent1" w:themeTint="40" w:fill="D0DBF0" w:themeFill="accent1" w:themeFillTint="40"/>
      </w:tcPr>
    </w:tblStylePr>
    <w:tblStylePr w:type="band1Horz">
      <w:rPr>
        <w:rFonts w:ascii="Arial" w:hAnsi="Arial"/>
        <w:color w:val="254174" w:themeColor="accent1" w:themeShade="94"/>
        <w:sz w:val="22"/>
      </w:rPr>
      <w:tcPr>
        <w:shd w:val="clear" w:color="D0DBF0" w:themeColor="accent1" w:themeTint="40" w:fill="D0DBF0" w:themeFill="accent1" w:themeFillTint="40"/>
      </w:tcPr>
    </w:tblStylePr>
    <w:tblStylePr w:type="band2Horz">
      <w:rPr>
        <w:rFonts w:ascii="Arial" w:hAnsi="Arial"/>
        <w:color w:val="254174" w:themeColor="accent1" w:themeShade="94"/>
        <w:sz w:val="22"/>
      </w:rPr>
    </w:tblStylePr>
  </w:style>
  <w:style w:type="table" w:customStyle="1" w:styleId="243">
    <w:name w:val="List Table 6 Colorful - Accent 2"/>
    <w:basedOn w:val="51"/>
    <w:qFormat/>
    <w:uiPriority w:val="99"/>
    <w:tblPr>
      <w:tblBorders>
        <w:top w:val="single" w:color="F4B285" w:themeColor="accent2" w:themeTint="97" w:sz="4" w:space="0"/>
        <w:bottom w:val="single" w:color="F4B285" w:themeColor="accent2" w:themeTint="97" w:sz="4" w:space="0"/>
      </w:tblBorders>
      <w:tblCellMar>
        <w:top w:w="0" w:type="dxa"/>
        <w:left w:w="108" w:type="dxa"/>
        <w:bottom w:w="0" w:type="dxa"/>
        <w:right w:w="108" w:type="dxa"/>
      </w:tblCellMar>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244">
    <w:name w:val="List Table 6 Colorful - Accent 3"/>
    <w:basedOn w:val="51"/>
    <w:qFormat/>
    <w:uiPriority w:val="99"/>
    <w:tblPr>
      <w:tblBorders>
        <w:top w:val="single" w:color="C9C9C9" w:themeColor="accent3" w:themeTint="98" w:sz="4" w:space="0"/>
        <w:bottom w:val="single" w:color="C9C9C9" w:themeColor="accent3" w:themeTint="98" w:sz="4" w:space="0"/>
      </w:tblBorders>
      <w:tblCellMar>
        <w:top w:w="0" w:type="dxa"/>
        <w:left w:w="108" w:type="dxa"/>
        <w:bottom w:w="0" w:type="dxa"/>
        <w:right w:w="108" w:type="dxa"/>
      </w:tblCellMar>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245">
    <w:name w:val="List Table 6 Colorful - Accent 4"/>
    <w:basedOn w:val="51"/>
    <w:qFormat/>
    <w:uiPriority w:val="99"/>
    <w:tblPr>
      <w:tblBorders>
        <w:top w:val="single" w:color="FFD864" w:themeColor="accent4" w:themeTint="9A" w:sz="4" w:space="0"/>
        <w:bottom w:val="single" w:color="FFD864" w:themeColor="accent4" w:themeTint="9A" w:sz="4" w:space="0"/>
      </w:tblBorders>
      <w:tblCellMar>
        <w:top w:w="0" w:type="dxa"/>
        <w:left w:w="108" w:type="dxa"/>
        <w:bottom w:w="0" w:type="dxa"/>
        <w:right w:w="108" w:type="dxa"/>
      </w:tblCellMar>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246">
    <w:name w:val="List Table 6 Colorful - Accent 5"/>
    <w:basedOn w:val="51"/>
    <w:qFormat/>
    <w:uiPriority w:val="99"/>
    <w:tblPr>
      <w:tblBorders>
        <w:top w:val="single" w:color="9BC2E5" w:themeColor="accent5" w:themeTint="9A" w:sz="4" w:space="0"/>
        <w:bottom w:val="single" w:color="9BC2E5" w:themeColor="accent5" w:themeTint="9A" w:sz="4" w:space="0"/>
      </w:tblBorders>
      <w:tblCellMar>
        <w:top w:w="0" w:type="dxa"/>
        <w:left w:w="108" w:type="dxa"/>
        <w:bottom w:w="0" w:type="dxa"/>
        <w:right w:w="108" w:type="dxa"/>
      </w:tblCellMar>
    </w:tblPr>
    <w:tblStylePr w:type="firstRow">
      <w:rPr>
        <w:b/>
        <w:color w:val="9DC3E6" w:themeColor="accent5" w:themeTint="99"/>
        <w14:textFill>
          <w14:solidFill>
            <w14:schemeClr w14:val="accent5">
              <w14:lumMod w14:val="60000"/>
              <w14:lumOff w14:val="40000"/>
            </w14:schemeClr>
          </w14:solidFill>
        </w14:textFill>
      </w:rPr>
      <w:tcPr>
        <w:tcBorders>
          <w:bottom w:val="single" w:color="9BC2E5" w:themeColor="accent5" w:themeTint="9A" w:sz="4" w:space="0"/>
        </w:tcBorders>
      </w:tc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themeColor="accent5" w:themeTint="9A" w:sz="4" w:space="0"/>
        </w:tcBorders>
      </w:tcPr>
    </w:tblStylePr>
    <w:tblStylePr w:type="firstCol">
      <w:rPr>
        <w:b/>
        <w:color w:val="9DC3E6" w:themeColor="accent5" w:themeTint="99"/>
        <w14:textFill>
          <w14:solidFill>
            <w14:schemeClr w14:val="accent5">
              <w14:lumMod w14:val="60000"/>
              <w14:lumOff w14:val="40000"/>
            </w14:schemeClr>
          </w14:solidFill>
        </w14:textFill>
      </w:rPr>
    </w:tblStylePr>
    <w:tblStylePr w:type="lastCol">
      <w:rPr>
        <w:b/>
        <w:color w:val="9DC3E6" w:themeColor="accent5" w:themeTint="99"/>
        <w14:textFill>
          <w14:solidFill>
            <w14:schemeClr w14:val="accent5">
              <w14:lumMod w14:val="60000"/>
              <w14:lumOff w14:val="40000"/>
            </w14:schemeClr>
          </w14:solidFill>
        </w14:textFill>
      </w:rPr>
    </w:tblStylePr>
    <w:tblStylePr w:type="band1Vert">
      <w:tcPr>
        <w:shd w:val="clear" w:color="D5E5F4" w:themeColor="accent5" w:themeTint="40"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themeColor="accent5" w:themeTint="40"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247">
    <w:name w:val="List Table 6 Colorful - Accent 6"/>
    <w:basedOn w:val="51"/>
    <w:qFormat/>
    <w:uiPriority w:val="99"/>
    <w:tblPr>
      <w:tblBorders>
        <w:top w:val="single" w:color="A9D08E" w:themeColor="accent6" w:themeTint="98" w:sz="4" w:space="0"/>
        <w:bottom w:val="single" w:color="A9D08E" w:themeColor="accent6" w:themeTint="98" w:sz="4" w:space="0"/>
      </w:tblBorders>
      <w:tblCellMar>
        <w:top w:w="0" w:type="dxa"/>
        <w:left w:w="108" w:type="dxa"/>
        <w:bottom w:w="0" w:type="dxa"/>
        <w:right w:w="108" w:type="dxa"/>
      </w:tblCellMar>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248">
    <w:name w:val="清单表 7 彩色1"/>
    <w:basedOn w:val="51"/>
    <w:qFormat/>
    <w:uiPriority w:val="99"/>
    <w:tblPr>
      <w:tblBorders>
        <w:right w:val="single" w:color="7E7E7E" w:themeColor="text1" w:themeTint="80" w:sz="4" w:space="0"/>
      </w:tblBorders>
      <w:tblCellMar>
        <w:top w:w="0" w:type="dxa"/>
        <w:left w:w="108" w:type="dxa"/>
        <w:bottom w:w="0" w:type="dxa"/>
        <w:right w:w="108"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249">
    <w:name w:val="List Table 7 Colorful - Accent 1"/>
    <w:basedOn w:val="51"/>
    <w:qFormat/>
    <w:uiPriority w:val="99"/>
    <w:tblPr>
      <w:tblBorders>
        <w:right w:val="single" w:color="4472C4" w:themeColor="accent1" w:sz="4" w:space="0"/>
      </w:tblBorders>
      <w:tblCellMar>
        <w:top w:w="0" w:type="dxa"/>
        <w:left w:w="108" w:type="dxa"/>
        <w:bottom w:w="0" w:type="dxa"/>
        <w:right w:w="108" w:type="dxa"/>
      </w:tblCellMar>
    </w:tblPr>
    <w:tblStylePr w:type="firstRow">
      <w:rPr>
        <w:rFonts w:ascii="Arial" w:hAnsi="Arial"/>
        <w:i/>
        <w:color w:val="254174" w:themeColor="accent1" w:themeShade="94"/>
        <w:sz w:val="22"/>
      </w:rPr>
      <w:tcPr>
        <w:tcBorders>
          <w:top w:val="nil"/>
          <w:left w:val="nil"/>
          <w:bottom w:val="single" w:color="4472C4" w:themeColor="accent1" w:sz="4" w:space="0"/>
          <w:right w:val="nil"/>
        </w:tcBorders>
        <w:shd w:val="clear" w:color="FFFFFF" w:themeColor="light1" w:fill="FFFFFF" w:themeFill="light1"/>
      </w:tcPr>
    </w:tblStylePr>
    <w:tblStylePr w:type="lastRow">
      <w:rPr>
        <w:rFonts w:ascii="Arial" w:hAnsi="Arial"/>
        <w:i/>
        <w:color w:val="254174" w:themeColor="accent1" w:themeShade="94"/>
        <w:sz w:val="22"/>
      </w:rPr>
      <w:tcPr>
        <w:tcBorders>
          <w:top w:val="single" w:color="4472C4"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1" w:themeShade="94"/>
        <w:sz w:val="22"/>
      </w:rPr>
      <w:tcPr>
        <w:tcBorders>
          <w:top w:val="nil"/>
          <w:left w:val="nil"/>
          <w:bottom w:val="nil"/>
          <w:right w:val="single" w:color="4472C4" w:themeColor="accent1" w:sz="4" w:space="0"/>
        </w:tcBorders>
        <w:shd w:val="clear" w:color="FFFFFF" w:fill="auto"/>
      </w:tcPr>
    </w:tblStylePr>
    <w:tblStylePr w:type="lastCol">
      <w:rPr>
        <w:rFonts w:ascii="Arial" w:hAnsi="Arial"/>
        <w:i/>
        <w:color w:val="254174" w:themeColor="accent1" w:themeShade="94"/>
        <w:sz w:val="22"/>
      </w:rPr>
      <w:tcPr>
        <w:tcBorders>
          <w:top w:val="nil"/>
          <w:left w:val="single" w:color="4472C4" w:themeColor="accent1" w:sz="4" w:space="0"/>
          <w:bottom w:val="nil"/>
          <w:right w:val="nil"/>
        </w:tcBorders>
        <w:shd w:val="clear" w:color="FFFFFF" w:fill="auto"/>
      </w:tcPr>
    </w:tblStylePr>
    <w:tblStylePr w:type="band1Vert">
      <w:tcPr>
        <w:shd w:val="clear" w:color="D0DBF0" w:themeColor="accent1" w:themeTint="40" w:fill="D0DBF0" w:themeFill="accent1" w:themeFillTint="40"/>
      </w:tcPr>
    </w:tblStylePr>
    <w:tblStylePr w:type="band1Horz">
      <w:rPr>
        <w:rFonts w:ascii="Arial" w:hAnsi="Arial"/>
        <w:color w:val="254174" w:themeColor="accent1" w:themeShade="94"/>
        <w:sz w:val="22"/>
      </w:rPr>
      <w:tcPr>
        <w:shd w:val="clear" w:color="D0DBF0" w:themeColor="accent1" w:themeTint="40" w:fill="D0DBF0" w:themeFill="accent1" w:themeFillTint="40"/>
      </w:tcPr>
    </w:tblStylePr>
    <w:tblStylePr w:type="band2Horz">
      <w:rPr>
        <w:rFonts w:ascii="Arial" w:hAnsi="Arial"/>
        <w:color w:val="254174" w:themeColor="accent1" w:themeShade="94"/>
        <w:sz w:val="22"/>
      </w:rPr>
    </w:tblStylePr>
  </w:style>
  <w:style w:type="table" w:customStyle="1" w:styleId="250">
    <w:name w:val="List Table 7 Colorful - Accent 2"/>
    <w:basedOn w:val="51"/>
    <w:qFormat/>
    <w:uiPriority w:val="99"/>
    <w:tblPr>
      <w:tblBorders>
        <w:right w:val="single" w:color="F4B285" w:themeColor="accent2" w:themeTint="97" w:sz="4" w:space="0"/>
      </w:tblBorders>
      <w:tblCellMar>
        <w:top w:w="0" w:type="dxa"/>
        <w:left w:w="108" w:type="dxa"/>
        <w:bottom w:w="0" w:type="dxa"/>
        <w:right w:w="108" w:type="dxa"/>
      </w:tblCellMar>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251">
    <w:name w:val="List Table 7 Colorful - Accent 3"/>
    <w:basedOn w:val="51"/>
    <w:qFormat/>
    <w:uiPriority w:val="99"/>
    <w:tblPr>
      <w:tblBorders>
        <w:right w:val="single" w:color="C9C9C9" w:themeColor="accent3" w:themeTint="98" w:sz="4" w:space="0"/>
      </w:tblBorders>
      <w:tblCellMar>
        <w:top w:w="0" w:type="dxa"/>
        <w:left w:w="108" w:type="dxa"/>
        <w:bottom w:w="0" w:type="dxa"/>
        <w:right w:w="108" w:type="dxa"/>
      </w:tblCellMar>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252">
    <w:name w:val="List Table 7 Colorful - Accent 4"/>
    <w:basedOn w:val="51"/>
    <w:qFormat/>
    <w:uiPriority w:val="99"/>
    <w:tblPr>
      <w:tblBorders>
        <w:right w:val="single" w:color="FFD864" w:themeColor="accent4" w:themeTint="9A" w:sz="4" w:space="0"/>
      </w:tblBorders>
      <w:tblCellMar>
        <w:top w:w="0" w:type="dxa"/>
        <w:left w:w="108" w:type="dxa"/>
        <w:bottom w:w="0" w:type="dxa"/>
        <w:right w:w="108" w:type="dxa"/>
      </w:tblCellMar>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253">
    <w:name w:val="List Table 7 Colorful - Accent 5"/>
    <w:basedOn w:val="51"/>
    <w:qFormat/>
    <w:uiPriority w:val="99"/>
    <w:tblPr>
      <w:tblBorders>
        <w:right w:val="single" w:color="9BC2E5" w:themeColor="accent5" w:themeTint="9A" w:sz="4" w:space="0"/>
      </w:tblBorders>
      <w:tblCellMar>
        <w:top w:w="0" w:type="dxa"/>
        <w:left w:w="108" w:type="dxa"/>
        <w:bottom w:w="0" w:type="dxa"/>
        <w:right w:w="108" w:type="dxa"/>
      </w:tblCellMar>
    </w:tblPr>
    <w:tblStylePr w:type="firstRow">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single" w:color="9BC2E5" w:themeColor="accent5" w:themeTint="9A" w:sz="4" w:space="0"/>
          <w:right w:val="nil"/>
        </w:tcBorders>
        <w:shd w:val="clear" w:color="FFFFFF" w:themeColor="light1" w:fill="FFFFFF" w:themeFill="light1"/>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tcBorders>
          <w:top w:val="single" w:color="9BC2E5"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nil"/>
          <w:right w:val="single" w:color="9BC2E5" w:themeColor="accent5" w:themeTint="9A" w:sz="4" w:space="0"/>
        </w:tcBorders>
        <w:shd w:val="clear" w:color="FFFFFF" w:fill="auto"/>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single" w:color="9BC2E5" w:themeColor="accent5" w:themeTint="9A" w:sz="4" w:space="0"/>
          <w:bottom w:val="nil"/>
          <w:right w:val="nil"/>
        </w:tcBorders>
        <w:shd w:val="clear" w:color="FFFFFF" w:fill="auto"/>
      </w:tcPr>
    </w:tblStylePr>
    <w:tblStylePr w:type="band1Vert">
      <w:tcPr>
        <w:shd w:val="clear" w:color="D5E5F4" w:themeColor="accent5" w:themeTint="40"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themeColor="accent5" w:themeTint="40"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254">
    <w:name w:val="List Table 7 Colorful - Accent 6"/>
    <w:basedOn w:val="51"/>
    <w:qFormat/>
    <w:uiPriority w:val="99"/>
    <w:tblPr>
      <w:tblBorders>
        <w:right w:val="single" w:color="A9D08E" w:themeColor="accent6" w:themeTint="98" w:sz="4" w:space="0"/>
      </w:tblBorders>
      <w:tblCellMar>
        <w:top w:w="0" w:type="dxa"/>
        <w:left w:w="108" w:type="dxa"/>
        <w:bottom w:w="0" w:type="dxa"/>
        <w:right w:w="108" w:type="dxa"/>
      </w:tblCellMar>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255">
    <w:name w:val="Lined - Accent"/>
    <w:basedOn w:val="51"/>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56">
    <w:name w:val="Lined - Accent 1"/>
    <w:basedOn w:val="51"/>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tblStylePr w:type="firstCol">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style>
  <w:style w:type="table" w:customStyle="1" w:styleId="257">
    <w:name w:val="Lined - Accent 2"/>
    <w:basedOn w:val="51"/>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258">
    <w:name w:val="Lined - Accent 3"/>
    <w:basedOn w:val="51"/>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259">
    <w:name w:val="Lined - Accent 4"/>
    <w:basedOn w:val="51"/>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260">
    <w:name w:val="Lined - Accent 5"/>
    <w:basedOn w:val="51"/>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tblStylePr w:type="firstCol">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style>
  <w:style w:type="table" w:customStyle="1" w:styleId="261">
    <w:name w:val="Lined - Accent 6"/>
    <w:basedOn w:val="51"/>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262">
    <w:name w:val="Bordered &amp; Lined - Accent"/>
    <w:basedOn w:val="51"/>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63">
    <w:name w:val="Bordered &amp; Lined - Accent 1"/>
    <w:basedOn w:val="51"/>
    <w:qFormat/>
    <w:uiPriority w:val="99"/>
    <w:rPr>
      <w:color w:val="404040"/>
    </w:rPr>
    <w:tblPr>
      <w:tblBorders>
        <w:top w:val="single" w:color="244175" w:themeColor="accent1" w:themeShade="95" w:sz="4" w:space="0"/>
        <w:left w:val="single" w:color="244175" w:themeColor="accent1" w:themeShade="95" w:sz="4" w:space="0"/>
        <w:bottom w:val="single" w:color="244175" w:themeColor="accent1" w:themeShade="95" w:sz="4" w:space="0"/>
        <w:right w:val="single" w:color="244175" w:themeColor="accent1" w:themeShade="95" w:sz="4" w:space="0"/>
        <w:insideH w:val="single" w:color="244175" w:themeColor="accent1" w:themeShade="95" w:sz="4" w:space="0"/>
        <w:insideV w:val="single" w:color="244175" w:themeColor="accent1" w:themeShade="95" w:sz="4" w:space="0"/>
      </w:tblBorders>
      <w:tblCellMar>
        <w:top w:w="0" w:type="dxa"/>
        <w:left w:w="108" w:type="dxa"/>
        <w:bottom w:w="0" w:type="dxa"/>
        <w:right w:w="108" w:type="dxa"/>
      </w:tblCellMar>
    </w:tblPr>
    <w:tblStylePr w:type="firstRow">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tblStylePr w:type="firstCol">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style>
  <w:style w:type="table" w:customStyle="1" w:styleId="264">
    <w:name w:val="Bordered &amp; Lined - Accent 2"/>
    <w:basedOn w:val="51"/>
    <w:qFormat/>
    <w:uiPriority w:val="99"/>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CellMar>
        <w:top w:w="0" w:type="dxa"/>
        <w:left w:w="108" w:type="dxa"/>
        <w:bottom w:w="0" w:type="dxa"/>
        <w:right w:w="108" w:type="dxa"/>
      </w:tblCellMar>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265">
    <w:name w:val="Bordered &amp; Lined - Accent 3"/>
    <w:basedOn w:val="51"/>
    <w:qFormat/>
    <w:uiPriority w:val="99"/>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CellMar>
        <w:top w:w="0" w:type="dxa"/>
        <w:left w:w="108" w:type="dxa"/>
        <w:bottom w:w="0" w:type="dxa"/>
        <w:right w:w="108" w:type="dxa"/>
      </w:tblCellMar>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266">
    <w:name w:val="Bordered &amp; Lined - Accent 4"/>
    <w:basedOn w:val="51"/>
    <w:qFormat/>
    <w:uiPriority w:val="99"/>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CellMar>
        <w:top w:w="0" w:type="dxa"/>
        <w:left w:w="108" w:type="dxa"/>
        <w:bottom w:w="0" w:type="dxa"/>
        <w:right w:w="108" w:type="dxa"/>
      </w:tblCellMar>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267">
    <w:name w:val="Bordered &amp; Lined - Accent 5"/>
    <w:basedOn w:val="51"/>
    <w:qFormat/>
    <w:uiPriority w:val="99"/>
    <w:rPr>
      <w:color w:val="404040"/>
    </w:rPr>
    <w:tblPr>
      <w:tblBorders>
        <w:top w:val="single" w:color="245B8D" w:themeColor="accent5" w:themeShade="95" w:sz="4" w:space="0"/>
        <w:left w:val="single" w:color="245B8D" w:themeColor="accent5" w:themeShade="95" w:sz="4" w:space="0"/>
        <w:bottom w:val="single" w:color="245B8D" w:themeColor="accent5" w:themeShade="95" w:sz="4" w:space="0"/>
        <w:right w:val="single" w:color="245B8D" w:themeColor="accent5" w:themeShade="95" w:sz="4" w:space="0"/>
        <w:insideH w:val="single" w:color="245B8D" w:themeColor="accent5" w:themeShade="95" w:sz="4" w:space="0"/>
        <w:insideV w:val="single" w:color="245B8D" w:themeColor="accent5" w:themeShade="95" w:sz="4" w:space="0"/>
      </w:tblBorders>
      <w:tblCellMar>
        <w:top w:w="0" w:type="dxa"/>
        <w:left w:w="108" w:type="dxa"/>
        <w:bottom w:w="0" w:type="dxa"/>
        <w:right w:w="108" w:type="dxa"/>
      </w:tblCellMar>
    </w:tblPr>
    <w:tblStylePr w:type="firstRow">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tblStylePr w:type="firstCol">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style>
  <w:style w:type="table" w:customStyle="1" w:styleId="268">
    <w:name w:val="Bordered &amp; Lined - Accent 6"/>
    <w:basedOn w:val="51"/>
    <w:qFormat/>
    <w:uiPriority w:val="99"/>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CellMar>
        <w:top w:w="0" w:type="dxa"/>
        <w:left w:w="108" w:type="dxa"/>
        <w:bottom w:w="0" w:type="dxa"/>
        <w:right w:w="108" w:type="dxa"/>
      </w:tblCellMar>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269">
    <w:name w:val="Bordered"/>
    <w:basedOn w:val="51"/>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108" w:type="dxa"/>
        <w:bottom w:w="0" w:type="dxa"/>
        <w:right w:w="108"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70">
    <w:name w:val="Bordered - Accent 1"/>
    <w:basedOn w:val="51"/>
    <w:qFormat/>
    <w:uiPriority w:val="99"/>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4472C4" w:themeColor="accent1" w:sz="12" w:space="0"/>
        </w:tcBorders>
      </w:tcPr>
    </w:tblStylePr>
    <w:tblStylePr w:type="lastRow">
      <w:rPr>
        <w:rFonts w:ascii="Arial" w:hAnsi="Arial"/>
        <w:color w:val="404040"/>
        <w:sz w:val="22"/>
      </w:rPr>
      <w:tcPr>
        <w:tcBorders>
          <w:top w:val="single" w:color="4472C4"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472C4" w:themeColor="accent1" w:sz="12" w:space="0"/>
        </w:tcBorders>
      </w:tc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271">
    <w:name w:val="Bordered - Accent 2"/>
    <w:basedOn w:val="51"/>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272">
    <w:name w:val="Bordered - Accent 3"/>
    <w:basedOn w:val="51"/>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273">
    <w:name w:val="Bordered - Accent 4"/>
    <w:basedOn w:val="51"/>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274">
    <w:name w:val="Bordered - Accent 5"/>
    <w:basedOn w:val="51"/>
    <w:qFormat/>
    <w:uiPriority w:val="99"/>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9BC2E5" w:themeColor="accent5" w:themeTint="9A" w:sz="12" w:space="0"/>
        </w:tcBorders>
      </w:tcPr>
    </w:tblStylePr>
    <w:tblStylePr w:type="lastRow">
      <w:rPr>
        <w:rFonts w:ascii="Arial" w:hAnsi="Arial"/>
        <w:color w:val="404040"/>
        <w:sz w:val="22"/>
      </w:rPr>
      <w:tcPr>
        <w:tcBorders>
          <w:top w:val="single" w:color="9BC2E5"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BC2E5" w:themeColor="accent5" w:themeTint="9A" w:sz="12" w:space="0"/>
        </w:tcBorders>
      </w:tc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275">
    <w:name w:val="Bordered - Accent 6"/>
    <w:basedOn w:val="51"/>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276">
    <w:name w:val="脚注文本 Char"/>
    <w:link w:val="38"/>
    <w:qFormat/>
    <w:uiPriority w:val="99"/>
    <w:rPr>
      <w:sz w:val="18"/>
    </w:rPr>
  </w:style>
  <w:style w:type="character" w:customStyle="1" w:styleId="277">
    <w:name w:val="尾注文本 Char"/>
    <w:link w:val="30"/>
    <w:qFormat/>
    <w:uiPriority w:val="0"/>
    <w:rPr>
      <w:sz w:val="20"/>
    </w:rPr>
  </w:style>
  <w:style w:type="paragraph" w:customStyle="1" w:styleId="278">
    <w:name w:val="TOC 标题11"/>
    <w:unhideWhenUsed/>
    <w:qFormat/>
    <w:uiPriority w:val="39"/>
    <w:rPr>
      <w:rFonts w:hint="default" w:ascii="Times New Roman" w:hAnsi="Times New Roman" w:eastAsia="宋体" w:cs="Times New Roman"/>
      <w:lang w:val="en-US" w:eastAsia="zh-CN" w:bidi="ar-SA"/>
    </w:rPr>
  </w:style>
  <w:style w:type="paragraph" w:customStyle="1" w:styleId="279">
    <w:name w:val="标题 21"/>
    <w:basedOn w:val="1"/>
    <w:next w:val="1"/>
    <w:link w:val="282"/>
    <w:qFormat/>
    <w:uiPriority w:val="9"/>
    <w:pPr>
      <w:keepNext/>
      <w:keepLines/>
      <w:numPr>
        <w:ilvl w:val="0"/>
        <w:numId w:val="1"/>
      </w:numPr>
      <w:spacing w:before="260" w:after="260" w:line="416" w:lineRule="auto"/>
      <w:outlineLvl w:val="1"/>
    </w:pPr>
    <w:rPr>
      <w:rFonts w:ascii="Cambria" w:hAnsi="Cambria"/>
      <w:b/>
      <w:bCs/>
      <w:sz w:val="28"/>
      <w:szCs w:val="32"/>
    </w:rPr>
  </w:style>
  <w:style w:type="paragraph" w:customStyle="1" w:styleId="280">
    <w:name w:val="标题 51"/>
    <w:basedOn w:val="1"/>
    <w:next w:val="1"/>
    <w:link w:val="303"/>
    <w:semiHidden/>
    <w:unhideWhenUsed/>
    <w:qFormat/>
    <w:uiPriority w:val="0"/>
    <w:pPr>
      <w:keepNext/>
      <w:keepLines/>
      <w:spacing w:before="280" w:after="290" w:line="376" w:lineRule="auto"/>
      <w:outlineLvl w:val="4"/>
    </w:pPr>
    <w:rPr>
      <w:b/>
      <w:bCs/>
      <w:sz w:val="28"/>
      <w:szCs w:val="28"/>
    </w:rPr>
  </w:style>
  <w:style w:type="paragraph" w:customStyle="1" w:styleId="281">
    <w:name w:val="页脚1"/>
    <w:basedOn w:val="1"/>
    <w:link w:val="304"/>
    <w:qFormat/>
    <w:uiPriority w:val="99"/>
    <w:pPr>
      <w:tabs>
        <w:tab w:val="center" w:pos="4153"/>
        <w:tab w:val="right" w:pos="8306"/>
      </w:tabs>
      <w:jc w:val="left"/>
    </w:pPr>
    <w:rPr>
      <w:sz w:val="18"/>
      <w:szCs w:val="18"/>
    </w:rPr>
  </w:style>
  <w:style w:type="character" w:customStyle="1" w:styleId="282">
    <w:name w:val="标题 2 字符"/>
    <w:link w:val="279"/>
    <w:qFormat/>
    <w:uiPriority w:val="0"/>
    <w:rPr>
      <w:rFonts w:ascii="Cambria" w:hAnsi="Cambria"/>
      <w:b/>
      <w:bCs/>
      <w:sz w:val="28"/>
      <w:szCs w:val="32"/>
    </w:rPr>
  </w:style>
  <w:style w:type="character" w:customStyle="1" w:styleId="283">
    <w:name w:val="批注文字 Char"/>
    <w:link w:val="18"/>
    <w:qFormat/>
    <w:uiPriority w:val="99"/>
    <w:rPr>
      <w:sz w:val="21"/>
      <w:szCs w:val="24"/>
    </w:rPr>
  </w:style>
  <w:style w:type="character" w:customStyle="1" w:styleId="284">
    <w:name w:val="纯文本 Char"/>
    <w:link w:val="26"/>
    <w:qFormat/>
    <w:uiPriority w:val="0"/>
    <w:rPr>
      <w:rFonts w:ascii="宋体" w:hAnsi="Courier New" w:eastAsia="宋体"/>
      <w:sz w:val="21"/>
      <w:szCs w:val="21"/>
      <w:lang w:bidi="ar-SA"/>
    </w:rPr>
  </w:style>
  <w:style w:type="character" w:customStyle="1" w:styleId="285">
    <w:name w:val="批注框文本 Char"/>
    <w:link w:val="31"/>
    <w:qFormat/>
    <w:uiPriority w:val="99"/>
    <w:rPr>
      <w:sz w:val="18"/>
      <w:szCs w:val="18"/>
    </w:rPr>
  </w:style>
  <w:style w:type="character" w:customStyle="1" w:styleId="286">
    <w:name w:val="普通(网站) Char"/>
    <w:link w:val="46"/>
    <w:qFormat/>
    <w:uiPriority w:val="99"/>
    <w:rPr>
      <w:rFonts w:ascii="宋体" w:hAnsi="宋体" w:cs="宋体"/>
      <w:sz w:val="24"/>
      <w:szCs w:val="24"/>
    </w:rPr>
  </w:style>
  <w:style w:type="character" w:customStyle="1" w:styleId="287">
    <w:name w:val="批注主题 Char"/>
    <w:link w:val="48"/>
    <w:qFormat/>
    <w:uiPriority w:val="99"/>
    <w:rPr>
      <w:b/>
      <w:bCs/>
      <w:sz w:val="21"/>
      <w:szCs w:val="24"/>
    </w:rPr>
  </w:style>
  <w:style w:type="character" w:customStyle="1" w:styleId="288">
    <w:name w:val="font112"/>
    <w:qFormat/>
    <w:uiPriority w:val="0"/>
    <w:rPr>
      <w:rFonts w:hint="eastAsia" w:ascii="宋体" w:hAnsi="宋体" w:eastAsia="宋体" w:cs="宋体"/>
      <w:b/>
      <w:color w:val="000000"/>
      <w:sz w:val="20"/>
      <w:szCs w:val="20"/>
      <w:u w:val="none"/>
    </w:rPr>
  </w:style>
  <w:style w:type="character" w:customStyle="1" w:styleId="289">
    <w:name w:val="10"/>
    <w:qFormat/>
    <w:uiPriority w:val="0"/>
  </w:style>
  <w:style w:type="character" w:customStyle="1" w:styleId="290">
    <w:name w:val="font101"/>
    <w:qFormat/>
    <w:uiPriority w:val="99"/>
    <w:rPr>
      <w:rFonts w:hint="eastAsia" w:ascii="宋体" w:hAnsi="宋体" w:eastAsia="宋体" w:cs="宋体"/>
      <w:b/>
      <w:color w:val="000000"/>
      <w:sz w:val="20"/>
      <w:szCs w:val="20"/>
      <w:u w:val="none"/>
    </w:rPr>
  </w:style>
  <w:style w:type="paragraph" w:customStyle="1" w:styleId="291">
    <w:name w:val="默认段落字体 Para Char Char Char Char Char Char Char"/>
    <w:basedOn w:val="1"/>
    <w:qFormat/>
    <w:uiPriority w:val="0"/>
    <w:rPr>
      <w:rFonts w:ascii="Tahoma" w:hAnsi="Tahoma"/>
      <w:sz w:val="24"/>
      <w:szCs w:val="20"/>
    </w:rPr>
  </w:style>
  <w:style w:type="paragraph" w:customStyle="1" w:styleId="292">
    <w:name w:val="正文缩进2字符"/>
    <w:basedOn w:val="1"/>
    <w:qFormat/>
    <w:uiPriority w:val="0"/>
    <w:pPr>
      <w:spacing w:line="360" w:lineRule="auto"/>
      <w:ind w:firstLine="200"/>
      <w:jc w:val="left"/>
    </w:pPr>
    <w:rPr>
      <w:sz w:val="24"/>
      <w:szCs w:val="20"/>
    </w:rPr>
  </w:style>
  <w:style w:type="paragraph" w:customStyle="1" w:styleId="293">
    <w:name w:val="BodyText"/>
    <w:basedOn w:val="1"/>
    <w:qFormat/>
    <w:uiPriority w:val="0"/>
    <w:pPr>
      <w:spacing w:line="380" w:lineRule="exact"/>
    </w:pPr>
  </w:style>
  <w:style w:type="paragraph" w:customStyle="1" w:styleId="294">
    <w:name w:val="p0"/>
    <w:basedOn w:val="89"/>
    <w:qFormat/>
    <w:uiPriority w:val="0"/>
    <w:rPr>
      <w:szCs w:val="21"/>
    </w:rPr>
  </w:style>
  <w:style w:type="paragraph" w:customStyle="1" w:styleId="295">
    <w:name w:val="并列样式"/>
    <w:basedOn w:val="1"/>
    <w:qFormat/>
    <w:uiPriority w:val="0"/>
    <w:pPr>
      <w:spacing w:before="60" w:after="60"/>
    </w:pPr>
    <w:rPr>
      <w:sz w:val="24"/>
      <w:szCs w:val="20"/>
    </w:rPr>
  </w:style>
  <w:style w:type="paragraph" w:customStyle="1" w:styleId="296">
    <w:name w:val="正文 A"/>
    <w:qFormat/>
    <w:uiPriority w:val="0"/>
    <w:pPr>
      <w:widowControl w:val="0"/>
      <w:jc w:val="both"/>
    </w:pPr>
    <w:rPr>
      <w:rFonts w:hint="default" w:ascii="Times New Roman" w:hAnsi="Times New Roman" w:eastAsia="Arial Unicode MS" w:cs="Arial Unicode MS"/>
      <w:color w:val="000000"/>
      <w:sz w:val="32"/>
      <w:szCs w:val="32"/>
      <w:lang w:val="en-US" w:eastAsia="zh-CN" w:bidi="ar-SA"/>
    </w:rPr>
  </w:style>
  <w:style w:type="paragraph" w:customStyle="1" w:styleId="297">
    <w:name w:val="Blockquote"/>
    <w:basedOn w:val="1"/>
    <w:qFormat/>
    <w:uiPriority w:val="0"/>
    <w:pPr>
      <w:spacing w:before="100" w:after="100"/>
      <w:ind w:left="764" w:right="567"/>
      <w:jc w:val="left"/>
    </w:pPr>
    <w:rPr>
      <w:sz w:val="24"/>
    </w:rPr>
  </w:style>
  <w:style w:type="paragraph" w:customStyle="1" w:styleId="298">
    <w:name w:val="修订1"/>
    <w:unhideWhenUsed/>
    <w:qFormat/>
    <w:uiPriority w:val="99"/>
    <w:rPr>
      <w:rFonts w:hint="default" w:ascii="Times New Roman" w:hAnsi="Times New Roman" w:eastAsia="宋体" w:cs="Times New Roman"/>
      <w:sz w:val="21"/>
      <w:szCs w:val="24"/>
      <w:lang w:val="en-US" w:eastAsia="zh-CN" w:bidi="ar-SA"/>
    </w:rPr>
  </w:style>
  <w:style w:type="paragraph" w:customStyle="1" w:styleId="299">
    <w:name w:val="表格3"/>
    <w:basedOn w:val="1"/>
    <w:qFormat/>
    <w:uiPriority w:val="0"/>
    <w:pPr>
      <w:jc w:val="center"/>
    </w:pPr>
  </w:style>
  <w:style w:type="paragraph" w:customStyle="1" w:styleId="300">
    <w:name w:val="Char"/>
    <w:basedOn w:val="1"/>
    <w:qFormat/>
    <w:uiPriority w:val="0"/>
    <w:pPr>
      <w:tabs>
        <w:tab w:val="left" w:pos="360"/>
      </w:tabs>
    </w:pPr>
    <w:rPr>
      <w:sz w:val="24"/>
    </w:rPr>
  </w:style>
  <w:style w:type="paragraph" w:customStyle="1" w:styleId="301">
    <w:name w:val="一级无"/>
    <w:basedOn w:val="1"/>
    <w:qFormat/>
    <w:uiPriority w:val="0"/>
    <w:pPr>
      <w:widowControl/>
      <w:numPr>
        <w:ilvl w:val="1"/>
        <w:numId w:val="2"/>
      </w:numPr>
      <w:tabs>
        <w:tab w:val="left" w:pos="1440"/>
      </w:tabs>
      <w:jc w:val="left"/>
      <w:outlineLvl w:val="2"/>
    </w:pPr>
    <w:rPr>
      <w:rFonts w:ascii="宋体"/>
      <w:szCs w:val="21"/>
    </w:rPr>
  </w:style>
  <w:style w:type="paragraph" w:customStyle="1" w:styleId="302">
    <w:name w:val="MM Topic 4"/>
    <w:basedOn w:val="280"/>
    <w:qFormat/>
    <w:uiPriority w:val="0"/>
    <w:pPr>
      <w:keepNext w:val="0"/>
      <w:keepLines w:val="0"/>
      <w:widowControl/>
      <w:numPr>
        <w:ilvl w:val="4"/>
        <w:numId w:val="2"/>
      </w:numPr>
      <w:tabs>
        <w:tab w:val="left" w:pos="1440"/>
        <w:tab w:val="clear" w:pos="2460"/>
      </w:tabs>
      <w:spacing w:before="240" w:after="60" w:line="240" w:lineRule="auto"/>
      <w:ind w:left="1008" w:hanging="1008"/>
      <w:jc w:val="left"/>
    </w:pPr>
    <w:rPr>
      <w:rFonts w:ascii="宋体" w:hAnsi="宋体"/>
      <w:b w:val="0"/>
      <w:i/>
      <w:iCs/>
      <w:sz w:val="26"/>
      <w:szCs w:val="26"/>
    </w:rPr>
  </w:style>
  <w:style w:type="character" w:customStyle="1" w:styleId="303">
    <w:name w:val="标题 5 字符"/>
    <w:link w:val="280"/>
    <w:qFormat/>
    <w:uiPriority w:val="0"/>
    <w:rPr>
      <w:b/>
      <w:bCs/>
      <w:sz w:val="28"/>
      <w:szCs w:val="28"/>
    </w:rPr>
  </w:style>
  <w:style w:type="character" w:customStyle="1" w:styleId="304">
    <w:name w:val="页脚 字符"/>
    <w:link w:val="281"/>
    <w:qFormat/>
    <w:uiPriority w:val="0"/>
    <w:rPr>
      <w:sz w:val="18"/>
      <w:szCs w:val="18"/>
    </w:rPr>
  </w:style>
  <w:style w:type="paragraph" w:customStyle="1" w:styleId="305">
    <w:name w:val="正文_0_0_0"/>
    <w:unhideWhenUsed/>
    <w:qFormat/>
    <w:uiPriority w:val="99"/>
    <w:rPr>
      <w:rFonts w:hint="eastAsia" w:ascii="Times New Roman" w:hAnsi="Times New Roman" w:eastAsia="宋体" w:cs="Times New Roman"/>
      <w:sz w:val="21"/>
      <w:lang w:val="en-US" w:eastAsia="zh-CN" w:bidi="ar-SA"/>
    </w:rPr>
  </w:style>
  <w:style w:type="paragraph" w:customStyle="1" w:styleId="306">
    <w:name w:val="正文_0_0"/>
    <w:unhideWhenUsed/>
    <w:qFormat/>
    <w:uiPriority w:val="99"/>
    <w:rPr>
      <w:rFonts w:hint="default" w:ascii="Calibri" w:hAnsi="Calibri" w:eastAsia="宋体" w:cs="Times New Roman"/>
      <w:sz w:val="21"/>
      <w:lang w:val="en-US" w:eastAsia="zh-CN" w:bidi="ar-SA"/>
    </w:rPr>
  </w:style>
  <w:style w:type="paragraph" w:customStyle="1" w:styleId="307">
    <w:name w:val="正文_0"/>
    <w:unhideWhenUsed/>
    <w:qFormat/>
    <w:uiPriority w:val="0"/>
    <w:rPr>
      <w:rFonts w:hint="eastAsia" w:ascii="Times New Roman" w:hAnsi="Times New Roman" w:eastAsia="宋体" w:cs="Times New Roman"/>
      <w:sz w:val="21"/>
      <w:lang w:val="en-US" w:eastAsia="zh-CN" w:bidi="ar-SA"/>
    </w:rPr>
  </w:style>
  <w:style w:type="character" w:customStyle="1" w:styleId="308">
    <w:name w:val="标题 2 Char"/>
    <w:basedOn w:val="53"/>
    <w:link w:val="3"/>
    <w:qFormat/>
    <w:uiPriority w:val="99"/>
    <w:rPr>
      <w:rFonts w:ascii="Cambria" w:hAnsi="Cambria"/>
      <w:b/>
      <w:bCs/>
      <w:sz w:val="32"/>
      <w:szCs w:val="32"/>
    </w:rPr>
  </w:style>
  <w:style w:type="character" w:customStyle="1" w:styleId="309">
    <w:name w:val="列出段落 Char"/>
    <w:link w:val="138"/>
    <w:qFormat/>
    <w:uiPriority w:val="0"/>
    <w:rPr>
      <w:sz w:val="21"/>
      <w:szCs w:val="24"/>
    </w:rPr>
  </w:style>
  <w:style w:type="paragraph" w:customStyle="1" w:styleId="310">
    <w:name w:val="xc正文"/>
    <w:basedOn w:val="1"/>
    <w:qFormat/>
    <w:uiPriority w:val="0"/>
    <w:pPr>
      <w:spacing w:line="360" w:lineRule="auto"/>
      <w:ind w:firstLine="200"/>
    </w:pPr>
    <w:rPr>
      <w:rFonts w:ascii="Calibri" w:hAnsi="Calibri" w:eastAsia="仿宋_GB2312"/>
      <w:sz w:val="24"/>
      <w:lang w:val="zh-CN"/>
    </w:rPr>
  </w:style>
  <w:style w:type="character" w:customStyle="1" w:styleId="311">
    <w:name w:val="页眉 Char"/>
    <w:basedOn w:val="53"/>
    <w:link w:val="34"/>
    <w:qFormat/>
    <w:uiPriority w:val="99"/>
    <w:rPr>
      <w:sz w:val="18"/>
      <w:szCs w:val="18"/>
    </w:rPr>
  </w:style>
  <w:style w:type="character" w:customStyle="1" w:styleId="312">
    <w:name w:val="页脚 Char"/>
    <w:basedOn w:val="53"/>
    <w:link w:val="32"/>
    <w:qFormat/>
    <w:uiPriority w:val="99"/>
    <w:rPr>
      <w:sz w:val="18"/>
      <w:szCs w:val="18"/>
    </w:rPr>
  </w:style>
  <w:style w:type="character" w:customStyle="1" w:styleId="313">
    <w:name w:val="列表段落 字符"/>
    <w:link w:val="314"/>
    <w:qFormat/>
    <w:uiPriority w:val="0"/>
    <w:rPr>
      <w:sz w:val="21"/>
      <w:szCs w:val="24"/>
      <w:lang w:val="en-US" w:eastAsia="zh-CN"/>
    </w:rPr>
  </w:style>
  <w:style w:type="paragraph" w:customStyle="1" w:styleId="314">
    <w:name w:val="_Style 34"/>
    <w:basedOn w:val="1"/>
    <w:next w:val="138"/>
    <w:link w:val="313"/>
    <w:qFormat/>
    <w:uiPriority w:val="0"/>
    <w:pPr>
      <w:spacing w:line="274" w:lineRule="auto"/>
      <w:ind w:firstLine="420"/>
    </w:pPr>
  </w:style>
  <w:style w:type="character" w:customStyle="1" w:styleId="315">
    <w:name w:val="标题 3 Char"/>
    <w:basedOn w:val="53"/>
    <w:link w:val="4"/>
    <w:qFormat/>
    <w:uiPriority w:val="9"/>
    <w:rPr>
      <w:b/>
      <w:bCs/>
      <w:sz w:val="32"/>
      <w:szCs w:val="32"/>
    </w:rPr>
  </w:style>
  <w:style w:type="character" w:customStyle="1" w:styleId="316">
    <w:name w:val="标题 1 Char"/>
    <w:basedOn w:val="53"/>
    <w:link w:val="2"/>
    <w:qFormat/>
    <w:uiPriority w:val="99"/>
    <w:rPr>
      <w:rFonts w:eastAsia="方正仿宋_GBK"/>
      <w:b/>
      <w:sz w:val="44"/>
    </w:rPr>
  </w:style>
  <w:style w:type="character" w:customStyle="1" w:styleId="317">
    <w:name w:val="标题 4 Char"/>
    <w:basedOn w:val="53"/>
    <w:link w:val="5"/>
    <w:qFormat/>
    <w:uiPriority w:val="9"/>
    <w:rPr>
      <w:rFonts w:ascii="Cambria" w:hAnsi="Cambria"/>
      <w:b/>
      <w:bCs/>
      <w:sz w:val="28"/>
      <w:szCs w:val="28"/>
    </w:rPr>
  </w:style>
  <w:style w:type="character" w:customStyle="1" w:styleId="318">
    <w:name w:val="标题 5 Char"/>
    <w:basedOn w:val="53"/>
    <w:link w:val="6"/>
    <w:qFormat/>
    <w:uiPriority w:val="99"/>
    <w:rPr>
      <w:b/>
      <w:bCs/>
      <w:sz w:val="28"/>
      <w:szCs w:val="28"/>
    </w:rPr>
  </w:style>
  <w:style w:type="character" w:customStyle="1" w:styleId="319">
    <w:name w:val="标题 6 Char"/>
    <w:basedOn w:val="53"/>
    <w:link w:val="7"/>
    <w:qFormat/>
    <w:uiPriority w:val="0"/>
    <w:rPr>
      <w:rFonts w:ascii="Arial" w:hAnsi="Arial" w:eastAsia="黑体"/>
      <w:b/>
      <w:bCs/>
      <w:sz w:val="24"/>
      <w:szCs w:val="24"/>
      <w:lang w:val="zh-CN" w:eastAsia="zh-CN"/>
    </w:rPr>
  </w:style>
  <w:style w:type="character" w:customStyle="1" w:styleId="320">
    <w:name w:val="标题 7 Char"/>
    <w:basedOn w:val="53"/>
    <w:link w:val="8"/>
    <w:qFormat/>
    <w:uiPriority w:val="0"/>
    <w:rPr>
      <w:b/>
      <w:bCs/>
      <w:sz w:val="24"/>
      <w:szCs w:val="24"/>
      <w:lang w:val="zh-CN" w:eastAsia="zh-CN"/>
    </w:rPr>
  </w:style>
  <w:style w:type="character" w:customStyle="1" w:styleId="321">
    <w:name w:val="标题 8 Char"/>
    <w:basedOn w:val="53"/>
    <w:link w:val="9"/>
    <w:qFormat/>
    <w:uiPriority w:val="0"/>
    <w:rPr>
      <w:rFonts w:ascii="Arial" w:hAnsi="Arial" w:eastAsia="黑体"/>
      <w:sz w:val="24"/>
      <w:szCs w:val="24"/>
      <w:lang w:val="zh-CN" w:eastAsia="zh-CN"/>
    </w:rPr>
  </w:style>
  <w:style w:type="character" w:customStyle="1" w:styleId="322">
    <w:name w:val="标题 9 Char"/>
    <w:basedOn w:val="53"/>
    <w:link w:val="10"/>
    <w:qFormat/>
    <w:uiPriority w:val="0"/>
    <w:rPr>
      <w:rFonts w:ascii="Arial" w:hAnsi="Arial" w:eastAsia="黑体"/>
      <w:sz w:val="21"/>
      <w:szCs w:val="21"/>
      <w:lang w:val="zh-CN" w:eastAsia="zh-CN"/>
    </w:rPr>
  </w:style>
  <w:style w:type="paragraph" w:customStyle="1" w:styleId="323">
    <w:name w:val="_Style 243"/>
    <w:unhideWhenUsed/>
    <w:qFormat/>
    <w:uiPriority w:val="99"/>
    <w:pPr>
      <w:widowControl w:val="0"/>
      <w:jc w:val="both"/>
    </w:pPr>
    <w:rPr>
      <w:rFonts w:hint="default" w:ascii="Times New Roman" w:hAnsi="Times New Roman" w:eastAsia="宋体" w:cs="Times New Roman"/>
      <w:sz w:val="21"/>
      <w:szCs w:val="24"/>
      <w:lang w:val="en-US" w:eastAsia="zh-CN" w:bidi="ar-SA"/>
    </w:rPr>
  </w:style>
  <w:style w:type="character" w:customStyle="1" w:styleId="324">
    <w:name w:val="正文文本 字符"/>
    <w:qFormat/>
    <w:uiPriority w:val="0"/>
    <w:rPr>
      <w:sz w:val="20"/>
    </w:rPr>
  </w:style>
  <w:style w:type="character" w:customStyle="1" w:styleId="325">
    <w:name w:val="font71"/>
    <w:qFormat/>
    <w:uiPriority w:val="99"/>
    <w:rPr>
      <w:rFonts w:ascii="仿宋_GB2312" w:eastAsia="仿宋_GB2312" w:cs="仿宋_GB2312"/>
      <w:color w:val="000000"/>
      <w:sz w:val="24"/>
      <w:szCs w:val="24"/>
      <w:u w:val="none"/>
    </w:rPr>
  </w:style>
  <w:style w:type="character" w:customStyle="1" w:styleId="326">
    <w:name w:val="正文文本 (2)_"/>
    <w:link w:val="327"/>
    <w:qFormat/>
    <w:uiPriority w:val="0"/>
    <w:rPr>
      <w:rFonts w:ascii="MingLiU" w:hAnsi="MingLiU" w:eastAsia="MingLiU"/>
      <w:spacing w:val="10"/>
      <w:sz w:val="18"/>
      <w:szCs w:val="18"/>
      <w:shd w:val="clear" w:color="auto" w:fill="FFFFFF"/>
    </w:rPr>
  </w:style>
  <w:style w:type="paragraph" w:customStyle="1" w:styleId="327">
    <w:name w:val="正文文本 (2)11"/>
    <w:basedOn w:val="1"/>
    <w:link w:val="326"/>
    <w:qFormat/>
    <w:uiPriority w:val="0"/>
    <w:pPr>
      <w:shd w:val="clear" w:color="auto" w:fill="FFFFFF"/>
      <w:spacing w:after="1620" w:line="216" w:lineRule="exact"/>
      <w:jc w:val="left"/>
    </w:pPr>
    <w:rPr>
      <w:rFonts w:ascii="MingLiU" w:hAnsi="MingLiU" w:eastAsia="MingLiU"/>
      <w:spacing w:val="10"/>
      <w:sz w:val="18"/>
      <w:szCs w:val="18"/>
      <w:shd w:val="clear" w:color="auto" w:fill="FFFFFF"/>
    </w:rPr>
  </w:style>
  <w:style w:type="character" w:customStyle="1" w:styleId="328">
    <w:name w:val="标题 3 字符"/>
    <w:qFormat/>
    <w:uiPriority w:val="0"/>
    <w:rPr>
      <w:b/>
      <w:sz w:val="20"/>
    </w:rPr>
  </w:style>
  <w:style w:type="character" w:customStyle="1" w:styleId="329">
    <w:name w:val="二级条标题 Char"/>
    <w:link w:val="330"/>
    <w:qFormat/>
    <w:uiPriority w:val="0"/>
    <w:rPr>
      <w:rFonts w:ascii="黑体" w:hAnsi="宋体" w:eastAsia="黑体"/>
    </w:rPr>
  </w:style>
  <w:style w:type="paragraph" w:customStyle="1" w:styleId="330">
    <w:name w:val="二级条标题"/>
    <w:basedOn w:val="102"/>
    <w:next w:val="104"/>
    <w:link w:val="329"/>
    <w:qFormat/>
    <w:uiPriority w:val="0"/>
    <w:pPr>
      <w:outlineLvl w:val="3"/>
    </w:pPr>
  </w:style>
  <w:style w:type="character" w:customStyle="1" w:styleId="331">
    <w:name w:val="font111"/>
    <w:qFormat/>
    <w:uiPriority w:val="99"/>
    <w:rPr>
      <w:rFonts w:ascii="Verdana" w:hAnsi="Verdana" w:cs="Verdana"/>
      <w:color w:val="333333"/>
      <w:sz w:val="20"/>
      <w:szCs w:val="20"/>
      <w:u w:val="none"/>
    </w:rPr>
  </w:style>
  <w:style w:type="character" w:customStyle="1" w:styleId="332">
    <w:name w:val="标题 B Char"/>
    <w:link w:val="333"/>
    <w:qFormat/>
    <w:uiPriority w:val="0"/>
    <w:rPr>
      <w:rFonts w:ascii="Arial Rounded MT Bold" w:hAnsi="Arial Rounded MT Bold" w:eastAsia="黑体"/>
      <w:spacing w:val="8"/>
      <w:sz w:val="32"/>
    </w:rPr>
  </w:style>
  <w:style w:type="paragraph" w:customStyle="1" w:styleId="333">
    <w:name w:val="标题 B"/>
    <w:basedOn w:val="3"/>
    <w:link w:val="332"/>
    <w:qFormat/>
    <w:uiPriority w:val="0"/>
    <w:pPr>
      <w:keepLines w:val="0"/>
      <w:spacing w:before="840" w:after="240" w:line="400" w:lineRule="exact"/>
      <w:ind w:firstLine="0"/>
      <w:outlineLvl w:val="9"/>
    </w:pPr>
    <w:rPr>
      <w:rFonts w:ascii="Arial Rounded MT Bold" w:hAnsi="Arial Rounded MT Bold" w:eastAsia="黑体"/>
      <w:b w:val="0"/>
      <w:bCs w:val="0"/>
      <w:spacing w:val="8"/>
      <w:sz w:val="20"/>
      <w:szCs w:val="20"/>
    </w:rPr>
  </w:style>
  <w:style w:type="character" w:customStyle="1" w:styleId="334">
    <w:name w:val="纯文本 字符"/>
    <w:qFormat/>
    <w:uiPriority w:val="0"/>
    <w:rPr>
      <w:sz w:val="20"/>
    </w:rPr>
  </w:style>
  <w:style w:type="character" w:customStyle="1" w:styleId="335">
    <w:name w:val="Item List Char"/>
    <w:link w:val="336"/>
    <w:qFormat/>
    <w:uiPriority w:val="0"/>
    <w:rPr>
      <w:rFonts w:eastAsia="Times New Roman" w:cs="Arial"/>
      <w:sz w:val="21"/>
      <w:szCs w:val="21"/>
    </w:rPr>
  </w:style>
  <w:style w:type="paragraph" w:customStyle="1" w:styleId="336">
    <w:name w:val="Item List"/>
    <w:link w:val="335"/>
    <w:qFormat/>
    <w:uiPriority w:val="0"/>
    <w:pPr>
      <w:tabs>
        <w:tab w:val="left" w:pos="810"/>
        <w:tab w:val="left" w:pos="2126"/>
      </w:tabs>
      <w:spacing w:before="80" w:after="80" w:line="240" w:lineRule="atLeast"/>
      <w:ind w:left="810" w:hanging="330"/>
    </w:pPr>
    <w:rPr>
      <w:rFonts w:hint="default" w:ascii="Times New Roman" w:hAnsi="Times New Roman" w:eastAsia="Times New Roman" w:cs="Arial"/>
      <w:sz w:val="21"/>
      <w:szCs w:val="21"/>
      <w:lang w:val="en-US" w:eastAsia="zh-CN" w:bidi="ar-SA"/>
    </w:rPr>
  </w:style>
  <w:style w:type="character" w:customStyle="1" w:styleId="337">
    <w:name w:val="font131"/>
    <w:qFormat/>
    <w:uiPriority w:val="99"/>
    <w:rPr>
      <w:rFonts w:ascii="Tahoma" w:hAnsi="Tahoma" w:cs="Tahoma"/>
      <w:color w:val="333333"/>
      <w:sz w:val="20"/>
      <w:szCs w:val="20"/>
      <w:u w:val="none"/>
    </w:rPr>
  </w:style>
  <w:style w:type="character" w:customStyle="1" w:styleId="338">
    <w:name w:val="正文文本缩进 2 Char"/>
    <w:link w:val="29"/>
    <w:qFormat/>
    <w:uiPriority w:val="99"/>
    <w:rPr>
      <w:rFonts w:ascii="Arial" w:hAnsi="Arial" w:eastAsia="仿宋_GB2312"/>
      <w:sz w:val="32"/>
      <w:szCs w:val="32"/>
      <w:lang w:val="en-US" w:eastAsia="zh-CN"/>
    </w:rPr>
  </w:style>
  <w:style w:type="character" w:customStyle="1" w:styleId="339">
    <w:name w:val="批注主题 字符"/>
    <w:qFormat/>
    <w:uiPriority w:val="0"/>
    <w:rPr>
      <w:b/>
      <w:sz w:val="20"/>
    </w:rPr>
  </w:style>
  <w:style w:type="character" w:customStyle="1" w:styleId="340">
    <w:name w:val="正文文本缩进 3 Char"/>
    <w:link w:val="40"/>
    <w:qFormat/>
    <w:uiPriority w:val="0"/>
    <w:rPr>
      <w:rFonts w:ascii="Arial" w:hAnsi="Arial" w:eastAsia="仿宋_GB2312"/>
      <w:color w:val="FFFF00"/>
      <w:sz w:val="32"/>
      <w:szCs w:val="32"/>
    </w:rPr>
  </w:style>
  <w:style w:type="character" w:customStyle="1" w:styleId="341">
    <w:name w:val="font21"/>
    <w:qFormat/>
    <w:uiPriority w:val="99"/>
    <w:rPr>
      <w:rFonts w:ascii="仿宋_GB2312" w:eastAsia="仿宋_GB2312" w:cs="仿宋_GB2312"/>
      <w:b/>
      <w:color w:val="000000"/>
      <w:sz w:val="24"/>
      <w:szCs w:val="24"/>
      <w:u w:val="none"/>
    </w:rPr>
  </w:style>
  <w:style w:type="character" w:customStyle="1" w:styleId="342">
    <w:name w:val="标题 字符"/>
    <w:qFormat/>
    <w:uiPriority w:val="0"/>
    <w:rPr>
      <w:sz w:val="20"/>
    </w:rPr>
  </w:style>
  <w:style w:type="character" w:customStyle="1" w:styleId="343">
    <w:name w:val="曹阿龙 Char"/>
    <w:link w:val="344"/>
    <w:qFormat/>
    <w:uiPriority w:val="0"/>
    <w:rPr>
      <w:rFonts w:ascii="宋体" w:hAnsi="宋体" w:eastAsia="幼圆"/>
      <w:b/>
      <w:bCs/>
      <w:sz w:val="28"/>
      <w:szCs w:val="28"/>
    </w:rPr>
  </w:style>
  <w:style w:type="paragraph" w:customStyle="1" w:styleId="344">
    <w:name w:val="曹阿龙"/>
    <w:basedOn w:val="3"/>
    <w:link w:val="343"/>
    <w:qFormat/>
    <w:uiPriority w:val="0"/>
    <w:pPr>
      <w:spacing w:line="400" w:lineRule="exact"/>
      <w:ind w:firstLine="561"/>
      <w:jc w:val="left"/>
    </w:pPr>
    <w:rPr>
      <w:rFonts w:ascii="宋体" w:hAnsi="宋体" w:eastAsia="幼圆"/>
      <w:sz w:val="28"/>
      <w:szCs w:val="28"/>
    </w:rPr>
  </w:style>
  <w:style w:type="character" w:customStyle="1" w:styleId="345">
    <w:name w:val="日期 字符"/>
    <w:qFormat/>
    <w:uiPriority w:val="0"/>
    <w:rPr>
      <w:sz w:val="20"/>
    </w:rPr>
  </w:style>
  <w:style w:type="character" w:customStyle="1" w:styleId="346">
    <w:name w:val="正文文本 2 Char"/>
    <w:link w:val="44"/>
    <w:qFormat/>
    <w:uiPriority w:val="0"/>
    <w:rPr>
      <w:rFonts w:ascii="楷体_GB2312" w:eastAsia="楷体_GB2312"/>
      <w:sz w:val="28"/>
      <w:szCs w:val="28"/>
    </w:rPr>
  </w:style>
  <w:style w:type="character" w:customStyle="1" w:styleId="347">
    <w:name w:val="尾注文本 字符"/>
    <w:qFormat/>
    <w:uiPriority w:val="0"/>
    <w:rPr>
      <w:sz w:val="20"/>
    </w:rPr>
  </w:style>
  <w:style w:type="character" w:customStyle="1" w:styleId="348">
    <w:name w:val="彩色列表 - 强调文字颜色 1 Char1"/>
    <w:link w:val="349"/>
    <w:qFormat/>
    <w:uiPriority w:val="0"/>
    <w:rPr>
      <w:rFonts w:ascii="Calibri" w:hAnsi="Calibri"/>
      <w:sz w:val="24"/>
      <w:szCs w:val="24"/>
      <w:lang w:eastAsia="en-US" w:bidi="en-US"/>
    </w:rPr>
  </w:style>
  <w:style w:type="paragraph" w:customStyle="1" w:styleId="349">
    <w:name w:val="彩色列表 - 强调文字颜色 11"/>
    <w:basedOn w:val="1"/>
    <w:link w:val="348"/>
    <w:qFormat/>
    <w:uiPriority w:val="0"/>
    <w:pPr>
      <w:widowControl/>
      <w:ind w:left="720"/>
      <w:contextualSpacing/>
      <w:jc w:val="left"/>
    </w:pPr>
    <w:rPr>
      <w:rFonts w:ascii="Calibri" w:hAnsi="Calibri"/>
      <w:sz w:val="24"/>
      <w:lang w:eastAsia="en-US" w:bidi="en-US"/>
    </w:rPr>
  </w:style>
  <w:style w:type="character" w:customStyle="1" w:styleId="350">
    <w:name w:val="书籍标题1"/>
    <w:qFormat/>
    <w:uiPriority w:val="0"/>
    <w:rPr>
      <w:b/>
      <w:i/>
      <w:sz w:val="21"/>
    </w:rPr>
  </w:style>
  <w:style w:type="character" w:customStyle="1" w:styleId="351">
    <w:name w:val="表头 Char"/>
    <w:link w:val="352"/>
    <w:qFormat/>
    <w:uiPriority w:val="0"/>
    <w:rPr>
      <w:rFonts w:eastAsia="黑体"/>
      <w:spacing w:val="-10"/>
    </w:rPr>
  </w:style>
  <w:style w:type="paragraph" w:customStyle="1" w:styleId="352">
    <w:name w:val="表头"/>
    <w:basedOn w:val="1"/>
    <w:link w:val="351"/>
    <w:qFormat/>
    <w:uiPriority w:val="0"/>
    <w:pPr>
      <w:spacing w:line="320" w:lineRule="atLeast"/>
      <w:jc w:val="center"/>
    </w:pPr>
    <w:rPr>
      <w:rFonts w:eastAsia="黑体"/>
      <w:spacing w:val="-10"/>
      <w:sz w:val="20"/>
      <w:szCs w:val="20"/>
    </w:rPr>
  </w:style>
  <w:style w:type="character" w:customStyle="1" w:styleId="353">
    <w:name w:val="文档结构图 字符"/>
    <w:semiHidden/>
    <w:qFormat/>
    <w:uiPriority w:val="0"/>
    <w:rPr>
      <w:sz w:val="20"/>
    </w:rPr>
  </w:style>
  <w:style w:type="character" w:customStyle="1" w:styleId="354">
    <w:name w:val="12black1"/>
    <w:qFormat/>
    <w:uiPriority w:val="0"/>
    <w:rPr>
      <w:color w:val="000000"/>
      <w:sz w:val="24"/>
      <w:szCs w:val="24"/>
      <w:u w:val="none"/>
    </w:rPr>
  </w:style>
  <w:style w:type="character" w:customStyle="1" w:styleId="355">
    <w:name w:val="标题 9 字符"/>
    <w:qFormat/>
    <w:uiPriority w:val="0"/>
    <w:rPr>
      <w:sz w:val="20"/>
    </w:rPr>
  </w:style>
  <w:style w:type="character" w:customStyle="1" w:styleId="356">
    <w:name w:val="普通正文 Char"/>
    <w:link w:val="357"/>
    <w:qFormat/>
    <w:uiPriority w:val="0"/>
    <w:rPr>
      <w:rFonts w:ascii="Arial" w:hAnsi="Arial"/>
      <w:sz w:val="24"/>
      <w:szCs w:val="24"/>
    </w:rPr>
  </w:style>
  <w:style w:type="paragraph" w:customStyle="1" w:styleId="357">
    <w:name w:val="普通正文"/>
    <w:basedOn w:val="1"/>
    <w:link w:val="356"/>
    <w:qFormat/>
    <w:uiPriority w:val="0"/>
    <w:pPr>
      <w:spacing w:before="120" w:after="120" w:line="360" w:lineRule="auto"/>
      <w:ind w:firstLine="480"/>
      <w:jc w:val="left"/>
    </w:pPr>
    <w:rPr>
      <w:rFonts w:ascii="Arial" w:hAnsi="Arial"/>
      <w:sz w:val="24"/>
    </w:rPr>
  </w:style>
  <w:style w:type="character" w:customStyle="1" w:styleId="358">
    <w:name w:val="fix161 Char"/>
    <w:link w:val="359"/>
    <w:qFormat/>
    <w:uiPriority w:val="0"/>
    <w:rPr>
      <w:rFonts w:ascii="宋体" w:hAnsi="宋体"/>
      <w:sz w:val="24"/>
      <w:szCs w:val="24"/>
    </w:rPr>
  </w:style>
  <w:style w:type="paragraph" w:customStyle="1" w:styleId="359">
    <w:name w:val="fix161"/>
    <w:basedOn w:val="1"/>
    <w:link w:val="358"/>
    <w:qFormat/>
    <w:uiPriority w:val="0"/>
    <w:pPr>
      <w:widowControl/>
      <w:spacing w:before="100" w:beforeAutospacing="1" w:after="100" w:afterAutospacing="1"/>
      <w:jc w:val="left"/>
    </w:pPr>
    <w:rPr>
      <w:rFonts w:ascii="宋体" w:hAnsi="宋体"/>
      <w:sz w:val="24"/>
    </w:rPr>
  </w:style>
  <w:style w:type="character" w:customStyle="1" w:styleId="360">
    <w:name w:val="Char Char17"/>
    <w:qFormat/>
    <w:uiPriority w:val="0"/>
    <w:rPr>
      <w:rFonts w:eastAsia="宋体"/>
      <w:sz w:val="18"/>
      <w:szCs w:val="18"/>
      <w:lang w:bidi="ar-SA"/>
    </w:rPr>
  </w:style>
  <w:style w:type="character" w:customStyle="1" w:styleId="361">
    <w:name w:val="日期 Char"/>
    <w:link w:val="28"/>
    <w:qFormat/>
    <w:uiPriority w:val="99"/>
    <w:rPr>
      <w:sz w:val="24"/>
      <w:szCs w:val="24"/>
    </w:rPr>
  </w:style>
  <w:style w:type="character" w:customStyle="1" w:styleId="362">
    <w:name w:val="DeltaView Insertion"/>
    <w:qFormat/>
    <w:uiPriority w:val="0"/>
    <w:rPr>
      <w:color w:val="0000FF"/>
      <w:spacing w:val="0"/>
      <w:u w:val="single"/>
    </w:rPr>
  </w:style>
  <w:style w:type="character" w:customStyle="1" w:styleId="363">
    <w:name w:val="apple-converted-space"/>
    <w:basedOn w:val="53"/>
    <w:qFormat/>
    <w:uiPriority w:val="0"/>
  </w:style>
  <w:style w:type="character" w:customStyle="1" w:styleId="364">
    <w:name w:val="正文1 Char"/>
    <w:qFormat/>
    <w:uiPriority w:val="0"/>
    <w:rPr>
      <w:rFonts w:ascii="宋体" w:hAnsi="宋体" w:eastAsia="仿宋_GB2312"/>
      <w:sz w:val="24"/>
      <w:szCs w:val="24"/>
    </w:rPr>
  </w:style>
  <w:style w:type="character" w:customStyle="1" w:styleId="365">
    <w:name w:val="正文文本 3 Char"/>
    <w:link w:val="19"/>
    <w:qFormat/>
    <w:uiPriority w:val="0"/>
    <w:rPr>
      <w:rFonts w:ascii="仿宋_GB2312" w:hAnsi="Arial" w:eastAsia="仿宋_GB2312"/>
      <w:sz w:val="32"/>
      <w:szCs w:val="32"/>
    </w:rPr>
  </w:style>
  <w:style w:type="character" w:customStyle="1" w:styleId="366">
    <w:name w:val="一级条标题 Char"/>
    <w:link w:val="102"/>
    <w:qFormat/>
    <w:uiPriority w:val="0"/>
    <w:rPr>
      <w:rFonts w:ascii="黑体" w:hAnsi="宋体" w:eastAsia="黑体"/>
    </w:rPr>
  </w:style>
  <w:style w:type="character" w:customStyle="1" w:styleId="367">
    <w:name w:val="Char Char33"/>
    <w:qFormat/>
    <w:uiPriority w:val="0"/>
    <w:rPr>
      <w:rFonts w:eastAsia="方正仿宋_GBK"/>
      <w:b/>
      <w:sz w:val="44"/>
      <w:lang w:val="en-US" w:eastAsia="zh-CN" w:bidi="ar-SA"/>
    </w:rPr>
  </w:style>
  <w:style w:type="character" w:customStyle="1" w:styleId="368">
    <w:name w:val="正文首行缩进 2 Char"/>
    <w:link w:val="50"/>
    <w:qFormat/>
    <w:uiPriority w:val="99"/>
    <w:rPr>
      <w:rFonts w:ascii="宋体" w:hAnsi="宋体"/>
      <w:sz w:val="21"/>
      <w:szCs w:val="24"/>
      <w:lang w:val="en-US" w:eastAsia="zh-CN"/>
    </w:rPr>
  </w:style>
  <w:style w:type="character" w:customStyle="1" w:styleId="369">
    <w:name w:val="批注框文本 字符"/>
    <w:semiHidden/>
    <w:qFormat/>
    <w:uiPriority w:val="0"/>
    <w:rPr>
      <w:sz w:val="20"/>
    </w:rPr>
  </w:style>
  <w:style w:type="character" w:customStyle="1" w:styleId="370">
    <w:name w:val="HTML 预设格式 字符"/>
    <w:qFormat/>
    <w:uiPriority w:val="0"/>
    <w:rPr>
      <w:sz w:val="20"/>
    </w:rPr>
  </w:style>
  <w:style w:type="character" w:customStyle="1" w:styleId="371">
    <w:name w:val="美标题3 Char Char"/>
    <w:link w:val="372"/>
    <w:qFormat/>
    <w:uiPriority w:val="0"/>
    <w:rPr>
      <w:rFonts w:ascii="宋体" w:hAnsi="宋体"/>
      <w:b/>
    </w:rPr>
  </w:style>
  <w:style w:type="paragraph" w:customStyle="1" w:styleId="372">
    <w:name w:val="美标题3"/>
    <w:basedOn w:val="1"/>
    <w:link w:val="371"/>
    <w:qFormat/>
    <w:uiPriority w:val="0"/>
    <w:pPr>
      <w:spacing w:line="360" w:lineRule="auto"/>
    </w:pPr>
    <w:rPr>
      <w:rFonts w:ascii="宋体" w:hAnsi="宋体"/>
      <w:b/>
      <w:sz w:val="20"/>
      <w:szCs w:val="20"/>
    </w:rPr>
  </w:style>
  <w:style w:type="character" w:customStyle="1" w:styleId="373">
    <w:name w:val="font11"/>
    <w:qFormat/>
    <w:uiPriority w:val="0"/>
    <w:rPr>
      <w:rFonts w:ascii="Times New Roman" w:hAnsi="Times New Roman" w:cs="Times New Roman"/>
      <w:color w:val="000000"/>
      <w:sz w:val="24"/>
      <w:szCs w:val="24"/>
      <w:u w:val="none"/>
    </w:rPr>
  </w:style>
  <w:style w:type="character" w:customStyle="1" w:styleId="374">
    <w:name w:val="列表 3 Char"/>
    <w:link w:val="11"/>
    <w:qFormat/>
    <w:uiPriority w:val="0"/>
    <w:rPr>
      <w:bCs/>
      <w:sz w:val="24"/>
      <w:szCs w:val="32"/>
    </w:rPr>
  </w:style>
  <w:style w:type="character" w:customStyle="1" w:styleId="375">
    <w:name w:val="不明显强调1"/>
    <w:qFormat/>
    <w:uiPriority w:val="0"/>
    <w:rPr>
      <w:i/>
      <w:color w:val="auto"/>
      <w:sz w:val="21"/>
    </w:rPr>
  </w:style>
  <w:style w:type="character" w:customStyle="1" w:styleId="376">
    <w:name w:val="不明显参考1"/>
    <w:qFormat/>
    <w:uiPriority w:val="0"/>
    <w:rPr>
      <w:smallCaps/>
      <w:color w:val="C0504D"/>
      <w:u w:val="single"/>
    </w:rPr>
  </w:style>
  <w:style w:type="character" w:customStyle="1" w:styleId="377">
    <w:name w:val="标题 8 字符"/>
    <w:qFormat/>
    <w:uiPriority w:val="0"/>
    <w:rPr>
      <w:sz w:val="20"/>
    </w:rPr>
  </w:style>
  <w:style w:type="character" w:customStyle="1" w:styleId="378">
    <w:name w:val="缺省文本 Char"/>
    <w:link w:val="379"/>
    <w:qFormat/>
    <w:uiPriority w:val="0"/>
    <w:rPr>
      <w:rFonts w:ascii="Arial" w:hAnsi="Arial"/>
      <w:sz w:val="24"/>
      <w:szCs w:val="21"/>
    </w:rPr>
  </w:style>
  <w:style w:type="paragraph" w:customStyle="1" w:styleId="379">
    <w:name w:val="缺省文本"/>
    <w:basedOn w:val="1"/>
    <w:link w:val="378"/>
    <w:qFormat/>
    <w:uiPriority w:val="0"/>
    <w:pPr>
      <w:spacing w:line="360" w:lineRule="auto"/>
      <w:jc w:val="left"/>
    </w:pPr>
    <w:rPr>
      <w:rFonts w:ascii="Arial" w:hAnsi="Arial"/>
      <w:sz w:val="24"/>
      <w:szCs w:val="21"/>
    </w:rPr>
  </w:style>
  <w:style w:type="character" w:customStyle="1" w:styleId="380">
    <w:name w:val="正文文本首行缩进 字符"/>
    <w:qFormat/>
    <w:uiPriority w:val="0"/>
    <w:rPr>
      <w:sz w:val="20"/>
    </w:rPr>
  </w:style>
  <w:style w:type="character" w:customStyle="1" w:styleId="381">
    <w:name w:val="表蕊 Char1"/>
    <w:link w:val="382"/>
    <w:qFormat/>
    <w:uiPriority w:val="0"/>
    <w:rPr>
      <w:rFonts w:eastAsia="楷体_GB2312"/>
      <w:spacing w:val="-10"/>
    </w:rPr>
  </w:style>
  <w:style w:type="paragraph" w:customStyle="1" w:styleId="382">
    <w:name w:val="表蕊"/>
    <w:basedOn w:val="1"/>
    <w:link w:val="381"/>
    <w:qFormat/>
    <w:uiPriority w:val="0"/>
    <w:pPr>
      <w:spacing w:line="320" w:lineRule="atLeast"/>
      <w:jc w:val="left"/>
    </w:pPr>
    <w:rPr>
      <w:rFonts w:eastAsia="楷体_GB2312"/>
      <w:spacing w:val="-10"/>
      <w:sz w:val="20"/>
      <w:szCs w:val="20"/>
    </w:rPr>
  </w:style>
  <w:style w:type="character" w:customStyle="1" w:styleId="383">
    <w:name w:val="正文文本缩进 字符"/>
    <w:qFormat/>
    <w:uiPriority w:val="0"/>
    <w:rPr>
      <w:sz w:val="20"/>
    </w:rPr>
  </w:style>
  <w:style w:type="character" w:customStyle="1" w:styleId="384">
    <w:name w:val="文档结构图 Char"/>
    <w:link w:val="17"/>
    <w:qFormat/>
    <w:uiPriority w:val="99"/>
    <w:rPr>
      <w:rFonts w:ascii="宋体"/>
      <w:sz w:val="18"/>
      <w:szCs w:val="18"/>
    </w:rPr>
  </w:style>
  <w:style w:type="character" w:customStyle="1" w:styleId="385">
    <w:name w:val="批注文字 字符"/>
    <w:qFormat/>
    <w:uiPriority w:val="0"/>
    <w:rPr>
      <w:sz w:val="20"/>
    </w:rPr>
  </w:style>
  <w:style w:type="character" w:customStyle="1" w:styleId="386">
    <w:name w:val="Table Heading Char"/>
    <w:link w:val="387"/>
    <w:qFormat/>
    <w:uiPriority w:val="0"/>
    <w:rPr>
      <w:rFonts w:ascii="Arial" w:hAnsi="Arial" w:eastAsia="黑体"/>
      <w:sz w:val="18"/>
      <w:szCs w:val="22"/>
      <w:lang w:eastAsia="en-US"/>
    </w:rPr>
  </w:style>
  <w:style w:type="paragraph" w:customStyle="1" w:styleId="387">
    <w:name w:val="Table Heading"/>
    <w:link w:val="386"/>
    <w:qFormat/>
    <w:uiPriority w:val="0"/>
    <w:pPr>
      <w:keepNext/>
      <w:widowControl w:val="0"/>
      <w:spacing w:line="360" w:lineRule="atLeast"/>
      <w:jc w:val="center"/>
    </w:pPr>
    <w:rPr>
      <w:rFonts w:hint="default" w:ascii="Arial" w:hAnsi="Arial" w:eastAsia="黑体" w:cs="Times New Roman"/>
      <w:sz w:val="18"/>
      <w:szCs w:val="22"/>
      <w:lang w:val="en-US" w:eastAsia="en-US" w:bidi="ar-SA"/>
    </w:rPr>
  </w:style>
  <w:style w:type="character" w:customStyle="1" w:styleId="388">
    <w:name w:val="明显参考1"/>
    <w:qFormat/>
    <w:uiPriority w:val="0"/>
    <w:rPr>
      <w:b/>
      <w:bCs/>
      <w:smallCaps/>
      <w:color w:val="C0504D"/>
      <w:spacing w:val="5"/>
      <w:u w:val="single"/>
    </w:rPr>
  </w:style>
  <w:style w:type="character" w:customStyle="1" w:styleId="389">
    <w:name w:val="Char Char30"/>
    <w:qFormat/>
    <w:uiPriority w:val="0"/>
    <w:rPr>
      <w:rFonts w:eastAsia="宋体"/>
      <w:b/>
      <w:bCs/>
      <w:sz w:val="32"/>
      <w:szCs w:val="32"/>
      <w:lang w:val="en-US" w:eastAsia="zh-CN" w:bidi="ar-SA"/>
    </w:rPr>
  </w:style>
  <w:style w:type="character" w:customStyle="1" w:styleId="390">
    <w:name w:val="标题 6 字符"/>
    <w:qFormat/>
    <w:uiPriority w:val="0"/>
    <w:rPr>
      <w:b/>
      <w:sz w:val="20"/>
    </w:rPr>
  </w:style>
  <w:style w:type="character" w:customStyle="1" w:styleId="391">
    <w:name w:val="正文文本缩进 Char"/>
    <w:link w:val="21"/>
    <w:qFormat/>
    <w:uiPriority w:val="99"/>
    <w:rPr>
      <w:sz w:val="21"/>
      <w:szCs w:val="24"/>
    </w:rPr>
  </w:style>
  <w:style w:type="character" w:customStyle="1" w:styleId="392">
    <w:name w:val="正文文本缩进 3 字符"/>
    <w:qFormat/>
    <w:uiPriority w:val="0"/>
    <w:rPr>
      <w:color w:val="FFFF00"/>
      <w:sz w:val="20"/>
    </w:rPr>
  </w:style>
  <w:style w:type="character" w:customStyle="1" w:styleId="393">
    <w:name w:val="Table Text Char1"/>
    <w:link w:val="394"/>
    <w:qFormat/>
    <w:uiPriority w:val="0"/>
    <w:rPr>
      <w:rFonts w:ascii="Arial" w:hAnsi="Arial" w:eastAsia="Times New Roman"/>
      <w:sz w:val="18"/>
      <w:szCs w:val="18"/>
    </w:rPr>
  </w:style>
  <w:style w:type="paragraph" w:customStyle="1" w:styleId="394">
    <w:name w:val="Table Text"/>
    <w:link w:val="393"/>
    <w:qFormat/>
    <w:uiPriority w:val="0"/>
    <w:pPr>
      <w:spacing w:before="80" w:after="80"/>
    </w:pPr>
    <w:rPr>
      <w:rFonts w:hint="default" w:ascii="Arial" w:hAnsi="Arial" w:eastAsia="Times New Roman" w:cs="Times New Roman"/>
      <w:sz w:val="18"/>
      <w:szCs w:val="18"/>
      <w:lang w:val="en-US" w:eastAsia="zh-CN" w:bidi="ar-SA"/>
    </w:rPr>
  </w:style>
  <w:style w:type="character" w:customStyle="1" w:styleId="395">
    <w:name w:val="首行缩进正文 Char"/>
    <w:link w:val="396"/>
    <w:qFormat/>
    <w:uiPriority w:val="0"/>
    <w:rPr>
      <w:rFonts w:ascii="微软雅黑" w:hAnsi="微软雅黑" w:eastAsia="微软雅黑"/>
      <w:sz w:val="24"/>
      <w:szCs w:val="24"/>
    </w:rPr>
  </w:style>
  <w:style w:type="paragraph" w:customStyle="1" w:styleId="396">
    <w:name w:val="首行缩进正文"/>
    <w:basedOn w:val="1"/>
    <w:link w:val="395"/>
    <w:qFormat/>
    <w:uiPriority w:val="0"/>
    <w:pPr>
      <w:widowControl/>
      <w:spacing w:line="400" w:lineRule="exact"/>
      <w:ind w:firstLine="420"/>
      <w:jc w:val="left"/>
    </w:pPr>
    <w:rPr>
      <w:rFonts w:ascii="微软雅黑" w:hAnsi="微软雅黑" w:eastAsia="微软雅黑"/>
      <w:sz w:val="20"/>
    </w:rPr>
  </w:style>
  <w:style w:type="character" w:customStyle="1" w:styleId="397">
    <w:name w:val="二级目录 Char"/>
    <w:link w:val="398"/>
    <w:qFormat/>
    <w:uiPriority w:val="0"/>
    <w:rPr>
      <w:rFonts w:eastAsia="Times New Roman"/>
      <w:b/>
      <w:sz w:val="30"/>
      <w:szCs w:val="28"/>
    </w:rPr>
  </w:style>
  <w:style w:type="paragraph" w:customStyle="1" w:styleId="398">
    <w:name w:val="二级目录"/>
    <w:next w:val="1"/>
    <w:link w:val="397"/>
    <w:qFormat/>
    <w:uiPriority w:val="0"/>
    <w:pPr>
      <w:tabs>
        <w:tab w:val="left" w:pos="907"/>
        <w:tab w:val="left" w:pos="1145"/>
      </w:tabs>
      <w:ind w:left="907" w:hanging="907"/>
      <w:outlineLvl w:val="1"/>
    </w:pPr>
    <w:rPr>
      <w:rFonts w:hint="default" w:ascii="Times New Roman" w:hAnsi="Times New Roman" w:eastAsia="Times New Roman" w:cs="Times New Roman"/>
      <w:b/>
      <w:sz w:val="30"/>
      <w:szCs w:val="28"/>
      <w:lang w:val="en-US" w:eastAsia="zh-CN" w:bidi="ar-SA"/>
    </w:rPr>
  </w:style>
  <w:style w:type="character" w:customStyle="1" w:styleId="399">
    <w:name w:val="HTML 地址 Char1"/>
    <w:qFormat/>
    <w:uiPriority w:val="0"/>
    <w:rPr>
      <w:i/>
      <w:iCs/>
      <w:sz w:val="21"/>
      <w:szCs w:val="21"/>
    </w:rPr>
  </w:style>
  <w:style w:type="character" w:customStyle="1" w:styleId="400">
    <w:name w:val="表格标题 Char"/>
    <w:link w:val="401"/>
    <w:qFormat/>
    <w:uiPriority w:val="0"/>
    <w:rPr>
      <w:rFonts w:ascii="Arial Black" w:hAnsi="Arial Black" w:eastAsia="黑体"/>
      <w:sz w:val="24"/>
      <w:szCs w:val="24"/>
    </w:rPr>
  </w:style>
  <w:style w:type="paragraph" w:customStyle="1" w:styleId="401">
    <w:name w:val="表格标题"/>
    <w:basedOn w:val="1"/>
    <w:link w:val="400"/>
    <w:qFormat/>
    <w:uiPriority w:val="0"/>
    <w:pPr>
      <w:spacing w:after="156" w:line="400" w:lineRule="exact"/>
      <w:jc w:val="center"/>
    </w:pPr>
    <w:rPr>
      <w:rFonts w:ascii="Arial Black" w:hAnsi="Arial Black" w:eastAsia="黑体"/>
      <w:sz w:val="24"/>
    </w:rPr>
  </w:style>
  <w:style w:type="character" w:customStyle="1" w:styleId="402">
    <w:name w:val="正文缩进 字符"/>
    <w:qFormat/>
    <w:uiPriority w:val="0"/>
    <w:rPr>
      <w:sz w:val="20"/>
    </w:rPr>
  </w:style>
  <w:style w:type="character" w:customStyle="1" w:styleId="403">
    <w:name w:val="正文首行缩进 Char"/>
    <w:link w:val="49"/>
    <w:qFormat/>
    <w:uiPriority w:val="0"/>
    <w:rPr>
      <w:rFonts w:ascii="仿宋_GB2312" w:eastAsia="仿宋_GB2312"/>
      <w:sz w:val="30"/>
      <w:szCs w:val="30"/>
    </w:rPr>
  </w:style>
  <w:style w:type="character" w:customStyle="1" w:styleId="404">
    <w:name w:val="font91"/>
    <w:qFormat/>
    <w:uiPriority w:val="99"/>
    <w:rPr>
      <w:rFonts w:ascii="仿宋_GB2312" w:eastAsia="仿宋_GB2312" w:cs="仿宋_GB2312"/>
      <w:color w:val="FF0000"/>
      <w:sz w:val="24"/>
      <w:szCs w:val="24"/>
      <w:u w:val="none"/>
    </w:rPr>
  </w:style>
  <w:style w:type="character" w:customStyle="1" w:styleId="405">
    <w:name w:val="HTML 地址 Char"/>
    <w:link w:val="23"/>
    <w:qFormat/>
    <w:uiPriority w:val="0"/>
    <w:rPr>
      <w:rFonts w:ascii="宋体"/>
      <w:i/>
      <w:iCs/>
      <w:sz w:val="21"/>
      <w:szCs w:val="21"/>
    </w:rPr>
  </w:style>
  <w:style w:type="character" w:customStyle="1" w:styleId="406">
    <w:name w:val="正文4 Char"/>
    <w:link w:val="407"/>
    <w:qFormat/>
    <w:uiPriority w:val="0"/>
    <w:rPr>
      <w:rFonts w:eastAsia="楷体_GB2312"/>
      <w:spacing w:val="8"/>
      <w:sz w:val="28"/>
    </w:rPr>
  </w:style>
  <w:style w:type="paragraph" w:customStyle="1" w:styleId="407">
    <w:name w:val="正文4"/>
    <w:basedOn w:val="1"/>
    <w:link w:val="406"/>
    <w:qFormat/>
    <w:uiPriority w:val="0"/>
    <w:pPr>
      <w:spacing w:line="440" w:lineRule="exact"/>
      <w:ind w:firstLine="601"/>
    </w:pPr>
    <w:rPr>
      <w:rFonts w:eastAsia="楷体_GB2312"/>
      <w:spacing w:val="8"/>
      <w:sz w:val="28"/>
      <w:szCs w:val="20"/>
    </w:rPr>
  </w:style>
  <w:style w:type="character" w:customStyle="1" w:styleId="408">
    <w:name w:val="Plain Text Char"/>
    <w:qFormat/>
    <w:uiPriority w:val="99"/>
    <w:rPr>
      <w:rFonts w:ascii="宋体" w:hAnsi="Courier New"/>
      <w:sz w:val="21"/>
    </w:rPr>
  </w:style>
  <w:style w:type="character" w:customStyle="1" w:styleId="409">
    <w:name w:val="正文缩进 Char"/>
    <w:link w:val="13"/>
    <w:qFormat/>
    <w:uiPriority w:val="99"/>
    <w:rPr>
      <w:sz w:val="21"/>
      <w:szCs w:val="24"/>
    </w:rPr>
  </w:style>
  <w:style w:type="character" w:customStyle="1" w:styleId="410">
    <w:name w:val="标题 1 字符"/>
    <w:qFormat/>
    <w:uiPriority w:val="0"/>
    <w:rPr>
      <w:b/>
      <w:sz w:val="20"/>
    </w:rPr>
  </w:style>
  <w:style w:type="character" w:customStyle="1" w:styleId="411">
    <w:name w:val="正文（首行缩进2字符） Char"/>
    <w:link w:val="412"/>
    <w:qFormat/>
    <w:uiPriority w:val="0"/>
    <w:rPr>
      <w:sz w:val="21"/>
      <w:szCs w:val="21"/>
    </w:rPr>
  </w:style>
  <w:style w:type="paragraph" w:customStyle="1" w:styleId="412">
    <w:name w:val="正文（首行缩进2字符）"/>
    <w:basedOn w:val="1"/>
    <w:link w:val="411"/>
    <w:qFormat/>
    <w:uiPriority w:val="0"/>
    <w:pPr>
      <w:spacing w:line="360" w:lineRule="auto"/>
      <w:ind w:firstLine="420"/>
    </w:pPr>
    <w:rPr>
      <w:sz w:val="20"/>
      <w:szCs w:val="21"/>
    </w:rPr>
  </w:style>
  <w:style w:type="character" w:customStyle="1" w:styleId="413">
    <w:name w:val="HTML 预设格式 Char1"/>
    <w:semiHidden/>
    <w:qFormat/>
    <w:uiPriority w:val="99"/>
    <w:rPr>
      <w:rFonts w:ascii="Courier New" w:hAnsi="Courier New" w:eastAsia="仿宋_GB2312" w:cs="Courier New"/>
    </w:rPr>
  </w:style>
  <w:style w:type="character" w:customStyle="1" w:styleId="414">
    <w:name w:val="三级条标题 Char"/>
    <w:link w:val="415"/>
    <w:qFormat/>
    <w:uiPriority w:val="0"/>
    <w:rPr>
      <w:rFonts w:ascii="黑体" w:hAnsi="宋体" w:eastAsia="黑体"/>
    </w:rPr>
  </w:style>
  <w:style w:type="paragraph" w:customStyle="1" w:styleId="415">
    <w:name w:val="三级条标题"/>
    <w:basedOn w:val="330"/>
    <w:next w:val="104"/>
    <w:link w:val="414"/>
    <w:qFormat/>
    <w:uiPriority w:val="0"/>
    <w:pPr>
      <w:outlineLvl w:val="4"/>
    </w:pPr>
  </w:style>
  <w:style w:type="character" w:customStyle="1" w:styleId="416">
    <w:name w:val="font141"/>
    <w:qFormat/>
    <w:uiPriority w:val="99"/>
    <w:rPr>
      <w:rFonts w:ascii="Tahoma" w:hAnsi="Tahoma" w:cs="Tahoma"/>
      <w:color w:val="000000"/>
      <w:sz w:val="20"/>
      <w:szCs w:val="20"/>
      <w:u w:val="none"/>
    </w:rPr>
  </w:style>
  <w:style w:type="character" w:customStyle="1" w:styleId="417">
    <w:name w:val="Para head"/>
    <w:basedOn w:val="53"/>
    <w:qFormat/>
    <w:uiPriority w:val="0"/>
  </w:style>
  <w:style w:type="character" w:customStyle="1" w:styleId="418">
    <w:name w:val="font81"/>
    <w:qFormat/>
    <w:uiPriority w:val="99"/>
    <w:rPr>
      <w:rFonts w:ascii="仿宋_GB2312" w:eastAsia="仿宋_GB2312" w:cs="仿宋_GB2312"/>
      <w:b/>
      <w:color w:val="000000"/>
      <w:sz w:val="24"/>
      <w:szCs w:val="24"/>
      <w:u w:val="none"/>
    </w:rPr>
  </w:style>
  <w:style w:type="character" w:customStyle="1" w:styleId="419">
    <w:name w:val="美标题一 Char Char"/>
    <w:link w:val="420"/>
    <w:qFormat/>
    <w:uiPriority w:val="0"/>
    <w:rPr>
      <w:rFonts w:ascii="Calibri" w:hAnsi="Calibri"/>
      <w:b/>
      <w:sz w:val="36"/>
      <w:szCs w:val="24"/>
    </w:rPr>
  </w:style>
  <w:style w:type="paragraph" w:customStyle="1" w:styleId="420">
    <w:name w:val="美标题一"/>
    <w:basedOn w:val="1"/>
    <w:link w:val="419"/>
    <w:qFormat/>
    <w:uiPriority w:val="0"/>
    <w:pPr>
      <w:tabs>
        <w:tab w:val="left" w:pos="480"/>
        <w:tab w:val="left" w:pos="907"/>
        <w:tab w:val="left" w:pos="1035"/>
        <w:tab w:val="left" w:pos="1995"/>
      </w:tabs>
      <w:ind w:left="480" w:hanging="480"/>
      <w:jc w:val="center"/>
    </w:pPr>
    <w:rPr>
      <w:rFonts w:ascii="Calibri" w:hAnsi="Calibri"/>
      <w:b/>
      <w:sz w:val="36"/>
    </w:rPr>
  </w:style>
  <w:style w:type="character" w:customStyle="1" w:styleId="421">
    <w:name w:val="标题2 Char Char"/>
    <w:link w:val="422"/>
    <w:qFormat/>
    <w:uiPriority w:val="0"/>
    <w:rPr>
      <w:rFonts w:eastAsia="方正楷体_GBK"/>
      <w:sz w:val="32"/>
    </w:rPr>
  </w:style>
  <w:style w:type="paragraph" w:customStyle="1" w:styleId="422">
    <w:name w:val="标题2"/>
    <w:basedOn w:val="1"/>
    <w:next w:val="1"/>
    <w:link w:val="421"/>
    <w:qFormat/>
    <w:uiPriority w:val="0"/>
    <w:pPr>
      <w:jc w:val="center"/>
    </w:pPr>
    <w:rPr>
      <w:rFonts w:eastAsia="方正楷体_GBK"/>
      <w:sz w:val="32"/>
      <w:szCs w:val="20"/>
    </w:rPr>
  </w:style>
  <w:style w:type="character" w:customStyle="1" w:styleId="423">
    <w:name w:val="正文文本 3 字符"/>
    <w:qFormat/>
    <w:uiPriority w:val="0"/>
    <w:rPr>
      <w:sz w:val="20"/>
    </w:rPr>
  </w:style>
  <w:style w:type="character" w:customStyle="1" w:styleId="424">
    <w:name w:val="纯文本 Char1"/>
    <w:semiHidden/>
    <w:qFormat/>
    <w:uiPriority w:val="0"/>
    <w:rPr>
      <w:rFonts w:ascii="宋体" w:hAnsi="Courier New" w:cs="Courier New"/>
      <w:sz w:val="21"/>
      <w:szCs w:val="21"/>
    </w:rPr>
  </w:style>
  <w:style w:type="character" w:customStyle="1" w:styleId="425">
    <w:name w:val="明显强调1"/>
    <w:qFormat/>
    <w:uiPriority w:val="0"/>
    <w:rPr>
      <w:i/>
      <w:color w:val="auto"/>
      <w:sz w:val="21"/>
    </w:rPr>
  </w:style>
  <w:style w:type="character" w:customStyle="1" w:styleId="426">
    <w:name w:val="标题 7 字符"/>
    <w:qFormat/>
    <w:uiPriority w:val="0"/>
    <w:rPr>
      <w:b/>
      <w:sz w:val="20"/>
    </w:rPr>
  </w:style>
  <w:style w:type="character" w:customStyle="1" w:styleId="427">
    <w:name w:val="HTML 预设格式 Char"/>
    <w:link w:val="45"/>
    <w:qFormat/>
    <w:uiPriority w:val="99"/>
    <w:rPr>
      <w:rFonts w:ascii="宋体" w:hAnsi="宋体"/>
      <w:sz w:val="24"/>
      <w:szCs w:val="24"/>
    </w:rPr>
  </w:style>
  <w:style w:type="character" w:customStyle="1" w:styleId="428">
    <w:name w:val="Plain Text Char1"/>
    <w:semiHidden/>
    <w:qFormat/>
    <w:uiPriority w:val="99"/>
    <w:rPr>
      <w:rFonts w:ascii="宋体" w:hAnsi="Courier New" w:cs="Courier New"/>
      <w:sz w:val="21"/>
      <w:szCs w:val="21"/>
    </w:rPr>
  </w:style>
  <w:style w:type="character" w:customStyle="1" w:styleId="429">
    <w:name w:val="正文文本缩进 Char1"/>
    <w:semiHidden/>
    <w:qFormat/>
    <w:uiPriority w:val="0"/>
    <w:rPr>
      <w:sz w:val="21"/>
      <w:szCs w:val="24"/>
    </w:rPr>
  </w:style>
  <w:style w:type="character" w:customStyle="1" w:styleId="430">
    <w:name w:val="正文文本 (9)_"/>
    <w:link w:val="431"/>
    <w:qFormat/>
    <w:uiPriority w:val="0"/>
    <w:rPr>
      <w:rFonts w:ascii="MingLiU" w:hAnsi="MingLiU" w:eastAsia="MingLiU"/>
      <w:spacing w:val="20"/>
      <w:sz w:val="16"/>
      <w:szCs w:val="16"/>
      <w:shd w:val="clear" w:color="auto" w:fill="FFFFFF"/>
    </w:rPr>
  </w:style>
  <w:style w:type="paragraph" w:customStyle="1" w:styleId="431">
    <w:name w:val="正文文本 (9)3"/>
    <w:basedOn w:val="1"/>
    <w:link w:val="430"/>
    <w:qFormat/>
    <w:uiPriority w:val="0"/>
    <w:pPr>
      <w:shd w:val="clear" w:color="auto" w:fill="FFFFFF"/>
      <w:spacing w:line="0" w:lineRule="atLeast"/>
      <w:jc w:val="left"/>
    </w:pPr>
    <w:rPr>
      <w:rFonts w:ascii="MingLiU" w:hAnsi="MingLiU" w:eastAsia="MingLiU"/>
      <w:spacing w:val="20"/>
      <w:sz w:val="16"/>
      <w:szCs w:val="16"/>
      <w:shd w:val="clear" w:color="auto" w:fill="FFFFFF"/>
    </w:rPr>
  </w:style>
  <w:style w:type="character" w:customStyle="1" w:styleId="432">
    <w:name w:val="正文文本 Char"/>
    <w:qFormat/>
    <w:uiPriority w:val="0"/>
    <w:rPr>
      <w:rFonts w:ascii="楷体_GB2312" w:hAnsi="Arial" w:eastAsia="楷体_GB2312"/>
      <w:sz w:val="28"/>
      <w:szCs w:val="28"/>
      <w:lang w:bidi="ar-SA"/>
    </w:rPr>
  </w:style>
  <w:style w:type="character" w:customStyle="1" w:styleId="433">
    <w:name w:val="wwwww Char"/>
    <w:link w:val="434"/>
    <w:qFormat/>
    <w:uiPriority w:val="0"/>
    <w:rPr>
      <w:rFonts w:ascii="宋体" w:hAnsi="宋体"/>
      <w:sz w:val="24"/>
      <w:szCs w:val="21"/>
    </w:rPr>
  </w:style>
  <w:style w:type="paragraph" w:customStyle="1" w:styleId="434">
    <w:name w:val="wwwww"/>
    <w:basedOn w:val="1"/>
    <w:link w:val="433"/>
    <w:qFormat/>
    <w:uiPriority w:val="0"/>
    <w:pPr>
      <w:widowControl/>
      <w:spacing w:line="400" w:lineRule="exact"/>
    </w:pPr>
    <w:rPr>
      <w:rFonts w:ascii="宋体" w:hAnsi="宋体"/>
      <w:sz w:val="24"/>
      <w:szCs w:val="21"/>
    </w:rPr>
  </w:style>
  <w:style w:type="character" w:customStyle="1" w:styleId="435">
    <w:name w:val="Char Char7"/>
    <w:qFormat/>
    <w:uiPriority w:val="0"/>
    <w:rPr>
      <w:rFonts w:ascii="Arial" w:hAnsi="Arial" w:eastAsia="幼圆"/>
      <w:b/>
      <w:bCs/>
      <w:sz w:val="44"/>
      <w:szCs w:val="44"/>
      <w:lang w:val="en-US" w:eastAsia="zh-CN" w:bidi="ar-SA"/>
    </w:rPr>
  </w:style>
  <w:style w:type="character" w:customStyle="1" w:styleId="436">
    <w:name w:val="章标题 Char"/>
    <w:link w:val="103"/>
    <w:qFormat/>
    <w:uiPriority w:val="0"/>
    <w:rPr>
      <w:rFonts w:ascii="黑体" w:eastAsia="黑体"/>
      <w:sz w:val="21"/>
      <w:szCs w:val="22"/>
    </w:rPr>
  </w:style>
  <w:style w:type="character" w:customStyle="1" w:styleId="437">
    <w:name w:val="二级条标题 + 宋体 Char"/>
    <w:link w:val="438"/>
    <w:qFormat/>
    <w:uiPriority w:val="0"/>
    <w:rPr>
      <w:rFonts w:ascii="宋体" w:hAnsi="宋体" w:eastAsia="黑体"/>
    </w:rPr>
  </w:style>
  <w:style w:type="paragraph" w:customStyle="1" w:styleId="438">
    <w:name w:val="二级条标题 + 宋体"/>
    <w:basedOn w:val="330"/>
    <w:link w:val="437"/>
    <w:qFormat/>
    <w:uiPriority w:val="0"/>
    <w:pPr>
      <w:tabs>
        <w:tab w:val="clear" w:pos="907"/>
      </w:tabs>
      <w:ind w:left="0" w:firstLine="0"/>
    </w:pPr>
    <w:rPr>
      <w:rFonts w:ascii="宋体"/>
    </w:rPr>
  </w:style>
  <w:style w:type="character" w:customStyle="1" w:styleId="439">
    <w:name w:val="方案文档 Char Char"/>
    <w:link w:val="440"/>
    <w:qFormat/>
    <w:uiPriority w:val="0"/>
    <w:rPr>
      <w:rFonts w:ascii="宋体" w:hAnsi="宋体"/>
      <w:b/>
    </w:rPr>
  </w:style>
  <w:style w:type="paragraph" w:customStyle="1" w:styleId="440">
    <w:name w:val="方案文档"/>
    <w:basedOn w:val="1"/>
    <w:link w:val="439"/>
    <w:qFormat/>
    <w:uiPriority w:val="0"/>
    <w:pPr>
      <w:tabs>
        <w:tab w:val="left" w:pos="420"/>
      </w:tabs>
      <w:spacing w:line="360" w:lineRule="auto"/>
      <w:ind w:left="420"/>
    </w:pPr>
    <w:rPr>
      <w:rFonts w:ascii="宋体" w:hAnsi="宋体"/>
      <w:b/>
      <w:sz w:val="20"/>
      <w:szCs w:val="20"/>
    </w:rPr>
  </w:style>
  <w:style w:type="character" w:customStyle="1" w:styleId="441">
    <w:name w:val="HTML 地址 字符"/>
    <w:qFormat/>
    <w:uiPriority w:val="0"/>
    <w:rPr>
      <w:i/>
      <w:sz w:val="20"/>
    </w:rPr>
  </w:style>
  <w:style w:type="character" w:customStyle="1" w:styleId="442">
    <w:name w:val="font01"/>
    <w:qFormat/>
    <w:uiPriority w:val="99"/>
    <w:rPr>
      <w:rFonts w:ascii="仿宋_GB2312" w:eastAsia="仿宋_GB2312" w:cs="仿宋_GB2312"/>
      <w:color w:val="000000"/>
      <w:sz w:val="24"/>
      <w:szCs w:val="24"/>
      <w:u w:val="none"/>
    </w:rPr>
  </w:style>
  <w:style w:type="character" w:customStyle="1" w:styleId="443">
    <w:name w:val="表格 Char Char"/>
    <w:link w:val="444"/>
    <w:qFormat/>
    <w:uiPriority w:val="0"/>
    <w:rPr>
      <w:rFonts w:ascii="宋体" w:hAnsi="宋体"/>
    </w:rPr>
  </w:style>
  <w:style w:type="paragraph" w:customStyle="1" w:styleId="444">
    <w:name w:val="表格"/>
    <w:basedOn w:val="1"/>
    <w:link w:val="443"/>
    <w:qFormat/>
    <w:uiPriority w:val="0"/>
    <w:pPr>
      <w:ind w:firstLine="42"/>
    </w:pPr>
    <w:rPr>
      <w:rFonts w:ascii="宋体" w:hAnsi="宋体"/>
      <w:sz w:val="20"/>
      <w:szCs w:val="20"/>
    </w:rPr>
  </w:style>
  <w:style w:type="character" w:customStyle="1" w:styleId="445">
    <w:name w:val="Char Char31"/>
    <w:qFormat/>
    <w:uiPriority w:val="0"/>
    <w:rPr>
      <w:rFonts w:ascii="Arial" w:hAnsi="Arial" w:eastAsia="幼圆"/>
      <w:b/>
      <w:bCs/>
      <w:sz w:val="44"/>
      <w:szCs w:val="44"/>
      <w:lang w:val="en-US" w:eastAsia="zh-CN" w:bidi="ar-SA"/>
    </w:rPr>
  </w:style>
  <w:style w:type="character" w:customStyle="1" w:styleId="446">
    <w:name w:val="页眉 字符"/>
    <w:qFormat/>
    <w:uiPriority w:val="0"/>
    <w:rPr>
      <w:sz w:val="20"/>
    </w:rPr>
  </w:style>
  <w:style w:type="character" w:customStyle="1" w:styleId="447">
    <w:name w:val="正文文本 (10)_"/>
    <w:link w:val="448"/>
    <w:qFormat/>
    <w:uiPriority w:val="0"/>
    <w:rPr>
      <w:rFonts w:ascii="MingLiU" w:hAnsi="MingLiU" w:eastAsia="MingLiU"/>
      <w:spacing w:val="40"/>
      <w:sz w:val="19"/>
      <w:szCs w:val="19"/>
      <w:shd w:val="clear" w:color="auto" w:fill="FFFFFF"/>
    </w:rPr>
  </w:style>
  <w:style w:type="paragraph" w:customStyle="1" w:styleId="448">
    <w:name w:val="正文文本 (10)6"/>
    <w:basedOn w:val="1"/>
    <w:link w:val="447"/>
    <w:qFormat/>
    <w:uiPriority w:val="0"/>
    <w:pPr>
      <w:shd w:val="clear" w:color="auto" w:fill="FFFFFF"/>
      <w:spacing w:line="0" w:lineRule="atLeast"/>
      <w:jc w:val="left"/>
    </w:pPr>
    <w:rPr>
      <w:rFonts w:ascii="MingLiU" w:hAnsi="MingLiU" w:eastAsia="MingLiU"/>
      <w:spacing w:val="40"/>
      <w:sz w:val="19"/>
      <w:szCs w:val="19"/>
      <w:shd w:val="clear" w:color="auto" w:fill="FFFFFF"/>
    </w:rPr>
  </w:style>
  <w:style w:type="character" w:customStyle="1" w:styleId="449">
    <w:name w:val="列表 3 字符"/>
    <w:qFormat/>
    <w:uiPriority w:val="0"/>
    <w:rPr>
      <w:sz w:val="20"/>
    </w:rPr>
  </w:style>
  <w:style w:type="character" w:customStyle="1" w:styleId="450">
    <w:name w:val="美标题2 Char Char"/>
    <w:link w:val="451"/>
    <w:qFormat/>
    <w:uiPriority w:val="0"/>
    <w:rPr>
      <w:rFonts w:ascii="宋体" w:hAnsi="宋体"/>
      <w:b/>
      <w:sz w:val="28"/>
    </w:rPr>
  </w:style>
  <w:style w:type="paragraph" w:customStyle="1" w:styleId="451">
    <w:name w:val="美标题2"/>
    <w:basedOn w:val="1"/>
    <w:link w:val="450"/>
    <w:qFormat/>
    <w:uiPriority w:val="0"/>
    <w:rPr>
      <w:rFonts w:ascii="宋体" w:hAnsi="宋体"/>
      <w:b/>
      <w:sz w:val="28"/>
      <w:szCs w:val="20"/>
    </w:rPr>
  </w:style>
  <w:style w:type="character" w:customStyle="1" w:styleId="452">
    <w:name w:val="标题 4 字符"/>
    <w:qFormat/>
    <w:uiPriority w:val="0"/>
    <w:rPr>
      <w:b/>
      <w:sz w:val="20"/>
    </w:rPr>
  </w:style>
  <w:style w:type="character" w:customStyle="1" w:styleId="453">
    <w:name w:val="fontstyle01"/>
    <w:qFormat/>
    <w:uiPriority w:val="0"/>
    <w:rPr>
      <w:rFonts w:hint="eastAsia" w:ascii="宋体" w:hAnsi="宋体" w:eastAsia="宋体"/>
      <w:color w:val="000000"/>
      <w:sz w:val="24"/>
      <w:szCs w:val="24"/>
    </w:rPr>
  </w:style>
  <w:style w:type="character" w:customStyle="1" w:styleId="454">
    <w:name w:val="正文文本 2 字符"/>
    <w:qFormat/>
    <w:uiPriority w:val="0"/>
    <w:rPr>
      <w:sz w:val="20"/>
    </w:rPr>
  </w:style>
  <w:style w:type="character" w:customStyle="1" w:styleId="455">
    <w:name w:val="Char Char29"/>
    <w:qFormat/>
    <w:uiPriority w:val="0"/>
    <w:rPr>
      <w:rFonts w:ascii="Arial" w:hAnsi="Arial" w:eastAsia="黑体"/>
      <w:b/>
      <w:bCs/>
      <w:sz w:val="28"/>
      <w:szCs w:val="28"/>
      <w:lang w:val="en-US" w:eastAsia="zh-CN" w:bidi="ar-SA"/>
    </w:rPr>
  </w:style>
  <w:style w:type="character" w:customStyle="1" w:styleId="456">
    <w:name w:val="正文文本缩进 2 Char1"/>
    <w:basedOn w:val="53"/>
    <w:semiHidden/>
    <w:qFormat/>
    <w:uiPriority w:val="99"/>
    <w:rPr>
      <w:sz w:val="21"/>
      <w:szCs w:val="24"/>
    </w:rPr>
  </w:style>
  <w:style w:type="character" w:customStyle="1" w:styleId="457">
    <w:name w:val="正文文本 Char1"/>
    <w:basedOn w:val="53"/>
    <w:link w:val="20"/>
    <w:qFormat/>
    <w:uiPriority w:val="0"/>
    <w:rPr>
      <w:sz w:val="21"/>
      <w:szCs w:val="24"/>
    </w:rPr>
  </w:style>
  <w:style w:type="character" w:customStyle="1" w:styleId="458">
    <w:name w:val="正文首行缩进 Char1"/>
    <w:basedOn w:val="457"/>
    <w:semiHidden/>
    <w:qFormat/>
    <w:uiPriority w:val="99"/>
    <w:rPr>
      <w:sz w:val="21"/>
      <w:szCs w:val="24"/>
    </w:rPr>
  </w:style>
  <w:style w:type="character" w:customStyle="1" w:styleId="459">
    <w:name w:val="正文文本 2 Char1"/>
    <w:basedOn w:val="53"/>
    <w:semiHidden/>
    <w:qFormat/>
    <w:uiPriority w:val="99"/>
    <w:rPr>
      <w:sz w:val="21"/>
      <w:szCs w:val="24"/>
    </w:rPr>
  </w:style>
  <w:style w:type="character" w:customStyle="1" w:styleId="460">
    <w:name w:val="正文文本缩进 Char2"/>
    <w:basedOn w:val="53"/>
    <w:semiHidden/>
    <w:qFormat/>
    <w:uiPriority w:val="99"/>
    <w:rPr>
      <w:sz w:val="21"/>
      <w:szCs w:val="24"/>
    </w:rPr>
  </w:style>
  <w:style w:type="character" w:customStyle="1" w:styleId="461">
    <w:name w:val="日期 Char1"/>
    <w:basedOn w:val="53"/>
    <w:semiHidden/>
    <w:qFormat/>
    <w:uiPriority w:val="99"/>
    <w:rPr>
      <w:sz w:val="21"/>
      <w:szCs w:val="24"/>
    </w:rPr>
  </w:style>
  <w:style w:type="character" w:customStyle="1" w:styleId="462">
    <w:name w:val="正文首行缩进 2 Char1"/>
    <w:basedOn w:val="460"/>
    <w:semiHidden/>
    <w:qFormat/>
    <w:uiPriority w:val="99"/>
    <w:rPr>
      <w:sz w:val="21"/>
      <w:szCs w:val="24"/>
    </w:rPr>
  </w:style>
  <w:style w:type="character" w:customStyle="1" w:styleId="463">
    <w:name w:val="文档结构图 Char1"/>
    <w:basedOn w:val="53"/>
    <w:semiHidden/>
    <w:qFormat/>
    <w:uiPriority w:val="99"/>
    <w:rPr>
      <w:rFonts w:ascii="宋体"/>
      <w:sz w:val="18"/>
      <w:szCs w:val="18"/>
    </w:rPr>
  </w:style>
  <w:style w:type="character" w:customStyle="1" w:styleId="464">
    <w:name w:val="正文文本 3 Char1"/>
    <w:basedOn w:val="53"/>
    <w:semiHidden/>
    <w:qFormat/>
    <w:uiPriority w:val="99"/>
    <w:rPr>
      <w:sz w:val="16"/>
      <w:szCs w:val="16"/>
    </w:rPr>
  </w:style>
  <w:style w:type="character" w:customStyle="1" w:styleId="465">
    <w:name w:val="HTML 地址 Char2"/>
    <w:basedOn w:val="53"/>
    <w:semiHidden/>
    <w:qFormat/>
    <w:uiPriority w:val="99"/>
    <w:rPr>
      <w:i/>
      <w:iCs/>
      <w:sz w:val="21"/>
      <w:szCs w:val="24"/>
    </w:rPr>
  </w:style>
  <w:style w:type="character" w:customStyle="1" w:styleId="466">
    <w:name w:val="正文文本缩进 3 Char1"/>
    <w:basedOn w:val="53"/>
    <w:semiHidden/>
    <w:qFormat/>
    <w:uiPriority w:val="99"/>
    <w:rPr>
      <w:sz w:val="16"/>
      <w:szCs w:val="16"/>
    </w:rPr>
  </w:style>
  <w:style w:type="character" w:customStyle="1" w:styleId="467">
    <w:name w:val="HTML 预设格式 Char2"/>
    <w:basedOn w:val="53"/>
    <w:semiHidden/>
    <w:qFormat/>
    <w:uiPriority w:val="99"/>
    <w:rPr>
      <w:rFonts w:ascii="Courier New" w:hAnsi="Courier New" w:cs="Courier New"/>
    </w:rPr>
  </w:style>
  <w:style w:type="paragraph" w:customStyle="1" w:styleId="468">
    <w:name w:val="正文2"/>
    <w:next w:val="469"/>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469">
    <w:name w:val="Default_0"/>
    <w:qFormat/>
    <w:uiPriority w:val="0"/>
    <w:pPr>
      <w:widowControl w:val="0"/>
    </w:pPr>
    <w:rPr>
      <w:rFonts w:hint="default" w:ascii="宋体" w:hAnsi="Times New Roman" w:eastAsia="宋体" w:cs="宋体"/>
      <w:color w:val="000000"/>
      <w:sz w:val="24"/>
      <w:szCs w:val="24"/>
      <w:lang w:val="en-US" w:eastAsia="zh-CN" w:bidi="ar-SA"/>
    </w:rPr>
  </w:style>
  <w:style w:type="paragraph" w:customStyle="1" w:styleId="470">
    <w:name w:val="_Style 10"/>
    <w:basedOn w:val="1"/>
    <w:qFormat/>
    <w:uiPriority w:val="0"/>
    <w:rPr>
      <w:rFonts w:ascii="Tahoma" w:hAnsi="Tahoma"/>
      <w:sz w:val="24"/>
      <w:szCs w:val="20"/>
    </w:rPr>
  </w:style>
  <w:style w:type="paragraph" w:customStyle="1" w:styleId="471">
    <w:name w:val="正文缩进编号"/>
    <w:basedOn w:val="1"/>
    <w:qFormat/>
    <w:uiPriority w:val="0"/>
    <w:pPr>
      <w:spacing w:line="360" w:lineRule="auto"/>
      <w:ind w:left="840"/>
    </w:pPr>
    <w:rPr>
      <w:rFonts w:ascii="Calibri" w:hAnsi="Calibri"/>
      <w:sz w:val="24"/>
      <w:szCs w:val="21"/>
    </w:rPr>
  </w:style>
  <w:style w:type="paragraph" w:customStyle="1" w:styleId="472">
    <w:name w:val="Char1"/>
    <w:basedOn w:val="1"/>
    <w:qFormat/>
    <w:uiPriority w:val="0"/>
    <w:pPr>
      <w:tabs>
        <w:tab w:val="left" w:pos="432"/>
      </w:tabs>
      <w:spacing w:before="156" w:after="156"/>
      <w:ind w:left="432" w:hanging="432"/>
    </w:pPr>
  </w:style>
  <w:style w:type="paragraph" w:customStyle="1" w:styleId="473">
    <w:name w:val="jx标题1"/>
    <w:basedOn w:val="2"/>
    <w:qFormat/>
    <w:uiPriority w:val="0"/>
    <w:pPr>
      <w:tabs>
        <w:tab w:val="left" w:pos="425"/>
      </w:tabs>
      <w:spacing w:line="360" w:lineRule="auto"/>
    </w:pPr>
    <w:rPr>
      <w:rFonts w:ascii="Calibri" w:hAnsi="Calibri" w:eastAsia="黑体"/>
      <w:bCs/>
      <w:szCs w:val="44"/>
    </w:rPr>
  </w:style>
  <w:style w:type="paragraph" w:customStyle="1" w:styleId="474">
    <w:name w:val="GP（表格）"/>
    <w:basedOn w:val="1"/>
    <w:qFormat/>
    <w:uiPriority w:val="0"/>
    <w:rPr>
      <w:rFonts w:ascii="Arial" w:hAnsi="Arial"/>
      <w:sz w:val="18"/>
    </w:rPr>
  </w:style>
  <w:style w:type="paragraph" w:customStyle="1" w:styleId="475">
    <w:name w:val="列出段落1"/>
    <w:basedOn w:val="1"/>
    <w:qFormat/>
    <w:uiPriority w:val="0"/>
    <w:pPr>
      <w:ind w:left="480"/>
      <w:jc w:val="left"/>
    </w:pPr>
    <w:rPr>
      <w:rFonts w:ascii="Calibri" w:hAnsi="Calibri" w:eastAsia="PMingLiU"/>
      <w:sz w:val="24"/>
      <w:szCs w:val="20"/>
      <w:lang w:val="zh-CN" w:eastAsia="zh-TW"/>
    </w:rPr>
  </w:style>
  <w:style w:type="paragraph" w:customStyle="1" w:styleId="476">
    <w:name w:val="Default Text"/>
    <w:basedOn w:val="1"/>
    <w:qFormat/>
    <w:uiPriority w:val="0"/>
    <w:pPr>
      <w:widowControl/>
      <w:jc w:val="left"/>
    </w:pPr>
    <w:rPr>
      <w:rFonts w:ascii="Calibri" w:hAnsi="Calibri"/>
      <w:sz w:val="20"/>
      <w:szCs w:val="20"/>
      <w:lang w:eastAsia="en-US"/>
    </w:rPr>
  </w:style>
  <w:style w:type="paragraph" w:customStyle="1" w:styleId="477">
    <w:name w:val="正文2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478">
    <w:name w:val="彩色列表 - 着色 11"/>
    <w:basedOn w:val="1"/>
    <w:qFormat/>
    <w:uiPriority w:val="99"/>
    <w:pPr>
      <w:spacing w:line="274" w:lineRule="auto"/>
      <w:ind w:firstLine="420"/>
    </w:pPr>
    <w:rPr>
      <w:rFonts w:ascii="仿宋_GB2312" w:hAnsi="Calibri" w:eastAsia="仿宋_GB2312"/>
      <w:sz w:val="20"/>
    </w:rPr>
  </w:style>
  <w:style w:type="paragraph" w:customStyle="1" w:styleId="479">
    <w:name w:val="注×："/>
    <w:qFormat/>
    <w:uiPriority w:val="0"/>
    <w:pPr>
      <w:widowControl w:val="0"/>
      <w:tabs>
        <w:tab w:val="left" w:pos="312"/>
        <w:tab w:val="left" w:pos="630"/>
        <w:tab w:val="left" w:pos="1035"/>
      </w:tabs>
      <w:jc w:val="both"/>
    </w:pPr>
    <w:rPr>
      <w:rFonts w:hint="default" w:ascii="宋体" w:hAnsi="Times New Roman" w:eastAsia="宋体" w:cs="Times New Roman"/>
      <w:sz w:val="18"/>
      <w:lang w:val="en-US" w:eastAsia="zh-CN" w:bidi="ar-SA"/>
    </w:rPr>
  </w:style>
  <w:style w:type="paragraph" w:customStyle="1" w:styleId="480">
    <w:name w:val="正文_0_1"/>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481">
    <w:name w:val="修订2"/>
    <w:semiHidden/>
    <w:qFormat/>
    <w:uiPriority w:val="99"/>
    <w:rPr>
      <w:rFonts w:hint="default" w:ascii="Times New Roman" w:hAnsi="Times New Roman" w:eastAsia="宋体" w:cs="Times New Roman"/>
      <w:sz w:val="21"/>
      <w:szCs w:val="24"/>
      <w:lang w:val="en-US" w:eastAsia="zh-CN" w:bidi="ar-SA"/>
    </w:rPr>
  </w:style>
  <w:style w:type="paragraph" w:customStyle="1" w:styleId="482">
    <w:name w:val="_Style 0"/>
    <w:qFormat/>
    <w:uiPriority w:val="0"/>
    <w:pPr>
      <w:widowControl w:val="0"/>
      <w:jc w:val="center"/>
    </w:pPr>
    <w:rPr>
      <w:rFonts w:hint="default" w:ascii="Times New Roman" w:hAnsi="Times New Roman" w:eastAsia="仿宋_GB2312" w:cs="Times New Roman"/>
      <w:b/>
      <w:sz w:val="21"/>
      <w:lang w:val="en-US" w:eastAsia="zh-CN" w:bidi="ar-SA"/>
    </w:rPr>
  </w:style>
  <w:style w:type="paragraph" w:customStyle="1" w:styleId="483">
    <w:name w:val="xl70"/>
    <w:basedOn w:val="1"/>
    <w:qFormat/>
    <w:uiPriority w:val="0"/>
    <w:pPr>
      <w:widowControl/>
      <w:pBdr>
        <w:top w:val="single" w:color="auto" w:sz="4" w:space="0"/>
        <w:bottom w:val="single" w:color="auto" w:sz="4" w:space="0"/>
      </w:pBdr>
      <w:spacing w:before="100" w:beforeAutospacing="1" w:after="100" w:afterAutospacing="1"/>
    </w:pPr>
    <w:rPr>
      <w:rFonts w:ascii="宋体" w:hAnsi="宋体"/>
      <w:b/>
      <w:sz w:val="28"/>
      <w:szCs w:val="20"/>
    </w:rPr>
  </w:style>
  <w:style w:type="paragraph" w:customStyle="1" w:styleId="484">
    <w:name w:val="列出段落3"/>
    <w:basedOn w:val="468"/>
    <w:qFormat/>
    <w:uiPriority w:val="34"/>
    <w:pPr>
      <w:ind w:firstLine="420"/>
    </w:pPr>
    <w:rPr>
      <w:rFonts w:ascii="Calibri" w:hAnsi="Calibri"/>
      <w:sz w:val="22"/>
      <w:szCs w:val="22"/>
    </w:rPr>
  </w:style>
  <w:style w:type="paragraph" w:customStyle="1" w:styleId="485">
    <w:name w:val="样式2"/>
    <w:basedOn w:val="2"/>
    <w:qFormat/>
    <w:uiPriority w:val="0"/>
    <w:pPr>
      <w:widowControl/>
      <w:tabs>
        <w:tab w:val="left" w:pos="312"/>
        <w:tab w:val="left" w:pos="480"/>
      </w:tabs>
      <w:spacing w:before="0" w:after="0" w:line="400" w:lineRule="atLeast"/>
      <w:ind w:left="360" w:hanging="360"/>
      <w:outlineLvl w:val="9"/>
    </w:pPr>
    <w:rPr>
      <w:rFonts w:ascii="宋体" w:eastAsia="黑体"/>
      <w:sz w:val="21"/>
    </w:rPr>
  </w:style>
  <w:style w:type="paragraph" w:customStyle="1" w:styleId="486">
    <w:name w:val="P3"/>
    <w:qFormat/>
    <w:uiPriority w:val="0"/>
    <w:pPr>
      <w:widowControl w:val="0"/>
      <w:spacing w:after="240" w:line="0" w:lineRule="atLeast"/>
      <w:ind w:left="2880" w:hanging="576"/>
      <w:jc w:val="both"/>
    </w:pPr>
    <w:rPr>
      <w:rFonts w:hint="default" w:ascii="Times New Roman" w:hAnsi="Times New Roman" w:eastAsia="全真中明體" w:cs="Times New Roman"/>
      <w:spacing w:val="30"/>
      <w:sz w:val="24"/>
      <w:lang w:val="en-GB" w:eastAsia="zh-TW" w:bidi="ar-SA"/>
    </w:rPr>
  </w:style>
  <w:style w:type="paragraph" w:customStyle="1" w:styleId="487">
    <w:name w:val="WPSOffice手动目录 2"/>
    <w:qFormat/>
    <w:uiPriority w:val="0"/>
    <w:pPr>
      <w:ind w:left="200"/>
    </w:pPr>
    <w:rPr>
      <w:rFonts w:hint="default" w:ascii="Times New Roman" w:hAnsi="Times New Roman" w:eastAsia="宋体" w:cs="Times New Roman"/>
      <w:lang w:val="en-US" w:eastAsia="zh-CN" w:bidi="ar-SA"/>
    </w:rPr>
  </w:style>
  <w:style w:type="paragraph" w:customStyle="1" w:styleId="488">
    <w:name w:val="正文图标题"/>
    <w:basedOn w:val="1"/>
    <w:next w:val="104"/>
    <w:qFormat/>
    <w:uiPriority w:val="0"/>
    <w:pPr>
      <w:widowControl/>
      <w:tabs>
        <w:tab w:val="left" w:pos="480"/>
      </w:tabs>
      <w:ind w:left="720" w:hanging="720"/>
      <w:jc w:val="center"/>
    </w:pPr>
    <w:rPr>
      <w:rFonts w:hint="eastAsia" w:ascii="黑体" w:eastAsia="黑体"/>
      <w:sz w:val="20"/>
      <w:szCs w:val="20"/>
    </w:rPr>
  </w:style>
  <w:style w:type="paragraph" w:customStyle="1" w:styleId="489">
    <w:name w:val="正文编号"/>
    <w:basedOn w:val="1"/>
    <w:qFormat/>
    <w:uiPriority w:val="0"/>
    <w:pPr>
      <w:tabs>
        <w:tab w:val="left" w:pos="720"/>
      </w:tabs>
      <w:spacing w:line="400" w:lineRule="exact"/>
    </w:pPr>
    <w:rPr>
      <w:rFonts w:eastAsia="楷体_GB2312"/>
      <w:spacing w:val="8"/>
      <w:sz w:val="28"/>
      <w:szCs w:val="20"/>
    </w:rPr>
  </w:style>
  <w:style w:type="paragraph" w:customStyle="1" w:styleId="490">
    <w:name w:val="样式 Numbered list 2.1 +"/>
    <w:basedOn w:val="1"/>
    <w:qFormat/>
    <w:uiPriority w:val="0"/>
    <w:pPr>
      <w:keepNext/>
      <w:widowControl/>
      <w:tabs>
        <w:tab w:val="left" w:pos="425"/>
        <w:tab w:val="left" w:pos="720"/>
      </w:tabs>
      <w:spacing w:before="240" w:after="60"/>
      <w:ind w:left="709" w:hanging="709"/>
      <w:jc w:val="left"/>
      <w:outlineLvl w:val="0"/>
    </w:pPr>
    <w:rPr>
      <w:rFonts w:ascii="Futura Bk" w:hAnsi="Futura Bk"/>
      <w:b/>
      <w:bCs/>
      <w:sz w:val="28"/>
      <w:szCs w:val="20"/>
      <w:lang w:eastAsia="en-US"/>
    </w:rPr>
  </w:style>
  <w:style w:type="paragraph" w:customStyle="1" w:styleId="491">
    <w:name w:val="Section VII Header2"/>
    <w:basedOn w:val="2"/>
    <w:qFormat/>
    <w:uiPriority w:val="0"/>
    <w:pPr>
      <w:keepNext w:val="0"/>
      <w:keepLines w:val="0"/>
      <w:widowControl/>
      <w:tabs>
        <w:tab w:val="right" w:pos="9000"/>
      </w:tabs>
      <w:spacing w:before="120" w:after="120" w:line="260" w:lineRule="exact"/>
      <w:ind w:right="12"/>
      <w:jc w:val="center"/>
      <w:outlineLvl w:val="9"/>
    </w:pPr>
    <w:rPr>
      <w:rFonts w:ascii="宋体" w:hAnsi="宋体" w:eastAsia="宋体" w:cs="Arial"/>
      <w:bCs/>
      <w:sz w:val="24"/>
    </w:rPr>
  </w:style>
  <w:style w:type="paragraph" w:customStyle="1" w:styleId="492">
    <w:name w:val="HPC正文"/>
    <w:basedOn w:val="1"/>
    <w:qFormat/>
    <w:uiPriority w:val="0"/>
    <w:pPr>
      <w:spacing w:line="360" w:lineRule="auto"/>
      <w:ind w:firstLine="424"/>
    </w:pPr>
    <w:rPr>
      <w:sz w:val="24"/>
    </w:rPr>
  </w:style>
  <w:style w:type="paragraph" w:customStyle="1" w:styleId="493">
    <w:name w:val="示例"/>
    <w:next w:val="104"/>
    <w:qFormat/>
    <w:uiPriority w:val="0"/>
    <w:pPr>
      <w:tabs>
        <w:tab w:val="left" w:pos="720"/>
        <w:tab w:val="left" w:pos="816"/>
      </w:tabs>
      <w:ind w:left="720" w:firstLine="419"/>
      <w:jc w:val="both"/>
    </w:pPr>
    <w:rPr>
      <w:rFonts w:hint="default" w:ascii="宋体" w:hAnsi="Times New Roman" w:eastAsia="宋体" w:cs="Times New Roman"/>
      <w:sz w:val="18"/>
      <w:lang w:val="en-US" w:eastAsia="zh-CN" w:bidi="ar-SA"/>
    </w:rPr>
  </w:style>
  <w:style w:type="paragraph" w:customStyle="1" w:styleId="494">
    <w:name w:val="Sub Item List"/>
    <w:basedOn w:val="1"/>
    <w:qFormat/>
    <w:uiPriority w:val="0"/>
    <w:pPr>
      <w:widowControl/>
      <w:tabs>
        <w:tab w:val="left" w:pos="397"/>
        <w:tab w:val="left" w:pos="1922"/>
      </w:tabs>
      <w:spacing w:before="80" w:line="240" w:lineRule="atLeast"/>
      <w:ind w:left="397" w:hanging="397"/>
      <w:jc w:val="left"/>
    </w:pPr>
    <w:rPr>
      <w:rFonts w:hint="eastAsia" w:cs="Arial"/>
      <w:szCs w:val="21"/>
    </w:rPr>
  </w:style>
  <w:style w:type="paragraph" w:customStyle="1" w:styleId="495">
    <w:name w:val="xl62"/>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sz w:val="22"/>
      <w:szCs w:val="20"/>
    </w:rPr>
  </w:style>
  <w:style w:type="paragraph" w:customStyle="1" w:styleId="496">
    <w:name w:val="一级项目符号"/>
    <w:basedOn w:val="1"/>
    <w:qFormat/>
    <w:uiPriority w:val="0"/>
    <w:pPr>
      <w:widowControl/>
      <w:tabs>
        <w:tab w:val="left" w:pos="425"/>
        <w:tab w:val="left" w:pos="840"/>
      </w:tabs>
      <w:spacing w:line="360" w:lineRule="auto"/>
      <w:ind w:left="425" w:hanging="425"/>
    </w:pPr>
    <w:rPr>
      <w:rFonts w:ascii="Calibri" w:hAnsi="Calibri"/>
      <w:sz w:val="24"/>
    </w:rPr>
  </w:style>
  <w:style w:type="paragraph" w:customStyle="1" w:styleId="497">
    <w:name w:val="列项——"/>
    <w:qFormat/>
    <w:uiPriority w:val="0"/>
    <w:pPr>
      <w:widowControl w:val="0"/>
      <w:tabs>
        <w:tab w:val="left" w:pos="720"/>
        <w:tab w:val="left" w:pos="854"/>
        <w:tab w:val="left" w:pos="1035"/>
      </w:tabs>
      <w:ind w:left="200" w:hanging="200"/>
      <w:jc w:val="both"/>
    </w:pPr>
    <w:rPr>
      <w:rFonts w:hint="default" w:ascii="宋体" w:hAnsi="Times New Roman" w:eastAsia="宋体" w:cs="Times New Roman"/>
      <w:sz w:val="21"/>
      <w:lang w:val="en-US" w:eastAsia="zh-CN" w:bidi="ar-SA"/>
    </w:rPr>
  </w:style>
  <w:style w:type="paragraph" w:customStyle="1" w:styleId="498">
    <w:name w:val="Char Char1 Char Char Char Char Char Char Char Char Char Char Char Char Char Char Char"/>
    <w:basedOn w:val="1"/>
    <w:qFormat/>
    <w:uiPriority w:val="0"/>
    <w:pPr>
      <w:widowControl/>
      <w:tabs>
        <w:tab w:val="left" w:pos="4200"/>
        <w:tab w:val="left" w:pos="4260"/>
      </w:tabs>
      <w:spacing w:after="160" w:line="240" w:lineRule="exact"/>
      <w:ind w:left="4260"/>
      <w:jc w:val="left"/>
    </w:pPr>
    <w:rPr>
      <w:rFonts w:ascii="Verdana" w:hAnsi="Verdana"/>
      <w:sz w:val="20"/>
      <w:szCs w:val="20"/>
      <w:lang w:eastAsia="en-US"/>
    </w:rPr>
  </w:style>
  <w:style w:type="paragraph" w:customStyle="1" w:styleId="499">
    <w:name w:val="Default"/>
    <w:qFormat/>
    <w:uiPriority w:val="0"/>
    <w:pPr>
      <w:widowControl w:val="0"/>
    </w:pPr>
    <w:rPr>
      <w:rFonts w:hint="default" w:ascii="Times New Roman" w:hAnsi="Times New Roman" w:eastAsia="宋体" w:cs="Times New Roman"/>
      <w:color w:val="000000"/>
      <w:sz w:val="24"/>
      <w:szCs w:val="24"/>
      <w:lang w:val="en-US" w:eastAsia="zh-CN" w:bidi="ar-SA"/>
    </w:rPr>
  </w:style>
  <w:style w:type="paragraph" w:customStyle="1" w:styleId="500">
    <w:name w:val="Char11"/>
    <w:basedOn w:val="1"/>
    <w:qFormat/>
    <w:uiPriority w:val="0"/>
    <w:pPr>
      <w:spacing w:line="360" w:lineRule="auto"/>
    </w:pPr>
    <w:rPr>
      <w:sz w:val="24"/>
      <w:szCs w:val="20"/>
    </w:rPr>
  </w:style>
  <w:style w:type="paragraph" w:customStyle="1" w:styleId="501">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12"/>
      <w:szCs w:val="12"/>
    </w:rPr>
  </w:style>
  <w:style w:type="paragraph" w:customStyle="1" w:styleId="502">
    <w:name w:val="Body text|3"/>
    <w:basedOn w:val="1"/>
    <w:qFormat/>
    <w:uiPriority w:val="0"/>
    <w:pPr>
      <w:ind w:left="260" w:hanging="260"/>
      <w:jc w:val="left"/>
    </w:pPr>
    <w:rPr>
      <w:color w:val="000000"/>
      <w:sz w:val="26"/>
      <w:szCs w:val="26"/>
    </w:rPr>
  </w:style>
  <w:style w:type="paragraph" w:customStyle="1" w:styleId="503">
    <w:name w:val="Body text|1"/>
    <w:basedOn w:val="87"/>
    <w:qFormat/>
    <w:uiPriority w:val="0"/>
    <w:pPr>
      <w:spacing w:line="417" w:lineRule="auto"/>
      <w:ind w:firstLine="400"/>
      <w:jc w:val="left"/>
    </w:pPr>
    <w:rPr>
      <w:rFonts w:ascii="宋体" w:hAnsi="宋体" w:cs="宋体"/>
      <w:color w:val="000000"/>
      <w:sz w:val="30"/>
      <w:szCs w:val="30"/>
    </w:rPr>
  </w:style>
  <w:style w:type="character" w:customStyle="1" w:styleId="504">
    <w:name w:val="font51"/>
    <w:basedOn w:val="53"/>
    <w:qFormat/>
    <w:uiPriority w:val="0"/>
    <w:rPr>
      <w:rFonts w:hint="eastAsia" w:ascii="宋体" w:hAnsi="宋体" w:eastAsia="宋体" w:cs="宋体"/>
      <w:b/>
      <w:color w:val="000000"/>
      <w:sz w:val="36"/>
      <w:szCs w:val="36"/>
      <w:u w:val="none"/>
    </w:rPr>
  </w:style>
  <w:style w:type="character" w:customStyle="1" w:styleId="505">
    <w:name w:val="font41"/>
    <w:basedOn w:val="53"/>
    <w:qFormat/>
    <w:uiPriority w:val="0"/>
    <w:rPr>
      <w:rFonts w:hint="eastAsia" w:ascii="宋体" w:hAnsi="宋体" w:eastAsia="宋体" w:cs="宋体"/>
      <w:color w:val="000000"/>
      <w:sz w:val="22"/>
      <w:szCs w:val="22"/>
      <w:u w:val="none"/>
    </w:rPr>
  </w:style>
  <w:style w:type="character" w:customStyle="1" w:styleId="506">
    <w:name w:val="font31"/>
    <w:basedOn w:val="53"/>
    <w:qFormat/>
    <w:uiPriority w:val="0"/>
    <w:rPr>
      <w:rFonts w:hint="default" w:ascii="Calibri" w:hAnsi="Calibri" w:eastAsia="宋体" w:cs="Calibri"/>
      <w:color w:val="000000"/>
      <w:sz w:val="22"/>
      <w:szCs w:val="22"/>
      <w:u w:val="none"/>
    </w:rPr>
  </w:style>
  <w:style w:type="character" w:customStyle="1" w:styleId="507">
    <w:name w:val="NormalCharacter"/>
    <w:semiHidden/>
    <w:qFormat/>
    <w:uiPriority w:val="0"/>
    <w:rPr>
      <w:rFonts w:hint="default" w:ascii="Times New Roman" w:hAnsi="Times New Roman" w:eastAsia="宋体" w:cs="Times New Roman"/>
      <w:sz w:val="21"/>
      <w:szCs w:val="24"/>
    </w:rPr>
  </w:style>
  <w:style w:type="character" w:customStyle="1" w:styleId="508">
    <w:name w:val="bsharetext"/>
    <w:basedOn w:val="53"/>
    <w:qFormat/>
    <w:uiPriority w:val="0"/>
  </w:style>
  <w:style w:type="paragraph" w:customStyle="1" w:styleId="509">
    <w:name w:val="普通(网站)1"/>
    <w:basedOn w:val="90"/>
    <w:qFormat/>
    <w:uiPriority w:val="0"/>
    <w:pPr>
      <w:spacing w:before="100" w:beforeAutospacing="1" w:after="100" w:afterAutospacing="1"/>
      <w:jc w:val="left"/>
    </w:pPr>
    <w:rPr>
      <w:rFonts w:ascii="宋体" w:hAnsi="宋体"/>
      <w:sz w:val="24"/>
      <w:szCs w:val="24"/>
    </w:rPr>
  </w:style>
  <w:style w:type="paragraph" w:customStyle="1" w:styleId="510">
    <w:name w:val="Fließtext"/>
    <w:basedOn w:val="1"/>
    <w:qFormat/>
    <w:uiPriority w:val="99"/>
    <w:rPr>
      <w:rFonts w:ascii="Calibri" w:hAnsi="Calibri"/>
    </w:rPr>
  </w:style>
  <w:style w:type="character" w:customStyle="1" w:styleId="511">
    <w:name w:val="超链接1"/>
    <w:link w:val="89"/>
    <w:qFormat/>
    <w:uiPriority w:val="0"/>
    <w:rPr>
      <w:rFonts w:ascii="Times New Roman" w:hAnsi="Times New Roman" w:eastAsia="宋体"/>
      <w:sz w:val="21"/>
      <w:szCs w:val="24"/>
      <w:lang w:val="en-US" w:eastAsia="zh-CN" w:bidi="ar-SA"/>
    </w:rPr>
  </w:style>
  <w:style w:type="character" w:customStyle="1" w:styleId="512">
    <w:name w:val="页码1"/>
    <w:link w:val="90"/>
    <w:qFormat/>
    <w:uiPriority w:val="0"/>
    <w:rPr>
      <w:rFonts w:hint="default" w:ascii="Times New Roman" w:hAnsi="Times New Roman" w:eastAsia="宋体" w:cs="Times New Roman"/>
      <w:lang w:val="en-US" w:eastAsia="zh-CN" w:bidi="ar-SA"/>
    </w:rPr>
  </w:style>
  <w:style w:type="paragraph" w:customStyle="1" w:styleId="513">
    <w:name w:val="批注文字1"/>
    <w:basedOn w:val="90"/>
    <w:semiHidden/>
    <w:qFormat/>
    <w:uiPriority w:val="0"/>
    <w:pPr>
      <w:jc w:val="left"/>
    </w:pPr>
    <w:rPr>
      <w:sz w:val="21"/>
    </w:rPr>
  </w:style>
  <w:style w:type="paragraph" w:customStyle="1" w:styleId="514">
    <w:name w:val="寄信人地址11"/>
    <w:basedOn w:val="90"/>
    <w:qFormat/>
    <w:uiPriority w:val="0"/>
    <w:rPr>
      <w:rFonts w:ascii="Arial" w:hAnsi="Arial"/>
    </w:rPr>
  </w:style>
  <w:style w:type="paragraph" w:customStyle="1" w:styleId="515">
    <w:name w:val="正文文本 21"/>
    <w:basedOn w:val="1"/>
    <w:qFormat/>
    <w:uiPriority w:val="0"/>
    <w:pPr>
      <w:widowControl/>
      <w:jc w:val="center"/>
    </w:pPr>
    <w:rPr>
      <w:rFonts w:ascii="楷体_GB2312" w:eastAsia="楷体_GB2312"/>
      <w:sz w:val="28"/>
      <w:szCs w:val="28"/>
    </w:rPr>
  </w:style>
  <w:style w:type="paragraph" w:customStyle="1" w:styleId="516">
    <w:name w:val="正文文本_0"/>
    <w:basedOn w:val="307"/>
    <w:qFormat/>
    <w:uiPriority w:val="0"/>
    <w:pPr>
      <w:spacing w:after="60" w:line="360" w:lineRule="atLeast"/>
      <w:ind w:left="72" w:right="30"/>
      <w:jc w:val="center"/>
    </w:pPr>
    <w:rPr>
      <w:sz w:val="20"/>
    </w:rPr>
  </w:style>
  <w:style w:type="table" w:customStyle="1" w:styleId="517">
    <w:name w:val="网格型111"/>
    <w:qFormat/>
    <w:uiPriority w:val="0"/>
    <w:tblPr>
      <w:tblCellMar>
        <w:top w:w="0" w:type="dxa"/>
        <w:left w:w="0" w:type="dxa"/>
        <w:bottom w:w="0" w:type="dxa"/>
        <w:right w:w="0" w:type="dxa"/>
      </w:tblCellMar>
    </w:tblPr>
  </w:style>
  <w:style w:type="paragraph" w:customStyle="1" w:styleId="518">
    <w:name w:val="_Style 2"/>
    <w:basedOn w:val="124"/>
    <w:next w:val="1"/>
    <w:qFormat/>
    <w:uiPriority w:val="0"/>
    <w:pPr>
      <w:spacing w:line="576" w:lineRule="auto"/>
      <w:jc w:val="both"/>
      <w:outlineLvl w:val="9"/>
    </w:pPr>
  </w:style>
  <w:style w:type="character" w:customStyle="1" w:styleId="519">
    <w:name w:val="NormalCharacter1"/>
    <w:semiHidden/>
    <w:qFormat/>
    <w:uiPriority w:val="0"/>
    <w:rPr>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Arial"/>
      </a:majorFont>
      <a:minorFont>
        <a:latin typeface="等线"/>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48</Pages>
  <Words>17799</Words>
  <Characters>18834</Characters>
  <TotalTime>13</TotalTime>
  <ScaleCrop>false</ScaleCrop>
  <LinksUpToDate>false</LinksUpToDate>
  <CharactersWithSpaces>19111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2025-12-19T03:29:00Z</dcterms:created>
  <dc:creator>xz</dc:creator>
  <cp:lastModifiedBy>丶Simple</cp:lastModifiedBy>
  <dcterms:modified xsi:type="dcterms:W3CDTF">2026-09-10T03:32:03Z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5409BCF61B1B4ADABEC94C4448350B86</vt:lpwstr>
  </property>
  <property fmtid="{D5CDD505-2E9C-101B-9397-08002B2CF9AE}" pid="4" name="commondata">
    <vt:lpwstr>eyJoZGlkIjoiZjE1Yzg0ZTk2YmZkN2Q4OWRhMThhOGViZDNmODgwMjIifQ==</vt:lpwstr>
  </property>
  <property fmtid="{D5CDD505-2E9C-101B-9397-08002B2CF9AE}" pid="5" name="KSOTemplateDocerSaveRecord">
    <vt:lpwstr>eyJoZGlkIjoiZGY0MWE3OGQxNjc3OGQ1ZDFhMDdhYjA4NGYyYjI4MmUiLCJ1c2VySWQiOiI1NzU3OTAzMzcifQ==</vt:lpwstr>
  </property>
</Properties>
</file>