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878"/>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878"/>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8"/>
          <w:szCs w:val="28"/>
        </w:rPr>
      </w:pPr>
      <w:r>
        <w:rPr>
          <w:rFonts w:hint="eastAsia" w:ascii="宋体" w:hAnsi="宋体" w:cs="宋体"/>
          <w:b/>
          <w:color w:val="auto"/>
          <w:spacing w:val="76"/>
          <w:sz w:val="112"/>
          <w:szCs w:val="112"/>
        </w:rPr>
        <w:t xml:space="preserve">招标文件</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pStyle w:val="878"/>
        <w:rPr>
          <w:rFonts w:hint="eastAsia" w:ascii="宋体" w:hAnsi="宋体" w:cs="宋体"/>
          <w:color w:val="auto"/>
          <w:sz w:val="28"/>
          <w:szCs w:val="28"/>
        </w:rPr>
      </w:pPr>
      <w:r>
        <w:rPr>
          <w:rFonts w:hint="eastAsia" w:ascii="宋体" w:hAnsi="宋体" w:cs="宋体"/>
          <w:color w:val="auto"/>
          <w:sz w:val="28"/>
          <w:szCs w:val="28"/>
        </w:rPr>
      </w:r>
      <w:r/>
    </w:p>
    <w:p>
      <w:pPr>
        <w:pStyle w:val="878"/>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项目编号：</w:t>
      </w:r>
      <w:r>
        <w:rPr>
          <w:rFonts w:hint="eastAsia" w:ascii="宋体" w:hAnsi="宋体" w:cs="宋体"/>
          <w:color w:val="auto"/>
          <w:sz w:val="32"/>
          <w:szCs w:val="32"/>
          <w:lang w:eastAsia="zh-CN"/>
        </w:rPr>
        <w:t xml:space="preserve">JSZC-320300-HWZX-G2026-0644</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cs="宋体"/>
          <w:color w:val="auto"/>
          <w:sz w:val="32"/>
          <w:szCs w:val="32"/>
          <w:lang w:eastAsia="zh-CN"/>
        </w:rPr>
      </w:pPr>
      <w:r>
        <w:rPr>
          <w:rFonts w:hint="eastAsia" w:ascii="宋体" w:hAnsi="宋体" w:cs="宋体"/>
          <w:color w:val="auto"/>
          <w:sz w:val="32"/>
          <w:szCs w:val="32"/>
          <w:lang w:eastAsia="zh-CN"/>
        </w:rPr>
        <w:t xml:space="preserve">项目</w:t>
      </w:r>
      <w:r>
        <w:rPr>
          <w:rFonts w:hint="eastAsia" w:ascii="宋体" w:hAnsi="宋体" w:cs="宋体"/>
          <w:color w:val="auto"/>
          <w:sz w:val="32"/>
          <w:szCs w:val="32"/>
        </w:rPr>
        <w:t xml:space="preserve">名称：</w:t>
      </w:r>
      <w:r>
        <w:rPr>
          <w:rFonts w:hint="eastAsia" w:ascii="宋体" w:hAnsi="宋体" w:cs="宋体"/>
          <w:color w:val="auto"/>
          <w:sz w:val="32"/>
          <w:szCs w:val="32"/>
          <w:lang w:eastAsia="zh-CN"/>
        </w:rPr>
        <w:t xml:space="preserve">病理诊断中心常用低值易耗品采购项目</w:t>
      </w:r>
      <w:r/>
    </w:p>
    <w:p>
      <w:pPr>
        <w:ind w:firstLine="96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徐州市中心医院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pStyle w:val="871"/>
        <w:ind w:firstLine="0"/>
        <w:rPr>
          <w:rFonts w:hint="eastAsia" w:hAnsi="宋体" w:cs="宋体"/>
          <w:color w:val="auto"/>
          <w:sz w:val="28"/>
          <w:szCs w:val="28"/>
        </w:rPr>
      </w:pPr>
      <w:r/>
      <w:bookmarkStart w:id="2" w:name="_GoBack"/>
      <w:r/>
      <w:bookmarkEnd w:id="2"/>
      <w:r/>
      <w:r/>
    </w:p>
    <w:p>
      <w:pPr>
        <w:pStyle w:val="883"/>
        <w:ind w:left="0" w:firstLine="0"/>
        <w:rPr>
          <w:rFonts w:hint="eastAsia" w:ascii="宋体" w:hAnsi="宋体" w:cs="宋体"/>
          <w:color w:val="auto"/>
          <w:sz w:val="28"/>
          <w:szCs w:val="28"/>
        </w:rPr>
      </w:pPr>
      <w:r>
        <w:rPr>
          <w:rFonts w:hint="eastAsia" w:ascii="宋体" w:hAnsi="宋体" w:cs="宋体"/>
          <w:color w:val="auto"/>
          <w:sz w:val="28"/>
          <w:szCs w:val="28"/>
        </w:rPr>
      </w:r>
      <w:r/>
    </w:p>
    <w:p>
      <w:pPr>
        <w:ind w:right="-159" w:firstLine="1440"/>
        <w:jc w:val="left"/>
        <w:spacing w:line="300" w:lineRule="auto"/>
        <w:rPr>
          <w:rFonts w:hint="eastAsia" w:ascii="宋体" w:hAnsi="宋体" w:cs="宋体"/>
          <w:color w:val="auto"/>
          <w:sz w:val="28"/>
          <w:szCs w:val="28"/>
        </w:rPr>
      </w:pPr>
      <w:r>
        <w:rPr>
          <w:rFonts w:hint="eastAsia"/>
          <w:color w:val="000000"/>
          <w:sz w:val="44"/>
          <w:highlight w:val="none"/>
          <w:lang w:val="en-US" w:eastAsia="zh-CN"/>
        </w:rPr>
        <w:t xml:space="preserve">       </w:t>
      </w:r>
      <w:r>
        <w:rPr>
          <w:rFonts w:hint="eastAsia"/>
          <w:color w:val="000000"/>
          <w:sz w:val="44"/>
          <w:highlight w:val="none"/>
        </w:rPr>
        <mc:AlternateContent>
          <mc:Choice Requires="wpg">
            <w:drawing>
              <wp:inline xmlns:wp="http://schemas.openxmlformats.org/drawingml/2006/wordprocessingDrawing" distT="0" distB="0" distL="0" distR="0">
                <wp:extent cx="1511935" cy="1033780"/>
                <wp:effectExtent l="0" t="0" r="12065" b="13970"/>
                <wp:docPr id="5"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蓝色透明底PNG"/>
                        <pic:cNvPicPr>
                          <a:picLocks noChangeAspect="1"/>
                        </pic:cNvPicPr>
                        <pic:nvPr/>
                      </pic:nvPicPr>
                      <pic:blipFill>
                        <a:blip r:embed="rId19"/>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9" o:title=""/>
              </v:shape>
            </w:pict>
          </mc:Fallback>
        </mc:AlternateContent>
      </w:r>
      <w:r/>
    </w:p>
    <w:p>
      <w:pPr>
        <w:jc w:val="both"/>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十</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905"/>
          <w:rFonts w:hint="eastAsia" w:ascii="宋体" w:hAnsi="宋体" w:cs="宋体"/>
          <w:color w:val="auto"/>
          <w:sz w:val="28"/>
          <w:szCs w:val="28"/>
          <w:u w:val="none"/>
        </w:rPr>
        <w:t xml:space="preserve">第一章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投标邀请</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905"/>
          <w:rFonts w:hint="eastAsia" w:ascii="宋体" w:hAnsi="宋体" w:cs="宋体"/>
          <w:color w:val="auto"/>
          <w:sz w:val="28"/>
          <w:szCs w:val="28"/>
          <w:u w:val="none"/>
        </w:rPr>
        <w:t xml:space="preserve">第二章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投标人须知</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905"/>
          <w:rFonts w:hint="eastAsia" w:ascii="宋体" w:hAnsi="宋体" w:cs="宋体"/>
          <w:color w:val="auto"/>
          <w:sz w:val="28"/>
          <w:szCs w:val="28"/>
          <w:u w:val="none"/>
        </w:rPr>
        <w:t xml:space="preserve">第三章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投标资料表</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905"/>
          <w:rFonts w:hint="eastAsia" w:ascii="宋体" w:hAnsi="宋体" w:cs="宋体"/>
          <w:color w:val="auto"/>
          <w:sz w:val="28"/>
          <w:szCs w:val="28"/>
          <w:u w:val="none"/>
        </w:rPr>
        <w:t xml:space="preserve">第四章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评标标准</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905"/>
          <w:rFonts w:hint="eastAsia" w:ascii="宋体" w:hAnsi="宋体" w:cs="宋体"/>
          <w:color w:val="auto"/>
          <w:sz w:val="28"/>
          <w:szCs w:val="28"/>
          <w:u w:val="none"/>
        </w:rPr>
        <w:t xml:space="preserve">第五章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拟签订的合同文本</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905"/>
          <w:rFonts w:hint="eastAsia" w:ascii="宋体" w:hAnsi="宋体" w:cs="宋体"/>
          <w:color w:val="auto"/>
          <w:sz w:val="28"/>
          <w:szCs w:val="28"/>
          <w:u w:val="none"/>
        </w:rPr>
        <w:t xml:space="preserve">第六章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采购需求</w:t>
      </w:r>
      <w:r>
        <w:rPr>
          <w:rStyle w:val="905"/>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905"/>
          <w:rFonts w:hint="eastAsia" w:ascii="宋体" w:hAnsi="宋体" w:cs="宋体"/>
          <w:color w:val="auto"/>
          <w:sz w:val="28"/>
          <w:szCs w:val="28"/>
          <w:u w:val="none"/>
        </w:rPr>
        <w:t xml:space="preserve">第七章</w:t>
      </w:r>
      <w:r>
        <w:rPr>
          <w:rStyle w:val="905"/>
          <w:rFonts w:hint="eastAsia" w:ascii="宋体" w:hAnsi="宋体" w:cs="宋体"/>
          <w:color w:val="auto"/>
          <w:sz w:val="28"/>
          <w:szCs w:val="28"/>
          <w:u w:val="none"/>
          <w:lang w:val="en-US" w:eastAsia="zh-CN"/>
        </w:rPr>
        <w:t xml:space="preserve"> </w:t>
      </w:r>
      <w:r>
        <w:rPr>
          <w:rStyle w:val="905"/>
          <w:rFonts w:hint="eastAsia" w:ascii="宋体" w:hAnsi="宋体" w:cs="宋体"/>
          <w:color w:val="auto"/>
          <w:sz w:val="28"/>
          <w:szCs w:val="28"/>
          <w:u w:val="none"/>
        </w:rPr>
        <w:t xml:space="preserve">投标文件相关格式</w:t>
      </w:r>
      <w:r>
        <w:rPr>
          <w:rStyle w:val="905"/>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519" w:lineRule="atLeast"/>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徐州市中心医院</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病理诊断中心常用低值易耗品采购项目</w:t>
      </w:r>
      <w:r>
        <w:rPr>
          <w:rFonts w:hint="eastAsia" w:ascii="宋体" w:hAnsi="宋体" w:cs="宋体"/>
          <w:b/>
          <w:color w:val="auto"/>
          <w:sz w:val="36"/>
          <w:szCs w:val="36"/>
        </w:rPr>
        <w:t xml:space="preserve">》</w:t>
      </w:r>
      <w:r/>
    </w:p>
    <w:p>
      <w:pPr>
        <w:jc w:val="center"/>
        <w:spacing w:line="519" w:lineRule="atLeast"/>
        <w:rPr>
          <w:rFonts w:hint="eastAsia"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病理诊断中心常用低值易耗品采购项目</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病理诊断中心常用低值易耗品采购项目</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JSZC-320300-HWZX-G2026-0644</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（一）潜在投标人访问电子招标投标交易平台的网络地址和方法：</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（2）潜在供应商访问“苏采云”系统的网络地址和方法：“苏采云”系统的网址：</w:t>
      </w:r>
      <w:r>
        <w:rPr>
          <w:rFonts w:hint="eastAsia" w:ascii="宋体" w:hAnsi="宋体" w:cs="宋体"/>
          <w:color w:val="auto"/>
          <w:sz w:val="24"/>
          <w:lang w:eastAsia="zh-CN"/>
        </w:rPr>
        <w:t xml:space="preserve">https://jszfcg.jsczt.cn/jszc/login</w:t>
      </w:r>
      <w:r>
        <w:rPr>
          <w:rFonts w:hint="eastAsia" w:ascii="宋体" w:hAnsi="宋体" w:eastAsia="宋体" w:cs="宋体"/>
          <w:color w:val="auto"/>
          <w:sz w:val="24"/>
        </w:rPr>
        <w:t xml:space="preserve">/；或进入徐州政府采购网（网址：https://czj.xz.gov.cn/zfcg/index.html）--办事指南--供应商--供应商登录入口，点击“苏采云”进入系统。</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（3）“CA数字证书”的获取：</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lang w:val="en-US" w:eastAsia="zh-CN"/>
        </w:rPr>
        <w:t xml:space="preserve"> 11</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11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11</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lang w:val="en-US" w:eastAsia="zh-CN"/>
        </w:rPr>
        <w:t xml:space="preserve"> 11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w:t>
      </w:r>
      <w:r>
        <w:rPr>
          <w:rFonts w:hint="eastAsia" w:ascii="宋体" w:hAnsi="宋体" w:cs="宋体"/>
          <w:color w:val="auto"/>
          <w:sz w:val="24"/>
          <w:szCs w:val="24"/>
          <w:lang w:eastAsia="zh-CN"/>
        </w:rPr>
        <w:t xml:space="preserve">徐州市中心医院</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（二）地址：徐州市解放路199号</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徐青松</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（四）联系电话：0516-83956095</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w:t>
      </w:r>
      <w:r>
        <w:rPr>
          <w:rFonts w:hint="eastAsia" w:ascii="宋体" w:hAnsi="宋体" w:cs="宋体"/>
          <w:color w:val="auto"/>
          <w:sz w:val="24"/>
          <w:szCs w:val="24"/>
          <w:lang w:val="en-US" w:eastAsia="zh-CN"/>
        </w:rPr>
        <w:t xml:space="preserve">孙逊、丁伯瑶</w:t>
      </w:r>
      <w:r/>
    </w:p>
    <w:p>
      <w:pPr>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（四）联系方式：0516-83999</w:t>
      </w:r>
      <w:r>
        <w:rPr>
          <w:rFonts w:hint="eastAsia" w:ascii="宋体" w:hAnsi="宋体" w:cs="宋体"/>
          <w:color w:val="auto"/>
          <w:sz w:val="24"/>
          <w:szCs w:val="24"/>
          <w:lang w:val="en-US" w:eastAsia="zh-CN"/>
        </w:rPr>
        <w:t xml:space="preserve">306</w:t>
      </w:r>
      <w:r/>
    </w:p>
    <w:p>
      <w:pPr>
        <w:jc w:val="center"/>
        <w:spacing w:line="720" w:lineRule="atLeast"/>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w:t>
      </w:r>
      <w:r>
        <w:rPr>
          <w:rFonts w:hint="eastAsia" w:ascii="宋体" w:hAnsi="宋体" w:cs="宋体"/>
          <w:color w:val="auto"/>
          <w:sz w:val="24"/>
          <w:szCs w:val="24"/>
          <w:lang w:val="en-US" w:eastAsia="zh-CN"/>
        </w:rPr>
        <w:t xml:space="preserve">开标</w:t>
      </w:r>
      <w:r>
        <w:rPr>
          <w:rFonts w:hint="eastAsia" w:ascii="宋体" w:hAnsi="宋体" w:cs="宋体"/>
          <w:color w:val="auto"/>
          <w:sz w:val="24"/>
          <w:szCs w:val="24"/>
        </w:rPr>
        <w:t xml:space="preserve">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905"/>
          <w:rFonts w:hint="eastAsia" w:ascii="宋体" w:hAnsi="宋体" w:cs="宋体"/>
          <w:color w:val="auto"/>
          <w:sz w:val="24"/>
          <w:szCs w:val="24"/>
          <w:u w:val="none"/>
        </w:rPr>
        <w:t xml:space="preserve">政府采购</w:t>
      </w:r>
      <w:r>
        <w:rPr>
          <w:rStyle w:val="905"/>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905"/>
          <w:rFonts w:hint="eastAsia" w:ascii="宋体" w:hAnsi="宋体" w:cs="宋体"/>
          <w:color w:val="auto"/>
          <w:sz w:val="24"/>
          <w:szCs w:val="24"/>
          <w:u w:val="none"/>
        </w:rPr>
        <w:t xml:space="preserve">最低评标价法</w:t>
      </w:r>
      <w:r>
        <w:rPr>
          <w:rStyle w:val="90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905"/>
          <w:rFonts w:hint="eastAsia" w:ascii="宋体" w:hAnsi="宋体" w:cs="宋体"/>
          <w:color w:val="auto"/>
          <w:sz w:val="24"/>
          <w:szCs w:val="24"/>
          <w:u w:val="none"/>
        </w:rPr>
        <w:t xml:space="preserve">综合评分法</w:t>
      </w:r>
      <w:r>
        <w:rPr>
          <w:rStyle w:val="905"/>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0"/>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w:t>
      </w:r>
      <w:r>
        <w:rPr>
          <w:rFonts w:hint="eastAsia" w:ascii="宋体" w:hAnsi="宋体" w:cs="宋体"/>
          <w:color w:val="auto"/>
          <w:sz w:val="24"/>
          <w:szCs w:val="24"/>
          <w:lang w:eastAsia="zh-CN"/>
        </w:rPr>
        <w:t xml:space="preserve">https://jszfcg.jsczt.cn/jszc/login</w:t>
      </w:r>
      <w:r>
        <w:rPr>
          <w:rFonts w:hint="eastAsia" w:ascii="宋体" w:hAnsi="宋体" w:cs="宋体"/>
          <w:color w:val="auto"/>
          <w:sz w:val="24"/>
          <w:szCs w:val="24"/>
        </w:rPr>
        <w:t xml:space="preserve">/）相关要求是本招标文件的组成部分。</w:t>
      </w:r>
      <w:r/>
    </w:p>
    <w:p>
      <w:pPr>
        <w:ind w:firstLine="602"/>
        <w:jc w:val="center"/>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600"/>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03"/>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总则</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徐州市中心医院</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货物</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rPr>
                <w:rFonts w:hint="eastAsia" w:asciiTheme="minorEastAsia" w:hAnsiTheme="minorEastAsia" w:eastAsiaTheme="minorEastAsia" w:cstheme="minorEastAsia"/>
                <w:color w:val="auto"/>
                <w:sz w:val="24"/>
                <w:szCs w:val="24"/>
                <w:lang w:eastAsia="zh-CN"/>
              </w:rPr>
              <w:t xml:space="preserve">。</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标准按《招标代理服务收费标准》（见附件）。</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w:t>
            </w:r>
            <w:r/>
          </w:p>
        </w:tc>
      </w:tr>
      <w:tr>
        <w:trPr>
          <w:jc w:val="cente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3、所投产品的节能产品认证证书原件的扫描件（如有）。</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注：</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（2）节能产品认证证书是否符合要求，采购人评标时查询中国政府采购网（www.ccgp.gov.cn）相关内容后确定。</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4、其他（包含但不限于本国产品的声明函等，如有）。</w:t>
            </w:r>
            <w:r/>
          </w:p>
          <w:p>
            <w:pPr>
              <w:spacing w:line="24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w:t>
            </w:r>
            <w:r>
              <w:rPr>
                <w:rFonts w:hint="eastAsia" w:asciiTheme="minorEastAsia" w:hAnsiTheme="minorEastAsia" w:eastAsiaTheme="minorEastAsia" w:cstheme="minorEastAsia"/>
                <w:color w:val="auto"/>
                <w:sz w:val="24"/>
                <w:szCs w:val="24"/>
                <w:lang w:val="en-US" w:eastAsia="zh-CN"/>
              </w:rPr>
              <w:t xml:space="preserve">2025年度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《开标一览表》。</w:t>
            </w:r>
            <w:r>
              <w:rPr>
                <w:rFonts w:hint="eastAsia" w:ascii="宋体" w:hAnsi="宋体" w:eastAsia="宋体" w:cs="宋体"/>
                <w:color w:val="auto"/>
                <w:sz w:val="24"/>
              </w:rPr>
              <w:t xml:space="preserve">政府采购客户端工具输入报价自动生成。</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、《分项价格表》。</w:t>
            </w:r>
            <w:r>
              <w:rPr>
                <w:rFonts w:hint="eastAsia" w:ascii="宋体" w:hAnsi="宋体" w:eastAsia="宋体" w:cs="宋体"/>
                <w:bCs/>
                <w:color w:val="auto"/>
                <w:sz w:val="24"/>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1、《投标函》</w:t>
            </w:r>
            <w:r>
              <w:rPr>
                <w:rFonts w:hint="eastAsia" w:asciiTheme="minorEastAsia" w:hAnsiTheme="minorEastAsia" w:eastAsiaTheme="minorEastAsia" w:cstheme="minorEastAsia"/>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w:t>
            </w:r>
            <w:r>
              <w:rPr>
                <w:rFonts w:hint="eastAsia" w:asciiTheme="minorEastAsia" w:hAnsiTheme="minorEastAsia" w:eastAsiaTheme="minorEastAsia" w:cstheme="minorEastAsia"/>
                <w:b/>
                <w:color w:val="auto"/>
                <w:sz w:val="24"/>
                <w:szCs w:val="24"/>
              </w:rPr>
              <w:t xml:space="preserve">《授权委托书》。</w:t>
            </w:r>
            <w:r>
              <w:rPr>
                <w:rFonts w:hint="eastAsia" w:asciiTheme="minorEastAsia" w:hAnsiTheme="minorEastAsia" w:eastAsiaTheme="minorEastAsia" w:cstheme="minorEastAsia"/>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3、</w:t>
            </w:r>
            <w:r>
              <w:rPr>
                <w:rFonts w:hint="eastAsia" w:ascii="宋体" w:hAnsi="宋体" w:eastAsia="宋体" w:cs="宋体"/>
                <w:b/>
                <w:bCs/>
                <w:color w:val="auto"/>
                <w:sz w:val="24"/>
              </w:rPr>
              <w:t xml:space="preserve">法律、法规和招标文件规定的其他投标无效情形。</w:t>
            </w:r>
            <w:r/>
          </w:p>
          <w:p>
            <w:pPr>
              <w:pStyle w:val="862"/>
              <w:rPr>
                <w:rFonts w:hint="eastAsia"/>
              </w:rPr>
            </w:pPr>
            <w:r>
              <w:rPr>
                <w:rFonts w:hint="eastAsia"/>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2、所投产品质量、性能评价</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3、项目实施方案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4、售后服务方案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5、技术培训方案</w:t>
            </w:r>
            <w:r>
              <w:rPr>
                <w:rFonts w:hint="eastAsia" w:asciiTheme="minorEastAsia" w:hAnsiTheme="minorEastAsia" w:eastAsiaTheme="minorEastAsia" w:cstheme="minorEastAsia"/>
                <w:b w:val="0"/>
                <w:bCs w:val="0"/>
                <w:color w:val="auto"/>
                <w:sz w:val="24"/>
                <w:szCs w:val="24"/>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6、样品</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7</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投标人</w:t>
            </w:r>
            <w:r>
              <w:rPr>
                <w:rFonts w:hint="eastAsia" w:ascii="宋体" w:hAnsi="宋体" w:cs="宋体"/>
                <w:b/>
                <w:bCs/>
                <w:color w:val="auto"/>
                <w:sz w:val="24"/>
                <w:szCs w:val="24"/>
                <w:lang w:eastAsia="zh-CN"/>
              </w:rPr>
              <w:t xml:space="preserve">其他</w:t>
            </w:r>
            <w:r>
              <w:rPr>
                <w:rFonts w:hint="eastAsia" w:ascii="宋体" w:hAnsi="宋体" w:cs="宋体"/>
                <w:b/>
                <w:bCs/>
                <w:color w:val="auto"/>
                <w:sz w:val="24"/>
                <w:szCs w:val="24"/>
              </w:rPr>
              <w:t xml:space="preserve">证明文件及材料扫描件。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rPr>
                <w:rFonts w:hint="default"/>
                <w:lang w:val="en-US" w:eastAsia="zh-CN"/>
              </w:rPr>
            </w:pPr>
            <w:r>
              <w:rPr>
                <w:rFonts w:hint="eastAsia" w:asciiTheme="minorEastAsia" w:hAnsiTheme="minorEastAsia" w:eastAsiaTheme="minorEastAsia" w:cstheme="minorEastAsia"/>
                <w:b/>
                <w:bCs/>
                <w:color w:val="auto"/>
                <w:sz w:val="24"/>
                <w:szCs w:val="24"/>
                <w:lang w:val="en-US" w:eastAsia="zh-CN"/>
              </w:rPr>
              <w:t xml:space="preserve">本项目不接受超过150万元人民币（最高限价）的投标报价。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w:t>
            </w:r>
            <w:r>
              <w:rPr>
                <w:rFonts w:hint="eastAsia" w:asciiTheme="minorEastAsia" w:hAnsiTheme="minorEastAsia" w:eastAsiaTheme="minorEastAsia" w:cstheme="minorEastAsia"/>
                <w:color w:val="auto"/>
                <w:sz w:val="24"/>
                <w:szCs w:val="24"/>
              </w:rPr>
              <w:t xml:space="preserve">报价</w:t>
            </w:r>
            <w:r>
              <w:rPr>
                <w:rFonts w:hint="eastAsia" w:asciiTheme="minorEastAsia" w:hAnsiTheme="minorEastAsia" w:eastAsiaTheme="minorEastAsia" w:cstheme="minorEastAsia"/>
                <w:color w:val="auto"/>
                <w:sz w:val="24"/>
                <w:szCs w:val="24"/>
                <w:lang w:val="en-US" w:eastAsia="zh-CN"/>
              </w:rPr>
              <w:t xml:space="preserve">包含三年全部费用。</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905"/>
                <w:rFonts w:hint="eastAsia" w:asciiTheme="minorEastAsia" w:hAnsiTheme="minorEastAsia" w:eastAsiaTheme="minorEastAsia" w:cstheme="minorEastAsia"/>
                <w:color w:val="auto"/>
                <w:sz w:val="24"/>
                <w:szCs w:val="24"/>
                <w:u w:val="none"/>
                <w:lang w:eastAsia="zh-CN"/>
              </w:rPr>
              <w:t xml:space="preserve">https://jszfcg.jsczt.cn/jszc/login</w:t>
            </w:r>
            <w:r>
              <w:rPr>
                <w:rStyle w:val="905"/>
                <w:rFonts w:hint="eastAsia" w:asciiTheme="minorEastAsia" w:hAnsiTheme="minorEastAsia" w:eastAsiaTheme="minorEastAsia" w:cstheme="minorEastAsia"/>
                <w:color w:val="auto"/>
                <w:sz w:val="24"/>
                <w:szCs w:val="24"/>
                <w:u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05"/>
                <w:rFonts w:hint="eastAsia" w:asciiTheme="minorEastAsia" w:hAnsiTheme="minorEastAsia" w:eastAsiaTheme="minorEastAsia" w:cstheme="minorEastAsia"/>
                <w:color w:val="auto"/>
                <w:sz w:val="24"/>
                <w:szCs w:val="24"/>
                <w:u w:val="none"/>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0" w:hanging="560"/>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w:t>
            </w:r>
            <w:r>
              <w:rPr>
                <w:rFonts w:hint="eastAsia" w:asciiTheme="minorEastAsia" w:hAnsiTheme="minorEastAsia" w:eastAsiaTheme="minorEastAsia" w:cstheme="minorEastAsia"/>
                <w:b/>
                <w:bCs/>
                <w:color w:val="auto"/>
                <w:sz w:val="24"/>
                <w:szCs w:val="24"/>
                <w:lang w:eastAsia="zh-CN"/>
              </w:rPr>
              <w:t xml:space="preserve">2026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11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11 </w:t>
            </w:r>
            <w:r>
              <w:rPr>
                <w:rFonts w:hint="eastAsia" w:asciiTheme="minorEastAsia" w:hAnsiTheme="minorEastAsia" w:eastAsiaTheme="minorEastAsia" w:cstheme="minorEastAsia"/>
                <w:b/>
                <w:bCs/>
                <w:color w:val="auto"/>
                <w:sz w:val="24"/>
                <w:szCs w:val="24"/>
              </w:rPr>
              <w:t xml:space="preserve">日09</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30前。</w:t>
            </w:r>
            <w:r/>
          </w:p>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w:t>
            </w:r>
            <w:r>
              <w:rPr>
                <w:rFonts w:hint="eastAsia" w:asciiTheme="minorEastAsia" w:hAnsiTheme="minorEastAsia" w:eastAsiaTheme="minorEastAsia" w:cstheme="minorEastAsia"/>
                <w:b/>
                <w:color w:val="auto"/>
                <w:sz w:val="24"/>
                <w:szCs w:val="24"/>
                <w:lang w:eastAsia="zh-CN"/>
              </w:rPr>
              <w:t xml:space="preserve">登录</w:t>
            </w:r>
            <w:r>
              <w:rPr>
                <w:rFonts w:hint="eastAsia" w:asciiTheme="minorEastAsia" w:hAnsiTheme="minorEastAsia" w:eastAsiaTheme="minorEastAsia" w:cstheme="minorEastAsia"/>
                <w:b/>
                <w:color w:val="auto"/>
                <w:sz w:val="24"/>
                <w:szCs w:val="24"/>
              </w:rPr>
              <w:t xml:space="preserve">“苏采云”系统在线编制投标文件（电子数据），并在投标截止时间之前上传投标文件。并于开标时凭CA锁进行解密。</w:t>
            </w:r>
            <w:r/>
          </w:p>
        </w:tc>
      </w:tr>
      <w:tr>
        <w:trPr>
          <w:jc w:val="center"/>
          <w:trHeight w:val="1264"/>
        </w:trPr>
        <w:tc>
          <w:tcPr>
            <w:tcMar>
              <w:left w:w="108" w:type="dxa"/>
              <w:top w:w="0" w:type="dxa"/>
              <w:right w:w="108" w:type="dxa"/>
              <w:bottom w:w="0" w:type="dxa"/>
            </w:tcMar>
            <w:tcW w:w="1228" w:type="dxa"/>
            <w:vAlign w:val="top"/>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（二十）</w:t>
            </w:r>
            <w:r/>
          </w:p>
        </w:tc>
        <w:tc>
          <w:tcPr>
            <w:tcMar>
              <w:left w:w="108" w:type="dxa"/>
              <w:top w:w="0" w:type="dxa"/>
              <w:right w:w="108" w:type="dxa"/>
              <w:bottom w:w="0" w:type="dxa"/>
            </w:tcMar>
            <w:tcW w:w="7467" w:type="dxa"/>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电子投标文件应由其法定代表人或法定代表人授权代表在规定的网上投标时间内，</w:t>
            </w:r>
            <w:r>
              <w:rPr>
                <w:rFonts w:hint="eastAsia" w:ascii="宋体" w:hAnsi="宋体" w:cs="宋体"/>
                <w:b/>
                <w:color w:val="auto"/>
                <w:sz w:val="24"/>
              </w:rPr>
              <w:t xml:space="preserve">凭 CA 证书登陆“苏采云”系统在线编制投标文件（电子数据），并在投标截止时间之前上传投标文件。并于开标时凭CA锁进行解密。</w:t>
            </w:r>
            <w:r/>
          </w:p>
        </w:tc>
      </w:tr>
      <w:tr>
        <w:trPr>
          <w:jc w:val="center"/>
          <w:trHeight w:val="1264"/>
        </w:trPr>
        <w:tc>
          <w:tcPr>
            <w:tcMar>
              <w:left w:w="108" w:type="dxa"/>
              <w:top w:w="0" w:type="dxa"/>
              <w:right w:w="108" w:type="dxa"/>
              <w:bottom w:w="0" w:type="dxa"/>
            </w:tcMar>
            <w:tcW w:w="1228" w:type="dxa"/>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Theme="minorEastAsia" w:hAnsiTheme="minorEastAsia" w:eastAsiaTheme="minorEastAsia" w:cstheme="minorEastAsia"/>
                <w:color w:val="auto"/>
                <w:sz w:val="24"/>
                <w:szCs w:val="24"/>
              </w:rPr>
            </w:pPr>
            <w:r>
              <w:rPr>
                <w:rFonts w:hint="eastAsia" w:ascii="宋体" w:hAnsi="宋体" w:cs="宋体"/>
                <w:bCs/>
                <w:color w:val="auto"/>
                <w:sz w:val="24"/>
              </w:rPr>
              <w:t xml:space="preserve">“苏采云”系统生成开标记录并向社会公众公布，但依法应当保密的除外。</w:t>
            </w:r>
            <w:r/>
          </w:p>
        </w:tc>
      </w:tr>
      <w:tr>
        <w:trPr>
          <w:jc w:val="center"/>
          <w:trHeight w:val="1264"/>
        </w:trPr>
        <w:tc>
          <w:tcPr>
            <w:tcMar>
              <w:left w:w="108" w:type="dxa"/>
              <w:top w:w="0" w:type="dxa"/>
              <w:right w:w="108" w:type="dxa"/>
              <w:bottom w:w="0" w:type="dxa"/>
            </w:tcMar>
            <w:tcW w:w="1228" w:type="dxa"/>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ind w:firstLine="480"/>
              <w:jc w:val="left"/>
              <w:widowControl/>
              <w:rPr>
                <w:rFonts w:hint="eastAsia" w:asciiTheme="minorEastAsia" w:hAnsiTheme="minorEastAsia" w:eastAsiaTheme="minorEastAsia" w:cstheme="minorEastAsia"/>
                <w:color w:val="auto"/>
                <w:sz w:val="24"/>
                <w:szCs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Height w:val="1264"/>
        </w:trPr>
        <w:tc>
          <w:tcPr>
            <w:tcMar>
              <w:left w:w="108" w:type="dxa"/>
              <w:top w:w="0" w:type="dxa"/>
              <w:right w:w="108" w:type="dxa"/>
              <w:bottom w:w="0" w:type="dxa"/>
            </w:tcMar>
            <w:tcW w:w="1228" w:type="dxa"/>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ind w:firstLine="480"/>
              <w:jc w:val="left"/>
              <w:widowControl/>
              <w:rPr>
                <w:rFonts w:hint="eastAsia"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372"/>
        </w:trPr>
        <w:tc>
          <w:tcPr>
            <w:tcMar>
              <w:left w:w="108" w:type="dxa"/>
              <w:top w:w="0" w:type="dxa"/>
              <w:right w:w="108" w:type="dxa"/>
              <w:bottom w:w="0" w:type="dxa"/>
            </w:tcMar>
            <w:tcW w:w="1228" w:type="dxa"/>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67" w:type="dxa"/>
            <w:vAlign w:val="top"/>
            <w:textDirection w:val="lrTb"/>
            <w:noWrap w:val="false"/>
          </w:tcPr>
          <w:p>
            <w:pPr>
              <w:pStyle w:val="899"/>
              <w:ind w:firstLine="480"/>
              <w:spacing w:before="0" w:beforeAutospacing="0" w:after="0" w:afterAutospacing="0"/>
              <w:shd w:val="clear" w:color="auto" w:fill="ffffff"/>
              <w:rPr>
                <w:rFonts w:hint="eastAsia" w:asciiTheme="minorEastAsia" w:hAnsiTheme="minorEastAsia" w:eastAsiaTheme="minorEastAsia" w:cstheme="minorEastAsia"/>
                <w:color w:val="auto"/>
                <w:sz w:val="24"/>
                <w:szCs w:val="24"/>
              </w:rPr>
            </w:pPr>
            <w:r>
              <w:rPr>
                <w:rFonts w:hint="eastAsia"/>
                <w:color w:val="auto"/>
              </w:rPr>
              <w:t xml:space="preserve">投标文件解密失败的补救方案：无。</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开标</w:t>
            </w:r>
            <w:r/>
          </w:p>
        </w:tc>
      </w:tr>
      <w:tr>
        <w:trPr>
          <w:jc w:val="center"/>
          <w:trHeight w:val="2165"/>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lang w:eastAsia="zh-CN"/>
              </w:rPr>
              <w:t xml:space="preserve">2026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11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11 </w:t>
            </w:r>
            <w:r>
              <w:rPr>
                <w:rFonts w:hint="eastAsia" w:asciiTheme="minorEastAsia" w:hAnsiTheme="minorEastAsia" w:eastAsiaTheme="minorEastAsia" w:cstheme="minorEastAsia"/>
                <w:b/>
                <w:color w:val="auto"/>
                <w:sz w:val="24"/>
                <w:szCs w:val="24"/>
              </w:rPr>
              <w:t xml:space="preserve">日09：30（北京时间）</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“苏采云”系统（网址： </w:t>
            </w:r>
            <w:r>
              <w:rPr>
                <w:rFonts w:hint="eastAsia" w:ascii="宋体" w:hAnsi="宋体" w:cs="宋体"/>
                <w:color w:val="auto"/>
                <w:sz w:val="24"/>
                <w:lang w:eastAsia="zh-CN"/>
              </w:rPr>
              <w:t xml:space="preserve">https://jszfcg.jsczt.cn/jszc/login</w:t>
            </w:r>
            <w:r>
              <w:rPr>
                <w:rFonts w:hint="eastAsia" w:ascii="宋体" w:hAnsi="宋体" w:cs="宋体"/>
                <w:color w:val="auto"/>
                <w:sz w:val="24"/>
              </w:rPr>
              <w:t xml:space="preserve">/）“开标大厅”或进入徐州政府采购网（网址：https://czj.xz.gov.cn/zfcg/index.html）--办事指南--供应商--供应商登录入口，点击“苏采云”进入系统“开标大厅”。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评标</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技术参数响应</w:t>
            </w:r>
            <w:r>
              <w:rPr>
                <w:rFonts w:hint="eastAsia" w:asciiTheme="minorEastAsia" w:hAnsiTheme="minorEastAsia" w:eastAsiaTheme="minorEastAsia" w:cstheme="minorEastAsia"/>
                <w:color w:val="auto"/>
                <w:sz w:val="24"/>
                <w:szCs w:val="24"/>
              </w:rPr>
              <w:t xml:space="preserve">得分</w:t>
            </w:r>
            <w:r>
              <w:rPr>
                <w:rFonts w:hint="eastAsia" w:asciiTheme="minorEastAsia" w:hAnsiTheme="minorEastAsia" w:eastAsiaTheme="minorEastAsia" w:cstheme="minorEastAsia"/>
                <w:color w:val="auto"/>
                <w:sz w:val="24"/>
                <w:szCs w:val="24"/>
                <w:lang w:val="en-US" w:eastAsia="zh-CN"/>
              </w:rPr>
              <w:t xml:space="preserve">高低</w:t>
            </w:r>
            <w:r>
              <w:rPr>
                <w:rFonts w:hint="eastAsia" w:asciiTheme="minorEastAsia" w:hAnsiTheme="minorEastAsia" w:eastAsiaTheme="minorEastAsia" w:cstheme="minorEastAsia"/>
                <w:color w:val="auto"/>
                <w:sz w:val="24"/>
                <w:szCs w:val="24"/>
              </w:rPr>
              <w:t xml:space="preserve">顺序排列。技术参数响应得分</w:t>
            </w:r>
            <w:r>
              <w:rPr>
                <w:rFonts w:hint="eastAsia" w:asciiTheme="minorEastAsia" w:hAnsiTheme="minorEastAsia" w:eastAsiaTheme="minorEastAsia" w:cstheme="minorEastAsia"/>
                <w:color w:val="auto"/>
                <w:sz w:val="24"/>
                <w:szCs w:val="24"/>
                <w:lang w:val="en-US" w:eastAsia="zh-CN"/>
              </w:rPr>
              <w:t xml:space="preserve">也相同的，按项目实施方案得分高低排序。</w:t>
            </w:r>
            <w:r/>
          </w:p>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tc>
      </w:tr>
      <w:tr>
        <w:trPr>
          <w:jc w:val="cente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668"/>
        </w:trPr>
        <w:tc>
          <w:tcPr>
            <w:tcMar>
              <w:left w:w="108" w:type="dxa"/>
              <w:top w:w="0" w:type="dxa"/>
              <w:right w:w="108" w:type="dxa"/>
              <w:bottom w:w="0" w:type="dxa"/>
            </w:tcMar>
            <w:tcW w:w="1228" w:type="dxa"/>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（三十）</w:t>
            </w:r>
            <w:r/>
          </w:p>
        </w:tc>
        <w:tc>
          <w:tcPr>
            <w:tcMar>
              <w:left w:w="108" w:type="dxa"/>
              <w:top w:w="0" w:type="dxa"/>
              <w:right w:w="108" w:type="dxa"/>
              <w:bottom w:w="0" w:type="dxa"/>
            </w:tcMar>
            <w:tcW w:w="7467" w:type="dxa"/>
            <w:vAlign w:val="top"/>
            <w:textDirection w:val="lrTb"/>
            <w:noWrap w:val="false"/>
          </w:tcPr>
          <w:p>
            <w:pPr>
              <w:ind w:firstLine="480"/>
              <w:rPr>
                <w:rFonts w:ascii="宋体" w:hAnsi="宋体" w:cs="宋体"/>
                <w:color w:val="auto"/>
                <w:sz w:val="24"/>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政府采购合同</w:t>
            </w:r>
            <w:r/>
          </w:p>
        </w:tc>
      </w:tr>
      <w:tr>
        <w:trPr>
          <w:jc w:val="cente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（三十八）</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中标金额的</w:t>
            </w:r>
            <w:r>
              <w:rPr>
                <w:rFonts w:hint="eastAsia" w:asciiTheme="minorEastAsia" w:hAnsiTheme="minorEastAsia" w:eastAsiaTheme="minorEastAsia" w:cstheme="minorEastAsia"/>
                <w:b/>
                <w:bCs/>
                <w:color w:val="auto"/>
                <w:sz w:val="24"/>
                <w:szCs w:val="24"/>
                <w:lang w:eastAsia="zh-CN"/>
              </w:rPr>
              <w:t xml:space="preserve">10%，以支票、汇票、本票、电汇或者金融机构、担保机构出具的保函等非现金形式缴纳。</w:t>
            </w:r>
            <w:r/>
          </w:p>
        </w:tc>
      </w:tr>
      <w:tr>
        <w:trPr>
          <w:jc w:val="cente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联系电话：0516-83999055</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06" w:type="pct"/>
            <w:vAlign w:val="center"/>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附加说明</w:t>
            </w:r>
            <w:r/>
          </w:p>
        </w:tc>
        <w:tc>
          <w:tcPr>
            <w:tcMar>
              <w:left w:w="108" w:type="dxa"/>
              <w:top w:w="0" w:type="dxa"/>
              <w:right w:w="108" w:type="dxa"/>
              <w:bottom w:w="0" w:type="dxa"/>
            </w:tcMar>
            <w:tcW w:w="4293" w:type="pct"/>
            <w:vAlign w:val="center"/>
            <w:textDirection w:val="lrTb"/>
            <w:noWrap w:val="false"/>
          </w:tcPr>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ind w:firstLine="4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邮箱：jocxz03@jocite.com</w:t>
            </w:r>
            <w:r/>
          </w:p>
        </w:tc>
      </w:tr>
      <w:tr>
        <w:trPr>
          <w:jc w:val="center"/>
        </w:trPr>
        <w:tc>
          <w:tcPr>
            <w:tcMar>
              <w:left w:w="108" w:type="dxa"/>
              <w:top w:w="0" w:type="dxa"/>
              <w:right w:w="108" w:type="dxa"/>
              <w:bottom w:w="0" w:type="dxa"/>
            </w:tcMar>
            <w:tcW w:w="706" w:type="pct"/>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vAlign w:val="top"/>
            <w:textDirection w:val="lrTb"/>
            <w:noWrap w:val="false"/>
          </w:tcPr>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jc w:val="lef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06" w:type="pct"/>
            <w:vAlign w:val="top"/>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vAlign w:val="top"/>
            <w:textDirection w:val="lrTb"/>
            <w:noWrap w:val="false"/>
          </w:tcPr>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4、招标文件中如需“授权代表签字或盖章”，供应商可打印成文档。签字或盖章后再扫描上传，最后再电子签章。</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903"/>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、有分包（分标段）项目按采购包收费。</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7</w:t>
      </w:r>
      <w:r>
        <w:rPr>
          <w:rFonts w:hint="eastAsia" w:ascii="宋体" w:hAnsi="宋体" w:cs="宋体"/>
          <w:b w:val="0"/>
          <w:bCs/>
          <w:color w:val="auto"/>
          <w:sz w:val="24"/>
          <w:szCs w:val="24"/>
        </w:rPr>
        <w:t xml:space="preserve">、账户信息：</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账户名：江苏海外集团国际工程咨询有限公司徐州分公司</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开户银行：上海浦东发展银行股份有限公司徐州分行</w:t>
      </w:r>
      <w:r/>
    </w:p>
    <w:p>
      <w:pPr>
        <w:spacing w:line="360" w:lineRule="auto"/>
        <w:rPr>
          <w:rFonts w:hint="eastAsia"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rPr>
        <w:t xml:space="preserve">账号：11110154740005866</w:t>
      </w:r>
      <w:r/>
    </w:p>
    <w:p>
      <w:pPr>
        <w:spacing w:line="40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第四章 评标标准</w:t>
      </w:r>
      <w:r/>
    </w:p>
    <w:tbl>
      <w:tblPr>
        <w:tblStyle w:val="861"/>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6"/>
        <w:gridCol w:w="7135"/>
      </w:tblGrid>
      <w:tr>
        <w:trPr>
          <w:jc w:val="center"/>
          <w:trHeight w:val="454"/>
        </w:trPr>
        <w:tc>
          <w:tcPr>
            <w:tcW w:w="876"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23"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876"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得分四舍五入保留小数点后2位。</w:t>
            </w:r>
            <w:r/>
          </w:p>
        </w:tc>
      </w:tr>
      <w:tr>
        <w:trPr>
          <w:jc w:val="center"/>
          <w:trHeight w:val="1270"/>
        </w:trPr>
        <w:tc>
          <w:tcPr>
            <w:tcW w:w="876"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投标人评价（2分）</w:t>
            </w:r>
            <w:r/>
          </w:p>
        </w:tc>
        <w:tc>
          <w:tcPr>
            <w:tcW w:w="4123"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投标人取得</w:t>
            </w:r>
            <w:r>
              <w:rPr>
                <w:rFonts w:hint="eastAsia" w:ascii="宋体" w:hAnsi="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rPr>
              <w:t xml:space="preserve">所投</w:t>
            </w:r>
            <w:r>
              <w:rPr>
                <w:rFonts w:hint="eastAsia" w:ascii="宋体" w:hAnsi="宋体" w:cs="宋体"/>
                <w:color w:val="auto"/>
                <w:sz w:val="24"/>
                <w:szCs w:val="24"/>
                <w:highlight w:val="none"/>
                <w:lang w:val="en-US" w:eastAsia="zh-CN"/>
              </w:rPr>
              <w:t xml:space="preserve">产品生产厂家</w:t>
            </w:r>
            <w:r>
              <w:rPr>
                <w:rFonts w:hint="eastAsia" w:ascii="宋体" w:hAnsi="宋体" w:eastAsia="宋体" w:cs="宋体"/>
                <w:color w:val="auto"/>
                <w:sz w:val="24"/>
                <w:szCs w:val="24"/>
                <w:highlight w:val="none"/>
              </w:rPr>
              <w:t xml:space="preserve">授权资格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或为所投</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生产厂家授权代理商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或为全部所投产品生产厂家</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投标文件中提供上述</w:t>
            </w:r>
            <w:r>
              <w:rPr>
                <w:rFonts w:hint="eastAsia" w:ascii="宋体" w:hAnsi="宋体" w:cs="宋体"/>
                <w:color w:val="auto"/>
                <w:sz w:val="24"/>
                <w:szCs w:val="24"/>
                <w:highlight w:val="none"/>
                <w:lang w:val="en-US" w:eastAsia="zh-CN"/>
              </w:rPr>
              <w:t xml:space="preserve">授权</w:t>
            </w:r>
            <w:r>
              <w:rPr>
                <w:rFonts w:hint="eastAsia" w:ascii="宋体" w:hAnsi="宋体" w:eastAsia="宋体" w:cs="宋体"/>
                <w:color w:val="auto"/>
                <w:sz w:val="24"/>
                <w:szCs w:val="24"/>
                <w:highlight w:val="none"/>
              </w:rPr>
              <w:t xml:space="preserve">证明材料</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方为有效，否则不得分。</w:t>
            </w:r>
            <w:r>
              <w:rPr>
                <w:rFonts w:hint="eastAsia" w:ascii="宋体" w:hAnsi="宋体" w:cs="宋体"/>
                <w:color w:val="auto"/>
                <w:sz w:val="24"/>
                <w:szCs w:val="24"/>
                <w:highlight w:val="none"/>
                <w:lang w:val="en-US" w:eastAsia="zh-CN"/>
              </w:rPr>
              <w:t xml:space="preserve">多品类的，缺少任意1类产品授权证明的均视为不满足。</w:t>
            </w:r>
            <w:r/>
          </w:p>
        </w:tc>
      </w:tr>
      <w:tr>
        <w:trPr>
          <w:jc w:val="center"/>
          <w:trHeight w:val="1643"/>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文件中偏离表、技术规格说明对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采购清单及技术参数要求”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技术要求的得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响应指标如有不满足或负偏离的，每一项扣1分，扣完为止。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r>
      <w:tr>
        <w:trPr>
          <w:jc w:val="center"/>
          <w:trHeight w:val="2750"/>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4123"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w:t>
            </w:r>
            <w:r>
              <w:rPr>
                <w:rFonts w:hint="eastAsia" w:ascii="宋体" w:hAnsi="宋体" w:cs="宋体"/>
                <w:color w:val="auto"/>
                <w:sz w:val="24"/>
                <w:szCs w:val="24"/>
                <w:highlight w:val="none"/>
                <w:lang w:val="en-US" w:eastAsia="zh-CN"/>
              </w:rPr>
              <w:t xml:space="preserve">彩页（或照片）</w:t>
            </w:r>
            <w:r>
              <w:rPr>
                <w:rFonts w:hint="eastAsia" w:ascii="宋体" w:hAnsi="宋体" w:eastAsia="宋体" w:cs="宋体"/>
                <w:color w:val="auto"/>
                <w:sz w:val="24"/>
                <w:szCs w:val="24"/>
                <w:highlight w:val="none"/>
                <w:lang w:val="en-US" w:eastAsia="zh-CN"/>
              </w:rPr>
              <w:t xml:space="preserve">、产品配置、产品品质、医疗机构应用情况等，从性能稳定性、质量可靠性、技术先进性方面综合评分。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分，最低不得分。</w:t>
            </w:r>
            <w:r/>
          </w:p>
        </w:tc>
      </w:tr>
      <w:tr>
        <w:trPr>
          <w:jc w:val="center"/>
          <w:trHeight w:val="2240"/>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投标人投标文件中提供的项目实施方案，内容包含但不限于质量保障措施、实施人员配备、配送计划、实施组织计划等</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分，最低不得分。</w:t>
            </w:r>
            <w:r/>
          </w:p>
        </w:tc>
      </w:tr>
      <w:tr>
        <w:trPr>
          <w:jc w:val="center"/>
          <w:trHeight w:val="454"/>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售后服务</w:t>
            </w:r>
            <w:r>
              <w:rPr>
                <w:rFonts w:hint="eastAsia" w:ascii="宋体" w:hAnsi="宋体" w:eastAsia="宋体" w:cs="宋体"/>
                <w:color w:val="auto"/>
                <w:sz w:val="24"/>
                <w:szCs w:val="24"/>
                <w:highlight w:val="none"/>
                <w:lang w:val="en-US" w:eastAsia="zh-CN"/>
              </w:rPr>
              <w:t xml:space="preserve">方案，内容包含但不限于</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售后服务内容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②售后服务人员组成及分工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③响应时间及方案（含配送、退换货等）</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④应急保供方案产品</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分，最低不得分。</w:t>
            </w:r>
            <w:r/>
          </w:p>
        </w:tc>
      </w:tr>
      <w:tr>
        <w:trPr>
          <w:jc w:val="center"/>
          <w:trHeight w:val="1674"/>
        </w:trPr>
        <w:tc>
          <w:tcPr>
            <w:tcW w:w="876"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4123"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对培训内容及培训方案，内容包含但不限于：</w:t>
            </w:r>
            <w:r>
              <w:rPr>
                <w:rFonts w:hint="eastAsia" w:ascii="宋体" w:hAnsi="宋体" w:cs="宋体"/>
                <w:sz w:val="24"/>
                <w:szCs w:val="24"/>
                <w:lang w:val="en-US" w:eastAsia="zh-CN"/>
              </w:rPr>
              <w:t xml:space="preserve">培</w:t>
            </w:r>
            <w:r>
              <w:rPr>
                <w:rFonts w:hint="eastAsia" w:ascii="宋体" w:hAnsi="宋体" w:eastAsia="宋体" w:cs="宋体"/>
                <w:sz w:val="24"/>
                <w:szCs w:val="24"/>
                <w:lang w:val="en-US" w:eastAsia="zh-CN"/>
              </w:rPr>
              <w:t xml:space="preserve">训对象、培训内容计划安排、培训重点难点分析、培训结果保障、培训考核等方面进行评价。</w:t>
            </w:r>
            <w:r/>
          </w:p>
          <w:p>
            <w:pPr>
              <w:pStyle w:val="864"/>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分；针对性一般的得2分；欠缺针对性的得1分。</w:t>
            </w:r>
            <w:r/>
          </w:p>
          <w:p>
            <w:pPr>
              <w:pStyle w:val="864"/>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分；较切实可行得2分；可行性欠缺得1分。</w:t>
            </w:r>
            <w:r/>
          </w:p>
          <w:p>
            <w:pPr>
              <w:pStyle w:val="864"/>
              <w:spacing w:line="24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未提供的不得分，本项最高得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分，最低不得分。</w:t>
            </w:r>
            <w:r/>
          </w:p>
        </w:tc>
      </w:tr>
      <w:tr>
        <w:trPr>
          <w:jc w:val="center"/>
          <w:trHeight w:val="1292"/>
        </w:trPr>
        <w:tc>
          <w:tcPr>
            <w:tcW w:w="876" w:type="pct"/>
            <w:vAlign w:val="center"/>
            <w:vMerge w:val="restart"/>
            <w:textDirection w:val="lrTb"/>
            <w:noWrap w:val="false"/>
          </w:tcPr>
          <w:p>
            <w:pPr>
              <w:pStyle w:val="1093"/>
              <w:jc w:val="center"/>
              <w:spacing w:line="240" w:lineRule="auto"/>
              <w:rPr>
                <w:rFonts w:hint="eastAsia" w:ascii="宋体" w:hAnsi="宋体" w:eastAsia="宋体" w:cs="宋体"/>
                <w:bCs/>
                <w:color w:val="auto"/>
                <w:sz w:val="24"/>
                <w:szCs w:val="24"/>
                <w:highlight w:val="none"/>
                <w:lang w:val="en-US" w:eastAsia="zh-CN"/>
              </w:rPr>
            </w:pPr>
            <w:r>
              <w:rPr>
                <w:rFonts w:hint="eastAsia" w:hAnsi="宋体" w:eastAsia="宋体" w:cs="宋体"/>
                <w:bCs/>
                <w:color w:val="auto"/>
                <w:sz w:val="24"/>
                <w:szCs w:val="24"/>
                <w:highlight w:val="none"/>
                <w:lang w:val="en-US" w:eastAsia="zh-CN"/>
              </w:rPr>
              <w:t xml:space="preserve">样品（10分）</w:t>
            </w:r>
            <w:r/>
          </w:p>
        </w:tc>
        <w:tc>
          <w:tcPr>
            <w:tcW w:w="7135" w:type="dxa"/>
            <w:vAlign w:val="center"/>
            <w:textDirection w:val="lrTb"/>
            <w:noWrap w:val="false"/>
          </w:tcPr>
          <w:p>
            <w:pPr>
              <w:pStyle w:val="864"/>
              <w:numPr>
                <w:ilvl w:val="0"/>
                <w:numId w:val="1"/>
              </w:numPr>
              <w:spacing w:line="24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材质、质量、包装（4分）：</w:t>
            </w:r>
            <w:r/>
          </w:p>
          <w:p>
            <w:pPr>
              <w:pStyle w:val="864"/>
              <w:numPr>
                <w:ilvl w:val="0"/>
                <w:numId w:val="0"/>
              </w:numPr>
              <w:spacing w:line="24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对全部样品的材质、质量、包装等方面进行评价。</w:t>
            </w:r>
            <w:r/>
          </w:p>
          <w:p>
            <w:pPr>
              <w:pStyle w:val="864"/>
              <w:numPr>
                <w:ilvl w:val="0"/>
                <w:numId w:val="0"/>
              </w:numPr>
              <w:spacing w:line="24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符合性高得4分；符合性较高的得2分；符合性一般的得1分；样品存在不足的，每处扣1分，扣完为止。</w:t>
            </w:r>
            <w:r/>
          </w:p>
          <w:p>
            <w:pPr>
              <w:pStyle w:val="864"/>
              <w:numPr>
                <w:ilvl w:val="0"/>
                <w:numId w:val="0"/>
              </w:numPr>
              <w:ind w:left="0" w:firstLine="0"/>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未提供样品或样品提供不全的本项不得分。最高得4分，最低不得分。</w:t>
            </w:r>
            <w:r/>
          </w:p>
        </w:tc>
      </w:tr>
      <w:tr>
        <w:trPr>
          <w:jc w:val="center"/>
          <w:trHeight w:val="1292"/>
        </w:trPr>
        <w:tc>
          <w:tcPr>
            <w:tcW w:w="876" w:type="pct"/>
            <w:vAlign w:val="center"/>
            <w:vMerge w:val="continue"/>
            <w:textDirection w:val="lrTb"/>
            <w:noWrap w:val="false"/>
          </w:tcPr>
          <w:p>
            <w:pPr>
              <w:pStyle w:val="1093"/>
              <w:jc w:val="center"/>
              <w:spacing w:line="240" w:lineRule="auto"/>
              <w:rPr>
                <w:rFonts w:hint="eastAsia" w:hAnsi="宋体" w:eastAsia="宋体" w:cs="宋体"/>
                <w:bCs/>
                <w:color w:val="auto"/>
                <w:sz w:val="24"/>
                <w:szCs w:val="24"/>
                <w:highlight w:val="none"/>
                <w:lang w:val="en-US" w:eastAsia="zh-CN"/>
              </w:rPr>
            </w:pPr>
            <w:r>
              <w:rPr>
                <w:rFonts w:hint="eastAsia" w:hAnsi="宋体" w:eastAsia="宋体" w:cs="宋体"/>
                <w:bCs/>
                <w:color w:val="auto"/>
                <w:sz w:val="24"/>
                <w:szCs w:val="24"/>
                <w:highlight w:val="none"/>
                <w:lang w:val="en-US" w:eastAsia="zh-CN"/>
              </w:rPr>
            </w:r>
            <w:r/>
          </w:p>
        </w:tc>
        <w:tc>
          <w:tcPr>
            <w:tcW w:w="7135" w:type="dxa"/>
            <w:vAlign w:val="center"/>
            <w:textDirection w:val="lrTb"/>
            <w:noWrap w:val="false"/>
          </w:tcPr>
          <w:p>
            <w:pPr>
              <w:pStyle w:val="864"/>
              <w:numPr>
                <w:ilvl w:val="0"/>
                <w:numId w:val="0"/>
              </w:numPr>
              <w:spacing w:line="24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2、材质、工艺（6分）：</w:t>
            </w:r>
            <w:r/>
          </w:p>
          <w:p>
            <w:pPr>
              <w:pStyle w:val="864"/>
              <w:numPr>
                <w:ilvl w:val="0"/>
                <w:numId w:val="0"/>
              </w:numPr>
              <w:spacing w:line="240" w:lineRule="auto"/>
              <w:rPr>
                <w:rFonts w:hint="eastAsia" w:ascii="宋体" w:hAnsi="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根据样品材质、工艺等</w:t>
            </w:r>
            <w:r>
              <w:rPr>
                <w:rFonts w:hint="eastAsia" w:ascii="宋体" w:hAnsi="宋体" w:cs="宋体"/>
                <w:color w:val="auto"/>
                <w:sz w:val="24"/>
                <w:szCs w:val="24"/>
                <w:highlight w:val="none"/>
                <w:lang w:val="en-US" w:eastAsia="zh-CN"/>
              </w:rPr>
              <w:t xml:space="preserve">方面进行评价。</w:t>
            </w:r>
            <w:r/>
          </w:p>
          <w:p>
            <w:pPr>
              <w:pStyle w:val="864"/>
              <w:numPr>
                <w:ilvl w:val="0"/>
                <w:numId w:val="0"/>
              </w:numPr>
              <w:spacing w:line="24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各项材质选用及工艺精良、符合性高得6分；部分工艺符合要求的得4分；工艺粗糙舒适度差得2分；样品未提供或提供不全不得分。</w:t>
            </w:r>
            <w:r/>
          </w:p>
        </w:tc>
      </w:tr>
    </w:tbl>
    <w:p>
      <w:pPr>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结果保留2位小数</w:t>
      </w:r>
      <w:r>
        <w:rPr>
          <w:rFonts w:hint="eastAsia" w:ascii="宋体" w:hAnsi="宋体" w:cs="宋体"/>
          <w:color w:val="auto"/>
          <w:sz w:val="24"/>
          <w:szCs w:val="24"/>
        </w:rPr>
        <w:t xml:space="preserve">。</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sz w:val="52"/>
          <w:szCs w:val="36"/>
        </w:rPr>
      </w:pPr>
      <w:r>
        <w:rPr>
          <w:rFonts w:hint="eastAsia" w:ascii="宋体" w:hAnsi="宋体" w:cs="宋体"/>
          <w:b/>
          <w:sz w:val="52"/>
          <w:szCs w:val="36"/>
        </w:rPr>
      </w:r>
      <w:r/>
    </w:p>
    <w:p>
      <w:pPr>
        <w:jc w:val="center"/>
        <w:rPr>
          <w:rFonts w:hint="eastAsia" w:ascii="宋体" w:hAnsi="宋体" w:cs="宋体"/>
          <w:bCs/>
          <w:sz w:val="72"/>
          <w:szCs w:val="72"/>
        </w:rPr>
      </w:pPr>
      <w:r>
        <w:rPr>
          <w:rFonts w:hint="eastAsia" w:ascii="宋体" w:hAnsi="宋体" w:cs="宋体"/>
          <w:bCs/>
          <w:sz w:val="72"/>
          <w:szCs w:val="72"/>
        </w:rPr>
        <w:t xml:space="preserve">政</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府</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采</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购</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合</w:t>
      </w:r>
      <w:r>
        <w:rPr>
          <w:rFonts w:hint="eastAsia" w:ascii="宋体" w:hAnsi="宋体" w:cs="宋体"/>
          <w:bCs/>
          <w:sz w:val="72"/>
          <w:szCs w:val="72"/>
          <w:lang w:val="en-US" w:eastAsia="zh-CN"/>
        </w:rPr>
        <w:t xml:space="preserve"> </w:t>
      </w:r>
      <w:r>
        <w:rPr>
          <w:rFonts w:hint="eastAsia" w:ascii="宋体" w:hAnsi="宋体" w:cs="宋体"/>
          <w:bCs/>
          <w:sz w:val="72"/>
          <w:szCs w:val="72"/>
        </w:rPr>
        <w:t xml:space="preserve">同</w:t>
      </w:r>
      <w:r/>
    </w:p>
    <w:p>
      <w:pPr>
        <w:jc w:val="left"/>
        <w:rPr>
          <w:rFonts w:hint="eastAsia" w:ascii="宋体" w:hAnsi="宋体" w:cs="宋体"/>
          <w:bCs/>
          <w:sz w:val="36"/>
          <w:szCs w:val="36"/>
        </w:rPr>
      </w:pPr>
      <w:r>
        <w:rPr>
          <w:rFonts w:hint="eastAsia" w:ascii="宋体" w:hAnsi="宋体" w:cs="宋体"/>
          <w:bCs/>
          <w:sz w:val="36"/>
          <w:szCs w:val="36"/>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ind w:left="1600" w:hanging="1600"/>
        <w:jc w:val="left"/>
        <w:rPr>
          <w:rFonts w:hint="default" w:ascii="宋体" w:hAnsi="宋体" w:eastAsia="宋体" w:cs="宋体"/>
          <w:bCs/>
          <w:sz w:val="32"/>
          <w:szCs w:val="32"/>
          <w:u w:val="single"/>
          <w:lang w:val="en-US"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病理诊断中心常用低值易耗品采购项目</w:t>
      </w:r>
      <w:r/>
    </w:p>
    <w:p>
      <w:pPr>
        <w:jc w:val="left"/>
        <w:rPr>
          <w:rFonts w:hint="eastAsia" w:ascii="宋体" w:hAnsi="宋体" w:cs="宋体"/>
          <w:sz w:val="32"/>
          <w:szCs w:val="32"/>
        </w:rPr>
      </w:pPr>
      <w:r>
        <w:rPr>
          <w:rFonts w:hint="eastAsia" w:ascii="宋体" w:hAnsi="宋体" w:cs="宋体"/>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eastAsia="宋体" w:cs="宋体"/>
          <w:bCs/>
          <w:sz w:val="32"/>
          <w:szCs w:val="32"/>
          <w:lang w:eastAsia="zh-CN"/>
        </w:rPr>
      </w:pPr>
      <w:r>
        <w:rPr>
          <w:rFonts w:hint="eastAsia" w:ascii="宋体" w:hAnsi="宋体" w:cs="宋体"/>
          <w:bCs/>
          <w:sz w:val="32"/>
          <w:szCs w:val="32"/>
        </w:rPr>
        <w:t xml:space="preserve">采购单位（甲方）：</w:t>
      </w:r>
      <w:r>
        <w:rPr>
          <w:rFonts w:hint="eastAsia" w:ascii="宋体" w:hAnsi="宋体" w:cs="宋体"/>
          <w:bCs/>
          <w:sz w:val="32"/>
          <w:szCs w:val="32"/>
          <w:lang w:eastAsia="zh-CN"/>
        </w:rPr>
        <w:t xml:space="preserve">徐州市中心医院</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中标供应商（乙方）：</w:t>
      </w:r>
      <w:r/>
    </w:p>
    <w:p>
      <w:pPr>
        <w:ind w:firstLine="630"/>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r>
      <w:r/>
    </w:p>
    <w:p>
      <w:pPr>
        <w:jc w:val="left"/>
        <w:rPr>
          <w:rFonts w:hint="eastAsia" w:ascii="宋体" w:hAnsi="宋体" w:cs="宋体"/>
          <w:bCs/>
          <w:sz w:val="32"/>
          <w:szCs w:val="32"/>
        </w:rPr>
      </w:pPr>
      <w:r>
        <w:rPr>
          <w:rFonts w:hint="eastAsia" w:ascii="宋体" w:hAnsi="宋体" w:cs="宋体"/>
          <w:bCs/>
          <w:sz w:val="32"/>
          <w:szCs w:val="32"/>
        </w:rPr>
        <w:t xml:space="preserve">签订日期：   年  月  日</w:t>
      </w:r>
      <w:r/>
    </w:p>
    <w:p>
      <w:pPr>
        <w:rPr>
          <w:rFonts w:hint="eastAsia" w:ascii="宋体" w:hAnsi="宋体" w:cs="宋体"/>
          <w:bCs/>
          <w:sz w:val="24"/>
        </w:rPr>
      </w:pPr>
      <w:r>
        <w:rPr>
          <w:rFonts w:hint="eastAsia" w:ascii="宋体" w:hAnsi="宋体" w:cs="宋体"/>
          <w:bCs/>
          <w:sz w:val="24"/>
        </w:rPr>
      </w:r>
      <w:r/>
    </w:p>
    <w:p>
      <w:pPr>
        <w:pStyle w:val="1117"/>
        <w:ind w:left="0" w:right="0"/>
        <w:spacing w:after="0"/>
        <w:rPr>
          <w:rFonts w:hint="eastAsia" w:ascii="宋体" w:hAnsi="宋体" w:cs="宋体"/>
          <w:bCs/>
          <w:sz w:val="24"/>
        </w:rPr>
      </w:pPr>
      <w:r>
        <w:rPr>
          <w:rFonts w:hint="eastAsia" w:ascii="宋体" w:hAnsi="宋体" w:cs="宋体"/>
          <w:bCs/>
          <w:sz w:val="24"/>
        </w:rPr>
      </w:r>
      <w:r/>
    </w:p>
    <w:p>
      <w:pPr>
        <w:pStyle w:val="1117"/>
        <w:ind w:left="0" w:right="0"/>
        <w:spacing w:after="0" w:line="360" w:lineRule="auto"/>
        <w:rPr>
          <w:rFonts w:hint="eastAsia" w:ascii="宋体" w:hAnsi="宋体" w:cs="宋体"/>
          <w:bCs/>
          <w:sz w:val="24"/>
          <w:szCs w:val="24"/>
        </w:rPr>
      </w:pPr>
      <w:r>
        <w:rPr>
          <w:rFonts w:hint="eastAsia" w:ascii="宋体" w:hAnsi="宋体" w:cs="宋体"/>
          <w:bCs/>
          <w:sz w:val="24"/>
          <w:szCs w:val="24"/>
        </w:rPr>
      </w:r>
      <w:r/>
    </w:p>
    <w:p>
      <w:pPr>
        <w:pStyle w:val="1117"/>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友情提醒：采购人与中标，成交供应商应当在中标通知书发出之日起</w:t>
      </w:r>
      <w:r>
        <w:rPr>
          <w:rFonts w:hint="eastAsia" w:ascii="宋体" w:hAnsi="宋体" w:cs="宋体"/>
          <w:b w:val="0"/>
          <w:bCs/>
          <w:sz w:val="24"/>
          <w:szCs w:val="24"/>
          <w:lang w:val="en-US" w:eastAsia="zh-CN"/>
        </w:rPr>
        <w:t xml:space="preserve">30</w:t>
      </w:r>
      <w:r>
        <w:rPr>
          <w:rFonts w:hint="eastAsia" w:ascii="宋体" w:hAnsi="宋体" w:cs="宋体"/>
          <w:bCs/>
          <w:sz w:val="24"/>
          <w:szCs w:val="24"/>
        </w:rPr>
        <w:t xml:space="preserve">日内，按照采购文件确定的事项签订政府采购合同。</w:t>
      </w:r>
      <w:r/>
    </w:p>
    <w:p>
      <w:pPr>
        <w:pStyle w:val="1117"/>
        <w:ind w:left="0" w:right="0"/>
        <w:spacing w:after="0" w:line="240" w:lineRule="auto"/>
        <w:rPr>
          <w:rFonts w:hint="eastAsia"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个工作日内，将政府采购合同在省级及以上人民政府财政部门指定的媒体上公告，但政府采购合同中涉及国家秘密、商业秘密的内容除外。</w:t>
      </w:r>
      <w:r/>
    </w:p>
    <w:p>
      <w:pPr>
        <w:pStyle w:val="1118"/>
        <w:rPr>
          <w:rFonts w:eastAsia="宋体"/>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rPr>
      </w:r>
      <w:r/>
    </w:p>
    <w:p>
      <w:pPr>
        <w:jc w:val="center"/>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eastAsia="zh-CN"/>
        </w:rPr>
        <w:t xml:space="preserve">病理诊断中心常用低值易耗品采购项目</w:t>
      </w:r>
      <w:r>
        <w:rPr>
          <w:rFonts w:hint="eastAsia" w:ascii="宋体" w:hAnsi="宋体" w:eastAsia="宋体" w:cs="宋体"/>
          <w:b/>
          <w:color w:val="auto"/>
          <w:sz w:val="36"/>
          <w:szCs w:val="36"/>
          <w:highlight w:val="none"/>
        </w:rPr>
        <w:t xml:space="preserve">购销合同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购货单位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徐州市中心医院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（以下简称甲方）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供货单位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（以下简称乙方）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甲乙双方根据《中华人民共和国民法典》及</w:t>
      </w:r>
      <w:r>
        <w:rPr>
          <w:rFonts w:hint="eastAsia" w:ascii="宋体" w:hAnsi="宋体" w:cs="宋体"/>
          <w:color w:val="auto"/>
          <w:sz w:val="24"/>
          <w:highlight w:val="none"/>
          <w:u w:val="single"/>
          <w:lang w:eastAsia="zh-CN"/>
        </w:rPr>
        <w:t xml:space="preserve">病理诊断中心常用低值易耗品采购项目</w:t>
      </w:r>
      <w:r>
        <w:rPr>
          <w:rFonts w:hint="eastAsia" w:ascii="宋体" w:hAnsi="宋体" w:eastAsia="宋体" w:cs="宋体"/>
          <w:color w:val="auto"/>
          <w:sz w:val="24"/>
          <w:highlight w:val="none"/>
          <w:u w:val="none"/>
          <w:lang w:val="en-US" w:eastAsia="zh-CN"/>
        </w:rPr>
        <w:t xml:space="preserve">公开招标</w:t>
      </w:r>
      <w:r>
        <w:rPr>
          <w:rFonts w:hint="eastAsia" w:ascii="宋体" w:hAnsi="宋体" w:eastAsia="宋体" w:cs="宋体"/>
          <w:color w:val="auto"/>
          <w:sz w:val="24"/>
          <w:highlight w:val="none"/>
        </w:rPr>
        <w:t xml:space="preserve">采购结果和招标文件要求，为维护双方的合法权益，本着互惠互利、共同发展的原则，就甲方向乙方购买</w:t>
      </w:r>
      <w:r>
        <w:rPr>
          <w:rFonts w:hint="eastAsia" w:ascii="宋体" w:hAnsi="宋体" w:eastAsia="宋体" w:cs="宋体"/>
          <w:color w:val="auto"/>
          <w:sz w:val="24"/>
          <w:highlight w:val="none"/>
          <w:u w:val="single"/>
        </w:rPr>
        <w:t xml:space="preserve">病理诊断中心常用低值易耗品采购项目</w:t>
      </w:r>
      <w:r>
        <w:rPr>
          <w:rFonts w:hint="eastAsia" w:ascii="宋体" w:hAnsi="宋体" w:eastAsia="宋体" w:cs="宋体"/>
          <w:color w:val="auto"/>
          <w:sz w:val="24"/>
          <w:highlight w:val="none"/>
        </w:rPr>
        <w:t xml:space="preserve">的有关事项特制定本合同。</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仿宋" w:hAnsi="仿宋" w:eastAsia="仿宋"/>
          <w:b/>
          <w:color w:val="auto"/>
          <w:sz w:val="24"/>
        </w:rPr>
        <w:t xml:space="preserve"> </w:t>
      </w:r>
      <w:r>
        <w:rPr>
          <w:rFonts w:hint="eastAsia" w:ascii="宋体" w:hAnsi="宋体" w:eastAsia="宋体" w:cs="宋体"/>
          <w:b/>
          <w:color w:val="auto"/>
          <w:sz w:val="24"/>
          <w:highlight w:val="none"/>
        </w:rPr>
        <w:t xml:space="preserve">一、供货范围、品名及价格等</w:t>
      </w:r>
      <w:r/>
    </w:p>
    <w:p>
      <w:pPr>
        <w:pStyle w:val="899"/>
        <w:ind w:firstLine="480"/>
        <w:keepLines w:val="0"/>
        <w:keepNext w:val="0"/>
        <w:pageBreakBefore w:val="0"/>
        <w:spacing w:before="0" w:beforeAutospacing="0" w:after="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乙方为甲方所供产品具体品名、规格型号、单位、单价、厂家等以公开招标采购结果为准, 明细详见附件1：《供货范围和价格清单》。</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二、交货时间、地点与方式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乙方对所供产品应适当备货，确保甲方需要。所有供货均由甲方采购中心向乙方下达采购计划，</w:t>
      </w:r>
      <w:r>
        <w:rPr>
          <w:rFonts w:hint="eastAsia" w:ascii="宋体" w:hAnsi="宋体" w:eastAsia="宋体" w:cs="宋体"/>
          <w:color w:val="auto"/>
          <w:sz w:val="24"/>
          <w:szCs w:val="24"/>
          <w:highlight w:val="none"/>
          <w:lang w:val="en-US" w:eastAsia="zh-CN"/>
        </w:rPr>
        <w:t xml:space="preserve">乙方应在甲方下达采购计划后，按以下时限供货：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耗材：</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lang w:val="en-US" w:eastAsia="zh-CN"/>
        </w:rPr>
        <w:t xml:space="preserve">个工作日</w:t>
      </w:r>
      <w:r>
        <w:rPr>
          <w:rFonts w:hint="eastAsia" w:ascii="宋体" w:hAnsi="宋体" w:eastAsia="宋体" w:cs="宋体"/>
          <w:color w:val="auto"/>
          <w:sz w:val="24"/>
          <w:szCs w:val="24"/>
          <w:highlight w:val="none"/>
          <w:lang w:val="en-US" w:eastAsia="zh-CN"/>
        </w:rPr>
        <w:t xml:space="preserve">内送达甲方库房；逾期</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小时以上的，视为乙方逾期供货。</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乙方所供产品必须事先送达甲方库房办理验收入库手续。医院非常规备库材料和非正常上班时间的</w:t>
      </w:r>
      <w:r>
        <w:rPr>
          <w:rFonts w:hint="eastAsia" w:ascii="宋体" w:hAnsi="宋体" w:eastAsia="宋体" w:cs="宋体"/>
          <w:color w:val="auto"/>
          <w:sz w:val="24"/>
          <w:highlight w:val="none"/>
          <w:lang w:val="en-US" w:eastAsia="zh-CN"/>
        </w:rPr>
        <w:t xml:space="preserve">耗材</w:t>
      </w:r>
      <w:r>
        <w:rPr>
          <w:rFonts w:hint="eastAsia" w:ascii="宋体" w:hAnsi="宋体" w:eastAsia="宋体" w:cs="宋体"/>
          <w:color w:val="auto"/>
          <w:sz w:val="24"/>
          <w:highlight w:val="none"/>
        </w:rPr>
        <w:t xml:space="preserve">的供货，送货单必须由使用科室主任或负责人签收后再办理入库手续。</w:t>
      </w:r>
      <w:r>
        <w:rPr>
          <w:rFonts w:hint="eastAsia" w:ascii="宋体" w:hAnsi="宋体" w:eastAsia="宋体" w:cs="宋体"/>
          <w:color w:val="auto"/>
          <w:sz w:val="24"/>
          <w:highlight w:val="none"/>
          <w:lang w:val="en-US" w:eastAsia="zh-CN"/>
        </w:rPr>
        <w:t xml:space="preserve">如乙方未按本款规定提供产品，甲方一概不予结算支付并不承担违约责任，由乙方承担一切损失及后果。</w:t>
      </w:r>
      <w:r>
        <w:rPr>
          <w:rFonts w:hint="eastAsia" w:ascii="宋体" w:hAnsi="宋体" w:eastAsia="宋体" w:cs="宋体"/>
          <w:color w:val="auto"/>
          <w:sz w:val="24"/>
          <w:szCs w:val="24"/>
          <w:highlight w:val="none"/>
          <w:lang w:val="en-US" w:eastAsia="zh-CN"/>
        </w:rPr>
        <w:t xml:space="preserve">乙方保证所提供的所有商品为原厂产品，质量及包装符合甲方的要求和有关质量标准，如不符甲方有权退货。</w:t>
      </w:r>
      <w:r/>
    </w:p>
    <w:p>
      <w:pPr>
        <w:ind w:lef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、合同价款及支付方式</w:t>
      </w:r>
      <w:r/>
    </w:p>
    <w:p>
      <w:pPr>
        <w:ind w:left="0" w:firstLine="482"/>
        <w:keepLines w:val="0"/>
        <w:keepNext w:val="0"/>
        <w:pageBreakBefore w:val="0"/>
        <w:spacing w:line="360" w:lineRule="auto"/>
        <w:rPr>
          <w:rFonts w:hint="eastAsia"/>
          <w:color w:val="auto"/>
        </w:rPr>
      </w:pPr>
      <w:r>
        <w:rPr>
          <w:rFonts w:hint="eastAsia" w:ascii="宋体" w:hAnsi="宋体" w:eastAsia="宋体" w:cs="宋体"/>
          <w:bCs/>
          <w:color w:val="auto"/>
          <w:sz w:val="24"/>
          <w:szCs w:val="24"/>
        </w:rPr>
        <w:t xml:space="preserve">1、合</w:t>
      </w:r>
      <w:r>
        <w:rPr>
          <w:rFonts w:hint="eastAsia" w:ascii="宋体" w:hAnsi="宋体" w:eastAsia="宋体" w:cs="宋体"/>
          <w:color w:val="auto"/>
          <w:sz w:val="24"/>
          <w:szCs w:val="24"/>
        </w:rPr>
        <w:t xml:space="preserve">同价款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人民币（小写）</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元整</w:t>
      </w:r>
      <w:r>
        <w:rPr>
          <w:rFonts w:hint="eastAsia" w:ascii="宋体" w:hAnsi="宋体" w:eastAsia="宋体" w:cs="宋体"/>
          <w:color w:val="auto"/>
          <w:sz w:val="24"/>
          <w:szCs w:val="24"/>
        </w:rPr>
        <w:t xml:space="preserve">。</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乙方确认：已详细审查全部招标文件，审慎合理进行投标报价，不存在不明及误解之处，不存在漏项，上述合同总金额之外甲方不需要再向乙方支付任何费用。</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经双方协商一致，选择以下第</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种付款方式：</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付款方式1（不提交预付款保函的）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年度价款</w:t>
      </w:r>
      <w:r>
        <w:rPr>
          <w:rFonts w:hint="eastAsia" w:ascii="宋体" w:hAnsi="宋体" w:eastAsia="宋体" w:cs="宋体"/>
          <w:bCs/>
          <w:color w:val="auto"/>
          <w:sz w:val="24"/>
          <w:szCs w:val="24"/>
        </w:rPr>
        <w:t xml:space="preserve">的百分之</w:t>
      </w:r>
      <w:r>
        <w:rPr>
          <w:rFonts w:hint="eastAsia" w:ascii="宋体" w:hAnsi="宋体" w:cs="宋体"/>
          <w:bCs/>
          <w:color w:val="auto"/>
          <w:sz w:val="24"/>
          <w:szCs w:val="24"/>
          <w:lang w:val="en-US" w:eastAsia="zh-CN"/>
        </w:rPr>
        <w:t xml:space="preserve">三</w:t>
      </w:r>
      <w:r>
        <w:rPr>
          <w:rFonts w:hint="eastAsia" w:ascii="宋体" w:hAnsi="宋体" w:eastAsia="宋体" w:cs="宋体"/>
          <w:bCs/>
          <w:color w:val="auto"/>
          <w:sz w:val="24"/>
          <w:szCs w:val="24"/>
        </w:rPr>
        <w:t xml:space="preserve">十(</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扣除预付款后的剩余款项，乙方按正常途径供货并办理入库手续后，甲方以实际供货数量为准结算，</w:t>
      </w:r>
      <w:r>
        <w:rPr>
          <w:rFonts w:hint="eastAsia" w:ascii="宋体" w:hAnsi="宋体" w:cs="宋体"/>
          <w:bCs/>
          <w:color w:val="auto"/>
          <w:sz w:val="24"/>
          <w:szCs w:val="24"/>
          <w:lang w:val="en-US" w:eastAsia="zh-CN"/>
        </w:rPr>
        <w:t xml:space="preserve">第一个结算周期为6个月，之后的结算周期和付款程序，</w:t>
      </w:r>
      <w:r>
        <w:rPr>
          <w:rFonts w:hint="eastAsia" w:ascii="宋体" w:hAnsi="宋体" w:eastAsia="宋体" w:cs="宋体"/>
          <w:bCs/>
          <w:color w:val="auto"/>
          <w:sz w:val="24"/>
          <w:szCs w:val="24"/>
        </w:rPr>
        <w:t xml:space="preserve">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付款方式2（提交预付款保函的）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年度价款的百分之三十(30%)即￥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扣除预付款后的剩余款项，乙方按正常途径供货并办理入库手续后，甲方以实际供货数量为准结算，第一个结算周期为6个月，之后的结算周期和付款程序，乙方应按甲方财务规定的程序和要求办理付款手续。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付款方式3（乙方明确表示无需预付款的）（注：此条符合苏财购〔2020〕52号文件要求））</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乙方按正常途径供货并办理入库手续后，甲方以实际供货数量为准结算，第一个结算周期为6个月，之后的结算周期和付款程序，乙方应按甲方财务规定的程序和要求办理付款手续。</w:t>
      </w:r>
      <w:r/>
    </w:p>
    <w:p>
      <w:pPr>
        <w:ind w:left="0" w:firstLine="48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、双方的权利义务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（一）甲方以</w:t>
      </w:r>
      <w:r>
        <w:rPr>
          <w:rFonts w:hint="eastAsia" w:ascii="宋体" w:hAnsi="宋体" w:eastAsia="宋体" w:cs="宋体"/>
          <w:color w:val="auto"/>
          <w:sz w:val="24"/>
          <w:szCs w:val="24"/>
          <w:highlight w:val="none"/>
          <w:lang w:val="en-US" w:eastAsia="zh-CN"/>
        </w:rPr>
        <w:t xml:space="preserve">本协议第二条约定的乙方</w:t>
      </w:r>
      <w:r>
        <w:rPr>
          <w:rFonts w:hint="eastAsia" w:ascii="宋体" w:hAnsi="宋体" w:eastAsia="宋体" w:cs="宋体"/>
          <w:color w:val="auto"/>
          <w:sz w:val="24"/>
          <w:szCs w:val="24"/>
          <w:highlight w:val="none"/>
        </w:rPr>
        <w:t xml:space="preserve">实际供货数量为准结算，</w:t>
      </w:r>
      <w:r>
        <w:rPr>
          <w:rFonts w:hint="eastAsia" w:ascii="宋体" w:hAnsi="宋体" w:eastAsia="宋体" w:cs="宋体"/>
          <w:color w:val="auto"/>
          <w:sz w:val="24"/>
          <w:szCs w:val="24"/>
          <w:highlight w:val="none"/>
          <w:lang w:val="en-US" w:eastAsia="zh-CN"/>
        </w:rPr>
        <w:t xml:space="preserve">乙方应</w:t>
      </w:r>
      <w:r>
        <w:rPr>
          <w:rFonts w:hint="eastAsia" w:ascii="宋体" w:hAnsi="宋体" w:eastAsia="宋体" w:cs="宋体"/>
          <w:color w:val="auto"/>
          <w:sz w:val="24"/>
          <w:szCs w:val="24"/>
          <w:highlight w:val="none"/>
        </w:rPr>
        <w:t xml:space="preserve">按甲方财务规定的程序和要求办理付款手续。</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（二）甲方应及时依据包括但不限于品种规格、数量及质量要求等完成耗材验收入库。</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1、若验收发现耗材不符合合同约定（包括但不限于品种错发、数量短缺、质量不合格），甲方有权：</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（1）拒绝接收该批次不合格</w:t>
      </w:r>
      <w:r>
        <w:rPr>
          <w:rFonts w:hint="eastAsia" w:ascii="宋体" w:hAnsi="宋体" w:cs="宋体"/>
          <w:color w:val="auto"/>
          <w:sz w:val="24"/>
          <w:szCs w:val="24"/>
          <w:highlight w:val="none"/>
          <w:lang w:val="en-US" w:eastAsia="zh-CN"/>
        </w:rPr>
        <w:t xml:space="preserve">的产品</w:t>
      </w:r>
      <w:r>
        <w:rPr>
          <w:rFonts w:hint="eastAsia" w:ascii="宋体" w:hAnsi="宋体" w:eastAsia="宋体" w:cs="宋体"/>
          <w:color w:val="auto"/>
          <w:sz w:val="24"/>
          <w:szCs w:val="24"/>
          <w:highlight w:val="none"/>
          <w:lang w:val="en-US" w:eastAsia="zh-CN"/>
        </w:rPr>
        <w:t xml:space="preserve">，并应在验收期届满后七个工作日内，向乙方出具书面《不合格验收通知书》，附检验报告/照片/视频等证明材料，明确不合格情形；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（2）要求乙方在七个工作日内采取补救措施（包括但不限于无条件更换合格耗材、补足短缺数量，或退还该批次不合格</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lang w:val="en-US" w:eastAsia="zh-CN"/>
        </w:rPr>
        <w:t xml:space="preserve">的全部价款）；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（3）就甲方因乙方不合格</w:t>
      </w:r>
      <w:r>
        <w:rPr>
          <w:rFonts w:hint="eastAsia" w:ascii="宋体" w:hAnsi="宋体" w:cs="宋体"/>
          <w:color w:val="auto"/>
          <w:sz w:val="24"/>
          <w:szCs w:val="24"/>
          <w:highlight w:val="none"/>
          <w:lang w:val="en-US" w:eastAsia="zh-CN"/>
        </w:rPr>
        <w:t xml:space="preserve">的产品</w:t>
      </w:r>
      <w:r>
        <w:rPr>
          <w:rFonts w:hint="eastAsia" w:ascii="宋体" w:hAnsi="宋体" w:eastAsia="宋体" w:cs="宋体"/>
          <w:color w:val="auto"/>
          <w:sz w:val="24"/>
          <w:szCs w:val="24"/>
          <w:highlight w:val="none"/>
          <w:lang w:val="en-US" w:eastAsia="zh-CN"/>
        </w:rPr>
        <w:t xml:space="preserve">遭受的损失（包括但不限于重新采购的差价损失、停工损失、检验费用），要求乙方承担赔偿责任，赔偿金额按本合同违约责任约定计算。</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未按约定履行补救义务或赔偿责任，或同一合同年度内累计出现三次不合格情形（或：单次不合格耗材数量占该批次总数量1%以上/出现重大质量问题导致甲方或第三方人身损害/财产损失）的，甲方有权视情节采取处罚措施，具体标准如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（1）短期停用：暂停乙方三个月（自甲方出具《处罚通知书》之日起算）的供货资格，停用期间甲方有权另行选择其他供应商；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（2）永久退出：若乙方1年内累计两次被短期停用，或出现提供假冒伪劣耗材、质量问题引发安全事故等情形的，甲方有权单方解除本合同，将乙方永久退出甲方合格供应商名录，且乙方应</w:t>
      </w:r>
      <w:r>
        <w:rPr>
          <w:rFonts w:hint="eastAsia" w:ascii="宋体" w:hAnsi="宋体" w:eastAsia="宋体" w:cs="宋体"/>
          <w:strike w:val="0"/>
          <w:color w:val="auto"/>
          <w:sz w:val="24"/>
          <w:szCs w:val="24"/>
          <w:highlight w:val="none"/>
          <w:lang w:val="en-US" w:eastAsia="zh-CN"/>
        </w:rPr>
        <w:t xml:space="preserve">双倍赔偿医院损失。</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3、乙方对甲方的验收结果或处罚措施有异议的，应在收到《不合格验收通知书》或《处罚通知书》后七个工作日内书面提出，逾期未提出视为认可。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乙方应具备所供应</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lang w:eastAsia="zh-CN"/>
        </w:rPr>
        <w:t xml:space="preserve">的销售资质，若合同期内全部或部分</w:t>
      </w: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lang w:eastAsia="zh-CN"/>
        </w:rPr>
        <w:t xml:space="preserve">销售资质期间短于合同期间，则相应</w:t>
      </w:r>
      <w:r>
        <w:rPr>
          <w:rFonts w:hint="eastAsia" w:ascii="宋体" w:hAnsi="宋体" w:cs="宋体"/>
          <w:color w:val="auto"/>
          <w:sz w:val="24"/>
          <w:szCs w:val="24"/>
          <w:highlight w:val="none"/>
          <w:lang w:val="en-US" w:eastAsia="zh-CN"/>
        </w:rPr>
        <w:t xml:space="preserve">耗材</w:t>
      </w:r>
      <w:r>
        <w:rPr>
          <w:rFonts w:hint="eastAsia" w:ascii="宋体" w:hAnsi="宋体" w:eastAsia="宋体" w:cs="宋体"/>
          <w:color w:val="auto"/>
          <w:sz w:val="24"/>
          <w:szCs w:val="24"/>
          <w:highlight w:val="none"/>
          <w:lang w:eastAsia="zh-CN"/>
        </w:rPr>
        <w:t xml:space="preserve">的合</w:t>
      </w:r>
      <w:r>
        <w:rPr>
          <w:rFonts w:hint="eastAsia" w:ascii="宋体" w:hAnsi="宋体" w:eastAsia="宋体" w:cs="宋体"/>
          <w:color w:val="auto"/>
          <w:sz w:val="24"/>
          <w:szCs w:val="24"/>
          <w:highlight w:val="none"/>
          <w:lang w:val="en-US" w:eastAsia="zh-CN"/>
        </w:rPr>
        <w:t xml:space="preserve">同购销义务</w:t>
      </w:r>
      <w:r>
        <w:rPr>
          <w:rFonts w:hint="eastAsia" w:ascii="宋体" w:hAnsi="宋体" w:eastAsia="宋体" w:cs="宋体"/>
          <w:color w:val="auto"/>
          <w:sz w:val="24"/>
          <w:szCs w:val="24"/>
          <w:highlight w:val="none"/>
          <w:lang w:eastAsia="zh-CN"/>
        </w:rPr>
        <w:t xml:space="preserve">自动终止。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）乙方必须按照合同约定的</w:t>
      </w:r>
      <w:r>
        <w:rPr>
          <w:rFonts w:hint="eastAsia" w:ascii="宋体" w:hAnsi="宋体" w:eastAsia="宋体" w:cs="宋体"/>
          <w:color w:val="auto"/>
          <w:sz w:val="24"/>
          <w:szCs w:val="24"/>
          <w:highlight w:val="none"/>
          <w:lang w:eastAsia="zh-CN"/>
        </w:rPr>
        <w:t xml:space="preserve">耗材</w:t>
      </w:r>
      <w:r>
        <w:rPr>
          <w:rFonts w:hint="eastAsia" w:ascii="宋体" w:hAnsi="宋体" w:eastAsia="宋体" w:cs="宋体"/>
          <w:color w:val="auto"/>
          <w:sz w:val="24"/>
          <w:szCs w:val="24"/>
          <w:highlight w:val="none"/>
        </w:rPr>
        <w:t xml:space="preserve">品种、数量、质量要求和期限，配送</w:t>
      </w:r>
      <w:r>
        <w:rPr>
          <w:rFonts w:hint="eastAsia" w:ascii="宋体" w:hAnsi="宋体" w:eastAsia="宋体" w:cs="宋体"/>
          <w:color w:val="auto"/>
          <w:sz w:val="24"/>
          <w:szCs w:val="24"/>
          <w:highlight w:val="none"/>
          <w:lang w:eastAsia="zh-CN"/>
        </w:rPr>
        <w:t xml:space="preserve">耗材</w:t>
      </w:r>
      <w:r>
        <w:rPr>
          <w:rFonts w:hint="eastAsia" w:ascii="宋体" w:hAnsi="宋体" w:eastAsia="宋体" w:cs="宋体"/>
          <w:color w:val="auto"/>
          <w:sz w:val="24"/>
          <w:szCs w:val="24"/>
          <w:highlight w:val="none"/>
        </w:rPr>
        <w:t xml:space="preserve">并提供伴随服务。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）甲方支付货款前，乙方应向甲方开具合规的符合甲方财务要求的发票，否则，甲方有权拒绝付款，并不承担逾期付款违约责任。</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（六）乙方保证所供</w:t>
      </w:r>
      <w:r>
        <w:rPr>
          <w:rFonts w:hint="eastAsia" w:ascii="宋体" w:hAnsi="宋体" w:cs="宋体"/>
          <w:color w:val="auto"/>
          <w:sz w:val="24"/>
          <w:szCs w:val="24"/>
          <w:highlight w:val="none"/>
          <w:lang w:val="en-US" w:eastAsia="zh-CN"/>
        </w:rPr>
        <w:t xml:space="preserve">所供货产品</w:t>
      </w:r>
      <w:r>
        <w:rPr>
          <w:rFonts w:hint="eastAsia" w:ascii="宋体" w:hAnsi="宋体" w:eastAsia="宋体" w:cs="宋体"/>
          <w:color w:val="auto"/>
          <w:sz w:val="24"/>
          <w:szCs w:val="24"/>
          <w:highlight w:val="none"/>
          <w:lang w:val="en-US" w:eastAsia="zh-CN"/>
        </w:rPr>
        <w:t xml:space="preserve">不存在专利权、商标权、著作权等知识产权争议，若因知识产权争议导致甲方被第三方起诉、投诉或查处，乙方应在收到甲方通知后3个工作日内介入处理，并承担全部责任（含第三方索赔金额、甲方支付的诉讼费、律师费、罚款、商誉损失等直接及间接损失）。甲方有权在应付货款中扣除上述损失金额，不足部分乙方应在15个工作日内补足。</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）甲方在使用乙方供应</w:t>
      </w:r>
      <w:r>
        <w:rPr>
          <w:rFonts w:hint="eastAsia" w:ascii="宋体" w:hAnsi="宋体" w:eastAsia="宋体" w:cs="宋体"/>
          <w:color w:val="auto"/>
          <w:sz w:val="24"/>
          <w:szCs w:val="24"/>
          <w:highlight w:val="none"/>
          <w:lang w:eastAsia="zh-CN"/>
        </w:rPr>
        <w:t xml:space="preserve">耗材</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过程中，因受举报、抽检等检查出现质量问题或者其他问题，如导致甲方被国家相关行政部门查处，乙方须承担相关法律和经济责任并承担由此给甲方造成的经济损失，甲方将有权从应付货款中扣除。</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乙方供货时，如未遵守上述约定，甲方有权终止该品种</w:t>
      </w:r>
      <w:r>
        <w:rPr>
          <w:rFonts w:hint="eastAsia" w:ascii="宋体" w:hAnsi="宋体" w:cs="宋体"/>
          <w:color w:val="auto"/>
          <w:sz w:val="24"/>
          <w:highlight w:val="none"/>
          <w:lang w:val="en-US" w:eastAsia="zh-CN"/>
        </w:rPr>
        <w:t xml:space="preserve">耗材</w:t>
      </w:r>
      <w:r>
        <w:rPr>
          <w:rFonts w:hint="eastAsia" w:ascii="宋体" w:hAnsi="宋体" w:eastAsia="宋体" w:cs="宋体"/>
          <w:color w:val="auto"/>
          <w:sz w:val="24"/>
          <w:highlight w:val="none"/>
        </w:rPr>
        <w:t xml:space="preserve">的采购并有权终止本供货协议；如导致甲方被国家相关行政部门查处，乙方须承担相关法律和经济责任并承担由此给甲方造成的经济损失，甲方将有权从应付货款中扣除。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乙方如逾期供货给甲方临床医疗工作造成不良影响或后果时，甲方将终止与乙方的所有供货业务关系。若乙方逾期供货给甲方造成实际经济损失，则乙方应承担赔偿责任。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因乙方供应产品质量问题给患者造成损害的，乙方应当承担全部赔偿责任。甲方因此而承担赔偿责任的，甲方有权向乙方追偿并有权从应付货款中扣除，应付货款不足以赔偿甲方的，乙方应继续赔偿。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乙方违反甲方的规章制度，在临床搞促销等不正当竞争的，甲方取消其供货资格。</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六</w:t>
      </w:r>
      <w:r>
        <w:rPr>
          <w:rFonts w:hint="eastAsia" w:ascii="宋体" w:hAnsi="宋体" w:eastAsia="宋体" w:cs="宋体"/>
          <w:b/>
          <w:color w:val="auto"/>
          <w:sz w:val="24"/>
          <w:highlight w:val="none"/>
        </w:rPr>
        <w:t xml:space="preserve">、合同有效期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本合同自双方签字盖章后</w:t>
      </w:r>
      <w:r>
        <w:rPr>
          <w:rFonts w:hint="eastAsia" w:ascii="宋体" w:hAnsi="宋体" w:eastAsia="宋体" w:cs="宋体"/>
          <w:color w:val="auto"/>
          <w:sz w:val="24"/>
          <w:szCs w:val="24"/>
          <w:highlight w:val="none"/>
          <w:lang w:eastAsia="zh-CN"/>
        </w:rPr>
        <w:t xml:space="preserve">成立，</w:t>
      </w:r>
      <w:r>
        <w:rPr>
          <w:rFonts w:hint="eastAsia" w:ascii="宋体" w:hAnsi="宋体" w:eastAsia="宋体" w:cs="宋体"/>
          <w:color w:val="auto"/>
          <w:sz w:val="24"/>
          <w:highlight w:val="none"/>
        </w:rPr>
        <w:t xml:space="preserve">合同有效期</w:t>
      </w:r>
      <w:r>
        <w:rPr>
          <w:rFonts w:hint="eastAsia" w:ascii="宋体" w:hAnsi="宋体" w:eastAsia="宋体" w:cs="宋体"/>
          <w:color w:val="auto"/>
          <w:sz w:val="24"/>
          <w:highlight w:val="none"/>
          <w:lang w:eastAsia="zh-CN"/>
        </w:rPr>
        <w:t xml:space="preserve">限</w:t>
      </w:r>
      <w:r>
        <w:rPr>
          <w:rFonts w:hint="eastAsia" w:ascii="宋体" w:hAnsi="宋体" w:eastAsia="宋体" w:cs="宋体"/>
          <w:color w:val="auto"/>
          <w:sz w:val="24"/>
          <w:highlight w:val="none"/>
        </w:rPr>
        <w:t xml:space="preserve">为</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val="en-US" w:eastAsia="zh-CN"/>
        </w:rPr>
        <w:t xml:space="preserve">  年  月  日  至  年   月  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如在合同期间，由于国家相关</w:t>
      </w:r>
      <w:r>
        <w:rPr>
          <w:rFonts w:hint="eastAsia" w:ascii="宋体" w:hAnsi="宋体" w:eastAsia="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政策规定、国家政策性集中采购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上级部门监管</w:t>
      </w:r>
      <w:r>
        <w:rPr>
          <w:rFonts w:hint="eastAsia" w:ascii="宋体" w:hAnsi="宋体" w:eastAsia="宋体" w:cs="宋体"/>
          <w:color w:val="auto"/>
          <w:sz w:val="24"/>
          <w:highlight w:val="none"/>
        </w:rPr>
        <w:t xml:space="preserve">等因素，使本合同无法继续履行的，则本协议自动终止。</w:t>
      </w:r>
      <w:r/>
    </w:p>
    <w:p>
      <w:pPr>
        <w:pStyle w:val="972"/>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乙方在合同期间必须具备代理本产品的授权资质，否则合同无效且发生的一切不良后果由乙方承担。</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本合同如有未尽事宜，经双方协商可在不违背本合同实质性内容的前提下签署补充协议。补充协议与本合同具有同等法律效力。</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本协议在履行过程中发生争议，双方应本着友好协商解决，经协商仍无法解决的，双方均可向甲方所在地人民法院提起诉讼。</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rPr>
          <w:rFonts w:hint="eastAsia" w:ascii="宋体" w:hAnsi="宋体" w:eastAsia="宋体" w:cs="宋体"/>
          <w:sz w:val="24"/>
        </w:rPr>
        <w:t xml:space="preserve">本协议一式</w:t>
      </w:r>
      <w:r>
        <w:rPr>
          <w:rFonts w:hint="eastAsia" w:ascii="宋体" w:hAnsi="宋体" w:cs="宋体"/>
          <w:sz w:val="24"/>
          <w:u w:val="single"/>
          <w:lang w:val="en-US" w:eastAsia="zh-CN"/>
        </w:rPr>
        <w:t xml:space="preserve">   </w:t>
      </w:r>
      <w:r>
        <w:rPr>
          <w:rFonts w:hint="eastAsia" w:ascii="宋体" w:hAnsi="宋体" w:eastAsia="宋体" w:cs="宋体"/>
          <w:sz w:val="24"/>
        </w:rPr>
        <w:t xml:space="preserve">份，甲方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份，均具有同等法律效力。</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以下无正文</w:t>
      </w:r>
      <w:r>
        <w:rPr>
          <w:rFonts w:hint="eastAsia" w:ascii="宋体" w:hAnsi="宋体" w:eastAsia="宋体" w:cs="宋体"/>
          <w:color w:val="auto"/>
          <w:sz w:val="24"/>
          <w:highlight w:val="none"/>
          <w:lang w:eastAsia="zh-CN"/>
        </w:rPr>
        <w:t xml:space="preserve">）</w:t>
      </w:r>
      <w:r/>
    </w:p>
    <w:p>
      <w:pPr>
        <w:spacing w:before="156" w:after="156" w:line="360" w:lineRule="auto"/>
        <w:rPr>
          <w:rFonts w:hint="eastAsia" w:ascii="宋体" w:hAnsi="宋体" w:eastAsia="宋体" w:cs="宋体"/>
          <w:b/>
          <w:sz w:val="24"/>
        </w:rPr>
      </w:pPr>
      <w:r>
        <w:rPr>
          <w:rFonts w:hint="eastAsia" w:ascii="宋体" w:hAnsi="宋体" w:eastAsia="宋体" w:cs="宋体"/>
          <w:b/>
          <w:sz w:val="24"/>
        </w:rPr>
      </w:r>
      <w:r/>
    </w:p>
    <w:p>
      <w:pPr>
        <w:spacing w:before="156" w:after="156" w:line="360" w:lineRule="auto"/>
        <w:rPr>
          <w:rFonts w:hint="eastAsia" w:ascii="宋体" w:hAnsi="宋体" w:eastAsia="宋体" w:cs="宋体"/>
          <w:b/>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eastAsia="宋体" w:cs="宋体"/>
          <w:b/>
          <w:sz w:val="24"/>
        </w:rPr>
        <w:t xml:space="preserve">（盖章）</w:t>
      </w:r>
      <w:r>
        <w:rPr>
          <w:rFonts w:hint="eastAsia" w:ascii="宋体" w:hAnsi="宋体" w:cs="宋体"/>
          <w:b/>
          <w:sz w:val="24"/>
          <w:lang w:val="en-US" w:eastAsia="zh-CN"/>
        </w:rPr>
        <w:t xml:space="preserve">    </w:t>
      </w:r>
      <w:r>
        <w:rPr>
          <w:rFonts w:hint="eastAsia" w:ascii="宋体" w:hAnsi="宋体" w:eastAsia="宋体" w:cs="宋体"/>
          <w:b/>
          <w:sz w:val="24"/>
        </w:rPr>
        <w:t xml:space="preserve">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b/>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cs="宋体"/>
          <w:b/>
          <w:sz w:val="24"/>
          <w:lang w:eastAsia="zh-CN"/>
        </w:rPr>
        <w:t xml:space="preserve">账</w:t>
      </w:r>
      <w:r>
        <w:rPr>
          <w:rFonts w:hint="eastAsia" w:ascii="宋体" w:hAnsi="宋体" w:eastAsia="宋体" w:cs="宋体"/>
          <w:b/>
          <w:sz w:val="24"/>
        </w:rPr>
        <w:t xml:space="preserve">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帐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cs="宋体"/>
          <w:sz w:val="24"/>
          <w:lang w:val="en-US" w:eastAsia="zh-CN"/>
        </w:rPr>
        <w:t xml:space="preserve">  </w:t>
      </w: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both"/>
        <w:spacing w:line="400" w:lineRule="exact"/>
        <w:widowControl/>
        <w:rPr>
          <w:rFonts w:hint="eastAsia" w:ascii="宋体" w:hAnsi="宋体" w:cs="宋体"/>
          <w:sz w:val="24"/>
        </w:rPr>
      </w:pPr>
      <w:r>
        <w:rPr>
          <w:rFonts w:hint="eastAsia" w:ascii="宋体" w:hAnsi="宋体" w:eastAsia="宋体" w:cs="宋体"/>
          <w:color w:val="auto"/>
          <w:sz w:val="24"/>
          <w:highlight w:val="none"/>
        </w:rPr>
        <w:br w:type="page" w:clear="all"/>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000000"/>
          <w:sz w:val="32"/>
          <w:szCs w:val="32"/>
          <w:highlight w:val="white"/>
        </w:rPr>
      </w:r>
      <w:r/>
    </w:p>
    <w:p>
      <w:pPr>
        <w:jc w:val="center"/>
        <w:spacing w:line="360" w:lineRule="auto"/>
        <w:widowControl/>
        <w:rPr>
          <w:rFonts w:hint="eastAsia" w:ascii="宋体" w:hAnsi="宋体" w:cs="宋体"/>
          <w:b/>
          <w:bCs/>
          <w:color w:val="000000"/>
          <w:sz w:val="32"/>
          <w:szCs w:val="32"/>
          <w:highlight w:val="white"/>
        </w:rPr>
      </w:pPr>
      <w:r>
        <w:rPr>
          <w:rFonts w:hint="eastAsia" w:ascii="宋体" w:hAnsi="宋体" w:cs="宋体"/>
          <w:b/>
          <w:bCs/>
          <w:color w:val="000000"/>
          <w:sz w:val="32"/>
          <w:szCs w:val="32"/>
          <w:highlight w:val="white"/>
        </w:rPr>
        <w:t xml:space="preserve">合同附件</w:t>
      </w:r>
      <w:r/>
    </w:p>
    <w:p>
      <w:pPr>
        <w:ind w:firstLine="560"/>
        <w:jc w:val="center"/>
        <w:spacing w:line="240" w:lineRule="atLeas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：供货范围和价格清单(要求见招标文件</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合同见卖方投标文件中《开标一览表》和《分项价格表》。)</w:t>
      </w:r>
      <w:r/>
    </w:p>
    <w:p>
      <w:pPr>
        <w:jc w:val="left"/>
        <w:spacing w:line="360" w:lineRule="auto"/>
        <w:widowControl/>
        <w:rPr>
          <w:rFonts w:hint="eastAsia"/>
          <w:sz w:val="24"/>
          <w:szCs w:val="24"/>
          <w:highlight w:val="white"/>
        </w:rPr>
      </w:pPr>
      <w:r>
        <w:rPr>
          <w:rFonts w:hint="eastAsia"/>
          <w:sz w:val="24"/>
          <w:szCs w:val="24"/>
          <w:highlight w:val="white"/>
        </w:rPr>
        <w:t xml:space="preserve">合同附件</w:t>
      </w:r>
      <w:r>
        <w:rPr>
          <w:rFonts w:hint="eastAsia"/>
          <w:sz w:val="24"/>
          <w:szCs w:val="24"/>
          <w:highlight w:val="white"/>
          <w:lang w:val="en-US" w:eastAsia="zh-CN"/>
        </w:rPr>
        <w:t xml:space="preserve">2</w:t>
      </w:r>
      <w:r>
        <w:rPr>
          <w:rFonts w:hint="eastAsia"/>
          <w:sz w:val="24"/>
          <w:szCs w:val="24"/>
          <w:highlight w:val="white"/>
        </w:rPr>
        <w:t xml:space="preserve">：医疗卫生机构廉洁购销合同</w:t>
      </w:r>
      <w:r/>
    </w:p>
    <w:p>
      <w:pPr>
        <w:pStyle w:val="881"/>
        <w:rPr>
          <w:rFonts w:eastAsia="宋体"/>
          <w:highlight w:val="white"/>
        </w:rPr>
      </w:pPr>
      <w:r>
        <w:rPr>
          <w:rFonts w:eastAsia="宋体"/>
          <w:highlight w:val="white"/>
        </w:rPr>
      </w:r>
      <w:r/>
    </w:p>
    <w:p>
      <w:pPr>
        <w:rPr>
          <w:rFonts w:hint="eastAsia" w:ascii="仿宋" w:hAnsi="仿宋" w:eastAsia="仿宋"/>
          <w:sz w:val="24"/>
        </w:rPr>
      </w:pPr>
      <w:r>
        <w:rPr>
          <w:rFonts w:hint="eastAsia" w:ascii="仿宋" w:hAnsi="仿宋" w:eastAsia="仿宋"/>
          <w:sz w:val="24"/>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bCs/>
          <w:sz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24"/>
          <w:lang w:val="en-US" w:eastAsia="zh-CN"/>
        </w:rPr>
      </w:r>
      <w:r/>
    </w:p>
    <w:p>
      <w:pPr>
        <w:rPr>
          <w:rFonts w:hint="eastAsia" w:ascii="宋体" w:hAnsi="宋体" w:cs="宋体"/>
          <w:b/>
          <w:sz w:val="24"/>
        </w:rPr>
      </w:pPr>
      <w:r>
        <w:rPr>
          <w:rFonts w:hint="eastAsia" w:ascii="宋体" w:hAnsi="宋体" w:cs="宋体"/>
          <w:b/>
          <w:sz w:val="24"/>
          <w:lang w:val="en-US" w:eastAsia="zh-CN"/>
        </w:rPr>
        <w:t xml:space="preserve">合同</w:t>
      </w:r>
      <w:r>
        <w:rPr>
          <w:rFonts w:hint="eastAsia" w:ascii="宋体" w:hAnsi="宋体" w:cs="宋体"/>
          <w:b/>
          <w:sz w:val="24"/>
        </w:rPr>
        <w:t xml:space="preserve">附件</w:t>
      </w:r>
      <w:r>
        <w:rPr>
          <w:rFonts w:hint="eastAsia" w:ascii="宋体" w:hAnsi="宋体" w:cs="宋体"/>
          <w:b/>
          <w:sz w:val="24"/>
          <w:lang w:val="en-US" w:eastAsia="zh-CN"/>
        </w:rPr>
        <w:t xml:space="preserve">2</w:t>
      </w:r>
      <w:r>
        <w:rPr>
          <w:rFonts w:hint="eastAsia" w:ascii="宋体" w:hAnsi="宋体" w:cs="宋体"/>
          <w:b/>
          <w:sz w:val="24"/>
        </w:rPr>
        <w:t xml:space="preserve">：</w:t>
      </w:r>
      <w:r/>
    </w:p>
    <w:p>
      <w:pPr>
        <w:pStyle w:val="899"/>
        <w:jc w:val="center"/>
        <w:rPr>
          <w:rFonts w:hint="eastAsia"/>
          <w:b/>
          <w:bCs/>
          <w:sz w:val="44"/>
          <w:szCs w:val="44"/>
        </w:rPr>
      </w:pPr>
      <w:r>
        <w:rPr>
          <w:rFonts w:hint="eastAsia"/>
          <w:b/>
          <w:bCs/>
          <w:sz w:val="44"/>
          <w:szCs w:val="44"/>
        </w:rPr>
        <w:t xml:space="preserve">医疗卫生机构廉洁购销合同</w:t>
      </w:r>
      <w:r/>
    </w:p>
    <w:p>
      <w:pPr>
        <w:pStyle w:val="899"/>
        <w:keepLines w:val="0"/>
        <w:keepNext w:val="0"/>
        <w:pageBreakBefore w:val="0"/>
        <w:spacing w:before="0" w:beforeAutospacing="0" w:after="0" w:afterAutospacing="0" w:line="360" w:lineRule="auto"/>
        <w:widowControl/>
        <w:rPr>
          <w:rFonts w:hint="eastAsia"/>
        </w:rPr>
      </w:pPr>
      <w:r>
        <w:rPr>
          <w:rFonts w:hint="eastAsia"/>
          <w:b/>
        </w:rPr>
        <w:t xml:space="preserve">购货单位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lang w:eastAsia="zh-CN"/>
        </w:rPr>
        <w:t xml:space="preserve">徐州市中心医院</w:t>
      </w:r>
      <w:r>
        <w:rPr>
          <w:rFonts w:hint="eastAsia"/>
          <w:u w:val="single"/>
        </w:rPr>
        <w:t xml:space="preserve">  </w:t>
      </w:r>
      <w:r>
        <w:rPr>
          <w:rFonts w:hint="eastAsia"/>
        </w:rPr>
        <w:t xml:space="preserve">（以下简称甲方） </w:t>
      </w:r>
      <w:r/>
    </w:p>
    <w:p>
      <w:pPr>
        <w:pStyle w:val="899"/>
        <w:keepLines w:val="0"/>
        <w:keepNext w:val="0"/>
        <w:pageBreakBefore w:val="0"/>
        <w:spacing w:before="0" w:beforeAutospacing="0" w:after="0" w:afterAutospacing="0" w:line="360" w:lineRule="auto"/>
        <w:widowControl/>
        <w:rPr>
          <w:rFonts w:hint="eastAsia"/>
        </w:rPr>
      </w:pPr>
      <w:r>
        <w:rPr>
          <w:rFonts w:hint="eastAsia"/>
          <w:b/>
        </w:rPr>
        <w:t xml:space="preserve">供货单位</w:t>
      </w:r>
      <w:r>
        <w:rPr>
          <w:rFonts w:hint="eastAsia"/>
        </w:rPr>
        <w:t xml:space="preserve">：</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（以下简称乙方） </w:t>
      </w:r>
      <w:r/>
    </w:p>
    <w:p>
      <w:pPr>
        <w:pStyle w:val="899"/>
        <w:keepLines w:val="0"/>
        <w:keepNext w:val="0"/>
        <w:pageBreakBefore w:val="0"/>
        <w:spacing w:before="0" w:beforeAutospacing="0" w:after="0" w:afterAutospacing="0" w:line="360" w:lineRule="auto"/>
        <w:widowControl/>
        <w:rPr>
          <w:rFonts w:hint="eastAsia"/>
          <w:b/>
        </w:rPr>
      </w:pPr>
      <w:r>
        <w:rPr>
          <w:rFonts w:hint="eastAsia"/>
          <w:b/>
        </w:rPr>
        <w:t xml:space="preserve">合同签署地点：</w:t>
      </w:r>
      <w:r>
        <w:rPr>
          <w:rFonts w:hint="eastAsia"/>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w:t>
      </w:r>
      <w:r>
        <w:rPr>
          <w:rFonts w:hint="eastAsia" w:ascii="宋体" w:hAnsi="宋体" w:cs="宋体"/>
          <w:sz w:val="24"/>
          <w:lang w:val="en-US" w:eastAsia="zh-CN"/>
        </w:rPr>
        <w:t xml:space="preserve">中华人民共和国民法典</w:t>
      </w:r>
      <w:r>
        <w:rPr>
          <w:rFonts w:hint="eastAsia" w:ascii="宋体" w:hAnsi="宋体" w:cs="宋体"/>
          <w:sz w:val="24"/>
        </w:rPr>
        <w:t xml:space="preserve">》及购销合同约定购销药品、医用设备、医用耗材、检测试剂等货物、服务、工程类项目。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份，并从签订之日起生效。</w:t>
      </w:r>
      <w:r/>
    </w:p>
    <w:p>
      <w:pPr>
        <w:ind w:firstLine="420"/>
        <w:spacing w:line="360" w:lineRule="auto"/>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0"/>
          <w:szCs w:val="30"/>
        </w:rPr>
      </w:pPr>
      <w:r>
        <w:rPr>
          <w:rFonts w:hint="eastAsia" w:ascii="宋体" w:hAnsi="宋体" w:cs="宋体"/>
          <w:b/>
          <w:sz w:val="30"/>
          <w:szCs w:val="30"/>
        </w:rPr>
      </w:r>
      <w:r/>
    </w:p>
    <w:p>
      <w:pPr>
        <w:pStyle w:val="883"/>
        <w:ind w:left="0" w:firstLine="0"/>
        <w:rPr>
          <w:rFonts w:hint="eastAsia"/>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rPr>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bookmarkStart w:id="0" w:name="_Toc322457054"/>
      <w:r/>
      <w:bookmarkEnd w:id="0"/>
      <w:r/>
      <w:bookmarkStart w:id="1" w:name="_Toc324452802"/>
      <w:r/>
      <w:bookmarkEnd w:id="1"/>
      <w:r/>
      <w:r/>
    </w:p>
    <w:p>
      <w:pPr>
        <w:pStyle w:val="1096"/>
        <w:pageBreakBefore w:val="0"/>
        <w:spacing w:before="0" w:line="360" w:lineRule="auto"/>
        <w:widowControl w:val="off"/>
        <w:rPr>
          <w:rStyle w:val="1097"/>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keepLines/>
        <w:keepNext/>
        <w:pageBreakBefore w:val="0"/>
        <w:spacing w:before="0" w:line="480" w:lineRule="auto"/>
        <w:widowControl w:val="off"/>
        <w:tabs>
          <w:tab w:val="left" w:pos="0" w:leader="none"/>
        </w:tabs>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一、本项目属于专门面向中小微企业采购的项目。</w:t>
      </w:r>
      <w:r/>
    </w:p>
    <w:p>
      <w:pPr>
        <w:pageBreakBefore w:val="0"/>
        <w:spacing w:line="48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rPr>
        <w:t xml:space="preserve">本项目采购非进口产品，</w:t>
      </w:r>
      <w:r>
        <w:rPr>
          <w:rFonts w:hint="eastAsia" w:ascii="宋体" w:hAnsi="宋体" w:eastAsia="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lang w:val="en-US"/>
        </w:rPr>
        <w:t xml:space="preserve">本项目不接受超过</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lang w:val="en-US"/>
        </w:rPr>
        <w:t xml:space="preserve">万元人民币（最高限价）的投标报价</w:t>
      </w:r>
      <w:r>
        <w:rPr>
          <w:rFonts w:hint="eastAsia" w:ascii="宋体" w:hAnsi="宋体" w:cs="宋体"/>
          <w:b/>
          <w:bCs/>
          <w:color w:val="auto"/>
          <w:sz w:val="24"/>
          <w:szCs w:val="24"/>
          <w:highlight w:val="none"/>
          <w:lang w:val="en-US" w:eastAsia="zh-CN"/>
        </w:rPr>
        <w:t xml:space="preserve">。</w:t>
      </w:r>
      <w:r/>
    </w:p>
    <w:p>
      <w:pPr>
        <w:ind w:firstLine="0"/>
        <w:keepLines w:val="0"/>
        <w:keepNext w:val="0"/>
        <w:pageBreakBefore w:val="0"/>
        <w:spacing w:line="480" w:lineRule="auto"/>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三、项目说明：</w:t>
      </w:r>
      <w:r/>
    </w:p>
    <w:p>
      <w:pPr>
        <w:ind w:firstLine="0"/>
        <w:keepLines w:val="0"/>
        <w:keepNext w:val="0"/>
        <w:pageBreakBefore w:val="0"/>
        <w:spacing w:line="48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1、采购人：徐州市中心医院。</w:t>
      </w:r>
      <w:r/>
    </w:p>
    <w:p>
      <w:pPr>
        <w:ind w:firstLine="0"/>
        <w:keepLines w:val="0"/>
        <w:keepNext w:val="0"/>
        <w:pageBreakBefore w:val="0"/>
        <w:spacing w:line="480" w:lineRule="auto"/>
        <w:widowControl w:val="off"/>
        <w:tabs>
          <w:tab w:val="left" w:pos="0" w:leader="none"/>
        </w:tabs>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2、项目名称：病理诊断中心常用低值易耗品采购项目。</w:t>
      </w:r>
      <w:r/>
    </w:p>
    <w:p>
      <w:pPr>
        <w:ind w:firstLine="0"/>
        <w:keepLines w:val="0"/>
        <w:keepNext w:val="0"/>
        <w:pageBreakBefore w:val="0"/>
        <w:spacing w:line="480" w:lineRule="auto"/>
        <w:widowControl w:val="off"/>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3、项目概况：因医院医疗保障和日常治疗需要，徐州市中心医院病理科拟采购一批病理诊断中心常用低值易耗品，具体详见采购清单及技术要求。</w:t>
      </w:r>
      <w:r/>
    </w:p>
    <w:p>
      <w:pPr>
        <w:ind w:firstLine="0"/>
        <w:keepLines w:val="0"/>
        <w:keepNext w:val="0"/>
        <w:pageBreakBefore w:val="0"/>
        <w:spacing w:line="480" w:lineRule="auto"/>
        <w:widowControl w:val="off"/>
        <w:tabs>
          <w:tab w:val="left" w:pos="0" w:leader="none"/>
        </w:tabs>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4、供应期限：3年。</w:t>
      </w:r>
      <w:r/>
    </w:p>
    <w:p>
      <w:pPr>
        <w:ind w:firstLine="0"/>
        <w:keepLines w:val="0"/>
        <w:keepNext w:val="0"/>
        <w:pageBreakBefore w:val="0"/>
        <w:spacing w:line="48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四、投标报价要求：</w:t>
      </w:r>
      <w:r/>
    </w:p>
    <w:p>
      <w:pPr>
        <w:ind w:firstLine="0"/>
        <w:keepLines w:val="0"/>
        <w:keepNext w:val="0"/>
        <w:pageBreakBefore w:val="0"/>
        <w:spacing w:line="48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应当根据采购项目的要求按人民币报价，“报价”如无特别说明，均指含税价格，发票为增值税专用发票或增值税普通发票。投标人报价应包括全部货物及伴随服务的相应价格及相关税费、运输到指定地点的装运费用、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lang w:val="en-US" w:eastAsia="zh-CN"/>
        </w:rPr>
      </w:r>
      <w:r/>
    </w:p>
    <w:p>
      <w:pPr>
        <w:numPr>
          <w:ilvl w:val="0"/>
          <w:numId w:val="0"/>
        </w:numPr>
        <w:keepLines w:val="0"/>
        <w:keepNext w:val="0"/>
        <w:pageBreakBefore w:val="0"/>
        <w:spacing w:line="360" w:lineRule="auto"/>
        <w:widowControl w:val="off"/>
        <w:tabs>
          <w:tab w:val="left" w:pos="0" w:leader="none"/>
        </w:tabs>
        <w:rPr>
          <w:rFonts w:hint="eastAsia" w:ascii="Times New Roman" w:hAnsi="Times New Roman" w:eastAsia="宋体" w:cs="Times New Roman"/>
          <w:color w:val="auto"/>
          <w:highlight w:val="none"/>
          <w:lang w:val="en-US" w:eastAsia="zh-CN"/>
        </w:rPr>
      </w:pPr>
      <w:r>
        <w:rPr>
          <w:rFonts w:hint="eastAsia" w:ascii="宋体" w:hAnsi="宋体" w:eastAsia="宋体" w:cs="宋体"/>
          <w:b/>
          <w:bCs/>
          <w:sz w:val="24"/>
          <w:szCs w:val="24"/>
          <w:lang w:val="en-US" w:eastAsia="zh-CN"/>
        </w:rPr>
        <w:t xml:space="preserve">五、采购清单及</w:t>
      </w: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要求</w:t>
      </w:r>
      <w:r/>
    </w:p>
    <w:tbl>
      <w:tblPr>
        <w:tblStyle w:val="861"/>
        <w:tblW w:w="1388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0"/>
        <w:gridCol w:w="2595"/>
        <w:gridCol w:w="2105"/>
        <w:gridCol w:w="1516"/>
        <w:gridCol w:w="867"/>
        <w:gridCol w:w="6093"/>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年用量</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技术要求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标准级显微镜盖玻片1</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24*24mm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270盒（每盒200片）</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restart"/>
            <w:textDirection w:val="lrTb"/>
            <w:noWrap w:val="false"/>
          </w:tcPr>
          <w:p>
            <w:pPr>
              <w:numPr>
                <w:ilvl w:val="0"/>
                <w:numId w:val="2"/>
              </w:num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超白玻璃材质，高清洁度、免清洗；</w:t>
            </w:r>
            <w:r/>
          </w:p>
          <w:p>
            <w:pPr>
              <w:numPr>
                <w:ilvl w:val="0"/>
                <w:numId w:val="2"/>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厚度：0.14</w:t>
            </w:r>
            <w:r>
              <w:rPr>
                <w:rFonts w:hint="eastAsia" w:ascii="宋体" w:hAnsi="宋体" w:eastAsia="宋体" w:cs="宋体"/>
                <w:b w:val="0"/>
                <w:bCs w:val="0"/>
                <w:i w:val="0"/>
                <w:iCs w:val="0"/>
                <w:color w:val="auto"/>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0.02mm；</w:t>
            </w:r>
            <w:r/>
          </w:p>
          <w:p>
            <w:pPr>
              <w:numPr>
                <w:ilvl w:val="0"/>
                <w:numId w:val="2"/>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要求：原材料及加工工艺优良，能够保证玻片具备优良的光学性能和精确的尺寸，能满足超高要求的封片和病理诊断。                          </w:t>
            </w:r>
            <w:r/>
          </w:p>
          <w:p>
            <w:pPr>
              <w:numPr>
                <w:ilvl w:val="0"/>
                <w:numId w:val="0"/>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4、用途：与载玻片配合使用，用于覆盖样本，封存保护样本，改变折射率让显微镜视野更清晰，也可使用于细胞爬片及细胞计数等应用。</w:t>
            </w:r>
            <w:r/>
          </w:p>
          <w:p>
            <w:pPr>
              <w:numPr>
                <w:ilvl w:val="0"/>
                <w:numId w:val="0"/>
              </w:numPr>
              <w:jc w:val="left"/>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5、产品有效期≥18个月。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标准级显微镜盖玻片2</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24*32mm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标准级显微镜盖玻片3</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24*50mm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240盒（每盒200片）</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粘附载玻片</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25*75mm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1、超白玻璃材质，单头单面蒙彩书写面，高清洁度；</w:t>
            </w:r>
            <w:r/>
          </w:p>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rPr>
                <w:rFonts w:hint="eastAsia" w:ascii="宋体" w:hAnsi="宋体" w:eastAsia="宋体" w:cs="宋体"/>
                <w:b w:val="0"/>
                <w:bCs w:val="0"/>
                <w:color w:val="auto"/>
                <w:sz w:val="24"/>
                <w:u w:val="none"/>
                <w:lang w:val="en-US" w:eastAsia="zh-CN" w:bidi="ar"/>
              </w:rPr>
              <w:t xml:space="preserve">厚度：</w:t>
            </w:r>
            <w:r>
              <w:rPr>
                <w:rFonts w:hint="eastAsia" w:ascii="宋体" w:hAnsi="宋体" w:eastAsia="宋体" w:cs="宋体"/>
                <w:b w:val="0"/>
                <w:bCs w:val="0"/>
                <w:i w:val="0"/>
                <w:iCs w:val="0"/>
                <w:color w:val="auto"/>
                <w:sz w:val="24"/>
                <w:szCs w:val="24"/>
                <w:u w:val="none"/>
                <w:lang w:val="en-US" w:eastAsia="zh-CN" w:bidi="ar"/>
              </w:rPr>
              <w:t xml:space="preserve">1.1±0.1mm；</w:t>
            </w:r>
            <w:r/>
          </w:p>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3、要求：正电荷处理，表面偏亲水，具有更强的粘附性能，更好的适用于难粘附组织IHC制片和免疫组化自动染色仪。                                       </w:t>
            </w:r>
            <w:r/>
          </w:p>
          <w:p>
            <w:pPr>
              <w:jc w:val="left"/>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用途：适用于需要细胞或组织粘附力实验。涉及的应用范围主要有组织病理学易脱片组织的石蜡切片、冰冻切片的H&amp;E染色制片；手工或者自动化免疫组织化学制片；离心式或膜式液基细胞学制片；标准巴氏涂片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显微镜载玻片</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25*75mm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3"/>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浮法玻璃，高清洁度，免清洗；</w:t>
            </w:r>
            <w:r/>
          </w:p>
          <w:p>
            <w:pPr>
              <w:numPr>
                <w:ilvl w:val="0"/>
                <w:numId w:val="3"/>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color w:val="auto"/>
                <w:sz w:val="24"/>
                <w:szCs w:val="24"/>
                <w:u w:val="none"/>
                <w:lang w:val="en-US" w:eastAsia="zh-CN" w:bidi="ar"/>
              </w:rPr>
              <w:t xml:space="preserve">厚度:</w:t>
            </w:r>
            <w:r>
              <w:rPr>
                <w:rFonts w:hint="eastAsia" w:ascii="宋体" w:hAnsi="宋体" w:eastAsia="宋体" w:cs="宋体"/>
                <w:b w:val="0"/>
                <w:bCs w:val="0"/>
                <w:i w:val="0"/>
                <w:iCs w:val="0"/>
                <w:color w:val="auto"/>
                <w:sz w:val="24"/>
                <w:szCs w:val="24"/>
                <w:u w:val="none"/>
                <w:lang w:val="en-US" w:eastAsia="zh-CN" w:bidi="ar"/>
              </w:rPr>
              <w:t xml:space="preserve">1.1±0.1mm；</w:t>
            </w:r>
            <w:r/>
          </w:p>
          <w:p>
            <w:p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3、要求：边缘光滑确保操作安全；支持常规标签系统、铅笔、记号笔进行标记；可用喷墨、热转印和激光打印机以及永久性马克笔标记；</w:t>
            </w:r>
            <w:r/>
          </w:p>
          <w:p>
            <w:p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4、用途：用于组织病理学检查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标准级显微镜载玻片</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25*75mm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4"/>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浮法玻璃，高清洁度，免清洗；</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szCs w:val="24"/>
                <w:u w:val="none"/>
                <w:lang w:val="en-US" w:eastAsia="zh-CN" w:bidi="ar"/>
              </w:rPr>
              <w:t xml:space="preserve">2、厚度:</w:t>
            </w:r>
            <w:r>
              <w:rPr>
                <w:rFonts w:hint="eastAsia" w:ascii="宋体" w:hAnsi="宋体" w:eastAsia="宋体" w:cs="宋体"/>
                <w:b w:val="0"/>
                <w:bCs w:val="0"/>
                <w:i w:val="0"/>
                <w:iCs w:val="0"/>
                <w:color w:val="auto"/>
                <w:sz w:val="24"/>
                <w:szCs w:val="24"/>
                <w:u w:val="none"/>
                <w:lang w:val="en-US" w:eastAsia="zh-CN" w:bidi="ar"/>
              </w:rPr>
              <w:t xml:space="preserve">1.1±0.1mm；</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3、要求：光滑的边缘确保操作安全；可以用标签法、2B铅笔和马克笔进行标识。</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4、用途：用于血液学、微生物学、病理学检查。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组织包埋盒</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82*28*7mm（长*宽* 高）</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5"/>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材质:聚甲醛(POM)；</w:t>
            </w:r>
            <w:r/>
          </w:p>
          <w:p>
            <w:pPr>
              <w:numPr>
                <w:ilvl w:val="0"/>
                <w:numId w:val="5"/>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要求：由高密度缩醛聚物制成，专门为安全容纳活检标本而设计，以便进行处理、包埋和存放；</w:t>
            </w:r>
            <w:r/>
          </w:p>
          <w:p>
            <w:pPr>
              <w:numPr>
                <w:ilvl w:val="0"/>
                <w:numId w:val="5"/>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用途：用于组织学活检样本的处理、包埋和存放。</w:t>
            </w:r>
            <w:r/>
          </w:p>
        </w:tc>
      </w:tr>
      <w:tr>
        <w:trPr>
          <w:trHeight w:val="2485"/>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高效切片石蜡</w:t>
            </w:r>
            <w:r/>
          </w:p>
        </w:tc>
        <w:tc>
          <w:tcPr>
            <w:shd w:val="clear" w:color="auto" w:fill="ffffff"/>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58-60度熔点</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6"/>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材质:含有一些规则分子的可塑性聚合物的高纯度石蜡，不含二甲基亚砜(DMSO)；</w:t>
            </w:r>
            <w:r/>
          </w:p>
          <w:p>
            <w:pPr>
              <w:numPr>
                <w:ilvl w:val="0"/>
                <w:numId w:val="6"/>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要求：对动植物标本渗透细密、快速，蜡切片厚度1~5微米并能轻易取得二十连片以上。</w:t>
            </w:r>
            <w:r/>
          </w:p>
          <w:p>
            <w:pPr>
              <w:numPr>
                <w:ilvl w:val="0"/>
                <w:numId w:val="6"/>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用途：基因分析生物制片、免疫组化和HE切片、常规病理HE片、常规病理HE切片、一般病理单片标本。</w:t>
            </w:r>
            <w:r/>
          </w:p>
          <w:p>
            <w:pPr>
              <w:numPr>
                <w:ilvl w:val="0"/>
                <w:numId w:val="6"/>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产品有效期≥24个月。</w:t>
            </w:r>
            <w:r/>
          </w:p>
        </w:tc>
      </w:tr>
      <w:tr>
        <w:trPr>
          <w:trHeight w:val="286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苏木素染色液</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材质:由苏木素、无水乙醇、硫酸铝钾、碘酸钠、冰乙酸、甘油、纯化水组成。</w:t>
            </w:r>
            <w:r/>
          </w:p>
          <w:p>
            <w:pPr>
              <w:numPr>
                <w:ilvl w:val="0"/>
                <w:numId w:val="7"/>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要求：苏木素液为黑紫色液体。染色结果为冲片后背景不能有染液沉渣。红细胞呈桔红色，有核细胞核呈紫蓝色，浆呈浅红、浅灰、粉红色等，各种细胞染色结果不同，一切染色效果应同组织细胞学图谱一致。              </w:t>
            </w:r>
            <w:r/>
          </w:p>
          <w:p>
            <w:pPr>
              <w:numPr>
                <w:ilvl w:val="0"/>
                <w:numId w:val="7"/>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用途：用于对组织细胞切片及涂片中的细胞核染色。</w:t>
            </w:r>
            <w:r/>
          </w:p>
          <w:p>
            <w:pPr>
              <w:numPr>
                <w:ilvl w:val="0"/>
                <w:numId w:val="7"/>
              </w:numPr>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产品有效期≥18个月。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伊红染色液</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材质:伊红染色液由伊红(醇溶)、稀盐酸标准液和95%乙醇组成；                                   </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要求：伊红染色液为桔红色透明液体。染色效果为冲片后背景不能有染液沉渣。红细胞呈桔红色，有核细胞核呈紫蓝色，浆呈浅红、浅灰、粉红色等，各种细胞染色结果不同，一切染色效果应同组织细胞学图谱一致。</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3、用途：主要用于细胞浆染色；</w:t>
            </w:r>
            <w:r/>
          </w:p>
          <w:p>
            <w:pPr>
              <w:numPr>
                <w:ilvl w:val="0"/>
                <w:numId w:val="0"/>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4、产品有效期≥18个月。</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rPr>
              <w:suppressLineNumbers w:val="0"/>
            </w:pPr>
            <w:r>
              <w:rPr>
                <w:rFonts w:hint="eastAsia" w:ascii="宋体" w:hAnsi="宋体" w:eastAsia="宋体" w:cs="宋体"/>
                <w:b w:val="0"/>
                <w:bCs w:val="0"/>
                <w:i w:val="0"/>
                <w:iCs w:val="0"/>
                <w:color w:val="auto"/>
                <w:sz w:val="24"/>
                <w:szCs w:val="24"/>
                <w:u w:val="none"/>
                <w:lang w:val="en-US" w:eastAsia="zh-CN" w:bidi="ar"/>
              </w:rPr>
              <w:t xml:space="preserve">一次性病理标本袋（特大号）</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高270mm*宽340mm，底部上折75mm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restart"/>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材质:采用PE+PT复合材质，底部一次性成型。产品的稳定性与密封性均良好。                                   </w:t>
            </w:r>
            <w:r/>
          </w:p>
          <w:p>
            <w:pPr>
              <w:numPr>
                <w:ilvl w:val="0"/>
                <w:numId w:val="9"/>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要求：袋口加密封口，袋边缘和底部不渗漏，能有效的密封病理味道。</w:t>
            </w:r>
            <w:r/>
          </w:p>
          <w:p>
            <w:pPr>
              <w:numPr>
                <w:ilvl w:val="0"/>
                <w:numId w:val="9"/>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用途：用于各类病理标本的采集。</w:t>
            </w:r>
            <w:r/>
          </w:p>
          <w:p>
            <w:pPr>
              <w:numPr>
                <w:ilvl w:val="0"/>
                <w:numId w:val="9"/>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产品有效期≥24个月。</w:t>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一次性病理标本袋（大号）</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高240mm*宽260mm，底部上折70mm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一次性病理标本袋（中号）</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高200mm*宽170mm，底部上折45mm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一次性病理标本袋（小号）</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高140mm*宽110mm，底部上折26mm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812"/>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u w:val="none"/>
                <w:lang w:val="en-US"/>
              </w:rPr>
              <w:suppressLineNumbers w:val="0"/>
            </w:pPr>
            <w:r>
              <w:rPr>
                <w:rFonts w:hint="eastAsia" w:ascii="宋体" w:hAnsi="宋体" w:eastAsia="宋体" w:cs="宋体"/>
                <w:b w:val="0"/>
                <w:bCs w:val="0"/>
                <w:i w:val="0"/>
                <w:iCs w:val="0"/>
                <w:color w:val="auto"/>
                <w:sz w:val="24"/>
                <w:szCs w:val="24"/>
                <w:u w:val="none"/>
                <w:lang w:val="en-US" w:eastAsia="zh-CN" w:bidi="ar"/>
              </w:rPr>
              <w:t xml:space="preserve">一次性病理标本袋（微小号）</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高100mm*宽70mm，底部上折16mm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vMerge w:val="continue"/>
            <w:textDirection w:val="lrTb"/>
            <w:noWrap w:val="false"/>
          </w:tcPr>
          <w:p>
            <w:pPr>
              <w:jc w:val="left"/>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载玻片存储盒</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可存放25片载玻片</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10"/>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材质：ABS；</w:t>
            </w:r>
            <w:r/>
          </w:p>
          <w:p>
            <w:pPr>
              <w:numPr>
                <w:ilvl w:val="0"/>
                <w:numId w:val="10"/>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要求：</w:t>
            </w:r>
            <w:r>
              <w:rPr>
                <w:rFonts w:hint="eastAsia" w:ascii="宋体" w:hAnsi="宋体" w:eastAsia="宋体" w:cs="宋体"/>
                <w:b w:val="0"/>
                <w:bCs w:val="0"/>
                <w:i w:val="0"/>
                <w:iCs w:val="0"/>
                <w:color w:val="auto"/>
                <w:sz w:val="24"/>
                <w:szCs w:val="24"/>
                <w:u w:val="none"/>
                <w:lang w:val="en-US" w:eastAsia="zh-CN" w:bidi="ar"/>
              </w:rPr>
              <w:t xml:space="preserve">具备高抗冲击、耐腐蚀、易清洗；</w:t>
            </w:r>
            <w:r/>
          </w:p>
          <w:p>
            <w:pPr>
              <w:numPr>
                <w:ilvl w:val="0"/>
                <w:numId w:val="10"/>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用途：</w:t>
            </w:r>
            <w:r>
              <w:rPr>
                <w:rFonts w:hint="eastAsia" w:ascii="宋体" w:hAnsi="宋体" w:eastAsia="宋体" w:cs="宋体"/>
                <w:b w:val="0"/>
                <w:bCs w:val="0"/>
                <w:i w:val="0"/>
                <w:iCs w:val="0"/>
                <w:color w:val="auto"/>
                <w:sz w:val="24"/>
                <w:szCs w:val="24"/>
                <w:u w:val="none"/>
                <w:lang w:val="en-US" w:eastAsia="zh-CN" w:bidi="ar"/>
              </w:rPr>
              <w:t xml:space="preserve">用于病理实验中载玻片的暂时和长期存放、邮寄和携带等。可重复使用。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11"/>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材质：医用聚丙烯(PP)； </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要求：</w:t>
            </w:r>
            <w:r>
              <w:rPr>
                <w:rFonts w:hint="eastAsia" w:ascii="宋体" w:hAnsi="宋体" w:eastAsia="宋体" w:cs="宋体"/>
                <w:b w:val="0"/>
                <w:bCs w:val="0"/>
                <w:i w:val="0"/>
                <w:iCs w:val="0"/>
                <w:color w:val="auto"/>
                <w:sz w:val="24"/>
                <w:szCs w:val="24"/>
                <w:u w:val="none"/>
                <w:lang w:val="en-US" w:eastAsia="zh-CN" w:bidi="ar"/>
              </w:rPr>
              <w:t xml:space="preserve">具有良好的耐酸碱、耐高低温性；</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用途：</w:t>
            </w:r>
            <w:r>
              <w:rPr>
                <w:rFonts w:hint="eastAsia" w:ascii="宋体" w:hAnsi="宋体" w:eastAsia="宋体" w:cs="宋体"/>
                <w:b w:val="0"/>
                <w:bCs w:val="0"/>
                <w:i w:val="0"/>
                <w:iCs w:val="0"/>
                <w:color w:val="auto"/>
                <w:sz w:val="24"/>
                <w:szCs w:val="24"/>
                <w:u w:val="none"/>
                <w:lang w:val="en-US" w:eastAsia="zh-CN" w:bidi="ar"/>
              </w:rPr>
              <w:t xml:space="preserve">主要用于各种生物样品的分离和制备、转移或封闭携带。</w:t>
            </w:r>
            <w:r/>
          </w:p>
          <w:p>
            <w:pPr>
              <w:numPr>
                <w:ilvl w:val="0"/>
                <w:numId w:val="11"/>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产品有效期≥36个月。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标签</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24mm*26mm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12"/>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裁切规整，边角整齐，无毛刺、无裁切偏差；                                 </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要求：</w:t>
            </w:r>
            <w:r>
              <w:rPr>
                <w:rFonts w:hint="eastAsia" w:ascii="宋体" w:hAnsi="宋体" w:eastAsia="宋体" w:cs="宋体"/>
                <w:b w:val="0"/>
                <w:bCs w:val="0"/>
                <w:i w:val="0"/>
                <w:iCs w:val="0"/>
                <w:color w:val="auto"/>
                <w:sz w:val="24"/>
                <w:szCs w:val="24"/>
                <w:u w:val="none"/>
                <w:lang w:val="en-US" w:eastAsia="zh-CN" w:bidi="ar"/>
              </w:rPr>
              <w:t xml:space="preserve">耐受10%中性福尔马林、乙醇、二甲苯等病理常用试剂，不溶胀、不褪色、不渗墨；</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用途：</w:t>
            </w:r>
            <w:r>
              <w:rPr>
                <w:rFonts w:hint="eastAsia" w:ascii="宋体" w:hAnsi="宋体" w:eastAsia="宋体" w:cs="宋体"/>
                <w:b w:val="0"/>
                <w:bCs w:val="0"/>
                <w:i w:val="0"/>
                <w:iCs w:val="0"/>
                <w:color w:val="auto"/>
                <w:sz w:val="24"/>
                <w:szCs w:val="24"/>
                <w:u w:val="none"/>
                <w:lang w:val="en-US" w:eastAsia="zh-CN" w:bidi="ar"/>
              </w:rPr>
              <w:t xml:space="preserve">用于病理标本容器、标本袋、包埋盒标识，记录标本信息，可耐受固定液、脱水试剂、高温石蜡环境，保证字迹清晰不脱落，适配病理全流程。</w:t>
            </w:r>
            <w:r/>
          </w:p>
          <w:p>
            <w:pPr>
              <w:numPr>
                <w:ilvl w:val="0"/>
                <w:numId w:val="12"/>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color w:val="auto"/>
                <w:sz w:val="24"/>
                <w:szCs w:val="24"/>
                <w:vertAlign w:val="baseline"/>
                <w:lang w:val="en-US" w:eastAsia="zh-CN"/>
              </w:rPr>
              <w:t xml:space="preserve">产品有效期≥24个月；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包埋纸</w:t>
            </w:r>
            <w:r/>
          </w:p>
        </w:tc>
        <w:tc>
          <w:tcPr>
            <w:shd w:val="clear" w:color="auto" w:fill="auto"/>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6cm*6cm</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numPr>
                <w:ilvl w:val="0"/>
                <w:numId w:val="13"/>
              </w:numPr>
              <w:jc w:val="left"/>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尺寸：6cm*6cm，裁切整齐，边角无毛边、无破损</w:t>
            </w:r>
            <w:r>
              <w:rPr>
                <w:rFonts w:hint="eastAsia" w:ascii="宋体" w:hAnsi="宋体" w:eastAsia="宋体" w:cs="宋体"/>
                <w:b w:val="0"/>
                <w:bCs w:val="0"/>
                <w:color w:val="auto"/>
                <w:sz w:val="24"/>
                <w:u w:val="none"/>
                <w:lang w:val="en-US" w:eastAsia="zh-CN" w:bidi="ar"/>
              </w:rPr>
              <w:t xml:space="preserve">；</w:t>
            </w:r>
            <w:r>
              <w:rPr>
                <w:rFonts w:hint="eastAsia" w:ascii="宋体" w:hAnsi="宋体" w:eastAsia="宋体" w:cs="宋体"/>
                <w:b w:val="0"/>
                <w:bCs w:val="0"/>
                <w:i w:val="0"/>
                <w:iCs w:val="0"/>
                <w:color w:val="auto"/>
                <w:sz w:val="24"/>
                <w:szCs w:val="24"/>
                <w:u w:val="none"/>
                <w:lang w:val="en-US" w:eastAsia="zh-CN" w:bidi="ar"/>
              </w:rPr>
              <w:t xml:space="preserve">                            </w:t>
            </w:r>
            <w:r/>
          </w:p>
          <w:p>
            <w:pPr>
              <w:numPr>
                <w:ilvl w:val="0"/>
                <w:numId w:val="13"/>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性能：</w:t>
            </w:r>
            <w:r>
              <w:rPr>
                <w:rFonts w:hint="eastAsia" w:ascii="宋体" w:hAnsi="宋体" w:eastAsia="宋体" w:cs="宋体"/>
                <w:b w:val="0"/>
                <w:bCs w:val="0"/>
                <w:i w:val="0"/>
                <w:iCs w:val="0"/>
                <w:color w:val="auto"/>
                <w:sz w:val="24"/>
                <w:szCs w:val="24"/>
                <w:u w:val="none"/>
                <w:lang w:val="en-US" w:eastAsia="zh-CN" w:bidi="ar"/>
              </w:rPr>
              <w:t xml:space="preserve">耐乙醇、二甲苯、福尔马林等病理试剂，不溶解、不褪色、不与组织发生化学反应；</w:t>
            </w:r>
            <w:r/>
          </w:p>
          <w:p>
            <w:pPr>
              <w:numPr>
                <w:ilvl w:val="0"/>
                <w:numId w:val="13"/>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color w:val="auto"/>
                <w:sz w:val="24"/>
                <w:u w:val="none"/>
                <w:lang w:val="en-US" w:eastAsia="zh-CN" w:bidi="ar"/>
              </w:rPr>
              <w:t xml:space="preserve">用途：</w:t>
            </w:r>
            <w:r>
              <w:rPr>
                <w:rFonts w:hint="eastAsia" w:ascii="宋体" w:hAnsi="宋体" w:eastAsia="宋体" w:cs="宋体"/>
                <w:b w:val="0"/>
                <w:bCs w:val="0"/>
                <w:i w:val="0"/>
                <w:iCs w:val="0"/>
                <w:color w:val="auto"/>
                <w:sz w:val="24"/>
                <w:szCs w:val="24"/>
                <w:u w:val="none"/>
                <w:lang w:val="en-US" w:eastAsia="zh-CN" w:bidi="ar"/>
              </w:rPr>
              <w:t xml:space="preserve">用于病理细小组织标本包裹，防止组织在脱水、浸蜡过程中丢失；可耐受脱水试剂、石蜡高温，不影响后续切片、HE及特殊染色。</w:t>
            </w:r>
            <w:r/>
          </w:p>
          <w:p>
            <w:pPr>
              <w:numPr>
                <w:ilvl w:val="0"/>
                <w:numId w:val="13"/>
              </w:numPr>
              <w:jc w:val="left"/>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color w:val="auto"/>
                <w:sz w:val="24"/>
                <w:szCs w:val="24"/>
                <w:vertAlign w:val="baseline"/>
                <w:lang w:val="en-US" w:eastAsia="zh-CN"/>
              </w:rPr>
              <w:t xml:space="preserve">产品有效期≥24个月；</w:t>
            </w:r>
            <w:r/>
          </w:p>
        </w:tc>
      </w:tr>
    </w:tbl>
    <w:p>
      <w:pPr>
        <w:rPr>
          <w:rFonts w:hint="default"/>
          <w:color w:val="auto"/>
          <w:highlight w:val="none"/>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color w:val="auto"/>
          <w:sz w:val="28"/>
          <w:szCs w:val="36"/>
          <w:highlight w:val="none"/>
          <w:lang w:val="en-US" w:eastAsia="zh-CN"/>
        </w:rPr>
        <w:t xml:space="preserve">注：表格所列年用量为年度需求量，本项目供货周期为 3 年，请各供应商注意区分，避免混淆</w:t>
      </w:r>
      <w:r>
        <w:rPr>
          <w:rFonts w:hint="eastAsia"/>
          <w:color w:val="auto"/>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1、为保证本项目的顺利实施，投标人应结合各自产品特点，自行制定项目实施方案。</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2、交付时间：中标人根据采购计划分批送货。</w:t>
      </w:r>
      <w:r>
        <w:rPr>
          <w:rFonts w:hint="eastAsia" w:ascii="宋体" w:hAnsi="宋体" w:eastAsia="宋体" w:cs="宋体"/>
          <w:b/>
          <w:bCs/>
          <w:color w:val="ff0000"/>
          <w:sz w:val="24"/>
          <w:szCs w:val="24"/>
          <w:highlight w:val="none"/>
          <w:lang w:val="en-US" w:eastAsia="zh-CN"/>
        </w:rPr>
        <w:t xml:space="preserve">中标人自接到供货通知后</w:t>
      </w:r>
      <w:r>
        <w:rPr>
          <w:rFonts w:hint="eastAsia" w:ascii="宋体" w:hAnsi="宋体" w:eastAsia="宋体" w:cs="宋体"/>
          <w:b/>
          <w:bCs/>
          <w:color w:val="ff0000"/>
          <w:sz w:val="24"/>
          <w:szCs w:val="24"/>
          <w:highlight w:val="none"/>
          <w:u w:val="single"/>
          <w:lang w:val="en-US" w:eastAsia="zh-CN"/>
        </w:rPr>
        <w:t xml:space="preserve"> 3 </w:t>
      </w:r>
      <w:r>
        <w:rPr>
          <w:rFonts w:hint="eastAsia" w:ascii="宋体" w:hAnsi="宋体" w:eastAsia="宋体" w:cs="宋体"/>
          <w:b/>
          <w:bCs/>
          <w:color w:val="ff0000"/>
          <w:sz w:val="24"/>
          <w:szCs w:val="24"/>
          <w:highlight w:val="none"/>
          <w:lang w:val="en-US" w:eastAsia="zh-CN"/>
        </w:rPr>
        <w:t xml:space="preserve">个工作日内保质保量的完成产品供货（地址为采购人指定地点）</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val="0"/>
          <w:bCs w:val="0"/>
          <w:sz w:val="24"/>
          <w:szCs w:val="24"/>
          <w:lang w:val="en-US" w:eastAsia="zh-CN"/>
        </w:rPr>
        <w:t xml:space="preserve">货物运抵现场后，采购人将对货物数量、质量、规格等进行检验。验收中发现产品达不到合同规定的性能指标和参数，或货物有明显损坏，中标人必须更换，并且赔偿由此给采购人造成的损失。供应商应能满足突发事件时的紧急订货需求,若遇紧急情况或质量问题导致的换货要求或数量不足要求补货，必须于48小时内送货到场。</w:t>
      </w:r>
      <w:r/>
    </w:p>
    <w:p>
      <w:pPr>
        <w:keepLines w:val="0"/>
        <w:keepNext w:val="0"/>
        <w:pageBreakBefore w:val="0"/>
        <w:spacing w:line="360" w:lineRule="auto"/>
        <w:widowControl/>
        <w:rPr>
          <w:rFonts w:hint="default"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3、供应期限：3年。</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采购人和相关部门按照国家规定标准验收，货物运抵现场后，采购人将对货物数量、质量、规格等进行检验。如发现货物、规格或者两者都与合同不符，采购人有权根据检验结果要求中标人立即更换或者提出索赔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采购人应对货物的数量、质量、规格、性能等进行详细而全面的检验，签署验收报告，作为付款凭据之一。产品送到后，一经发现问题，立即通知中标人；中标人在收到通知后3个工作日内没有弥补缺陷，采购人可自行采取必要的补救措施，但风险和费用由中标人承担，采购人同时保留通过法律途径进行索赔的权利。</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八、产品质量保证和售后服务及培训要求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中标人所投货物必须为原厂原装、全新的、符合中华人民共和国强制性技术标准的产品。同时采购人有权要求中标人对产品的合法供货渠道进行说明，经核实如中标人提供非法渠道的产品，视为欺诈，为维护采购人合法权益，中标人要承担商品价值双倍的赔偿；同时采购人有权依据现行的国家法律法规追究其他责任，并连带追究所投产品生产企业的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bCs/>
          <w:sz w:val="24"/>
          <w:szCs w:val="24"/>
          <w:lang w:val="en-US" w:eastAsia="zh-CN"/>
        </w:rPr>
        <w:t xml:space="preserve">2、</w:t>
      </w:r>
      <w:r>
        <w:rPr>
          <w:rFonts w:hint="eastAsia" w:ascii="宋体" w:hAnsi="宋体" w:eastAsia="宋体" w:cs="宋体"/>
          <w:b/>
          <w:bCs/>
          <w:color w:val="ff0000"/>
          <w:sz w:val="24"/>
          <w:szCs w:val="24"/>
          <w:lang w:val="en-US" w:eastAsia="zh-CN"/>
        </w:rPr>
        <w:t xml:space="preserve">中标人提供的产品有效期须不低于各产品的最低有效期要求（各产品最低有效期见本章“五、采购清单及技术参数要求”），</w:t>
      </w:r>
      <w:r>
        <w:rPr>
          <w:rFonts w:hint="eastAsia" w:ascii="宋体" w:hAnsi="宋体" w:eastAsia="宋体" w:cs="宋体"/>
          <w:b/>
          <w:bCs/>
          <w:color w:val="ff0000"/>
          <w:sz w:val="24"/>
          <w:szCs w:val="24"/>
          <w:highlight w:val="none"/>
          <w:lang w:val="en-US" w:eastAsia="zh-CN"/>
        </w:rPr>
        <w:t xml:space="preserve">且到达采购人处时剩余不少于</w:t>
      </w:r>
      <w:r>
        <w:rPr>
          <w:rFonts w:hint="eastAsia" w:ascii="宋体" w:hAnsi="宋体" w:eastAsia="宋体" w:cs="宋体"/>
          <w:b/>
          <w:bCs/>
          <w:color w:val="ff0000"/>
          <w:sz w:val="24"/>
          <w:szCs w:val="24"/>
          <w:highlight w:val="none"/>
          <w:u w:val="single"/>
          <w:lang w:val="en-US" w:eastAsia="zh-CN"/>
        </w:rPr>
        <w:t xml:space="preserve"> 6 </w:t>
      </w:r>
      <w:r>
        <w:rPr>
          <w:rFonts w:hint="eastAsia" w:ascii="宋体" w:hAnsi="宋体" w:eastAsia="宋体" w:cs="宋体"/>
          <w:b/>
          <w:bCs/>
          <w:color w:val="ff0000"/>
          <w:sz w:val="24"/>
          <w:szCs w:val="24"/>
          <w:highlight w:val="none"/>
          <w:lang w:val="en-US" w:eastAsia="zh-CN"/>
        </w:rPr>
        <w:t xml:space="preserve">个月的保质期</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val="0"/>
          <w:bCs w:val="0"/>
          <w:sz w:val="24"/>
          <w:szCs w:val="24"/>
          <w:lang w:val="en-US" w:eastAsia="zh-CN"/>
        </w:rPr>
        <w:t xml:space="preserve">国家主管部门或者行业标准对货物本身有更高要求的，从其规定并在合同中约定，供应商亦可提报更长的保质期。</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质量保证期内，如果证实货物是有缺陷的，包括潜在的缺陷或者使用不符合要求的材料等，中标人应立即免费更换有缺陷的货物，保证达到合同规定的技术以及性能要求。中标人在收到通知后3个工作日内没有弥补缺陷，采购人可自行采取必要的补救措施，但风险和费用由中标人承担，采购人同时保留通过法律途径进行索赔的权利。</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4、中标人应提供良好的售后服务，为采购人提供全面的技术支持，帮助采购人及时解决使用中遇到的技术问题。</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5、中标人应根据产品特点及技术使用要求对采购人相关人员提供免费培训，并提供具体的培训方案。</w:t>
      </w:r>
      <w:r/>
    </w:p>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九、样品要求：</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本项目采购人认为需要对样品进行主观判断以确认是否满足采购需求，要求投标人按以下样品清单提供样品。</w:t>
      </w:r>
      <w:r/>
    </w:p>
    <w:tbl>
      <w:tblPr>
        <w:tblStyle w:val="861"/>
        <w:tblW w:w="527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3546"/>
        <w:gridCol w:w="3128"/>
        <w:gridCol w:w="1517"/>
      </w:tblGrid>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样品名称</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粘附载玻片</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显微镜载玻片</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高效切片石蜡</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w:t>
            </w:r>
            <w:r>
              <w:rPr>
                <w:rFonts w:hint="eastAsia" w:ascii="宋体" w:hAnsi="宋体" w:eastAsia="宋体" w:cs="宋体"/>
                <w:b/>
                <w:bCs/>
                <w:i w:val="0"/>
                <w:iCs w:val="0"/>
                <w:color w:val="auto"/>
                <w:sz w:val="24"/>
                <w:szCs w:val="24"/>
                <w:highlight w:val="none"/>
                <w:u w:val="none"/>
                <w:lang w:eastAsia="zh-CN"/>
              </w:rPr>
              <w:t xml:space="preserve">技术</w:t>
            </w:r>
            <w:r>
              <w:rPr>
                <w:rFonts w:hint="eastAsia" w:ascii="宋体" w:hAnsi="宋体" w:eastAsia="宋体" w:cs="宋体"/>
                <w:b/>
                <w:bCs/>
                <w:i w:val="0"/>
                <w:iCs w:val="0"/>
                <w:color w:val="auto"/>
                <w:sz w:val="24"/>
                <w:szCs w:val="24"/>
                <w:highlight w:val="none"/>
                <w:u w:val="none"/>
              </w:rPr>
              <w:t xml:space="preserve">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 块</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一次性病理标本袋（特大号）</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一次性病理标本袋（大号）</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一次性病理标本袋（中号）</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w:t>
            </w:r>
            <w:r>
              <w:rPr>
                <w:rFonts w:hint="eastAsia" w:ascii="宋体" w:hAnsi="宋体" w:eastAsia="宋体" w:cs="宋体"/>
                <w:b/>
                <w:bCs/>
                <w:i w:val="0"/>
                <w:iCs w:val="0"/>
                <w:color w:val="auto"/>
                <w:sz w:val="24"/>
                <w:szCs w:val="24"/>
                <w:highlight w:val="none"/>
                <w:u w:val="none"/>
                <w:lang w:eastAsia="zh-CN"/>
              </w:rPr>
              <w:t xml:space="preserve">技术</w:t>
            </w:r>
            <w:r>
              <w:rPr>
                <w:rFonts w:hint="eastAsia" w:ascii="宋体" w:hAnsi="宋体" w:eastAsia="宋体" w:cs="宋体"/>
                <w:b/>
                <w:bCs/>
                <w:i w:val="0"/>
                <w:iCs w:val="0"/>
                <w:color w:val="auto"/>
                <w:sz w:val="24"/>
                <w:szCs w:val="24"/>
                <w:highlight w:val="none"/>
                <w:u w:val="none"/>
              </w:rPr>
              <w:t xml:space="preserve">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一次性病理标本袋（小号）</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一次性病理标本袋（微小号）</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≥1个</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标签</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974" w:type="pct"/>
            <w:vAlign w:val="center"/>
            <w:textDirection w:val="lrTb"/>
            <w:noWrap/>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包埋纸</w:t>
            </w:r>
            <w:r/>
          </w:p>
        </w:tc>
        <w:tc>
          <w:tcPr>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见本章“</w:t>
            </w:r>
            <w:r>
              <w:rPr>
                <w:rFonts w:hint="eastAsia" w:ascii="宋体" w:hAnsi="宋体" w:eastAsia="宋体" w:cs="宋体"/>
                <w:b/>
                <w:bCs/>
                <w:i w:val="0"/>
                <w:iCs w:val="0"/>
                <w:color w:val="auto"/>
                <w:sz w:val="24"/>
                <w:szCs w:val="24"/>
                <w:highlight w:val="none"/>
                <w:u w:val="none"/>
              </w:rPr>
              <w:t xml:space="preserve">五、采购清单及技术要求</w:t>
            </w:r>
            <w:r>
              <w:rPr>
                <w:rFonts w:hint="eastAsia" w:ascii="宋体" w:hAnsi="宋体" w:eastAsia="宋体" w:cs="宋体"/>
                <w:b/>
                <w:bCs/>
                <w:i w:val="0"/>
                <w:iCs w:val="0"/>
                <w:color w:val="auto"/>
                <w:sz w:val="24"/>
                <w:szCs w:val="24"/>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≥1张</w:t>
            </w:r>
            <w:r/>
          </w:p>
        </w:tc>
      </w:tr>
    </w:tbl>
    <w:p>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样品包装要求：投标人应提前准备好所投样品，密封，外包装标明项目名称、项目编号、投标人名称、样品名称。</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样品递交方式：</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（1）采用邮寄方式的：</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投标文件递交截止时间前一日17点30分截止，递交或邮寄至采购代理机构（江苏省徐州市泉山区金山东路北侧徐州软件园C-11号楼1011室）（注：采用邮寄方式的，请各投标单位自行考虑各自地区距离及物流等影响因素，提前邮寄样品以保证样品及时到达，样品递交截止时间后不再接收任何样品）</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（2）采用现场递交方式的：</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请投标人在开标当日，开标时间前送至徐州市新城区新安路5号（市规划馆南侧），徐州市公共资源交易中心3楼样品室。</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样品递交联系人：</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丁伯瑶</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  联系方式：</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15252010451/18086798075</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，接收截止时间一到，不再接收任何样品。</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投标人提供的样品如出现损毁、缺失、数量不足、与招标文件要求不符等情况，评标委员会将给予扣分处理。</w:t>
      </w:r>
      <w:r/>
    </w:p>
    <w:p>
      <w:p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中标人的所有样品由采购人封存。未中标的投标人提供的样品应在宣布评标结果后从采购代理机构处取回或通过邮寄的方式寄回（顺丰，到付），否则由采购人自行处理。</w:t>
      </w:r>
      <w:r/>
    </w:p>
    <w:p>
      <w:pPr>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十、其他要求</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1、本项目需送货到采购人指定地点，并由中标人负责卸货并安排人员进行售后服务，投标报价应包含此费用。</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2、所提供的货物应根据有关标准包装，应符合运输和装卸条件，以使货物完好无损到达交货地点。中标人应对包装和运输不善引起的损失负全部责任。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3、投标人须对招标文件中涉及的专利负责，并保证不伤害采购人的利益。在法律范围内，所有文字、商标和技术侵权造成的相关费用，采购人概不负责。</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4、违约责任</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（1）在质保期内，发现质量问题，中标人在接到采购人的书面通知后2小时内做出回复，24小时内派员到现场处理，由于制造或材料的缺陷而造成所供货物的任何破坏、缺陷故障，免费更换为同类全新产品。</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（2）收货查验中发现货物达不到合同规定的性能指标和参数或货物有明显损坏，乙方必须更换合格的同类产品，并且赔偿由此给甲方造成的损失。</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（3）投标人提供虚假信息或隐瞒重要事实，采购人有权解除合同。</w:t>
      </w:r>
      <w:r/>
    </w:p>
    <w:p>
      <w:pPr>
        <w:keepLines w:val="0"/>
        <w:keepNext w:val="0"/>
        <w:pageBreakBefore w:val="0"/>
        <w:spacing w:line="360" w:lineRule="auto"/>
        <w:widowControl/>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（4）若采购人发现中标人所供货物出现严重质量问题，采购人有权解除合同。</w:t>
      </w:r>
      <w:r/>
    </w:p>
    <w:p>
      <w:pPr>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5、其他要求：见招标文件第五章《拟签订的合同文本》。</w:t>
      </w:r>
      <w:r/>
    </w:p>
    <w:p>
      <w:pPr>
        <w:rPr>
          <w:rFonts w:hint="eastAsia" w:ascii="宋体" w:hAnsi="宋体" w:cs="宋体"/>
          <w:b/>
          <w:color w:val="auto"/>
          <w:sz w:val="32"/>
          <w:szCs w:val="32"/>
        </w:rPr>
      </w:pPr>
      <w:r>
        <w:rPr>
          <w:rFonts w:hint="eastAsia" w:ascii="宋体" w:hAnsi="宋体" w:cs="宋体"/>
          <w:b/>
          <w:color w:val="auto"/>
          <w:sz w:val="32"/>
          <w:szCs w:val="32"/>
        </w:rPr>
        <w:br w:type="page" w:clear="all"/>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lang w:eastAsia="zh-CN"/>
        </w:rPr>
        <w:t xml:space="preserve">徐州市中心医院</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投标人唯一投标报价见《开标一览表》。</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投标人将按招标文件的规定履行合同责任和义务。</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投标有效期为开标之日后90天。</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投标人同意按照招标文件规定支付招标代理服务费。</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9</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与本投标有关的一切正式往来信函请寄：</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tbl>
      <w:tblPr>
        <w:tblStyle w:val="86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618"/>
        <w:gridCol w:w="862"/>
        <w:gridCol w:w="1005"/>
        <w:gridCol w:w="1233"/>
        <w:gridCol w:w="2132"/>
        <w:gridCol w:w="656"/>
        <w:gridCol w:w="694"/>
        <w:gridCol w:w="806"/>
        <w:gridCol w:w="787"/>
        <w:gridCol w:w="1046"/>
      </w:tblGrid>
      <w:tr>
        <w:trPr>
          <w:jc w:val="center"/>
          <w:trHeight w:val="2022"/>
        </w:trPr>
        <w:tc>
          <w:tcPr>
            <w:shd w:val="clear" w:color="auto" w:fill="auto"/>
            <w:tcMar>
              <w:left w:w="15" w:type="dxa"/>
              <w:top w:w="15" w:type="dxa"/>
              <w:right w:w="15" w:type="dxa"/>
              <w:bottom w:w="0" w:type="dxa"/>
            </w:tcMar>
            <w:tcW w:w="61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品牌、规格、型号</w:t>
            </w:r>
            <w:r/>
          </w:p>
        </w:tc>
        <w:tc>
          <w:tcPr>
            <w:shd w:val="clear" w:color="auto" w:fill="auto"/>
            <w:tcMar>
              <w:left w:w="15" w:type="dxa"/>
              <w:top w:w="15" w:type="dxa"/>
              <w:right w:w="15" w:type="dxa"/>
              <w:bottom w:w="0" w:type="dxa"/>
            </w:tcMar>
            <w:tcW w:w="12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132"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65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69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8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W w:w="787" w:type="dxa"/>
            <w:vAlign w:val="center"/>
            <w:textDirection w:val="lrTb"/>
            <w:noWrap w:val="false"/>
          </w:tcPr>
          <w:p>
            <w:pPr>
              <w:jc w:val="center"/>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每年价格</w:t>
            </w:r>
            <w:r/>
          </w:p>
        </w:tc>
        <w:tc>
          <w:tcPr>
            <w:shd w:val="clear" w:color="auto" w:fill="auto"/>
            <w:tcMar>
              <w:left w:w="15" w:type="dxa"/>
              <w:top w:w="15" w:type="dxa"/>
              <w:right w:w="15" w:type="dxa"/>
              <w:bottom w:w="0" w:type="dxa"/>
            </w:tcMar>
            <w:tcW w:w="1046" w:type="dxa"/>
            <w:vAlign w:val="center"/>
            <w:textDirection w:val="lrTb"/>
            <w:noWrap w:val="false"/>
          </w:tcPr>
          <w:p>
            <w:pPr>
              <w:jc w:val="center"/>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三年总价</w:t>
            </w:r>
            <w:r/>
          </w:p>
        </w:tc>
      </w:tr>
      <w:tr>
        <w:trPr>
          <w:jc w:val="center"/>
          <w:trHeight w:val="300"/>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6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233"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132"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5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4"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0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W w:w="787"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1046"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718" w:type="dxa"/>
            <w:vAlign w:val="bottom"/>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总价合计（即《开标一览表》中的“总价”）</w:t>
            </w:r>
            <w:r/>
          </w:p>
        </w:tc>
        <w:tc>
          <w:tcPr>
            <w:gridSpan w:val="6"/>
            <w:shd w:val="clear" w:color="auto" w:fill="auto"/>
            <w:tcW w:w="6121" w:type="dxa"/>
            <w:vAlign w:val="top"/>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90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w:t>
      </w:r>
      <w:r>
        <w:rPr>
          <w:rFonts w:hint="eastAsia" w:ascii="宋体" w:hAnsi="宋体" w:eastAsia="宋体" w:cs="宋体"/>
          <w:b/>
          <w:bCs/>
          <w:color w:val="auto"/>
          <w:sz w:val="24"/>
          <w:szCs w:val="24"/>
        </w:rPr>
        <w:t xml:space="preserve">不同</w:t>
      </w:r>
      <w:r>
        <w:rPr>
          <w:rFonts w:hint="eastAsia" w:ascii="宋体" w:hAnsi="宋体" w:eastAsia="宋体" w:cs="宋体"/>
          <w:color w:val="auto"/>
          <w:sz w:val="24"/>
          <w:szCs w:val="24"/>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负责人</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法定代表人（负责人）（签字或盖章）：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83"/>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 xml:space="preserve">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val="en-US" w:eastAsia="zh-CN"/>
        </w:rPr>
        <w:t xml:space="preserve">徐州市中心医院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病理诊断中心常用低值易耗品采购项目</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标准级显微镜盖玻片</w:t>
      </w:r>
      <w:r>
        <w:rPr>
          <w:rFonts w:hint="eastAsia" w:ascii="宋体" w:hAnsi="宋体" w:cs="宋体"/>
          <w:color w:val="auto"/>
          <w:sz w:val="28"/>
          <w:szCs w:val="28"/>
          <w:highlight w:val="none"/>
          <w:u w:val="single"/>
          <w:lang w:val="en-US" w:eastAsia="zh-CN"/>
        </w:rPr>
        <w:t xml:space="preserve">1</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标准级显微镜盖玻片</w:t>
      </w:r>
      <w:r>
        <w:rPr>
          <w:rFonts w:hint="eastAsia" w:ascii="宋体" w:hAnsi="宋体" w:cs="宋体"/>
          <w:color w:val="auto"/>
          <w:sz w:val="28"/>
          <w:szCs w:val="28"/>
          <w:highlight w:val="none"/>
          <w:u w:val="single"/>
          <w:lang w:val="en-US" w:eastAsia="zh-CN"/>
        </w:rPr>
        <w:t xml:space="preserve">2</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标准级显微镜盖玻片</w:t>
      </w:r>
      <w:r>
        <w:rPr>
          <w:rFonts w:hint="eastAsia" w:ascii="宋体" w:hAnsi="宋体" w:cs="宋体"/>
          <w:color w:val="auto"/>
          <w:sz w:val="28"/>
          <w:szCs w:val="28"/>
          <w:highlight w:val="none"/>
          <w:u w:val="single"/>
          <w:lang w:val="en-US" w:eastAsia="zh-CN"/>
        </w:rPr>
        <w:t xml:space="preserve">3</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粘附载玻片</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显微镜载玻片</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标准级显微镜载玻片</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组织包埋盒</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高效切片石蜡</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苏木素染色液</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伊红染色液</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一次性病理标本袋</w:t>
      </w:r>
      <w:r>
        <w:rPr>
          <w:rFonts w:hint="eastAsia" w:ascii="宋体" w:hAnsi="宋体" w:cs="宋体"/>
          <w:color w:val="auto"/>
          <w:sz w:val="28"/>
          <w:szCs w:val="28"/>
          <w:highlight w:val="none"/>
          <w:u w:val="single"/>
          <w:lang w:val="en-US" w:eastAsia="zh-CN"/>
        </w:rPr>
        <w:t xml:space="preserve">（特大号）</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一次性病理标本袋</w:t>
      </w:r>
      <w:r>
        <w:rPr>
          <w:rFonts w:hint="eastAsia" w:ascii="宋体" w:hAnsi="宋体" w:cs="宋体"/>
          <w:color w:val="auto"/>
          <w:sz w:val="28"/>
          <w:szCs w:val="28"/>
          <w:highlight w:val="none"/>
          <w:u w:val="single"/>
          <w:lang w:val="en-US" w:eastAsia="zh-CN"/>
        </w:rPr>
        <w:t xml:space="preserve">（大号）</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一次性病理标本袋</w:t>
      </w:r>
      <w:r>
        <w:rPr>
          <w:rFonts w:hint="eastAsia" w:ascii="宋体" w:hAnsi="宋体" w:cs="宋体"/>
          <w:color w:val="auto"/>
          <w:sz w:val="28"/>
          <w:szCs w:val="28"/>
          <w:highlight w:val="none"/>
          <w:u w:val="single"/>
          <w:lang w:val="en-US" w:eastAsia="zh-CN"/>
        </w:rPr>
        <w:t xml:space="preserve">（中号）</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一次性病理标本袋</w:t>
      </w:r>
      <w:r>
        <w:rPr>
          <w:rFonts w:hint="eastAsia" w:ascii="宋体" w:hAnsi="宋体" w:cs="宋体"/>
          <w:color w:val="auto"/>
          <w:sz w:val="28"/>
          <w:szCs w:val="28"/>
          <w:highlight w:val="none"/>
          <w:u w:val="single"/>
          <w:lang w:val="en-US" w:eastAsia="zh-CN"/>
        </w:rPr>
        <w:t xml:space="preserve">（小号）</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一次性病理标本袋</w:t>
      </w:r>
      <w:r>
        <w:rPr>
          <w:rFonts w:hint="eastAsia" w:ascii="宋体" w:hAnsi="宋体" w:cs="宋体"/>
          <w:color w:val="auto"/>
          <w:sz w:val="28"/>
          <w:szCs w:val="28"/>
          <w:highlight w:val="none"/>
          <w:u w:val="single"/>
          <w:lang w:val="en-US" w:eastAsia="zh-CN"/>
        </w:rPr>
        <w:t xml:space="preserve">（微小号）</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载玻片存储盒</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离心管</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标签</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包埋纸</w:t>
      </w:r>
      <w:r>
        <w:rPr>
          <w:rFonts w:hint="eastAsia" w:ascii="宋体" w:hAnsi="宋体" w:eastAsia="宋体" w:cs="宋体"/>
          <w:color w:val="auto"/>
          <w:sz w:val="28"/>
          <w:szCs w:val="28"/>
          <w:highlight w:val="none"/>
        </w:rPr>
        <w:t xml:space="preserve">），属于（工业）行业；制造商为（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）（企业名称），其从业人员（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ff0000"/>
          <w:sz w:val="28"/>
          <w:szCs w:val="28"/>
          <w:highlight w:val="none"/>
        </w:rPr>
        <w:t xml:space="preserve">请</w:t>
      </w:r>
      <w:r>
        <w:rPr>
          <w:rFonts w:hint="eastAsia" w:ascii="宋体" w:hAnsi="宋体" w:eastAsia="宋体" w:cs="宋体"/>
          <w:color w:val="ff0000"/>
          <w:sz w:val="28"/>
          <w:szCs w:val="28"/>
          <w:highlight w:val="none"/>
          <w:lang w:val="en-US" w:eastAsia="zh-CN"/>
        </w:rPr>
        <w:t xml:space="preserve">填写或</w:t>
      </w:r>
      <w:r>
        <w:rPr>
          <w:rFonts w:hint="eastAsia" w:ascii="宋体" w:hAnsi="宋体" w:eastAsia="宋体" w:cs="宋体"/>
          <w:color w:val="ff0000"/>
          <w:sz w:val="28"/>
          <w:szCs w:val="28"/>
          <w:highlight w:val="none"/>
        </w:rPr>
        <w:t xml:space="preserve">勾选！</w:t>
      </w:r>
      <w:r>
        <w:rPr>
          <w:rFonts w:hint="eastAsia" w:ascii="宋体" w:hAnsi="宋体" w:eastAsia="宋体" w:cs="宋体"/>
          <w:color w:val="auto"/>
          <w:sz w:val="28"/>
          <w:szCs w:val="28"/>
          <w:highlight w:val="no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left="0" w:firstLine="560"/>
        <w:jc w:val="both"/>
        <w:spacing w:after="120" w:line="24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left="0"/>
        <w:jc w:val="both"/>
        <w:spacing w:after="12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left="420"/>
        <w:jc w:val="both"/>
        <w:spacing w:after="120" w:line="24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日期：  年  月  日</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pStyle w:val="882"/>
        <w:ind w:left="0"/>
        <w:jc w:val="left"/>
        <w:keepLines w:val="0"/>
        <w:keepNext w:val="0"/>
        <w:pageBreakBefore w:val="0"/>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82"/>
        <w:ind w:left="0"/>
        <w:keepLines w:val="0"/>
        <w:keepNext w:val="0"/>
        <w:pageBreakBefore w:val="0"/>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2"/>
        <w:ind w:left="0"/>
        <w:keepLines w:val="0"/>
        <w:keepNext w:val="0"/>
        <w:pageBreakBefore w:val="0"/>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882"/>
        <w:ind w:left="0"/>
        <w:keepLines w:val="0"/>
        <w:keepNext w:val="0"/>
        <w:pageBreakBefore w:val="0"/>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882"/>
        <w:ind w:left="0"/>
        <w:keepLines w:val="0"/>
        <w:keepNext w:val="0"/>
        <w:pageBreakBefore w:val="0"/>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882"/>
        <w:ind w:left="0"/>
        <w:keepLines w:val="0"/>
        <w:keepNext w:val="0"/>
        <w:pageBreakBefore w:val="0"/>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080260" cy="3169920"/>
                <wp:effectExtent l="0" t="0" r="15240" b="1143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21"/>
                        <a:stretch/>
                      </pic:blipFill>
                      <pic:spPr bwMode="auto">
                        <a:xfrm>
                          <a:off x="0" y="0"/>
                          <a:ext cx="2080259" cy="316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8pt;height:249.6pt;mso-wrap-distance-left:0.0pt;mso-wrap-distance-top:0.0pt;mso-wrap-distance-right:0.0pt;mso-wrap-distance-bottom:0.0pt;" stroked="f">
                <v:path textboxrect="0,0,0,0"/>
                <v:imagedata r:id="rId21"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病理诊断中心常用低值易耗品采购项目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JSZC-320300-HWZX-G2026-0644</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spacing w:line="360" w:lineRule="auto"/>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九、关于符合本国产品标准的声明函格式</w:t>
      </w:r>
      <w:r/>
    </w:p>
    <w:p>
      <w:pPr>
        <w:jc w:val="center"/>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标准级显微镜盖玻片1</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标准级显微镜盖玻片2</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标准级显微镜盖玻片3</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粘附载玻片</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显微镜载玻片</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标准级显微镜载玻片</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组织包埋盒</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高效切片石蜡）</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苏木素染色液</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伊红染色液</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一次性病理标本袋（特大号）</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一次性病理标本袋（大号）</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一次性病理标本袋（中号）</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14</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一次性病理标本袋（小号）</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15</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一次性病理标本袋（微小号）</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16</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载玻片存储盒</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17</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离心管</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18</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标签</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19</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包埋纸</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__________________</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1.产品如有型号，请在“产品名称”栏一并填写。</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ff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lang w:val="en-US" w:eastAsia="zh-CN" w:bidi="ar-SA"/>
        </w:rPr>
        <w:t xml:space="preserve">6</w:t>
      </w:r>
      <w:r>
        <w:rPr>
          <w:rFonts w:hint="default" w:ascii="宋体" w:hAnsi="宋体" w:eastAsia="宋体" w:cs="宋体"/>
          <w:color w:val="ff0000"/>
          <w:sz w:val="24"/>
          <w:szCs w:val="24"/>
          <w:highlight w:val="none"/>
          <w:lang w:val="en-US" w:eastAsia="zh-CN" w:bidi="ar-SA"/>
        </w:rPr>
        <w:t xml:space="preserve">.《声明函》中标注“</w:t>
      </w:r>
      <w:r>
        <w:rPr>
          <w:rFonts w:hint="default" w:ascii="宋体" w:hAnsi="宋体" w:eastAsia="宋体" w:cs="宋体"/>
          <w:color w:val="ff0000"/>
          <w:sz w:val="24"/>
          <w:szCs w:val="24"/>
          <w:highlight w:val="none"/>
          <w:u w:val="single"/>
          <w:lang w:val="en-US" w:eastAsia="zh-CN" w:bidi="ar-SA"/>
        </w:rPr>
        <w:t xml:space="preserve">  / </w:t>
      </w:r>
      <w:r>
        <w:rPr>
          <w:rFonts w:hint="default" w:ascii="宋体" w:hAnsi="宋体" w:eastAsia="宋体" w:cs="宋体"/>
          <w:color w:val="ff0000"/>
          <w:sz w:val="24"/>
          <w:szCs w:val="24"/>
          <w:highlight w:val="none"/>
          <w:lang w:val="en-US" w:eastAsia="zh-CN" w:bidi="ar-SA"/>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Courier New">
    <w:panose1 w:val="02070309020205020404"/>
  </w:font>
  <w:font w:name="仿宋">
    <w:panose1 w:val="02010609060101010101"/>
  </w:font>
  <w:font w:name="等线">
    <w:panose1 w:val="0201060003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2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2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72</w:t>
                          </w:r>
                          <w:r>
                            <w:rPr>
                              <w:rFonts w:hint="eastAsia"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72</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pBdr>
        <w:bottom w:val="single" w:color="auto" w:sz="4" w:space="0"/>
      </w:pBdr>
    </w:pPr>
    <w:r>
      <w:rPr>
        <w:rFonts w:hint="eastAsia"/>
        <w:lang w:eastAsia="zh-CN"/>
      </w:rPr>
      <w:t xml:space="preserve">病理诊断中心常用低值易耗品采购项目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lang w:eastAsia="zh-CN"/>
      </w:rPr>
      <w:t xml:space="preserve">病理诊断中心常用低值易耗品采购项目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auto" w:sz="4" w:space="0"/>
      </w:pBdr>
    </w:pPr>
    <w:r>
      <w:rPr>
        <w:rFonts w:hint="eastAsia" w:ascii="Times New Roman" w:hAnsi="Times New Roman" w:eastAsia="宋体" w:cs="Times New Roman"/>
        <w:sz w:val="18"/>
        <w:lang w:eastAsia="zh-CN"/>
      </w:rPr>
      <w:t xml:space="preserve">病理诊断中心常用低值易耗品采购项目</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病理诊断中心常用低值易耗品采购项目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5"/>
  </w:num>
  <w:num w:numId="4">
    <w:abstractNumId w:val="0"/>
  </w:num>
  <w:num w:numId="5">
    <w:abstractNumId w:val="3"/>
  </w:num>
  <w:num w:numId="6">
    <w:abstractNumId w:val="12"/>
  </w:num>
  <w:num w:numId="7">
    <w:abstractNumId w:val="7"/>
  </w:num>
  <w:num w:numId="8">
    <w:abstractNumId w:val="2"/>
  </w:num>
  <w:num w:numId="9">
    <w:abstractNumId w:val="1"/>
  </w:num>
  <w:num w:numId="10">
    <w:abstractNumId w:val="10"/>
  </w:num>
  <w:num w:numId="11">
    <w:abstractNumId w:val="6"/>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963"/>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965"/>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966"/>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967"/>
    <w:uiPriority w:val="9"/>
    <w:unhideWhenUsed/>
    <w:qFormat/>
    <w:pPr>
      <w:keepLines/>
      <w:keepNext/>
      <w:spacing w:before="320" w:after="200"/>
      <w:outlineLvl w:val="4"/>
    </w:pPr>
    <w:rPr>
      <w:rFonts w:ascii="Arial" w:hAnsi="Arial" w:eastAsia="Arial" w:cs="Arial"/>
      <w:b/>
      <w:bCs/>
      <w:sz w:val="24"/>
    </w:rPr>
  </w:style>
  <w:style w:type="paragraph" w:styleId="856">
    <w:name w:val="Heading 6"/>
    <w:basedOn w:val="850"/>
    <w:next w:val="850"/>
    <w:link w:val="968"/>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969"/>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7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71"/>
    <w:uiPriority w:val="9"/>
    <w:unhideWhenUsed/>
    <w:qFormat/>
    <w:pPr>
      <w:keepLines/>
      <w:keepNext/>
      <w:spacing w:before="320" w:after="200"/>
      <w:outlineLvl w:val="8"/>
    </w:pPr>
    <w:rPr>
      <w:rFonts w:ascii="Arial" w:hAnsi="Arial" w:eastAsia="Arial" w:cs="Arial"/>
      <w:i/>
      <w:iCs/>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列表段落1"/>
    <w:basedOn w:val="863"/>
    <w:next w:val="850"/>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863" w:customStyle="1">
    <w:name w:val="正文1"/>
    <w:basedOn w:val="864"/>
    <w:next w:val="874"/>
    <w:uiPriority w:val="0"/>
    <w:qFormat/>
    <w:pPr>
      <w:jc w:val="left"/>
      <w:spacing w:line="360" w:lineRule="atLeast"/>
    </w:pPr>
    <w:rPr>
      <w:rFonts w:ascii="宋体" w:hAnsi="Calibri"/>
      <w:sz w:val="24"/>
      <w:szCs w:val="20"/>
    </w:rPr>
  </w:style>
  <w:style w:type="paragraph" w:styleId="864" w:customStyle="1">
    <w:name w:val="正文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目录 11"/>
    <w:basedOn w:val="866"/>
    <w:next w:val="864"/>
    <w:uiPriority w:val="0"/>
    <w:qFormat/>
    <w:pPr>
      <w:jc w:val="left"/>
      <w:spacing w:after="100" w:line="259" w:lineRule="auto"/>
      <w:widowControl/>
    </w:pPr>
    <w:rPr>
      <w:rFonts w:ascii="Calibri" w:hAnsi="Calibri"/>
      <w:sz w:val="22"/>
      <w:szCs w:val="22"/>
    </w:rPr>
  </w:style>
  <w:style w:type="paragraph" w:styleId="866" w:customStyle="1">
    <w:name w:val="正文12"/>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11"/>
    <w:basedOn w:val="868"/>
    <w:next w:val="869"/>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68" w:customStyle="1">
    <w:name w:val="正文112"/>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一级条标题"/>
    <w:basedOn w:val="870"/>
    <w:next w:val="871"/>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870" w:customStyle="1">
    <w:name w:val="章标题"/>
    <w:next w:val="86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1" w:customStyle="1">
    <w:name w:val="段"/>
    <w:basedOn w:val="872"/>
    <w:next w:val="850"/>
    <w:uiPriority w:val="0"/>
    <w:qFormat/>
    <w:pPr>
      <w:ind w:firstLine="200"/>
      <w:widowControl/>
    </w:pPr>
    <w:rPr>
      <w:sz w:val="20"/>
    </w:rPr>
  </w:style>
  <w:style w:type="paragraph" w:styleId="872" w:customStyle="1">
    <w:name w:val="正文13"/>
    <w:next w:val="873"/>
    <w:uiPriority w:val="0"/>
    <w:qFormat/>
    <w:pPr>
      <w:jc w:val="both"/>
      <w:widowControl w:val="off"/>
    </w:pPr>
    <w:rPr>
      <w:rFonts w:ascii="Times New Roman" w:hAnsi="Times New Roman" w:eastAsia="宋体" w:cs="Times New Roman"/>
      <w:sz w:val="21"/>
      <w:szCs w:val="24"/>
      <w:lang w:val="en-US" w:eastAsia="zh-CN" w:bidi="ar-SA"/>
    </w:rPr>
  </w:style>
  <w:style w:type="paragraph" w:styleId="873" w:customStyle="1">
    <w:name w:val="正文首行缩进1"/>
    <w:basedOn w:val="874"/>
    <w:next w:val="875"/>
    <w:uiPriority w:val="0"/>
    <w:qFormat/>
    <w:pPr>
      <w:ind w:firstLine="420"/>
    </w:pPr>
  </w:style>
  <w:style w:type="paragraph" w:styleId="874" w:customStyle="1">
    <w:name w:val="正文文本1"/>
    <w:basedOn w:val="866"/>
    <w:next w:val="863"/>
    <w:uiPriority w:val="0"/>
    <w:qFormat/>
    <w:pPr>
      <w:spacing w:after="120"/>
    </w:pPr>
  </w:style>
  <w:style w:type="paragraph" w:styleId="875" w:customStyle="1">
    <w:name w:val="正文首行缩进 211"/>
    <w:basedOn w:val="876"/>
    <w:next w:val="868"/>
    <w:uiPriority w:val="99"/>
    <w:qFormat/>
    <w:pPr>
      <w:ind w:left="0" w:firstLine="420"/>
      <w:jc w:val="both"/>
      <w:spacing w:after="0" w:line="360" w:lineRule="auto"/>
      <w:widowControl w:val="off"/>
    </w:pPr>
    <w:rPr>
      <w:rFonts w:ascii="宋体" w:hAnsi="宋体" w:eastAsia="等线" w:cs="Times New Roman"/>
      <w:sz w:val="21"/>
      <w:szCs w:val="24"/>
      <w:lang w:val="en-US" w:eastAsia="zh-CN" w:bidi="ar-SA"/>
    </w:rPr>
  </w:style>
  <w:style w:type="paragraph" w:styleId="876" w:customStyle="1">
    <w:name w:val="正文文本缩进11"/>
    <w:next w:val="868"/>
    <w:uiPriority w:val="0"/>
    <w:qFormat/>
    <w:pPr>
      <w:ind w:left="420"/>
      <w:jc w:val="both"/>
      <w:spacing w:after="120"/>
      <w:widowControl w:val="off"/>
    </w:pPr>
    <w:rPr>
      <w:rFonts w:ascii="Calibri" w:hAnsi="Calibri" w:eastAsia="等线" w:cs="Times New Roman"/>
      <w:sz w:val="21"/>
      <w:szCs w:val="24"/>
      <w:lang w:val="en-US" w:eastAsia="zh-CN" w:bidi="ar-SA"/>
    </w:rPr>
  </w:style>
  <w:style w:type="paragraph" w:styleId="877">
    <w:name w:val="toc 7"/>
    <w:basedOn w:val="850"/>
    <w:next w:val="850"/>
    <w:uiPriority w:val="39"/>
    <w:unhideWhenUsed/>
    <w:qFormat/>
    <w:pPr>
      <w:ind w:left="1701"/>
      <w:spacing w:after="57"/>
    </w:pPr>
  </w:style>
  <w:style w:type="paragraph" w:styleId="878">
    <w:name w:val="Normal Indent"/>
    <w:basedOn w:val="850"/>
    <w:uiPriority w:val="0"/>
    <w:qFormat/>
    <w:pPr>
      <w:ind w:firstLine="420"/>
    </w:pPr>
  </w:style>
  <w:style w:type="paragraph" w:styleId="879">
    <w:name w:val="Caption"/>
    <w:basedOn w:val="850"/>
    <w:next w:val="8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0">
    <w:name w:val="annotation text"/>
    <w:basedOn w:val="850"/>
    <w:link w:val="1105"/>
    <w:uiPriority w:val="0"/>
    <w:qFormat/>
    <w:pPr>
      <w:jc w:val="left"/>
    </w:pPr>
  </w:style>
  <w:style w:type="paragraph" w:styleId="881">
    <w:name w:val="Body Text"/>
    <w:basedOn w:val="850"/>
    <w:next w:val="850"/>
    <w:uiPriority w:val="99"/>
    <w:qFormat/>
    <w:pPr>
      <w:spacing w:after="120"/>
    </w:pPr>
    <w:rPr>
      <w:rFonts w:ascii="Calibri" w:hAnsi="Calibri"/>
    </w:rPr>
  </w:style>
  <w:style w:type="paragraph" w:styleId="882">
    <w:name w:val="Body Text Indent"/>
    <w:basedOn w:val="850"/>
    <w:uiPriority w:val="0"/>
    <w:qFormat/>
    <w:pPr>
      <w:ind w:left="420"/>
      <w:spacing w:after="120"/>
    </w:pPr>
    <w:rPr>
      <w:rFonts w:ascii="Calibri" w:hAnsi="Calibri"/>
    </w:rPr>
  </w:style>
  <w:style w:type="paragraph" w:styleId="883">
    <w:name w:val="Block Text"/>
    <w:basedOn w:val="850"/>
    <w:uiPriority w:val="99"/>
    <w:unhideWhenUsed/>
    <w:qFormat/>
    <w:pPr>
      <w:ind w:left="1440" w:right="1440"/>
      <w:spacing w:after="120"/>
    </w:pPr>
  </w:style>
  <w:style w:type="paragraph" w:styleId="884">
    <w:name w:val="toc 5"/>
    <w:basedOn w:val="850"/>
    <w:next w:val="850"/>
    <w:uiPriority w:val="39"/>
    <w:unhideWhenUsed/>
    <w:qFormat/>
    <w:pPr>
      <w:ind w:left="1134"/>
      <w:spacing w:after="57"/>
    </w:pPr>
  </w:style>
  <w:style w:type="paragraph" w:styleId="885">
    <w:name w:val="toc 3"/>
    <w:basedOn w:val="850"/>
    <w:next w:val="850"/>
    <w:uiPriority w:val="39"/>
    <w:unhideWhenUsed/>
    <w:qFormat/>
    <w:pPr>
      <w:ind w:left="567"/>
      <w:spacing w:after="57"/>
    </w:pPr>
  </w:style>
  <w:style w:type="paragraph" w:styleId="886">
    <w:name w:val="toc 8"/>
    <w:basedOn w:val="850"/>
    <w:next w:val="850"/>
    <w:uiPriority w:val="39"/>
    <w:unhideWhenUsed/>
    <w:qFormat/>
    <w:pPr>
      <w:ind w:left="1984"/>
      <w:spacing w:after="57"/>
    </w:pPr>
  </w:style>
  <w:style w:type="paragraph" w:styleId="887">
    <w:name w:val="endnote text"/>
    <w:basedOn w:val="850"/>
    <w:link w:val="1090"/>
    <w:uiPriority w:val="99"/>
    <w:semiHidden/>
    <w:unhideWhenUsed/>
    <w:qFormat/>
    <w:rPr>
      <w:sz w:val="20"/>
    </w:rPr>
  </w:style>
  <w:style w:type="paragraph" w:styleId="888">
    <w:name w:val="Balloon Text"/>
    <w:basedOn w:val="850"/>
    <w:link w:val="1104"/>
    <w:uiPriority w:val="99"/>
    <w:semiHidden/>
    <w:unhideWhenUsed/>
    <w:qFormat/>
    <w:rPr>
      <w:sz w:val="18"/>
      <w:szCs w:val="18"/>
    </w:rPr>
  </w:style>
  <w:style w:type="paragraph" w:styleId="889">
    <w:name w:val="Footer"/>
    <w:basedOn w:val="850"/>
    <w:uiPriority w:val="99"/>
    <w:qFormat/>
    <w:pPr>
      <w:jc w:val="left"/>
      <w:tabs>
        <w:tab w:val="center" w:pos="4153" w:leader="none"/>
        <w:tab w:val="right" w:pos="8306" w:leader="none"/>
      </w:tabs>
    </w:pPr>
    <w:rPr>
      <w:sz w:val="18"/>
      <w:szCs w:val="18"/>
    </w:rPr>
  </w:style>
  <w:style w:type="paragraph" w:styleId="890">
    <w:name w:val="Header"/>
    <w:basedOn w:val="850"/>
    <w:uiPriority w:val="99"/>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50"/>
    <w:next w:val="850"/>
    <w:uiPriority w:val="39"/>
    <w:qFormat/>
  </w:style>
  <w:style w:type="paragraph" w:styleId="892">
    <w:name w:val="toc 4"/>
    <w:basedOn w:val="850"/>
    <w:next w:val="850"/>
    <w:uiPriority w:val="39"/>
    <w:unhideWhenUsed/>
    <w:qFormat/>
    <w:pPr>
      <w:ind w:left="850"/>
      <w:spacing w:after="57"/>
    </w:pPr>
  </w:style>
  <w:style w:type="paragraph" w:styleId="893">
    <w:name w:val="Subtitle"/>
    <w:basedOn w:val="850"/>
    <w:next w:val="850"/>
    <w:link w:val="975"/>
    <w:uiPriority w:val="11"/>
    <w:qFormat/>
    <w:pPr>
      <w:spacing w:before="200" w:after="200"/>
    </w:pPr>
    <w:rPr>
      <w:sz w:val="24"/>
    </w:rPr>
  </w:style>
  <w:style w:type="paragraph" w:styleId="894">
    <w:name w:val="footnote text"/>
    <w:basedOn w:val="850"/>
    <w:link w:val="1089"/>
    <w:uiPriority w:val="99"/>
    <w:semiHidden/>
    <w:unhideWhenUsed/>
    <w:qFormat/>
    <w:pPr>
      <w:spacing w:after="40"/>
    </w:pPr>
    <w:rPr>
      <w:sz w:val="18"/>
    </w:rPr>
  </w:style>
  <w:style w:type="paragraph" w:styleId="895">
    <w:name w:val="toc 6"/>
    <w:basedOn w:val="850"/>
    <w:next w:val="850"/>
    <w:uiPriority w:val="39"/>
    <w:unhideWhenUsed/>
    <w:qFormat/>
    <w:pPr>
      <w:ind w:left="1417"/>
      <w:spacing w:after="57"/>
    </w:pPr>
  </w:style>
  <w:style w:type="paragraph" w:styleId="896">
    <w:name w:val="table of figures"/>
    <w:basedOn w:val="850"/>
    <w:next w:val="850"/>
    <w:uiPriority w:val="99"/>
    <w:unhideWhenUsed/>
    <w:qFormat/>
  </w:style>
  <w:style w:type="paragraph" w:styleId="897">
    <w:name w:val="toc 2"/>
    <w:basedOn w:val="850"/>
    <w:next w:val="850"/>
    <w:uiPriority w:val="39"/>
    <w:unhideWhenUsed/>
    <w:qFormat/>
    <w:pPr>
      <w:ind w:left="283"/>
      <w:spacing w:after="57"/>
    </w:pPr>
  </w:style>
  <w:style w:type="paragraph" w:styleId="898">
    <w:name w:val="toc 9"/>
    <w:basedOn w:val="850"/>
    <w:next w:val="850"/>
    <w:uiPriority w:val="39"/>
    <w:unhideWhenUsed/>
    <w:qFormat/>
    <w:pPr>
      <w:ind w:left="2268"/>
      <w:spacing w:after="57"/>
    </w:pPr>
  </w:style>
  <w:style w:type="paragraph" w:styleId="899">
    <w:name w:val="Normal (Web)"/>
    <w:basedOn w:val="850"/>
    <w:next w:val="850"/>
    <w:uiPriority w:val="0"/>
    <w:qFormat/>
    <w:pPr>
      <w:jc w:val="left"/>
      <w:spacing w:before="100" w:beforeAutospacing="1" w:after="100" w:afterAutospacing="1"/>
      <w:widowControl/>
    </w:pPr>
    <w:rPr>
      <w:rFonts w:ascii="宋体" w:hAnsi="宋体" w:cs="宋体"/>
      <w:sz w:val="24"/>
    </w:rPr>
  </w:style>
  <w:style w:type="paragraph" w:styleId="900">
    <w:name w:val="Title"/>
    <w:basedOn w:val="850"/>
    <w:next w:val="850"/>
    <w:link w:val="974"/>
    <w:uiPriority w:val="10"/>
    <w:qFormat/>
    <w:pPr>
      <w:contextualSpacing/>
      <w:spacing w:before="300" w:after="200"/>
    </w:pPr>
    <w:rPr>
      <w:sz w:val="48"/>
      <w:szCs w:val="48"/>
    </w:rPr>
  </w:style>
  <w:style w:type="paragraph" w:styleId="901">
    <w:name w:val="annotation subject"/>
    <w:basedOn w:val="880"/>
    <w:next w:val="880"/>
    <w:link w:val="1106"/>
    <w:uiPriority w:val="99"/>
    <w:semiHidden/>
    <w:unhideWhenUsed/>
    <w:qFormat/>
    <w:rPr>
      <w:b/>
      <w:bCs/>
    </w:rPr>
  </w:style>
  <w:style w:type="paragraph" w:styleId="902">
    <w:name w:val="Body Text First Indent 2"/>
    <w:next w:val="850"/>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table" w:styleId="903">
    <w:name w:val="Table Grid"/>
    <w:basedOn w:val="86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endnote reference"/>
    <w:basedOn w:val="860"/>
    <w:uiPriority w:val="99"/>
    <w:semiHidden/>
    <w:unhideWhenUsed/>
    <w:qFormat/>
    <w:rPr>
      <w:vertAlign w:val="superscript"/>
    </w:rPr>
  </w:style>
  <w:style w:type="character" w:styleId="905">
    <w:name w:val="Hyperlink"/>
    <w:basedOn w:val="860"/>
    <w:uiPriority w:val="99"/>
    <w:unhideWhenUsed/>
    <w:qFormat/>
    <w:rPr>
      <w:color w:val="0000ff"/>
      <w:u w:val="single"/>
    </w:rPr>
  </w:style>
  <w:style w:type="character" w:styleId="906">
    <w:name w:val="annotation reference"/>
    <w:basedOn w:val="860"/>
    <w:uiPriority w:val="99"/>
    <w:semiHidden/>
    <w:unhideWhenUsed/>
    <w:qFormat/>
    <w:rPr>
      <w:sz w:val="21"/>
      <w:szCs w:val="21"/>
    </w:rPr>
  </w:style>
  <w:style w:type="character" w:styleId="907">
    <w:name w:val="footnote reference"/>
    <w:basedOn w:val="860"/>
    <w:uiPriority w:val="99"/>
    <w:unhideWhenUsed/>
    <w:qFormat/>
    <w:rPr>
      <w:vertAlign w:val="superscript"/>
    </w:rPr>
  </w:style>
  <w:style w:type="table" w:styleId="908"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7" w:customStyle="1">
    <w:name w:val="TOC Heading"/>
    <w:uiPriority w:val="39"/>
    <w:unhideWhenUsed/>
    <w:qFormat/>
    <w:rPr>
      <w:rFonts w:hint="default" w:ascii="Times New Roman" w:hAnsi="Times New Roman" w:eastAsia="宋体" w:cs="Times New Roman"/>
    </w:rPr>
  </w:style>
  <w:style w:type="table" w:styleId="928" w:customStyle="1">
    <w:name w:val="无格式表格 11"/>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网格表 7 彩色1"/>
    <w:basedOn w:val="8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清单表 3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8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清单表 7 彩色1"/>
    <w:basedOn w:val="8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7" w:customStyle="1">
    <w:name w:val="TOC 标题1"/>
    <w:uiPriority w:val="39"/>
    <w:unhideWhenUsed/>
    <w:qFormat/>
    <w:rPr>
      <w:rFonts w:hint="default" w:ascii="Times New Roman" w:hAnsi="Times New Roman" w:eastAsia="宋体" w:cs="Times New Roman"/>
      <w:lang w:val="en-US" w:eastAsia="zh-CN" w:bidi="ar-SA"/>
    </w:rPr>
  </w:style>
  <w:style w:type="character" w:styleId="948" w:customStyle="1">
    <w:name w:val="Heading 1 Char"/>
    <w:basedOn w:val="860"/>
    <w:uiPriority w:val="9"/>
    <w:qFormat/>
    <w:rPr>
      <w:rFonts w:ascii="Arial" w:hAnsi="Arial" w:eastAsia="Arial" w:cs="Arial"/>
      <w:sz w:val="40"/>
      <w:szCs w:val="40"/>
    </w:rPr>
  </w:style>
  <w:style w:type="character" w:styleId="949" w:customStyle="1">
    <w:name w:val="Heading 3 Char"/>
    <w:basedOn w:val="860"/>
    <w:uiPriority w:val="9"/>
    <w:qFormat/>
    <w:rPr>
      <w:rFonts w:ascii="Arial" w:hAnsi="Arial" w:eastAsia="Arial" w:cs="Arial"/>
      <w:sz w:val="30"/>
      <w:szCs w:val="30"/>
    </w:rPr>
  </w:style>
  <w:style w:type="character" w:styleId="950" w:customStyle="1">
    <w:name w:val="Heading 4 Char"/>
    <w:basedOn w:val="860"/>
    <w:uiPriority w:val="9"/>
    <w:qFormat/>
    <w:rPr>
      <w:rFonts w:ascii="Arial" w:hAnsi="Arial" w:eastAsia="Arial" w:cs="Arial"/>
      <w:b/>
      <w:bCs/>
      <w:sz w:val="26"/>
      <w:szCs w:val="26"/>
    </w:rPr>
  </w:style>
  <w:style w:type="character" w:styleId="951" w:customStyle="1">
    <w:name w:val="Heading 5 Char"/>
    <w:basedOn w:val="860"/>
    <w:uiPriority w:val="9"/>
    <w:qFormat/>
    <w:rPr>
      <w:rFonts w:ascii="Arial" w:hAnsi="Arial" w:eastAsia="Arial" w:cs="Arial"/>
      <w:b/>
      <w:bCs/>
      <w:sz w:val="24"/>
      <w:szCs w:val="24"/>
    </w:rPr>
  </w:style>
  <w:style w:type="character" w:styleId="952" w:customStyle="1">
    <w:name w:val="Heading 6 Char"/>
    <w:basedOn w:val="860"/>
    <w:uiPriority w:val="9"/>
    <w:qFormat/>
    <w:rPr>
      <w:rFonts w:ascii="Arial" w:hAnsi="Arial" w:eastAsia="Arial" w:cs="Arial"/>
      <w:b/>
      <w:bCs/>
      <w:sz w:val="22"/>
      <w:szCs w:val="22"/>
    </w:rPr>
  </w:style>
  <w:style w:type="character" w:styleId="953" w:customStyle="1">
    <w:name w:val="Heading 7 Char"/>
    <w:basedOn w:val="860"/>
    <w:uiPriority w:val="9"/>
    <w:qFormat/>
    <w:rPr>
      <w:rFonts w:ascii="Arial" w:hAnsi="Arial" w:eastAsia="Arial" w:cs="Arial"/>
      <w:b/>
      <w:bCs/>
      <w:i/>
      <w:iCs/>
      <w:sz w:val="22"/>
      <w:szCs w:val="22"/>
    </w:rPr>
  </w:style>
  <w:style w:type="character" w:styleId="954" w:customStyle="1">
    <w:name w:val="Heading 8 Char"/>
    <w:basedOn w:val="860"/>
    <w:uiPriority w:val="9"/>
    <w:qFormat/>
    <w:rPr>
      <w:rFonts w:ascii="Arial" w:hAnsi="Arial" w:eastAsia="Arial" w:cs="Arial"/>
      <w:i/>
      <w:iCs/>
      <w:sz w:val="22"/>
      <w:szCs w:val="22"/>
    </w:rPr>
  </w:style>
  <w:style w:type="character" w:styleId="955" w:customStyle="1">
    <w:name w:val="Heading 9 Char"/>
    <w:basedOn w:val="860"/>
    <w:uiPriority w:val="9"/>
    <w:qFormat/>
    <w:rPr>
      <w:rFonts w:ascii="Arial" w:hAnsi="Arial" w:eastAsia="Arial" w:cs="Arial"/>
      <w:i/>
      <w:iCs/>
      <w:sz w:val="21"/>
      <w:szCs w:val="21"/>
    </w:rPr>
  </w:style>
  <w:style w:type="character" w:styleId="956" w:customStyle="1">
    <w:name w:val="Title Char"/>
    <w:basedOn w:val="860"/>
    <w:uiPriority w:val="10"/>
    <w:qFormat/>
    <w:rPr>
      <w:sz w:val="48"/>
      <w:szCs w:val="48"/>
    </w:rPr>
  </w:style>
  <w:style w:type="character" w:styleId="957" w:customStyle="1">
    <w:name w:val="Subtitle Char"/>
    <w:basedOn w:val="860"/>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hint="default" w:ascii="Times New Roman" w:hAnsi="Times New Roman" w:eastAsia="宋体" w:cs="Times New Roman"/>
      <w:lang w:val="en-US" w:eastAsia="zh-CN" w:bidi="ar-SA"/>
    </w:rPr>
  </w:style>
  <w:style w:type="character" w:styleId="963" w:customStyle="1">
    <w:name w:val="标题 1 字符"/>
    <w:basedOn w:val="860"/>
    <w:link w:val="851"/>
    <w:uiPriority w:val="9"/>
    <w:qFormat/>
    <w:rPr>
      <w:rFonts w:ascii="Arial" w:hAnsi="Arial" w:eastAsia="Arial" w:cs="Arial"/>
      <w:sz w:val="40"/>
      <w:szCs w:val="40"/>
    </w:rPr>
  </w:style>
  <w:style w:type="character" w:styleId="964" w:customStyle="1">
    <w:name w:val="Heading 2 Char"/>
    <w:basedOn w:val="860"/>
    <w:uiPriority w:val="9"/>
    <w:qFormat/>
    <w:rPr>
      <w:rFonts w:ascii="Arial" w:hAnsi="Arial" w:eastAsia="Arial" w:cs="Arial"/>
      <w:sz w:val="34"/>
    </w:rPr>
  </w:style>
  <w:style w:type="character" w:styleId="965" w:customStyle="1">
    <w:name w:val="标题 3 字符"/>
    <w:basedOn w:val="860"/>
    <w:link w:val="853"/>
    <w:uiPriority w:val="9"/>
    <w:qFormat/>
    <w:rPr>
      <w:rFonts w:ascii="Arial" w:hAnsi="Arial" w:eastAsia="Arial" w:cs="Arial"/>
      <w:sz w:val="30"/>
      <w:szCs w:val="30"/>
    </w:rPr>
  </w:style>
  <w:style w:type="character" w:styleId="966" w:customStyle="1">
    <w:name w:val="标题 4 字符"/>
    <w:basedOn w:val="860"/>
    <w:link w:val="854"/>
    <w:uiPriority w:val="9"/>
    <w:qFormat/>
    <w:rPr>
      <w:rFonts w:ascii="Arial" w:hAnsi="Arial" w:eastAsia="Arial" w:cs="Arial"/>
      <w:b/>
      <w:bCs/>
      <w:sz w:val="26"/>
      <w:szCs w:val="26"/>
    </w:rPr>
  </w:style>
  <w:style w:type="character" w:styleId="967" w:customStyle="1">
    <w:name w:val="标题 5 字符"/>
    <w:basedOn w:val="860"/>
    <w:link w:val="855"/>
    <w:uiPriority w:val="9"/>
    <w:qFormat/>
    <w:rPr>
      <w:rFonts w:ascii="Arial" w:hAnsi="Arial" w:eastAsia="Arial" w:cs="Arial"/>
      <w:b/>
      <w:bCs/>
      <w:sz w:val="24"/>
      <w:szCs w:val="24"/>
    </w:rPr>
  </w:style>
  <w:style w:type="character" w:styleId="968" w:customStyle="1">
    <w:name w:val="标题 6 字符"/>
    <w:basedOn w:val="860"/>
    <w:link w:val="856"/>
    <w:uiPriority w:val="9"/>
    <w:qFormat/>
    <w:rPr>
      <w:rFonts w:ascii="Arial" w:hAnsi="Arial" w:eastAsia="Arial" w:cs="Arial"/>
      <w:b/>
      <w:bCs/>
      <w:sz w:val="22"/>
      <w:szCs w:val="22"/>
    </w:rPr>
  </w:style>
  <w:style w:type="character" w:styleId="969" w:customStyle="1">
    <w:name w:val="标题 7 字符"/>
    <w:basedOn w:val="860"/>
    <w:link w:val="857"/>
    <w:uiPriority w:val="9"/>
    <w:qFormat/>
    <w:rPr>
      <w:rFonts w:ascii="Arial" w:hAnsi="Arial" w:eastAsia="Arial" w:cs="Arial"/>
      <w:b/>
      <w:bCs/>
      <w:i/>
      <w:iCs/>
      <w:sz w:val="22"/>
      <w:szCs w:val="22"/>
    </w:rPr>
  </w:style>
  <w:style w:type="character" w:styleId="970" w:customStyle="1">
    <w:name w:val="标题 8 字符"/>
    <w:basedOn w:val="860"/>
    <w:link w:val="858"/>
    <w:uiPriority w:val="9"/>
    <w:qFormat/>
    <w:rPr>
      <w:rFonts w:ascii="Arial" w:hAnsi="Arial" w:eastAsia="Arial" w:cs="Arial"/>
      <w:i/>
      <w:iCs/>
      <w:sz w:val="22"/>
      <w:szCs w:val="22"/>
    </w:rPr>
  </w:style>
  <w:style w:type="character" w:styleId="971" w:customStyle="1">
    <w:name w:val="标题 9 字符"/>
    <w:basedOn w:val="860"/>
    <w:link w:val="859"/>
    <w:uiPriority w:val="9"/>
    <w:qFormat/>
    <w:rPr>
      <w:rFonts w:ascii="Arial" w:hAnsi="Arial" w:eastAsia="Arial" w:cs="Arial"/>
      <w:i/>
      <w:iCs/>
      <w:sz w:val="21"/>
      <w:szCs w:val="21"/>
    </w:rPr>
  </w:style>
  <w:style w:type="paragraph" w:styleId="972">
    <w:name w:val="List Paragraph"/>
    <w:basedOn w:val="850"/>
    <w:uiPriority w:val="34"/>
    <w:qFormat/>
    <w:pPr>
      <w:contextualSpacing/>
      <w:ind w:left="720"/>
    </w:pPr>
  </w:style>
  <w:style w:type="paragraph" w:styleId="973">
    <w:name w:val="No Spacing"/>
    <w:uiPriority w:val="1"/>
    <w:qFormat/>
    <w:rPr>
      <w:rFonts w:hint="default" w:ascii="Calibri" w:hAnsi="Calibri" w:eastAsia="宋体" w:cs="Times New Roman"/>
      <w:lang w:val="en-US" w:eastAsia="zh-CN" w:bidi="ar-SA"/>
    </w:rPr>
  </w:style>
  <w:style w:type="character" w:styleId="974" w:customStyle="1">
    <w:name w:val="标题 字符"/>
    <w:basedOn w:val="860"/>
    <w:link w:val="900"/>
    <w:uiPriority w:val="10"/>
    <w:qFormat/>
    <w:rPr>
      <w:sz w:val="48"/>
      <w:szCs w:val="48"/>
    </w:rPr>
  </w:style>
  <w:style w:type="character" w:styleId="975" w:customStyle="1">
    <w:name w:val="副标题 字符"/>
    <w:basedOn w:val="860"/>
    <w:link w:val="893"/>
    <w:uiPriority w:val="11"/>
    <w:qFormat/>
    <w:rPr>
      <w:sz w:val="24"/>
      <w:szCs w:val="24"/>
    </w:rPr>
  </w:style>
  <w:style w:type="paragraph" w:styleId="976">
    <w:name w:val="Quote"/>
    <w:basedOn w:val="850"/>
    <w:next w:val="850"/>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50"/>
    <w:next w:val="850"/>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60"/>
    <w:uiPriority w:val="99"/>
    <w:qFormat/>
  </w:style>
  <w:style w:type="character" w:styleId="981" w:customStyle="1">
    <w:name w:val="Footer Char"/>
    <w:basedOn w:val="860"/>
    <w:uiPriority w:val="99"/>
    <w:qFormat/>
  </w:style>
  <w:style w:type="character" w:styleId="982" w:customStyle="1">
    <w:name w:val="Caption Char"/>
    <w:uiPriority w:val="99"/>
    <w:qFormat/>
  </w:style>
  <w:style w:type="table" w:styleId="983" w:customStyle="1">
    <w:name w:val="Table Grid Light"/>
    <w:basedOn w:val="8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Grid Table 1 Light - Accent 1"/>
    <w:basedOn w:val="8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basedOn w:val="8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basedOn w:val="8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basedOn w:val="8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basedOn w:val="8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basedOn w:val="8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0" w:customStyle="1">
    <w:name w:val="Grid Table 2 - Accent 1"/>
    <w:basedOn w:val="8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basedOn w:val="8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basedOn w:val="8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basedOn w:val="8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basedOn w:val="8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5" w:customStyle="1">
    <w:name w:val="Grid Table 2 - Accent 6"/>
    <w:basedOn w:val="8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Grid Table 3 - Accent 1"/>
    <w:basedOn w:val="8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 Accent 1"/>
    <w:basedOn w:val="8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03" w:customStyle="1">
    <w:name w:val="Grid Table 4 - Accent 2"/>
    <w:basedOn w:val="8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4" w:customStyle="1">
    <w:name w:val="Grid Table 4 - Accent 3"/>
    <w:basedOn w:val="8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5" w:customStyle="1">
    <w:name w:val="Grid Table 4 - Accent 4"/>
    <w:basedOn w:val="8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6" w:customStyle="1">
    <w:name w:val="Grid Table 4 - Accent 5"/>
    <w:basedOn w:val="8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7" w:customStyle="1">
    <w:name w:val="Grid Table 4 - Accent 6"/>
    <w:basedOn w:val="8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8" w:customStyle="1">
    <w:name w:val="Grid Table 5 Dark- Accent 1"/>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9" w:customStyle="1">
    <w:name w:val="Grid Table 5 Dark - Accent 2"/>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0" w:customStyle="1">
    <w:name w:val="Grid Table 5 Dark - Accent 3"/>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1" w:customStyle="1">
    <w:name w:val="Grid Table 5 Dark- Accent 4"/>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2" w:customStyle="1">
    <w:name w:val="Grid Table 5 Dark - Accent 5"/>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3" w:customStyle="1">
    <w:name w:val="Grid Table 5 Dark - Accent 6"/>
    <w:basedOn w:val="8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4" w:customStyle="1">
    <w:name w:val="Grid Table 6 Colorful - Accent 1"/>
    <w:basedOn w:val="8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5" w:customStyle="1">
    <w:name w:val="Grid Table 6 Colorful - Accent 2"/>
    <w:basedOn w:val="8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6" w:customStyle="1">
    <w:name w:val="Grid Table 6 Colorful - Accent 3"/>
    <w:basedOn w:val="8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7" w:customStyle="1">
    <w:name w:val="Grid Table 6 Colorful - Accent 4"/>
    <w:basedOn w:val="8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8" w:customStyle="1">
    <w:name w:val="Grid Table 6 Colorful - Accent 5"/>
    <w:basedOn w:val="8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9" w:customStyle="1">
    <w:name w:val="Grid Table 6 Colorful - Accent 6"/>
    <w:basedOn w:val="8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0" w:customStyle="1">
    <w:name w:val="Grid Table 7 Colorful - Accent 1"/>
    <w:basedOn w:val="8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 Accent 1"/>
    <w:basedOn w:val="8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7" w:customStyle="1">
    <w:name w:val="List Table 1 Light - Accent 2"/>
    <w:basedOn w:val="8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8" w:customStyle="1">
    <w:name w:val="List Table 1 Light - Accent 3"/>
    <w:basedOn w:val="8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9" w:customStyle="1">
    <w:name w:val="List Table 1 Light - Accent 4"/>
    <w:basedOn w:val="8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0" w:customStyle="1">
    <w:name w:val="List Table 1 Light - Accent 5"/>
    <w:basedOn w:val="8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1" w:customStyle="1">
    <w:name w:val="List Table 1 Light - Accent 6"/>
    <w:basedOn w:val="8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2" w:customStyle="1">
    <w:name w:val="List Table 2 - Accent 1"/>
    <w:basedOn w:val="8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3" w:customStyle="1">
    <w:name w:val="List Table 2 - Accent 2"/>
    <w:basedOn w:val="8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4" w:customStyle="1">
    <w:name w:val="List Table 2 - Accent 3"/>
    <w:basedOn w:val="8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5" w:customStyle="1">
    <w:name w:val="List Table 2 - Accent 4"/>
    <w:basedOn w:val="8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6" w:customStyle="1">
    <w:name w:val="List Table 2 - Accent 5"/>
    <w:basedOn w:val="8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7" w:customStyle="1">
    <w:name w:val="List Table 2 - Accent 6"/>
    <w:basedOn w:val="8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8" w:customStyle="1">
    <w:name w:val="List Table 3 - Accent 1"/>
    <w:basedOn w:val="8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9" w:customStyle="1">
    <w:name w:val="List Table 3 - Accent 2"/>
    <w:basedOn w:val="8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4" w:customStyle="1">
    <w:name w:val="List Table 4 - Accent 1"/>
    <w:basedOn w:val="8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4 - Accent 2"/>
    <w:basedOn w:val="8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8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8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8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9" w:customStyle="1">
    <w:name w:val="List Table 4 - Accent 6"/>
    <w:basedOn w:val="8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List Table 5 Dark - Accent 1"/>
    <w:basedOn w:val="8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basedOn w:val="8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basedOn w:val="8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basedOn w:val="8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basedOn w:val="8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basedOn w:val="8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 Accent 1"/>
    <w:basedOn w:val="8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7" w:customStyle="1">
    <w:name w:val="List Table 6 Colorful - Accent 2"/>
    <w:basedOn w:val="8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8" w:customStyle="1">
    <w:name w:val="List Table 6 Colorful - Accent 3"/>
    <w:basedOn w:val="8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9" w:customStyle="1">
    <w:name w:val="List Table 6 Colorful - Accent 4"/>
    <w:basedOn w:val="8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0" w:customStyle="1">
    <w:name w:val="List Table 6 Colorful - Accent 5"/>
    <w:basedOn w:val="8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1" w:customStyle="1">
    <w:name w:val="List Table 6 Colorful - Accent 6"/>
    <w:basedOn w:val="8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2" w:customStyle="1">
    <w:name w:val="List Table 7 Colorful - Accent 1"/>
    <w:basedOn w:val="8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8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8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8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8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8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0" w:customStyle="1">
    <w:name w:val="Lined - Accent 2"/>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1" w:customStyle="1">
    <w:name w:val="Lined - Accent 3"/>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2" w:customStyle="1">
    <w:name w:val="Lined - Accent 4"/>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3" w:customStyle="1">
    <w:name w:val="Lined - Accent 5"/>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4" w:customStyle="1">
    <w:name w:val="Lined - Accent 6"/>
    <w:basedOn w:val="8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5" w:customStyle="1">
    <w:name w:val="Bordered &amp; Lined - Accent"/>
    <w:basedOn w:val="8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8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7" w:customStyle="1">
    <w:name w:val="Bordered &amp; Lined - Accent 2"/>
    <w:basedOn w:val="8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Bordered &amp; Lined - Accent 3"/>
    <w:basedOn w:val="8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Bordered &amp; Lined - Accent 4"/>
    <w:basedOn w:val="8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Bordered &amp; Lined - Accent 5"/>
    <w:basedOn w:val="8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1" w:customStyle="1">
    <w:name w:val="Bordered &amp; Lined - Accent 6"/>
    <w:basedOn w:val="8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w:basedOn w:val="8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8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4" w:customStyle="1">
    <w:name w:val="Bordered - Accent 2"/>
    <w:basedOn w:val="8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5" w:customStyle="1">
    <w:name w:val="Bordered - Accent 3"/>
    <w:basedOn w:val="8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6" w:customStyle="1">
    <w:name w:val="Bordered - Accent 4"/>
    <w:basedOn w:val="8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7" w:customStyle="1">
    <w:name w:val="Bordered - Accent 5"/>
    <w:basedOn w:val="8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8" w:customStyle="1">
    <w:name w:val="Bordered - Accent 6"/>
    <w:basedOn w:val="8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9" w:customStyle="1">
    <w:name w:val="脚注文本 字符"/>
    <w:link w:val="894"/>
    <w:uiPriority w:val="99"/>
    <w:qFormat/>
    <w:rPr>
      <w:sz w:val="18"/>
    </w:rPr>
  </w:style>
  <w:style w:type="character" w:styleId="1090" w:customStyle="1">
    <w:name w:val="尾注文本 字符"/>
    <w:link w:val="887"/>
    <w:uiPriority w:val="99"/>
    <w:qFormat/>
    <w:rPr>
      <w:sz w:val="20"/>
    </w:rPr>
  </w:style>
  <w:style w:type="paragraph" w:styleId="1091" w:customStyle="1">
    <w:name w:val="TOC 标题11"/>
    <w:uiPriority w:val="39"/>
    <w:unhideWhenUsed/>
    <w:qFormat/>
    <w:rPr>
      <w:rFonts w:hint="default" w:ascii="Calibri" w:hAnsi="Calibri" w:eastAsia="宋体" w:cs="Times New Roman"/>
      <w:lang w:val="en-US" w:eastAsia="zh-CN" w:bidi="ar-SA"/>
    </w:rPr>
  </w:style>
  <w:style w:type="paragraph" w:styleId="1092" w:customStyle="1">
    <w:name w:val="DAS正文"/>
    <w:basedOn w:val="850"/>
    <w:uiPriority w:val="0"/>
    <w:qFormat/>
    <w:pPr>
      <w:ind w:right="181" w:firstLine="480"/>
      <w:spacing w:line="360" w:lineRule="auto"/>
    </w:pPr>
    <w:rPr>
      <w:rFonts w:ascii="Verdana" w:hAnsi="Verdana"/>
    </w:rPr>
  </w:style>
  <w:style w:type="paragraph" w:styleId="1093" w:customStyle="1">
    <w:name w:val="脚注文本1"/>
    <w:basedOn w:val="863"/>
    <w:next w:val="1094"/>
    <w:uiPriority w:val="0"/>
    <w:qFormat/>
    <w:rPr>
      <w:rFonts w:eastAsia="Times New Roman"/>
      <w:sz w:val="18"/>
      <w:szCs w:val="18"/>
    </w:rPr>
  </w:style>
  <w:style w:type="paragraph" w:styleId="1094" w:customStyle="1">
    <w:name w:val="索引 51"/>
    <w:basedOn w:val="863"/>
    <w:next w:val="863"/>
    <w:uiPriority w:val="0"/>
    <w:qFormat/>
    <w:pPr>
      <w:ind w:left="798"/>
    </w:pPr>
    <w:rPr>
      <w:rFonts w:ascii="Calibri"/>
    </w:rPr>
  </w:style>
  <w:style w:type="paragraph" w:styleId="1095" w:customStyle="1">
    <w:name w:val="文本块11"/>
    <w:basedOn w:val="866"/>
    <w:uiPriority w:val="6"/>
    <w:qFormat/>
    <w:pPr>
      <w:ind w:left="256" w:right="6" w:firstLine="624"/>
    </w:pPr>
    <w:rPr>
      <w:rFonts w:eastAsia="仿宋"/>
      <w:sz w:val="28"/>
      <w:szCs w:val="20"/>
    </w:rPr>
  </w:style>
  <w:style w:type="paragraph" w:styleId="1096" w:customStyle="1">
    <w:name w:val="标题 21"/>
    <w:basedOn w:val="850"/>
    <w:next w:val="850"/>
    <w:uiPriority w:val="0"/>
    <w:qFormat/>
    <w:pPr>
      <w:jc w:val="left"/>
      <w:keepLines/>
      <w:keepNext/>
      <w:spacing w:before="50"/>
      <w:tabs>
        <w:tab w:val="left" w:pos="0" w:leader="none"/>
      </w:tabs>
    </w:pPr>
    <w:rPr>
      <w:rFonts w:ascii="Arial" w:hAnsi="Arial" w:eastAsia="黑体"/>
      <w:sz w:val="32"/>
      <w:szCs w:val="20"/>
    </w:rPr>
  </w:style>
  <w:style w:type="character" w:styleId="1097" w:customStyle="1">
    <w:name w:val="NormalCharacter"/>
    <w:uiPriority w:val="0"/>
    <w:semiHidden/>
    <w:qFormat/>
    <w:rPr>
      <w:sz w:val="28"/>
      <w:lang w:val="en-US" w:eastAsia="zh-CN" w:bidi="ar-SA"/>
    </w:rPr>
  </w:style>
  <w:style w:type="paragraph" w:styleId="1098" w:customStyle="1">
    <w:name w:val="BodyTextIndent"/>
    <w:basedOn w:val="850"/>
    <w:next w:val="1099"/>
    <w:uiPriority w:val="0"/>
    <w:qFormat/>
    <w:pPr>
      <w:ind w:left="420"/>
      <w:spacing w:after="120"/>
    </w:pPr>
  </w:style>
  <w:style w:type="paragraph" w:styleId="1099" w:customStyle="1">
    <w:name w:val="EnvelopeReturn"/>
    <w:basedOn w:val="850"/>
    <w:uiPriority w:val="0"/>
    <w:qFormat/>
    <w:rPr>
      <w:rFonts w:ascii="Arial" w:hAnsi="Arial"/>
    </w:rPr>
  </w:style>
  <w:style w:type="paragraph" w:styleId="1100" w:customStyle="1">
    <w:name w:val="p0"/>
    <w:basedOn w:val="850"/>
    <w:uiPriority w:val="0"/>
    <w:qFormat/>
    <w:pPr>
      <w:widowControl/>
    </w:pPr>
    <w:rPr>
      <w:szCs w:val="21"/>
    </w:rPr>
  </w:style>
  <w:style w:type="table" w:styleId="110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102" w:customStyle="1">
    <w:name w:val="方案表格"/>
    <w:basedOn w:val="850"/>
    <w:uiPriority w:val="0"/>
    <w:qFormat/>
    <w:pPr>
      <w:contextualSpacing/>
    </w:pPr>
    <w:rPr>
      <w:rFonts w:cstheme="minorBidi"/>
      <w:szCs w:val="21"/>
    </w:rPr>
  </w:style>
  <w:style w:type="table" w:styleId="1103" w:customStyle="1">
    <w:name w:val="文档表格无标题列型（绿盟科技）"/>
    <w:basedOn w:val="903"/>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104" w:customStyle="1">
    <w:name w:val="批注框文本 字符"/>
    <w:basedOn w:val="860"/>
    <w:link w:val="888"/>
    <w:uiPriority w:val="99"/>
    <w:semiHidden/>
    <w:qFormat/>
    <w:rPr>
      <w:sz w:val="18"/>
      <w:szCs w:val="18"/>
    </w:rPr>
  </w:style>
  <w:style w:type="character" w:styleId="1105" w:customStyle="1">
    <w:name w:val="批注文字 字符"/>
    <w:basedOn w:val="860"/>
    <w:link w:val="880"/>
    <w:uiPriority w:val="0"/>
    <w:qFormat/>
    <w:rPr>
      <w:sz w:val="21"/>
      <w:szCs w:val="24"/>
    </w:rPr>
  </w:style>
  <w:style w:type="character" w:styleId="1106" w:customStyle="1">
    <w:name w:val="批注主题 字符"/>
    <w:basedOn w:val="1105"/>
    <w:link w:val="901"/>
    <w:uiPriority w:val="99"/>
    <w:semiHidden/>
    <w:qFormat/>
    <w:rPr>
      <w:b/>
      <w:bCs/>
      <w:sz w:val="21"/>
      <w:szCs w:val="24"/>
    </w:rPr>
  </w:style>
  <w:style w:type="character" w:styleId="1107" w:customStyle="1">
    <w:name w:val="font11"/>
    <w:basedOn w:val="860"/>
    <w:uiPriority w:val="0"/>
    <w:qFormat/>
    <w:rPr>
      <w:rFonts w:hint="eastAsia" w:ascii="宋体" w:hAnsi="宋体" w:eastAsia="宋体" w:cs="宋体"/>
      <w:color w:val="000000"/>
      <w:sz w:val="21"/>
      <w:szCs w:val="21"/>
      <w:u w:val="none"/>
    </w:rPr>
  </w:style>
  <w:style w:type="character" w:styleId="1108" w:customStyle="1">
    <w:name w:val="font01"/>
    <w:basedOn w:val="860"/>
    <w:uiPriority w:val="0"/>
    <w:qFormat/>
    <w:rPr>
      <w:rFonts w:hint="default" w:ascii="Times New Roman" w:hAnsi="Times New Roman" w:cs="Times New Roman"/>
      <w:color w:val="000000"/>
      <w:sz w:val="21"/>
      <w:szCs w:val="21"/>
      <w:u w:val="none"/>
    </w:rPr>
  </w:style>
  <w:style w:type="character" w:styleId="1109" w:customStyle="1">
    <w:name w:val="font21"/>
    <w:basedOn w:val="860"/>
    <w:uiPriority w:val="0"/>
    <w:qFormat/>
    <w:rPr>
      <w:rFonts w:hint="eastAsia" w:ascii="宋体" w:hAnsi="宋体" w:eastAsia="宋体" w:cs="宋体"/>
      <w:b/>
      <w:bCs/>
      <w:color w:val="000000"/>
      <w:sz w:val="22"/>
      <w:szCs w:val="22"/>
      <w:u w:val="none"/>
    </w:rPr>
  </w:style>
  <w:style w:type="character" w:styleId="1110" w:customStyle="1">
    <w:name w:val="font31"/>
    <w:basedOn w:val="860"/>
    <w:uiPriority w:val="0"/>
    <w:qFormat/>
    <w:rPr>
      <w:rFonts w:hint="eastAsia" w:ascii="宋体" w:hAnsi="宋体" w:eastAsia="宋体" w:cs="宋体"/>
      <w:color w:val="000000"/>
      <w:sz w:val="22"/>
      <w:szCs w:val="22"/>
      <w:u w:val="none"/>
    </w:rPr>
  </w:style>
  <w:style w:type="character" w:styleId="1111" w:customStyle="1">
    <w:name w:val="font51"/>
    <w:basedOn w:val="860"/>
    <w:uiPriority w:val="0"/>
    <w:qFormat/>
    <w:rPr>
      <w:rFonts w:hint="eastAsia" w:ascii="宋体" w:hAnsi="宋体" w:eastAsia="宋体" w:cs="宋体"/>
      <w:color w:val="000000"/>
      <w:sz w:val="21"/>
      <w:szCs w:val="21"/>
      <w:u w:val="none"/>
    </w:rPr>
  </w:style>
  <w:style w:type="paragraph" w:styleId="1112" w:customStyle="1">
    <w:name w:val="正文文本缩进1"/>
    <w:basedOn w:val="864"/>
    <w:uiPriority w:val="0"/>
    <w:qFormat/>
    <w:pPr>
      <w:ind w:left="420"/>
      <w:spacing w:after="120"/>
    </w:pPr>
    <w:rPr>
      <w:rFonts w:ascii="Calibri" w:hAnsi="Calibri"/>
    </w:rPr>
  </w:style>
  <w:style w:type="paragraph" w:styleId="1113" w:customStyle="1">
    <w:name w:val="寄信人地址1"/>
    <w:basedOn w:val="864"/>
    <w:uiPriority w:val="0"/>
    <w:qFormat/>
    <w:rPr>
      <w:rFonts w:ascii="Arial" w:hAnsi="Arial"/>
    </w:rPr>
  </w:style>
  <w:style w:type="paragraph" w:styleId="1114" w:customStyle="1">
    <w:name w:val="Table Paragraph"/>
    <w:basedOn w:val="850"/>
    <w:uiPriority w:val="1"/>
    <w:qFormat/>
  </w:style>
  <w:style w:type="paragraph" w:styleId="1115" w:customStyle="1">
    <w:name w:val="样式1"/>
    <w:basedOn w:val="1116"/>
    <w:uiPriority w:val="0"/>
    <w:qFormat/>
    <w:pPr>
      <w:ind w:firstLine="420"/>
    </w:pPr>
    <w:rPr>
      <w:rFonts w:ascii="宋体" w:hAnsi="宋体"/>
      <w:color w:val="000000" w:themeColor="text1"/>
      <w14:textFill>
        <w14:solidFill>
          <w14:schemeClr w14:val="tx1"/>
        </w14:solidFill>
      </w14:textFill>
    </w:rPr>
  </w:style>
  <w:style w:type="paragraph" w:styleId="1116"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paragraph" w:styleId="1117" w:customStyle="1">
    <w:name w:val="文本块1"/>
    <w:basedOn w:val="850"/>
    <w:next w:val="1118"/>
    <w:uiPriority w:val="99"/>
    <w:unhideWhenUsed/>
    <w:qFormat/>
    <w:pPr>
      <w:ind w:left="1440" w:right="1440"/>
      <w:spacing w:after="120"/>
    </w:pPr>
  </w:style>
  <w:style w:type="paragraph" w:styleId="1118" w:customStyle="1">
    <w:name w:val="标题 41"/>
    <w:basedOn w:val="866"/>
    <w:next w:val="864"/>
    <w:uiPriority w:val="9"/>
    <w:qFormat/>
    <w:pPr>
      <w:keepLines/>
      <w:keepNext/>
      <w:spacing w:before="320" w:after="200"/>
      <w:outlineLvl w:val="3"/>
    </w:pPr>
    <w:rPr>
      <w:rFonts w:ascii="Arial" w:hAnsi="Arial" w:eastAsia="Arial" w:cs="Arial"/>
      <w:b/>
      <w:bCs/>
      <w:sz w:val="26"/>
      <w:szCs w:val="26"/>
    </w:rPr>
  </w:style>
  <w:style w:type="character" w:styleId="1119" w:customStyle="1">
    <w:name w:val="wyg1"/>
    <w:link w:val="850"/>
    <w:uiPriority w:val="6"/>
    <w:qFormat/>
    <w:rPr>
      <w:rFonts w:hint="default" w:ascii="Times New Roman" w:hAnsi="Times New Roman" w:eastAsia="宋体" w:cs="Times New Roman"/>
      <w:sz w:val="21"/>
      <w:szCs w:val="24"/>
      <w:lang w:val="en-US" w:eastAsia="zh-CN" w:bidi="ar-SA"/>
    </w:rPr>
  </w:style>
  <w:style w:type="paragraph" w:styleId="1120" w:customStyle="1">
    <w:name w:val="正文缩进11"/>
    <w:basedOn w:val="850"/>
    <w:uiPriority w:val="0"/>
    <w:unhideWhenUsed/>
    <w:qFormat/>
    <w:pPr>
      <w:ind w:firstLine="420"/>
    </w:pPr>
  </w:style>
  <w:style w:type="paragraph" w:styleId="1121" w:customStyle="1">
    <w:name w:val="列表段落"/>
    <w:basedOn w:val="850"/>
    <w:uiPriority w:val="34"/>
    <w:qFormat/>
    <w:pPr>
      <w:contextualSpacing/>
      <w:ind w:left="720"/>
    </w:pPr>
  </w:style>
  <w:style w:type="paragraph" w:styleId="1122" w:customStyle="1">
    <w:name w:val="普通(网站)1"/>
    <w:basedOn w:val="850"/>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3" w:customStyle="1">
    <w:name w:val="纯文本11"/>
    <w:basedOn w:val="850"/>
    <w:uiPriority w:val="0"/>
    <w:qFormat/>
    <w:rPr>
      <w:rFonts w:ascii="宋体" w:hAnsi="Courier New"/>
      <w:szCs w:val="20"/>
    </w:rPr>
  </w:style>
  <w:style w:type="paragraph" w:styleId="1124" w:customStyle="1">
    <w:name w:val="纯文本1"/>
    <w:basedOn w:val="863"/>
    <w:uiPriority w:val="0"/>
    <w:qFormat/>
    <w:rPr>
      <w:rFonts w:hAnsi="Courier New"/>
      <w:sz w:val="20"/>
    </w:rPr>
  </w:style>
  <w:style w:type="paragraph" w:styleId="1125" w:customStyle="1">
    <w:name w:val="Body text|21"/>
    <w:basedOn w:val="850"/>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126" w:customStyle="1">
    <w:name w:val="页脚1"/>
    <w:basedOn w:val="850"/>
    <w:uiPriority w:val="99"/>
    <w:qFormat/>
    <w:pPr>
      <w:jc w:val="left"/>
      <w:tabs>
        <w:tab w:val="center" w:pos="4153" w:leader="none"/>
        <w:tab w:val="right" w:pos="8306" w:leader="none"/>
      </w:tabs>
    </w:pPr>
    <w:rPr>
      <w:sz w:val="18"/>
      <w:szCs w:val="18"/>
    </w:rPr>
  </w:style>
  <w:style w:type="character" w:styleId="1127" w:customStyle="1">
    <w:name w:val="font81"/>
    <w:basedOn w:val="860"/>
    <w:uiPriority w:val="0"/>
    <w:qFormat/>
    <w:rPr>
      <w:rFonts w:hint="eastAsia" w:ascii="宋体" w:hAnsi="宋体" w:eastAsia="宋体" w:cs="宋体"/>
      <w:color w:val="ff0000"/>
      <w:sz w:val="22"/>
      <w:szCs w:val="22"/>
      <w:u w:val="none"/>
    </w:rPr>
  </w:style>
  <w:style w:type="table" w:styleId="1128" w:customStyle="1">
    <w:name w:val="网格型1"/>
    <w:uiPriority w:val="39"/>
    <w:qFormat/>
    <w:tblPr/>
  </w:style>
  <w:style w:type="table" w:styleId="1129" w:customStyle="1">
    <w:name w:val="普通表格1"/>
    <w:uiPriority w:val="99"/>
    <w:unhideWhenUsed/>
    <w:qFormat/>
    <w:tblPr/>
  </w:style>
  <w:style w:type="character" w:styleId="1130" w:customStyle="1">
    <w:name w:val="font41"/>
    <w:basedOn w:val="860"/>
    <w:uiPriority w:val="0"/>
    <w:qFormat/>
    <w:rPr>
      <w:rFonts w:hint="eastAsia" w:ascii="宋体" w:hAnsi="宋体" w:eastAsia="宋体" w:cs="宋体"/>
      <w:b/>
      <w:bCs/>
      <w:color w:val="ff0000"/>
      <w:sz w:val="24"/>
      <w:szCs w:val="24"/>
      <w:u w:val="none"/>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孙逊</cp:lastModifiedBy>
  <cp:revision>50</cp:revision>
  <dcterms:created xsi:type="dcterms:W3CDTF">2023-09-20T00:15:00Z</dcterms:created>
  <dcterms:modified xsi:type="dcterms:W3CDTF">2026-10-20T08:05:56Z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E2312C9920634F5DB961FF405FC51BA7_13</vt:lpwstr>
  </property>
  <property fmtid="{D5CDD505-2E9C-101B-9397-08002B2CF9AE}" pid="4" name="KSOTemplateDocerSaveRecord">
    <vt:lpwstr>eyJoZGlkIjoiODZiNTQ4OWU1ZmQ2YWQwNGNhMzdiYjU5MWM1ZDdjY2EiLCJ1c2VySWQiOiIxMzYxNDc2MDc5In0=</vt:lpwstr>
  </property>
</Properties>
</file>