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24"/>
        <w:jc w:val="center"/>
        <w:keepLines w:val="0"/>
        <w:keepNext w:val="0"/>
        <w:pageBreakBefore w:val="0"/>
        <w:spacing w:before="120" w:after="120" w:line="360" w:lineRule="auto"/>
        <w:widowControl w:val="off"/>
        <w:rPr>
          <w:rFonts w:hint="eastAsia" w:ascii="方正小标宋_GBK" w:hAnsi="方正小标宋_GBK" w:eastAsia="方正小标宋_GBK" w:cs="方正小标宋_GBK"/>
          <w:b w:val="0"/>
          <w:bCs w:val="0"/>
          <w:color w:val="000000"/>
          <w:sz w:val="56"/>
          <w:szCs w:val="56"/>
        </w:rPr>
      </w:pPr>
      <w:r>
        <w:rPr>
          <w:rFonts w:hint="eastAsia" w:ascii="方正小标宋_GBK" w:hAnsi="方正小标宋_GBK" w:eastAsia="方正小标宋_GBK" w:cs="方正小标宋_GBK"/>
          <w:b w:val="0"/>
          <w:bCs w:val="0"/>
          <w:color w:val="000000"/>
          <w:sz w:val="56"/>
          <w:szCs w:val="56"/>
        </w:rPr>
        <w:t xml:space="preserve">招　标　文　件</w:t>
      </w:r>
      <w:r>
        <w:rPr>
          <w:rFonts w:hint="eastAsia" w:ascii="方正小标宋_GBK" w:hAnsi="方正小标宋_GBK" w:eastAsia="方正小标宋_GBK" w:cs="方正小标宋_GBK"/>
          <w:b w:val="0"/>
          <w:bCs w:val="0"/>
          <w:color w:val="000000"/>
          <w:sz w:val="56"/>
          <w:szCs w:val="56"/>
        </w:rPr>
      </w:r>
      <w:r/>
    </w:p>
    <w:p>
      <w:pPr>
        <w:pStyle w:val="924"/>
        <w:ind w:firstLine="560"/>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pStyle w:val="924"/>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项目名称：江苏师范大学语科院采购算力平台</w:t>
      </w:r>
      <w:r>
        <w:rPr>
          <w:rFonts w:hint="eastAsia" w:ascii="方正黑体_GBK" w:hAnsi="方正黑体_GBK" w:eastAsia="方正黑体_GBK" w:cs="方正黑体_GBK"/>
          <w:b w:val="0"/>
          <w:bCs w:val="0"/>
          <w:color w:val="000000"/>
          <w:sz w:val="28"/>
          <w:szCs w:val="28"/>
        </w:rPr>
      </w:r>
      <w:r/>
    </w:p>
    <w:p>
      <w:pPr>
        <w:pStyle w:val="92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rPr>
        <w:t xml:space="preserve">：</w:t>
      </w:r>
      <w:r>
        <w:rPr>
          <w:rFonts w:ascii="Times New Roman" w:hAnsi="Times New Roman" w:eastAsia="方正黑体_GBK" w:cs="Times New Roman"/>
          <w:b w:val="0"/>
          <w:bCs w:val="0"/>
          <w:sz w:val="28"/>
          <w:szCs w:val="28"/>
        </w:rPr>
        <w:t xml:space="preserve">JSZC-320000-SCZX-G2026-0515</w:t>
      </w:r>
      <w:r>
        <w:rPr>
          <w:rFonts w:hint="eastAsia" w:ascii="方正黑体_GBK" w:hAnsi="方正黑体_GBK" w:eastAsia="方正黑体_GBK" w:cs="方正黑体_GBK"/>
          <w:b w:val="0"/>
          <w:bCs w:val="0"/>
          <w:color w:val="000000"/>
          <w:sz w:val="28"/>
          <w:szCs w:val="28"/>
        </w:rPr>
      </w:r>
      <w:r/>
    </w:p>
    <w:p>
      <w:pPr>
        <w:pStyle w:val="92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2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2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2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2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2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24"/>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2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2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92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2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24"/>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24"/>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924"/>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投标邀请……………………………………3</w:t>
      </w:r>
      <w:r>
        <w:rPr>
          <w:rFonts w:hint="eastAsia" w:ascii="方正黑体_GBK" w:hAnsi="方正黑体_GBK" w:eastAsia="方正黑体_GBK" w:cs="方正黑体_GBK"/>
          <w:color w:val="000000"/>
          <w:sz w:val="28"/>
          <w:szCs w:val="28"/>
        </w:rPr>
      </w:r>
      <w:r/>
    </w:p>
    <w:p>
      <w:pPr>
        <w:pStyle w:val="924"/>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…………………………………6</w:t>
      </w:r>
      <w:r>
        <w:rPr>
          <w:rFonts w:hint="eastAsia" w:ascii="方正黑体_GBK" w:hAnsi="方正黑体_GBK" w:eastAsia="方正黑体_GBK" w:cs="方正黑体_GBK"/>
          <w:color w:val="000000"/>
          <w:sz w:val="28"/>
          <w:szCs w:val="28"/>
        </w:rPr>
      </w:r>
      <w:r/>
    </w:p>
    <w:p>
      <w:pPr>
        <w:pStyle w:val="924"/>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合同文本……………………………………18</w:t>
      </w:r>
      <w:r>
        <w:rPr>
          <w:rFonts w:hint="eastAsia" w:ascii="方正黑体_GBK" w:hAnsi="方正黑体_GBK" w:eastAsia="方正黑体_GBK" w:cs="方正黑体_GBK"/>
          <w:color w:val="000000"/>
          <w:sz w:val="28"/>
          <w:szCs w:val="28"/>
        </w:rPr>
      </w:r>
      <w:r/>
    </w:p>
    <w:p>
      <w:pPr>
        <w:pStyle w:val="924"/>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采购需求……………………………………37</w:t>
      </w:r>
      <w:r>
        <w:rPr>
          <w:rFonts w:hint="eastAsia" w:ascii="方正黑体_GBK" w:hAnsi="方正黑体_GBK" w:eastAsia="方正黑体_GBK" w:cs="方正黑体_GBK"/>
          <w:color w:val="000000"/>
          <w:sz w:val="28"/>
          <w:szCs w:val="28"/>
        </w:rPr>
      </w:r>
      <w:r/>
    </w:p>
    <w:p>
      <w:pPr>
        <w:pStyle w:val="924"/>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………………………46</w:t>
      </w:r>
      <w:r>
        <w:rPr>
          <w:rFonts w:hint="eastAsia" w:ascii="方正黑体_GBK" w:hAnsi="方正黑体_GBK" w:eastAsia="方正黑体_GBK" w:cs="方正黑体_GBK"/>
          <w:color w:val="000000"/>
          <w:sz w:val="28"/>
          <w:szCs w:val="28"/>
        </w:rPr>
      </w:r>
      <w:r/>
    </w:p>
    <w:p>
      <w:pPr>
        <w:pStyle w:val="924"/>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投标文件格式………………………………52</w:t>
      </w:r>
      <w:r>
        <w:rPr>
          <w:rFonts w:hint="eastAsia" w:ascii="方正黑体_GBK" w:hAnsi="方正黑体_GBK" w:eastAsia="方正黑体_GBK" w:cs="方正黑体_GBK"/>
          <w:color w:val="000000"/>
          <w:sz w:val="28"/>
          <w:szCs w:val="28"/>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24"/>
        <w:rPr>
          <w:rFonts w:hint="eastAsia" w:ascii="Times New Roman" w:hAnsi="Times New Roman"/>
          <w:color w:val="000000"/>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受〔江苏师范大学〕的委托，江苏省政府采购中心就〔江苏师范大学语科院采购算力平台〕(</w:t>
      </w:r>
      <w:r>
        <w:rPr>
          <w:rFonts w:ascii="Times New Roman" w:hAnsi="Times New Roman" w:eastAsia="方正仿宋_GBK" w:cs="Times New Roman"/>
          <w:color w:val="000000"/>
          <w:sz w:val="28"/>
          <w:szCs w:val="28"/>
          <w:lang w:eastAsia="zh-CN"/>
        </w:rPr>
        <w:t xml:space="preserve">JSZC-320000-SCZX-G2026-0515</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whit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(江苏师范大学语科院采购算力平台)</w:t>
      </w:r>
      <w:r>
        <w:rPr>
          <w:rFonts w:hint="eastAsia" w:ascii="方正仿宋_GBK" w:hAnsi="方正仿宋_GBK" w:eastAsia="方正仿宋_GBK" w:cs="方正仿宋_GBK"/>
          <w:color w:val="000000"/>
          <w:sz w:val="28"/>
          <w:szCs w:val="28"/>
        </w:rPr>
        <w:t xml:space="preserve"> 招标</w:t>
      </w:r>
      <w:r>
        <w:rPr>
          <w:rFonts w:hint="eastAsia" w:ascii="方正仿宋_GBK" w:hAnsi="方正仿宋_GBK" w:eastAsia="方正仿宋_GBK" w:cs="方正仿宋_GBK"/>
          <w:color w:val="000000"/>
          <w:sz w:val="28"/>
          <w:szCs w:val="28"/>
          <w:highlight w:val="white"/>
        </w:rPr>
        <w:t xml:space="preserve">项目的潜在投标人可在</w:t>
      </w:r>
      <w:r>
        <w:rPr>
          <w:rFonts w:hint="eastAsia" w:ascii="方正仿宋_GBK" w:hAnsi="方正仿宋_GBK" w:eastAsia="方正仿宋_GBK" w:cs="方正仿宋_GBK"/>
          <w:color w:val="000000"/>
          <w:sz w:val="28"/>
          <w:szCs w:val="28"/>
          <w:highlight w:val="white"/>
          <w:u w:val="single"/>
        </w:rPr>
        <w:t xml:space="preserve">“江苏政府采购网”自行免费下载</w:t>
      </w:r>
      <w:r>
        <w:rPr>
          <w:rFonts w:hint="eastAsia" w:ascii="方正仿宋_GBK" w:hAnsi="方正仿宋_GBK" w:eastAsia="方正仿宋_GBK" w:cs="方正仿宋_GBK"/>
          <w:color w:val="000000"/>
          <w:sz w:val="28"/>
          <w:szCs w:val="28"/>
          <w:highlight w:val="white"/>
        </w:rPr>
        <w:t xml:space="preserve">招标文件，并于</w:t>
      </w:r>
      <w:r>
        <w:rPr>
          <w:rFonts w:hint="eastAsia" w:ascii="Times New Roman" w:hAnsi="Times New Roman" w:eastAsia="方正仿宋_GBK" w:cs="Times New Roman"/>
          <w:color w:val="000000"/>
          <w:sz w:val="28"/>
          <w:szCs w:val="28"/>
          <w:highlight w:val="white"/>
          <w:lang w:val="en-US" w:eastAsia="zh-CN"/>
        </w:rPr>
        <w:t xml:space="preserve">2026</w:t>
      </w:r>
      <w:r>
        <w:rPr>
          <w:rFonts w:hint="eastAsia" w:ascii="方正仿宋_GBK" w:hAnsi="方正仿宋_GBK" w:eastAsia="方正仿宋_GBK" w:cs="方正仿宋_GBK"/>
          <w:bCs/>
          <w:color w:val="000000"/>
          <w:sz w:val="28"/>
          <w:szCs w:val="28"/>
          <w:highlight w:val="white"/>
          <w:u w:val="none"/>
        </w:rPr>
        <w:t xml:space="preserve">年</w:t>
      </w:r>
      <w:r>
        <w:rPr>
          <w:rFonts w:hint="eastAsia" w:ascii="Times New Roman" w:hAnsi="Times New Roman" w:eastAsia="方正仿宋_GBK" w:cs="Times New Roman"/>
          <w:color w:val="000000"/>
          <w:sz w:val="28"/>
          <w:szCs w:val="28"/>
          <w:highlight w:val="white"/>
          <w:lang w:val="en-US" w:eastAsia="zh-CN"/>
        </w:rPr>
        <w:t xml:space="preserve">11</w:t>
      </w:r>
      <w:r>
        <w:rPr>
          <w:rFonts w:hint="eastAsia" w:ascii="方正仿宋_GBK" w:hAnsi="方正仿宋_GBK" w:eastAsia="方正仿宋_GBK" w:cs="方正仿宋_GBK"/>
          <w:bCs/>
          <w:color w:val="000000"/>
          <w:sz w:val="28"/>
          <w:szCs w:val="28"/>
          <w:highlight w:val="white"/>
          <w:u w:val="none"/>
        </w:rPr>
        <w:t xml:space="preserve">月</w:t>
      </w:r>
      <w:r>
        <w:rPr>
          <w:rFonts w:hint="eastAsia" w:ascii="Times New Roman" w:hAnsi="Times New Roman" w:eastAsia="方正仿宋_GBK" w:cs="Times New Roman"/>
          <w:color w:val="000000"/>
          <w:sz w:val="28"/>
          <w:szCs w:val="28"/>
          <w:highlight w:val="white"/>
          <w:lang w:val="en-US" w:eastAsia="zh-CN"/>
        </w:rPr>
        <w:t xml:space="preserve">11</w:t>
      </w:r>
      <w:r>
        <w:rPr>
          <w:rFonts w:hint="eastAsia" w:ascii="方正仿宋_GBK" w:hAnsi="方正仿宋_GBK" w:eastAsia="方正仿宋_GBK" w:cs="方正仿宋_GBK"/>
          <w:bCs/>
          <w:color w:val="000000"/>
          <w:sz w:val="28"/>
          <w:szCs w:val="28"/>
          <w:highlight w:val="white"/>
          <w:u w:val="none"/>
        </w:rPr>
        <w:t xml:space="preserve">日</w:t>
      </w:r>
      <w:r>
        <w:rPr>
          <w:rFonts w:hint="eastAsia" w:ascii="Times New Roman" w:hAnsi="Times New Roman" w:eastAsia="方正仿宋_GBK" w:cs="Times New Roman"/>
          <w:color w:val="000000"/>
          <w:sz w:val="28"/>
          <w:szCs w:val="28"/>
          <w:highlight w:val="white"/>
          <w:lang w:val="en-US" w:eastAsia="zh-CN"/>
        </w:rPr>
        <w:t xml:space="preserve">9</w:t>
      </w:r>
      <w:r>
        <w:rPr>
          <w:rFonts w:hint="eastAsia" w:ascii="方正仿宋_GBK" w:hAnsi="方正仿宋_GBK" w:eastAsia="方正仿宋_GBK" w:cs="方正仿宋_GBK"/>
          <w:color w:val="000000"/>
          <w:sz w:val="28"/>
          <w:szCs w:val="28"/>
          <w:highlight w:val="white"/>
          <w:u w:val="none"/>
          <w:lang w:val="en-US" w:eastAsia="zh-CN"/>
        </w:rPr>
        <w:t xml:space="preserve">时30</w:t>
      </w:r>
      <w:r>
        <w:rPr>
          <w:rFonts w:hint="eastAsia" w:ascii="方正仿宋_GBK" w:hAnsi="方正仿宋_GBK" w:eastAsia="方正仿宋_GBK" w:cs="方正仿宋_GBK"/>
          <w:bCs/>
          <w:color w:val="000000"/>
          <w:sz w:val="28"/>
          <w:szCs w:val="28"/>
          <w:highlight w:val="white"/>
          <w:u w:val="none"/>
        </w:rPr>
        <w:t xml:space="preserve">分（北京时</w:t>
      </w:r>
      <w:r>
        <w:rPr>
          <w:rFonts w:hint="eastAsia" w:ascii="方正仿宋_GBK" w:hAnsi="方正仿宋_GBK" w:eastAsia="方正仿宋_GBK" w:cs="方正仿宋_GBK"/>
          <w:bCs/>
          <w:color w:val="000000"/>
          <w:sz w:val="28"/>
          <w:szCs w:val="28"/>
          <w:highlight w:val="white"/>
          <w:u w:val="none"/>
        </w:rPr>
        <w:t xml:space="preserve">间）</w:t>
      </w:r>
      <w:r>
        <w:rPr>
          <w:rFonts w:hint="eastAsia" w:ascii="方正仿宋_GBK" w:hAnsi="方正仿宋_GBK" w:eastAsia="方正仿宋_GBK" w:cs="方正仿宋_GBK"/>
          <w:bCs/>
          <w:color w:val="000000"/>
          <w:sz w:val="28"/>
          <w:szCs w:val="28"/>
          <w:highlight w:val="white"/>
        </w:rPr>
        <w:t xml:space="preserve">前递交投标文件</w:t>
      </w:r>
      <w:r>
        <w:rPr>
          <w:rFonts w:hint="eastAsia" w:ascii="方正仿宋_GBK" w:hAnsi="方正仿宋_GBK" w:eastAsia="方正仿宋_GBK" w:cs="方正仿宋_GBK"/>
          <w:color w:val="000000"/>
          <w:sz w:val="28"/>
          <w:szCs w:val="28"/>
          <w:highlight w:val="white"/>
        </w:rPr>
        <w:t xml:space="preserve">。</w:t>
      </w:r>
      <w:r>
        <w:rPr>
          <w:highlight w:val="white"/>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24"/>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eastAsia="zh-CN"/>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lang w:eastAsia="zh-CN"/>
        </w:rPr>
        <w:t xml:space="preserve">JSZC-320000-SCZX-G2026-0515</w:t>
      </w:r>
      <w:r>
        <w:rPr>
          <w:rFonts w:ascii="Times New Roman" w:hAnsi="Times New Roman" w:eastAsia="方正仿宋_GBK" w:cs="Times New Roman"/>
          <w:color w:val="000000"/>
          <w:sz w:val="28"/>
          <w:szCs w:val="28"/>
          <w:lang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ascii="Times New Roman" w:hAnsi="Times New Roman" w:eastAsia="方正仿宋_GBK" w:cs="Times New Roman"/>
          <w:color w:val="000000"/>
          <w:sz w:val="28"/>
          <w:szCs w:val="28"/>
          <w:lang w:eastAsia="zh-CN"/>
        </w:rPr>
        <w:t xml:space="preserve">江苏师范大学语科院采购算力平台</w:t>
      </w:r>
      <w:r>
        <w:rPr>
          <w:rFonts w:hint="eastAsia" w:ascii="方正仿宋_GBK" w:hAnsi="方正仿宋_GBK" w:eastAsia="方正仿宋_GBK" w:cs="方正仿宋_GBK"/>
          <w:color w:val="000000"/>
          <w:sz w:val="28"/>
          <w:szCs w:val="28"/>
          <w:lang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24"/>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600</w:t>
            </w:r>
            <w:r>
              <w:rPr>
                <w:rFonts w:ascii="方正仿宋_GBK" w:hAnsi="方正仿宋_GBK" w:eastAsia="方正仿宋_GBK" w:cs="方正仿宋_GBK"/>
                <w:sz w:val="28"/>
                <w:szCs w:val="28"/>
                <w:lang w:val="en-US" w:eastAsia="zh-CN"/>
              </w:rPr>
            </w:r>
            <w:r/>
          </w:p>
        </w:tc>
      </w:tr>
    </w:tbl>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2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2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24"/>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600</w:t>
            </w:r>
            <w:r>
              <w:rPr>
                <w:rFonts w:ascii="Times New Roman" w:hAnsi="Times New Roman" w:eastAsia="方正仿宋_GBK" w:cs="Times New Roman"/>
                <w:color w:val="000000"/>
                <w:sz w:val="28"/>
                <w:szCs w:val="28"/>
                <w:lang w:val="en-US" w:eastAsia="zh-CN"/>
              </w:rPr>
            </w:r>
            <w:r/>
          </w:p>
        </w:tc>
      </w:tr>
    </w:tbl>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5.采购需求(简介)：</w:t>
      </w:r>
      <w:r>
        <w:rPr>
          <w:rFonts w:hint="eastAsia" w:ascii="仿宋" w:hAnsi="仿宋" w:eastAsia="仿宋" w:cs="仿宋"/>
          <w:color w:val="000000"/>
          <w:sz w:val="28"/>
          <w:szCs w:val="28"/>
        </w:rPr>
        <w:t xml:space="preserve">江苏师范大学</w:t>
      </w:r>
      <w:r>
        <w:rPr>
          <w:rFonts w:hint="eastAsia" w:ascii="仿宋" w:hAnsi="仿宋" w:eastAsia="仿宋" w:cs="仿宋"/>
          <w:color w:val="000000"/>
          <w:sz w:val="28"/>
          <w:szCs w:val="28"/>
          <w:lang w:val="en-US" w:eastAsia="zh-CN"/>
        </w:rPr>
        <w:t xml:space="preserve">语科院采购超算平台1套，平台提供容器+镜像的管理，提供调度核心资源+加速计算资源集群的管理和调度功能，智算平台配置可以满足多人同时使用平台时的合理资源分配，平台集成多种深度学习各种框架（如TensorFlow，pytorch，caffe，keras等）用于模型开发、模型训练等，同时也支持用户自定义框架扩展；</w:t>
      </w:r>
      <w:r>
        <w:rPr>
          <w:rFonts w:hint="eastAsia" w:ascii="仿宋" w:hAnsi="仿宋" w:eastAsia="仿宋" w:cs="仿宋"/>
          <w:color w:val="000000"/>
          <w:sz w:val="28"/>
          <w:szCs w:val="28"/>
          <w:lang w:val="en-US" w:eastAsia="zh-CN"/>
        </w:rPr>
        <w:t xml:space="preserve">需提供至少1名专业的运维工程师提供驻场服务。</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仿宋" w:hAnsi="仿宋" w:eastAsia="仿宋" w:cs="仿宋"/>
          <w:color w:val="000000"/>
          <w:sz w:val="28"/>
          <w:szCs w:val="28"/>
          <w:lang w:val="en-US" w:eastAsia="zh-CN"/>
        </w:rPr>
        <w:t xml:space="preserve">合同签订之日15个工作日。</w:t>
      </w:r>
      <w:r>
        <w:rPr>
          <w:rFonts w:hint="eastAsia" w:ascii="方正仿宋_GBK" w:hAnsi="方正仿宋_GBK" w:eastAsia="方正仿宋_GBK" w:cs="方正仿宋_GBK"/>
          <w:color w:val="000000"/>
          <w:sz w:val="28"/>
          <w:szCs w:val="28"/>
          <w:u w:val="single"/>
          <w:lang w:eastAsia="zh-CN"/>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28359003"/>
      <w:r/>
      <w:bookmarkStart w:id="13" w:name="_Toc35393622"/>
      <w:r/>
      <w:bookmarkStart w:id="14" w:name="_Toc38985264"/>
      <w:r/>
      <w:bookmarkStart w:id="15" w:name="_Toc28359080"/>
      <w:r/>
      <w:bookmarkStart w:id="16" w:name="_Toc35393791"/>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24"/>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35393623"/>
      <w:r/>
      <w:bookmarkStart w:id="19" w:name="_Toc35393792"/>
      <w:r/>
      <w:bookmarkStart w:id="20" w:name="_Toc28359004"/>
      <w:r/>
      <w:bookmarkStart w:id="21"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24"/>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24"/>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24"/>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24"/>
              <w:jc w:val="center"/>
              <w:keepLines w:val="0"/>
              <w:pageBreakBefore w:val="0"/>
              <w:spacing w:line="400" w:lineRule="exac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w:t>
            </w:r>
            <w:r>
              <w:rPr>
                <w:rFonts w:ascii="方正仿宋_GBK" w:hAnsi="方正仿宋_GBK" w:eastAsia="方正仿宋_GBK" w:cs="方正仿宋_GBK"/>
                <w:sz w:val="28"/>
                <w:szCs w:val="28"/>
                <w:lang w:val="en-US" w:eastAsia="zh-CN"/>
              </w:rPr>
            </w:r>
            <w:r/>
          </w:p>
        </w:tc>
      </w:tr>
    </w:tbl>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24"/>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35393794"/>
      <w:r/>
      <w:bookmarkStart w:id="28" w:name="_Toc28359084"/>
      <w:r/>
      <w:bookmarkStart w:id="29" w:name="_Toc35393625"/>
      <w:r/>
      <w:bookmarkStart w:id="30" w:name="_Toc38985267"/>
      <w:r/>
      <w:bookmarkStart w:id="31" w:name="_Toc28359007"/>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795"/>
      <w:r/>
      <w:bookmarkStart w:id="33" w:name="_Toc38985268"/>
      <w:r/>
      <w:bookmarkStart w:id="34" w:name="_Toc35393626"/>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627"/>
      <w:r/>
      <w:bookmarkStart w:id="36" w:name="_Toc28359085"/>
      <w:r/>
      <w:bookmarkStart w:id="37" w:name="_Toc35393796"/>
      <w:r/>
      <w:bookmarkStart w:id="38" w:name="_Toc28359008"/>
      <w:r/>
      <w:bookmarkStart w:id="39" w:name="_Toc38985269"/>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24"/>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24"/>
        <w:ind w:firstLine="560"/>
        <w:jc w:val="left"/>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lang w:val="en-US" w:eastAsia="zh-CN"/>
        </w:rPr>
        <w:t xml:space="preserve">江苏师范大学</w:t>
      </w:r>
      <w:r>
        <w:rPr>
          <w:rFonts w:ascii="方正仿宋_GBK" w:hAnsi="方正仿宋_GBK" w:eastAsia="方正仿宋_GBK" w:cs="方正仿宋_GBK"/>
          <w:color w:val="000000"/>
          <w:sz w:val="28"/>
          <w:szCs w:val="28"/>
          <w:lang w:val="en-US" w:eastAsia="zh-CN"/>
        </w:rPr>
      </w:r>
      <w:r/>
    </w:p>
    <w:p>
      <w:pPr>
        <w:pStyle w:val="924"/>
        <w:ind w:firstLine="560"/>
        <w:jc w:val="left"/>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徐州市铜山区上海路101号</w:t>
      </w:r>
      <w:r>
        <w:rPr>
          <w:rFonts w:ascii="方正仿宋_GBK" w:hAnsi="方正仿宋_GBK" w:eastAsia="方正仿宋_GBK" w:cs="方正仿宋_GBK"/>
          <w:color w:val="000000"/>
          <w:sz w:val="28"/>
          <w:szCs w:val="28"/>
          <w:lang w:val="en-US" w:eastAsia="zh-CN"/>
        </w:rPr>
      </w:r>
      <w:r/>
    </w:p>
    <w:p>
      <w:pPr>
        <w:pStyle w:val="924"/>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刘盛炜</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4"/>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15190742465</w:t>
      </w:r>
      <w:r>
        <w:rPr>
          <w:rFonts w:hint="eastAsia" w:ascii="方正仿宋_GBK" w:hAnsi="方正仿宋_GBK" w:eastAsia="方正仿宋_GBK" w:cs="方正仿宋_GBK"/>
          <w:color w:val="000000"/>
          <w:sz w:val="28"/>
          <w:szCs w:val="28"/>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24"/>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24"/>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　  址：  </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924"/>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924"/>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sz w:val="28"/>
          <w:szCs w:val="28"/>
          <w:u w:val="single"/>
        </w:rPr>
        <w:t xml:space="preserve">　　025-83668562 83668516   </w:t>
      </w:r>
      <w:bookmarkEnd w:id="42"/>
      <w:r>
        <w:rPr>
          <w:rFonts w:hint="eastAsia" w:ascii="方正仿宋_GB2312" w:hAnsi="方正仿宋_GB2312" w:eastAsia="方正仿宋_GB2312" w:cs="方正仿宋_GB2312"/>
          <w:color w:val="000000"/>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24"/>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513029202"/>
      <w:r/>
      <w:bookmarkStart w:id="45" w:name="_Toc20823274"/>
      <w:r/>
      <w:bookmarkStart w:id="46" w:name="_Toc120614213"/>
      <w:r/>
      <w:bookmarkStart w:id="47" w:name="_Toc16938518"/>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方正黑体_GBK" w:hAnsi="方正黑体_GBK" w:eastAsia="方正黑体_GBK" w:cs="方正黑体_GBK"/>
          <w:color w:val="000000"/>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20823275"/>
      <w:r/>
      <w:bookmarkStart w:id="49" w:name="_Toc513029203"/>
      <w:r/>
      <w:bookmarkStart w:id="50" w:name="_Toc120614214"/>
      <w:r/>
      <w:bookmarkStart w:id="51" w:name="_Toc16938519"/>
      <w:r>
        <w:rPr>
          <w:rFonts w:hint="eastAsia" w:ascii="方正黑体_GBK" w:hAnsi="方正黑体_GBK" w:eastAsia="方正黑体_GBK" w:cs="方正黑体_GBK"/>
          <w:color w:val="000000"/>
          <w:sz w:val="28"/>
          <w:szCs w:val="28"/>
        </w:rPr>
        <w:t xml:space="preserve">一、总则</w:t>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2" w:name="_Hlt16619475"/>
      <w:r/>
      <w:bookmarkEnd w:id="52"/>
      <w:r/>
      <w:bookmarkStart w:id="53" w:name="_Toc458694821"/>
      <w:r/>
      <w:bookmarkStart w:id="54" w:name="_Toc16938520"/>
      <w:r/>
      <w:bookmarkStart w:id="55" w:name="_Toc20823276"/>
      <w:r/>
      <w:bookmarkStart w:id="56" w:name="_Toc513029204"/>
      <w:r>
        <w:rPr>
          <w:rFonts w:hint="eastAsia" w:ascii="方正仿宋_GBK" w:hAnsi="方正仿宋_GBK" w:eastAsia="方正仿宋_GBK" w:cs="方正仿宋_GBK"/>
          <w:bCs/>
          <w:sz w:val="28"/>
          <w:szCs w:val="28"/>
        </w:rPr>
        <w:t xml:space="preserve">1</w:t>
      </w:r>
      <w:bookmarkEnd w:id="5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4"/>
      <w:r/>
      <w:bookmarkEnd w:id="55"/>
      <w:r/>
      <w:bookmarkEnd w:id="56"/>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7" w:name="_Toc513029205"/>
      <w:r/>
      <w:bookmarkStart w:id="58" w:name="_Toc20823277"/>
      <w:r/>
      <w:bookmarkStart w:id="59"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7"/>
      <w:r/>
      <w:bookmarkEnd w:id="58"/>
      <w:r/>
      <w:bookmarkEnd w:id="59"/>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0" w:name="_Toc16938522"/>
      <w:r/>
      <w:bookmarkStart w:id="61" w:name="_Toc20823278"/>
      <w:r/>
      <w:bookmarkStart w:id="62"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0"/>
      <w:r/>
      <w:bookmarkEnd w:id="61"/>
      <w:r/>
      <w:bookmarkEnd w:id="62"/>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3" w:name="_Toc513029207"/>
      <w:r/>
      <w:bookmarkStart w:id="64" w:name="_Toc20823279"/>
      <w:r/>
      <w:bookmarkStart w:id="65" w:name="_Toc462564067"/>
      <w:r/>
      <w:bookmarkStart w:id="66" w:name="_Toc16938523"/>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3"/>
      <w:r/>
      <w:bookmarkEnd w:id="64"/>
      <w:r/>
      <w:bookmarkEnd w:id="65"/>
      <w:r/>
      <w:bookmarkEnd w:id="66"/>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7" w:name="_Toc16938525"/>
      <w:r/>
      <w:bookmarkStart w:id="68" w:name="_Toc120614215"/>
      <w:r/>
      <w:bookmarkStart w:id="69" w:name="_Toc20823281"/>
      <w:r/>
      <w:bookmarkStart w:id="70" w:name="_Toc513029209"/>
      <w:r>
        <w:rPr>
          <w:rFonts w:hint="eastAsia" w:ascii="方正黑体_GBK" w:hAnsi="方正黑体_GBK" w:eastAsia="方正黑体_GBK" w:cs="方正黑体_GBK"/>
          <w:color w:val="000000"/>
          <w:sz w:val="28"/>
          <w:szCs w:val="28"/>
        </w:rPr>
        <w:t xml:space="preserve">二、招标文件</w:t>
      </w:r>
      <w:bookmarkEnd w:id="67"/>
      <w:r/>
      <w:bookmarkEnd w:id="68"/>
      <w:r/>
      <w:bookmarkEnd w:id="69"/>
      <w:r/>
      <w:bookmarkEnd w:id="70"/>
      <w:r>
        <w:rPr>
          <w:rFonts w:hint="eastAsia" w:ascii="方正黑体_GBK" w:hAnsi="方正黑体_GBK" w:eastAsia="方正黑体_GBK" w:cs="方正黑体_GBK"/>
          <w:color w:val="000000"/>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1" w:name="_Toc20823282"/>
      <w:r/>
      <w:bookmarkStart w:id="72" w:name="_Toc16938526"/>
      <w:r/>
      <w:bookmarkStart w:id="73" w:name="_Toc513029210"/>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1"/>
      <w:r/>
      <w:bookmarkEnd w:id="72"/>
      <w:r/>
      <w:bookmarkEnd w:id="73"/>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4" w:name="_Toc513029212"/>
      <w:r/>
      <w:bookmarkStart w:id="75" w:name="_Toc20823284"/>
      <w:r/>
      <w:bookmarkStart w:id="76" w:name="_Toc16938528"/>
      <w:r/>
      <w:bookmarkStart w:id="77" w:name="_Toc462564071"/>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4"/>
      <w:r/>
      <w:bookmarkEnd w:id="75"/>
      <w:r/>
      <w:bookmarkEnd w:id="76"/>
      <w:r/>
      <w:bookmarkEnd w:id="77"/>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8" w:name="_Toc462564072"/>
      <w:r/>
      <w:bookmarkStart w:id="79" w:name="_Toc513029213"/>
      <w:r/>
      <w:bookmarkStart w:id="80" w:name="_Toc16938529"/>
      <w:r/>
      <w:bookmarkStart w:id="81" w:name="_Toc20823285"/>
      <w:r/>
      <w:bookmarkStart w:id="82" w:name="_Toc120614216"/>
      <w:r>
        <w:rPr>
          <w:rFonts w:hint="eastAsia" w:ascii="方正黑体_GBK" w:hAnsi="方正黑体_GBK" w:eastAsia="方正黑体_GBK" w:cs="方正黑体_GBK"/>
          <w:color w:val="000000"/>
          <w:sz w:val="28"/>
          <w:szCs w:val="28"/>
        </w:rPr>
        <w:t xml:space="preserve">三、投标文件的编制</w:t>
      </w:r>
      <w:bookmarkEnd w:id="78"/>
      <w:r/>
      <w:bookmarkEnd w:id="79"/>
      <w:r/>
      <w:bookmarkEnd w:id="80"/>
      <w:r/>
      <w:bookmarkEnd w:id="81"/>
      <w:r/>
      <w:bookmarkEnd w:id="82"/>
      <w:r>
        <w:rPr>
          <w:rFonts w:hint="eastAsia" w:ascii="方正黑体_GBK" w:hAnsi="方正黑体_GBK" w:eastAsia="方正黑体_GBK" w:cs="方正黑体_GBK"/>
          <w:color w:val="000000"/>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3" w:name="_Toc20823286"/>
      <w:r/>
      <w:bookmarkStart w:id="84" w:name="_Toc462564073"/>
      <w:r/>
      <w:bookmarkStart w:id="85" w:name="_Toc513029214"/>
      <w:r/>
      <w:bookmarkStart w:id="86" w:name="_Toc16938530"/>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7" w:name="_Toc20823287"/>
      <w:r/>
      <w:bookmarkStart w:id="88" w:name="_Toc513029215"/>
      <w:r/>
      <w:bookmarkStart w:id="89" w:name="_Toc16938531"/>
      <w:r/>
      <w:bookmarkStart w:id="90"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7"/>
      <w:r/>
      <w:bookmarkEnd w:id="88"/>
      <w:r/>
      <w:bookmarkEnd w:id="89"/>
      <w:r/>
      <w:bookmarkEnd w:id="90"/>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1" w:name="_Hlt26668975"/>
      <w:r/>
      <w:bookmarkEnd w:id="91"/>
      <w:r/>
      <w:bookmarkStart w:id="92" w:name="_Hlt26954838"/>
      <w:r/>
      <w:bookmarkEnd w:id="92"/>
      <w:r/>
      <w:bookmarkStart w:id="93" w:name="_Hlt26670360"/>
      <w:r/>
      <w:bookmarkEnd w:id="93"/>
      <w:r/>
      <w:bookmarkStart w:id="94" w:name="_Toc49090509"/>
      <w:r/>
      <w:bookmarkStart w:id="95" w:name="_Toc14577357"/>
      <w:r/>
      <w:bookmarkStart w:id="96" w:name="_Toc513029219"/>
      <w:r/>
      <w:bookmarkStart w:id="97" w:name="_Toc49090507"/>
      <w:r/>
      <w:bookmarkStart w:id="98" w:name="_Toc513029216"/>
      <w:r/>
      <w:bookmarkStart w:id="99" w:name="_Toc14577354"/>
      <w:r/>
      <w:bookmarkStart w:id="100" w:name="_Toc14577355"/>
      <w:r/>
      <w:bookmarkStart w:id="101" w:name="_Toc49090508"/>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4"/>
      <w:r/>
      <w:bookmarkEnd w:id="95"/>
      <w:r/>
      <w:bookmarkEnd w:id="96"/>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2" w:name="_Hlt26954840"/>
      <w:r/>
      <w:bookmarkEnd w:id="102"/>
      <w:r>
        <w:rPr>
          <w:rFonts w:hint="eastAsia" w:ascii="方正仿宋_GBK" w:hAnsi="方正仿宋_GBK" w:eastAsia="方正仿宋_GBK" w:cs="方正仿宋_GBK"/>
          <w:bCs/>
          <w:sz w:val="28"/>
          <w:szCs w:val="28"/>
        </w:rPr>
        <w:t xml:space="preserve">标人按照招标文件规定格式填报投标分项报价表</w:t>
      </w:r>
      <w:bookmarkStart w:id="103" w:name="_Hlt26670399"/>
      <w:r/>
      <w:bookmarkEnd w:id="103"/>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4" w:name="_Hlt26954846"/>
      <w:r/>
      <w:bookmarkEnd w:id="104"/>
      <w:r/>
      <w:bookmarkStart w:id="105" w:name="_Hlt26670482"/>
      <w:r/>
      <w:bookmarkEnd w:id="105"/>
      <w:r/>
      <w:bookmarkStart w:id="106" w:name="_Hlt26954731"/>
      <w:r/>
      <w:bookmarkEnd w:id="106"/>
      <w:r/>
      <w:bookmarkStart w:id="107" w:name="_Hlt26670486"/>
      <w:r/>
      <w:bookmarkEnd w:id="107"/>
      <w:r/>
      <w:bookmarkStart w:id="108" w:name="_Hlt26954848"/>
      <w:r/>
      <w:bookmarkEnd w:id="108"/>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9" w:name="_Toc14577359"/>
      <w:r/>
      <w:bookmarkStart w:id="110"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9"/>
      <w:r/>
      <w:bookmarkEnd w:id="110"/>
      <w:r/>
      <w:bookmarkStart w:id="111" w:name="_Toc49090511"/>
      <w:r/>
      <w:bookmarkStart w:id="112"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1"/>
      <w:r/>
      <w:bookmarkEnd w:id="112"/>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3" w:name="_Hlt26954852"/>
      <w:r/>
      <w:bookmarkEnd w:id="113"/>
      <w:r/>
      <w:bookmarkStart w:id="114" w:name="_Hlt26954739"/>
      <w:r/>
      <w:bookmarkEnd w:id="114"/>
      <w:r/>
      <w:bookmarkStart w:id="115" w:name="_Toc120614217"/>
      <w:r/>
      <w:bookmarkStart w:id="116" w:name="_Toc20823296"/>
      <w:r/>
      <w:bookmarkStart w:id="117" w:name="_Toc513029224"/>
      <w:r/>
      <w:bookmarkStart w:id="118" w:name="_Toc16938540"/>
      <w:r>
        <w:rPr>
          <w:rFonts w:hint="eastAsia" w:ascii="方正黑体_GBK" w:hAnsi="方正黑体_GBK" w:eastAsia="方正黑体_GBK" w:cs="方正黑体_GBK"/>
          <w:color w:val="000000"/>
          <w:sz w:val="28"/>
          <w:szCs w:val="28"/>
        </w:rPr>
        <w:t xml:space="preserve">四、投标文件的递交</w:t>
      </w:r>
      <w:bookmarkEnd w:id="115"/>
      <w:r/>
      <w:bookmarkEnd w:id="116"/>
      <w:r/>
      <w:bookmarkEnd w:id="117"/>
      <w:r/>
      <w:bookmarkEnd w:id="118"/>
      <w:r>
        <w:rPr>
          <w:rFonts w:hint="eastAsia" w:ascii="方正黑体_GBK" w:hAnsi="方正黑体_GBK" w:eastAsia="方正黑体_GBK" w:cs="方正黑体_GBK"/>
          <w:color w:val="000000"/>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9" w:name="_Toc16938541"/>
      <w:r/>
      <w:bookmarkStart w:id="120" w:name="_Toc462564084"/>
      <w:r/>
      <w:bookmarkStart w:id="121" w:name="_Toc20823297"/>
      <w:r/>
      <w:bookmarkStart w:id="122"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9"/>
      <w:r/>
      <w:bookmarkEnd w:id="120"/>
      <w:r/>
      <w:bookmarkEnd w:id="121"/>
      <w:r/>
      <w:bookmarkEnd w:id="122"/>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3" w:name="_Toc20823298"/>
      <w:r/>
      <w:bookmarkStart w:id="124" w:name="_Toc16938542"/>
      <w:r/>
      <w:bookmarkStart w:id="125" w:name="_Toc513029226"/>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3"/>
      <w:r/>
      <w:bookmarkEnd w:id="124"/>
      <w:r/>
      <w:bookmarkEnd w:id="125"/>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6" w:name="_Toc20823299"/>
      <w:r/>
      <w:bookmarkStart w:id="127" w:name="_Toc513029227"/>
      <w:r/>
      <w:bookmarkStart w:id="128"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9" w:name="_Toc20823300"/>
      <w:r/>
      <w:bookmarkStart w:id="130" w:name="_Toc513029228"/>
      <w:r/>
      <w:bookmarkStart w:id="131"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8"/>
      <w:r/>
      <w:bookmarkStart w:id="133" w:name="_Toc513029229"/>
      <w:r/>
      <w:bookmarkStart w:id="134" w:name="_Toc16938545"/>
      <w:r/>
      <w:bookmarkStart w:id="135" w:name="_Toc20823301"/>
      <w:r>
        <w:rPr>
          <w:rFonts w:hint="eastAsia" w:ascii="方正黑体_GBK" w:hAnsi="方正黑体_GBK" w:eastAsia="方正黑体_GBK" w:cs="方正黑体_GBK"/>
          <w:color w:val="000000"/>
          <w:sz w:val="28"/>
          <w:szCs w:val="28"/>
        </w:rPr>
        <w:t xml:space="preserve">五、开标与评标</w:t>
      </w:r>
      <w:bookmarkEnd w:id="132"/>
      <w:r/>
      <w:bookmarkEnd w:id="133"/>
      <w:r/>
      <w:bookmarkEnd w:id="134"/>
      <w:r/>
      <w:bookmarkEnd w:id="135"/>
      <w:r>
        <w:rPr>
          <w:rFonts w:hint="eastAsia" w:ascii="方正黑体_GBK" w:hAnsi="方正黑体_GBK" w:eastAsia="方正黑体_GBK" w:cs="方正黑体_GBK"/>
          <w:color w:val="000000"/>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6" w:name="_Toc20823302"/>
      <w:r/>
      <w:bookmarkStart w:id="137" w:name="_Toc16938546"/>
      <w:r/>
      <w:bookmarkStart w:id="138" w:name="_Toc513029230"/>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6"/>
      <w:r/>
      <w:bookmarkEnd w:id="137"/>
      <w:r/>
      <w:bookmarkEnd w:id="138"/>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9" w:name="_Toc16938547"/>
      <w:r/>
      <w:bookmarkStart w:id="140" w:name="_Toc513029231"/>
      <w:r/>
      <w:bookmarkStart w:id="141"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9"/>
      <w:r/>
      <w:bookmarkEnd w:id="140"/>
      <w:r/>
      <w:bookmarkEnd w:id="141"/>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2" w:name="_Toc20823304"/>
      <w:r/>
      <w:bookmarkStart w:id="143" w:name="_Toc513029232"/>
      <w:r/>
      <w:bookmarkStart w:id="144" w:name="_Toc16938548"/>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2"/>
      <w:r/>
      <w:bookmarkEnd w:id="143"/>
      <w:r/>
      <w:bookmarkEnd w:id="144"/>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5" w:name="_Toc16938549"/>
      <w:r/>
      <w:bookmarkStart w:id="146" w:name="_Toc513029233"/>
      <w:r/>
      <w:bookmarkStart w:id="147" w:name="_Toc20823305"/>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5"/>
      <w:r/>
      <w:bookmarkEnd w:id="146"/>
      <w:r/>
      <w:bookmarkEnd w:id="147"/>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8" w:name="_Toc20823306"/>
      <w:r/>
      <w:bookmarkStart w:id="149" w:name="_Toc513029234"/>
      <w:r/>
      <w:bookmarkStart w:id="150" w:name="_Toc16938550"/>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）投标报价低于采购项目最高限价45%的，即投标报价&lt;采购项目最高限价×45%；</w:t>
      </w:r>
      <w:r>
        <w:rPr>
          <w:rFonts w:hint="eastAsia" w:ascii="方正仿宋_GBK" w:hAnsi="方正仿宋_GBK" w:eastAsia="方正仿宋_GBK" w:cs="方正仿宋_GBK"/>
          <w:bCs/>
          <w:sz w:val="28"/>
          <w:szCs w:val="28"/>
          <w:lang w:eastAsia="zh-CN"/>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92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924"/>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8"/>
      <w:r/>
      <w:bookmarkEnd w:id="149"/>
      <w:r/>
      <w:bookmarkEnd w:id="150"/>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1" w:name="_Toc20823307"/>
      <w:r/>
      <w:bookmarkStart w:id="152" w:name="_Toc16938551"/>
      <w:r/>
      <w:bookmarkStart w:id="153" w:name="_Toc513029235"/>
      <w:r>
        <w:rPr>
          <w:rFonts w:hint="eastAsia" w:ascii="方正仿宋_GBK" w:hAnsi="方正仿宋_GBK" w:eastAsia="方正仿宋_GBK" w:cs="方正仿宋_GBK"/>
          <w:sz w:val="28"/>
          <w:szCs w:val="28"/>
        </w:rPr>
      </w:r>
      <w:r/>
    </w:p>
    <w:p>
      <w:pPr>
        <w:pStyle w:val="924"/>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4" w:name="_Toc120614219"/>
      <w:r>
        <w:rPr>
          <w:rFonts w:hint="eastAsia" w:ascii="方正黑体_GBK" w:hAnsi="方正黑体_GBK" w:eastAsia="方正黑体_GBK" w:cs="方正黑体_GBK"/>
          <w:color w:val="000000"/>
          <w:sz w:val="28"/>
          <w:szCs w:val="28"/>
        </w:rPr>
        <w:t xml:space="preserve">六、</w:t>
      </w:r>
      <w:bookmarkEnd w:id="151"/>
      <w:r/>
      <w:bookmarkEnd w:id="152"/>
      <w:r/>
      <w:bookmarkEnd w:id="153"/>
      <w:r>
        <w:rPr>
          <w:rFonts w:hint="eastAsia" w:ascii="方正黑体_GBK" w:hAnsi="方正黑体_GBK" w:eastAsia="方正黑体_GBK" w:cs="方正黑体_GBK"/>
          <w:color w:val="000000"/>
          <w:sz w:val="28"/>
          <w:szCs w:val="28"/>
        </w:rPr>
        <w:t xml:space="preserve">定标</w:t>
      </w:r>
      <w:bookmarkEnd w:id="154"/>
      <w:r>
        <w:rPr>
          <w:rFonts w:hint="eastAsia" w:ascii="方正黑体_GBK" w:hAnsi="方正黑体_GBK" w:eastAsia="方正黑体_GBK" w:cs="方正黑体_GBK"/>
          <w:color w:val="000000"/>
          <w:sz w:val="28"/>
          <w:szCs w:val="28"/>
        </w:rPr>
      </w:r>
      <w:r/>
    </w:p>
    <w:p>
      <w:pPr>
        <w:pStyle w:val="924"/>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5" w:name="_Toc513029238"/>
      <w:r/>
      <w:bookmarkStart w:id="156" w:name="_Toc20823310"/>
      <w:r/>
      <w:bookmarkStart w:id="157" w:name="_Toc16938554"/>
      <w:r>
        <w:rPr>
          <w:rFonts w:hint="eastAsia" w:ascii="方正仿宋_GBK" w:hAnsi="方正仿宋_GBK" w:eastAsia="方正仿宋_GBK" w:cs="方正仿宋_GBK"/>
          <w:bCs/>
          <w:color w:val="000000"/>
          <w:sz w:val="28"/>
          <w:szCs w:val="28"/>
        </w:rPr>
        <w:t xml:space="preserve">27</w:t>
      </w:r>
      <w:bookmarkEnd w:id="155"/>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6"/>
      <w:r/>
      <w:bookmarkEnd w:id="157"/>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8"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8"/>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24"/>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9" w:name="_Toc120614220"/>
      <w:r/>
      <w:bookmarkStart w:id="160" w:name="_Toc16938552"/>
      <w:r/>
      <w:bookmarkStart w:id="161" w:name="_Toc513029236"/>
      <w:r/>
      <w:bookmarkStart w:id="162" w:name="_Toc20823308"/>
      <w:r>
        <w:rPr>
          <w:rFonts w:hint="eastAsia" w:ascii="方正黑体_GBK" w:hAnsi="方正黑体_GBK" w:eastAsia="方正黑体_GBK" w:cs="方正黑体_GBK"/>
          <w:color w:val="000000"/>
          <w:sz w:val="28"/>
          <w:szCs w:val="28"/>
        </w:rPr>
        <w:t xml:space="preserve">七、授予合同</w:t>
      </w:r>
      <w:bookmarkEnd w:id="159"/>
      <w:r>
        <w:rPr>
          <w:rFonts w:hint="eastAsia" w:ascii="方正黑体_GBK" w:hAnsi="方正黑体_GBK" w:eastAsia="方正黑体_GBK" w:cs="方正黑体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0"/>
      <w:r/>
      <w:bookmarkEnd w:id="161"/>
      <w:r/>
      <w:bookmarkEnd w:id="162"/>
      <w:r/>
      <w:bookmarkStart w:id="163" w:name="_Toc16938553"/>
      <w:r/>
      <w:bookmarkStart w:id="164" w:name="_Toc20823309"/>
      <w:r/>
      <w:bookmarkStart w:id="165" w:name="_Toc513029237"/>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3"/>
      <w:r/>
      <w:bookmarkEnd w:id="164"/>
      <w:r/>
      <w:bookmarkEnd w:id="165"/>
      <w:r/>
      <w:bookmarkStart w:id="166" w:name="_Toc513029242"/>
      <w:r/>
      <w:bookmarkStart w:id="167" w:name="_Toc20823314"/>
      <w:r/>
      <w:bookmarkStart w:id="168" w:name="_Toc16938558"/>
      <w:r/>
      <w:bookmarkStart w:id="169" w:name="_Toc120614221"/>
      <w:r/>
      <w:bookmarkStart w:id="170" w:name="_Toc479757207"/>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924"/>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24"/>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2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color w:val="000000"/>
          <w:sz w:val="44"/>
          <w:szCs w:val="44"/>
        </w:rPr>
        <w:outlineLvl w:val="0"/>
      </w:pPr>
      <w:r>
        <w:rPr>
          <w:rFonts w:hint="eastAsia" w:ascii="黑体" w:hAnsi="Times New Roman" w:eastAsia="黑体"/>
          <w:bCs/>
          <w:color w:val="000000"/>
          <w:sz w:val="44"/>
          <w:szCs w:val="28"/>
        </w:rPr>
      </w:r>
      <w:r>
        <w:rPr>
          <w:rFonts w:hint="eastAsia" w:ascii="黑体" w:hAnsi="Times New Roman" w:eastAsia="黑体"/>
          <w:bCs/>
          <w:color w:val="000000"/>
          <w:sz w:val="44"/>
          <w:szCs w:val="28"/>
        </w:rPr>
      </w:r>
      <w:r/>
    </w:p>
    <w:p>
      <w:pPr>
        <w:pStyle w:val="924"/>
        <w:ind w:firstLine="2640"/>
        <w:jc w:val="left"/>
        <w:keepLines w:val="0"/>
        <w:keepNext w:val="0"/>
        <w:pageBreakBefore w:val="0"/>
        <w:widowControl w:val="off"/>
        <w:rPr>
          <w:rFonts w:hint="eastAsia" w:ascii="黑体" w:hAnsi="Times New Roman" w:eastAsia="黑体"/>
          <w:color w:val="000000"/>
          <w:sz w:val="44"/>
          <w:szCs w:val="44"/>
        </w:rPr>
        <w:outlineLvl w:val="0"/>
      </w:pPr>
      <w:r>
        <w:rPr>
          <w:rFonts w:hint="eastAsia" w:ascii="黑体" w:hAnsi="Times New Roman" w:eastAsia="黑体"/>
          <w:bCs/>
          <w:color w:val="000000"/>
          <w:sz w:val="44"/>
          <w:szCs w:val="28"/>
        </w:rPr>
      </w:r>
      <w:r/>
    </w:p>
    <w:p>
      <w:pPr>
        <w:pStyle w:val="924"/>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6"/>
      <w:r/>
      <w:bookmarkEnd w:id="167"/>
      <w:r/>
      <w:bookmarkEnd w:id="168"/>
      <w:r/>
      <w:bookmarkEnd w:id="169"/>
      <w:r/>
      <w:bookmarkEnd w:id="170"/>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24"/>
        <w:spacing w:line="400" w:lineRule="exact"/>
        <w:rPr>
          <w:rFonts w:ascii="宋体" w:hAnsi="宋体"/>
          <w:bCs/>
          <w:color w:val="ff0000"/>
          <w:sz w:val="28"/>
          <w:szCs w:val="28"/>
          <w:highlight w:val="yellow"/>
        </w:rPr>
      </w:pPr>
      <w:r/>
      <w:bookmarkStart w:id="171" w:name="_Toc16938559"/>
      <w:r/>
      <w:bookmarkStart w:id="172" w:name="_Toc513029243"/>
      <w:r/>
      <w:bookmarkStart w:id="173" w:name="_Toc3995"/>
      <w:r/>
      <w:bookmarkStart w:id="174" w:name="_Toc20823315"/>
      <w:r/>
      <w:bookmarkStart w:id="175" w:name="_Hlt16619350"/>
      <w:r/>
      <w:bookmarkStart w:id="176" w:name="_Toc16938590"/>
      <w:r/>
      <w:bookmarkStart w:id="177" w:name="_Toc20823346"/>
      <w:r/>
      <w:bookmarkStart w:id="178" w:name="_Toc120614244"/>
      <w:r/>
      <w:bookmarkStart w:id="179" w:name="_Toc479757211"/>
      <w:r/>
      <w:bookmarkStart w:id="180" w:name="_Toc462564139"/>
      <w:r>
        <w:rPr>
          <w:rFonts w:ascii="宋体" w:hAnsi="宋体"/>
          <w:bCs/>
          <w:color w:val="ff0000"/>
          <w:sz w:val="28"/>
          <w:szCs w:val="28"/>
          <w:highlight w:val="yellow"/>
        </w:rPr>
      </w:r>
      <w:r/>
    </w:p>
    <w:p>
      <w:pPr>
        <w:pStyle w:val="924"/>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955"/>
        <w:jc w:val="center"/>
        <w:rPr>
          <w:rFonts w:ascii="宋体" w:hAnsi="宋体" w:eastAsia="宋体" w:cs="宋体"/>
          <w:b/>
          <w:bCs/>
          <w:spacing w:val="-20"/>
          <w:sz w:val="28"/>
          <w:szCs w:val="28"/>
        </w:rPr>
      </w:pPr>
      <w:r/>
      <w:bookmarkEnd w:id="171"/>
      <w:r/>
      <w:bookmarkEnd w:id="172"/>
      <w:r/>
      <w:bookmarkEnd w:id="173"/>
      <w:r/>
      <w:bookmarkEnd w:id="174"/>
      <w:r>
        <w:rPr>
          <w:rFonts w:ascii="宋体" w:hAnsi="宋体" w:eastAsia="宋体" w:cs="宋体"/>
          <w:b/>
          <w:bCs/>
          <w:spacing w:val="-20"/>
          <w:sz w:val="28"/>
          <w:szCs w:val="28"/>
        </w:rPr>
      </w:r>
      <w:r/>
    </w:p>
    <w:p>
      <w:pPr>
        <w:pStyle w:val="955"/>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pStyle w:val="955"/>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955"/>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924"/>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24"/>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24"/>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24"/>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24"/>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24"/>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24"/>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24"/>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24"/>
        <w:rPr>
          <w:sz w:val="28"/>
          <w:szCs w:val="28"/>
        </w:rPr>
      </w:pPr>
      <w:r>
        <w:rPr>
          <w:sz w:val="28"/>
          <w:szCs w:val="28"/>
        </w:rPr>
      </w:r>
      <w:r/>
    </w:p>
    <w:p>
      <w:pPr>
        <w:pStyle w:val="924"/>
        <w:rPr>
          <w:rFonts w:eastAsia="黑体"/>
          <w:sz w:val="28"/>
          <w:szCs w:val="28"/>
        </w:rPr>
      </w:pPr>
      <w:r>
        <w:rPr>
          <w:rFonts w:eastAsia="黑体"/>
          <w:sz w:val="28"/>
          <w:szCs w:val="28"/>
        </w:rPr>
      </w:r>
      <w:r/>
    </w:p>
    <w:p>
      <w:pPr>
        <w:pStyle w:val="924"/>
        <w:rPr>
          <w:rFonts w:eastAsia="黑体"/>
          <w:sz w:val="28"/>
          <w:szCs w:val="28"/>
        </w:rPr>
      </w:pPr>
      <w:r>
        <w:rPr>
          <w:rFonts w:eastAsia="黑体"/>
          <w:sz w:val="28"/>
          <w:szCs w:val="28"/>
        </w:rPr>
      </w:r>
      <w:r/>
    </w:p>
    <w:p>
      <w:pPr>
        <w:pStyle w:val="924"/>
        <w:rPr>
          <w:rFonts w:eastAsia="黑体"/>
          <w:sz w:val="28"/>
          <w:szCs w:val="28"/>
        </w:rPr>
      </w:pPr>
      <w:r>
        <w:rPr>
          <w:rFonts w:eastAsia="黑体"/>
          <w:sz w:val="28"/>
          <w:szCs w:val="28"/>
        </w:rPr>
      </w:r>
      <w:r/>
    </w:p>
    <w:p>
      <w:pPr>
        <w:pStyle w:val="924"/>
        <w:rPr>
          <w:rFonts w:eastAsia="黑体"/>
          <w:sz w:val="28"/>
          <w:szCs w:val="28"/>
        </w:rPr>
      </w:pPr>
      <w:r>
        <w:rPr>
          <w:rFonts w:eastAsia="黑体"/>
          <w:sz w:val="28"/>
          <w:szCs w:val="28"/>
        </w:rPr>
      </w:r>
      <w:r/>
    </w:p>
    <w:p>
      <w:pPr>
        <w:pStyle w:val="924"/>
        <w:rPr>
          <w:rFonts w:eastAsia="黑体"/>
          <w:sz w:val="28"/>
          <w:szCs w:val="28"/>
        </w:rPr>
      </w:pPr>
      <w:r>
        <w:rPr>
          <w:rFonts w:eastAsia="黑体"/>
          <w:sz w:val="28"/>
          <w:szCs w:val="28"/>
        </w:rPr>
      </w:r>
      <w:r/>
    </w:p>
    <w:p>
      <w:pPr>
        <w:pStyle w:val="924"/>
        <w:rPr>
          <w:rFonts w:eastAsia="黑体"/>
          <w:sz w:val="28"/>
          <w:szCs w:val="28"/>
        </w:rPr>
      </w:pPr>
      <w:r>
        <w:rPr>
          <w:rFonts w:eastAsia="黑体"/>
          <w:sz w:val="28"/>
          <w:szCs w:val="28"/>
        </w:rPr>
      </w:r>
      <w:r/>
    </w:p>
    <w:p>
      <w:pPr>
        <w:pStyle w:val="924"/>
        <w:rPr>
          <w:rFonts w:eastAsia="黑体"/>
          <w:sz w:val="28"/>
          <w:szCs w:val="28"/>
        </w:rPr>
      </w:pPr>
      <w:r>
        <w:rPr>
          <w:rFonts w:eastAsia="黑体"/>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24"/>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24"/>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26"/>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57"/>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924"/>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rPr>
          <w:rFonts w:hint="eastAsia" w:ascii="方正仿宋_GBK" w:hAnsi="方正仿宋_GBK" w:eastAsia="方正仿宋_GBK" w:cs="方正仿宋_GBK"/>
          <w:b/>
          <w:sz w:val="28"/>
          <w:szCs w:val="28"/>
        </w:rPr>
      </w:r>
      <w:r/>
    </w:p>
    <w:p>
      <w:pPr>
        <w:pStyle w:val="957"/>
        <w:numPr>
          <w:ilvl w:val="0"/>
          <w:numId w:val="5"/>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37"/>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1037"/>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924"/>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24"/>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24"/>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37"/>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1037"/>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924"/>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924"/>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rPr>
          <w:rFonts w:hint="eastAsia" w:ascii="方正仿宋_GBK" w:hAnsi="方正仿宋_GBK" w:eastAsia="方正仿宋_GBK" w:cs="方正仿宋_GBK"/>
          <w:b/>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924"/>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rPr>
          <w:rFonts w:hint="eastAsia" w:ascii="方正仿宋_GBK" w:hAnsi="方正仿宋_GBK" w:eastAsia="方正仿宋_GBK" w:cs="方正仿宋_GBK"/>
          <w:sz w:val="28"/>
          <w:szCs w:val="28"/>
          <w:lang w:eastAsia="zh-CN"/>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924"/>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rPr>
          <w:rFonts w:hint="eastAsia" w:ascii="方正仿宋_GBK" w:hAnsi="方正仿宋_GBK" w:eastAsia="方正仿宋_GBK" w:cs="方正仿宋_GBK"/>
          <w:b/>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24"/>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rPr>
          <w:rFonts w:hint="eastAsia" w:ascii="方正仿宋_GBK" w:hAnsi="方正仿宋_GBK" w:eastAsia="方正仿宋_GBK" w:cs="方正仿宋_GBK"/>
          <w:b/>
          <w:sz w:val="28"/>
          <w:szCs w:val="28"/>
        </w:rPr>
      </w:r>
      <w:r/>
    </w:p>
    <w:p>
      <w:pPr>
        <w:pStyle w:val="924"/>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924"/>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rPr>
          <w:rFonts w:hint="eastAsia" w:ascii="方正仿宋_GBK" w:hAnsi="方正仿宋_GBK" w:eastAsia="方正仿宋_GBK" w:cs="方正仿宋_GBK"/>
          <w:b/>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24"/>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rPr>
          <w:rFonts w:hint="eastAsia" w:ascii="方正仿宋_GBK" w:hAnsi="方正仿宋_GBK" w:eastAsia="方正仿宋_GBK" w:cs="方正仿宋_GBK"/>
          <w:b/>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924"/>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rPr>
          <w:rFonts w:hint="eastAsia" w:ascii="方正仿宋_GBK" w:hAnsi="方正仿宋_GBK" w:eastAsia="方正仿宋_GBK" w:cs="方正仿宋_GBK"/>
          <w:b/>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05"/>
        <w:pageBreakBefore w:val="0"/>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24"/>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24"/>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57"/>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26"/>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rPr>
          <w:rFonts w:ascii="黑体" w:hAnsi="黑体" w:eastAsia="黑体"/>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1037"/>
        <w:numPr>
          <w:ilvl w:val="0"/>
          <w:numId w:val="6"/>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1037"/>
        <w:numPr>
          <w:ilvl w:val="0"/>
          <w:numId w:val="7"/>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1037"/>
        <w:numPr>
          <w:ilvl w:val="0"/>
          <w:numId w:val="8"/>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1037"/>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103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926"/>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37"/>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24"/>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6"/>
        <w:jc w:val="left"/>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jc w:val="left"/>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rPr>
        <w:t xml:space="preserve">第</w:t>
      </w:r>
      <w:bookmarkEnd w:id="175"/>
      <w:r>
        <w:rPr>
          <w:rFonts w:hint="eastAsia" w:ascii="黑体" w:hAnsi="黑体" w:eastAsia="黑体" w:cs="Arial"/>
          <w:b w:val="0"/>
          <w:bCs w:val="0"/>
          <w:sz w:val="28"/>
          <w:szCs w:val="28"/>
        </w:rPr>
        <w:t xml:space="preserve">四章 采购需求</w:t>
      </w:r>
      <w:bookmarkEnd w:id="176"/>
      <w:r/>
      <w:bookmarkEnd w:id="177"/>
      <w:r/>
      <w:bookmarkEnd w:id="178"/>
      <w:r>
        <w:rPr>
          <w:rFonts w:hint="eastAsia" w:ascii="黑体" w:hAnsi="黑体" w:eastAsia="黑体" w:cs="Arial"/>
          <w:b w:val="0"/>
          <w:bCs w:val="0"/>
          <w:sz w:val="28"/>
          <w:szCs w:val="28"/>
        </w:rPr>
      </w:r>
      <w:r/>
    </w:p>
    <w:p>
      <w:pPr>
        <w:pStyle w:val="926"/>
        <w:jc w:val="left"/>
        <w:keepLines/>
        <w:keepNext/>
        <w:pageBreakBefore w:val="0"/>
        <w:spacing w:line="400" w:lineRule="exact"/>
        <w:widowControl w:val="off"/>
        <w:rPr>
          <w:rFonts w:hint="eastAsia" w:ascii="黑体" w:hAnsi="黑体" w:eastAsia="黑体" w:cs="Arial"/>
          <w:b w:val="0"/>
          <w:bCs w:val="0"/>
          <w:sz w:val="28"/>
          <w:szCs w:val="28"/>
        </w:rPr>
      </w:pPr>
      <w:r/>
      <w:bookmarkStart w:id="181" w:name="_Toc26554093"/>
      <w:r/>
      <w:bookmarkStart w:id="182" w:name="_Toc49090575"/>
      <w:r>
        <w:rPr>
          <w:rFonts w:hint="eastAsia" w:ascii="黑体" w:hAnsi="黑体" w:eastAsia="黑体" w:cs="Arial"/>
          <w:b w:val="0"/>
          <w:bCs w:val="0"/>
          <w:sz w:val="28"/>
          <w:szCs w:val="28"/>
        </w:rPr>
        <w:t xml:space="preserve">一、采购标的清单</w:t>
      </w:r>
      <w:r>
        <w:rPr>
          <w:rFonts w:hint="eastAsia" w:ascii="黑体" w:hAnsi="黑体" w:eastAsia="黑体" w:cs="Arial"/>
          <w:b w:val="0"/>
          <w:bCs w:val="0"/>
          <w:sz w:val="28"/>
          <w:szCs w:val="28"/>
        </w:rPr>
      </w:r>
      <w:r/>
    </w:p>
    <w:tbl>
      <w:tblPr>
        <w:tblW w:w="0" w:type="auto"/>
        <w:jc w:val="center"/>
        <w:tblInd w:w="-1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4"/>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321" w:type="dxa"/>
            <w:vAlign w:val="center"/>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lang w:val="en-US" w:eastAsia="zh-CN"/>
              </w:rPr>
              <w:t xml:space="preserve">1</w:t>
            </w:r>
            <w:r>
              <w:rPr>
                <w:rFonts w:hint="eastAsia" w:ascii="方正仿宋_GBK" w:hAnsi="方正仿宋_GBK" w:eastAsia="方正仿宋_GBK" w:cs="方正仿宋_GBK"/>
                <w:sz w:val="28"/>
                <w:szCs w:val="28"/>
                <w:lang w:eastAsia="zh-CN"/>
              </w:rPr>
            </w:r>
            <w:r/>
          </w:p>
        </w:tc>
        <w:tc>
          <w:tcPr>
            <w:tcW w:w="1321"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29"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color w:val="000000"/>
                <w:sz w:val="28"/>
                <w:szCs w:val="28"/>
                <w:u w:val="none"/>
              </w:rPr>
              <w:t xml:space="preserve">算力平台</w:t>
            </w:r>
            <w:r>
              <w:rPr>
                <w:rFonts w:hint="eastAsia" w:ascii="方正仿宋_GBK" w:hAnsi="方正仿宋_GBK" w:eastAsia="方正仿宋_GBK" w:cs="方正仿宋_GBK"/>
                <w:sz w:val="28"/>
                <w:szCs w:val="28"/>
                <w:lang w:val="en-US" w:eastAsia="zh-CN"/>
              </w:rPr>
            </w:r>
            <w:r/>
          </w:p>
        </w:tc>
        <w:tc>
          <w:tcPr>
            <w:tcW w:w="2677" w:type="dxa"/>
            <w:vAlign w:val="top"/>
            <w:textDirection w:val="lrTb"/>
            <w:noWrap w:val="false"/>
          </w:tcPr>
          <w:p>
            <w:pPr>
              <w:pStyle w:val="924"/>
              <w:jc w:val="center"/>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工业</w:t>
            </w:r>
            <w:r>
              <w:rPr>
                <w:rFonts w:hint="eastAsia" w:ascii="Times New Roman" w:hAnsi="Times New Roman" w:eastAsia="方正仿宋_GBK" w:cs="Times New Roman"/>
                <w:color w:val="000000"/>
                <w:sz w:val="28"/>
                <w:szCs w:val="28"/>
                <w:lang w:val="en-US" w:eastAsia="zh-CN"/>
              </w:rPr>
            </w:r>
            <w:r/>
          </w:p>
        </w:tc>
      </w:tr>
    </w:tbl>
    <w:p>
      <w:pPr>
        <w:pStyle w:val="926"/>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rPr>
          <w:rFonts w:hint="eastAsia" w:ascii="黑体" w:hAnsi="黑体" w:eastAsia="黑体" w:cs="Arial"/>
          <w:b w:val="0"/>
          <w:bCs w:val="0"/>
          <w:sz w:val="28"/>
          <w:szCs w:val="28"/>
          <w:lang w:val="en-US"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26"/>
        <w:jc w:val="left"/>
        <w:keepLines/>
        <w:keepNext/>
        <w:pageBreakBefore w:val="0"/>
        <w:spacing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r>
      <w:r/>
    </w:p>
    <w:p>
      <w:pPr>
        <w:pStyle w:val="926"/>
        <w:jc w:val="left"/>
        <w:keepLines/>
        <w:keepNext/>
        <w:pageBreakBefore w:val="0"/>
        <w:spacing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r>
      <w:r/>
    </w:p>
    <w:p>
      <w:pPr>
        <w:pStyle w:val="938"/>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r>
      <w:r/>
    </w:p>
    <w:p>
      <w:pPr>
        <w:pStyle w:val="938"/>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r>
      <w:r/>
    </w:p>
    <w:p>
      <w:pPr>
        <w:pStyle w:val="938"/>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r>
      <w:r/>
    </w:p>
    <w:p>
      <w:pPr>
        <w:pStyle w:val="926"/>
        <w:jc w:val="left"/>
        <w:keepLines/>
        <w:keepNext/>
        <w:pageBreakBefore w:val="0"/>
        <w:spacing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r>
      <w:r/>
    </w:p>
    <w:p>
      <w:pPr>
        <w:pStyle w:val="924"/>
        <w:numPr>
          <w:ilvl w:val="0"/>
          <w:numId w:val="0"/>
        </w:numPr>
        <w:ind w:firstLine="560"/>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24"/>
        <w:numPr>
          <w:ilvl w:val="0"/>
          <w:numId w:val="0"/>
        </w:numPr>
        <w:rPr>
          <w:rFonts w:ascii="黑体" w:hAnsi="黑体" w:eastAsia="黑体" w:cs="Arial"/>
          <w:b w:val="0"/>
          <w:bCs w:val="0"/>
          <w:sz w:val="28"/>
          <w:szCs w:val="28"/>
          <w:lang w:val="en-US" w:eastAsia="zh-CN" w:bidi="ar-SA"/>
        </w:rPr>
      </w:pPr>
      <w:r>
        <w:rPr>
          <w:rFonts w:hint="eastAsia" w:ascii="黑体" w:hAnsi="黑体" w:eastAsia="黑体" w:cs="Arial"/>
          <w:b w:val="0"/>
          <w:bCs w:val="0"/>
          <w:sz w:val="28"/>
          <w:szCs w:val="28"/>
          <w:lang w:val="en-US" w:eastAsia="zh-CN" w:bidi="ar-SA"/>
        </w:rPr>
        <w:t xml:space="preserve">采购数量：</w:t>
      </w:r>
      <w:r>
        <w:rPr>
          <w:rFonts w:ascii="黑体" w:hAnsi="黑体" w:eastAsia="黑体" w:cs="Arial"/>
          <w:b w:val="0"/>
          <w:bCs w:val="0"/>
          <w:sz w:val="28"/>
          <w:szCs w:val="28"/>
          <w:lang w:val="en-US" w:eastAsia="zh-CN" w:bidi="ar-SA"/>
        </w:rPr>
      </w:r>
      <w:r/>
    </w:p>
    <w:tbl>
      <w:tblPr>
        <w:tblW w:w="7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2466"/>
        <w:gridCol w:w="1437"/>
        <w:gridCol w:w="2574"/>
      </w:tblGrid>
      <w:tr>
        <w:trPr>
          <w:cantSplit/>
          <w:trHeight w:val="506"/>
        </w:trPr>
        <w:tc>
          <w:tcPr>
            <w:tcW w:w="1321" w:type="dxa"/>
            <w:vAlign w:val="center"/>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466" w:type="dxa"/>
            <w:vAlign w:val="center"/>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1437" w:type="dxa"/>
            <w:vAlign w:val="center"/>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数量</w:t>
            </w:r>
            <w:r>
              <w:rPr>
                <w:rFonts w:hint="eastAsia" w:ascii="方正仿宋_GBK" w:hAnsi="方正仿宋_GBK" w:eastAsia="方正仿宋_GBK" w:cs="方正仿宋_GBK"/>
                <w:sz w:val="28"/>
                <w:szCs w:val="28"/>
                <w:lang w:eastAsia="zh-CN"/>
              </w:rPr>
            </w:r>
            <w:r/>
          </w:p>
        </w:tc>
        <w:tc>
          <w:tcPr>
            <w:tcW w:w="2574" w:type="dxa"/>
            <w:vAlign w:val="center"/>
            <w:textDirection w:val="lrTb"/>
            <w:noWrap w:val="false"/>
          </w:tcPr>
          <w:p>
            <w:pPr>
              <w:pStyle w:val="924"/>
              <w:jc w:val="center"/>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技术指标</w:t>
            </w:r>
            <w:r>
              <w:rPr>
                <w:rFonts w:ascii="方正仿宋_GBK" w:hAnsi="方正仿宋_GBK" w:eastAsia="方正仿宋_GBK" w:cs="方正仿宋_GBK"/>
                <w:sz w:val="28"/>
                <w:szCs w:val="28"/>
                <w:lang w:val="en-US" w:eastAsia="zh-CN"/>
              </w:rPr>
            </w:r>
            <w:r/>
          </w:p>
        </w:tc>
      </w:tr>
      <w:tr>
        <w:trPr>
          <w:cantSplit/>
          <w:trHeight w:val="291"/>
        </w:trPr>
        <w:tc>
          <w:tcPr>
            <w:tcW w:w="1321"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466"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算力平台</w:t>
            </w:r>
            <w:r>
              <w:rPr>
                <w:rFonts w:hint="eastAsia" w:ascii="方正仿宋_GBK" w:hAnsi="方正仿宋_GBK" w:eastAsia="方正仿宋_GBK" w:cs="方正仿宋_GBK"/>
                <w:sz w:val="28"/>
                <w:szCs w:val="28"/>
                <w:lang w:val="en-US" w:eastAsia="zh-CN"/>
              </w:rPr>
            </w:r>
            <w:r/>
          </w:p>
        </w:tc>
        <w:tc>
          <w:tcPr>
            <w:tcW w:w="1437" w:type="dxa"/>
            <w:vAlign w:val="top"/>
            <w:textDirection w:val="lrTb"/>
            <w:noWrap w:val="false"/>
          </w:tcPr>
          <w:p>
            <w:pPr>
              <w:pStyle w:val="924"/>
              <w:jc w:val="center"/>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1套</w:t>
            </w:r>
            <w:r>
              <w:rPr>
                <w:rFonts w:ascii="方正仿宋_GBK" w:hAnsi="方正仿宋_GBK" w:eastAsia="方正仿宋_GBK" w:cs="方正仿宋_GBK"/>
                <w:sz w:val="28"/>
                <w:szCs w:val="28"/>
                <w:lang w:val="en-US" w:eastAsia="zh-CN"/>
              </w:rPr>
            </w:r>
            <w:r/>
          </w:p>
        </w:tc>
        <w:tc>
          <w:tcPr>
            <w:tcW w:w="2574" w:type="dxa"/>
            <w:vAlign w:val="top"/>
            <w:textDirection w:val="lrTb"/>
            <w:noWrap w:val="false"/>
          </w:tcPr>
          <w:p>
            <w:pPr>
              <w:pStyle w:val="924"/>
              <w:jc w:val="center"/>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详见技术要求表</w:t>
            </w:r>
            <w:r>
              <w:rPr>
                <w:rFonts w:ascii="方正仿宋_GBK" w:hAnsi="方正仿宋_GBK" w:eastAsia="方正仿宋_GBK" w:cs="方正仿宋_GBK"/>
                <w:sz w:val="28"/>
                <w:szCs w:val="28"/>
                <w:lang w:val="en-US" w:eastAsia="zh-CN"/>
              </w:rPr>
            </w:r>
            <w:r/>
          </w:p>
        </w:tc>
      </w:tr>
    </w:tbl>
    <w:p>
      <w:pPr>
        <w:pStyle w:val="924"/>
        <w:numPr>
          <w:ilvl w:val="0"/>
          <w:numId w:val="9"/>
        </w:numPr>
        <w:rPr>
          <w:rFonts w:hint="eastAsia" w:ascii="方正仿宋_GBK" w:hAnsi="方正仿宋_GBK" w:eastAsia="方正仿宋_GBK" w:cs="方正仿宋_GBK"/>
          <w:b/>
          <w:bCs/>
          <w:sz w:val="28"/>
          <w:szCs w:val="28"/>
        </w:rPr>
      </w:pPr>
      <w:r>
        <w:rPr>
          <w:rFonts w:hint="eastAsia" w:ascii="黑体" w:hAnsi="黑体" w:eastAsia="黑体" w:cs="Arial"/>
          <w:b w:val="0"/>
          <w:bCs w:val="0"/>
          <w:sz w:val="28"/>
          <w:szCs w:val="28"/>
          <w:lang w:val="en-US" w:eastAsia="zh-CN"/>
        </w:rPr>
        <w:t xml:space="preserve">技术要求 </w:t>
      </w:r>
      <w:r>
        <w:rPr>
          <w:rFonts w:hint="eastAsia" w:ascii="方正仿宋_GBK" w:hAnsi="方正仿宋_GBK" w:eastAsia="方正仿宋_GBK" w:cs="方正仿宋_GBK"/>
          <w:b/>
          <w:bCs/>
          <w:sz w:val="28"/>
          <w:szCs w:val="28"/>
        </w:rPr>
      </w:r>
      <w:r/>
    </w:p>
    <w:p>
      <w:pPr>
        <w:pStyle w:val="924"/>
        <w:numPr>
          <w:ilvl w:val="0"/>
          <w:numId w:val="0"/>
        </w:numP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24"/>
        <w:numPr>
          <w:ilvl w:val="0"/>
          <w:numId w:val="0"/>
        </w:numPr>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技术指标：</w:t>
      </w:r>
      <w:r>
        <w:rPr>
          <w:rFonts w:hint="eastAsia" w:ascii="方正仿宋_GBK" w:hAnsi="方正仿宋_GBK" w:eastAsia="方正仿宋_GBK" w:cs="方正仿宋_GBK"/>
          <w:b/>
          <w:bCs/>
          <w:sz w:val="28"/>
          <w:szCs w:val="28"/>
          <w:lang w:val="en-US" w:eastAsia="zh-CN"/>
        </w:rPr>
      </w:r>
      <w:r/>
    </w:p>
    <w:tbl>
      <w:tblPr>
        <w:tblW w:w="92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388"/>
        <w:gridCol w:w="1425"/>
        <w:gridCol w:w="5730"/>
      </w:tblGrid>
      <w:tr>
        <w:trPr>
          <w:trHeight w:val="300"/>
        </w:trPr>
        <w:tc>
          <w:tcPr>
            <w:tcW w:w="722" w:type="dxa"/>
            <w:vAlign w:val="center"/>
            <w:textDirection w:val="lrTb"/>
            <w:noWrap w:val="false"/>
          </w:tcPr>
          <w:p>
            <w:pPr>
              <w:pStyle w:val="92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1388" w:type="dxa"/>
            <w:vAlign w:val="center"/>
            <w:textDirection w:val="lrTb"/>
            <w:noWrap w:val="false"/>
          </w:tcPr>
          <w:p>
            <w:pPr>
              <w:pStyle w:val="92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一级指标</w:t>
            </w:r>
            <w:r>
              <w:rPr>
                <w:rFonts w:hint="eastAsia" w:ascii="宋体" w:hAnsi="宋体" w:eastAsia="宋体" w:cs="宋体"/>
                <w:b/>
                <w:bCs/>
                <w:i w:val="0"/>
                <w:iCs w:val="0"/>
                <w:color w:val="000000"/>
                <w:sz w:val="24"/>
                <w:szCs w:val="24"/>
                <w:u w:val="none"/>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二级指标</w:t>
            </w:r>
            <w:r>
              <w:rPr>
                <w:rFonts w:hint="eastAsia" w:ascii="宋体" w:hAnsi="宋体" w:eastAsia="宋体" w:cs="宋体"/>
                <w:b/>
                <w:bCs/>
                <w:i w:val="0"/>
                <w:iCs w:val="0"/>
                <w:color w:val="000000"/>
                <w:sz w:val="24"/>
                <w:szCs w:val="24"/>
                <w:u w:val="none"/>
              </w:rPr>
            </w:r>
            <w:r/>
          </w:p>
        </w:tc>
        <w:tc>
          <w:tcPr>
            <w:tcW w:w="5730" w:type="dxa"/>
            <w:vAlign w:val="center"/>
            <w:textDirection w:val="lrTb"/>
            <w:noWrap w:val="false"/>
          </w:tcPr>
          <w:p>
            <w:pPr>
              <w:pStyle w:val="92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指标要求</w:t>
            </w:r>
            <w:r>
              <w:rPr>
                <w:rFonts w:hint="eastAsia" w:ascii="宋体" w:hAnsi="宋体" w:eastAsia="宋体" w:cs="宋体"/>
                <w:b/>
                <w:bCs/>
                <w:i w:val="0"/>
                <w:iCs w:val="0"/>
                <w:color w:val="000000"/>
                <w:sz w:val="24"/>
                <w:szCs w:val="24"/>
                <w:u w:val="none"/>
              </w:rPr>
            </w:r>
            <w:r/>
          </w:p>
        </w:tc>
      </w:tr>
      <w:tr>
        <w:trPr>
          <w:trHeight w:val="1155"/>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r>
            <w:r/>
          </w:p>
        </w:tc>
        <w:tc>
          <w:tcPr>
            <w:tcW w:w="1388"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CPU规格</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CPU 信息</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iCs/>
                <w:sz w:val="24"/>
                <w:szCs w:val="24"/>
                <w:u w:val="single"/>
                <w:lang w:val="en-US" w:eastAsia="zh-CN"/>
              </w:rPr>
              <w:t xml:space="preserve">配置不少于2颗物理CPU，单颗处理器基本频率不低于 2.1GHz，每颗内核数不低于48 核</w:t>
            </w:r>
            <w:r>
              <w:rPr>
                <w:rFonts w:hint="eastAsia" w:ascii="宋体" w:hAnsi="宋体" w:eastAsia="宋体" w:cs="宋体"/>
                <w:sz w:val="24"/>
                <w:szCs w:val="24"/>
              </w:rPr>
            </w:r>
            <w:r/>
          </w:p>
        </w:tc>
      </w:tr>
      <w:tr>
        <w:trPr>
          <w:trHeight w:val="636"/>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r>
            <w:r/>
          </w:p>
        </w:tc>
        <w:tc>
          <w:tcPr>
            <w:tcW w:w="1388"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外形</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外形</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▲机架式服务器，标配原厂导轨，服务器高度≥8U，提供产品技术白皮书或产品彩页证明并加盖公章</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r>
        <w:trPr>
          <w:trHeight w:val="870"/>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r>
            <w:r/>
          </w:p>
        </w:tc>
        <w:tc>
          <w:tcPr>
            <w:tcW w:w="1388"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AI 计算单元规格</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AI计算单元</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sz w:val="24"/>
                <w:szCs w:val="24"/>
                <w:u w:val="single"/>
                <w:lang w:val="en-US" w:eastAsia="zh-CN"/>
              </w:rPr>
              <w:t xml:space="preserve">单台计算节点配置8张GPU卡；每张GPU卡配备显存容量≥141GB，显存带宽≥4.8TB/s；单节点全部GPU理论FP32峰值计算能力≥3950TFLOPS；单节点配置8张GPU，采用NVLink和NVSwitch互联，配置不少于4个第四代NVSwitch，实现8张GPU全互联；单GPU NVLink双向聚合带宽不低于900GB/s。</w:t>
            </w:r>
            <w:r>
              <w:rPr>
                <w:rFonts w:hint="eastAsia" w:ascii="宋体" w:hAnsi="宋体" w:eastAsia="宋体" w:cs="宋体"/>
                <w:i/>
                <w:iCs/>
                <w:sz w:val="24"/>
                <w:szCs w:val="24"/>
                <w:u w:val="single"/>
              </w:rPr>
            </w:r>
            <w:r/>
          </w:p>
        </w:tc>
      </w:tr>
      <w:tr>
        <w:trPr>
          <w:trHeight w:val="300"/>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r>
            <w:r/>
          </w:p>
        </w:tc>
        <w:tc>
          <w:tcPr>
            <w:tcW w:w="1388" w:type="dxa"/>
            <w:vAlign w:val="center"/>
            <w:vMerge w:val="restart"/>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内存规格</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内存数量</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ascii="宋体" w:hAnsi="宋体" w:eastAsia="宋体" w:cs="宋体"/>
                <w:sz w:val="24"/>
                <w:szCs w:val="24"/>
                <w:lang w:val="en-US"/>
              </w:rPr>
              <w:suppressLineNumbers w:val="0"/>
            </w:pPr>
            <w:r>
              <w:rPr>
                <w:rFonts w:hint="eastAsia" w:ascii="宋体" w:hAnsi="宋体" w:eastAsia="宋体" w:cs="宋体"/>
                <w:i/>
                <w:iCs/>
                <w:sz w:val="24"/>
                <w:szCs w:val="24"/>
                <w:u w:val="single"/>
                <w:lang w:val="en-US" w:eastAsia="zh-CN"/>
              </w:rPr>
              <w:t xml:space="preserve">提供≥32个内存插槽。本次配置不低于16*64GB DDR5 内存。</w:t>
            </w:r>
            <w:r>
              <w:rPr>
                <w:rFonts w:ascii="宋体" w:hAnsi="宋体" w:eastAsia="宋体" w:cs="宋体"/>
                <w:sz w:val="24"/>
                <w:szCs w:val="24"/>
                <w:lang w:val="en-US"/>
              </w:rPr>
            </w:r>
            <w:r/>
          </w:p>
        </w:tc>
      </w:tr>
      <w:tr>
        <w:trPr>
          <w:trHeight w:val="870"/>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r>
            <w:r/>
          </w:p>
        </w:tc>
        <w:tc>
          <w:tcPr>
            <w:tcW w:w="1388" w:type="dxa"/>
            <w:vAlign w:val="center"/>
            <w:vMerge w:val="continue"/>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内存通道</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每CPU支持8个内存通道，每个通道支持1DPC（每通道1条）或2DPC（每通道2条）配置，支持2DPC时插槽具备序号标识。</w:t>
            </w:r>
            <w:r>
              <w:rPr>
                <w:rFonts w:hint="eastAsia" w:ascii="宋体" w:hAnsi="宋体" w:eastAsia="宋体" w:cs="宋体"/>
                <w:sz w:val="24"/>
                <w:szCs w:val="24"/>
              </w:rPr>
            </w:r>
            <w:r/>
          </w:p>
        </w:tc>
      </w:tr>
      <w:tr>
        <w:trPr>
          <w:trHeight w:val="870"/>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r>
            <w:r/>
          </w:p>
        </w:tc>
        <w:tc>
          <w:tcPr>
            <w:tcW w:w="1388"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存储规格</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硬磁盘实配容量</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iCs/>
                <w:sz w:val="24"/>
                <w:szCs w:val="24"/>
                <w:u w:val="single"/>
                <w:lang w:val="en-US" w:eastAsia="zh-CN"/>
              </w:rPr>
              <w:t xml:space="preserve">配置不低于2 块1.92TB SSD 系统盘，配置不低于4块企业级3.84TB NVMe SSD 数据盘</w:t>
            </w:r>
            <w:r>
              <w:rPr>
                <w:rFonts w:hint="eastAsia" w:ascii="宋体" w:hAnsi="宋体" w:eastAsia="宋体" w:cs="宋体"/>
                <w:sz w:val="24"/>
                <w:szCs w:val="24"/>
              </w:rPr>
            </w:r>
            <w:r/>
          </w:p>
        </w:tc>
      </w:tr>
      <w:tr>
        <w:trPr>
          <w:trHeight w:val="1020"/>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r>
            <w:r/>
          </w:p>
        </w:tc>
        <w:tc>
          <w:tcPr>
            <w:tcW w:w="1388" w:type="dxa"/>
            <w:vAlign w:val="center"/>
            <w:textDirection w:val="lrTb"/>
            <w:noWrap w:val="false"/>
          </w:tcPr>
          <w:p>
            <w:pPr>
              <w:pStyle w:val="924"/>
              <w:jc w:val="center"/>
              <w:keepLines w:val="0"/>
              <w:keepNext w:val="0"/>
              <w:widowControl/>
              <w:rPr>
                <w:rFonts w:ascii="宋体" w:hAnsi="宋体" w:eastAsia="宋体" w:cs="宋体"/>
                <w:sz w:val="24"/>
                <w:szCs w:val="24"/>
                <w:lang w:val="en-US"/>
              </w:rPr>
              <w:suppressLineNumbers w:val="0"/>
            </w:pPr>
            <w:r>
              <w:rPr>
                <w:rFonts w:hint="eastAsia" w:ascii="宋体" w:hAnsi="宋体" w:eastAsia="宋体" w:cs="宋体"/>
                <w:sz w:val="24"/>
                <w:szCs w:val="24"/>
                <w:lang w:val="en-US" w:eastAsia="zh-CN"/>
              </w:rPr>
              <w:t xml:space="preserve">网络规格及功能</w:t>
            </w:r>
            <w:r>
              <w:rPr>
                <w:rFonts w:ascii="宋体" w:hAnsi="宋体" w:eastAsia="宋体" w:cs="宋体"/>
                <w:sz w:val="24"/>
                <w:szCs w:val="24"/>
                <w:lang w:val="en-US"/>
              </w:rPr>
            </w:r>
            <w:r/>
          </w:p>
        </w:tc>
        <w:tc>
          <w:tcPr>
            <w:tcW w:w="1425" w:type="dxa"/>
            <w:vAlign w:val="center"/>
            <w:textDirection w:val="lrTb"/>
            <w:noWrap w:val="false"/>
          </w:tcPr>
          <w:p>
            <w:pPr>
              <w:pStyle w:val="924"/>
              <w:jc w:val="center"/>
              <w:keepLines w:val="0"/>
              <w:keepNext w:val="0"/>
              <w:widowControl/>
              <w:rPr>
                <w:rFonts w:ascii="宋体" w:hAnsi="宋体" w:eastAsia="宋体" w:cs="宋体"/>
                <w:sz w:val="24"/>
                <w:szCs w:val="24"/>
                <w:lang w:val="en-US"/>
              </w:rPr>
              <w:suppressLineNumbers w:val="0"/>
            </w:pPr>
            <w:r>
              <w:rPr>
                <w:rFonts w:hint="eastAsia" w:ascii="宋体" w:hAnsi="宋体" w:eastAsia="宋体" w:cs="宋体"/>
                <w:sz w:val="24"/>
                <w:szCs w:val="24"/>
                <w:lang w:val="en-US" w:eastAsia="zh-CN"/>
              </w:rPr>
              <w:t xml:space="preserve">网口速率、数量及功能</w:t>
            </w:r>
            <w:r>
              <w:rPr>
                <w:rFonts w:ascii="宋体" w:hAnsi="宋体" w:eastAsia="宋体" w:cs="宋体"/>
                <w:sz w:val="24"/>
                <w:szCs w:val="24"/>
                <w:lang w:val="en-US"/>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2个200G端口，2个25G端口（含模块）</w:t>
            </w:r>
            <w:r>
              <w:rPr>
                <w:rFonts w:hint="eastAsia" w:ascii="宋体" w:hAnsi="宋体" w:eastAsia="宋体" w:cs="宋体"/>
                <w:sz w:val="24"/>
                <w:szCs w:val="24"/>
                <w:lang w:val="en-US" w:eastAsia="zh-CN"/>
              </w:rPr>
            </w:r>
            <w:r/>
          </w:p>
        </w:tc>
      </w:tr>
      <w:tr>
        <w:trPr>
          <w:trHeight w:val="2295"/>
        </w:trPr>
        <w:tc>
          <w:tcPr>
            <w:tcW w:w="722" w:type="dxa"/>
            <w:vAlign w:val="center"/>
            <w:textDirection w:val="lrTb"/>
            <w:noWrap w:val="false"/>
          </w:tcPr>
          <w:p>
            <w:pPr>
              <w:pStyle w:val="924"/>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r>
            <w:r/>
          </w:p>
        </w:tc>
        <w:tc>
          <w:tcPr>
            <w:tcW w:w="1388" w:type="dxa"/>
            <w:vAlign w:val="center"/>
            <w:textDirection w:val="lrTb"/>
            <w:noWrap w:val="false"/>
          </w:tcPr>
          <w:p>
            <w:pPr>
              <w:pStyle w:val="924"/>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网络功能</w:t>
            </w:r>
            <w:r>
              <w:rPr>
                <w:rFonts w:ascii="宋体" w:hAnsi="宋体" w:eastAsia="宋体" w:cs="宋体"/>
                <w:sz w:val="24"/>
                <w:szCs w:val="24"/>
                <w:lang w:val="en-US" w:eastAsia="zh-CN"/>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网络功能</w:t>
            </w:r>
            <w:r>
              <w:rPr>
                <w:rFonts w:hint="eastAsia" w:ascii="宋体" w:hAnsi="宋体" w:eastAsia="宋体" w:cs="宋体"/>
                <w:sz w:val="24"/>
                <w:szCs w:val="24"/>
                <w:lang w:val="en-US" w:eastAsia="zh-CN"/>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支持网络连接、网络访问、数据交换和网络管控功能。支持扩展InfiniBand HDR（200Gb/s）和XDR（800Gb/s）高速网络互联，支持10GbE以太网，支持带外管理网络（BMC）。</w:t>
            </w:r>
            <w:r>
              <w:rPr>
                <w:rFonts w:hint="eastAsia" w:ascii="宋体" w:hAnsi="宋体" w:eastAsia="宋体" w:cs="宋体"/>
                <w:sz w:val="24"/>
                <w:szCs w:val="24"/>
                <w:lang w:val="en-US" w:eastAsia="zh-CN"/>
              </w:rPr>
            </w:r>
            <w:r/>
          </w:p>
        </w:tc>
      </w:tr>
      <w:tr>
        <w:trPr>
          <w:trHeight w:val="300"/>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r>
            <w:r/>
          </w:p>
        </w:tc>
        <w:tc>
          <w:tcPr>
            <w:tcW w:w="1388" w:type="dxa"/>
            <w:vAlign w:val="center"/>
            <w:vMerge w:val="restart"/>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电源规格</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ascii="宋体" w:hAnsi="宋体" w:eastAsia="宋体" w:cs="宋体"/>
                <w:sz w:val="24"/>
                <w:szCs w:val="24"/>
                <w:lang w:val="en-US"/>
              </w:rPr>
              <w:suppressLineNumbers w:val="0"/>
            </w:pPr>
            <w:r>
              <w:rPr>
                <w:rFonts w:hint="eastAsia" w:ascii="宋体" w:hAnsi="宋体" w:eastAsia="宋体" w:cs="宋体"/>
                <w:sz w:val="24"/>
                <w:szCs w:val="24"/>
                <w:lang w:val="en-US" w:eastAsia="zh-CN"/>
              </w:rPr>
              <w:t xml:space="preserve">电源模块数量级功率</w:t>
            </w:r>
            <w:r>
              <w:rPr>
                <w:rFonts w:ascii="宋体" w:hAnsi="宋体" w:eastAsia="宋体" w:cs="宋体"/>
                <w:sz w:val="24"/>
                <w:szCs w:val="24"/>
                <w:lang w:val="en-US"/>
              </w:rPr>
            </w:r>
            <w:r/>
          </w:p>
        </w:tc>
        <w:tc>
          <w:tcPr>
            <w:tcW w:w="5730" w:type="dxa"/>
            <w:vAlign w:val="center"/>
            <w:textDirection w:val="lrTb"/>
            <w:noWrap w:val="false"/>
          </w:tcPr>
          <w:p>
            <w:pPr>
              <w:pStyle w:val="924"/>
              <w:jc w:val="left"/>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i/>
                <w:iCs/>
                <w:sz w:val="24"/>
                <w:szCs w:val="24"/>
                <w:u w:val="single"/>
                <w:lang w:val="en-US" w:eastAsia="zh-CN"/>
              </w:rPr>
              <w:t xml:space="preserve">配备冗余电源，2个2000W电源加上6个3000W电源，</w:t>
            </w:r>
            <w:r>
              <w:rPr>
                <w:rFonts w:ascii="宋体" w:hAnsi="宋体" w:eastAsia="宋体" w:cs="宋体"/>
                <w:i/>
                <w:iCs/>
                <w:sz w:val="24"/>
                <w:szCs w:val="24"/>
                <w:u w:val="single"/>
                <w:lang w:val="en-US" w:eastAsia="zh-CN"/>
              </w:rPr>
              <w:t xml:space="preserve">配高效散热</w:t>
            </w:r>
            <w:r>
              <w:rPr>
                <w:rFonts w:hint="eastAsia" w:ascii="宋体" w:hAnsi="宋体" w:eastAsia="宋体" w:cs="宋体"/>
                <w:i/>
                <w:iCs/>
                <w:sz w:val="24"/>
                <w:szCs w:val="24"/>
                <w:u w:val="single"/>
                <w:lang w:val="en-US" w:eastAsia="zh-CN"/>
              </w:rPr>
              <w:t xml:space="preserve">模块</w:t>
            </w:r>
            <w:r>
              <w:rPr>
                <w:rFonts w:ascii="宋体" w:hAnsi="宋体" w:eastAsia="宋体" w:cs="宋体"/>
                <w:sz w:val="24"/>
                <w:szCs w:val="24"/>
                <w:lang w:val="en-US" w:eastAsia="zh-CN"/>
              </w:rPr>
            </w:r>
            <w:r/>
          </w:p>
        </w:tc>
      </w:tr>
      <w:tr>
        <w:trPr>
          <w:trHeight w:val="1155"/>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r>
            <w:r/>
          </w:p>
        </w:tc>
        <w:tc>
          <w:tcPr>
            <w:tcW w:w="1388" w:type="dxa"/>
            <w:vAlign w:val="center"/>
            <w:vMerge w:val="continue"/>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满载测试</w:t>
            </w:r>
            <w:r>
              <w:rPr>
                <w:rFonts w:ascii="宋体" w:hAnsi="宋体" w:eastAsia="宋体" w:cs="宋体"/>
                <w:sz w:val="24"/>
                <w:szCs w:val="24"/>
                <w:lang w:val="en-US" w:eastAsia="zh-CN"/>
              </w:rPr>
            </w:r>
            <w:r/>
          </w:p>
        </w:tc>
        <w:tc>
          <w:tcPr>
            <w:tcW w:w="5730" w:type="dxa"/>
            <w:vAlign w:val="center"/>
            <w:textDirection w:val="lrTb"/>
            <w:noWrap w:val="false"/>
          </w:tcPr>
          <w:p>
            <w:pPr>
              <w:pStyle w:val="924"/>
              <w:jc w:val="left"/>
              <w:keepLines w:val="0"/>
              <w:keepNext w:val="0"/>
              <w:widowControl/>
              <w:rPr>
                <w:rFonts w:ascii="宋体" w:hAnsi="宋体" w:eastAsia="宋体" w:cs="宋体"/>
                <w:sz w:val="24"/>
                <w:szCs w:val="24"/>
                <w:lang w:val="en-US" w:eastAsia="zh-CN"/>
              </w:rPr>
              <w:suppressLineNumbers w:val="0"/>
            </w:pPr>
            <w:r>
              <w:rPr>
                <w:rFonts w:ascii="宋体" w:hAnsi="宋体" w:eastAsia="宋体" w:cs="宋体"/>
                <w:i/>
                <w:iCs/>
                <w:sz w:val="24"/>
                <w:szCs w:val="24"/>
                <w:u w:val="single"/>
                <w:lang w:val="en-US" w:eastAsia="zh-CN"/>
              </w:rPr>
              <w:t xml:space="preserve">验收须通过nvidia-smi topo、NVLink、DCGM、NCCL及72小时满载测试。</w:t>
            </w:r>
            <w:r>
              <w:rPr>
                <w:rFonts w:ascii="宋体" w:hAnsi="宋体" w:eastAsia="宋体" w:cs="宋体"/>
                <w:sz w:val="24"/>
                <w:szCs w:val="24"/>
                <w:lang w:val="en-US" w:eastAsia="zh-CN"/>
              </w:rPr>
            </w:r>
            <w:r/>
          </w:p>
        </w:tc>
      </w:tr>
      <w:tr>
        <w:trPr>
          <w:trHeight w:val="585"/>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r>
            <w:r/>
          </w:p>
        </w:tc>
        <w:tc>
          <w:tcPr>
            <w:tcW w:w="1388"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主板功能</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主板外部接口种类</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支持≥12个PCIe 5.0标准插槽，≥1个OCP 3.0网卡专用插槽。</w:t>
            </w:r>
            <w:r>
              <w:rPr>
                <w:rFonts w:hint="eastAsia" w:ascii="宋体" w:hAnsi="宋体" w:eastAsia="宋体" w:cs="宋体"/>
                <w:sz w:val="24"/>
                <w:szCs w:val="24"/>
              </w:rPr>
            </w:r>
            <w:r/>
          </w:p>
        </w:tc>
      </w:tr>
      <w:tr>
        <w:trPr>
          <w:trHeight w:val="585"/>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r>
            <w:r/>
          </w:p>
        </w:tc>
        <w:tc>
          <w:tcPr>
            <w:tcW w:w="1388"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操作系统及驱动功能</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操作系统及驱动的升级</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支持通过网络、闪存盘对操作系统和驱动进行升级。</w:t>
            </w:r>
            <w:r>
              <w:rPr>
                <w:rFonts w:hint="eastAsia" w:ascii="宋体" w:hAnsi="宋体" w:eastAsia="宋体" w:cs="宋体"/>
                <w:sz w:val="24"/>
                <w:szCs w:val="24"/>
              </w:rPr>
            </w:r>
            <w:r/>
          </w:p>
        </w:tc>
      </w:tr>
      <w:tr>
        <w:trPr>
          <w:trHeight w:val="1440"/>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r>
            <w:r/>
          </w:p>
        </w:tc>
        <w:tc>
          <w:tcPr>
            <w:tcW w:w="1388"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固件安全要求</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故障检测</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支持故障检测功能，可检测到具体的FRU（现场可更换单元）故障并发出告警，包括内存故障、硬盘故障（SMART监控）、电源故障、风扇故障等，通过BMC管理界面和SNMP/IPMI接口输出告警信息。</w:t>
            </w:r>
            <w:r>
              <w:rPr>
                <w:rFonts w:hint="eastAsia" w:ascii="宋体" w:hAnsi="宋体" w:eastAsia="宋体" w:cs="宋体"/>
                <w:sz w:val="24"/>
                <w:szCs w:val="24"/>
              </w:rPr>
            </w:r>
            <w:r/>
          </w:p>
        </w:tc>
      </w:tr>
      <w:tr>
        <w:trPr>
          <w:trHeight w:val="975"/>
        </w:trPr>
        <w:tc>
          <w:tcPr>
            <w:tcW w:w="722"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r>
            <w:r/>
          </w:p>
        </w:tc>
        <w:tc>
          <w:tcPr>
            <w:tcW w:w="1388"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平台功能</w:t>
            </w:r>
            <w:r>
              <w:rPr>
                <w:rFonts w:hint="eastAsia" w:ascii="宋体" w:hAnsi="宋体" w:eastAsia="宋体" w:cs="宋体"/>
                <w:sz w:val="24"/>
                <w:szCs w:val="24"/>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超算平台</w:t>
            </w:r>
            <w:r>
              <w:rPr>
                <w:rFonts w:hint="eastAsia" w:ascii="宋体" w:hAnsi="宋体" w:eastAsia="宋体" w:cs="宋体"/>
                <w:sz w:val="24"/>
                <w:szCs w:val="24"/>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1.智算平台提供容器+镜像的管理，提供调度核心资源+加速计算资源集群的管理和调度功能，智算平台配置可用工作处理器128个以上，以满足多人同时使用平台时的合理资源分配；</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2.平台支持多数据中心管理，用户可以选择使用某一数据中心资源，支持多个数据中心资源；</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3.智算平台具备3层组织架构管理；如超级管理员、组织管理员、部门管理员等，通过设定对组织及用户进行资源配额；支持对资源进行套餐分配及设置使用权限，可设置部分或全部使用；</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4.平台集成多种深度学习各种框架（如TensorFlow，pytorch，caffe，keras等）用于模型开发、模型训练等，同时也支持用户自定义框架扩展；</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5.平台具备多种计费模式；提供完整的计量计费功能，管理可通过计费模块对计算单元数量及缓存资源等进行费用设定，根据用户使用时长进行计费；</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6.平台支持支持用户通过移动方式等方式在线充值；也支持虚拟充值，在后台管理系统上由运营人员进行充值配置；也支持不计费使用；</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管理集群中智算节点及加速单元的运行状况，资源使用情况，支持查看节点名称、加速单元编号、加速单元型号、状态、使用率、加速单元缓存使用率，支持查看详情操作，统计平台各类型加速单元的总数及独享、共享、多实例配置类型加速单元资源的使用情况；</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8.支持多台智算节点的加速单元资源统一纳管，统一分配，支持加速单元按照型号进行分组，当用户需要某一种类型的加速单元时，就会从资源池中调度这一类型型号的资源给用户；</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9.组织和用户优先级设定，管理员可对用户添加优先级（1-5），优先级高的优先调度资源；</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10.智算平台管理员可自主新建开发、训练框架类型或版本；</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11.用户按需申请深度学习环境，包括深度学习框架，网络模型，加速单元等资源，支持用户对环境框架、资源配置进行动态调整；</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12.支持定时快照自动保存个人环境配置，用于环境重启恢复配置使用；支持把当前环境一键打包至镜像仓库，用户可以基于该镜像创建新的环境；</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13.提供JupyterLab和Jupyter Notebook的集成。支持AI相关数据集成到Jupyter Notebook中，支持一键添加代码和数据集，提供在线编程及部署；支持开发环境SSH密钥鉴权的安全访问方式，方便通过PyCharm、VsCode等工具进行远程调试；支持切换conda环境、算力规格、框架版本、存储空间；</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14.支持web及shell提交训练任务，支持用户可以实时查看自己任务的运行结果；</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15.镜像权限管理，可设置为公有或者私有；</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16.支持可视化作业管理，选择AI框架、启动程序提交训练任务，支持任务排队以及查看队列任务的等待位数，支持一键克隆训练任务，任务多版本管理以及参数管理；</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17.为了预防训练任务因硬件故障等问题导致训练中断，平台具备断点续训的功能，自动调度任务到可用资源上延续中断的训练进度，确保训练任务持续无误。同时支持用户自定义训练任务的重启次数和checkpoint的保存位置；</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18.支持创建AutoML试验，设定求解目标以及训练任务的超参数的范围，借助算力以及平台内置的多种搜索算法（Grid、Random、Hyperband等）自动搜寻符合要求的超参数组合；支持并行试验、参数保存、试验列表可视化等；</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19.支持分布式并行训练功能，支持TensorFlow、PyTorch分布式训练，同时集成Horovod、Ray分布式训练框架；用户按需动态申请分布式训练所需要的加速单元数量和节点数量，平台可以实时监控每个节点的运行情况；</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20.支持统一的模型管理功能，集中管理所有在模型训练中得到的模型以及导入并管理本地模型，支持模型的多版本管理以及发布为服务；</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21.支持将训练好的AI模型部署成在线服务（Web Service），支持用户自定义推理脚本文件，提供在线UI预测推理能力，为用户提供可调的用API接口。支持设置模型服务自动停止时间，避免不必要的资源浪费；</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22.用户按需申请存储空间，提供Web页面访问以及密钥鉴权的远程访问方式，支持用户存储扩容、重命名、修改密码、共享存储、文件编辑、压缩解压缩等功能；</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23.支持对设备信息生成资产二维码。支持设备生命周期展示统计分析；设备生命周期具有提供条形图、柱状图、环形图进行资产生命周期展示；</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24.支持运维管理，后台自动创建新工单；支持手机扫描资产二维码快速报修，生成运维工单；</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25.支持运维工单处理进度展示，包含提交中、处理中、已完成状态；支持工单详细信息查询，支持工单编辑回复处理结果；</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26.需具备知识库功能，支持在线添加、导入方式创建个性化知识库，具备知识库权限管理，支持常见故障、操作方法、维修维护经验知识查找等功能；</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27.具备移动端 APP\小程序管理功能模块，支持运维管理，支持查看运维工单，支持待处理、处理中、已完成工单状态查询；</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28.具备数据大屏展示功能，具备基本数数据、运行数据、运维数据等数据展示;支持根据不同的业务场景和管理需求，灵活配置和展示数据大屏，实现多场景数据展示大屏的一键切换。支持个性化数据大屏定制。</w:t>
            </w:r>
            <w:r>
              <w:rPr>
                <w:rFonts w:hint="eastAsia" w:ascii="宋体" w:hAnsi="宋体" w:eastAsia="宋体" w:cs="宋体"/>
                <w:sz w:val="24"/>
                <w:szCs w:val="24"/>
              </w:rPr>
            </w:r>
            <w:r/>
          </w:p>
        </w:tc>
      </w:tr>
      <w:tr>
        <w:trPr>
          <w:trHeight w:val="975"/>
        </w:trPr>
        <w:tc>
          <w:tcPr>
            <w:tcW w:w="722" w:type="dxa"/>
            <w:vAlign w:val="center"/>
            <w:textDirection w:val="lrTb"/>
            <w:noWrap w:val="false"/>
          </w:tcPr>
          <w:p>
            <w:pPr>
              <w:pStyle w:val="924"/>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1388" w:type="dxa"/>
            <w:vAlign w:val="center"/>
            <w:vMerge w:val="restart"/>
            <w:textDirection w:val="lrTb"/>
            <w:noWrap w:val="false"/>
          </w:tcPr>
          <w:p>
            <w:pPr>
              <w:pStyle w:val="924"/>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服务要求</w:t>
            </w:r>
            <w:r>
              <w:rPr>
                <w:rFonts w:ascii="宋体" w:hAnsi="宋体" w:eastAsia="宋体" w:cs="宋体"/>
                <w:sz w:val="24"/>
                <w:szCs w:val="24"/>
                <w:lang w:val="en-US" w:eastAsia="zh-CN"/>
              </w:rPr>
            </w:r>
            <w:r/>
          </w:p>
        </w:tc>
        <w:tc>
          <w:tcPr>
            <w:tcW w:w="1425" w:type="dxa"/>
            <w:vAlign w:val="center"/>
            <w:textDirection w:val="lrTb"/>
            <w:noWrap w:val="false"/>
          </w:tcPr>
          <w:p>
            <w:pPr>
              <w:pStyle w:val="924"/>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val="en-US" w:eastAsia="zh-CN"/>
              </w:rPr>
              <w:t xml:space="preserve">承诺</w:t>
            </w:r>
            <w:r>
              <w:rPr>
                <w:rFonts w:hint="eastAsia" w:ascii="宋体" w:hAnsi="宋体" w:eastAsia="宋体" w:cs="宋体"/>
                <w:sz w:val="24"/>
                <w:szCs w:val="24"/>
                <w:lang w:val="en-US" w:eastAsia="zh-CN"/>
              </w:rPr>
            </w:r>
            <w:r>
              <w:rPr>
                <w:rFonts w:ascii="宋体" w:hAnsi="宋体" w:eastAsia="宋体" w:cs="宋体"/>
                <w:sz w:val="24"/>
                <w:szCs w:val="24"/>
                <w:lang w:val="en-US" w:eastAsia="zh-CN"/>
              </w:rPr>
            </w:r>
            <w:r/>
          </w:p>
        </w:tc>
        <w:tc>
          <w:tcPr>
            <w:tcW w:w="5730" w:type="dxa"/>
            <w:vAlign w:val="center"/>
            <w:textDirection w:val="lrTb"/>
            <w:noWrap w:val="false"/>
          </w:tcPr>
          <w:p>
            <w:pPr>
              <w:pStyle w:val="924"/>
              <w:jc w:val="left"/>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提供的服务器质保服务需包含主机及GPU卡，当涉及GPU返修时，需对故障GPU提供上门取件服务，并提供返厂维修服务。提供服务承诺并加盖公章。</w:t>
            </w:r>
            <w:r>
              <w:rPr>
                <w:rFonts w:hint="eastAsia" w:ascii="宋体" w:hAnsi="宋体" w:eastAsia="宋体" w:cs="宋体"/>
                <w:sz w:val="24"/>
                <w:szCs w:val="24"/>
                <w:lang w:val="en-US" w:eastAsia="zh-CN"/>
              </w:rPr>
            </w:r>
            <w:r/>
          </w:p>
        </w:tc>
      </w:tr>
      <w:tr>
        <w:trPr>
          <w:trHeight w:val="975"/>
        </w:trPr>
        <w:tc>
          <w:tcPr>
            <w:tcW w:w="722" w:type="dxa"/>
            <w:vAlign w:val="center"/>
            <w:textDirection w:val="lrTb"/>
            <w:noWrap w:val="false"/>
          </w:tcPr>
          <w:p>
            <w:pPr>
              <w:pStyle w:val="924"/>
              <w:jc w:val="center"/>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1388" w:type="dxa"/>
            <w:vAlign w:val="center"/>
            <w:vMerge w:val="continue"/>
            <w:textDirection w:val="lrTb"/>
            <w:noWrap w:val="false"/>
          </w:tcPr>
          <w:p>
            <w:pPr>
              <w:pStyle w:val="924"/>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425" w:type="dxa"/>
            <w:vAlign w:val="center"/>
            <w:textDirection w:val="lrTb"/>
            <w:noWrap w:val="false"/>
          </w:tcPr>
          <w:p>
            <w:pPr>
              <w:pStyle w:val="924"/>
              <w:jc w:val="center"/>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lang w:val="en-US" w:eastAsia="zh-CN"/>
              </w:rPr>
              <w:t xml:space="preserve">质保承诺</w:t>
            </w:r>
            <w:r>
              <w:rPr>
                <w:rFonts w:hint="eastAsia" w:ascii="宋体" w:hAnsi="宋体" w:eastAsia="宋体" w:cs="宋体"/>
                <w:sz w:val="24"/>
                <w:szCs w:val="24"/>
                <w:lang w:val="en-US" w:eastAsia="zh-CN"/>
              </w:rPr>
            </w:r>
            <w:r/>
          </w:p>
          <w:p>
            <w:pPr>
              <w:jc w:val="left"/>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tc>
        <w:tc>
          <w:tcPr>
            <w:tcW w:w="5730" w:type="dxa"/>
            <w:vAlign w:val="center"/>
            <w:textDirection w:val="lrTb"/>
            <w:noWrap w:val="false"/>
          </w:tcPr>
          <w:p>
            <w:pPr>
              <w:pStyle w:val="924"/>
              <w:jc w:val="left"/>
              <w:keepLines w:val="0"/>
              <w:keepNext w:val="0"/>
              <w:widowControl/>
              <w:rPr>
                <w:rFonts w:ascii="宋体" w:hAnsi="宋体" w:eastAsia="宋体" w:cs="宋体"/>
                <w:sz w:val="24"/>
                <w:szCs w:val="24"/>
                <w:lang w:val="en-US"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质保时间通过S/N号码售后可查，质保时间自验收合格后开始计算，</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lang w:val="en-US" w:eastAsia="zh-CN"/>
              </w:rPr>
              <w:t xml:space="preserve">质保</w:t>
            </w:r>
            <w:r>
              <w:rPr>
                <w:rFonts w:hint="eastAsia" w:ascii="宋体" w:hAnsi="宋体" w:eastAsia="宋体" w:cs="宋体"/>
                <w:sz w:val="24"/>
                <w:szCs w:val="24"/>
                <w:lang w:val="en-US" w:eastAsia="zh-CN"/>
              </w:rPr>
              <w:t xml:space="preserve">承诺</w:t>
            </w:r>
            <w:r>
              <w:rPr>
                <w:rFonts w:hint="eastAsia" w:ascii="宋体" w:hAnsi="宋体" w:eastAsia="宋体" w:cs="宋体"/>
                <w:sz w:val="24"/>
                <w:szCs w:val="24"/>
                <w:lang w:val="en-US" w:eastAsia="zh-CN"/>
              </w:rPr>
              <w:t xml:space="preserve">并加盖公章。</w:t>
            </w:r>
            <w:r>
              <w:rPr>
                <w:rFonts w:ascii="宋体" w:hAnsi="宋体" w:eastAsia="宋体" w:cs="宋体"/>
                <w:sz w:val="24"/>
                <w:szCs w:val="24"/>
                <w:lang w:val="en-US" w:eastAsia="zh-CN"/>
              </w:rPr>
            </w:r>
            <w:r/>
          </w:p>
        </w:tc>
      </w:tr>
    </w:tbl>
    <w:p>
      <w:pPr>
        <w:pStyle w:val="924"/>
        <w:numPr>
          <w:ilvl w:val="0"/>
          <w:numId w:val="0"/>
        </w:numPr>
        <w:jc w:val="left"/>
        <w:spacing w:line="360" w:lineRule="auto"/>
        <w:widowControl w:val="off"/>
        <w:rPr>
          <w:lang w:val="en-US" w:eastAsia="zh-CN"/>
        </w:rPr>
      </w:pPr>
      <w:r>
        <w:rPr>
          <w:lang w:val="en-US" w:eastAsia="zh-CN"/>
        </w:rPr>
      </w:r>
      <w:r/>
    </w:p>
    <w:p>
      <w:pPr>
        <w:pStyle w:val="924"/>
        <w:numPr>
          <w:ilvl w:val="0"/>
          <w:numId w:val="9"/>
        </w:numPr>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商务要求：</w:t>
      </w:r>
      <w:r>
        <w:rPr>
          <w:rFonts w:hint="eastAsia" w:ascii="黑体" w:hAnsi="黑体" w:eastAsia="黑体" w:cs="Arial"/>
          <w:b w:val="0"/>
          <w:bCs w:val="0"/>
          <w:sz w:val="28"/>
          <w:szCs w:val="28"/>
          <w:lang w:val="en-US" w:eastAsia="zh-CN"/>
        </w:rPr>
      </w:r>
      <w:r/>
    </w:p>
    <w:p>
      <w:pPr>
        <w:pStyle w:val="1038"/>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1.质保要求</w:t>
      </w:r>
      <w:r>
        <w:rPr>
          <w:rFonts w:hint="eastAsia" w:ascii="仿宋" w:hAnsi="仿宋" w:eastAsia="仿宋" w:cs="仿宋"/>
          <w:color w:val="000000"/>
          <w:sz w:val="28"/>
          <w:szCs w:val="28"/>
          <w:lang w:val="en-US" w:eastAsia="zh-CN" w:bidi="ar-SA"/>
        </w:rPr>
      </w:r>
      <w:r/>
    </w:p>
    <w:p>
      <w:pPr>
        <w:pStyle w:val="1038"/>
        <w:numPr>
          <w:ilvl w:val="0"/>
          <w:numId w:val="0"/>
        </w:numPr>
        <w:ind w:firstLine="420"/>
        <w:jc w:val="left"/>
        <w:spacing w:line="336" w:lineRule="auto"/>
        <w:tabs>
          <w:tab w:val="clear" w:pos="420" w:leader="none"/>
        </w:tabs>
        <w:rPr>
          <w:rFonts w:hint="eastAsia" w:ascii="仿宋" w:hAnsi="仿宋" w:eastAsia="仿宋" w:cs="仿宋"/>
          <w:i/>
          <w:iCs/>
          <w:color w:val="000000"/>
          <w:sz w:val="28"/>
          <w:szCs w:val="28"/>
          <w:u w:val="single"/>
          <w:lang w:val="en-US" w:eastAsia="zh-CN" w:bidi="ar-SA"/>
        </w:rPr>
      </w:pPr>
      <w:r>
        <w:rPr>
          <w:rFonts w:hint="eastAsia" w:ascii="仿宋" w:hAnsi="仿宋" w:eastAsia="仿宋" w:cs="仿宋"/>
          <w:i w:val="0"/>
          <w:iCs w:val="0"/>
          <w:color w:val="000000"/>
          <w:sz w:val="28"/>
          <w:szCs w:val="28"/>
          <w:u w:val="single"/>
          <w:lang w:val="en-US" w:eastAsia="zh-CN" w:bidi="ar-SA"/>
        </w:rPr>
        <w:t xml:space="preserve">（1）</w:t>
      </w:r>
      <w:r>
        <w:rPr>
          <w:rFonts w:hint="eastAsia" w:ascii="仿宋" w:hAnsi="仿宋" w:eastAsia="仿宋" w:cs="仿宋"/>
          <w:i/>
          <w:iCs/>
          <w:color w:val="000000"/>
          <w:sz w:val="28"/>
          <w:szCs w:val="28"/>
          <w:u w:val="single"/>
          <w:lang w:val="en-US" w:eastAsia="zh-CN" w:bidi="ar-SA"/>
        </w:rPr>
        <w:t xml:space="preserve">自项目验收合格起，投标人需提供所报货物三年的质保服务，质保服务和驻场服务报价包含在投标总报价内。</w:t>
      </w:r>
      <w:r>
        <w:rPr>
          <w:rFonts w:hint="eastAsia" w:ascii="仿宋" w:hAnsi="仿宋" w:eastAsia="仿宋" w:cs="仿宋"/>
          <w:i/>
          <w:iCs/>
          <w:color w:val="000000"/>
          <w:sz w:val="28"/>
          <w:szCs w:val="28"/>
          <w:u w:val="single"/>
          <w:lang w:val="en-US" w:eastAsia="zh-CN" w:bidi="ar-SA"/>
        </w:rPr>
      </w:r>
      <w:r/>
    </w:p>
    <w:p>
      <w:pPr>
        <w:pStyle w:val="1038"/>
        <w:numPr>
          <w:ilvl w:val="0"/>
          <w:numId w:val="0"/>
        </w:numPr>
        <w:ind w:firstLine="420"/>
        <w:jc w:val="left"/>
        <w:spacing w:line="336" w:lineRule="auto"/>
        <w:tabs>
          <w:tab w:val="clear" w:pos="420" w:leader="none"/>
        </w:tabs>
        <w:rPr>
          <w:rFonts w:ascii="仿宋" w:hAnsi="仿宋" w:eastAsia="仿宋" w:cs="仿宋"/>
          <w:i/>
          <w:iCs/>
          <w:color w:val="000000"/>
          <w:sz w:val="28"/>
          <w:szCs w:val="28"/>
          <w:u w:val="single"/>
          <w:lang w:val="en-US" w:eastAsia="zh-CN" w:bidi="ar-SA"/>
        </w:rPr>
      </w:pPr>
      <w:r>
        <w:rPr>
          <w:rFonts w:hint="eastAsia" w:ascii="仿宋" w:hAnsi="仿宋" w:eastAsia="仿宋" w:cs="仿宋"/>
          <w:i w:val="0"/>
          <w:iCs w:val="0"/>
          <w:color w:val="000000"/>
          <w:sz w:val="28"/>
          <w:szCs w:val="28"/>
          <w:u w:val="none"/>
          <w:lang w:val="en-US" w:eastAsia="zh-CN" w:bidi="ar-SA"/>
        </w:rPr>
        <w:t xml:space="preserve">（2）在满足本项目三年质保要求的基础上，可增加质保年限，最多不超过2年(费用包含在投标总价中)。</w:t>
      </w:r>
      <w:r>
        <w:rPr>
          <w:rFonts w:ascii="仿宋" w:hAnsi="仿宋" w:eastAsia="仿宋" w:cs="仿宋"/>
          <w:i/>
          <w:iCs/>
          <w:color w:val="000000"/>
          <w:sz w:val="28"/>
          <w:szCs w:val="28"/>
          <w:u w:val="single"/>
          <w:lang w:val="en-US" w:eastAsia="zh-CN" w:bidi="ar-SA"/>
        </w:rPr>
      </w:r>
      <w:r/>
    </w:p>
    <w:p>
      <w:pPr>
        <w:pStyle w:val="1038"/>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2.驻场服务</w:t>
      </w:r>
      <w:r>
        <w:rPr>
          <w:rFonts w:hint="eastAsia" w:ascii="仿宋" w:hAnsi="仿宋" w:eastAsia="仿宋" w:cs="仿宋"/>
          <w:color w:val="000000"/>
          <w:sz w:val="28"/>
          <w:szCs w:val="28"/>
          <w:lang w:val="en-US" w:eastAsia="zh-CN" w:bidi="ar-SA"/>
        </w:rPr>
      </w:r>
      <w:r/>
    </w:p>
    <w:p>
      <w:pPr>
        <w:pStyle w:val="1038"/>
        <w:numPr>
          <w:ilvl w:val="0"/>
          <w:numId w:val="0"/>
        </w:numPr>
        <w:ind w:firstLine="420"/>
        <w:jc w:val="left"/>
        <w:spacing w:line="336" w:lineRule="auto"/>
        <w:tabs>
          <w:tab w:val="clear" w:pos="420" w:leader="none"/>
        </w:tabs>
        <w:rPr>
          <w:rFonts w:hint="eastAsia" w:ascii="仿宋" w:hAnsi="仿宋" w:eastAsia="仿宋" w:cs="仿宋"/>
          <w:i/>
          <w:iCs/>
          <w:color w:val="000000"/>
          <w:sz w:val="28"/>
          <w:szCs w:val="28"/>
          <w:u w:val="single"/>
          <w:lang w:val="en-US" w:eastAsia="zh-CN" w:bidi="ar-SA"/>
        </w:rPr>
      </w:pPr>
      <w:r>
        <w:rPr>
          <w:rFonts w:hint="eastAsia" w:ascii="仿宋" w:hAnsi="仿宋" w:eastAsia="仿宋" w:cs="仿宋"/>
          <w:i/>
          <w:iCs/>
          <w:color w:val="000000"/>
          <w:sz w:val="28"/>
          <w:szCs w:val="28"/>
          <w:u w:val="single"/>
          <w:lang w:val="en-US" w:eastAsia="zh-CN" w:bidi="ar-SA"/>
        </w:rPr>
        <w:t xml:space="preserve">（1）自项目验收合格起，投标人需提供三年的驻场服务，服务期间需至少有1名专业的运维工程师常驻于需方指定校区，每天驻场时间为8：30-17：30，负责系统的日常使用支持、问题排查、数据维护及现场巡检。（(费用包含在投标总价中)）</w:t>
      </w:r>
      <w:r>
        <w:rPr>
          <w:rFonts w:hint="eastAsia" w:ascii="仿宋" w:hAnsi="仿宋" w:eastAsia="仿宋" w:cs="仿宋"/>
          <w:i/>
          <w:iCs/>
          <w:color w:val="000000"/>
          <w:sz w:val="28"/>
          <w:szCs w:val="28"/>
          <w:u w:val="single"/>
          <w:lang w:val="en-US" w:eastAsia="zh-CN" w:bidi="ar-SA"/>
        </w:rPr>
      </w:r>
      <w:r/>
    </w:p>
    <w:p>
      <w:pPr>
        <w:pStyle w:val="1038"/>
        <w:numPr>
          <w:ilvl w:val="0"/>
          <w:numId w:val="0"/>
        </w:numPr>
        <w:ind w:firstLine="420"/>
        <w:jc w:val="left"/>
        <w:spacing w:line="336" w:lineRule="auto"/>
        <w:tabs>
          <w:tab w:val="clear" w:pos="420" w:leader="none"/>
        </w:tabs>
        <w:rPr>
          <w:rFonts w:hint="eastAsia" w:ascii="仿宋" w:hAnsi="仿宋" w:eastAsia="仿宋" w:cs="仿宋"/>
          <w:i/>
          <w:iCs/>
          <w:color w:val="000000"/>
          <w:sz w:val="28"/>
          <w:szCs w:val="28"/>
          <w:u w:val="single"/>
          <w:lang w:val="en-US" w:eastAsia="zh-CN" w:bidi="ar-SA"/>
        </w:rPr>
      </w:pPr>
      <w:r>
        <w:rPr>
          <w:rFonts w:hint="eastAsia" w:ascii="仿宋" w:hAnsi="仿宋" w:eastAsia="仿宋" w:cs="仿宋"/>
          <w:i w:val="0"/>
          <w:iCs w:val="0"/>
          <w:color w:val="000000"/>
          <w:sz w:val="28"/>
          <w:szCs w:val="28"/>
          <w:u w:val="none"/>
          <w:lang w:val="en-US" w:eastAsia="zh-CN" w:bidi="ar-SA"/>
        </w:rPr>
        <w:t xml:space="preserve">（2）在满足本项目三年驻场服务要求的基础上，可增加驻场服务年限，最多不超过2年(费用包含在投标总价中)。</w:t>
      </w:r>
      <w:r>
        <w:rPr>
          <w:rFonts w:hint="eastAsia" w:ascii="仿宋" w:hAnsi="仿宋" w:eastAsia="仿宋" w:cs="仿宋"/>
          <w:i/>
          <w:iCs/>
          <w:color w:val="000000"/>
          <w:sz w:val="28"/>
          <w:szCs w:val="28"/>
          <w:u w:val="single"/>
          <w:lang w:val="en-US" w:eastAsia="zh-CN" w:bidi="ar-SA"/>
        </w:rPr>
      </w:r>
      <w:r/>
    </w:p>
    <w:p>
      <w:pPr>
        <w:pStyle w:val="1038"/>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3.服务响应：驻场工程师不得擅自离岗，接到报修后30分钟内到达现场处理，对于未能解决的问题和故障应提供可行的升级方案，并提供周转设备。</w:t>
      </w:r>
      <w:r>
        <w:rPr>
          <w:rFonts w:hint="eastAsia" w:ascii="仿宋" w:hAnsi="仿宋" w:eastAsia="仿宋" w:cs="仿宋"/>
          <w:color w:val="000000"/>
          <w:sz w:val="28"/>
          <w:szCs w:val="28"/>
          <w:lang w:val="en-US" w:eastAsia="zh-CN" w:bidi="ar-SA"/>
        </w:rPr>
      </w:r>
      <w:r/>
    </w:p>
    <w:p>
      <w:pPr>
        <w:pStyle w:val="1038"/>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4.培训服务：供应商提供培训材料、产品手册、培训视频等培训相关内容。</w:t>
      </w:r>
      <w:r>
        <w:rPr>
          <w:rFonts w:hint="eastAsia" w:ascii="仿宋" w:hAnsi="仿宋" w:eastAsia="仿宋" w:cs="仿宋"/>
          <w:color w:val="000000"/>
          <w:sz w:val="28"/>
          <w:szCs w:val="28"/>
          <w:lang w:val="en-US" w:eastAsia="zh-CN" w:bidi="ar-SA"/>
        </w:rPr>
      </w:r>
      <w:r/>
    </w:p>
    <w:p>
      <w:pPr>
        <w:pStyle w:val="924"/>
        <w:numPr>
          <w:ilvl w:val="0"/>
          <w:numId w:val="0"/>
        </w:numPr>
        <w:ind w:firstLine="560"/>
        <w:jc w:val="left"/>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5.增值服务：提供原厂级的部件/软件产品升级和扩容能力。</w:t>
      </w:r>
      <w:r>
        <w:rPr>
          <w:rFonts w:hint="eastAsia" w:ascii="仿宋" w:hAnsi="仿宋" w:eastAsia="仿宋" w:cs="仿宋"/>
          <w:color w:val="000000"/>
          <w:sz w:val="28"/>
          <w:szCs w:val="28"/>
          <w:lang w:val="en-US" w:eastAsia="zh-CN" w:bidi="ar-SA"/>
        </w:rPr>
      </w:r>
      <w:r/>
    </w:p>
    <w:p>
      <w:pPr>
        <w:pStyle w:val="924"/>
        <w:numPr>
          <w:ilvl w:val="0"/>
          <w:numId w:val="9"/>
        </w:numPr>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供货期：</w:t>
      </w:r>
      <w:r>
        <w:rPr>
          <w:rFonts w:hint="eastAsia" w:ascii="黑体" w:hAnsi="黑体" w:eastAsia="黑体" w:cs="Arial"/>
          <w:b w:val="0"/>
          <w:bCs w:val="0"/>
          <w:sz w:val="28"/>
          <w:szCs w:val="28"/>
          <w:lang w:val="en-US" w:eastAsia="zh-CN"/>
        </w:rPr>
      </w:r>
      <w:r/>
    </w:p>
    <w:p>
      <w:pPr>
        <w:pStyle w:val="1038"/>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自签订合同之日起15个工作日。</w:t>
      </w:r>
      <w:r>
        <w:rPr>
          <w:rFonts w:hint="eastAsia" w:ascii="仿宋" w:hAnsi="仿宋" w:eastAsia="仿宋" w:cs="仿宋"/>
          <w:color w:val="000000"/>
          <w:sz w:val="28"/>
          <w:szCs w:val="28"/>
          <w:lang w:val="en-US" w:eastAsia="zh-CN" w:bidi="ar-SA"/>
        </w:rPr>
      </w:r>
      <w:r/>
    </w:p>
    <w:p>
      <w:pPr>
        <w:pStyle w:val="924"/>
        <w:numPr>
          <w:ilvl w:val="0"/>
          <w:numId w:val="9"/>
        </w:numPr>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方案要求</w:t>
      </w:r>
      <w:r>
        <w:rPr>
          <w:rFonts w:hint="eastAsia" w:ascii="黑体" w:hAnsi="黑体" w:eastAsia="黑体" w:cs="Arial"/>
          <w:b w:val="0"/>
          <w:bCs w:val="0"/>
          <w:sz w:val="28"/>
          <w:szCs w:val="28"/>
          <w:lang w:val="en-US" w:eastAsia="zh-CN"/>
        </w:rPr>
      </w:r>
      <w:r/>
    </w:p>
    <w:p>
      <w:pPr>
        <w:pStyle w:val="924"/>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所投设备交付</w:t>
      </w:r>
      <w:r>
        <w:rPr>
          <w:rFonts w:hint="eastAsia" w:ascii="仿宋" w:hAnsi="仿宋" w:eastAsia="仿宋" w:cs="仿宋"/>
          <w:b/>
          <w:bCs/>
          <w:color w:val="000000"/>
          <w:sz w:val="28"/>
          <w:szCs w:val="28"/>
          <w:lang w:val="en-US" w:eastAsia="zh-CN"/>
        </w:rPr>
        <w:t xml:space="preserve">项目</w:t>
      </w:r>
      <w:r>
        <w:rPr>
          <w:rFonts w:hint="eastAsia" w:ascii="仿宋" w:hAnsi="仿宋" w:eastAsia="仿宋" w:cs="仿宋"/>
          <w:b/>
          <w:bCs/>
          <w:color w:val="000000"/>
          <w:sz w:val="28"/>
          <w:szCs w:val="28"/>
          <w:lang w:val="en-US" w:eastAsia="zh-CN"/>
        </w:rPr>
        <w:t xml:space="preserve">实施方案</w:t>
      </w:r>
      <w:r>
        <w:rPr>
          <w:rFonts w:hint="eastAsia" w:ascii="仿宋" w:hAnsi="仿宋" w:eastAsia="仿宋" w:cs="仿宋"/>
          <w:color w:val="000000"/>
          <w:sz w:val="28"/>
          <w:szCs w:val="28"/>
          <w:lang w:val="en-US" w:eastAsia="zh-CN"/>
        </w:rPr>
        <w:t xml:space="preserve">。投标供应商须提供集成实施的（1）质量目标、（2）</w:t>
      </w:r>
      <w:r>
        <w:rPr>
          <w:rFonts w:hint="eastAsia" w:ascii="仿宋" w:hAnsi="仿宋" w:eastAsia="仿宋" w:cs="仿宋"/>
          <w:b/>
          <w:bCs/>
          <w:color w:val="000000"/>
          <w:sz w:val="28"/>
          <w:szCs w:val="28"/>
          <w:lang w:val="en-US" w:eastAsia="zh-CN"/>
        </w:rPr>
        <w:t xml:space="preserve">质量保证体系、</w:t>
      </w:r>
      <w:r>
        <w:rPr>
          <w:rFonts w:hint="eastAsia" w:ascii="仿宋" w:hAnsi="仿宋" w:eastAsia="仿宋" w:cs="仿宋"/>
          <w:color w:val="000000"/>
          <w:sz w:val="28"/>
          <w:szCs w:val="28"/>
          <w:lang w:val="en-US" w:eastAsia="zh-CN"/>
        </w:rPr>
        <w:t xml:space="preserve">（3）质量管理职责分配、（4）</w:t>
      </w:r>
      <w:r>
        <w:rPr>
          <w:rFonts w:hint="eastAsia" w:ascii="仿宋" w:hAnsi="仿宋" w:eastAsia="仿宋" w:cs="仿宋"/>
          <w:b/>
          <w:bCs/>
          <w:color w:val="000000"/>
          <w:sz w:val="28"/>
          <w:szCs w:val="28"/>
          <w:lang w:val="en-US" w:eastAsia="zh-CN"/>
        </w:rPr>
        <w:t xml:space="preserve">质量保证措施</w:t>
      </w:r>
      <w:r>
        <w:rPr>
          <w:rFonts w:hint="eastAsia" w:ascii="仿宋" w:hAnsi="仿宋" w:eastAsia="仿宋" w:cs="仿宋"/>
          <w:b w:val="0"/>
          <w:bCs w:val="0"/>
          <w:color w:val="000000"/>
          <w:sz w:val="28"/>
          <w:szCs w:val="28"/>
          <w:lang w:val="en-US" w:eastAsia="zh-CN"/>
        </w:rPr>
        <w:t xml:space="preserve">方案。</w:t>
      </w:r>
      <w:r>
        <w:rPr>
          <w:rFonts w:hint="eastAsia" w:ascii="仿宋" w:hAnsi="仿宋" w:eastAsia="仿宋" w:cs="仿宋"/>
          <w:color w:val="000000"/>
          <w:sz w:val="28"/>
          <w:szCs w:val="28"/>
          <w:lang w:val="en-US" w:eastAsia="zh-CN"/>
        </w:rPr>
        <w:t xml:space="preserve">提供科学合理的项目组织方案，内容包括但不限于整体管理、范围管理、时间管理、建设团队管理及架构、风险管理、风险控制措施、项目质量控制、项目进度安排等内容，保证系统建设质量和按期进行系统试运行。</w:t>
      </w:r>
      <w:r>
        <w:rPr>
          <w:rFonts w:hint="eastAsia" w:ascii="仿宋" w:hAnsi="仿宋" w:eastAsia="仿宋" w:cs="仿宋"/>
          <w:color w:val="000000"/>
          <w:sz w:val="28"/>
          <w:szCs w:val="28"/>
          <w:lang w:val="en-US" w:eastAsia="zh-CN"/>
        </w:rPr>
      </w:r>
      <w:r/>
    </w:p>
    <w:p>
      <w:pPr>
        <w:pStyle w:val="924"/>
        <w:numPr>
          <w:ilvl w:val="0"/>
          <w:numId w:val="10"/>
        </w:numPr>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t xml:space="preserve">所投设备</w:t>
      </w:r>
      <w:r>
        <w:rPr>
          <w:rFonts w:hint="eastAsia" w:ascii="仿宋" w:hAnsi="仿宋" w:eastAsia="仿宋" w:cs="仿宋"/>
          <w:b/>
          <w:bCs/>
          <w:color w:val="000000"/>
          <w:sz w:val="28"/>
          <w:szCs w:val="28"/>
          <w:lang w:val="en-US" w:eastAsia="zh-CN"/>
        </w:rPr>
        <w:t xml:space="preserve">安全管控方案</w:t>
      </w:r>
      <w:r>
        <w:rPr>
          <w:rFonts w:hint="eastAsia" w:ascii="仿宋" w:hAnsi="仿宋" w:eastAsia="仿宋" w:cs="仿宋"/>
          <w:color w:val="000000"/>
          <w:sz w:val="28"/>
          <w:szCs w:val="28"/>
          <w:lang w:val="en-US" w:eastAsia="zh-CN"/>
        </w:rPr>
        <w:t xml:space="preserve">。投标供应商须对项目实施过程构建有效（1）</w:t>
      </w:r>
      <w:r>
        <w:rPr>
          <w:rFonts w:hint="eastAsia" w:ascii="仿宋" w:hAnsi="仿宋" w:eastAsia="仿宋" w:cs="仿宋"/>
          <w:b/>
          <w:bCs/>
          <w:color w:val="000000"/>
          <w:sz w:val="28"/>
          <w:szCs w:val="28"/>
          <w:lang w:val="en-US" w:eastAsia="zh-CN"/>
        </w:rPr>
        <w:t xml:space="preserve">安全管理体系</w:t>
      </w:r>
      <w:r>
        <w:rPr>
          <w:rFonts w:hint="eastAsia" w:ascii="仿宋" w:hAnsi="仿宋" w:eastAsia="仿宋" w:cs="仿宋"/>
          <w:color w:val="000000"/>
          <w:sz w:val="28"/>
          <w:szCs w:val="28"/>
          <w:lang w:val="en-US" w:eastAsia="zh-CN"/>
        </w:rPr>
        <w:t xml:space="preserve">，杜绝一般事故等级以上的伤亡事故且工伤责任事故死亡人数为零。成交供应商在项目实施过程中必须采取必要的（2）</w:t>
      </w:r>
      <w:r>
        <w:rPr>
          <w:rFonts w:hint="eastAsia" w:ascii="仿宋" w:hAnsi="仿宋" w:eastAsia="仿宋" w:cs="仿宋"/>
          <w:b/>
          <w:bCs/>
          <w:color w:val="000000"/>
          <w:sz w:val="28"/>
          <w:szCs w:val="28"/>
          <w:lang w:val="en-US" w:eastAsia="zh-CN"/>
        </w:rPr>
        <w:t xml:space="preserve">安全保障措施</w:t>
      </w:r>
      <w:r>
        <w:rPr>
          <w:rFonts w:hint="eastAsia" w:ascii="仿宋" w:hAnsi="仿宋" w:eastAsia="仿宋" w:cs="仿宋"/>
          <w:color w:val="000000"/>
          <w:sz w:val="28"/>
          <w:szCs w:val="28"/>
          <w:lang w:val="en-US" w:eastAsia="zh-CN"/>
        </w:rPr>
        <w:t xml:space="preserve">，应确保进入项目现场的人员及财物安全。（3）</w:t>
      </w:r>
      <w:r>
        <w:rPr>
          <w:rFonts w:hint="eastAsia" w:ascii="仿宋" w:hAnsi="仿宋" w:eastAsia="仿宋" w:cs="仿宋"/>
          <w:b/>
          <w:bCs/>
          <w:color w:val="000000"/>
          <w:sz w:val="28"/>
          <w:szCs w:val="28"/>
          <w:lang w:val="en-US" w:eastAsia="zh-CN"/>
        </w:rPr>
        <w:t xml:space="preserve">安全责任承担与事故处理机制，</w:t>
      </w:r>
      <w:r>
        <w:rPr>
          <w:rFonts w:hint="eastAsia" w:ascii="仿宋" w:hAnsi="仿宋" w:eastAsia="仿宋" w:cs="仿宋"/>
          <w:color w:val="000000"/>
          <w:sz w:val="28"/>
          <w:szCs w:val="28"/>
          <w:lang w:val="en-US" w:eastAsia="zh-CN"/>
        </w:rPr>
        <w:t xml:space="preserve">发生任何伤亡事故与采购人无关，由成交供应商承担全部责任</w:t>
      </w:r>
      <w:r>
        <w:rPr>
          <w:rFonts w:hint="eastAsia" w:ascii="仿宋" w:hAnsi="仿宋" w:eastAsia="仿宋" w:cs="仿宋"/>
          <w:color w:val="000000"/>
          <w:sz w:val="28"/>
          <w:szCs w:val="28"/>
          <w:lang w:val="en-US" w:eastAsia="zh-CN"/>
        </w:rPr>
      </w:r>
      <w:r/>
    </w:p>
    <w:p>
      <w:pPr>
        <w:pStyle w:val="924"/>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t xml:space="preserve">3、所投设备</w:t>
      </w:r>
      <w:r>
        <w:rPr>
          <w:rFonts w:hint="eastAsia" w:ascii="仿宋" w:hAnsi="仿宋" w:eastAsia="仿宋" w:cs="仿宋"/>
          <w:b/>
          <w:bCs/>
          <w:color w:val="000000"/>
          <w:sz w:val="28"/>
          <w:szCs w:val="28"/>
          <w:lang w:val="en-US" w:eastAsia="zh-CN"/>
        </w:rPr>
        <w:t xml:space="preserve">售后服务方案。</w:t>
      </w:r>
      <w:r>
        <w:rPr>
          <w:rFonts w:hint="eastAsia" w:ascii="仿宋" w:hAnsi="仿宋" w:eastAsia="仿宋" w:cs="仿宋"/>
          <w:color w:val="000000"/>
          <w:sz w:val="28"/>
          <w:szCs w:val="28"/>
          <w:lang w:val="en-US" w:eastAsia="zh-CN"/>
        </w:rPr>
        <w:t xml:space="preserve">投标供应商须提供售后保障、技术服务、故障处理、软件升级、运维支撑等工作流程及服务方案。（1）须为本项目全部软硬件设备、系统集成及配套辅材提供完整、长效、合规的售后服务。所有服务须符合国家、行业标准及本项目招标与合同约定，服务全程闭环、响应及时、保障到位，确保系统长期稳定、安全、有效运行。（2）</w:t>
      </w:r>
      <w:r>
        <w:rPr>
          <w:rFonts w:hint="eastAsia" w:ascii="仿宋" w:hAnsi="仿宋" w:eastAsia="仿宋" w:cs="仿宋"/>
          <w:b w:val="0"/>
          <w:bCs w:val="0"/>
          <w:color w:val="000000"/>
          <w:sz w:val="28"/>
          <w:szCs w:val="28"/>
        </w:rPr>
        <w:t xml:space="preserve">质保期内</w:t>
      </w:r>
      <w:r>
        <w:rPr>
          <w:rFonts w:hint="eastAsia" w:ascii="仿宋" w:hAnsi="仿宋" w:eastAsia="仿宋" w:cs="仿宋"/>
          <w:b/>
          <w:bCs/>
          <w:color w:val="000000"/>
          <w:sz w:val="28"/>
          <w:szCs w:val="28"/>
          <w:lang w:val="en-US" w:eastAsia="zh-CN"/>
        </w:rPr>
        <w:t xml:space="preserve">响应速度</w:t>
      </w:r>
      <w:r>
        <w:rPr>
          <w:rFonts w:hint="eastAsia" w:ascii="仿宋" w:hAnsi="仿宋" w:eastAsia="仿宋" w:cs="仿宋"/>
          <w:color w:val="000000"/>
          <w:sz w:val="28"/>
          <w:szCs w:val="28"/>
          <w:lang w:val="en-US" w:eastAsia="zh-CN"/>
        </w:rPr>
        <w:t xml:space="preserve">要求</w:t>
      </w:r>
      <w:r>
        <w:rPr>
          <w:rFonts w:hint="eastAsia" w:ascii="仿宋" w:hAnsi="仿宋" w:eastAsia="仿宋" w:cs="仿宋"/>
          <w:color w:val="000000"/>
          <w:sz w:val="28"/>
          <w:szCs w:val="28"/>
        </w:rPr>
        <w:t xml:space="preserve">驻场工程师应在接到报修电话10分钟内做出响应，30分钟（跨校区时为1小时）内赶到现场进行更换或免</w:t>
      </w:r>
      <w:r>
        <w:rPr>
          <w:rFonts w:hint="eastAsia" w:ascii="仿宋" w:hAnsi="仿宋" w:eastAsia="仿宋" w:cs="仿宋"/>
          <w:color w:val="000000"/>
          <w:sz w:val="28"/>
          <w:szCs w:val="28"/>
          <w:lang w:val="en-US" w:eastAsia="zh-CN"/>
        </w:rPr>
        <w:t xml:space="preserve">保内</w:t>
      </w:r>
      <w:r>
        <w:rPr>
          <w:rFonts w:hint="eastAsia" w:ascii="仿宋" w:hAnsi="仿宋" w:eastAsia="仿宋" w:cs="仿宋"/>
          <w:color w:val="000000"/>
          <w:sz w:val="28"/>
          <w:szCs w:val="28"/>
        </w:rPr>
        <w:t xml:space="preserve">修。为保证产品的正常运行，配置充足的专业工具和备品备件确保在最短时间内响应用户产品的及时之需</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b/>
          <w:bCs/>
          <w:color w:val="000000"/>
          <w:sz w:val="28"/>
          <w:szCs w:val="28"/>
        </w:rPr>
        <w:t xml:space="preserve">质保期后的服务</w:t>
      </w:r>
      <w:r>
        <w:rPr>
          <w:rFonts w:hint="eastAsia" w:ascii="仿宋" w:hAnsi="仿宋" w:eastAsia="仿宋" w:cs="仿宋"/>
          <w:color w:val="000000"/>
          <w:sz w:val="28"/>
          <w:szCs w:val="28"/>
        </w:rPr>
        <w:t xml:space="preserve">要求设立售后服务热线，以便采购单位随时咨询问题和提交维修申请。对于出现故障或损坏的设备，提供专业人员进行现场维修。质保期过后，无工程师上门费，维修仅收配件费用。如果需要特殊配件，为采购单位提供订购渠道和相关指导。质保期后提供终身维修服务，更换零配件只收取成本费。</w:t>
      </w:r>
      <w:r>
        <w:rPr>
          <w:rFonts w:hint="eastAsia" w:ascii="仿宋" w:hAnsi="仿宋" w:eastAsia="仿宋" w:cs="仿宋"/>
          <w:color w:val="000000"/>
          <w:sz w:val="28"/>
          <w:szCs w:val="28"/>
          <w:lang w:val="en-US" w:eastAsia="zh-CN"/>
        </w:rPr>
      </w:r>
      <w:r/>
    </w:p>
    <w:p>
      <w:pPr>
        <w:pStyle w:val="924"/>
        <w:numPr>
          <w:ilvl w:val="0"/>
          <w:numId w:val="0"/>
        </w:numPr>
        <w:ind w:firstLine="56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t xml:space="preserve">4、所投设备</w:t>
      </w:r>
      <w:r>
        <w:rPr>
          <w:rFonts w:hint="eastAsia" w:ascii="仿宋" w:hAnsi="仿宋" w:eastAsia="仿宋" w:cs="仿宋"/>
          <w:b/>
          <w:bCs/>
          <w:color w:val="000000"/>
          <w:sz w:val="28"/>
          <w:szCs w:val="28"/>
          <w:lang w:val="en-US" w:eastAsia="zh-CN"/>
        </w:rPr>
        <w:t xml:space="preserve">人员培训方案。</w:t>
      </w:r>
      <w:r>
        <w:rPr>
          <w:rFonts w:hint="eastAsia" w:ascii="仿宋" w:hAnsi="仿宋" w:eastAsia="仿宋" w:cs="仿宋"/>
          <w:color w:val="000000"/>
          <w:sz w:val="28"/>
          <w:szCs w:val="28"/>
          <w:lang w:val="en-US" w:eastAsia="zh-CN"/>
        </w:rPr>
        <w:t xml:space="preserve">投标供应商须针对本项目配套完善的人员培训服务。（1）需针对采购方操作人员、运维人员开展</w:t>
      </w:r>
      <w:r>
        <w:rPr>
          <w:rFonts w:hint="eastAsia" w:ascii="仿宋" w:hAnsi="仿宋" w:eastAsia="仿宋" w:cs="仿宋"/>
          <w:b/>
          <w:bCs/>
          <w:color w:val="000000"/>
          <w:sz w:val="28"/>
          <w:szCs w:val="28"/>
          <w:lang w:val="en-US" w:eastAsia="zh-CN"/>
        </w:rPr>
        <w:t xml:space="preserve">专项培训</w:t>
      </w:r>
      <w:r>
        <w:rPr>
          <w:rFonts w:hint="eastAsia" w:ascii="仿宋" w:hAnsi="仿宋" w:eastAsia="仿宋" w:cs="仿宋"/>
          <w:color w:val="000000"/>
          <w:sz w:val="28"/>
          <w:szCs w:val="28"/>
          <w:lang w:val="en-US" w:eastAsia="zh-CN"/>
        </w:rPr>
        <w:t xml:space="preserve">（2）</w:t>
      </w:r>
      <w:r>
        <w:rPr>
          <w:rFonts w:hint="eastAsia" w:ascii="仿宋" w:hAnsi="仿宋" w:eastAsia="仿宋" w:cs="仿宋"/>
          <w:b/>
          <w:bCs/>
          <w:color w:val="000000"/>
          <w:sz w:val="28"/>
          <w:szCs w:val="28"/>
          <w:lang w:val="en-US" w:eastAsia="zh-CN"/>
        </w:rPr>
        <w:t xml:space="preserve">培训内容</w:t>
      </w:r>
      <w:r>
        <w:rPr>
          <w:rFonts w:hint="eastAsia" w:ascii="仿宋" w:hAnsi="仿宋" w:eastAsia="仿宋" w:cs="仿宋"/>
          <w:color w:val="000000"/>
          <w:sz w:val="28"/>
          <w:szCs w:val="28"/>
          <w:lang w:val="en-US" w:eastAsia="zh-CN"/>
        </w:rPr>
        <w:t xml:space="preserve">涵盖设备操作、系统使用、日常运维、故障排查及基础应急处置等内容。培训需保证实操性、易懂性，确保相关人员熟练掌握全部技能，完成完整技术移交，保障项目后期平稳运维。（3）</w:t>
      </w:r>
      <w:r>
        <w:rPr>
          <w:rFonts w:hint="eastAsia" w:ascii="仿宋" w:hAnsi="仿宋" w:eastAsia="仿宋" w:cs="仿宋"/>
          <w:b/>
          <w:bCs/>
          <w:color w:val="000000"/>
          <w:sz w:val="28"/>
          <w:szCs w:val="28"/>
          <w:lang w:val="en-US" w:eastAsia="zh-CN"/>
        </w:rPr>
        <w:t xml:space="preserve">培训次数</w:t>
      </w:r>
      <w:r>
        <w:rPr>
          <w:rFonts w:hint="eastAsia" w:ascii="仿宋" w:hAnsi="仿宋" w:eastAsia="仿宋" w:cs="仿宋"/>
          <w:color w:val="000000"/>
          <w:sz w:val="28"/>
          <w:szCs w:val="28"/>
          <w:lang w:val="en-US" w:eastAsia="zh-CN"/>
        </w:rPr>
        <w:t xml:space="preserve">不低于2次/年（质保期内），培训老师需时专业培训人员，并安排1位技术工程师进行现场技术答疑。</w:t>
      </w:r>
      <w:r>
        <w:rPr>
          <w:rFonts w:hint="eastAsia" w:ascii="仿宋" w:hAnsi="仿宋" w:eastAsia="仿宋" w:cs="仿宋"/>
          <w:color w:val="000000"/>
          <w:sz w:val="28"/>
          <w:szCs w:val="28"/>
          <w:lang w:val="en-US" w:eastAsia="zh-CN"/>
        </w:rPr>
      </w:r>
      <w:r/>
    </w:p>
    <w:p>
      <w:pPr>
        <w:pStyle w:val="924"/>
        <w:numPr>
          <w:ilvl w:val="0"/>
          <w:numId w:val="0"/>
        </w:numPr>
        <w:jc w:val="left"/>
        <w:spacing w:line="440" w:lineRule="exact"/>
        <w:widowControl w:val="off"/>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r>
      <w:r/>
    </w:p>
    <w:p>
      <w:pPr>
        <w:pStyle w:val="924"/>
        <w:numPr>
          <w:ilvl w:val="0"/>
          <w:numId w:val="9"/>
        </w:numPr>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售后服务要求</w:t>
      </w:r>
      <w:r>
        <w:rPr>
          <w:rFonts w:hint="eastAsia" w:ascii="黑体" w:hAnsi="黑体" w:eastAsia="黑体" w:cs="Arial"/>
          <w:b w:val="0"/>
          <w:bCs w:val="0"/>
          <w:sz w:val="28"/>
          <w:szCs w:val="28"/>
          <w:lang w:val="en-US" w:eastAsia="zh-CN"/>
        </w:rPr>
      </w:r>
      <w:r/>
    </w:p>
    <w:p>
      <w:pPr>
        <w:pStyle w:val="924"/>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rPr>
        <w:t xml:space="preserve">（1）质保期内如出现严重质量问题，12小时内不能完成维修（更换），则在24小时内向采购人提供同样规格要求的替代品。</w:t>
      </w:r>
      <w:r>
        <w:rPr>
          <w:rFonts w:hint="eastAsia" w:ascii="仿宋" w:hAnsi="仿宋" w:eastAsia="仿宋" w:cs="仿宋"/>
          <w:color w:val="000000"/>
          <w:sz w:val="28"/>
          <w:szCs w:val="28"/>
        </w:rPr>
      </w:r>
      <w:r/>
    </w:p>
    <w:p>
      <w:pPr>
        <w:pStyle w:val="924"/>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rPr>
        <w:t xml:space="preserve">（2）驻场工程师，每半个月年至少对产品进行一次全面检查。</w:t>
      </w:r>
      <w:r>
        <w:rPr>
          <w:rFonts w:hint="eastAsia" w:ascii="仿宋" w:hAnsi="仿宋" w:eastAsia="仿宋" w:cs="仿宋"/>
          <w:color w:val="000000"/>
          <w:sz w:val="28"/>
          <w:szCs w:val="28"/>
        </w:rPr>
      </w:r>
      <w:r/>
    </w:p>
    <w:p>
      <w:pPr>
        <w:pStyle w:val="924"/>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rPr>
        <w:t xml:space="preserve">（4）所有更换的零件材料，品质纯正，保证均按原厂标准生产。对提供货物实行“三包”的说明：包修：产品出现质量问题的。包换：同一缺陷经两次修理未能达到质量标准的，更换后的产品质保期从更换之日起重新计算。包退：在质保期限内，同一缺陷经两次修理、调换后仍无法达到质量标准的。</w:t>
      </w:r>
      <w:r>
        <w:rPr>
          <w:rFonts w:hint="eastAsia" w:ascii="仿宋" w:hAnsi="仿宋" w:eastAsia="仿宋" w:cs="仿宋"/>
          <w:color w:val="000000"/>
          <w:sz w:val="28"/>
          <w:szCs w:val="28"/>
        </w:rPr>
      </w:r>
      <w:r/>
    </w:p>
    <w:p>
      <w:pPr>
        <w:pStyle w:val="924"/>
        <w:numPr>
          <w:ilvl w:val="0"/>
          <w:numId w:val="9"/>
        </w:numPr>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培训及服务保障措施要求</w:t>
      </w:r>
      <w:r>
        <w:rPr>
          <w:rFonts w:hint="eastAsia" w:ascii="黑体" w:hAnsi="黑体" w:eastAsia="黑体" w:cs="Arial"/>
          <w:b w:val="0"/>
          <w:bCs w:val="0"/>
          <w:sz w:val="28"/>
          <w:szCs w:val="28"/>
          <w:lang w:val="en-US" w:eastAsia="zh-CN"/>
        </w:rPr>
      </w:r>
      <w:r/>
    </w:p>
    <w:p>
      <w:pPr>
        <w:pStyle w:val="924"/>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专门成立售后服务小组，指定售后服务具体负责人。制定故障报修的响应时间和故障解决方案。</w:t>
      </w:r>
      <w:r>
        <w:rPr>
          <w:rFonts w:hint="eastAsia" w:ascii="仿宋" w:hAnsi="仿宋" w:eastAsia="仿宋" w:cs="仿宋"/>
          <w:color w:val="000000"/>
          <w:sz w:val="28"/>
          <w:szCs w:val="28"/>
        </w:rPr>
      </w:r>
      <w:r/>
    </w:p>
    <w:p>
      <w:pPr>
        <w:pStyle w:val="924"/>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定期对员工进行培训，不断提高员工服务水平。定期对采购人进行回访。对采购单位相关人员提供培训</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。中标人</w:t>
      </w:r>
      <w:r>
        <w:rPr>
          <w:rFonts w:hint="eastAsia" w:ascii="仿宋" w:hAnsi="仿宋" w:eastAsia="仿宋" w:cs="仿宋"/>
          <w:color w:val="000000"/>
          <w:sz w:val="28"/>
          <w:szCs w:val="28"/>
          <w:lang w:val="en-US" w:eastAsia="zh-CN"/>
        </w:rPr>
        <w:t xml:space="preserve">需</w:t>
      </w:r>
      <w:r>
        <w:rPr>
          <w:rFonts w:hint="eastAsia" w:ascii="仿宋" w:hAnsi="仿宋" w:eastAsia="仿宋" w:cs="仿宋"/>
          <w:color w:val="000000"/>
          <w:sz w:val="28"/>
          <w:szCs w:val="28"/>
        </w:rPr>
        <w:t xml:space="preserve">提供相关培训和产品的相关资料等，并配备相应的操作流程、注意事项及保养方法。</w:t>
      </w:r>
      <w:r>
        <w:rPr>
          <w:rFonts w:hint="eastAsia" w:ascii="仿宋" w:hAnsi="仿宋" w:eastAsia="仿宋" w:cs="仿宋"/>
          <w:color w:val="000000"/>
          <w:sz w:val="28"/>
          <w:szCs w:val="28"/>
        </w:rPr>
      </w:r>
      <w:r/>
    </w:p>
    <w:p>
      <w:pPr>
        <w:pStyle w:val="924"/>
        <w:numPr>
          <w:ilvl w:val="0"/>
          <w:numId w:val="0"/>
        </w:numP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24"/>
        <w:numPr>
          <w:ilvl w:val="0"/>
          <w:numId w:val="0"/>
        </w:numPr>
        <w:ind w:firstLine="560"/>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24"/>
        <w:numPr>
          <w:ilvl w:val="0"/>
          <w:numId w:val="9"/>
        </w:numPr>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业绩</w:t>
      </w:r>
      <w:r>
        <w:rPr>
          <w:rFonts w:hint="eastAsia" w:ascii="黑体" w:hAnsi="黑体" w:eastAsia="黑体" w:cs="Arial"/>
          <w:b w:val="0"/>
          <w:bCs w:val="0"/>
          <w:sz w:val="28"/>
          <w:szCs w:val="28"/>
          <w:lang w:val="en-US" w:eastAsia="zh-CN"/>
        </w:rPr>
      </w:r>
      <w:r/>
    </w:p>
    <w:p>
      <w:pPr>
        <w:pStyle w:val="924"/>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rPr>
        <w:t xml:space="preserve">投标文件中提供投标人为乙方，合同签订日期在2023年1月1日（含）之后，与</w:t>
      </w:r>
      <w:r>
        <w:rPr>
          <w:rFonts w:hint="eastAsia" w:ascii="仿宋" w:hAnsi="仿宋" w:eastAsia="仿宋" w:cs="仿宋"/>
          <w:color w:val="000000"/>
          <w:sz w:val="28"/>
          <w:szCs w:val="28"/>
          <w:lang w:val="en-US" w:eastAsia="zh-CN"/>
        </w:rPr>
        <w:t xml:space="preserve">算力设备或算力平台类似</w:t>
      </w:r>
      <w:r>
        <w:rPr>
          <w:rFonts w:hint="eastAsia" w:ascii="仿宋" w:hAnsi="仿宋" w:eastAsia="仿宋" w:cs="仿宋"/>
          <w:color w:val="000000"/>
          <w:sz w:val="28"/>
          <w:szCs w:val="28"/>
        </w:rPr>
        <w:t xml:space="preserve">的项目，每提供一份得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分，未提供的得0分。</w:t>
      </w:r>
      <w:r>
        <w:rPr>
          <w:rFonts w:hint="eastAsia" w:ascii="仿宋" w:hAnsi="仿宋" w:eastAsia="仿宋" w:cs="仿宋"/>
          <w:color w:val="000000"/>
          <w:sz w:val="28"/>
          <w:szCs w:val="28"/>
        </w:rPr>
      </w:r>
      <w:r/>
    </w:p>
    <w:p>
      <w:pPr>
        <w:pStyle w:val="924"/>
        <w:numPr>
          <w:ilvl w:val="0"/>
          <w:numId w:val="9"/>
        </w:numPr>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其他要求</w:t>
      </w:r>
      <w:r>
        <w:rPr>
          <w:rFonts w:hint="eastAsia" w:ascii="黑体" w:hAnsi="黑体" w:eastAsia="黑体" w:cs="Arial"/>
          <w:b w:val="0"/>
          <w:bCs w:val="0"/>
          <w:sz w:val="28"/>
          <w:szCs w:val="28"/>
          <w:lang w:val="en-US"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核心产品</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24"/>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tc>
      </w:tr>
    </w:tbl>
    <w:p>
      <w:pPr>
        <w:pStyle w:val="92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24"/>
        <w:pageBreakBefore w:val="0"/>
        <w:spacing w:line="400" w:lineRule="exact"/>
        <w:widowControl w:val="off"/>
        <w:rPr>
          <w:rFonts w:hint="eastAsia"/>
        </w:rPr>
      </w:pPr>
      <w:r/>
      <w:bookmarkStart w:id="183" w:name="_Toc120614281"/>
      <w:r>
        <w:rPr>
          <w:rFonts w:hint="eastAsia"/>
        </w:rPr>
      </w:r>
      <w:r/>
    </w:p>
    <w:p>
      <w:pPr>
        <w:pStyle w:val="924"/>
        <w:pageBreakBefore w:val="0"/>
        <w:spacing w:line="400" w:lineRule="exact"/>
        <w:widowControl w:val="off"/>
        <w:rPr>
          <w:rFonts w:hint="eastAsia"/>
        </w:rPr>
      </w:pPr>
      <w:r>
        <w:rPr>
          <w:rFonts w:hint="eastAsia"/>
        </w:rPr>
      </w:r>
      <w:r/>
    </w:p>
    <w:p>
      <w:pPr>
        <w:pStyle w:val="1038"/>
        <w:numPr>
          <w:ilvl w:val="0"/>
          <w:numId w:val="0"/>
        </w:numPr>
        <w:jc w:val="left"/>
        <w:spacing w:line="336" w:lineRule="auto"/>
        <w:tabs>
          <w:tab w:val="clear" w:pos="420" w:leader="none"/>
        </w:tabs>
        <w:rPr>
          <w:rFonts w:hint="eastAsia" w:ascii="黑体" w:hAnsi="黑体" w:eastAsia="黑体" w:cs="Arial"/>
          <w:b w:val="0"/>
          <w:bCs w:val="0"/>
          <w:sz w:val="28"/>
          <w:szCs w:val="28"/>
          <w:lang w:val="en-US" w:eastAsia="zh-CN" w:bidi="ar-SA"/>
        </w:rPr>
      </w:pPr>
      <w:r>
        <w:rPr>
          <w:rFonts w:hint="eastAsia" w:ascii="黑体" w:hAnsi="黑体" w:eastAsia="黑体" w:cs="Arial"/>
          <w:b w:val="0"/>
          <w:bCs w:val="0"/>
          <w:sz w:val="28"/>
          <w:szCs w:val="28"/>
          <w:lang w:val="en-US" w:eastAsia="zh-CN" w:bidi="ar-SA"/>
        </w:rPr>
        <w:t xml:space="preserve">十一、付款方式：</w:t>
      </w:r>
      <w:r>
        <w:rPr>
          <w:rFonts w:hint="eastAsia" w:ascii="黑体" w:hAnsi="黑体" w:eastAsia="黑体" w:cs="Arial"/>
          <w:b w:val="0"/>
          <w:bCs w:val="0"/>
          <w:sz w:val="28"/>
          <w:szCs w:val="28"/>
          <w:lang w:val="en-US" w:eastAsia="zh-CN" w:bidi="ar-SA"/>
        </w:rPr>
      </w:r>
      <w:r/>
    </w:p>
    <w:p>
      <w:pPr>
        <w:pStyle w:val="1038"/>
        <w:numPr>
          <w:ilvl w:val="0"/>
          <w:numId w:val="0"/>
        </w:numPr>
        <w:ind w:firstLine="560"/>
        <w:jc w:val="left"/>
        <w:spacing w:line="336" w:lineRule="auto"/>
        <w:tabs>
          <w:tab w:val="clear" w:pos="420" w:leader="none"/>
        </w:tabs>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产品验收合格后，中标方提供全额增值税专用发票发票联并持合同进行结算验收，支付合同款项的100％。</w:t>
      </w:r>
      <w:r>
        <w:rPr>
          <w:rFonts w:ascii="仿宋" w:hAnsi="仿宋" w:eastAsia="仿宋" w:cs="仿宋"/>
          <w:color w:val="000000"/>
          <w:sz w:val="28"/>
          <w:szCs w:val="28"/>
          <w:lang w:val="en-US" w:eastAsia="zh-CN" w:bidi="ar-S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4"/>
        <w:pageBreakBefore w:val="0"/>
        <w:spacing w:line="400" w:lineRule="exact"/>
        <w:widowControl w:val="off"/>
        <w:rPr>
          <w:rFonts w:hint="eastAsia"/>
        </w:rPr>
      </w:pPr>
      <w:r>
        <w:rPr>
          <w:rFonts w:hint="eastAsia"/>
        </w:rPr>
      </w:r>
      <w:r/>
    </w:p>
    <w:p>
      <w:pPr>
        <w:pStyle w:val="926"/>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rPr>
        <w:t xml:space="preserve">第五章  评标方法与评标标准</w:t>
      </w:r>
      <w:r>
        <w:rPr>
          <w:rFonts w:hint="eastAsia" w:ascii="黑体" w:hAnsi="黑体" w:eastAsia="黑体" w:cs="Arial"/>
          <w:b w:val="0"/>
          <w:bCs w:val="0"/>
          <w:sz w:val="28"/>
          <w:szCs w:val="28"/>
        </w:rPr>
      </w:r>
      <w:r/>
    </w:p>
    <w:p>
      <w:pPr>
        <w:pStyle w:val="924"/>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24"/>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24"/>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2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924"/>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24"/>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24"/>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24"/>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tbl>
      <w:tblPr>
        <w:tblW w:w="8989" w:type="dxa"/>
        <w:jc w:val="center"/>
        <w:tblInd w:w="-14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64"/>
        <w:gridCol w:w="6025"/>
      </w:tblGrid>
      <w:tr>
        <w:trPr/>
        <w:tc>
          <w:tcPr>
            <w:gridSpan w:val="2"/>
            <w:tcW w:w="8989" w:type="dxa"/>
            <w:vAlign w:val="center"/>
            <w:textDirection w:val="lrTb"/>
            <w:noWrap w:val="false"/>
          </w:tcPr>
          <w:p>
            <w:pPr>
              <w:pStyle w:val="924"/>
              <w:jc w:val="center"/>
              <w:rPr>
                <w:rFonts w:ascii="宋体" w:hAnsi="宋体"/>
                <w:b/>
              </w:rPr>
            </w:pPr>
            <w:r>
              <w:rPr>
                <w:rFonts w:hint="eastAsia" w:ascii="宋体" w:hAnsi="宋体"/>
                <w:b/>
              </w:rPr>
              <w:t xml:space="preserve">评审因素细化和量化</w:t>
            </w:r>
            <w:r>
              <w:rPr>
                <w:rFonts w:ascii="宋体" w:hAnsi="宋体"/>
                <w:b/>
              </w:rPr>
            </w:r>
            <w:r/>
          </w:p>
        </w:tc>
      </w:tr>
      <w:tr>
        <w:trPr>
          <w:trHeight w:val="864"/>
        </w:trPr>
        <w:tc>
          <w:tcPr>
            <w:tcW w:w="2964" w:type="dxa"/>
            <w:vAlign w:val="center"/>
            <w:textDirection w:val="lrTb"/>
            <w:noWrap w:val="false"/>
          </w:tcPr>
          <w:p>
            <w:pPr>
              <w:pStyle w:val="924"/>
              <w:rPr>
                <w:rFonts w:ascii="宋体" w:hAnsi="宋体"/>
              </w:rPr>
            </w:pPr>
            <w:r>
              <w:rPr>
                <w:rFonts w:hint="eastAsia" w:ascii="宋体" w:hAnsi="宋体"/>
              </w:rPr>
              <w:t xml:space="preserve">价格（30分）</w:t>
            </w:r>
            <w:r>
              <w:rPr>
                <w:rFonts w:ascii="宋体" w:hAnsi="宋体"/>
              </w:rPr>
            </w:r>
            <w:r/>
          </w:p>
        </w:tc>
        <w:tc>
          <w:tcPr>
            <w:tcW w:w="6025" w:type="dxa"/>
            <w:vAlign w:val="center"/>
            <w:textDirection w:val="lrTb"/>
            <w:noWrap w:val="false"/>
          </w:tcPr>
          <w:p>
            <w:pPr>
              <w:pStyle w:val="924"/>
              <w:rPr>
                <w:rFonts w:hint="eastAsia" w:ascii="宋体" w:hAnsi="宋体"/>
              </w:rPr>
            </w:pPr>
            <w:r>
              <w:rPr>
                <w:rFonts w:hint="eastAsia" w:ascii="宋体" w:hAnsi="宋体"/>
                <w:szCs w:val="21"/>
                <w:lang w:val="en-US" w:eastAsia="zh-CN"/>
              </w:rPr>
              <w:t xml:space="preserve">1.1</w:t>
            </w:r>
            <w:r>
              <w:rPr>
                <w:rFonts w:hint="eastAsia" w:ascii="宋体" w:hAnsi="宋体"/>
                <w:szCs w:val="21"/>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rPr>
                <w:rFonts w:hint="eastAsia" w:ascii="宋体" w:hAnsi="宋体"/>
              </w:rPr>
            </w:r>
            <w:r/>
          </w:p>
        </w:tc>
      </w:tr>
      <w:tr>
        <w:trPr>
          <w:trHeight w:val="864"/>
        </w:trPr>
        <w:tc>
          <w:tcPr>
            <w:tcW w:w="2964" w:type="dxa"/>
            <w:vAlign w:val="center"/>
            <w:textDirection w:val="lrTb"/>
            <w:noWrap w:val="false"/>
          </w:tcPr>
          <w:p>
            <w:pPr>
              <w:pStyle w:val="924"/>
              <w:rPr>
                <w:rFonts w:hint="eastAsia" w:ascii="宋体" w:hAnsi="宋体"/>
              </w:rPr>
            </w:pPr>
            <w:r>
              <w:rPr>
                <w:rFonts w:hint="eastAsia" w:ascii="宋体" w:hAnsi="宋体" w:cs="宋体"/>
                <w:bCs/>
              </w:rPr>
              <w:t xml:space="preserve">业绩</w:t>
            </w:r>
            <w:r>
              <w:rPr>
                <w:rFonts w:hint="eastAsia" w:ascii="宋体" w:hAnsi="宋体" w:cs="宋体"/>
                <w:bCs/>
                <w:lang w:eastAsia="zh-CN"/>
              </w:rPr>
              <w:t xml:space="preserve">（</w:t>
            </w:r>
            <w:r>
              <w:rPr>
                <w:rFonts w:hint="eastAsia" w:ascii="宋体" w:hAnsi="宋体" w:cs="宋体"/>
                <w:bCs/>
                <w:lang w:val="en-US" w:eastAsia="zh-CN"/>
              </w:rPr>
              <w:t xml:space="preserve">4</w:t>
            </w:r>
            <w:r>
              <w:rPr>
                <w:rFonts w:hint="eastAsia" w:ascii="宋体" w:hAnsi="宋体" w:cs="宋体"/>
                <w:bCs/>
              </w:rPr>
              <w:t xml:space="preserve">分）</w:t>
            </w:r>
            <w:r>
              <w:rPr>
                <w:rFonts w:hint="eastAsia" w:ascii="宋体" w:hAnsi="宋体"/>
              </w:rPr>
            </w:r>
            <w:r/>
          </w:p>
        </w:tc>
        <w:tc>
          <w:tcPr>
            <w:tcW w:w="6025" w:type="dxa"/>
            <w:vAlign w:val="center"/>
            <w:textDirection w:val="lrTb"/>
            <w:noWrap w:val="false"/>
          </w:tcPr>
          <w:p>
            <w:pPr>
              <w:pStyle w:val="924"/>
              <w:spacing w:line="240" w:lineRule="auto"/>
              <w:rPr>
                <w:rFonts w:ascii="宋体" w:hAnsi="宋体" w:cs="宋体"/>
              </w:rPr>
            </w:pPr>
            <w:r>
              <w:rPr>
                <w:rFonts w:hint="eastAsia" w:ascii="宋体" w:hAnsi="宋体" w:cs="宋体"/>
                <w:lang w:val="en-US" w:eastAsia="zh-CN"/>
              </w:rPr>
              <w:t xml:space="preserve">2.1</w:t>
            </w:r>
            <w:r>
              <w:rPr>
                <w:rFonts w:hint="eastAsia" w:ascii="宋体" w:hAnsi="宋体" w:cs="宋体"/>
              </w:rPr>
              <w:t xml:space="preserve">投标文件中提供投标人为乙方，合同签订日期在2023年1月1日（含）之后，与</w:t>
            </w:r>
            <w:r>
              <w:rPr>
                <w:rFonts w:hint="eastAsia" w:ascii="宋体" w:hAnsi="宋体" w:cs="宋体"/>
                <w:lang w:val="en-US" w:eastAsia="zh-CN"/>
              </w:rPr>
              <w:t xml:space="preserve">算力设备或算力平台</w:t>
            </w:r>
            <w:r>
              <w:rPr>
                <w:rFonts w:hint="eastAsia" w:ascii="Calibri" w:eastAsia="宋体"/>
                <w:lang w:val="en-US" w:eastAsia="zh-CN"/>
              </w:rPr>
              <w:t xml:space="preserve">类似</w:t>
            </w:r>
            <w:r>
              <w:rPr>
                <w:rFonts w:hint="eastAsia" w:ascii="宋体" w:hAnsi="宋体" w:cs="宋体"/>
              </w:rPr>
              <w:t xml:space="preserve">的项目，每提供一份得</w:t>
            </w:r>
            <w:r>
              <w:rPr>
                <w:rFonts w:hint="eastAsia" w:ascii="宋体" w:hAnsi="宋体" w:cs="宋体"/>
                <w:lang w:val="en-US" w:eastAsia="zh-CN"/>
              </w:rPr>
              <w:t xml:space="preserve">2</w:t>
            </w:r>
            <w:r>
              <w:rPr>
                <w:rFonts w:hint="eastAsia" w:ascii="宋体" w:hAnsi="宋体" w:cs="宋体"/>
              </w:rPr>
              <w:t xml:space="preserve">分，最高得</w:t>
            </w:r>
            <w:r>
              <w:rPr>
                <w:rFonts w:hint="eastAsia" w:ascii="宋体" w:hAnsi="宋体" w:cs="宋体"/>
                <w:lang w:val="en-US" w:eastAsia="zh-CN"/>
              </w:rPr>
              <w:t xml:space="preserve">4</w:t>
            </w:r>
            <w:r>
              <w:rPr>
                <w:rFonts w:hint="eastAsia" w:ascii="宋体" w:hAnsi="宋体" w:cs="宋体"/>
              </w:rPr>
              <w:t xml:space="preserve">分，未提供的得0分。</w:t>
            </w:r>
            <w:r>
              <w:rPr>
                <w:rFonts w:ascii="宋体" w:hAnsi="宋体" w:cs="宋体"/>
              </w:rPr>
            </w:r>
            <w:r/>
          </w:p>
          <w:p>
            <w:pPr>
              <w:pStyle w:val="951"/>
              <w:rPr>
                <w:rFonts w:hint="eastAsia" w:ascii="宋体" w:hAnsi="宋体" w:eastAsia="宋体"/>
                <w:lang w:val="en-US" w:eastAsia="zh-CN"/>
              </w:rPr>
            </w:pPr>
            <w:r>
              <w:rPr>
                <w:rFonts w:hint="eastAsia" w:ascii="宋体" w:hAnsi="宋体" w:cs="宋体"/>
              </w:rPr>
              <w:t xml:space="preserve">注：投标文件中提供合同</w:t>
            </w:r>
            <w:r>
              <w:rPr>
                <w:rFonts w:hint="eastAsia"/>
                <w:lang w:val="en-US" w:eastAsia="zh-CN"/>
              </w:rPr>
              <w:t xml:space="preserve">扫描件或复印件</w:t>
            </w:r>
            <w:r>
              <w:rPr>
                <w:rFonts w:hint="eastAsia" w:ascii="宋体" w:hAnsi="宋体" w:cs="宋体"/>
              </w:rPr>
              <w:t xml:space="preserve">方为有效，</w:t>
            </w:r>
            <w:r>
              <w:rPr>
                <w:rFonts w:hint="eastAsia" w:ascii="宋体" w:hAnsi="宋体" w:cs="宋体"/>
                <w:lang w:val="en-US" w:eastAsia="zh-CN"/>
              </w:rPr>
              <w:t xml:space="preserve">合同中须包含算力设备或算力平台类似关键词，</w:t>
            </w:r>
            <w:r>
              <w:rPr>
                <w:rFonts w:hint="eastAsia" w:ascii="宋体" w:hAnsi="宋体" w:cs="宋体"/>
              </w:rPr>
              <w:t xml:space="preserve">否则此项不得分。</w:t>
            </w:r>
            <w:r>
              <w:rPr>
                <w:rFonts w:hint="eastAsia" w:ascii="宋体" w:hAnsi="宋体" w:cs="宋体"/>
                <w:lang w:val="en-US" w:eastAsia="zh-CN"/>
              </w:rPr>
              <w:t xml:space="preserve"> </w:t>
            </w:r>
            <w:r>
              <w:rPr>
                <w:rFonts w:hint="eastAsia" w:ascii="宋体" w:hAnsi="宋体" w:eastAsia="宋体"/>
                <w:lang w:val="en-US" w:eastAsia="zh-CN"/>
              </w:rPr>
            </w:r>
            <w:r/>
          </w:p>
        </w:tc>
      </w:tr>
      <w:tr>
        <w:trPr>
          <w:trHeight w:val="864"/>
        </w:trPr>
        <w:tc>
          <w:tcPr>
            <w:tcW w:w="2964" w:type="dxa"/>
            <w:vAlign w:val="center"/>
            <w:textDirection w:val="lrTb"/>
            <w:noWrap w:val="false"/>
          </w:tcPr>
          <w:p>
            <w:pPr>
              <w:pStyle w:val="924"/>
              <w:rPr>
                <w:rFonts w:hint="eastAsia" w:ascii="宋体" w:hAnsi="宋体" w:cs="宋体"/>
                <w:bCs/>
              </w:rPr>
            </w:pPr>
            <w:r>
              <w:rPr>
                <w:rFonts w:hint="eastAsia" w:ascii="宋体" w:hAnsi="宋体" w:cs="宋体"/>
              </w:rPr>
              <w:t xml:space="preserve">质保期（</w:t>
            </w:r>
            <w:r>
              <w:rPr>
                <w:rFonts w:hint="eastAsia" w:ascii="宋体" w:hAnsi="宋体" w:cs="宋体"/>
                <w:lang w:val="en-US" w:eastAsia="zh-CN"/>
              </w:rPr>
              <w:t xml:space="preserve">4</w:t>
            </w:r>
            <w:r>
              <w:rPr>
                <w:rFonts w:hint="eastAsia" w:ascii="宋体" w:hAnsi="宋体" w:cs="宋体"/>
              </w:rPr>
              <w:t xml:space="preserve">分）</w:t>
            </w:r>
            <w:r>
              <w:rPr>
                <w:rFonts w:hint="eastAsia" w:ascii="宋体" w:hAnsi="宋体" w:cs="宋体"/>
                <w:bCs/>
              </w:rPr>
            </w:r>
            <w:r/>
          </w:p>
        </w:tc>
        <w:tc>
          <w:tcPr>
            <w:tcW w:w="6025" w:type="dxa"/>
            <w:vAlign w:val="center"/>
            <w:textDirection w:val="lrTb"/>
            <w:noWrap w:val="false"/>
          </w:tcPr>
          <w:p>
            <w:pPr>
              <w:pStyle w:val="924"/>
              <w:spacing w:line="240" w:lineRule="auto"/>
              <w:rPr>
                <w:rFonts w:ascii="宋体" w:hAnsi="宋体" w:cs="宋体"/>
              </w:rPr>
            </w:pPr>
            <w:r>
              <w:rPr>
                <w:rFonts w:hint="eastAsia" w:ascii="宋体" w:hAnsi="宋体" w:cs="宋体"/>
                <w:lang w:val="en-US" w:eastAsia="zh-CN"/>
              </w:rPr>
              <w:t xml:space="preserve">2.2</w:t>
            </w:r>
            <w:r>
              <w:rPr>
                <w:rFonts w:hint="eastAsia" w:ascii="宋体" w:hAnsi="宋体" w:cs="宋体"/>
              </w:rPr>
              <w:t xml:space="preserve">在满足招标文件</w:t>
            </w:r>
            <w:r>
              <w:rPr>
                <w:rFonts w:hint="eastAsia" w:ascii="宋体" w:hAnsi="宋体" w:cs="宋体"/>
                <w:lang w:val="en-US" w:eastAsia="zh-CN"/>
              </w:rPr>
              <w:t xml:space="preserve">中</w:t>
            </w:r>
            <w:r>
              <w:rPr>
                <w:rFonts w:hint="eastAsia" w:ascii="宋体" w:hAnsi="宋体" w:cs="宋体"/>
              </w:rPr>
              <w:t xml:space="preserve">质保期要求(</w:t>
            </w:r>
            <w:r>
              <w:rPr>
                <w:rFonts w:hint="eastAsia" w:ascii="宋体" w:hAnsi="宋体" w:cs="宋体"/>
                <w:lang w:val="en-US" w:eastAsia="zh-CN"/>
              </w:rPr>
              <w:t xml:space="preserve">3</w:t>
            </w:r>
            <w:r>
              <w:rPr>
                <w:rFonts w:hint="eastAsia" w:ascii="宋体" w:hAnsi="宋体" w:cs="宋体"/>
              </w:rPr>
              <w:t xml:space="preserve">年)的基础上，每增加一年质保的得</w:t>
            </w:r>
            <w:r>
              <w:rPr>
                <w:rFonts w:hint="eastAsia" w:ascii="宋体" w:hAnsi="宋体" w:cs="宋体"/>
                <w:lang w:val="en-US" w:eastAsia="zh-CN"/>
              </w:rPr>
              <w:t xml:space="preserve">2</w:t>
            </w:r>
            <w:r>
              <w:rPr>
                <w:rFonts w:hint="eastAsia" w:ascii="宋体" w:hAnsi="宋体" w:cs="宋体"/>
              </w:rPr>
              <w:t xml:space="preserve">分（不足1年的不得分）</w:t>
            </w:r>
            <w:r>
              <w:rPr>
                <w:rFonts w:ascii="宋体" w:hAnsi="宋体" w:cs="宋体"/>
              </w:rPr>
            </w:r>
            <w:r/>
          </w:p>
          <w:p>
            <w:pPr>
              <w:pStyle w:val="924"/>
              <w:rPr>
                <w:rFonts w:hint="eastAsia" w:ascii="宋体" w:hAnsi="宋体"/>
              </w:rPr>
            </w:pPr>
            <w:r>
              <w:rPr>
                <w:rFonts w:hint="eastAsia" w:ascii="宋体" w:hAnsi="宋体" w:cs="宋体"/>
              </w:rPr>
              <w:t xml:space="preserve">本项最高得</w:t>
            </w:r>
            <w:r>
              <w:rPr>
                <w:rFonts w:hint="eastAsia" w:ascii="宋体" w:hAnsi="宋体" w:cs="宋体"/>
                <w:lang w:val="en-US" w:eastAsia="zh-CN"/>
              </w:rPr>
              <w:t xml:space="preserve">4</w:t>
            </w:r>
            <w:r>
              <w:rPr>
                <w:rFonts w:hint="eastAsia" w:ascii="宋体" w:hAnsi="宋体" w:cs="宋体"/>
              </w:rPr>
              <w:t xml:space="preserve">分，最低不得分。</w:t>
            </w:r>
            <w:r>
              <w:rPr>
                <w:rFonts w:hint="eastAsia" w:ascii="宋体" w:hAnsi="宋体"/>
              </w:rPr>
            </w:r>
            <w:r/>
          </w:p>
        </w:tc>
      </w:tr>
      <w:tr>
        <w:trPr>
          <w:trHeight w:val="864"/>
        </w:trPr>
        <w:tc>
          <w:tcPr>
            <w:tcW w:w="2964" w:type="dxa"/>
            <w:vAlign w:val="center"/>
            <w:textDirection w:val="lrTb"/>
            <w:noWrap w:val="false"/>
          </w:tcPr>
          <w:p>
            <w:pPr>
              <w:pStyle w:val="924"/>
              <w:rPr>
                <w:rFonts w:ascii="宋体" w:hAnsi="宋体" w:eastAsia="宋体" w:cs="宋体"/>
                <w:lang w:val="en-US" w:eastAsia="zh-CN"/>
              </w:rPr>
            </w:pPr>
            <w:r>
              <w:rPr>
                <w:rFonts w:hint="eastAsia" w:ascii="宋体" w:hAnsi="宋体" w:cs="宋体"/>
                <w:lang w:val="en-US" w:eastAsia="zh-CN"/>
              </w:rPr>
              <w:t xml:space="preserve">驻场服务</w:t>
            </w: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分）</w:t>
            </w:r>
            <w:r>
              <w:rPr>
                <w:rFonts w:ascii="宋体" w:hAnsi="宋体" w:eastAsia="宋体" w:cs="宋体"/>
                <w:lang w:val="en-US" w:eastAsia="zh-CN"/>
              </w:rPr>
            </w:r>
            <w:r/>
          </w:p>
        </w:tc>
        <w:tc>
          <w:tcPr>
            <w:tcW w:w="6025" w:type="dxa"/>
            <w:vAlign w:val="center"/>
            <w:textDirection w:val="lrTb"/>
            <w:noWrap w:val="false"/>
          </w:tcPr>
          <w:p>
            <w:pPr>
              <w:pStyle w:val="924"/>
              <w:spacing w:line="240" w:lineRule="auto"/>
              <w:rPr>
                <w:rFonts w:ascii="宋体" w:hAnsi="宋体" w:cs="宋体"/>
              </w:rPr>
            </w:pPr>
            <w:r>
              <w:rPr>
                <w:rFonts w:hint="eastAsia" w:ascii="宋体" w:hAnsi="宋体" w:cs="宋体"/>
                <w:lang w:val="en-US" w:eastAsia="zh-CN"/>
              </w:rPr>
              <w:t xml:space="preserve">2.3</w:t>
            </w:r>
            <w:r>
              <w:rPr>
                <w:rFonts w:hint="eastAsia" w:ascii="宋体" w:hAnsi="宋体" w:cs="宋体"/>
              </w:rPr>
              <w:t xml:space="preserve">在满足招标文件</w:t>
            </w:r>
            <w:r>
              <w:rPr>
                <w:rFonts w:hint="eastAsia" w:ascii="宋体" w:hAnsi="宋体" w:cs="宋体"/>
                <w:lang w:val="en-US" w:eastAsia="zh-CN"/>
              </w:rPr>
              <w:t xml:space="preserve">中提供驻场期</w:t>
            </w:r>
            <w:r>
              <w:rPr>
                <w:rFonts w:hint="eastAsia" w:ascii="宋体" w:hAnsi="宋体" w:cs="宋体"/>
              </w:rPr>
              <w:t xml:space="preserve">要求(</w:t>
            </w:r>
            <w:r>
              <w:rPr>
                <w:rFonts w:hint="eastAsia" w:ascii="宋体" w:hAnsi="宋体" w:cs="宋体"/>
                <w:lang w:val="en-US" w:eastAsia="zh-CN"/>
              </w:rPr>
              <w:t xml:space="preserve">3</w:t>
            </w:r>
            <w:r>
              <w:rPr>
                <w:rFonts w:hint="eastAsia" w:ascii="宋体" w:hAnsi="宋体" w:cs="宋体"/>
              </w:rPr>
              <w:t xml:space="preserve">年)的基础上，每增加一年</w:t>
            </w:r>
            <w:r>
              <w:rPr>
                <w:rFonts w:hint="eastAsia" w:ascii="宋体" w:hAnsi="宋体" w:cs="宋体"/>
                <w:lang w:val="en-US" w:eastAsia="zh-CN"/>
              </w:rPr>
              <w:t xml:space="preserve">驻场服务</w:t>
            </w:r>
            <w:r>
              <w:rPr>
                <w:rFonts w:hint="eastAsia" w:ascii="宋体" w:hAnsi="宋体" w:cs="宋体"/>
              </w:rPr>
              <w:t xml:space="preserve">的得</w:t>
            </w:r>
            <w:r>
              <w:rPr>
                <w:rFonts w:hint="eastAsia" w:ascii="宋体" w:hAnsi="宋体" w:cs="宋体"/>
                <w:lang w:val="en-US" w:eastAsia="zh-CN"/>
              </w:rPr>
              <w:t xml:space="preserve">2</w:t>
            </w:r>
            <w:r>
              <w:rPr>
                <w:rFonts w:hint="eastAsia" w:ascii="宋体" w:hAnsi="宋体" w:cs="宋体"/>
              </w:rPr>
              <w:t xml:space="preserve">分（不足1年的不得分），</w:t>
            </w:r>
            <w:r>
              <w:rPr>
                <w:rFonts w:ascii="宋体" w:hAnsi="宋体" w:cs="宋体"/>
              </w:rPr>
            </w:r>
            <w:r/>
          </w:p>
          <w:p>
            <w:pPr>
              <w:pStyle w:val="924"/>
            </w:pPr>
            <w:r>
              <w:rPr>
                <w:rFonts w:hint="eastAsia" w:ascii="宋体" w:hAnsi="宋体" w:cs="宋体"/>
              </w:rPr>
              <w:t xml:space="preserve">本项最高得</w:t>
            </w:r>
            <w:r>
              <w:rPr>
                <w:rFonts w:hint="eastAsia" w:ascii="宋体" w:hAnsi="宋体" w:cs="宋体"/>
                <w:lang w:val="en-US" w:eastAsia="zh-CN"/>
              </w:rPr>
              <w:t xml:space="preserve">4</w:t>
            </w:r>
            <w:r>
              <w:rPr>
                <w:rFonts w:hint="eastAsia" w:ascii="宋体" w:hAnsi="宋体" w:cs="宋体"/>
              </w:rPr>
              <w:t xml:space="preserve">分，最低不得分。</w:t>
            </w:r>
            <w:r/>
          </w:p>
          <w:p>
            <w:pPr>
              <w:pStyle w:val="924"/>
              <w:rPr>
                <w:rFonts w:eastAsia="宋体"/>
                <w:lang w:val="en-US" w:eastAsia="zh-CN"/>
              </w:rPr>
            </w:pPr>
            <w:r>
              <w:rPr>
                <w:rFonts w:hint="eastAsia" w:ascii="Calibri" w:eastAsia="宋体"/>
                <w:lang w:val="en-US" w:eastAsia="zh-CN"/>
              </w:rPr>
              <w:t xml:space="preserve">提供驻场人员配备承诺书，加盖投标人公章，承诺书中明确驻场服务时间及服务期限。</w:t>
            </w:r>
            <w:r>
              <w:rPr>
                <w:rFonts w:eastAsia="宋体"/>
                <w:lang w:val="en-US" w:eastAsia="zh-CN"/>
              </w:rPr>
            </w:r>
            <w:r/>
          </w:p>
        </w:tc>
      </w:tr>
      <w:tr>
        <w:trPr>
          <w:cantSplit/>
          <w:trHeight w:val="1237"/>
        </w:trPr>
        <w:tc>
          <w:tcPr>
            <w:tcW w:w="2964" w:type="dxa"/>
            <w:vAlign w:val="center"/>
            <w:textDirection w:val="lrTb"/>
            <w:noWrap w:val="false"/>
          </w:tcPr>
          <w:p>
            <w:pPr>
              <w:pStyle w:val="924"/>
              <w:rPr>
                <w:rFonts w:ascii="宋体" w:hAnsi="宋体"/>
              </w:rPr>
            </w:pPr>
            <w:r>
              <w:rPr>
                <w:rFonts w:hint="eastAsia" w:ascii="宋体" w:hAnsi="宋体"/>
              </w:rPr>
              <w:t xml:space="preserve">技术规格（</w:t>
            </w:r>
            <w:r>
              <w:rPr>
                <w:rFonts w:hint="eastAsia" w:ascii="宋体" w:hAnsi="宋体"/>
                <w:lang w:val="en-US" w:eastAsia="zh-CN"/>
              </w:rPr>
              <w:t xml:space="preserve">36</w:t>
            </w:r>
            <w:r>
              <w:rPr>
                <w:rFonts w:hint="eastAsia" w:ascii="宋体" w:hAnsi="宋体"/>
              </w:rPr>
              <w:t xml:space="preserve">分）</w:t>
            </w:r>
            <w:r>
              <w:rPr>
                <w:rFonts w:ascii="宋体" w:hAnsi="宋体"/>
              </w:rPr>
            </w:r>
            <w:r/>
          </w:p>
        </w:tc>
        <w:tc>
          <w:tcPr>
            <w:tcW w:w="6025" w:type="dxa"/>
            <w:vAlign w:val="center"/>
            <w:textDirection w:val="lrTb"/>
            <w:noWrap w:val="false"/>
          </w:tcPr>
          <w:p>
            <w:pPr>
              <w:pStyle w:val="924"/>
              <w:rPr>
                <w:rFonts w:ascii="宋体" w:hAnsi="宋体"/>
              </w:rPr>
            </w:pPr>
            <w:r>
              <w:rPr>
                <w:rFonts w:hint="eastAsia" w:ascii="宋体" w:hAnsi="宋体"/>
                <w:sz w:val="21"/>
                <w:szCs w:val="21"/>
                <w:lang w:val="en-US" w:eastAsia="zh-CN"/>
              </w:rPr>
              <w:t xml:space="preserve">3.1</w:t>
            </w:r>
            <w:r>
              <w:rPr>
                <w:rFonts w:hint="eastAsia" w:ascii="宋体" w:hAnsi="宋体"/>
                <w:sz w:val="21"/>
                <w:szCs w:val="21"/>
              </w:rPr>
              <w:t xml:space="preserve">投标人所投产品完全满足招标文件《采购需求》中的</w:t>
            </w:r>
            <w:r>
              <w:rPr>
                <w:rFonts w:hint="eastAsia" w:ascii="宋体" w:hAnsi="宋体"/>
                <w:sz w:val="21"/>
                <w:szCs w:val="21"/>
                <w:lang w:val="en-US" w:eastAsia="zh-CN"/>
              </w:rPr>
              <w:t xml:space="preserve">技术指标</w:t>
            </w:r>
            <w:r>
              <w:rPr>
                <w:rFonts w:hint="eastAsia" w:ascii="宋体" w:hAnsi="宋体"/>
                <w:sz w:val="21"/>
                <w:szCs w:val="21"/>
              </w:rPr>
              <w:t xml:space="preserve">得</w:t>
            </w:r>
            <w:r>
              <w:rPr>
                <w:rFonts w:hint="eastAsia" w:ascii="宋体" w:hAnsi="宋体"/>
                <w:sz w:val="21"/>
                <w:szCs w:val="21"/>
                <w:lang w:val="en-US" w:eastAsia="zh-CN"/>
              </w:rPr>
              <w:t xml:space="preserve">36</w:t>
            </w:r>
            <w:r>
              <w:rPr>
                <w:rFonts w:hint="eastAsia" w:ascii="宋体" w:hAnsi="宋体"/>
                <w:sz w:val="21"/>
                <w:szCs w:val="21"/>
              </w:rPr>
              <w:t xml:space="preserve">分；每一项</w:t>
            </w: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技术参数</w:t>
            </w:r>
            <w:r>
              <w:rPr>
                <w:rFonts w:hint="eastAsia" w:ascii="宋体" w:hAnsi="宋体"/>
                <w:sz w:val="21"/>
                <w:szCs w:val="21"/>
              </w:rPr>
              <w:t xml:space="preserve">指标不满足或负偏离减</w:t>
            </w:r>
            <w:r>
              <w:rPr>
                <w:rFonts w:hint="eastAsia" w:ascii="宋体" w:hAnsi="宋体"/>
                <w:sz w:val="21"/>
                <w:szCs w:val="21"/>
                <w:lang w:val="en-US" w:eastAsia="zh-CN"/>
              </w:rPr>
              <w:t xml:space="preserve">1</w:t>
            </w:r>
            <w:r>
              <w:rPr>
                <w:rFonts w:hint="eastAsia" w:ascii="宋体" w:hAnsi="宋体"/>
                <w:sz w:val="21"/>
                <w:szCs w:val="21"/>
              </w:rPr>
              <w:t xml:space="preserve">分</w:t>
            </w:r>
            <w:r>
              <w:rPr>
                <w:rFonts w:hint="eastAsia" w:ascii="宋体" w:hAnsi="宋体"/>
                <w:sz w:val="21"/>
                <w:szCs w:val="21"/>
                <w:lang w:eastAsia="zh-CN"/>
              </w:rPr>
              <w:t xml:space="preserve">（</w:t>
            </w:r>
            <w:r>
              <w:rPr>
                <w:rFonts w:hint="eastAsia" w:ascii="宋体" w:hAnsi="宋体"/>
                <w:sz w:val="21"/>
                <w:szCs w:val="21"/>
                <w:lang w:val="en-US" w:eastAsia="zh-CN"/>
              </w:rPr>
              <w:t xml:space="preserve">共36项</w:t>
            </w:r>
            <w:r>
              <w:rPr>
                <w:rFonts w:hint="eastAsia" w:ascii="宋体" w:hAnsi="宋体"/>
                <w:sz w:val="21"/>
                <w:szCs w:val="21"/>
                <w:lang w:eastAsia="zh-CN"/>
              </w:rPr>
              <w:t xml:space="preserve">），</w:t>
            </w:r>
            <w:r>
              <w:rPr>
                <w:rFonts w:hint="eastAsia" w:ascii="宋体" w:hAnsi="宋体" w:eastAsia="宋体" w:cs="宋体"/>
                <w:sz w:val="21"/>
                <w:szCs w:val="21"/>
                <w:lang w:val="en-US" w:eastAsia="zh-CN"/>
              </w:rPr>
              <w:t xml:space="preserve">扣完为止</w:t>
            </w:r>
            <w:r>
              <w:rPr>
                <w:rFonts w:hint="eastAsia" w:ascii="宋体" w:hAnsi="宋体"/>
                <w:sz w:val="21"/>
                <w:szCs w:val="21"/>
              </w:rPr>
              <w:t xml:space="preserve">。</w:t>
            </w:r>
            <w:r>
              <w:rPr>
                <w:rFonts w:ascii="宋体" w:hAnsi="宋体"/>
              </w:rPr>
            </w:r>
            <w:r/>
          </w:p>
        </w:tc>
      </w:tr>
      <w:tr>
        <w:trPr>
          <w:cantSplit/>
          <w:trHeight w:val="2542"/>
        </w:trPr>
        <w:tc>
          <w:tcPr>
            <w:tcW w:w="2964" w:type="dxa"/>
            <w:vAlign w:val="center"/>
            <w:textDirection w:val="lrTb"/>
            <w:noWrap w:val="false"/>
          </w:tcPr>
          <w:p>
            <w:pPr>
              <w:pStyle w:val="924"/>
              <w:jc w:val="center"/>
              <w:rPr>
                <w:rFonts w:ascii="宋体" w:hAnsi="宋体"/>
              </w:rPr>
            </w:pPr>
            <w:r>
              <w:rPr>
                <w:rFonts w:hint="eastAsia" w:ascii="宋体" w:hAnsi="宋体"/>
                <w:lang w:val="en-US" w:eastAsia="zh-CN"/>
              </w:rPr>
              <w:t xml:space="preserve">项目实施方案</w:t>
            </w: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rPr>
                <w:rFonts w:ascii="宋体" w:hAnsi="宋体"/>
              </w:rPr>
            </w:r>
            <w:r/>
          </w:p>
        </w:tc>
        <w:tc>
          <w:tcPr>
            <w:tcW w:w="6025" w:type="dxa"/>
            <w:vAlign w:val="center"/>
            <w:textDirection w:val="lrTb"/>
            <w:noWrap w:val="false"/>
          </w:tcPr>
          <w:p>
            <w:pPr>
              <w:pStyle w:val="924"/>
              <w:rPr>
                <w:rFonts w:hint="eastAsia" w:ascii="宋体" w:hAnsi="宋体"/>
              </w:rPr>
            </w:pPr>
            <w:r>
              <w:rPr>
                <w:rFonts w:hint="eastAsia" w:ascii="宋体" w:hAnsi="宋体"/>
                <w:lang w:val="en-US" w:eastAsia="zh-CN"/>
              </w:rPr>
              <w:t xml:space="preserve">3.2</w:t>
            </w:r>
            <w:r>
              <w:rPr>
                <w:rFonts w:hint="eastAsia" w:ascii="宋体" w:hAnsi="宋体"/>
              </w:rPr>
              <w:t xml:space="preserve">评委根据投标文件对第四章“采购需求”中“</w:t>
            </w:r>
            <w:r>
              <w:rPr>
                <w:rFonts w:hint="eastAsia" w:ascii="宋体" w:hAnsi="宋体"/>
                <w:lang w:val="en-US" w:eastAsia="zh-CN"/>
              </w:rPr>
              <w:t xml:space="preserve">项目实施方案</w:t>
            </w:r>
            <w:r>
              <w:rPr>
                <w:rFonts w:hint="eastAsia" w:ascii="宋体" w:hAnsi="宋体"/>
              </w:rPr>
              <w:t xml:space="preserve">”响应情况进行评审。</w:t>
            </w:r>
            <w:r>
              <w:rPr>
                <w:rFonts w:hint="eastAsia" w:ascii="宋体" w:hAnsi="宋体"/>
              </w:rPr>
            </w:r>
            <w:r/>
          </w:p>
          <w:p>
            <w:pPr>
              <w:pStyle w:val="924"/>
              <w:rPr>
                <w:rFonts w:hint="eastAsia" w:ascii="宋体" w:hAnsi="宋体"/>
              </w:rPr>
            </w:pPr>
            <w:r>
              <w:rPr>
                <w:rFonts w:hint="eastAsia" w:ascii="宋体" w:hAnsi="宋体"/>
              </w:rPr>
              <w:t xml:space="preserve">(1)投标文件未提供“</w:t>
            </w:r>
            <w:r>
              <w:rPr>
                <w:rFonts w:hint="eastAsia" w:ascii="宋体" w:hAnsi="宋体"/>
                <w:lang w:val="en-US" w:eastAsia="zh-CN"/>
              </w:rPr>
              <w:t xml:space="preserve">项目实施方案</w:t>
            </w:r>
            <w:r>
              <w:rPr>
                <w:rFonts w:hint="eastAsia" w:ascii="宋体" w:hAnsi="宋体"/>
              </w:rPr>
              <w:t xml:space="preserve">”或未符合“</w:t>
            </w:r>
            <w:r>
              <w:rPr>
                <w:rFonts w:hint="eastAsia" w:ascii="宋体" w:hAnsi="宋体"/>
                <w:lang w:val="en-US" w:eastAsia="zh-CN"/>
              </w:rPr>
              <w:t xml:space="preserve">项目实施方案</w:t>
            </w:r>
            <w:r>
              <w:rPr>
                <w:rFonts w:hint="eastAsia" w:ascii="宋体" w:hAnsi="宋体"/>
              </w:rPr>
              <w:t xml:space="preserve">”中全部条款要求的，视为不符合招标文件，本项不得分。</w:t>
            </w:r>
            <w:r>
              <w:rPr>
                <w:rFonts w:hint="eastAsia" w:ascii="宋体" w:hAnsi="宋体"/>
              </w:rPr>
            </w:r>
            <w:r/>
          </w:p>
          <w:p>
            <w:pPr>
              <w:pStyle w:val="924"/>
              <w:rPr>
                <w:rFonts w:hint="eastAsia" w:ascii="宋体" w:hAnsi="宋体"/>
              </w:rPr>
            </w:pPr>
            <w:r>
              <w:rPr>
                <w:rFonts w:hint="eastAsia" w:ascii="宋体" w:hAnsi="宋体"/>
              </w:rPr>
              <w:t xml:space="preserve">(2)投标文件符合“</w:t>
            </w:r>
            <w:r>
              <w:rPr>
                <w:rFonts w:hint="eastAsia" w:ascii="宋体" w:hAnsi="宋体"/>
                <w:lang w:val="en-US" w:eastAsia="zh-CN"/>
              </w:rPr>
              <w:t xml:space="preserve">项目实施方案</w:t>
            </w:r>
            <w:r>
              <w:rPr>
                <w:rFonts w:hint="eastAsia" w:ascii="宋体" w:hAnsi="宋体"/>
              </w:rPr>
              <w:t xml:space="preserve">”中全部条款要求的，视为符合招标文件，得</w:t>
            </w:r>
            <w:r>
              <w:rPr>
                <w:rFonts w:hint="eastAsia" w:ascii="宋体" w:hAnsi="宋体"/>
                <w:lang w:val="en-US" w:eastAsia="zh-CN"/>
              </w:rPr>
              <w:t xml:space="preserve">3</w:t>
            </w:r>
            <w:r>
              <w:rPr>
                <w:rFonts w:hint="eastAsia" w:ascii="宋体" w:hAnsi="宋体"/>
              </w:rPr>
              <w:t xml:space="preserve">分。</w:t>
            </w:r>
            <w:r>
              <w:rPr>
                <w:rFonts w:hint="eastAsia" w:ascii="宋体" w:hAnsi="宋体"/>
              </w:rPr>
            </w:r>
            <w:r/>
          </w:p>
          <w:p>
            <w:pPr>
              <w:pStyle w:val="924"/>
              <w:rPr>
                <w:rFonts w:ascii="宋体" w:hAnsi="宋体"/>
              </w:rPr>
            </w:pPr>
            <w:r>
              <w:rPr>
                <w:rFonts w:hint="eastAsia" w:ascii="宋体" w:hAnsi="宋体"/>
              </w:rPr>
              <w:t xml:space="preserve">(3)经评委认定，投标文件对“</w:t>
            </w:r>
            <w:r>
              <w:rPr>
                <w:rFonts w:hint="eastAsia" w:ascii="宋体" w:hAnsi="宋体"/>
                <w:lang w:val="en-US" w:eastAsia="zh-CN"/>
              </w:rPr>
              <w:t xml:space="preserve">项目实施方案</w:t>
            </w:r>
            <w:r>
              <w:rPr>
                <w:rFonts w:hint="eastAsia" w:ascii="宋体" w:hAnsi="宋体"/>
              </w:rPr>
              <w:t xml:space="preserve">”中“</w:t>
            </w:r>
            <w:r>
              <w:rPr>
                <w:rFonts w:hint="eastAsia" w:ascii="宋体" w:hAnsi="宋体"/>
                <w:lang w:val="en-US" w:eastAsia="zh-CN"/>
              </w:rPr>
              <w:t xml:space="preserve">质量保证体系</w:t>
            </w:r>
            <w:r>
              <w:rPr>
                <w:rFonts w:hint="eastAsia" w:ascii="宋体" w:hAnsi="宋体"/>
              </w:rPr>
              <w:t xml:space="preserve">”、“</w:t>
            </w:r>
            <w:r>
              <w:rPr>
                <w:rFonts w:hint="eastAsia" w:ascii="宋体" w:hAnsi="宋体"/>
                <w:lang w:val="en-US" w:eastAsia="zh-CN"/>
              </w:rPr>
              <w:t xml:space="preserve">质量保证措施</w:t>
            </w:r>
            <w:r>
              <w:rPr>
                <w:rFonts w:hint="eastAsia" w:ascii="宋体" w:hAnsi="宋体"/>
              </w:rPr>
              <w:t xml:space="preserve">”</w:t>
            </w:r>
            <w:r>
              <w:rPr>
                <w:rFonts w:hint="eastAsia" w:ascii="宋体" w:hAnsi="宋体"/>
                <w:lang w:val="en-US" w:eastAsia="zh-CN"/>
              </w:rPr>
              <w:t xml:space="preserve">两</w:t>
            </w:r>
            <w:r>
              <w:rPr>
                <w:rFonts w:hint="eastAsia" w:ascii="宋体" w:hAnsi="宋体"/>
              </w:rPr>
              <w:t xml:space="preserve">项要求的响应内容全部优于招标文件要求的(投标文件对“</w:t>
            </w:r>
            <w:r>
              <w:rPr>
                <w:rFonts w:hint="eastAsia" w:ascii="宋体" w:hAnsi="宋体"/>
                <w:lang w:val="en-US" w:eastAsia="zh-CN"/>
              </w:rPr>
              <w:t xml:space="preserve">质量保证体系</w:t>
            </w:r>
            <w:r>
              <w:rPr>
                <w:rFonts w:hint="eastAsia" w:ascii="宋体" w:hAnsi="宋体"/>
              </w:rPr>
              <w:t xml:space="preserve">”、“</w:t>
            </w:r>
            <w:r>
              <w:rPr>
                <w:rFonts w:hint="eastAsia" w:ascii="宋体" w:hAnsi="宋体"/>
                <w:lang w:val="en-US" w:eastAsia="zh-CN"/>
              </w:rPr>
              <w:t xml:space="preserve">质量保证措施”</w:t>
            </w:r>
            <w:r>
              <w:rPr>
                <w:rFonts w:hint="eastAsia" w:ascii="宋体" w:hAnsi="宋体"/>
              </w:rPr>
              <w:t xml:space="preserve">外其他要求响应内容符合招标文件要求)得</w:t>
            </w:r>
            <w:r>
              <w:rPr>
                <w:rFonts w:hint="eastAsia" w:ascii="宋体" w:hAnsi="宋体"/>
                <w:lang w:val="en-US" w:eastAsia="zh-CN"/>
              </w:rPr>
              <w:t xml:space="preserve">5</w:t>
            </w:r>
            <w:r>
              <w:rPr>
                <w:rFonts w:hint="eastAsia" w:ascii="宋体" w:hAnsi="宋体"/>
              </w:rPr>
              <w:t xml:space="preserve">分。</w:t>
            </w:r>
            <w:r>
              <w:rPr>
                <w:rFonts w:ascii="宋体" w:hAnsi="宋体"/>
              </w:rPr>
            </w:r>
            <w:r/>
          </w:p>
        </w:tc>
      </w:tr>
      <w:tr>
        <w:trPr>
          <w:cantSplit/>
          <w:trHeight w:val="897"/>
        </w:trPr>
        <w:tc>
          <w:tcPr>
            <w:tcW w:w="2964" w:type="dxa"/>
            <w:vAlign w:val="center"/>
            <w:textDirection w:val="lrTb"/>
            <w:noWrap w:val="false"/>
          </w:tcPr>
          <w:p>
            <w:pPr>
              <w:pStyle w:val="924"/>
              <w:jc w:val="center"/>
              <w:spacing w:line="312" w:lineRule="auto"/>
              <w:rPr>
                <w:rFonts w:ascii="宋体" w:hAnsi="宋体"/>
              </w:rPr>
            </w:pPr>
            <w:r>
              <w:rPr>
                <w:rFonts w:hint="eastAsia" w:ascii="宋体" w:hAnsi="宋体"/>
                <w:lang w:val="en-US" w:eastAsia="zh-CN"/>
              </w:rPr>
              <w:t xml:space="preserve">安全管控方案</w:t>
            </w: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rPr>
                <w:rFonts w:ascii="宋体" w:hAnsi="宋体"/>
              </w:rPr>
            </w:r>
            <w:r/>
          </w:p>
        </w:tc>
        <w:tc>
          <w:tcPr>
            <w:tcW w:w="6025" w:type="dxa"/>
            <w:vAlign w:val="center"/>
            <w:textDirection w:val="lrTb"/>
            <w:noWrap w:val="false"/>
          </w:tcPr>
          <w:p>
            <w:pPr>
              <w:pStyle w:val="924"/>
              <w:rPr>
                <w:rFonts w:hint="eastAsia" w:ascii="宋体" w:hAnsi="宋体"/>
              </w:rPr>
            </w:pPr>
            <w:r>
              <w:rPr>
                <w:rFonts w:hint="eastAsia" w:ascii="宋体" w:hAnsi="宋体"/>
                <w:lang w:val="en-US" w:eastAsia="zh-CN"/>
              </w:rPr>
              <w:t xml:space="preserve">3.3</w:t>
            </w:r>
            <w:r>
              <w:rPr>
                <w:rFonts w:hint="eastAsia" w:ascii="宋体" w:hAnsi="宋体"/>
              </w:rPr>
              <w:t xml:space="preserve">评委根据投标文件对第四章“采购需求”中“</w:t>
            </w:r>
            <w:r>
              <w:rPr>
                <w:rFonts w:hint="eastAsia" w:ascii="宋体" w:hAnsi="宋体"/>
                <w:lang w:val="en-US" w:eastAsia="zh-CN"/>
              </w:rPr>
              <w:t xml:space="preserve">安全管控方案</w:t>
            </w:r>
            <w:r>
              <w:rPr>
                <w:rFonts w:hint="eastAsia" w:ascii="宋体" w:hAnsi="宋体"/>
              </w:rPr>
              <w:t xml:space="preserve">”响应情况进行评审。</w:t>
            </w:r>
            <w:r>
              <w:rPr>
                <w:rFonts w:hint="eastAsia" w:ascii="宋体" w:hAnsi="宋体"/>
              </w:rPr>
            </w:r>
            <w:r/>
          </w:p>
          <w:p>
            <w:pPr>
              <w:pStyle w:val="924"/>
              <w:rPr>
                <w:rFonts w:hint="eastAsia" w:ascii="宋体" w:hAnsi="宋体"/>
              </w:rPr>
            </w:pPr>
            <w:r>
              <w:rPr>
                <w:rFonts w:hint="eastAsia" w:ascii="宋体" w:hAnsi="宋体"/>
              </w:rPr>
              <w:t xml:space="preserve">(1)投标文件未提供“</w:t>
            </w:r>
            <w:r>
              <w:rPr>
                <w:rFonts w:hint="eastAsia" w:ascii="宋体" w:hAnsi="宋体"/>
                <w:lang w:val="en-US" w:eastAsia="zh-CN"/>
              </w:rPr>
              <w:t xml:space="preserve">安全管控方案</w:t>
            </w:r>
            <w:r>
              <w:rPr>
                <w:rFonts w:hint="eastAsia" w:ascii="宋体" w:hAnsi="宋体"/>
              </w:rPr>
              <w:t xml:space="preserve">”或未符合“</w:t>
            </w:r>
            <w:r>
              <w:rPr>
                <w:rFonts w:hint="eastAsia" w:ascii="宋体" w:hAnsi="宋体"/>
                <w:lang w:val="en-US" w:eastAsia="zh-CN"/>
              </w:rPr>
              <w:t xml:space="preserve">安全管控方案</w:t>
            </w:r>
            <w:r>
              <w:rPr>
                <w:rFonts w:hint="eastAsia" w:ascii="宋体" w:hAnsi="宋体"/>
              </w:rPr>
              <w:t xml:space="preserve">”中全部条款要求的，视为不符合招标文件，本项不得分。</w:t>
            </w:r>
            <w:r>
              <w:rPr>
                <w:rFonts w:hint="eastAsia" w:ascii="宋体" w:hAnsi="宋体"/>
              </w:rPr>
            </w:r>
            <w:r/>
          </w:p>
          <w:p>
            <w:pPr>
              <w:pStyle w:val="924"/>
              <w:rPr>
                <w:rFonts w:hint="eastAsia" w:ascii="宋体" w:hAnsi="宋体"/>
              </w:rPr>
            </w:pPr>
            <w:r>
              <w:rPr>
                <w:rFonts w:hint="eastAsia" w:ascii="宋体" w:hAnsi="宋体"/>
              </w:rPr>
              <w:t xml:space="preserve">(2)投标文件符合“</w:t>
            </w:r>
            <w:r>
              <w:rPr>
                <w:rFonts w:hint="eastAsia" w:ascii="宋体" w:hAnsi="宋体"/>
                <w:lang w:val="en-US" w:eastAsia="zh-CN"/>
              </w:rPr>
              <w:t xml:space="preserve">安全管控方案</w:t>
            </w:r>
            <w:r>
              <w:rPr>
                <w:rFonts w:hint="eastAsia" w:ascii="宋体" w:hAnsi="宋体"/>
              </w:rPr>
              <w:t xml:space="preserve">”中全部条款要求的，视为符合招标文件，得</w:t>
            </w:r>
            <w:r>
              <w:rPr>
                <w:rFonts w:hint="eastAsia" w:ascii="宋体" w:hAnsi="宋体"/>
                <w:lang w:val="en-US" w:eastAsia="zh-CN"/>
              </w:rPr>
              <w:t xml:space="preserve">3</w:t>
            </w:r>
            <w:r>
              <w:rPr>
                <w:rFonts w:hint="eastAsia" w:ascii="宋体" w:hAnsi="宋体"/>
              </w:rPr>
              <w:t xml:space="preserve">分。</w:t>
            </w:r>
            <w:r>
              <w:rPr>
                <w:rFonts w:hint="eastAsia" w:ascii="宋体" w:hAnsi="宋体"/>
              </w:rPr>
            </w:r>
            <w:r/>
          </w:p>
          <w:p>
            <w:pPr>
              <w:pStyle w:val="924"/>
              <w:spacing w:line="312" w:lineRule="auto"/>
              <w:rPr>
                <w:rFonts w:ascii="宋体" w:hAnsi="宋体"/>
              </w:rPr>
            </w:pPr>
            <w:r>
              <w:rPr>
                <w:rFonts w:hint="eastAsia" w:ascii="宋体" w:hAnsi="宋体"/>
              </w:rPr>
              <w:t xml:space="preserve">(3)经评委认定，投标文件对“</w:t>
            </w:r>
            <w:r>
              <w:rPr>
                <w:rFonts w:hint="eastAsia" w:ascii="宋体" w:hAnsi="宋体"/>
                <w:lang w:val="en-US" w:eastAsia="zh-CN"/>
              </w:rPr>
              <w:t xml:space="preserve">安全管控方案</w:t>
            </w:r>
            <w:r>
              <w:rPr>
                <w:rFonts w:hint="eastAsia" w:ascii="宋体" w:hAnsi="宋体"/>
              </w:rPr>
              <w:t xml:space="preserve">”中“</w:t>
            </w:r>
            <w:r>
              <w:rPr>
                <w:rFonts w:hint="eastAsia" w:ascii="宋体" w:hAnsi="宋体"/>
                <w:lang w:val="en-US" w:eastAsia="zh-CN"/>
              </w:rPr>
              <w:t xml:space="preserve">安全管理体系</w:t>
            </w:r>
            <w:r>
              <w:rPr>
                <w:rFonts w:hint="eastAsia" w:ascii="宋体" w:hAnsi="宋体"/>
              </w:rPr>
              <w:t xml:space="preserve">”、“</w:t>
            </w:r>
            <w:r>
              <w:rPr>
                <w:rFonts w:hint="eastAsia" w:ascii="宋体" w:hAnsi="宋体"/>
                <w:lang w:val="en-US" w:eastAsia="zh-CN"/>
              </w:rPr>
              <w:t xml:space="preserve">安全保障措施</w:t>
            </w:r>
            <w:r>
              <w:rPr>
                <w:rFonts w:hint="eastAsia" w:ascii="宋体" w:hAnsi="宋体"/>
              </w:rPr>
              <w:t xml:space="preserve">”</w:t>
            </w:r>
            <w:r>
              <w:rPr>
                <w:rFonts w:hint="eastAsia" w:ascii="宋体" w:hAnsi="宋体"/>
                <w:lang w:val="en-US" w:eastAsia="zh-CN"/>
              </w:rPr>
              <w:t xml:space="preserve">两</w:t>
            </w:r>
            <w:r>
              <w:rPr>
                <w:rFonts w:hint="eastAsia" w:ascii="宋体" w:hAnsi="宋体"/>
              </w:rPr>
              <w:t xml:space="preserve">项要求的响应内容全部优于招标文件要求的(投标文件对“</w:t>
            </w:r>
            <w:r>
              <w:rPr>
                <w:rFonts w:hint="eastAsia" w:ascii="宋体" w:hAnsi="宋体"/>
                <w:lang w:val="en-US" w:eastAsia="zh-CN"/>
              </w:rPr>
              <w:t xml:space="preserve">安全管理体系</w:t>
            </w:r>
            <w:r>
              <w:rPr>
                <w:rFonts w:hint="eastAsia" w:ascii="宋体" w:hAnsi="宋体"/>
              </w:rPr>
              <w:t xml:space="preserve">”、“</w:t>
            </w:r>
            <w:r>
              <w:rPr>
                <w:rFonts w:hint="eastAsia" w:ascii="宋体" w:hAnsi="宋体"/>
                <w:lang w:val="en-US" w:eastAsia="zh-CN"/>
              </w:rPr>
              <w:t xml:space="preserve">安全保障措施</w:t>
            </w:r>
            <w:r>
              <w:rPr>
                <w:rFonts w:hint="eastAsia" w:ascii="宋体" w:hAnsi="宋体"/>
              </w:rPr>
              <w:t xml:space="preserve">”外其他要求响应内容符合招标文件要求)得</w:t>
            </w:r>
            <w:r>
              <w:rPr>
                <w:rFonts w:hint="eastAsia" w:ascii="宋体" w:hAnsi="宋体"/>
                <w:lang w:val="en-US" w:eastAsia="zh-CN"/>
              </w:rPr>
              <w:t xml:space="preserve">5</w:t>
            </w:r>
            <w:r>
              <w:rPr>
                <w:rFonts w:hint="eastAsia" w:ascii="宋体" w:hAnsi="宋体"/>
              </w:rPr>
              <w:t xml:space="preserve">分。</w:t>
            </w:r>
            <w:r>
              <w:rPr>
                <w:rFonts w:ascii="宋体" w:hAnsi="宋体"/>
              </w:rPr>
            </w:r>
            <w:r/>
          </w:p>
        </w:tc>
      </w:tr>
      <w:tr>
        <w:trPr>
          <w:cantSplit/>
          <w:trHeight w:val="756"/>
        </w:trPr>
        <w:tc>
          <w:tcPr>
            <w:tcW w:w="2964" w:type="dxa"/>
            <w:vAlign w:val="center"/>
            <w:textDirection w:val="lrTb"/>
            <w:noWrap w:val="false"/>
          </w:tcPr>
          <w:p>
            <w:pPr>
              <w:pStyle w:val="924"/>
              <w:jc w:val="center"/>
              <w:spacing w:line="240" w:lineRule="auto"/>
              <w:rPr>
                <w:rFonts w:ascii="宋体" w:hAnsi="宋体"/>
              </w:rPr>
            </w:pPr>
            <w:r>
              <w:rPr>
                <w:rFonts w:hint="eastAsia" w:ascii="宋体" w:hAnsi="宋体" w:cs="宋体"/>
                <w:lang w:val="en-US" w:eastAsia="zh-CN"/>
              </w:rPr>
              <w:t xml:space="preserve">售后服务方案</w:t>
            </w: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rPr>
                <w:rFonts w:ascii="宋体" w:hAnsi="宋体"/>
              </w:rPr>
            </w:r>
            <w:r/>
          </w:p>
        </w:tc>
        <w:tc>
          <w:tcPr>
            <w:tcW w:w="6025" w:type="dxa"/>
            <w:vAlign w:val="center"/>
            <w:textDirection w:val="lrTb"/>
            <w:noWrap w:val="false"/>
          </w:tcPr>
          <w:p>
            <w:pPr>
              <w:pStyle w:val="924"/>
              <w:rPr>
                <w:rFonts w:hint="eastAsia" w:ascii="宋体" w:hAnsi="宋体"/>
              </w:rPr>
            </w:pPr>
            <w:r>
              <w:rPr>
                <w:rFonts w:hint="eastAsia" w:ascii="宋体" w:hAnsi="宋体"/>
                <w:lang w:val="en-US" w:eastAsia="zh-CN"/>
              </w:rPr>
              <w:t xml:space="preserve">3.4</w:t>
            </w:r>
            <w:r>
              <w:rPr>
                <w:rFonts w:hint="eastAsia" w:ascii="宋体" w:hAnsi="宋体"/>
              </w:rPr>
              <w:t xml:space="preserve">评委根据投标文件对第四章“采购需求”中“</w:t>
            </w:r>
            <w:r>
              <w:rPr>
                <w:rFonts w:hint="eastAsia" w:ascii="宋体" w:hAnsi="宋体" w:cs="宋体"/>
                <w:lang w:val="en-US" w:eastAsia="zh-CN"/>
              </w:rPr>
              <w:t xml:space="preserve">售后服务方案</w:t>
            </w:r>
            <w:r>
              <w:rPr>
                <w:rFonts w:hint="eastAsia" w:ascii="宋体" w:hAnsi="宋体"/>
              </w:rPr>
              <w:t xml:space="preserve">”响应情况进行评审。</w:t>
            </w:r>
            <w:r>
              <w:rPr>
                <w:rFonts w:hint="eastAsia" w:ascii="宋体" w:hAnsi="宋体"/>
              </w:rPr>
            </w:r>
            <w:r/>
          </w:p>
          <w:p>
            <w:pPr>
              <w:pStyle w:val="924"/>
              <w:rPr>
                <w:rFonts w:hint="eastAsia" w:ascii="宋体" w:hAnsi="宋体"/>
              </w:rPr>
            </w:pPr>
            <w:r>
              <w:rPr>
                <w:rFonts w:hint="eastAsia" w:ascii="宋体" w:hAnsi="宋体"/>
              </w:rPr>
              <w:t xml:space="preserve">(1)投标文件未提供“</w:t>
            </w:r>
            <w:r>
              <w:rPr>
                <w:rFonts w:hint="eastAsia" w:ascii="宋体" w:hAnsi="宋体" w:cs="宋体"/>
                <w:lang w:val="en-US" w:eastAsia="zh-CN"/>
              </w:rPr>
              <w:t xml:space="preserve">售后服务方案</w:t>
            </w:r>
            <w:r>
              <w:rPr>
                <w:rFonts w:hint="eastAsia" w:ascii="宋体" w:hAnsi="宋体"/>
              </w:rPr>
              <w:t xml:space="preserve">”或未符合“</w:t>
            </w:r>
            <w:r>
              <w:rPr>
                <w:rFonts w:hint="eastAsia" w:ascii="宋体" w:hAnsi="宋体" w:cs="宋体"/>
                <w:lang w:val="en-US" w:eastAsia="zh-CN"/>
              </w:rPr>
              <w:t xml:space="preserve">售后服务方案</w:t>
            </w:r>
            <w:r>
              <w:rPr>
                <w:rFonts w:hint="eastAsia" w:ascii="宋体" w:hAnsi="宋体"/>
              </w:rPr>
              <w:t xml:space="preserve">”中全部条款要求的，视为不符合招标文件，本项不得分。</w:t>
            </w:r>
            <w:r>
              <w:rPr>
                <w:rFonts w:hint="eastAsia" w:ascii="宋体" w:hAnsi="宋体"/>
              </w:rPr>
            </w:r>
            <w:r/>
          </w:p>
          <w:p>
            <w:pPr>
              <w:pStyle w:val="924"/>
              <w:rPr>
                <w:rFonts w:hint="eastAsia" w:ascii="宋体" w:hAnsi="宋体"/>
              </w:rPr>
            </w:pPr>
            <w:r>
              <w:rPr>
                <w:rFonts w:hint="eastAsia" w:ascii="宋体" w:hAnsi="宋体"/>
              </w:rPr>
              <w:t xml:space="preserve">(2)投标文件符合“</w:t>
            </w:r>
            <w:r>
              <w:rPr>
                <w:rFonts w:hint="eastAsia" w:ascii="宋体" w:hAnsi="宋体" w:cs="宋体"/>
                <w:lang w:val="en-US" w:eastAsia="zh-CN"/>
              </w:rPr>
              <w:t xml:space="preserve">售后服务方案</w:t>
            </w:r>
            <w:r>
              <w:rPr>
                <w:rFonts w:hint="eastAsia" w:ascii="宋体" w:hAnsi="宋体"/>
              </w:rPr>
              <w:t xml:space="preserve">”中全部条款要求的，视为符合招标文件，得</w:t>
            </w:r>
            <w:r>
              <w:rPr>
                <w:rFonts w:hint="eastAsia" w:ascii="宋体" w:hAnsi="宋体"/>
                <w:lang w:val="en-US" w:eastAsia="zh-CN"/>
              </w:rPr>
              <w:t xml:space="preserve">3</w:t>
            </w:r>
            <w:r>
              <w:rPr>
                <w:rFonts w:hint="eastAsia" w:ascii="宋体" w:hAnsi="宋体"/>
              </w:rPr>
              <w:t xml:space="preserve">分。</w:t>
            </w:r>
            <w:r>
              <w:rPr>
                <w:rFonts w:hint="eastAsia" w:ascii="宋体" w:hAnsi="宋体"/>
              </w:rPr>
            </w:r>
            <w:r/>
          </w:p>
          <w:p>
            <w:pPr>
              <w:pStyle w:val="924"/>
              <w:rPr>
                <w:rFonts w:ascii="宋体" w:hAnsi="宋体" w:eastAsia="宋体"/>
                <w:b/>
                <w:color w:val="ff0000"/>
                <w:lang w:val="en-US" w:eastAsia="zh-CN"/>
              </w:rPr>
            </w:pPr>
            <w:r>
              <w:rPr>
                <w:rFonts w:hint="eastAsia" w:ascii="宋体" w:hAnsi="宋体"/>
              </w:rPr>
              <w:t xml:space="preserve">(3)经评委认定，投标文件对“</w:t>
            </w:r>
            <w:r>
              <w:rPr>
                <w:rFonts w:hint="eastAsia" w:ascii="宋体" w:hAnsi="宋体" w:cs="宋体"/>
                <w:lang w:val="en-US" w:eastAsia="zh-CN"/>
              </w:rPr>
              <w:t xml:space="preserve">售后服务方案</w:t>
            </w:r>
            <w:r>
              <w:rPr>
                <w:rFonts w:hint="eastAsia" w:ascii="宋体" w:hAnsi="宋体"/>
              </w:rPr>
              <w:t xml:space="preserve">”中“</w:t>
            </w:r>
            <w:r>
              <w:rPr>
                <w:rFonts w:hint="eastAsia" w:ascii="宋体" w:hAnsi="宋体"/>
                <w:lang w:val="en-US" w:eastAsia="zh-CN"/>
              </w:rPr>
              <w:t xml:space="preserve">响应速度</w:t>
            </w:r>
            <w:r>
              <w:rPr>
                <w:rFonts w:hint="eastAsia" w:ascii="宋体" w:hAnsi="宋体"/>
              </w:rPr>
              <w:t xml:space="preserve">”、“</w:t>
            </w:r>
            <w:r>
              <w:rPr>
                <w:rFonts w:hint="eastAsia" w:ascii="宋体" w:hAnsi="宋体"/>
                <w:lang w:val="en-US" w:eastAsia="zh-CN"/>
              </w:rPr>
              <w:t xml:space="preserve">质保期后的服务</w:t>
            </w:r>
            <w:r>
              <w:rPr>
                <w:rFonts w:hint="eastAsia" w:ascii="宋体" w:hAnsi="宋体"/>
              </w:rPr>
              <w:t xml:space="preserve">”</w:t>
            </w:r>
            <w:r>
              <w:rPr>
                <w:rFonts w:hint="eastAsia" w:ascii="宋体" w:hAnsi="宋体"/>
                <w:lang w:val="en-US" w:eastAsia="zh-CN"/>
              </w:rPr>
              <w:t xml:space="preserve">两</w:t>
            </w:r>
            <w:r>
              <w:rPr>
                <w:rFonts w:hint="eastAsia" w:ascii="宋体" w:hAnsi="宋体"/>
              </w:rPr>
              <w:t xml:space="preserve">项要求的响应内容全部优于招标文件要求的(投标文件对“</w:t>
            </w:r>
            <w:r>
              <w:rPr>
                <w:rFonts w:hint="eastAsia" w:ascii="宋体" w:hAnsi="宋体"/>
                <w:lang w:val="en-US" w:eastAsia="zh-CN"/>
              </w:rPr>
              <w:t xml:space="preserve">响应速度</w:t>
            </w:r>
            <w:r>
              <w:rPr>
                <w:rFonts w:hint="eastAsia" w:ascii="宋体" w:hAnsi="宋体"/>
              </w:rPr>
              <w:t xml:space="preserve">”、“</w:t>
            </w:r>
            <w:r>
              <w:rPr>
                <w:rFonts w:hint="eastAsia" w:ascii="宋体" w:hAnsi="宋体"/>
                <w:lang w:val="en-US" w:eastAsia="zh-CN"/>
              </w:rPr>
              <w:t xml:space="preserve">质保期后的服务</w:t>
            </w:r>
            <w:r>
              <w:rPr>
                <w:rFonts w:hint="eastAsia" w:ascii="宋体" w:hAnsi="宋体"/>
              </w:rPr>
              <w:t xml:space="preserve">”外其他要求响应内容符合招标文件要求)得</w:t>
            </w:r>
            <w:r>
              <w:rPr>
                <w:rFonts w:hint="eastAsia" w:ascii="宋体" w:hAnsi="宋体"/>
                <w:lang w:val="en-US" w:eastAsia="zh-CN"/>
              </w:rPr>
              <w:t xml:space="preserve">5</w:t>
            </w:r>
            <w:r>
              <w:rPr>
                <w:rFonts w:hint="eastAsia" w:ascii="宋体" w:hAnsi="宋体"/>
              </w:rPr>
              <w:t xml:space="preserve">分。</w:t>
            </w:r>
            <w:r>
              <w:rPr>
                <w:rFonts w:ascii="宋体" w:hAnsi="宋体" w:eastAsia="宋体"/>
                <w:b/>
                <w:color w:val="ff0000"/>
                <w:lang w:val="en-US" w:eastAsia="zh-CN"/>
              </w:rPr>
            </w:r>
            <w:r/>
          </w:p>
        </w:tc>
      </w:tr>
      <w:tr>
        <w:trPr>
          <w:cantSplit/>
          <w:trHeight w:val="1185"/>
        </w:trPr>
        <w:tc>
          <w:tcPr>
            <w:tcW w:w="2964" w:type="dxa"/>
            <w:vAlign w:val="center"/>
            <w:textDirection w:val="lrTb"/>
            <w:noWrap w:val="false"/>
          </w:tcPr>
          <w:p>
            <w:pPr>
              <w:pStyle w:val="924"/>
              <w:jc w:val="center"/>
              <w:spacing w:line="240" w:lineRule="auto"/>
              <w:rPr>
                <w:rFonts w:ascii="宋体" w:hAnsi="宋体"/>
              </w:rPr>
            </w:pPr>
            <w:r>
              <w:rPr>
                <w:rFonts w:hint="eastAsia" w:ascii="宋体" w:hAnsi="宋体" w:cs="宋体"/>
                <w:lang w:val="en-US" w:eastAsia="zh-CN"/>
              </w:rPr>
              <w:t xml:space="preserve">人员培训方案（5分）</w:t>
            </w:r>
            <w:r>
              <w:rPr>
                <w:rFonts w:ascii="宋体" w:hAnsi="宋体"/>
              </w:rPr>
            </w:r>
            <w:r/>
          </w:p>
        </w:tc>
        <w:tc>
          <w:tcPr>
            <w:tcW w:w="6025" w:type="dxa"/>
            <w:vAlign w:val="center"/>
            <w:textDirection w:val="lrTb"/>
            <w:noWrap w:val="false"/>
          </w:tcPr>
          <w:p>
            <w:pPr>
              <w:pStyle w:val="924"/>
              <w:rPr>
                <w:rFonts w:hint="eastAsia" w:ascii="宋体" w:hAnsi="宋体"/>
              </w:rPr>
            </w:pPr>
            <w:r>
              <w:rPr>
                <w:rFonts w:hint="eastAsia" w:ascii="宋体" w:hAnsi="宋体"/>
                <w:lang w:val="en-US" w:eastAsia="zh-CN"/>
              </w:rPr>
              <w:t xml:space="preserve">3.5</w:t>
            </w:r>
            <w:r>
              <w:rPr>
                <w:rFonts w:hint="eastAsia" w:ascii="宋体" w:hAnsi="宋体"/>
              </w:rPr>
              <w:t xml:space="preserve">评委根据投标文件对第四章“采购需求”中“</w:t>
            </w:r>
            <w:r>
              <w:rPr>
                <w:rFonts w:hint="eastAsia" w:ascii="宋体" w:hAnsi="宋体" w:cs="宋体"/>
                <w:lang w:val="en-US" w:eastAsia="zh-CN"/>
              </w:rPr>
              <w:t xml:space="preserve">人员培训方案</w:t>
            </w:r>
            <w:r>
              <w:rPr>
                <w:rFonts w:hint="eastAsia" w:ascii="宋体" w:hAnsi="宋体"/>
              </w:rPr>
              <w:t xml:space="preserve">”响应情况进行评审。</w:t>
            </w:r>
            <w:r>
              <w:rPr>
                <w:rFonts w:hint="eastAsia" w:ascii="宋体" w:hAnsi="宋体"/>
              </w:rPr>
            </w:r>
            <w:r/>
          </w:p>
          <w:p>
            <w:pPr>
              <w:pStyle w:val="924"/>
              <w:rPr>
                <w:rFonts w:hint="eastAsia" w:ascii="宋体" w:hAnsi="宋体"/>
              </w:rPr>
            </w:pPr>
            <w:r>
              <w:rPr>
                <w:rFonts w:hint="eastAsia" w:ascii="宋体" w:hAnsi="宋体"/>
              </w:rPr>
              <w:t xml:space="preserve">(1)投标文件未提供“</w:t>
            </w:r>
            <w:r>
              <w:rPr>
                <w:rFonts w:hint="eastAsia" w:ascii="宋体" w:hAnsi="宋体" w:cs="宋体"/>
                <w:lang w:val="en-US" w:eastAsia="zh-CN"/>
              </w:rPr>
              <w:t xml:space="preserve">人员培训方案</w:t>
            </w:r>
            <w:r>
              <w:rPr>
                <w:rFonts w:hint="eastAsia" w:ascii="宋体" w:hAnsi="宋体"/>
              </w:rPr>
              <w:t xml:space="preserve">”或未符合“</w:t>
            </w:r>
            <w:r>
              <w:rPr>
                <w:rFonts w:hint="eastAsia" w:ascii="宋体" w:hAnsi="宋体" w:cs="宋体"/>
                <w:lang w:val="en-US" w:eastAsia="zh-CN"/>
              </w:rPr>
              <w:t xml:space="preserve">人员培训方案</w:t>
            </w:r>
            <w:r>
              <w:rPr>
                <w:rFonts w:hint="eastAsia" w:ascii="宋体" w:hAnsi="宋体"/>
              </w:rPr>
              <w:t xml:space="preserve">”中全部条款要求的，视为不符合招标文件，本项不得分。</w:t>
            </w:r>
            <w:r>
              <w:rPr>
                <w:rFonts w:hint="eastAsia" w:ascii="宋体" w:hAnsi="宋体"/>
              </w:rPr>
            </w:r>
            <w:r/>
          </w:p>
          <w:p>
            <w:pPr>
              <w:pStyle w:val="924"/>
              <w:rPr>
                <w:rFonts w:hint="eastAsia" w:ascii="宋体" w:hAnsi="宋体"/>
              </w:rPr>
            </w:pPr>
            <w:r>
              <w:rPr>
                <w:rFonts w:hint="eastAsia" w:ascii="宋体" w:hAnsi="宋体"/>
              </w:rPr>
              <w:t xml:space="preserve">(2)投标文件符合“</w:t>
            </w:r>
            <w:r>
              <w:rPr>
                <w:rFonts w:hint="eastAsia" w:ascii="宋体" w:hAnsi="宋体" w:cs="宋体"/>
                <w:lang w:val="en-US" w:eastAsia="zh-CN"/>
              </w:rPr>
              <w:t xml:space="preserve">人员培训方案</w:t>
            </w:r>
            <w:r>
              <w:rPr>
                <w:rFonts w:hint="eastAsia" w:ascii="宋体" w:hAnsi="宋体"/>
              </w:rPr>
              <w:t xml:space="preserve">”中全部条款要求的，视为符合招标文件，得</w:t>
            </w:r>
            <w:r>
              <w:rPr>
                <w:rFonts w:hint="eastAsia" w:ascii="宋体" w:hAnsi="宋体"/>
                <w:lang w:val="en-US" w:eastAsia="zh-CN"/>
              </w:rPr>
              <w:t xml:space="preserve">3</w:t>
            </w:r>
            <w:r>
              <w:rPr>
                <w:rFonts w:hint="eastAsia" w:ascii="宋体" w:hAnsi="宋体"/>
              </w:rPr>
              <w:t xml:space="preserve">分。</w:t>
            </w:r>
            <w:r>
              <w:rPr>
                <w:rFonts w:hint="eastAsia" w:ascii="宋体" w:hAnsi="宋体"/>
              </w:rPr>
            </w:r>
            <w:r/>
          </w:p>
          <w:p>
            <w:pPr>
              <w:pStyle w:val="1016"/>
              <w:ind w:left="0"/>
              <w:spacing w:line="240" w:lineRule="auto"/>
              <w:rPr>
                <w:rFonts w:hint="eastAsia" w:ascii="宋体" w:hAnsi="宋体"/>
              </w:rPr>
            </w:pPr>
            <w:r>
              <w:rPr>
                <w:rFonts w:hint="eastAsia" w:ascii="宋体" w:hAnsi="宋体"/>
              </w:rPr>
              <w:t xml:space="preserve">(</w:t>
            </w:r>
            <w:r>
              <w:rPr>
                <w:rFonts w:hint="eastAsia" w:ascii="宋体" w:hAnsi="宋体" w:eastAsia="宋体" w:cs="Times New Roman"/>
                <w:sz w:val="21"/>
                <w:szCs w:val="22"/>
                <w:lang w:val="en-US" w:eastAsia="zh-CN" w:bidi="ar-SA"/>
              </w:rPr>
              <w:t xml:space="preserve">3)经评委认定，投标文件对“人员培训方案”中“</w:t>
            </w:r>
            <w:r>
              <w:rPr>
                <w:rFonts w:hint="eastAsia" w:ascii="宋体" w:hAnsi="宋体" w:cs="Times New Roman"/>
                <w:sz w:val="21"/>
                <w:szCs w:val="22"/>
                <w:lang w:val="en-US" w:eastAsia="zh-CN" w:bidi="ar-SA"/>
              </w:rPr>
              <w:t xml:space="preserve">培训内容</w:t>
            </w:r>
            <w:r>
              <w:rPr>
                <w:rFonts w:hint="eastAsia" w:ascii="宋体" w:hAnsi="宋体" w:eastAsia="宋体" w:cs="Times New Roman"/>
                <w:sz w:val="21"/>
                <w:szCs w:val="22"/>
                <w:lang w:val="en-US" w:eastAsia="zh-CN" w:bidi="ar-SA"/>
              </w:rPr>
              <w:t xml:space="preserve">”、“</w:t>
            </w:r>
            <w:r>
              <w:rPr>
                <w:rFonts w:hint="eastAsia" w:ascii="宋体" w:hAnsi="宋体" w:cs="Times New Roman"/>
                <w:sz w:val="21"/>
                <w:szCs w:val="22"/>
                <w:lang w:val="en-US" w:eastAsia="zh-CN" w:bidi="ar-SA"/>
              </w:rPr>
              <w:t xml:space="preserve">培训次数</w:t>
            </w:r>
            <w:r>
              <w:rPr>
                <w:rFonts w:hint="eastAsia" w:ascii="宋体" w:hAnsi="宋体" w:eastAsia="宋体" w:cs="Times New Roman"/>
                <w:sz w:val="21"/>
                <w:szCs w:val="22"/>
                <w:lang w:val="en-US" w:eastAsia="zh-CN" w:bidi="ar-SA"/>
              </w:rPr>
              <w:t xml:space="preserve">”</w:t>
            </w:r>
            <w:r>
              <w:rPr>
                <w:rFonts w:hint="eastAsia" w:ascii="宋体" w:hAnsi="宋体"/>
                <w:lang w:val="en-US" w:eastAsia="zh-CN"/>
              </w:rPr>
              <w:t xml:space="preserve">两</w:t>
            </w:r>
            <w:r>
              <w:rPr>
                <w:rFonts w:hint="eastAsia" w:ascii="宋体" w:hAnsi="宋体" w:eastAsia="宋体" w:cs="Times New Roman"/>
                <w:sz w:val="21"/>
                <w:szCs w:val="22"/>
                <w:lang w:val="en-US" w:eastAsia="zh-CN" w:bidi="ar-SA"/>
              </w:rPr>
              <w:t xml:space="preserve">项要求的响应内容全部优于招标文件要求的(投标文件对“</w:t>
            </w:r>
            <w:r>
              <w:rPr>
                <w:rFonts w:hint="eastAsia" w:ascii="宋体" w:hAnsi="宋体" w:cs="Times New Roman"/>
                <w:sz w:val="21"/>
                <w:szCs w:val="22"/>
                <w:lang w:val="en-US" w:eastAsia="zh-CN" w:bidi="ar-SA"/>
              </w:rPr>
              <w:t xml:space="preserve">培训内容</w:t>
            </w:r>
            <w:r>
              <w:rPr>
                <w:rFonts w:hint="eastAsia" w:ascii="宋体" w:hAnsi="宋体" w:eastAsia="宋体" w:cs="Times New Roman"/>
                <w:sz w:val="21"/>
                <w:szCs w:val="22"/>
                <w:lang w:val="en-US" w:eastAsia="zh-CN" w:bidi="ar-SA"/>
              </w:rPr>
              <w:t xml:space="preserve">”</w:t>
            </w:r>
            <w:r>
              <w:rPr>
                <w:rFonts w:hint="eastAsia" w:ascii="宋体" w:hAnsi="宋体" w:cs="Times New Roman"/>
                <w:sz w:val="21"/>
                <w:szCs w:val="22"/>
                <w:lang w:val="en-US" w:eastAsia="zh-CN" w:bidi="ar-SA"/>
              </w:rPr>
              <w:t xml:space="preserve">、</w:t>
            </w:r>
            <w:r>
              <w:rPr>
                <w:rFonts w:hint="eastAsia" w:ascii="宋体" w:hAnsi="宋体" w:eastAsia="宋体" w:cs="Times New Roman"/>
                <w:sz w:val="21"/>
                <w:szCs w:val="22"/>
                <w:lang w:val="en-US" w:eastAsia="zh-CN" w:bidi="ar-SA"/>
              </w:rPr>
              <w:t xml:space="preserve">“</w:t>
            </w:r>
            <w:r>
              <w:rPr>
                <w:rFonts w:hint="eastAsia" w:ascii="宋体" w:hAnsi="宋体" w:cs="Times New Roman"/>
                <w:sz w:val="21"/>
                <w:szCs w:val="22"/>
                <w:lang w:val="en-US" w:eastAsia="zh-CN" w:bidi="ar-SA"/>
              </w:rPr>
              <w:t xml:space="preserve">培训次数</w:t>
            </w:r>
            <w:r>
              <w:rPr>
                <w:rFonts w:hint="eastAsia" w:ascii="宋体" w:hAnsi="宋体" w:eastAsia="宋体" w:cs="Times New Roman"/>
                <w:sz w:val="21"/>
                <w:szCs w:val="22"/>
                <w:lang w:val="en-US" w:eastAsia="zh-CN" w:bidi="ar-SA"/>
              </w:rPr>
              <w:t xml:space="preserve">”外其他要求响应内容符合招标文件要求)得5分。</w:t>
            </w:r>
            <w:r>
              <w:rPr>
                <w:rFonts w:hint="eastAsia" w:ascii="宋体" w:hAnsi="宋体"/>
              </w:rPr>
            </w:r>
            <w:r/>
          </w:p>
        </w:tc>
      </w:tr>
      <w:tr>
        <w:trPr>
          <w:cantSplit/>
          <w:trHeight w:val="1185"/>
        </w:trPr>
        <w:tc>
          <w:tcPr>
            <w:tcW w:w="2964" w:type="dxa"/>
            <w:vAlign w:val="center"/>
            <w:textDirection w:val="lrTb"/>
            <w:noWrap w:val="false"/>
          </w:tcPr>
          <w:p>
            <w:pPr>
              <w:pStyle w:val="924"/>
              <w:jc w:val="center"/>
              <w:rPr>
                <w:rFonts w:hint="eastAsia" w:ascii="宋体" w:hAnsi="宋体" w:eastAsia="宋体" w:cs="Times New Roman"/>
                <w:lang w:val="en-US" w:eastAsia="zh-CN"/>
              </w:rPr>
            </w:pPr>
            <w:r>
              <w:rPr>
                <w:rFonts w:hint="eastAsia" w:ascii="宋体" w:hAnsi="宋体" w:eastAsia="宋体" w:cs="Times New Roman"/>
                <w:lang w:val="en-US" w:eastAsia="zh-CN"/>
              </w:rPr>
              <w:t xml:space="preserve">节能产品（1分）</w:t>
            </w:r>
            <w:r>
              <w:rPr>
                <w:rFonts w:hint="eastAsia" w:ascii="宋体" w:hAnsi="宋体" w:eastAsia="宋体" w:cs="Times New Roman"/>
                <w:lang w:val="en-US" w:eastAsia="zh-CN"/>
              </w:rPr>
            </w:r>
            <w:r/>
          </w:p>
        </w:tc>
        <w:tc>
          <w:tcPr>
            <w:tcW w:w="6025" w:type="dxa"/>
            <w:vAlign w:val="center"/>
            <w:textDirection w:val="lrTb"/>
            <w:noWrap w:val="false"/>
          </w:tcPr>
          <w:p>
            <w:pPr>
              <w:pStyle w:val="924"/>
              <w:rPr>
                <w:rFonts w:hint="eastAsia" w:ascii="宋体" w:hAnsi="宋体" w:eastAsia="宋体" w:cs="Times New Roman"/>
              </w:rPr>
            </w:pPr>
            <w:r>
              <w:rPr>
                <w:rFonts w:hint="eastAsia" w:ascii="宋体" w:hAnsi="宋体" w:eastAsia="宋体" w:cs="Times New Roman"/>
              </w:rPr>
              <w:t xml:space="preserve">4.1投标产品属于财政部、国家发改委公布的“节能产品品目清单”范围内的，投标人提供国家确定的认证机构出具的、处于有效期之内的该节能产品认证证书复印件的，有1个得0.5分，最多得1分</w:t>
            </w:r>
            <w:r>
              <w:rPr>
                <w:rFonts w:hint="eastAsia" w:ascii="宋体" w:hAnsi="宋体" w:eastAsia="宋体" w:cs="Times New Roman"/>
                <w:lang w:val="en-US" w:eastAsia="zh-CN"/>
              </w:rPr>
              <w:t xml:space="preserve">。</w:t>
            </w:r>
            <w:r>
              <w:rPr>
                <w:rFonts w:hint="eastAsia" w:ascii="宋体" w:hAnsi="宋体" w:eastAsia="宋体" w:cs="Times New Roman"/>
              </w:rPr>
            </w:r>
            <w:r/>
          </w:p>
        </w:tc>
      </w:tr>
      <w:tr>
        <w:trPr>
          <w:cantSplit/>
          <w:trHeight w:val="1185"/>
        </w:trPr>
        <w:tc>
          <w:tcPr>
            <w:tcW w:w="2964" w:type="dxa"/>
            <w:vAlign w:val="center"/>
            <w:textDirection w:val="lrTb"/>
            <w:noWrap w:val="false"/>
          </w:tcPr>
          <w:p>
            <w:pPr>
              <w:pStyle w:val="924"/>
              <w:jc w:val="center"/>
              <w:rPr>
                <w:rFonts w:hint="eastAsia" w:ascii="宋体" w:hAnsi="宋体" w:eastAsia="宋体" w:cs="Times New Roman"/>
                <w:lang w:val="en-US" w:eastAsia="zh-CN"/>
              </w:rPr>
            </w:pPr>
            <w:r>
              <w:rPr>
                <w:rFonts w:hint="eastAsia" w:ascii="宋体" w:hAnsi="宋体" w:eastAsia="宋体" w:cs="Times New Roman"/>
                <w:lang w:val="en-US" w:eastAsia="zh-CN"/>
              </w:rPr>
              <w:t xml:space="preserve">环境标志产品（1分）</w:t>
            </w:r>
            <w:r>
              <w:rPr>
                <w:rFonts w:hint="eastAsia" w:ascii="宋体" w:hAnsi="宋体" w:eastAsia="宋体" w:cs="Times New Roman"/>
                <w:lang w:val="en-US" w:eastAsia="zh-CN"/>
              </w:rPr>
            </w:r>
            <w:r/>
          </w:p>
        </w:tc>
        <w:tc>
          <w:tcPr>
            <w:tcW w:w="6025" w:type="dxa"/>
            <w:vAlign w:val="center"/>
            <w:textDirection w:val="lrTb"/>
            <w:noWrap w:val="false"/>
          </w:tcPr>
          <w:p>
            <w:pPr>
              <w:pStyle w:val="924"/>
              <w:rPr>
                <w:rFonts w:hint="eastAsia" w:ascii="宋体" w:hAnsi="宋体" w:eastAsia="宋体" w:cs="Times New Roman"/>
              </w:rPr>
            </w:pPr>
            <w:r>
              <w:rPr>
                <w:rFonts w:hint="eastAsia" w:ascii="宋体" w:hAnsi="宋体" w:eastAsia="宋体" w:cs="Times New Roman"/>
              </w:rPr>
              <w:t xml:space="preserve">4.2投标产品属于财政部、生态环境部公布的“环境标志产品品目清单”范围内的，投标人提供国家确定的认证机构出具的、处于有效期内的该投标产品环境标志产品认证证书复印件的，有1个得0.5分，最多得1分。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eastAsia="宋体" w:cs="Times New Roman"/>
              </w:rPr>
            </w:r>
            <w:r/>
          </w:p>
        </w:tc>
      </w:tr>
    </w:tbl>
    <w:p>
      <w:pPr>
        <w:pStyle w:val="924"/>
        <w:rPr>
          <w:rFonts w:hint="eastAsia"/>
        </w:rPr>
      </w:pPr>
      <w:r>
        <w:rPr>
          <w:rFonts w:hint="eastAsia"/>
        </w:rPr>
      </w:r>
      <w:r/>
    </w:p>
    <w:p>
      <w:pPr>
        <w:pStyle w:val="926"/>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highlight w:val="none"/>
        </w:rPr>
      </w:r>
      <w:r>
        <w:rPr>
          <w:rFonts w:hint="eastAsia" w:ascii="黑体" w:hAnsi="黑体" w:eastAsia="黑体" w:cs="Arial"/>
          <w:b w:val="0"/>
          <w:bCs w:val="0"/>
          <w:sz w:val="28"/>
          <w:szCs w:val="28"/>
          <w:highlight w:val="none"/>
        </w:rPr>
      </w:r>
      <w:r/>
    </w:p>
    <w:p>
      <w:pPr>
        <w:pStyle w:val="926"/>
        <w:keepLines/>
        <w:keepNext/>
        <w:pageBreakBefore w:val="0"/>
        <w:spacing w:line="400" w:lineRule="exact"/>
        <w:widowControl w:val="off"/>
        <w:rPr>
          <w:rFonts w:hint="eastAsia" w:ascii="黑体" w:hAnsi="黑体" w:eastAsia="黑体" w:cs="Arial"/>
          <w:b w:val="0"/>
          <w:bCs w:val="0"/>
          <w:sz w:val="28"/>
          <w:szCs w:val="28"/>
          <w:highlight w:val="none"/>
        </w:rPr>
      </w:pPr>
      <w:r>
        <w:rPr>
          <w:rFonts w:hint="eastAsia" w:ascii="黑体" w:hAnsi="黑体" w:eastAsia="黑体" w:cs="Arial"/>
          <w:b w:val="0"/>
          <w:bCs w:val="0"/>
          <w:sz w:val="28"/>
          <w:szCs w:val="28"/>
        </w:rPr>
        <w:t xml:space="preserve">第六章  投标</w:t>
      </w:r>
      <w:bookmarkEnd w:id="181"/>
      <w:r/>
      <w:bookmarkEnd w:id="182"/>
      <w:r/>
      <w:bookmarkEnd w:id="183"/>
      <w:r>
        <w:rPr>
          <w:rFonts w:hint="eastAsia" w:ascii="黑体" w:hAnsi="黑体" w:eastAsia="黑体" w:cs="Arial"/>
          <w:b w:val="0"/>
          <w:bCs w:val="0"/>
          <w:sz w:val="28"/>
          <w:szCs w:val="28"/>
        </w:rPr>
        <w:t xml:space="preserve">文件格式</w:t>
      </w:r>
      <w:r>
        <w:rPr>
          <w:rFonts w:hint="eastAsia" w:ascii="黑体" w:hAnsi="黑体" w:eastAsia="黑体" w:cs="Arial"/>
          <w:b w:val="0"/>
          <w:bCs w:val="0"/>
          <w:sz w:val="28"/>
          <w:szCs w:val="28"/>
        </w:rPr>
      </w:r>
      <w:r/>
    </w:p>
    <w:p>
      <w:pPr>
        <w:pStyle w:val="924"/>
        <w:jc w:val="center"/>
        <w:pageBreakBefore w:val="0"/>
        <w:spacing w:line="400" w:lineRule="exact"/>
        <w:widowControl w:val="off"/>
        <w:rPr>
          <w:rFonts w:hint="eastAsia" w:ascii="宋体" w:hAnsi="宋体"/>
          <w:b/>
          <w:color w:val="000000"/>
          <w:sz w:val="28"/>
          <w:szCs w:val="28"/>
        </w:rPr>
      </w:pPr>
      <w:r/>
      <w:bookmarkStart w:id="184" w:name="_Hlt26955039"/>
      <w:r/>
      <w:bookmarkEnd w:id="184"/>
      <w:r/>
      <w:bookmarkStart w:id="185" w:name="_Hlt26671244"/>
      <w:r/>
      <w:bookmarkEnd w:id="185"/>
      <w:r/>
      <w:bookmarkStart w:id="186" w:name="_Toc120614282"/>
      <w:r/>
      <w:bookmarkStart w:id="187" w:name="_Toc49090576"/>
      <w:r/>
      <w:bookmarkStart w:id="188" w:name="_Toc26554094"/>
      <w:r>
        <w:rPr>
          <w:rFonts w:hint="eastAsia" w:ascii="宋体" w:hAnsi="宋体"/>
          <w:b/>
          <w:color w:val="000000"/>
          <w:sz w:val="28"/>
          <w:szCs w:val="28"/>
        </w:rPr>
      </w:r>
      <w:r/>
    </w:p>
    <w:p>
      <w:pPr>
        <w:pStyle w:val="924"/>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24"/>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24"/>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24"/>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24"/>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24"/>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24"/>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24"/>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24"/>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24"/>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24"/>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2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宋体" w:hAnsi="宋体"/>
          <w:sz w:val="28"/>
          <w:szCs w:val="28"/>
        </w:rPr>
      </w:r>
      <w:r/>
    </w:p>
    <w:p>
      <w:pPr>
        <w:pStyle w:val="924"/>
        <w:ind w:firstLine="560"/>
        <w:keepLines w:val="0"/>
        <w:keepNext w:val="0"/>
        <w:pageBreakBefore w:val="0"/>
        <w:spacing w:line="400" w:lineRule="exact"/>
        <w:widowControl w:val="off"/>
        <w:rPr>
          <w:rFonts w:hint="eastAsia" w:ascii="宋体" w:hAnsi="宋体"/>
          <w:sz w:val="28"/>
          <w:szCs w:val="28"/>
          <w:highlight w:val="yellow"/>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12.联合体协议（如果本项目接受联合体参加投标，投标人是联合体的，则必须提供。格式见附件11）</w:t>
      </w:r>
      <w:r>
        <w:rPr>
          <w:rFonts w:hint="eastAsia" w:ascii="宋体" w:hAnsi="宋体"/>
          <w:sz w:val="28"/>
          <w:szCs w:val="28"/>
          <w:highlight w:val="yellow"/>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rPr>
          <w:rFonts w:hint="eastAsia" w:ascii="方正仿宋_GBK" w:hAnsi="方正仿宋_GBK" w:eastAsia="方正仿宋_GBK" w:cs="方正仿宋_GBK"/>
          <w:sz w:val="28"/>
          <w:szCs w:val="28"/>
        </w:rPr>
      </w:r>
      <w:r/>
    </w:p>
    <w:p>
      <w:pPr>
        <w:pStyle w:val="92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lang w:val="en-US" w:eastAsia="zh-CN"/>
        </w:rPr>
      </w:r>
      <w:r/>
    </w:p>
    <w:p>
      <w:pPr>
        <w:pStyle w:val="924"/>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24"/>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24"/>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24"/>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r>
            <w:r/>
          </w:p>
        </w:tc>
      </w:tr>
      <w:tr>
        <w:trPr>
          <w:cantSplit/>
          <w:trHeight w:val="767"/>
        </w:trPr>
        <w:tc>
          <w:tcPr>
            <w:gridSpan w:val="10"/>
            <w:tcW w:w="9514" w:type="dxa"/>
            <w:vAlign w:val="top"/>
            <w:textDirection w:val="lrTb"/>
            <w:noWrap w:val="false"/>
          </w:tcPr>
          <w:p>
            <w:pPr>
              <w:pStyle w:val="98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2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24"/>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4"/>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4"/>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2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4"/>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24"/>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24"/>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24"/>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89" w:name="_Toc120614284"/>
      <w:r>
        <w:rPr>
          <w:rFonts w:hint="eastAsia" w:ascii="方正仿宋_GBK" w:hAnsi="方正仿宋_GBK" w:eastAsia="方正仿宋_GBK" w:cs="方正仿宋_GBK"/>
          <w:sz w:val="28"/>
          <w:szCs w:val="28"/>
        </w:rPr>
      </w:r>
      <w:r/>
    </w:p>
    <w:p>
      <w:pPr>
        <w:pStyle w:val="924"/>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4"/>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24"/>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2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2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2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2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0" w:name="_Hlt26955070"/>
      <w:r/>
      <w:bookmarkEnd w:id="190"/>
      <w:r/>
      <w:bookmarkStart w:id="191" w:name="_格式3__银行出具的资信证明"/>
      <w:r/>
      <w:bookmarkEnd w:id="191"/>
      <w:r/>
      <w:bookmarkStart w:id="192" w:name="_Hlt26671380"/>
      <w:r/>
      <w:bookmarkEnd w:id="19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24"/>
        <w:jc w:val="both"/>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24"/>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24"/>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24"/>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24"/>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24"/>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24"/>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24"/>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24"/>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24"/>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24"/>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24"/>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24"/>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24"/>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24"/>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924"/>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24"/>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24"/>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24"/>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924"/>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24"/>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924"/>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24"/>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24"/>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4"/>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24"/>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24"/>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24"/>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24"/>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24"/>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24"/>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24"/>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24"/>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24"/>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24"/>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24"/>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86"/>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8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9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9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8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8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8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86"/>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986"/>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986"/>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98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8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8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8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8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86"/>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9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24"/>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24"/>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24"/>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24"/>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24"/>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24"/>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24"/>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24"/>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24"/>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9"/>
      <w:r/>
      <w:bookmarkEnd w:id="180"/>
      <w:r/>
      <w:bookmarkEnd w:id="18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24"/>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24"/>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24"/>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24"/>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24"/>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24"/>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仿宋_GB2312">
    <w:panose1 w:val="020B0503020202020204"/>
  </w:font>
  <w:font w:name="方正楷体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4"/>
                    </w:pPr>
                    <w:r/>
                    <w:r/>
                  </w:p>
                </w:txbxContent>
              </v:textbox>
            </v:shape>
          </w:pict>
        </mc:Fallback>
      </mc:AlternateContent>
    </w:r>
    <w:r/>
  </w:p>
  <w:p>
    <w:pPr>
      <w:pStyle w:val="97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fldSimple w:instr="PAGE \* MERGEFORMAT">
      <w:r>
        <w:t xml:space="preserve">1</w:t>
      </w:r>
    </w:fldSimple>
    <w:r/>
    <w:r/>
  </w:p>
  <w:p>
    <w:pPr>
      <w:pStyle w:val="7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rPr>
        <w:rStyle w:val="996"/>
      </w:rPr>
    </w:r>
    <w:r/>
  </w:p>
  <w:p>
    <w:pPr>
      <w:pStyle w:val="9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8"/>
      <w:isLgl w:val="false"/>
      <w:suff w:val="tab"/>
      <w:lvlText w:val="(%1)"/>
      <w:lvlJc w:val="left"/>
      <w:pPr>
        <w:pStyle w:val="924"/>
        <w:ind w:left="425" w:hanging="425"/>
        <w:tabs>
          <w:tab w:val="num" w:pos="420" w:leader="none"/>
        </w:tabs>
      </w:pPr>
    </w:lvl>
    <w:lvl w:ilvl="1">
      <w:start w:val="1"/>
      <w:numFmt w:val="lowerLetter"/>
      <w:isLgl w:val="false"/>
      <w:suff w:val="tab"/>
      <w:lvlText w:val="%2)"/>
      <w:lvlJc w:val="left"/>
      <w:pPr>
        <w:pStyle w:val="924"/>
        <w:ind w:left="840" w:hanging="420"/>
      </w:p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6">
    <w:multiLevelType w:val="hybridMultilevel"/>
    <w:lvl w:ilvl="0">
      <w:start w:val="1"/>
      <w:numFmt w:val="upperLetter"/>
      <w:pStyle w:val="1003"/>
      <w:isLgl w:val="false"/>
      <w:suff w:val="tab"/>
      <w:lvlText w:val="附录%1."/>
      <w:lvlJc w:val="left"/>
      <w:pPr>
        <w:pStyle w:val="92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0"/>
      <w:isLgl w:val="false"/>
      <w:suff w:val="tab"/>
      <w:lvlText w:val="%1."/>
      <w:lvlJc w:val="left"/>
      <w:pPr>
        <w:pStyle w:val="924"/>
        <w:ind w:left="709" w:hanging="709"/>
        <w:tabs>
          <w:tab w:val="num" w:pos="709" w:leader="none"/>
        </w:tabs>
      </w:pPr>
      <w:rPr>
        <w:rFonts w:hint="eastAsia"/>
      </w:rPr>
    </w:lvl>
    <w:lvl w:ilvl="1">
      <w:start w:val="1"/>
      <w:numFmt w:val="decimal"/>
      <w:isLgl w:val="false"/>
      <w:suff w:val="tab"/>
      <w:lvlText w:val="%1.%2"/>
      <w:lvlJc w:val="left"/>
      <w:pPr>
        <w:pStyle w:val="924"/>
        <w:ind w:left="709" w:hanging="709"/>
        <w:tabs>
          <w:tab w:val="num" w:pos="709" w:leader="none"/>
        </w:tabs>
      </w:pPr>
      <w:rPr>
        <w:rFonts w:hint="eastAsia"/>
      </w:rPr>
    </w:lvl>
    <w:lvl w:ilvl="2">
      <w:start w:val="1"/>
      <w:numFmt w:val="decimal"/>
      <w:isLgl w:val="false"/>
      <w:suff w:val="tab"/>
      <w:lvlText w:val="%1.%2.%3."/>
      <w:lvlJc w:val="left"/>
      <w:pPr>
        <w:pStyle w:val="924"/>
        <w:ind w:left="425" w:hanging="425"/>
        <w:tabs>
          <w:tab w:val="num" w:pos="425" w:leader="none"/>
        </w:tabs>
      </w:pPr>
      <w:rPr>
        <w:rFonts w:hint="eastAsia"/>
      </w:rPr>
    </w:lvl>
    <w:lvl w:ilvl="3">
      <w:start w:val="1"/>
      <w:numFmt w:val="decimal"/>
      <w:isLgl w:val="false"/>
      <w:suff w:val="tab"/>
      <w:lvlText w:val="%1.%2.%3.%4."/>
      <w:lvlJc w:val="left"/>
      <w:pPr>
        <w:pStyle w:val="924"/>
        <w:ind w:left="851" w:hanging="851"/>
        <w:tabs>
          <w:tab w:val="num" w:pos="851" w:leader="none"/>
        </w:tabs>
      </w:pPr>
      <w:rPr>
        <w:rFonts w:hint="eastAsia"/>
      </w:rPr>
    </w:lvl>
    <w:lvl w:ilvl="4">
      <w:start w:val="1"/>
      <w:numFmt w:val="decimal"/>
      <w:isLgl w:val="false"/>
      <w:suff w:val="tab"/>
      <w:lvlText w:val="%1.%2.%3.%4.%5."/>
      <w:lvlJc w:val="left"/>
      <w:pPr>
        <w:pStyle w:val="924"/>
        <w:ind w:left="992" w:hanging="992"/>
        <w:tabs>
          <w:tab w:val="num" w:pos="992" w:leader="none"/>
        </w:tabs>
      </w:pPr>
      <w:rPr>
        <w:rFonts w:hint="eastAsia"/>
      </w:rPr>
    </w:lvl>
    <w:lvl w:ilvl="5">
      <w:start w:val="1"/>
      <w:numFmt w:val="decimal"/>
      <w:isLgl w:val="false"/>
      <w:suff w:val="tab"/>
      <w:lvlText w:val="%1.%2.%3.%4.%5.%6."/>
      <w:lvlJc w:val="left"/>
      <w:pPr>
        <w:pStyle w:val="924"/>
        <w:ind w:left="1134" w:hanging="1134"/>
        <w:tabs>
          <w:tab w:val="num" w:pos="1134" w:leader="none"/>
        </w:tabs>
      </w:pPr>
      <w:rPr>
        <w:rFonts w:hint="eastAsia"/>
      </w:rPr>
    </w:lvl>
    <w:lvl w:ilvl="6">
      <w:start w:val="1"/>
      <w:numFmt w:val="decimal"/>
      <w:isLgl w:val="false"/>
      <w:suff w:val="tab"/>
      <w:lvlText w:val="%1.%2.%3.%4.%5.%6.%7."/>
      <w:lvlJc w:val="left"/>
      <w:pPr>
        <w:pStyle w:val="924"/>
        <w:ind w:left="1276" w:hanging="1276"/>
        <w:tabs>
          <w:tab w:val="num" w:pos="1276" w:leader="none"/>
        </w:tabs>
      </w:pPr>
      <w:rPr>
        <w:rFonts w:hint="eastAsia"/>
      </w:rPr>
    </w:lvl>
    <w:lvl w:ilvl="7">
      <w:start w:val="1"/>
      <w:numFmt w:val="decimal"/>
      <w:isLgl w:val="false"/>
      <w:suff w:val="tab"/>
      <w:lvlText w:val="%1.%2.%3.%4.%5.%6.%7.%8."/>
      <w:lvlJc w:val="left"/>
      <w:pPr>
        <w:pStyle w:val="924"/>
        <w:ind w:left="1418" w:hanging="1418"/>
        <w:tabs>
          <w:tab w:val="num" w:pos="1418" w:leader="none"/>
        </w:tabs>
      </w:pPr>
      <w:rPr>
        <w:rFonts w:hint="eastAsia"/>
      </w:rPr>
    </w:lvl>
    <w:lvl w:ilvl="8">
      <w:start w:val="1"/>
      <w:numFmt w:val="decimal"/>
      <w:isLgl w:val="false"/>
      <w:suff w:val="tab"/>
      <w:lvlText w:val="%1.%2.%3.%4.%5.%6.%7.%8.%9."/>
      <w:lvlJc w:val="left"/>
      <w:pPr>
        <w:pStyle w:val="924"/>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24"/>
        <w:ind w:left="0" w:firstLine="0"/>
      </w:pPr>
      <w:rPr>
        <w:rFonts w:hint="eastAsia"/>
      </w:rPr>
    </w:lvl>
    <w:lvl w:ilvl="1">
      <w:start w:val="1"/>
      <w:numFmt w:val="decimal"/>
      <w:isLgl w:val="false"/>
      <w:suff w:val="nothing"/>
      <w:lvlText w:val="%2、"/>
      <w:lvlJc w:val="left"/>
      <w:pPr>
        <w:pStyle w:val="924"/>
        <w:ind w:left="0" w:firstLine="0"/>
      </w:pPr>
      <w:rPr>
        <w:rFonts w:hint="eastAsia"/>
      </w:rPr>
    </w:lvl>
    <w:lvl w:ilvl="2">
      <w:start w:val="1"/>
      <w:numFmt w:val="decimal"/>
      <w:isLgl w:val="false"/>
      <w:suff w:val="nothing"/>
      <w:lvlText w:val="%2.%3 "/>
      <w:lvlJc w:val="left"/>
      <w:pPr>
        <w:pStyle w:val="924"/>
        <w:ind w:left="0" w:firstLine="0"/>
      </w:pPr>
      <w:rPr>
        <w:rFonts w:hint="eastAsia"/>
      </w:rPr>
    </w:lvl>
    <w:lvl w:ilvl="3">
      <w:start w:val="1"/>
      <w:numFmt w:val="decimal"/>
      <w:isLgl w:val="false"/>
      <w:suff w:val="nothing"/>
      <w:lvlText w:val="%2.%3.%4 "/>
      <w:lvlJc w:val="left"/>
      <w:pPr>
        <w:pStyle w:val="924"/>
        <w:ind w:left="0" w:firstLine="0"/>
      </w:pPr>
      <w:rPr>
        <w:rFonts w:hint="eastAsia"/>
      </w:rPr>
    </w:lvl>
    <w:lvl w:ilvl="4">
      <w:start w:val="1"/>
      <w:numFmt w:val="decimal"/>
      <w:isLgl w:val="false"/>
      <w:suff w:val="nothing"/>
      <w:lvlText w:val="%2.%3.%4.%5 "/>
      <w:lvlJc w:val="left"/>
      <w:pPr>
        <w:pStyle w:val="924"/>
        <w:ind w:left="0" w:firstLine="0"/>
      </w:pPr>
      <w:rPr>
        <w:rFonts w:hint="eastAsia"/>
      </w:rPr>
    </w:lvl>
    <w:lvl w:ilvl="5">
      <w:start w:val="1"/>
      <w:numFmt w:val="decimal"/>
      <w:pStyle w:val="930"/>
      <w:isLgl w:val="false"/>
      <w:suff w:val="nothing"/>
      <w:lvlText w:val=""/>
      <w:lvlJc w:val="left"/>
      <w:pPr>
        <w:pStyle w:val="924"/>
        <w:ind w:left="0" w:firstLine="0"/>
      </w:pPr>
      <w:rPr>
        <w:rFonts w:hint="eastAsia"/>
      </w:rPr>
    </w:lvl>
    <w:lvl w:ilvl="6">
      <w:start w:val="1"/>
      <w:numFmt w:val="decimal"/>
      <w:pStyle w:val="931"/>
      <w:isLgl w:val="false"/>
      <w:suff w:val="nothing"/>
      <w:lvlText w:val=""/>
      <w:lvlJc w:val="left"/>
      <w:pPr>
        <w:pStyle w:val="924"/>
        <w:ind w:left="0" w:firstLine="0"/>
      </w:pPr>
      <w:rPr>
        <w:rFonts w:hint="eastAsia"/>
      </w:rPr>
    </w:lvl>
    <w:lvl w:ilvl="7">
      <w:start w:val="1"/>
      <w:numFmt w:val="decimal"/>
      <w:pStyle w:val="932"/>
      <w:isLgl w:val="false"/>
      <w:suff w:val="nothing"/>
      <w:lvlText w:val=""/>
      <w:lvlJc w:val="left"/>
      <w:pPr>
        <w:pStyle w:val="924"/>
        <w:ind w:left="0" w:firstLine="0"/>
      </w:pPr>
      <w:rPr>
        <w:rFonts w:hint="eastAsia"/>
      </w:rPr>
    </w:lvl>
    <w:lvl w:ilvl="8">
      <w:start w:val="1"/>
      <w:numFmt w:val="decimal"/>
      <w:pStyle w:val="933"/>
      <w:isLgl w:val="false"/>
      <w:suff w:val="nothing"/>
      <w:lvlText w:val=""/>
      <w:lvlJc w:val="left"/>
      <w:pPr>
        <w:pStyle w:val="924"/>
        <w:ind w:left="0" w:firstLine="0"/>
      </w:pPr>
      <w:rPr>
        <w:rFonts w:hint="eastAsia"/>
      </w:rPr>
    </w:lvl>
  </w:abstractNum>
  <w:abstractNum w:abstractNumId="9">
    <w:multiLevelType w:val="hybridMultilevel"/>
    <w:lvl w:ilvl="0">
      <w:start w:val="3"/>
      <w:numFmt w:val="chineseCounting"/>
      <w:isLgl w:val="false"/>
      <w:suff w:val="nothing"/>
      <w:lvlText w:val="%1、"/>
      <w:lvlJc w:val="left"/>
      <w:pPr>
        <w:pStyle w:val="9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5"/>
  </w:num>
  <w:num w:numId="5">
    <w:abstractNumId w:val="0"/>
  </w:num>
  <w:num w:numId="6">
    <w:abstractNumId w:val="1"/>
  </w:num>
  <w:num w:numId="7">
    <w:abstractNumId w:val="2"/>
  </w:num>
  <w:num w:numId="8">
    <w:abstractNumId w:val="4"/>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4"/>
    <w:next w:val="924"/>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24"/>
    <w:next w:val="924"/>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24"/>
    <w:next w:val="924"/>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24"/>
    <w:next w:val="924"/>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24"/>
    <w:next w:val="924"/>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24"/>
    <w:next w:val="924"/>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4"/>
    <w:next w:val="924"/>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4"/>
    <w:next w:val="924"/>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4"/>
    <w:next w:val="924"/>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24"/>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9"/>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uiPriority w:val="35"/>
    <w:semiHidden/>
    <w:unhideWhenUsed/>
    <w:qFormat/>
    <w:pPr>
      <w:spacing w:line="276" w:lineRule="auto"/>
    </w:pPr>
    <w:rPr>
      <w:b/>
      <w:bCs/>
      <w:color w:val="4f81bd" w:themeColor="accent1"/>
      <w:sz w:val="18"/>
      <w:szCs w:val="18"/>
    </w:rPr>
  </w:style>
  <w:style w:type="character" w:styleId="779">
    <w:name w:val="Caption Char"/>
    <w:basedOn w:val="778"/>
    <w:link w:val="776"/>
    <w:uiPriority w:val="99"/>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24"/>
    <w:link w:val="924"/>
    <w:qFormat/>
    <w:pPr>
      <w:jc w:val="both"/>
      <w:widowControl w:val="off"/>
    </w:pPr>
    <w:rPr>
      <w:sz w:val="21"/>
      <w:szCs w:val="22"/>
      <w:lang w:val="en-US" w:eastAsia="zh-CN" w:bidi="ar-SA"/>
    </w:rPr>
  </w:style>
  <w:style w:type="paragraph" w:styleId="925">
    <w:name w:val="标题 1"/>
    <w:basedOn w:val="924"/>
    <w:next w:val="924"/>
    <w:link w:val="936"/>
    <w:qFormat/>
    <w:pPr>
      <w:jc w:val="center"/>
      <w:keepNext/>
      <w:outlineLvl w:val="0"/>
    </w:pPr>
    <w:rPr>
      <w:rFonts w:ascii="楷体_GB2312" w:hAnsi="Times New Roman" w:eastAsia="楷体_GB2312" w:cs="Times New Roman"/>
      <w:sz w:val="28"/>
      <w:szCs w:val="28"/>
    </w:rPr>
  </w:style>
  <w:style w:type="paragraph" w:styleId="926">
    <w:name w:val="标题 2"/>
    <w:basedOn w:val="924"/>
    <w:next w:val="938"/>
    <w:link w:val="937"/>
    <w:qFormat/>
    <w:pPr>
      <w:jc w:val="center"/>
      <w:keepLines/>
      <w:keepNext/>
      <w:spacing w:before="260" w:after="260" w:line="416" w:lineRule="auto"/>
      <w:outlineLvl w:val="1"/>
    </w:pPr>
    <w:rPr>
      <w:rFonts w:ascii="Arial" w:hAnsi="Arial" w:eastAsia="幼圆" w:cs="Arial"/>
      <w:b/>
      <w:bCs/>
      <w:sz w:val="44"/>
      <w:szCs w:val="44"/>
    </w:rPr>
  </w:style>
  <w:style w:type="paragraph" w:styleId="927">
    <w:name w:val="标题 3"/>
    <w:basedOn w:val="924"/>
    <w:next w:val="938"/>
    <w:link w:val="94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8">
    <w:name w:val="标题 4"/>
    <w:basedOn w:val="924"/>
    <w:next w:val="938"/>
    <w:link w:val="941"/>
    <w:qFormat/>
    <w:pPr>
      <w:keepLines/>
      <w:keepNext/>
      <w:spacing w:before="280" w:after="290" w:line="376" w:lineRule="auto"/>
      <w:outlineLvl w:val="3"/>
    </w:pPr>
    <w:rPr>
      <w:rFonts w:ascii="Arial" w:hAnsi="Arial" w:eastAsia="黑体" w:cs="Arial"/>
      <w:b/>
      <w:bCs/>
      <w:sz w:val="28"/>
      <w:szCs w:val="28"/>
    </w:rPr>
  </w:style>
  <w:style w:type="paragraph" w:styleId="929">
    <w:name w:val="标题 5"/>
    <w:basedOn w:val="924"/>
    <w:next w:val="938"/>
    <w:link w:val="942"/>
    <w:qFormat/>
    <w:pPr>
      <w:keepNext/>
      <w:outlineLvl w:val="4"/>
    </w:pPr>
    <w:rPr>
      <w:rFonts w:ascii="宋体" w:hAnsi="Times New Roman" w:eastAsia="宋体" w:cs="Times New Roman"/>
      <w:color w:val="000000"/>
      <w:sz w:val="28"/>
      <w:szCs w:val="28"/>
    </w:rPr>
  </w:style>
  <w:style w:type="paragraph" w:styleId="930">
    <w:name w:val="标题 6"/>
    <w:basedOn w:val="924"/>
    <w:next w:val="924"/>
    <w:link w:val="94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1">
    <w:name w:val="标题 7"/>
    <w:basedOn w:val="924"/>
    <w:next w:val="924"/>
    <w:link w:val="94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2">
    <w:name w:val="标题 8"/>
    <w:basedOn w:val="924"/>
    <w:next w:val="924"/>
    <w:link w:val="94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3">
    <w:name w:val="标题 9"/>
    <w:basedOn w:val="924"/>
    <w:next w:val="924"/>
    <w:link w:val="946"/>
    <w:qFormat/>
    <w:pPr>
      <w:numPr>
        <w:ilvl w:val="8"/>
        <w:numId w:val="1"/>
      </w:numPr>
      <w:keepLines/>
      <w:keepNext/>
      <w:spacing w:before="240" w:after="64" w:line="320" w:lineRule="auto"/>
      <w:outlineLvl w:val="8"/>
    </w:pPr>
    <w:rPr>
      <w:rFonts w:ascii="Arial" w:hAnsi="Arial" w:eastAsia="黑体" w:cs="Times New Roman"/>
      <w:szCs w:val="21"/>
    </w:rPr>
  </w:style>
  <w:style w:type="character" w:styleId="934">
    <w:name w:val="默认段落字体"/>
    <w:next w:val="934"/>
    <w:link w:val="924"/>
    <w:uiPriority w:val="1"/>
    <w:unhideWhenUsed/>
  </w:style>
  <w:style w:type="table" w:styleId="935">
    <w:name w:val="普通表格"/>
    <w:next w:val="935"/>
    <w:link w:val="924"/>
    <w:uiPriority w:val="99"/>
    <w:unhideWhenUsed/>
    <w:tblPr/>
  </w:style>
  <w:style w:type="character" w:styleId="936">
    <w:name w:val="标题 1 Char"/>
    <w:next w:val="936"/>
    <w:link w:val="925"/>
    <w:rPr>
      <w:rFonts w:ascii="楷体_GB2312" w:hAnsi="Times New Roman" w:eastAsia="楷体_GB2312" w:cs="Times New Roman"/>
      <w:sz w:val="28"/>
      <w:szCs w:val="28"/>
    </w:rPr>
  </w:style>
  <w:style w:type="character" w:styleId="937">
    <w:name w:val="标题 2 Char"/>
    <w:next w:val="937"/>
    <w:link w:val="926"/>
    <w:rPr>
      <w:rFonts w:ascii="Arial" w:hAnsi="Arial" w:eastAsia="幼圆" w:cs="Arial"/>
      <w:b/>
      <w:bCs/>
      <w:sz w:val="44"/>
      <w:szCs w:val="44"/>
    </w:rPr>
  </w:style>
  <w:style w:type="paragraph" w:styleId="938">
    <w:name w:val="正文缩进"/>
    <w:basedOn w:val="924"/>
    <w:next w:val="938"/>
    <w:link w:val="939"/>
    <w:pPr>
      <w:ind w:firstLine="420"/>
    </w:pPr>
    <w:rPr>
      <w:szCs w:val="21"/>
    </w:rPr>
  </w:style>
  <w:style w:type="character" w:styleId="939">
    <w:name w:val="正文缩进 Char"/>
    <w:next w:val="939"/>
    <w:link w:val="938"/>
    <w:rPr>
      <w:szCs w:val="21"/>
    </w:rPr>
  </w:style>
  <w:style w:type="character" w:styleId="940">
    <w:name w:val="标题 3 Char"/>
    <w:next w:val="940"/>
    <w:link w:val="927"/>
    <w:rPr>
      <w:rFonts w:ascii="Times New Roman" w:hAnsi="Times New Roman" w:eastAsia="宋体" w:cs="Times New Roman"/>
      <w:b/>
      <w:bCs/>
      <w:sz w:val="32"/>
      <w:szCs w:val="32"/>
    </w:rPr>
  </w:style>
  <w:style w:type="character" w:styleId="941">
    <w:name w:val="标题 4 Char"/>
    <w:next w:val="941"/>
    <w:link w:val="928"/>
    <w:rPr>
      <w:rFonts w:ascii="Arial" w:hAnsi="Arial" w:eastAsia="黑体" w:cs="Arial"/>
      <w:b/>
      <w:bCs/>
      <w:sz w:val="28"/>
      <w:szCs w:val="28"/>
    </w:rPr>
  </w:style>
  <w:style w:type="character" w:styleId="942">
    <w:name w:val="标题 5 Char"/>
    <w:next w:val="942"/>
    <w:link w:val="929"/>
    <w:rPr>
      <w:rFonts w:ascii="宋体" w:hAnsi="Times New Roman" w:eastAsia="宋体" w:cs="Times New Roman"/>
      <w:color w:val="000000"/>
      <w:sz w:val="28"/>
      <w:szCs w:val="28"/>
    </w:rPr>
  </w:style>
  <w:style w:type="character" w:styleId="943">
    <w:name w:val="标题 6 Char"/>
    <w:next w:val="943"/>
    <w:link w:val="930"/>
    <w:rPr>
      <w:rFonts w:ascii="Arial" w:hAnsi="Arial" w:eastAsia="黑体" w:cs="Times New Roman"/>
      <w:b/>
      <w:bCs/>
      <w:sz w:val="24"/>
      <w:szCs w:val="24"/>
    </w:rPr>
  </w:style>
  <w:style w:type="character" w:styleId="944">
    <w:name w:val="标题 7 Char"/>
    <w:next w:val="944"/>
    <w:link w:val="931"/>
    <w:rPr>
      <w:rFonts w:ascii="Times New Roman" w:hAnsi="Times New Roman" w:eastAsia="宋体" w:cs="Times New Roman"/>
      <w:b/>
      <w:bCs/>
      <w:sz w:val="24"/>
      <w:szCs w:val="24"/>
    </w:rPr>
  </w:style>
  <w:style w:type="character" w:styleId="945">
    <w:name w:val="标题 8 Char"/>
    <w:next w:val="945"/>
    <w:link w:val="932"/>
    <w:rPr>
      <w:rFonts w:ascii="Arial" w:hAnsi="Arial" w:eastAsia="黑体" w:cs="Times New Roman"/>
      <w:sz w:val="24"/>
      <w:szCs w:val="24"/>
    </w:rPr>
  </w:style>
  <w:style w:type="character" w:styleId="946">
    <w:name w:val="标题 9 Char"/>
    <w:next w:val="946"/>
    <w:link w:val="933"/>
    <w:rPr>
      <w:rFonts w:ascii="Arial" w:hAnsi="Arial" w:eastAsia="黑体" w:cs="Times New Roman"/>
      <w:szCs w:val="21"/>
    </w:rPr>
  </w:style>
  <w:style w:type="paragraph" w:styleId="947">
    <w:name w:val="列表 3"/>
    <w:basedOn w:val="924"/>
    <w:next w:val="947"/>
    <w:link w:val="924"/>
    <w:pPr>
      <w:ind w:left="100" w:hanging="200"/>
    </w:pPr>
    <w:rPr>
      <w:rFonts w:ascii="Times New Roman" w:hAnsi="Times New Roman" w:eastAsia="宋体" w:cs="Times New Roman"/>
      <w:szCs w:val="21"/>
    </w:rPr>
  </w:style>
  <w:style w:type="paragraph" w:styleId="948">
    <w:name w:val="目录 7"/>
    <w:basedOn w:val="924"/>
    <w:next w:val="924"/>
    <w:link w:val="924"/>
    <w:semiHidden/>
    <w:pPr>
      <w:ind w:left="1260"/>
      <w:jc w:val="left"/>
    </w:pPr>
    <w:rPr>
      <w:rFonts w:ascii="Times New Roman" w:hAnsi="Times New Roman" w:eastAsia="宋体" w:cs="Times New Roman"/>
      <w:szCs w:val="21"/>
    </w:rPr>
  </w:style>
  <w:style w:type="paragraph" w:styleId="949">
    <w:name w:val="文档结构图"/>
    <w:basedOn w:val="924"/>
    <w:next w:val="949"/>
    <w:link w:val="950"/>
    <w:semiHidden/>
    <w:pPr>
      <w:shd w:val="clear" w:color="auto" w:fill="000080"/>
    </w:pPr>
    <w:rPr>
      <w:rFonts w:ascii="Times New Roman" w:hAnsi="Times New Roman" w:eastAsia="宋体" w:cs="Times New Roman"/>
      <w:szCs w:val="21"/>
    </w:rPr>
  </w:style>
  <w:style w:type="character" w:styleId="950">
    <w:name w:val="文档结构图 Char"/>
    <w:next w:val="950"/>
    <w:link w:val="949"/>
    <w:semiHidden/>
    <w:rPr>
      <w:rFonts w:ascii="Times New Roman" w:hAnsi="Times New Roman" w:eastAsia="宋体" w:cs="Times New Roman"/>
      <w:szCs w:val="21"/>
      <w:shd w:val="clear" w:color="auto" w:fill="000080"/>
    </w:rPr>
  </w:style>
  <w:style w:type="paragraph" w:styleId="951">
    <w:name w:val="批注文字"/>
    <w:basedOn w:val="924"/>
    <w:next w:val="951"/>
    <w:link w:val="952"/>
    <w:unhideWhenUsed/>
    <w:pPr>
      <w:jc w:val="left"/>
    </w:pPr>
  </w:style>
  <w:style w:type="character" w:styleId="952">
    <w:name w:val="批注文字 Char"/>
    <w:next w:val="952"/>
    <w:link w:val="951"/>
    <w:uiPriority w:val="99"/>
    <w:semiHidden/>
  </w:style>
  <w:style w:type="paragraph" w:styleId="953">
    <w:name w:val="正文文本 3"/>
    <w:basedOn w:val="924"/>
    <w:next w:val="953"/>
    <w:link w:val="954"/>
    <w:rPr>
      <w:rFonts w:ascii="仿宋_GB2312" w:hAnsi="Arial" w:eastAsia="仿宋_GB2312" w:cs="Times New Roman"/>
      <w:sz w:val="32"/>
      <w:szCs w:val="32"/>
    </w:rPr>
  </w:style>
  <w:style w:type="character" w:styleId="954">
    <w:name w:val="正文文本 3 Char"/>
    <w:next w:val="954"/>
    <w:link w:val="953"/>
    <w:rPr>
      <w:rFonts w:ascii="仿宋_GB2312" w:hAnsi="Arial" w:eastAsia="仿宋_GB2312" w:cs="Times New Roman"/>
      <w:sz w:val="32"/>
      <w:szCs w:val="32"/>
    </w:rPr>
  </w:style>
  <w:style w:type="paragraph" w:styleId="955">
    <w:name w:val="正文文本"/>
    <w:basedOn w:val="924"/>
    <w:next w:val="955"/>
    <w:link w:val="956"/>
    <w:rPr>
      <w:rFonts w:ascii="楷体_GB2312" w:hAnsi="Arial" w:eastAsia="楷体_GB2312" w:cs="Times New Roman"/>
      <w:sz w:val="28"/>
      <w:szCs w:val="28"/>
    </w:rPr>
  </w:style>
  <w:style w:type="character" w:styleId="956">
    <w:name w:val="正文文本 Char"/>
    <w:next w:val="956"/>
    <w:link w:val="955"/>
    <w:rPr>
      <w:rFonts w:ascii="楷体_GB2312" w:hAnsi="Arial" w:eastAsia="楷体_GB2312" w:cs="Times New Roman"/>
      <w:sz w:val="28"/>
      <w:szCs w:val="28"/>
    </w:rPr>
  </w:style>
  <w:style w:type="paragraph" w:styleId="957">
    <w:name w:val="正文文本缩进"/>
    <w:basedOn w:val="924"/>
    <w:next w:val="957"/>
    <w:link w:val="958"/>
    <w:unhideWhenUsed/>
    <w:pPr>
      <w:ind w:left="420"/>
      <w:spacing w:after="120"/>
    </w:pPr>
  </w:style>
  <w:style w:type="character" w:styleId="958">
    <w:name w:val="正文文本缩进 Char"/>
    <w:next w:val="958"/>
    <w:link w:val="957"/>
    <w:uiPriority w:val="99"/>
    <w:semiHidden/>
  </w:style>
  <w:style w:type="paragraph" w:styleId="959">
    <w:name w:val="列表 2"/>
    <w:basedOn w:val="924"/>
    <w:next w:val="959"/>
    <w:link w:val="924"/>
    <w:pPr>
      <w:ind w:left="100" w:hanging="200"/>
    </w:pPr>
    <w:rPr>
      <w:rFonts w:ascii="Times New Roman" w:hAnsi="Times New Roman" w:eastAsia="宋体" w:cs="Times New Roman"/>
      <w:szCs w:val="21"/>
    </w:rPr>
  </w:style>
  <w:style w:type="paragraph" w:styleId="960">
    <w:name w:val="目录 5"/>
    <w:basedOn w:val="924"/>
    <w:next w:val="924"/>
    <w:link w:val="924"/>
    <w:semiHidden/>
    <w:pPr>
      <w:ind w:left="840"/>
      <w:jc w:val="left"/>
    </w:pPr>
    <w:rPr>
      <w:rFonts w:ascii="Times New Roman" w:hAnsi="Times New Roman" w:eastAsia="宋体" w:cs="Times New Roman"/>
      <w:szCs w:val="21"/>
    </w:rPr>
  </w:style>
  <w:style w:type="paragraph" w:styleId="961">
    <w:name w:val="目录 3"/>
    <w:basedOn w:val="924"/>
    <w:next w:val="924"/>
    <w:link w:val="924"/>
    <w:semiHidden/>
    <w:pPr>
      <w:ind w:left="420"/>
      <w:jc w:val="left"/>
    </w:pPr>
    <w:rPr>
      <w:rFonts w:ascii="Times New Roman" w:hAnsi="Times New Roman" w:eastAsia="宋体" w:cs="Times New Roman"/>
      <w:i/>
      <w:iCs/>
      <w:szCs w:val="24"/>
    </w:rPr>
  </w:style>
  <w:style w:type="paragraph" w:styleId="962">
    <w:name w:val="纯文本"/>
    <w:basedOn w:val="924"/>
    <w:next w:val="962"/>
    <w:link w:val="963"/>
    <w:qFormat/>
    <w:rPr>
      <w:rFonts w:ascii="宋体" w:hAnsi="Courier New" w:eastAsia="宋体" w:cs="Courier New"/>
      <w:szCs w:val="21"/>
    </w:rPr>
  </w:style>
  <w:style w:type="character" w:styleId="963">
    <w:name w:val="纯文本 Char"/>
    <w:next w:val="963"/>
    <w:link w:val="962"/>
    <w:rPr>
      <w:rFonts w:ascii="宋体" w:hAnsi="Courier New" w:eastAsia="宋体" w:cs="Courier New"/>
      <w:szCs w:val="21"/>
    </w:rPr>
  </w:style>
  <w:style w:type="paragraph" w:styleId="964">
    <w:name w:val="目录 8"/>
    <w:basedOn w:val="924"/>
    <w:next w:val="924"/>
    <w:link w:val="924"/>
    <w:semiHidden/>
    <w:pPr>
      <w:ind w:left="1470"/>
      <w:jc w:val="left"/>
    </w:pPr>
    <w:rPr>
      <w:rFonts w:ascii="Times New Roman" w:hAnsi="Times New Roman" w:eastAsia="宋体" w:cs="Times New Roman"/>
      <w:szCs w:val="21"/>
    </w:rPr>
  </w:style>
  <w:style w:type="paragraph" w:styleId="965">
    <w:name w:val="日期"/>
    <w:basedOn w:val="924"/>
    <w:next w:val="924"/>
    <w:link w:val="966"/>
    <w:rPr>
      <w:rFonts w:ascii="Times New Roman" w:hAnsi="Times New Roman" w:eastAsia="宋体" w:cs="Times New Roman"/>
      <w:sz w:val="24"/>
      <w:szCs w:val="24"/>
    </w:rPr>
  </w:style>
  <w:style w:type="character" w:styleId="966">
    <w:name w:val="日期 Char"/>
    <w:next w:val="966"/>
    <w:link w:val="965"/>
    <w:rPr>
      <w:rFonts w:ascii="Times New Roman" w:hAnsi="Times New Roman" w:eastAsia="宋体" w:cs="Times New Roman"/>
      <w:sz w:val="24"/>
      <w:szCs w:val="24"/>
    </w:rPr>
  </w:style>
  <w:style w:type="paragraph" w:styleId="967">
    <w:name w:val="正文文本缩进 2"/>
    <w:basedOn w:val="924"/>
    <w:next w:val="967"/>
    <w:link w:val="968"/>
    <w:pPr>
      <w:ind w:left="630" w:firstLine="645"/>
    </w:pPr>
    <w:rPr>
      <w:rFonts w:ascii="Arial" w:hAnsi="Arial" w:eastAsia="仿宋_GB2312" w:cs="Arial"/>
      <w:sz w:val="32"/>
      <w:szCs w:val="32"/>
    </w:rPr>
  </w:style>
  <w:style w:type="character" w:styleId="968">
    <w:name w:val="正文文本缩进 2 Char"/>
    <w:next w:val="968"/>
    <w:link w:val="967"/>
    <w:rPr>
      <w:rFonts w:ascii="Arial" w:hAnsi="Arial" w:eastAsia="仿宋_GB2312" w:cs="Arial"/>
      <w:sz w:val="32"/>
      <w:szCs w:val="32"/>
    </w:rPr>
  </w:style>
  <w:style w:type="paragraph" w:styleId="969">
    <w:name w:val="批注框文本"/>
    <w:basedOn w:val="924"/>
    <w:next w:val="969"/>
    <w:link w:val="970"/>
    <w:semiHidden/>
    <w:rPr>
      <w:rFonts w:ascii="Times New Roman" w:hAnsi="Times New Roman" w:eastAsia="宋体" w:cs="Times New Roman"/>
      <w:sz w:val="18"/>
      <w:szCs w:val="18"/>
    </w:rPr>
  </w:style>
  <w:style w:type="character" w:styleId="970">
    <w:name w:val="批注框文本 Char"/>
    <w:next w:val="970"/>
    <w:link w:val="969"/>
    <w:semiHidden/>
    <w:rPr>
      <w:rFonts w:ascii="Times New Roman" w:hAnsi="Times New Roman" w:eastAsia="宋体" w:cs="Times New Roman"/>
      <w:sz w:val="18"/>
      <w:szCs w:val="18"/>
    </w:rPr>
  </w:style>
  <w:style w:type="paragraph" w:styleId="971">
    <w:name w:val="页脚"/>
    <w:basedOn w:val="924"/>
    <w:next w:val="971"/>
    <w:link w:val="97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72">
    <w:name w:val="页脚 Char"/>
    <w:next w:val="972"/>
    <w:link w:val="971"/>
    <w:uiPriority w:val="99"/>
    <w:rPr>
      <w:rFonts w:ascii="Times New Roman" w:hAnsi="Times New Roman" w:eastAsia="宋体" w:cs="Times New Roman"/>
      <w:sz w:val="18"/>
      <w:szCs w:val="18"/>
    </w:rPr>
  </w:style>
  <w:style w:type="paragraph" w:styleId="973">
    <w:name w:val="页眉"/>
    <w:basedOn w:val="924"/>
    <w:next w:val="973"/>
    <w:link w:val="97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4">
    <w:name w:val="页眉 Char"/>
    <w:next w:val="974"/>
    <w:link w:val="973"/>
    <w:rPr>
      <w:rFonts w:ascii="Times New Roman" w:hAnsi="Times New Roman" w:eastAsia="宋体" w:cs="Times New Roman"/>
      <w:sz w:val="18"/>
      <w:szCs w:val="18"/>
    </w:rPr>
  </w:style>
  <w:style w:type="paragraph" w:styleId="975">
    <w:name w:val="目录 1"/>
    <w:basedOn w:val="924"/>
    <w:next w:val="924"/>
    <w:link w:val="92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6">
    <w:name w:val="目录 4"/>
    <w:basedOn w:val="924"/>
    <w:next w:val="924"/>
    <w:link w:val="924"/>
    <w:semiHidden/>
    <w:pPr>
      <w:ind w:left="630"/>
      <w:jc w:val="left"/>
    </w:pPr>
    <w:rPr>
      <w:rFonts w:ascii="Times New Roman" w:hAnsi="Times New Roman" w:eastAsia="宋体" w:cs="Times New Roman"/>
      <w:szCs w:val="21"/>
    </w:rPr>
  </w:style>
  <w:style w:type="paragraph" w:styleId="977">
    <w:name w:val="列表"/>
    <w:basedOn w:val="924"/>
    <w:next w:val="977"/>
    <w:link w:val="924"/>
    <w:pPr>
      <w:ind w:left="200" w:hanging="200"/>
    </w:pPr>
    <w:rPr>
      <w:rFonts w:ascii="Times New Roman" w:hAnsi="Times New Roman" w:eastAsia="宋体" w:cs="Times New Roman"/>
      <w:szCs w:val="21"/>
    </w:rPr>
  </w:style>
  <w:style w:type="paragraph" w:styleId="978">
    <w:name w:val="目录 6"/>
    <w:basedOn w:val="924"/>
    <w:next w:val="924"/>
    <w:link w:val="924"/>
    <w:semiHidden/>
    <w:pPr>
      <w:ind w:left="1050"/>
      <w:jc w:val="left"/>
    </w:pPr>
    <w:rPr>
      <w:rFonts w:ascii="Times New Roman" w:hAnsi="Times New Roman" w:eastAsia="宋体" w:cs="Times New Roman"/>
      <w:szCs w:val="21"/>
    </w:rPr>
  </w:style>
  <w:style w:type="paragraph" w:styleId="979">
    <w:name w:val="正文文本缩进 3"/>
    <w:basedOn w:val="924"/>
    <w:next w:val="979"/>
    <w:link w:val="980"/>
    <w:pPr>
      <w:ind w:left="645" w:firstLine="645"/>
    </w:pPr>
    <w:rPr>
      <w:rFonts w:ascii="Arial" w:hAnsi="Arial" w:eastAsia="仿宋_GB2312" w:cs="Arial"/>
      <w:color w:val="ffff00"/>
      <w:sz w:val="32"/>
      <w:szCs w:val="32"/>
    </w:rPr>
  </w:style>
  <w:style w:type="character" w:styleId="980">
    <w:name w:val="正文文本缩进 3 Char"/>
    <w:next w:val="980"/>
    <w:link w:val="979"/>
    <w:rPr>
      <w:rFonts w:ascii="Arial" w:hAnsi="Arial" w:eastAsia="仿宋_GB2312" w:cs="Arial"/>
      <w:color w:val="ffff00"/>
      <w:sz w:val="32"/>
      <w:szCs w:val="32"/>
    </w:rPr>
  </w:style>
  <w:style w:type="paragraph" w:styleId="981">
    <w:name w:val="图表目录"/>
    <w:basedOn w:val="924"/>
    <w:next w:val="924"/>
    <w:link w:val="924"/>
    <w:semiHidden/>
    <w:pPr>
      <w:ind w:left="840" w:hanging="420"/>
    </w:pPr>
    <w:rPr>
      <w:rFonts w:ascii="Times New Roman" w:hAnsi="Times New Roman" w:eastAsia="宋体" w:cs="Times New Roman"/>
      <w:szCs w:val="21"/>
    </w:rPr>
  </w:style>
  <w:style w:type="paragraph" w:styleId="982">
    <w:name w:val="目录 2"/>
    <w:basedOn w:val="924"/>
    <w:next w:val="924"/>
    <w:link w:val="924"/>
    <w:semiHidden/>
    <w:pPr>
      <w:ind w:left="210"/>
      <w:jc w:val="left"/>
    </w:pPr>
    <w:rPr>
      <w:rFonts w:ascii="Times New Roman" w:hAnsi="Times New Roman" w:eastAsia="宋体" w:cs="Times New Roman"/>
      <w:smallCaps/>
      <w:szCs w:val="24"/>
    </w:rPr>
  </w:style>
  <w:style w:type="paragraph" w:styleId="983">
    <w:name w:val="目录 9"/>
    <w:basedOn w:val="924"/>
    <w:next w:val="924"/>
    <w:link w:val="924"/>
    <w:semiHidden/>
    <w:pPr>
      <w:ind w:left="1680"/>
      <w:jc w:val="left"/>
    </w:pPr>
    <w:rPr>
      <w:rFonts w:ascii="Times New Roman" w:hAnsi="Times New Roman" w:eastAsia="宋体" w:cs="Times New Roman"/>
      <w:szCs w:val="21"/>
    </w:rPr>
  </w:style>
  <w:style w:type="paragraph" w:styleId="984">
    <w:name w:val="正文文本 2"/>
    <w:basedOn w:val="924"/>
    <w:next w:val="984"/>
    <w:link w:val="985"/>
    <w:pPr>
      <w:jc w:val="center"/>
      <w:widowControl/>
    </w:pPr>
    <w:rPr>
      <w:rFonts w:ascii="楷体_GB2312" w:hAnsi="Times New Roman" w:eastAsia="楷体_GB2312" w:cs="Times New Roman"/>
      <w:sz w:val="28"/>
      <w:szCs w:val="28"/>
    </w:rPr>
  </w:style>
  <w:style w:type="character" w:styleId="985">
    <w:name w:val="正文文本 2 Char"/>
    <w:next w:val="985"/>
    <w:link w:val="984"/>
    <w:rPr>
      <w:rFonts w:ascii="楷体_GB2312" w:hAnsi="Times New Roman" w:eastAsia="楷体_GB2312" w:cs="Times New Roman"/>
      <w:sz w:val="28"/>
      <w:szCs w:val="28"/>
    </w:rPr>
  </w:style>
  <w:style w:type="paragraph" w:styleId="986">
    <w:name w:val="普通(网站)"/>
    <w:basedOn w:val="924"/>
    <w:next w:val="986"/>
    <w:link w:val="924"/>
    <w:uiPriority w:val="99"/>
    <w:pPr>
      <w:jc w:val="left"/>
      <w:spacing w:before="100" w:beforeAutospacing="1" w:after="100" w:afterAutospacing="1"/>
      <w:widowControl/>
    </w:pPr>
    <w:rPr>
      <w:rFonts w:ascii="宋体" w:hAnsi="宋体" w:eastAsia="宋体" w:cs="宋体"/>
      <w:sz w:val="24"/>
      <w:szCs w:val="24"/>
    </w:rPr>
  </w:style>
  <w:style w:type="paragraph" w:styleId="987">
    <w:name w:val="索引 1"/>
    <w:basedOn w:val="924"/>
    <w:next w:val="924"/>
    <w:link w:val="924"/>
    <w:semiHidden/>
    <w:pPr>
      <w:spacing w:line="240" w:lineRule="atLeast"/>
    </w:pPr>
    <w:rPr>
      <w:rFonts w:ascii="Times New Roman" w:hAnsi="Times New Roman" w:eastAsia="宋体" w:cs="Times New Roman"/>
      <w:b/>
      <w:bCs/>
      <w:szCs w:val="21"/>
    </w:rPr>
  </w:style>
  <w:style w:type="paragraph" w:styleId="988">
    <w:name w:val="批注主题"/>
    <w:basedOn w:val="951"/>
    <w:next w:val="951"/>
    <w:link w:val="989"/>
    <w:semiHidden/>
    <w:rPr>
      <w:rFonts w:ascii="Times New Roman" w:hAnsi="Times New Roman" w:eastAsia="宋体" w:cs="Times New Roman"/>
      <w:b/>
      <w:bCs/>
      <w:szCs w:val="21"/>
    </w:rPr>
  </w:style>
  <w:style w:type="character" w:styleId="989">
    <w:name w:val="批注主题 Char"/>
    <w:next w:val="989"/>
    <w:link w:val="988"/>
    <w:semiHidden/>
    <w:rPr>
      <w:rFonts w:ascii="Times New Roman" w:hAnsi="Times New Roman" w:eastAsia="宋体" w:cs="Times New Roman"/>
      <w:b/>
      <w:bCs/>
      <w:szCs w:val="21"/>
    </w:rPr>
  </w:style>
  <w:style w:type="paragraph" w:styleId="990">
    <w:name w:val="正文首行缩进"/>
    <w:basedOn w:val="924"/>
    <w:next w:val="990"/>
    <w:link w:val="991"/>
    <w:pPr>
      <w:ind w:firstLine="200"/>
      <w:spacing w:line="360" w:lineRule="auto"/>
    </w:pPr>
    <w:rPr>
      <w:rFonts w:ascii="仿宋_GB2312" w:hAnsi="Times New Roman" w:eastAsia="仿宋_GB2312" w:cs="Times New Roman"/>
      <w:sz w:val="30"/>
      <w:szCs w:val="30"/>
    </w:rPr>
  </w:style>
  <w:style w:type="character" w:styleId="991">
    <w:name w:val="正文首行缩进 Char"/>
    <w:next w:val="991"/>
    <w:link w:val="990"/>
    <w:rPr>
      <w:rFonts w:ascii="仿宋_GB2312" w:hAnsi="Times New Roman" w:eastAsia="仿宋_GB2312" w:cs="Times New Roman"/>
      <w:sz w:val="30"/>
      <w:szCs w:val="30"/>
    </w:rPr>
  </w:style>
  <w:style w:type="paragraph" w:styleId="992">
    <w:name w:val="正文首行缩进 2"/>
    <w:basedOn w:val="957"/>
    <w:next w:val="992"/>
    <w:link w:val="993"/>
    <w:pPr>
      <w:ind w:left="0" w:firstLine="420"/>
      <w:spacing w:after="0" w:line="360" w:lineRule="auto"/>
    </w:pPr>
    <w:rPr>
      <w:rFonts w:ascii="宋体" w:hAnsi="宋体" w:eastAsia="宋体" w:cs="Times New Roman"/>
      <w:szCs w:val="20"/>
    </w:rPr>
  </w:style>
  <w:style w:type="character" w:styleId="993">
    <w:name w:val="正文首行缩进 2 Char"/>
    <w:next w:val="993"/>
    <w:link w:val="992"/>
    <w:rPr>
      <w:rFonts w:ascii="宋体" w:hAnsi="宋体" w:eastAsia="宋体" w:cs="Times New Roman"/>
      <w:szCs w:val="20"/>
    </w:rPr>
  </w:style>
  <w:style w:type="table" w:styleId="994">
    <w:name w:val="网格型"/>
    <w:basedOn w:val="935"/>
    <w:next w:val="994"/>
    <w:link w:val="924"/>
    <w:pPr>
      <w:jc w:val="both"/>
      <w:widowControl w:val="off"/>
    </w:pPr>
    <w:rPr>
      <w:rFonts w:ascii="Times New Roman" w:hAnsi="Times New Roman" w:eastAsia="宋体" w:cs="Times New Roman"/>
      <w:sz w:val="20"/>
      <w:szCs w:val="20"/>
    </w:rPr>
    <w:tblPr/>
  </w:style>
  <w:style w:type="character" w:styleId="995">
    <w:name w:val="要点"/>
    <w:basedOn w:val="934"/>
    <w:next w:val="995"/>
    <w:link w:val="924"/>
    <w:qFormat/>
    <w:rPr>
      <w:b/>
      <w:bCs/>
    </w:rPr>
  </w:style>
  <w:style w:type="character" w:styleId="996">
    <w:name w:val="页码"/>
    <w:next w:val="996"/>
    <w:link w:val="924"/>
  </w:style>
  <w:style w:type="character" w:styleId="997">
    <w:name w:val="已访问的超链接"/>
    <w:next w:val="997"/>
    <w:link w:val="924"/>
    <w:rPr>
      <w:color w:val="800080"/>
      <w:u w:val="single"/>
    </w:rPr>
  </w:style>
  <w:style w:type="character" w:styleId="998">
    <w:name w:val="强调"/>
    <w:basedOn w:val="934"/>
    <w:next w:val="998"/>
    <w:link w:val="924"/>
    <w:qFormat/>
    <w:rPr>
      <w:i/>
    </w:rPr>
  </w:style>
  <w:style w:type="character" w:styleId="999">
    <w:name w:val="超链接"/>
    <w:next w:val="999"/>
    <w:link w:val="924"/>
    <w:rPr>
      <w:color w:val="0000ff"/>
      <w:u w:val="single"/>
    </w:rPr>
  </w:style>
  <w:style w:type="character" w:styleId="1000">
    <w:name w:val="批注引用"/>
    <w:next w:val="1000"/>
    <w:link w:val="924"/>
    <w:semiHidden/>
    <w:rPr>
      <w:sz w:val="21"/>
      <w:szCs w:val="21"/>
    </w:rPr>
  </w:style>
  <w:style w:type="character" w:styleId="1001">
    <w:name w:val="font5 Char"/>
    <w:next w:val="1001"/>
    <w:link w:val="924"/>
    <w:rPr>
      <w:rFonts w:ascii="宋体" w:hAnsi="宋体" w:eastAsia="宋体"/>
      <w:sz w:val="28"/>
      <w:szCs w:val="28"/>
      <w:lang w:val="en-US" w:eastAsia="zh-CN" w:bidi="ar-SA"/>
    </w:rPr>
  </w:style>
  <w:style w:type="character" w:styleId="1002">
    <w:name w:val="二级目录 Char"/>
    <w:next w:val="1002"/>
    <w:link w:val="1003"/>
    <w:rPr>
      <w:b/>
      <w:sz w:val="30"/>
      <w:szCs w:val="28"/>
    </w:rPr>
  </w:style>
  <w:style w:type="paragraph" w:styleId="1003">
    <w:name w:val="二级目录"/>
    <w:next w:val="924"/>
    <w:link w:val="1002"/>
    <w:pPr>
      <w:numPr>
        <w:ilvl w:val="0"/>
        <w:numId w:val="2"/>
      </w:numPr>
      <w:tabs>
        <w:tab w:val="left" w:pos="907" w:leader="none"/>
        <w:tab w:val="left" w:pos="1145" w:leader="none"/>
      </w:tabs>
      <w:outlineLvl w:val="1"/>
    </w:pPr>
    <w:rPr>
      <w:b/>
      <w:sz w:val="30"/>
      <w:szCs w:val="28"/>
      <w:lang w:val="en-US" w:eastAsia="zh-CN" w:bidi="ar-SA"/>
    </w:rPr>
  </w:style>
  <w:style w:type="character" w:styleId="1004">
    <w:name w:val="列出段落 Char,Bullet List Char,numbered Char,FooterText Char,List Paragraph1 Char,Paragraphe de liste1 Char"/>
    <w:next w:val="1004"/>
    <w:link w:val="1005"/>
    <w:rPr>
      <w:rFonts w:ascii="Calibri" w:hAnsi="Calibri"/>
      <w:sz w:val="24"/>
      <w:szCs w:val="24"/>
      <w:lang w:eastAsia="en-US" w:bidi="en-US"/>
    </w:rPr>
  </w:style>
  <w:style w:type="paragraph" w:styleId="1005">
    <w:name w:val="列出段落1"/>
    <w:basedOn w:val="924"/>
    <w:next w:val="1005"/>
    <w:link w:val="1004"/>
    <w:qFormat/>
    <w:pPr>
      <w:contextualSpacing/>
      <w:ind w:left="720"/>
      <w:jc w:val="left"/>
      <w:widowControl/>
    </w:pPr>
    <w:rPr>
      <w:rFonts w:ascii="Calibri" w:hAnsi="Calibri"/>
      <w:sz w:val="24"/>
      <w:szCs w:val="24"/>
      <w:lang w:eastAsia="en-US" w:bidi="en-US"/>
    </w:rPr>
  </w:style>
  <w:style w:type="paragraph" w:styleId="1006">
    <w:name w:val="Body Text(ch)"/>
    <w:basedOn w:val="924"/>
    <w:next w:val="955"/>
    <w:link w:val="924"/>
    <w:pPr>
      <w:spacing w:after="120"/>
    </w:pPr>
    <w:rPr>
      <w:rFonts w:ascii="宋体" w:hAnsi="Arial" w:eastAsia="宋体" w:cs="Times New Roman"/>
      <w:bCs/>
      <w:iCs/>
      <w:szCs w:val="24"/>
    </w:rPr>
  </w:style>
  <w:style w:type="paragraph" w:styleId="1007">
    <w:name w:val="xl27"/>
    <w:basedOn w:val="924"/>
    <w:next w:val="1007"/>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xl26"/>
    <w:basedOn w:val="924"/>
    <w:next w:val="1008"/>
    <w:link w:val="9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9">
    <w:name w:val="Char"/>
    <w:basedOn w:val="924"/>
    <w:next w:val="1009"/>
    <w:link w:val="924"/>
    <w:pPr>
      <w:ind w:firstLine="200"/>
      <w:tabs>
        <w:tab w:val="left" w:pos="360" w:leader="none"/>
      </w:tabs>
    </w:pPr>
    <w:rPr>
      <w:rFonts w:ascii="Times New Roman" w:hAnsi="Times New Roman" w:eastAsia="宋体" w:cs="Times New Roman"/>
      <w:sz w:val="28"/>
      <w:szCs w:val="30"/>
    </w:rPr>
  </w:style>
  <w:style w:type="paragraph" w:styleId="1010">
    <w:name w:val=" Char"/>
    <w:basedOn w:val="949"/>
    <w:next w:val="1010"/>
    <w:link w:val="924"/>
    <w:rPr>
      <w:rFonts w:ascii="Tahoma" w:hAnsi="Tahoma"/>
      <w:sz w:val="24"/>
      <w:szCs w:val="24"/>
    </w:rPr>
  </w:style>
  <w:style w:type="paragraph" w:styleId="1011">
    <w:name w:val="普通正文"/>
    <w:basedOn w:val="924"/>
    <w:next w:val="1011"/>
    <w:link w:val="924"/>
    <w:pPr>
      <w:ind w:firstLine="480"/>
      <w:jc w:val="left"/>
      <w:spacing w:before="120" w:after="120" w:line="360" w:lineRule="auto"/>
    </w:pPr>
    <w:rPr>
      <w:rFonts w:ascii="Arial" w:hAnsi="Arial" w:eastAsia="宋体" w:cs="Times New Roman"/>
      <w:sz w:val="24"/>
      <w:szCs w:val="24"/>
    </w:rPr>
  </w:style>
  <w:style w:type="paragraph" w:styleId="1012">
    <w:name w:val="table_lines"/>
    <w:basedOn w:val="924"/>
    <w:next w:val="1012"/>
    <w:link w:val="924"/>
    <w:pPr>
      <w:jc w:val="left"/>
      <w:widowControl/>
    </w:pPr>
    <w:rPr>
      <w:rFonts w:ascii="Times New Roman" w:hAnsi="Times New Roman" w:eastAsia="宋体" w:cs="Times New Roman"/>
      <w:sz w:val="20"/>
      <w:szCs w:val="20"/>
      <w:lang w:val="de-DE" w:eastAsia="de-DE"/>
    </w:rPr>
  </w:style>
  <w:style w:type="paragraph" w:styleId="1013">
    <w:name w:val="附录1"/>
    <w:next w:val="1013"/>
    <w:link w:val="92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4">
    <w:name w:val="font7"/>
    <w:basedOn w:val="924"/>
    <w:next w:val="1014"/>
    <w:link w:val="924"/>
    <w:pPr>
      <w:jc w:val="left"/>
      <w:spacing w:before="100" w:beforeAutospacing="1" w:after="100" w:afterAutospacing="1"/>
      <w:widowControl/>
    </w:pPr>
    <w:rPr>
      <w:rFonts w:hint="eastAsia" w:ascii="宋体" w:hAnsi="宋体" w:eastAsia="宋体" w:cs="Times New Roman"/>
      <w:sz w:val="18"/>
      <w:szCs w:val="18"/>
    </w:rPr>
  </w:style>
  <w:style w:type="paragraph" w:styleId="1015">
    <w:name w:val=" Char Char Char Char"/>
    <w:basedOn w:val="949"/>
    <w:next w:val="1015"/>
    <w:link w:val="924"/>
    <w:pPr>
      <w:spacing w:line="360" w:lineRule="auto"/>
    </w:pPr>
    <w:rPr>
      <w:rFonts w:ascii="Tahoma" w:hAnsi="Tahoma"/>
      <w:sz w:val="24"/>
      <w:szCs w:val="24"/>
    </w:rPr>
  </w:style>
  <w:style w:type="paragraph" w:styleId="1016">
    <w:name w:val="列出段落"/>
    <w:basedOn w:val="924"/>
    <w:next w:val="1016"/>
    <w:link w:val="924"/>
    <w:qFormat/>
    <w:pPr>
      <w:contextualSpacing/>
      <w:ind w:left="720"/>
      <w:jc w:val="left"/>
      <w:widowControl/>
    </w:pPr>
    <w:rPr>
      <w:rFonts w:ascii="Calibri" w:hAnsi="Calibri" w:eastAsia="宋体" w:cs="Times New Roman"/>
      <w:sz w:val="24"/>
      <w:szCs w:val="24"/>
      <w:lang w:eastAsia="en-US" w:bidi="en-US"/>
    </w:rPr>
  </w:style>
  <w:style w:type="paragraph" w:styleId="1017">
    <w:name w:val="4"/>
    <w:basedOn w:val="924"/>
    <w:next w:val="979"/>
    <w:link w:val="924"/>
    <w:pPr>
      <w:ind w:firstLine="420"/>
      <w:spacing w:line="360" w:lineRule="auto"/>
    </w:pPr>
    <w:rPr>
      <w:rFonts w:ascii="Times New Roman" w:hAnsi="Times New Roman" w:eastAsia="宋体" w:cs="Times New Roman"/>
      <w:color w:val="ff0000"/>
      <w:sz w:val="24"/>
      <w:szCs w:val="24"/>
    </w:rPr>
  </w:style>
  <w:style w:type="paragraph" w:styleId="1018">
    <w:name w:val="普通 (Web)"/>
    <w:basedOn w:val="924"/>
    <w:next w:val="1018"/>
    <w:link w:val="924"/>
    <w:pPr>
      <w:jc w:val="left"/>
      <w:spacing w:before="100" w:beforeAutospacing="1" w:after="100" w:afterAutospacing="1"/>
      <w:widowControl/>
    </w:pPr>
    <w:rPr>
      <w:rFonts w:ascii="宋体" w:hAnsi="宋体" w:eastAsia="宋体" w:cs="Times New Roman"/>
      <w:sz w:val="24"/>
      <w:szCs w:val="24"/>
    </w:rPr>
  </w:style>
  <w:style w:type="paragraph" w:styleId="1019">
    <w:name w:val=" Char Char Char Char Char Char Char Char Char Char"/>
    <w:basedOn w:val="924"/>
    <w:next w:val="1019"/>
    <w:link w:val="924"/>
    <w:pPr>
      <w:spacing w:line="360" w:lineRule="auto"/>
    </w:pPr>
    <w:rPr>
      <w:rFonts w:ascii="Times New Roman" w:hAnsi="Times New Roman" w:eastAsia="宋体" w:cs="Times New Roman"/>
      <w:sz w:val="24"/>
      <w:szCs w:val="20"/>
    </w:rPr>
  </w:style>
  <w:style w:type="paragraph" w:styleId="1020">
    <w:name w:val="样式1"/>
    <w:basedOn w:val="924"/>
    <w:next w:val="1020"/>
    <w:link w:val="924"/>
    <w:pPr>
      <w:numPr>
        <w:ilvl w:val="0"/>
        <w:numId w:val="3"/>
      </w:numPr>
      <w:tabs>
        <w:tab w:val="left" w:pos="709" w:leader="none"/>
      </w:tabs>
    </w:pPr>
    <w:rPr>
      <w:rFonts w:ascii="宋体" w:hAnsi="宋体" w:eastAsia="宋体" w:cs="Times New Roman"/>
      <w:szCs w:val="21"/>
    </w:rPr>
  </w:style>
  <w:style w:type="paragraph" w:styleId="1021">
    <w:name w:val="font6"/>
    <w:basedOn w:val="924"/>
    <w:next w:val="1021"/>
    <w:link w:val="924"/>
    <w:pPr>
      <w:jc w:val="left"/>
      <w:spacing w:before="100" w:beforeAutospacing="1" w:after="100" w:afterAutospacing="1"/>
      <w:widowControl/>
    </w:pPr>
    <w:rPr>
      <w:rFonts w:hint="eastAsia" w:ascii="宋体" w:hAnsi="宋体" w:eastAsia="宋体" w:cs="Times New Roman"/>
      <w:sz w:val="28"/>
      <w:szCs w:val="28"/>
      <w:u w:val="single"/>
    </w:rPr>
  </w:style>
  <w:style w:type="paragraph" w:styleId="1022">
    <w:name w:val="xl25"/>
    <w:basedOn w:val="924"/>
    <w:next w:val="1022"/>
    <w:link w:val="92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name w:val="图标"/>
    <w:basedOn w:val="924"/>
    <w:next w:val="924"/>
    <w:link w:val="92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4">
    <w:name w:val="标题3"/>
    <w:basedOn w:val="924"/>
    <w:next w:val="924"/>
    <w:link w:val="924"/>
    <w:pPr>
      <w:ind w:firstLine="624"/>
      <w:spacing w:line="590" w:lineRule="atLeast"/>
    </w:pPr>
    <w:rPr>
      <w:rFonts w:ascii="方正黑体_GBK" w:hAnsi="Times New Roman" w:eastAsia="方正黑体_GBK" w:cs="Times New Roman"/>
      <w:sz w:val="32"/>
      <w:szCs w:val="32"/>
    </w:rPr>
  </w:style>
  <w:style w:type="paragraph" w:styleId="1025">
    <w:name w:val="xl24"/>
    <w:basedOn w:val="924"/>
    <w:next w:val="1025"/>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6">
    <w:name w:val="xl29"/>
    <w:basedOn w:val="924"/>
    <w:next w:val="1026"/>
    <w:link w:val="92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7">
    <w:name w:val="Char Char Char Char Char Char Char Char"/>
    <w:basedOn w:val="924"/>
    <w:next w:val="1027"/>
    <w:link w:val="924"/>
    <w:pPr>
      <w:jc w:val="left"/>
      <w:spacing w:after="160" w:line="240" w:lineRule="exact"/>
      <w:widowControl/>
    </w:pPr>
    <w:rPr>
      <w:rFonts w:ascii="Verdana" w:hAnsi="Verdana" w:eastAsia="宋体" w:cs="Times New Roman"/>
      <w:sz w:val="20"/>
      <w:szCs w:val="20"/>
      <w:lang w:eastAsia="en-US"/>
    </w:rPr>
  </w:style>
  <w:style w:type="paragraph" w:styleId="1028">
    <w:name w:val="xl28"/>
    <w:basedOn w:val="924"/>
    <w:next w:val="1028"/>
    <w:link w:val="9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9">
    <w:name w:val=" Char Char Char Char Char Char Char Char"/>
    <w:basedOn w:val="924"/>
    <w:next w:val="1029"/>
    <w:link w:val="924"/>
    <w:pPr>
      <w:jc w:val="left"/>
      <w:spacing w:after="160" w:line="240" w:lineRule="exact"/>
      <w:widowControl/>
    </w:pPr>
    <w:rPr>
      <w:rFonts w:ascii="Verdana" w:hAnsi="Verdana" w:eastAsia="宋体" w:cs="Times New Roman"/>
      <w:sz w:val="20"/>
      <w:szCs w:val="20"/>
      <w:lang w:eastAsia="en-US"/>
    </w:rPr>
  </w:style>
  <w:style w:type="paragraph" w:styleId="1030">
    <w:name w:val="xl30"/>
    <w:basedOn w:val="924"/>
    <w:next w:val="1030"/>
    <w:link w:val="924"/>
    <w:pPr>
      <w:jc w:val="center"/>
      <w:spacing w:before="100" w:beforeAutospacing="1" w:after="100" w:afterAutospacing="1"/>
      <w:widowControl/>
    </w:pPr>
    <w:rPr>
      <w:rFonts w:ascii="宋体" w:hAnsi="宋体" w:eastAsia="宋体" w:cs="Times New Roman"/>
      <w:b/>
      <w:bCs/>
      <w:sz w:val="36"/>
      <w:szCs w:val="36"/>
    </w:rPr>
  </w:style>
  <w:style w:type="paragraph" w:styleId="1031">
    <w:name w:val="Char Char Char Char"/>
    <w:basedOn w:val="949"/>
    <w:next w:val="1031"/>
    <w:link w:val="924"/>
    <w:pPr>
      <w:spacing w:line="360" w:lineRule="auto"/>
    </w:pPr>
    <w:rPr>
      <w:rFonts w:ascii="Tahoma" w:hAnsi="Tahoma"/>
      <w:sz w:val="24"/>
      <w:szCs w:val="24"/>
    </w:rPr>
  </w:style>
  <w:style w:type="paragraph" w:styleId="1032">
    <w:name w:val="table_1stline"/>
    <w:basedOn w:val="924"/>
    <w:next w:val="1032"/>
    <w:link w:val="924"/>
    <w:pPr>
      <w:jc w:val="left"/>
      <w:spacing w:before="120"/>
      <w:widowControl/>
    </w:pPr>
    <w:rPr>
      <w:rFonts w:ascii="Times New Roman" w:hAnsi="Times New Roman" w:eastAsia="宋体" w:cs="Times New Roman"/>
      <w:bCs/>
      <w:sz w:val="20"/>
      <w:szCs w:val="20"/>
      <w:lang w:val="de-DE" w:eastAsia="de-DE"/>
    </w:rPr>
  </w:style>
  <w:style w:type="paragraph" w:styleId="1033">
    <w:name w:val="font5"/>
    <w:basedOn w:val="924"/>
    <w:next w:val="1033"/>
    <w:link w:val="924"/>
    <w:pPr>
      <w:jc w:val="left"/>
      <w:spacing w:before="100" w:beforeAutospacing="1" w:after="100" w:afterAutospacing="1"/>
      <w:widowControl/>
    </w:pPr>
    <w:rPr>
      <w:rFonts w:hint="eastAsia" w:ascii="宋体" w:hAnsi="宋体" w:eastAsia="宋体" w:cs="Times New Roman"/>
      <w:sz w:val="28"/>
      <w:szCs w:val="28"/>
    </w:rPr>
  </w:style>
  <w:style w:type="paragraph" w:styleId="1034">
    <w:name w:val="标题1"/>
    <w:basedOn w:val="924"/>
    <w:next w:val="924"/>
    <w:link w:val="92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5">
    <w:name w:val="修订"/>
    <w:next w:val="1035"/>
    <w:link w:val="924"/>
    <w:uiPriority w:val="99"/>
    <w:semiHidden/>
    <w:rPr>
      <w:rFonts w:ascii="Times New Roman" w:hAnsi="Times New Roman"/>
      <w:sz w:val="21"/>
      <w:szCs w:val="21"/>
      <w:lang w:val="en-US" w:eastAsia="zh-CN" w:bidi="ar-SA"/>
    </w:rPr>
  </w:style>
  <w:style w:type="paragraph" w:styleId="1036">
    <w:name w:val="无间隔"/>
    <w:next w:val="1036"/>
    <w:link w:val="924"/>
    <w:uiPriority w:val="99"/>
    <w:qFormat/>
    <w:pPr>
      <w:jc w:val="both"/>
      <w:widowControl w:val="off"/>
    </w:pPr>
    <w:rPr>
      <w:rFonts w:ascii="Times New Roman" w:hAnsi="Times New Roman"/>
      <w:sz w:val="21"/>
      <w:szCs w:val="21"/>
      <w:lang w:val="en-US" w:eastAsia="zh-CN" w:bidi="ar-SA"/>
    </w:rPr>
  </w:style>
  <w:style w:type="paragraph" w:styleId="1037">
    <w:name w:val="AONormal"/>
    <w:next w:val="1037"/>
    <w:link w:val="924"/>
    <w:qFormat/>
    <w:pPr>
      <w:ind w:firstLine="440"/>
      <w:spacing w:line="400" w:lineRule="exact"/>
    </w:pPr>
    <w:rPr>
      <w:rFonts w:ascii="华文楷体" w:hAnsi="华文楷体" w:eastAsia="华文楷体" w:cs="华文楷体"/>
      <w:sz w:val="22"/>
      <w:szCs w:val="21"/>
      <w:lang w:val="en-US" w:eastAsia="zh-CN" w:bidi="ar-SA"/>
    </w:rPr>
  </w:style>
  <w:style w:type="paragraph" w:styleId="1038">
    <w:name w:val="正文列示"/>
    <w:next w:val="1038"/>
    <w:link w:val="924"/>
    <w:uiPriority w:val="1"/>
    <w:qFormat/>
    <w:pPr>
      <w:numPr>
        <w:ilvl w:val="0"/>
        <w:numId w:val="4"/>
      </w:numPr>
      <w:jc w:val="both"/>
      <w:spacing w:line="360" w:lineRule="auto"/>
      <w:tabs>
        <w:tab w:val="left" w:pos="420" w:leader="none"/>
      </w:tabs>
    </w:pPr>
    <w:rPr>
      <w:rFonts w:ascii="宋体" w:hAnsi="宋体" w:eastAsia="宋体" w:cs="宋体"/>
      <w:sz w:val="21"/>
      <w:szCs w:val="21"/>
      <w:lang w:val="en-US" w:eastAsia="zh-CN" w:bidi="ar-SA"/>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8</cp:revision>
  <dcterms:created xsi:type="dcterms:W3CDTF">2023-03-16T02:13:00Z</dcterms:created>
  <dcterms:modified xsi:type="dcterms:W3CDTF">2026-10-20T02:40:58Z</dcterms:modified>
</cp:coreProperties>
</file>