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keepLines w:val="0"/>
        <w:keepNext w:val="0"/>
        <w:pageBreakBefore w:val="0"/>
        <w:spacing w:line="288" w:lineRule="auto"/>
        <w:widowControl w:val="off"/>
        <w:rPr>
          <w:rFonts w:hint="default" w:ascii="黑体" w:hAnsi="黑体" w:eastAsia="黑体" w:cs="黑体"/>
          <w:color w:val="auto"/>
          <w:sz w:val="110"/>
          <w:highlight w:val="none"/>
          <w:lang w:val="en-US" w:eastAsia="zh-CN" w:bidi="ar-SA"/>
        </w:rPr>
      </w:pPr>
      <w:r>
        <w:rPr>
          <w:rFonts w:hint="eastAsia" w:ascii="黑体" w:hAnsi="黑体" w:eastAsia="黑体" w:cs="黑体"/>
          <w:color w:val="auto"/>
          <w:sz w:val="110"/>
          <w:highlight w:val="none"/>
          <w:lang w:val="en-US" w:eastAsia="zh-CN" w:bidi="ar-SA"/>
        </w:rPr>
        <w:t xml:space="preserve"> </w:t>
      </w:r>
      <w:r/>
    </w:p>
    <w:p>
      <w:pPr>
        <w:jc w:val="center"/>
        <w:spacing w:line="360" w:lineRule="auto"/>
        <w:widowControl w:val="off"/>
        <w:rPr>
          <w:rFonts w:hint="eastAsia" w:ascii="黑体" w:hAnsi="黑体" w:eastAsia="黑体" w:cs="黑体"/>
          <w:b/>
          <w:color w:val="auto"/>
          <w:sz w:val="32"/>
          <w:highlight w:val="none"/>
          <w:lang w:val="en-US" w:eastAsia="zh-CN" w:bidi="ar-SA"/>
        </w:rPr>
      </w:pPr>
      <w:r>
        <w:rPr>
          <w:rFonts w:hint="eastAsia" w:ascii="黑体" w:hAnsi="黑体" w:eastAsia="黑体" w:cs="黑体"/>
          <w:color w:val="auto"/>
          <w:sz w:val="110"/>
          <w:szCs w:val="21"/>
          <w:highlight w:val="none"/>
          <w:lang w:val="en-US" w:eastAsia="zh-CN" w:bidi="ar-SA"/>
        </w:rPr>
        <w:t xml:space="preserve">竞争性磋商文件</w:t>
      </w:r>
      <w:r/>
    </w:p>
    <w:p>
      <w:pPr>
        <w:jc w:val="left"/>
        <w:spacing w:line="360" w:lineRule="auto"/>
        <w:widowControl w:val="off"/>
        <w:rPr>
          <w:rFonts w:hint="eastAsia" w:ascii="黑体" w:hAnsi="黑体" w:eastAsia="黑体" w:cs="黑体"/>
          <w:b/>
          <w:color w:val="auto"/>
          <w:sz w:val="32"/>
          <w:highlight w:val="none"/>
          <w:lang w:val="en-US" w:eastAsia="zh-CN" w:bidi="ar-SA"/>
        </w:rPr>
      </w:pPr>
      <w:r>
        <w:rPr>
          <w:rFonts w:hint="eastAsia" w:ascii="黑体" w:hAnsi="黑体" w:eastAsia="黑体" w:cs="黑体"/>
          <w:b/>
          <w:color w:val="auto"/>
          <w:sz w:val="32"/>
          <w:highlight w:val="none"/>
          <w:lang w:val="en-US" w:eastAsia="zh-CN" w:bidi="ar-SA"/>
        </w:rPr>
      </w:r>
      <w:r/>
    </w:p>
    <w:p>
      <w:pPr>
        <w:ind w:right="6"/>
        <w:jc w:val="center"/>
        <w:spacing w:line="360" w:lineRule="auto"/>
        <w:widowControl w:val="off"/>
        <w:rPr>
          <w:rFonts w:hint="eastAsia" w:ascii="黑体" w:hAnsi="黑体" w:eastAsia="黑体" w:cs="黑体"/>
          <w:b/>
          <w:color w:val="auto"/>
          <w:sz w:val="32"/>
          <w:szCs w:val="22"/>
          <w:highlight w:val="none"/>
          <w:lang w:val="en-US" w:eastAsia="zh-CN" w:bidi="ar-SA"/>
        </w:rPr>
      </w:pPr>
      <w:r>
        <w:rPr>
          <w:rFonts w:hint="eastAsia" w:ascii="黑体" w:hAnsi="黑体" w:eastAsia="黑体" w:cs="黑体"/>
          <w:color w:val="auto"/>
          <w:highlight w:val="none"/>
        </w:rPr>
        <mc:AlternateContent>
          <mc:Choice Requires="wpg">
            <w:drawing>
              <wp:inline xmlns:wp="http://schemas.openxmlformats.org/drawingml/2006/wordprocessingDrawing" distT="0" distB="0" distL="0" distR="0">
                <wp:extent cx="2175510" cy="1629410"/>
                <wp:effectExtent l="0" t="0" r="15240" b="8890"/>
                <wp:docPr id="10"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图片1"/>
                        <pic:cNvPicPr>
                          <a:picLocks noChangeAspect="1"/>
                        </pic:cNvPicPr>
                        <pic:nvPr/>
                      </pic:nvPicPr>
                      <pic:blipFill>
                        <a:blip r:embed="rId23"/>
                        <a:stretch/>
                      </pic:blipFill>
                      <pic:spPr bwMode="auto">
                        <a:xfrm>
                          <a:off x="0" y="0"/>
                          <a:ext cx="2175510" cy="162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1.3pt;height:128.3pt;mso-wrap-distance-left:0.0pt;mso-wrap-distance-top:0.0pt;mso-wrap-distance-right:0.0pt;mso-wrap-distance-bottom:0.0pt;" stroked="f">
                <v:path textboxrect="0,0,0,0"/>
                <v:imagedata r:id="rId23" o:title=""/>
              </v:shape>
            </w:pict>
          </mc:Fallback>
        </mc:AlternateContent>
      </w:r>
      <w:r/>
    </w:p>
    <w:p>
      <w:pPr>
        <w:ind w:firstLine="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highlight w:val="none"/>
          <w:lang w:val="en-US" w:eastAsia="zh-CN" w:bidi="ar-SA"/>
        </w:rPr>
      </w:r>
      <w:r/>
    </w:p>
    <w:p>
      <w:pPr>
        <w:ind w:firstLine="63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highlight w:val="none"/>
          <w:lang w:val="en-US" w:eastAsia="zh-CN" w:bidi="ar-SA"/>
        </w:rPr>
      </w:r>
      <w:r/>
    </w:p>
    <w:p>
      <w:pPr>
        <w:ind w:left="840" w:firstLine="0"/>
        <w:jc w:val="left"/>
        <w:spacing w:line="360" w:lineRule="auto"/>
        <w:widowControl w:val="off"/>
        <w:rPr>
          <w:rFonts w:hint="default"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项目编号：</w:t>
      </w:r>
      <w:r>
        <w:rPr>
          <w:rFonts w:hint="eastAsia" w:ascii="黑体" w:hAnsi="黑体" w:eastAsia="黑体" w:cs="黑体"/>
          <w:color w:val="auto"/>
          <w:sz w:val="32"/>
          <w:szCs w:val="22"/>
          <w:highlight w:val="none"/>
          <w:lang w:val="en-US" w:eastAsia="zh-CN" w:bidi="ar-SA"/>
        </w:rPr>
        <w:t xml:space="preserve">JSZC-320300-ZBZJ-C2026-0003</w:t>
      </w:r>
      <w:r/>
    </w:p>
    <w:p>
      <w:pPr>
        <w:ind w:left="840" w:firstLine="0"/>
        <w:jc w:val="left"/>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项目名称：徐州国防教育馆改造提升项目</w:t>
      </w:r>
      <w:r/>
    </w:p>
    <w:p>
      <w:pPr>
        <w:ind w:left="840" w:firstLine="0"/>
        <w:jc w:val="left"/>
        <w:spacing w:line="360" w:lineRule="auto"/>
        <w:widowControl w:val="off"/>
        <w:rPr>
          <w:rFonts w:hint="eastAsia" w:ascii="黑体" w:hAnsi="黑体" w:eastAsia="黑体" w:cs="黑体"/>
          <w:color w:val="auto"/>
          <w:sz w:val="32"/>
          <w:szCs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采购人：淮海战役烈士纪念塔管理中心</w:t>
      </w:r>
      <w:r>
        <w:rPr>
          <w:rFonts w:hint="eastAsia" w:ascii="黑体" w:hAnsi="黑体" w:eastAsia="黑体" w:cs="黑体"/>
          <w:color w:val="auto"/>
          <w:sz w:val="32"/>
          <w:szCs w:val="21"/>
          <w:highlight w:val="none"/>
          <w:lang w:val="en-US" w:eastAsia="zh-CN" w:bidi="ar-SA"/>
        </w:rPr>
        <w:t xml:space="preserve">（淮海战役纪念馆）</w:t>
      </w:r>
      <w:r>
        <w:rPr>
          <w:rFonts w:hint="eastAsia" w:ascii="黑体" w:hAnsi="黑体" w:eastAsia="黑体" w:cs="黑体"/>
          <w:color w:val="auto"/>
          <w:sz w:val="32"/>
          <w:szCs w:val="32"/>
          <w:highlight w:val="none"/>
          <w:lang w:val="en-US" w:eastAsia="zh-CN" w:bidi="ar-SA"/>
        </w:rPr>
      </w:r>
      <w:r/>
    </w:p>
    <w:p>
      <w:pPr>
        <w:jc w:val="left"/>
        <w:spacing w:line="360" w:lineRule="auto"/>
        <w:widowControl w:val="off"/>
        <w:rPr>
          <w:rFonts w:hint="eastAsia" w:ascii="黑体" w:hAnsi="黑体" w:eastAsia="黑体" w:cs="黑体"/>
          <w:color w:val="auto"/>
          <w:sz w:val="32"/>
          <w:szCs w:val="21"/>
          <w:highlight w:val="none"/>
          <w:lang w:val="en-US" w:eastAsia="zh-CN" w:bidi="ar-SA"/>
        </w:rPr>
      </w:pPr>
      <w:r>
        <w:rPr>
          <w:rFonts w:hint="eastAsia" w:ascii="黑体" w:hAnsi="黑体" w:eastAsia="黑体" w:cs="黑体"/>
          <w:color w:val="auto"/>
          <w:sz w:val="32"/>
          <w:szCs w:val="21"/>
          <w:highlight w:val="none"/>
          <w:lang w:val="en-US" w:eastAsia="zh-CN" w:bidi="ar-SA"/>
        </w:rPr>
      </w:r>
      <w:r/>
    </w:p>
    <w:p>
      <w:pPr>
        <w:ind w:left="840" w:firstLine="220"/>
        <w:jc w:val="left"/>
        <w:spacing w:line="360" w:lineRule="auto"/>
        <w:widowControl w:val="off"/>
        <w:rPr>
          <w:rFonts w:hint="default" w:ascii="黑体" w:hAnsi="黑体" w:eastAsia="黑体" w:cs="黑体"/>
          <w:color w:val="auto"/>
          <w:sz w:val="32"/>
          <w:szCs w:val="21"/>
          <w:highlight w:val="none"/>
          <w:lang w:val="en-US" w:eastAsia="zh-CN" w:bidi="ar-SA"/>
        </w:rPr>
      </w:pPr>
      <w:r>
        <w:rPr>
          <w:rFonts w:hint="eastAsia" w:ascii="黑体" w:hAnsi="黑体" w:eastAsia="黑体" w:cs="黑体"/>
          <w:color w:val="auto"/>
          <w:sz w:val="32"/>
          <w:szCs w:val="21"/>
          <w:highlight w:val="none"/>
          <w:lang w:val="en-US" w:eastAsia="zh-CN" w:bidi="ar-SA"/>
        </w:rPr>
        <w:t xml:space="preserve">采购代理机构：中经国际招标集团有限公司</w:t>
      </w:r>
      <w:r/>
    </w:p>
    <w:p>
      <w:pPr>
        <w:jc w:val="center"/>
        <w:spacing w:line="360" w:lineRule="auto"/>
        <w:widowControl w:val="off"/>
        <w:rPr>
          <w:rFonts w:hint="eastAsia" w:ascii="黑体" w:hAnsi="黑体" w:eastAsia="黑体" w:cs="黑体"/>
          <w:color w:val="auto"/>
          <w:sz w:val="32"/>
          <w:highlight w:val="none"/>
          <w:lang w:val="en-US" w:eastAsia="zh-CN" w:bidi="ar-SA"/>
        </w:rPr>
      </w:pPr>
      <w:r>
        <w:rPr>
          <w:rFonts w:hint="eastAsia" w:ascii="黑体" w:hAnsi="黑体" w:eastAsia="黑体" w:cs="黑体"/>
          <w:color w:val="auto"/>
          <w:sz w:val="32"/>
          <w:szCs w:val="21"/>
          <w:highlight w:val="none"/>
          <w:lang w:val="en-US" w:eastAsia="zh-CN" w:bidi="ar-SA"/>
        </w:rPr>
        <w:t xml:space="preserve">二〇二六年十月八日 </w:t>
      </w:r>
      <w:r/>
    </w:p>
    <w:p>
      <w:pPr>
        <w:jc w:val="center"/>
        <w:spacing w:line="360" w:lineRule="auto"/>
        <w:widowControl/>
        <w:rPr>
          <w:rFonts w:hint="eastAsia" w:ascii="黑体" w:hAnsi="黑体" w:eastAsia="黑体" w:cs="黑体"/>
          <w:color w:val="auto"/>
          <w:sz w:val="40"/>
          <w:szCs w:val="40"/>
          <w:highlight w:val="none"/>
        </w:rPr>
      </w:pPr>
      <w:r>
        <w:rPr>
          <w:rFonts w:hint="eastAsia" w:ascii="黑体" w:hAnsi="黑体" w:eastAsia="黑体" w:cs="黑体"/>
          <w:color w:val="auto"/>
          <w:sz w:val="40"/>
          <w:szCs w:val="40"/>
          <w:highlight w:val="none"/>
        </w:rPr>
      </w:r>
      <w:r/>
    </w:p>
    <w:p>
      <w:pPr>
        <w:jc w:val="center"/>
        <w:spacing w:line="360" w:lineRule="auto"/>
        <w:widowControl/>
        <w:rPr>
          <w:rFonts w:hint="eastAsia" w:ascii="黑体" w:hAnsi="黑体" w:eastAsia="黑体" w:cs="黑体"/>
          <w:color w:val="auto"/>
          <w:sz w:val="40"/>
          <w:szCs w:val="40"/>
          <w:highlight w:val="none"/>
        </w:rPr>
      </w:pPr>
      <w:r>
        <w:rPr>
          <w:rFonts w:hint="eastAsia" w:ascii="黑体" w:hAnsi="黑体" w:eastAsia="黑体" w:cs="黑体"/>
          <w:color w:val="auto"/>
          <w:sz w:val="40"/>
          <w:szCs w:val="40"/>
          <w:highlight w:val="none"/>
        </w:rPr>
      </w:r>
      <w:r>
        <w:rPr>
          <w:rFonts w:hint="eastAsia" w:ascii="黑体" w:hAnsi="黑体" w:eastAsia="黑体" w:cs="黑体"/>
          <w:color w:val="auto"/>
          <w:sz w:val="40"/>
          <w:szCs w:val="40"/>
          <w:highlight w:val="none"/>
        </w:rPr>
      </w:r>
      <w:r/>
    </w:p>
    <w:p>
      <w:pPr>
        <w:jc w:val="center"/>
        <w:spacing w:line="360" w:lineRule="auto"/>
        <w:widowControl/>
        <w:rPr>
          <w:rFonts w:hint="eastAsia" w:ascii="黑体" w:hAnsi="黑体" w:eastAsia="黑体" w:cs="黑体"/>
          <w:color w:val="auto"/>
          <w:sz w:val="40"/>
          <w:szCs w:val="40"/>
          <w:highlight w:val="none"/>
        </w:rPr>
      </w:pPr>
      <w:r>
        <w:rPr>
          <w:rFonts w:hint="eastAsia" w:ascii="黑体" w:hAnsi="黑体" w:eastAsia="黑体" w:cs="黑体"/>
          <w:color w:val="auto"/>
          <w:sz w:val="40"/>
          <w:szCs w:val="40"/>
          <w:highlight w:val="none"/>
        </w:rPr>
        <w:t xml:space="preserve">目录</w:t>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
          <w:bCs/>
          <w:color w:val="auto"/>
          <w:sz w:val="21"/>
          <w:szCs w:val="21"/>
          <w:highlight w:val="none"/>
          <w:lang w:val="zh-CN" w:eastAsia="zh-CN" w:bidi="ar-SA"/>
        </w:rPr>
        <w:fldChar w:fldCharType="begin"/>
      </w:r>
      <w:r>
        <w:rPr>
          <w:rFonts w:hint="eastAsia" w:ascii="黑体" w:hAnsi="黑体" w:eastAsia="黑体" w:cs="黑体"/>
          <w:b/>
          <w:bCs/>
          <w:color w:val="auto"/>
          <w:sz w:val="21"/>
          <w:szCs w:val="21"/>
          <w:highlight w:val="none"/>
          <w:lang w:val="zh-CN" w:eastAsia="zh-CN" w:bidi="ar-SA"/>
        </w:rPr>
        <w:instrText xml:space="preserve">TOC \o "1-2" \h \u </w:instrText>
      </w:r>
      <w:r>
        <w:rPr>
          <w:rFonts w:hint="eastAsia" w:ascii="黑体" w:hAnsi="黑体" w:eastAsia="黑体" w:cs="黑体"/>
          <w:b/>
          <w:bCs/>
          <w:color w:val="auto"/>
          <w:sz w:val="21"/>
          <w:szCs w:val="21"/>
          <w:highlight w:val="none"/>
          <w:lang w:val="zh-CN" w:eastAsia="zh-CN" w:bidi="ar-SA"/>
        </w:rPr>
        <w:fldChar w:fldCharType="separate"/>
      </w: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_Toc15766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4"/>
          <w:highlight w:val="none"/>
          <w:lang w:val="en-US" w:eastAsia="zh-CN" w:bidi="ar-SA"/>
        </w:rPr>
        <w:t xml:space="preserve">第一章 项目说明</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_Toc15766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_Toc4586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4"/>
          <w:highlight w:val="none"/>
          <w:lang w:val="en-US" w:eastAsia="zh-CN" w:bidi="ar-SA"/>
        </w:rPr>
        <w:t xml:space="preserve">第二章 响应文件要求</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_Toc4586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_Toc19923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40"/>
          <w:highlight w:val="none"/>
          <w:lang w:val="en-US" w:eastAsia="zh-CN" w:bidi="ar-SA"/>
        </w:rPr>
        <w:t xml:space="preserve">第三章 磋商相关说明</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_Toc19923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6</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_Toc1881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4"/>
          <w:highlight w:val="none"/>
        </w:rPr>
        <w:t xml:space="preserve">第四章 确定成交供应商及合同签订等</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_Toc1881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10</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_Toc2871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4"/>
          <w:highlight w:val="none"/>
        </w:rPr>
        <w:t xml:space="preserve">第五章 磋商文件的澄清或者修改</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_Toc2871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11</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_Toc17856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4"/>
          <w:highlight w:val="none"/>
        </w:rPr>
        <w:t xml:space="preserve">第六章 询问和质疑</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_Toc17856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11</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_Toc32109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第七章 评分细则（综合评分法）</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_Toc32109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14</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_Toc13181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第八章 项目要求（采购需求）</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_Toc13181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16</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_Toc309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第九章 响应文件相关格式</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_Toc309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19</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_Toc29380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一、承诺书</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_Toc29380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20</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_Toc20127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二、磋商报价表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_Toc20127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21</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_Toc10090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三、分项价格表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_Toc10090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22</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_Toc7717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color w:val="auto"/>
          <w:szCs w:val="28"/>
          <w:highlight w:val="none"/>
          <w:lang w:val="en-US" w:eastAsia="zh-CN"/>
        </w:rPr>
        <w:t xml:space="preserve">四</w:t>
      </w:r>
      <w:r>
        <w:rPr>
          <w:rFonts w:hint="eastAsia" w:ascii="黑体" w:hAnsi="黑体" w:eastAsia="黑体" w:cs="黑体"/>
          <w:color w:val="auto"/>
          <w:szCs w:val="28"/>
          <w:highlight w:val="none"/>
        </w:rPr>
        <w:t xml:space="preserve">、投 标 承 诺 书</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_Toc7717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23</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_Toc9229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32"/>
          <w:highlight w:val="none"/>
          <w:lang w:val="en-US" w:eastAsia="zh-CN" w:bidi="ar-SA"/>
        </w:rPr>
        <w:t xml:space="preserve">五、偏离表</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_Toc9229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24</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_Toc19384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六、授权委托书</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_Toc19384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25</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_Toc387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七、中小企业声明函</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_Toc387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26</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_Toc3823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八、残疾人福利性单位声明函（非残疾人福利性单位可以不提供）</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_Toc3823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28</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_Toc31412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九、供应商参加政府采购活动前三年内在经营活动中没有重大违法记录的书面声明</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_Toc31412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29</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_Toc23037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十、具备履行合同所必需的设备和专业技术能力的书面声明</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_Toc23037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30</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_Toc30792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十一、响应文件编制及评分细则要求提供的其他资料</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_Toc30792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31</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4"/>
        <w:keepLines w:val="0"/>
        <w:keepNext w:val="0"/>
        <w:pageBreakBefore w:val="0"/>
        <w:spacing w:line="360" w:lineRule="auto"/>
        <w:widowControl w:val="off"/>
        <w:tabs>
          <w:tab w:val="right" w:pos="9286" w:leader="dot"/>
        </w:tabs>
        <w:rPr>
          <w:rFonts w:hint="eastAsia" w:ascii="黑体" w:hAnsi="黑体" w:eastAsia="黑体" w:cs="黑体"/>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_Toc15649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十二、预付款保函支付条款模板</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_Toc15649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32</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pStyle w:val="1173"/>
        <w:keepLines w:val="0"/>
        <w:keepNext w:val="0"/>
        <w:pageBreakBefore w:val="0"/>
        <w:spacing w:line="360" w:lineRule="auto"/>
        <w:widowControl w:val="off"/>
        <w:tabs>
          <w:tab w:val="right" w:pos="9286" w:leader="dot"/>
        </w:tabs>
        <w:rPr>
          <w:color w:val="auto"/>
          <w:highlight w:val="none"/>
        </w:rPr>
      </w:pPr>
      <w:r>
        <w:rPr>
          <w:rFonts w:hint="eastAsia" w:ascii="黑体" w:hAnsi="黑体" w:eastAsia="黑体" w:cs="黑体"/>
          <w:bCs/>
          <w:color w:val="auto"/>
          <w:szCs w:val="32"/>
          <w:highlight w:val="none"/>
          <w:lang w:val="zh-CN" w:eastAsia="zh-CN" w:bidi="ar-SA"/>
        </w:rPr>
        <w:fldChar w:fldCharType="begin"/>
      </w:r>
      <w:r>
        <w:rPr>
          <w:rFonts w:hint="eastAsia" w:ascii="黑体" w:hAnsi="黑体" w:eastAsia="黑体" w:cs="黑体"/>
          <w:bCs/>
          <w:color w:val="auto"/>
          <w:szCs w:val="32"/>
          <w:highlight w:val="none"/>
          <w:lang w:val="zh-CN" w:eastAsia="zh-CN" w:bidi="ar-SA"/>
        </w:rPr>
        <w:instrText xml:space="preserve"> HYPERLINK \l _Toc21208 </w:instrText>
      </w:r>
      <w:r>
        <w:rPr>
          <w:rFonts w:hint="eastAsia" w:ascii="黑体" w:hAnsi="黑体" w:eastAsia="黑体" w:cs="黑体"/>
          <w:bCs/>
          <w:color w:val="auto"/>
          <w:szCs w:val="32"/>
          <w:highlight w:val="none"/>
          <w:lang w:val="zh-CN" w:eastAsia="zh-CN" w:bidi="ar-SA"/>
        </w:rPr>
        <w:fldChar w:fldCharType="separate"/>
      </w:r>
      <w:r>
        <w:rPr>
          <w:rFonts w:hint="eastAsia" w:ascii="黑体" w:hAnsi="黑体" w:eastAsia="黑体" w:cs="黑体"/>
          <w:bCs/>
          <w:color w:val="auto"/>
          <w:szCs w:val="21"/>
          <w:highlight w:val="none"/>
          <w:lang w:val="en-US" w:eastAsia="zh-CN" w:bidi="ar-SA"/>
        </w:rPr>
        <w:t xml:space="preserve">第十章 拟签订的合同文本</w:t>
      </w:r>
      <w:r>
        <w:rPr>
          <w:rFonts w:hint="eastAsia" w:ascii="黑体" w:hAnsi="黑体" w:eastAsia="黑体" w:cs="黑体"/>
          <w:color w:val="auto"/>
          <w:highlight w:val="none"/>
        </w:rPr>
        <w:tab/>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PAGEREF _Toc21208 \h </w:instrText>
      </w:r>
      <w:r>
        <w:rPr>
          <w:rFonts w:hint="eastAsia" w:ascii="黑体" w:hAnsi="黑体" w:eastAsia="黑体" w:cs="黑体"/>
          <w:color w:val="auto"/>
          <w:highlight w:val="none"/>
        </w:rPr>
        <w:fldChar w:fldCharType="separate"/>
      </w:r>
      <w:r>
        <w:rPr>
          <w:rFonts w:hint="eastAsia" w:ascii="黑体" w:hAnsi="黑体" w:eastAsia="黑体" w:cs="黑体"/>
          <w:color w:val="auto"/>
          <w:highlight w:val="none"/>
        </w:rPr>
        <w:t xml:space="preserve">33</w:t>
      </w:r>
      <w:r>
        <w:rPr>
          <w:rFonts w:hint="eastAsia" w:ascii="黑体" w:hAnsi="黑体" w:eastAsia="黑体" w:cs="黑体"/>
          <w:color w:val="auto"/>
          <w:highlight w:val="none"/>
        </w:rPr>
        <w:fldChar w:fldCharType="end"/>
      </w:r>
      <w:r>
        <w:rPr>
          <w:rFonts w:hint="eastAsia" w:ascii="黑体" w:hAnsi="黑体" w:eastAsia="黑体" w:cs="黑体"/>
          <w:bCs/>
          <w:color w:val="auto"/>
          <w:szCs w:val="32"/>
          <w:highlight w:val="none"/>
          <w:lang w:val="zh-CN" w:eastAsia="zh-CN" w:bidi="ar-SA"/>
        </w:rPr>
        <w:fldChar w:fldCharType="end"/>
      </w:r>
      <w:r/>
    </w:p>
    <w:p>
      <w:pPr>
        <w:jc w:val="both"/>
        <w:keepLines w:val="0"/>
        <w:keepNext w:val="0"/>
        <w:pageBreakBefore w:val="0"/>
        <w:spacing w:before="240" w:after="0" w:line="360" w:lineRule="auto"/>
        <w:widowControl w:val="off"/>
        <w:rPr>
          <w:rFonts w:hint="eastAsia" w:ascii="黑体" w:hAnsi="黑体" w:eastAsia="黑体" w:cs="黑体"/>
          <w:b/>
          <w:bCs/>
          <w:color w:val="auto"/>
          <w:sz w:val="32"/>
          <w:szCs w:val="32"/>
          <w:highlight w:val="none"/>
          <w:lang w:val="zh-CN" w:eastAsia="zh-CN" w:bidi="ar-SA"/>
        </w:rPr>
        <w:outlineLvl w:val="9"/>
      </w:pPr>
      <w:r>
        <w:rPr>
          <w:rFonts w:hint="eastAsia" w:ascii="黑体" w:hAnsi="黑体" w:eastAsia="黑体" w:cs="黑体"/>
          <w:bCs/>
          <w:color w:val="auto"/>
          <w:szCs w:val="32"/>
          <w:highlight w:val="none"/>
          <w:lang w:val="zh-CN" w:eastAsia="zh-CN" w:bidi="ar-SA"/>
        </w:rPr>
        <w:fldChar w:fldCharType="end"/>
      </w:r>
      <w:r/>
    </w:p>
    <w:p>
      <w:pPr>
        <w:ind w:firstLine="320"/>
        <w:jc w:val="center"/>
        <w:spacing w:line="360" w:lineRule="auto"/>
        <w:widowControl w:val="off"/>
        <w:rPr>
          <w:rFonts w:hint="eastAsia" w:ascii="黑体" w:hAnsi="黑体" w:eastAsia="黑体" w:cs="黑体"/>
          <w:b/>
          <w:color w:val="auto"/>
          <w:sz w:val="36"/>
          <w:highlight w:val="none"/>
          <w:lang w:val="en-US" w:eastAsia="zh-CN" w:bidi="ar-SA"/>
        </w:rPr>
      </w:pPr>
      <w:r>
        <w:rPr>
          <w:rFonts w:hint="eastAsia" w:ascii="黑体" w:hAnsi="黑体" w:eastAsia="黑体" w:cs="黑体"/>
          <w:b/>
          <w:color w:val="auto"/>
          <w:sz w:val="36"/>
          <w:highlight w:val="none"/>
          <w:lang w:val="en-US" w:eastAsia="zh-CN" w:bidi="ar-SA"/>
        </w:rPr>
      </w:r>
      <w:r/>
    </w:p>
    <w:p>
      <w:pPr>
        <w:jc w:val="left"/>
        <w:spacing w:line="360" w:lineRule="auto"/>
        <w:widowControl w:val="off"/>
        <w:rPr>
          <w:rFonts w:hint="eastAsia" w:ascii="黑体" w:hAnsi="黑体" w:eastAsia="黑体" w:cs="黑体"/>
          <w:b/>
          <w:color w:val="auto"/>
          <w:sz w:val="36"/>
          <w:highlight w:val="none"/>
        </w:rPr>
        <w:sectPr>
          <w:headerReference w:type="default" r:id="rId9"/>
          <w:footerReference w:type="default" r:id="rId14"/>
          <w:footnotePr/>
          <w:endnotePr/>
          <w:type w:val="nextPage"/>
          <w:pgSz w:w="11906" w:h="16838" w:orient="portrait"/>
          <w:pgMar w:top="1440" w:right="1310" w:bottom="1440" w:left="1310" w:header="851" w:footer="992" w:gutter="0"/>
          <w:pgNumType w:start="1"/>
          <w:cols w:num="1" w:sep="0" w:space="720" w:equalWidth="1"/>
          <w:docGrid w:linePitch="360"/>
        </w:sectPr>
      </w:pPr>
      <w:r>
        <w:rPr>
          <w:rFonts w:hint="eastAsia" w:ascii="黑体" w:hAnsi="黑体" w:eastAsia="黑体" w:cs="黑体"/>
          <w:b/>
          <w:color w:val="auto"/>
          <w:sz w:val="36"/>
          <w:highlight w:val="none"/>
        </w:rPr>
      </w:r>
      <w:r/>
    </w:p>
    <w:p>
      <w:pPr>
        <w:jc w:val="center"/>
        <w:spacing w:line="360" w:lineRule="auto"/>
        <w:widowControl w:val="off"/>
        <w:rPr>
          <w:rFonts w:hint="eastAsia" w:ascii="黑体" w:hAnsi="黑体" w:eastAsia="黑体" w:cs="黑体"/>
          <w:b/>
          <w:color w:val="auto"/>
          <w:sz w:val="36"/>
          <w:highlight w:val="none"/>
          <w:lang w:val="en-US" w:eastAsia="zh-CN" w:bidi="ar-SA"/>
        </w:rPr>
      </w:pPr>
      <w:r>
        <w:rPr>
          <w:rFonts w:hint="eastAsia" w:ascii="黑体" w:hAnsi="黑体" w:eastAsia="黑体" w:cs="黑体"/>
          <w:b/>
          <w:color w:val="auto"/>
          <w:sz w:val="36"/>
          <w:szCs w:val="21"/>
          <w:highlight w:val="none"/>
          <w:lang w:val="en-US" w:eastAsia="zh-CN" w:bidi="ar-SA"/>
        </w:rPr>
        <w:t xml:space="preserve">竞争性磋商文件</w:t>
      </w:r>
      <w:r/>
    </w:p>
    <w:p>
      <w:pPr>
        <w:ind w:left="0" w:right="0" w:firstLine="0"/>
        <w:jc w:val="both"/>
        <w:spacing w:before="0" w:after="0"/>
        <w:widowControl/>
        <w:rPr>
          <w:rFonts w:hint="default" w:ascii="黑体" w:hAnsi="黑体" w:eastAsia="黑体" w:cs="黑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rPr>
        <w:t xml:space="preserve">                        项目编号：</w:t>
      </w:r>
      <w:r>
        <w:rPr>
          <w:rFonts w:hint="eastAsia" w:ascii="黑体" w:hAnsi="黑体" w:eastAsia="黑体" w:cs="黑体"/>
          <w:color w:val="auto"/>
          <w:sz w:val="24"/>
          <w:szCs w:val="21"/>
          <w:highlight w:val="none"/>
          <w:lang w:eastAsia="zh-CN"/>
        </w:rPr>
        <w:t xml:space="preserve">JSZC-320300-ZBZJ-C2026-0003</w:t>
      </w:r>
      <w:r/>
    </w:p>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4"/>
          <w:highlight w:val="none"/>
          <w:lang w:val="en-US" w:eastAsia="zh-CN" w:bidi="ar-SA"/>
        </w:rPr>
        <w:t xml:space="preserve"> </w:t>
      </w:r>
      <w:r/>
    </w:p>
    <w:p>
      <w:pPr>
        <w:jc w:val="left"/>
        <w:spacing w:line="360" w:lineRule="auto"/>
        <w:widowControl w:val="off"/>
        <w:tabs>
          <w:tab w:val="left" w:pos="3240" w:leader="none"/>
        </w:tabs>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 （供应商）：</w:t>
      </w:r>
      <w:r/>
    </w:p>
    <w:p>
      <w:pPr>
        <w:ind w:firstLine="499"/>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按照《中华人民共和国政府采购法》、《中华人民共和国政府采购法实施条例》及《政府采购竞争性磋商采购方式管理暂行办法》的规定，</w:t>
      </w:r>
      <w:r>
        <w:rPr>
          <w:rFonts w:hint="eastAsia" w:ascii="黑体" w:hAnsi="黑体" w:eastAsia="黑体" w:cs="黑体"/>
          <w:color w:val="auto"/>
          <w:sz w:val="24"/>
          <w:szCs w:val="24"/>
          <w:highlight w:val="none"/>
          <w:u w:val="single"/>
          <w:lang w:val="en-US" w:eastAsia="zh-CN" w:bidi="ar-SA"/>
        </w:rPr>
        <w:t xml:space="preserve">中经国际招标集团有限公司</w:t>
      </w:r>
      <w:r>
        <w:rPr>
          <w:rFonts w:hint="eastAsia" w:ascii="黑体" w:hAnsi="黑体" w:eastAsia="黑体" w:cs="黑体"/>
          <w:color w:val="auto"/>
          <w:sz w:val="24"/>
          <w:szCs w:val="24"/>
          <w:highlight w:val="none"/>
          <w:lang w:val="en-US" w:eastAsia="zh-CN" w:bidi="ar-SA"/>
        </w:rPr>
        <w:t xml:space="preserve">对</w:t>
      </w:r>
      <w:r>
        <w:rPr>
          <w:rFonts w:hint="eastAsia" w:ascii="黑体" w:hAnsi="黑体" w:eastAsia="黑体" w:cs="黑体"/>
          <w:color w:val="auto"/>
          <w:sz w:val="24"/>
          <w:szCs w:val="24"/>
          <w:highlight w:val="none"/>
          <w:u w:val="single"/>
          <w:lang w:val="en-US" w:eastAsia="zh-CN" w:bidi="ar-SA"/>
        </w:rPr>
        <w:t xml:space="preserve">徐州国防教育馆改造提升项目</w:t>
      </w:r>
      <w:r>
        <w:rPr>
          <w:rFonts w:hint="eastAsia" w:ascii="黑体" w:hAnsi="黑体" w:eastAsia="黑体" w:cs="黑体"/>
          <w:color w:val="auto"/>
          <w:sz w:val="24"/>
          <w:szCs w:val="24"/>
          <w:highlight w:val="none"/>
          <w:lang w:val="en-US" w:eastAsia="zh-CN" w:bidi="ar-SA"/>
        </w:rPr>
        <w:t xml:space="preserve">采取竞争性磋商采购方式进行采购。如贵单位有意与本公司合作，请按以下竞争性磋商文件（以下简称磋商文件）要求参加磋商。</w:t>
      </w:r>
      <w:r/>
    </w:p>
    <w:p>
      <w:pPr>
        <w:jc w:val="center"/>
        <w:keepLines w:val="0"/>
        <w:keepNext w:val="0"/>
        <w:spacing w:before="340" w:after="330" w:line="360" w:lineRule="auto"/>
        <w:widowControl w:val="off"/>
        <w:rPr>
          <w:rFonts w:hint="eastAsia" w:ascii="黑体" w:hAnsi="黑体" w:eastAsia="黑体" w:cs="黑体"/>
          <w:b/>
          <w:bCs/>
          <w:color w:val="auto"/>
          <w:sz w:val="44"/>
          <w:szCs w:val="24"/>
          <w:highlight w:val="none"/>
          <w:lang w:val="en-US" w:eastAsia="zh-CN" w:bidi="ar-SA"/>
        </w:rPr>
        <w:outlineLvl w:val="0"/>
      </w:pPr>
      <w:r/>
      <w:bookmarkStart w:id="0" w:name="_Toc15766"/>
      <w:r/>
      <w:bookmarkStart w:id="1" w:name="_Toc80122283"/>
      <w:r/>
      <w:bookmarkStart w:id="2" w:name="_Toc21952"/>
      <w:r>
        <w:rPr>
          <w:rFonts w:hint="eastAsia" w:ascii="黑体" w:hAnsi="黑体" w:eastAsia="黑体" w:cs="黑体"/>
          <w:b/>
          <w:bCs/>
          <w:color w:val="auto"/>
          <w:sz w:val="24"/>
          <w:szCs w:val="24"/>
          <w:highlight w:val="none"/>
          <w:lang w:val="en-US" w:eastAsia="zh-CN" w:bidi="ar-SA"/>
        </w:rPr>
        <w:t xml:space="preserve">第一章 项目说明</w:t>
      </w:r>
      <w:bookmarkEnd w:id="0"/>
      <w:r/>
      <w:bookmarkEnd w:id="1"/>
      <w:r/>
      <w:bookmarkEnd w:id="2"/>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一</w:t>
      </w:r>
      <w:r>
        <w:rPr>
          <w:rFonts w:hint="eastAsia" w:ascii="黑体" w:hAnsi="黑体" w:eastAsia="黑体" w:cs="黑体"/>
          <w:b w:val="0"/>
          <w:bCs w:val="0"/>
          <w:color w:val="auto"/>
          <w:sz w:val="24"/>
          <w:szCs w:val="24"/>
          <w:highlight w:val="none"/>
          <w:lang w:val="en-US" w:eastAsia="zh-CN" w:bidi="ar-SA"/>
        </w:rPr>
        <w:t xml:space="preserve">、采 购 人：淮海战役烈士纪念塔管理中心（淮海战役纪念馆）</w:t>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二、项目名称：徐州国防教育馆改造提升项目（项目编号：JSZC-320300-ZBZJ-C2026-0003</w:t>
      </w:r>
      <w:r>
        <w:rPr>
          <w:rFonts w:hint="eastAsia" w:ascii="黑体" w:hAnsi="黑体" w:eastAsia="黑体" w:cs="黑体"/>
          <w:b w:val="0"/>
          <w:bCs w:val="0"/>
          <w:color w:val="auto"/>
          <w:sz w:val="24"/>
          <w:szCs w:val="24"/>
          <w:highlight w:val="none"/>
          <w:lang w:val="en-US" w:eastAsia="zh-CN" w:bidi="ar-SA"/>
        </w:rPr>
        <w:t xml:space="preserve">）</w:t>
      </w:r>
      <w:r/>
    </w:p>
    <w:p>
      <w:pPr>
        <w:jc w:val="both"/>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三、采购预算（采购项目预算金额）：详见第八章《项目要求（采购需求）》。</w:t>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四、采购需求：详见第八章《项目要求（采购需求）》。</w:t>
      </w:r>
      <w:r/>
    </w:p>
    <w:p>
      <w:pPr>
        <w:jc w:val="both"/>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五、采购方式：本项目采用竞争性磋商采购方式。</w:t>
      </w:r>
      <w:r/>
    </w:p>
    <w:p>
      <w:pPr>
        <w:jc w:val="both"/>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六、采购邀请：通过发布公告的方式邀请符合相应资格条件的供应商参与竞争性磋商采购活动。</w:t>
      </w:r>
      <w:r/>
    </w:p>
    <w:p>
      <w:pPr>
        <w:jc w:val="left"/>
        <w:spacing w:line="360" w:lineRule="auto"/>
        <w:widowControl w:val="off"/>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七、合同草案条款：见第十章《拟签订的合同文本》。</w:t>
      </w:r>
      <w:r/>
    </w:p>
    <w:p>
      <w:pPr>
        <w:jc w:val="both"/>
        <w:spacing w:line="360" w:lineRule="auto"/>
        <w:widowControl w:val="off"/>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八、供应商资格条件：详见本项目竞争性磋商公告。</w:t>
      </w:r>
      <w:r/>
    </w:p>
    <w:p>
      <w:pPr>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说明：1、本项</w:t>
      </w:r>
      <w:r>
        <w:rPr>
          <w:rFonts w:hint="eastAsia" w:ascii="黑体" w:hAnsi="黑体" w:eastAsia="黑体" w:cs="黑体"/>
          <w:color w:val="auto"/>
          <w:sz w:val="24"/>
          <w:szCs w:val="24"/>
          <w:highlight w:val="none"/>
          <w:lang w:val="en-US" w:eastAsia="zh-CN" w:bidi="ar-SA"/>
        </w:rPr>
        <w:t xml:space="preserve">目不接受联合体参与采购活动。</w:t>
      </w:r>
      <w:r/>
    </w:p>
    <w:p>
      <w:pPr>
        <w:ind w:firstLine="789"/>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2、单位负责人为同一人或者存在直接控股、管理关系的不同供应商，不得参加同一合同项下的政府采购活动。</w:t>
      </w:r>
      <w:r/>
    </w:p>
    <w:p>
      <w:pPr>
        <w:ind w:firstLine="789"/>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3、为本采购项目提供整体设计、规范编制或者项目管理、审查等服务的供应商，不得再参加本采购项目的采购活动。</w:t>
      </w:r>
      <w:r/>
    </w:p>
    <w:p>
      <w:pPr>
        <w:ind w:firstLine="787"/>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4、查询及使用供应商信用记录：</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⑴由采购人查询信用信息。</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⑵查询渠道包括：</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①“信用中国”网（www.creditchina.gov.cn）；</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②中国政府采购网（www.ccgp.gov.cn）；</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③“信用江苏”网（</w:t>
      </w:r>
      <w:bookmarkStart w:id="3" w:name="OLE_LINK1"/>
      <w:r>
        <w:rPr>
          <w:rFonts w:hint="eastAsia" w:ascii="黑体" w:hAnsi="黑体" w:eastAsia="黑体" w:cs="黑体"/>
          <w:color w:val="auto"/>
          <w:sz w:val="24"/>
          <w:szCs w:val="24"/>
          <w:highlight w:val="none"/>
          <w:lang w:val="en-US" w:eastAsia="zh-CN" w:bidi="ar-SA"/>
        </w:rPr>
        <w:t xml:space="preserve">http://</w:t>
      </w:r>
      <w:bookmarkEnd w:id="3"/>
      <w:r>
        <w:rPr>
          <w:rFonts w:hint="eastAsia" w:ascii="黑体" w:hAnsi="黑体" w:eastAsia="黑体" w:cs="黑体"/>
          <w:color w:val="auto"/>
          <w:sz w:val="24"/>
          <w:szCs w:val="24"/>
          <w:highlight w:val="none"/>
          <w:lang w:val="en-US" w:eastAsia="zh-CN" w:bidi="ar-SA"/>
        </w:rPr>
        <w:t xml:space="preserve">www.jscredit.gov.cn/）；</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④</w:t>
      </w:r>
      <w:bookmarkStart w:id="4" w:name="OLE_LINK17"/>
      <w:r>
        <w:rPr>
          <w:rFonts w:hint="eastAsia" w:ascii="黑体" w:hAnsi="黑体" w:eastAsia="黑体" w:cs="黑体"/>
          <w:color w:val="auto"/>
          <w:sz w:val="24"/>
          <w:szCs w:val="24"/>
          <w:highlight w:val="none"/>
          <w:lang w:val="en-US" w:eastAsia="zh-CN" w:bidi="ar-SA"/>
        </w:rPr>
        <w:t xml:space="preserve">“信用中国（江苏徐州）”网（ http://</w:t>
      </w:r>
      <w:r>
        <w:rPr>
          <w:rFonts w:hint="eastAsia" w:ascii="黑体" w:hAnsi="黑体" w:eastAsia="黑体" w:cs="黑体"/>
          <w:color w:val="auto"/>
          <w:sz w:val="24"/>
          <w:szCs w:val="24"/>
          <w:highlight w:val="none"/>
          <w:lang w:val="en-US" w:eastAsia="zh-CN" w:bidi="ar-SA"/>
        </w:rPr>
        <w:fldChar w:fldCharType="begin"/>
      </w:r>
      <w:r>
        <w:rPr>
          <w:rFonts w:hint="eastAsia" w:ascii="黑体" w:hAnsi="黑体" w:eastAsia="黑体" w:cs="黑体"/>
          <w:color w:val="auto"/>
          <w:sz w:val="24"/>
          <w:szCs w:val="24"/>
          <w:highlight w:val="none"/>
          <w:lang w:val="en-US" w:eastAsia="zh-CN" w:bidi="ar-SA"/>
        </w:rPr>
        <w:instrText xml:space="preserve"> HYPERLINK "http://www.xuzhoucredit.gov.cn）。" </w:instrText>
      </w:r>
      <w:r>
        <w:rPr>
          <w:rFonts w:hint="eastAsia" w:ascii="黑体" w:hAnsi="黑体" w:eastAsia="黑体" w:cs="黑体"/>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SA"/>
        </w:rPr>
        <w:t xml:space="preserve">www.xuzhoucredit.gov.cn）。</w:t>
      </w:r>
      <w:r>
        <w:rPr>
          <w:rFonts w:hint="eastAsia" w:ascii="黑体" w:hAnsi="黑体" w:eastAsia="黑体" w:cs="黑体"/>
          <w:color w:val="auto"/>
          <w:sz w:val="24"/>
          <w:szCs w:val="24"/>
          <w:highlight w:val="none"/>
          <w:lang w:val="en-US" w:eastAsia="zh-CN" w:bidi="ar-SA"/>
        </w:rPr>
        <w:fldChar w:fldCharType="end"/>
      </w:r>
      <w:bookmarkEnd w:id="4"/>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⑶截止时点（查询环节）：首次响应文件开启后资格审查结束前。</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⑷信用信息查询记录和证据留存的具体方式：网页截屏打印，与其他采购文件一并保存。</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⑸信用信息的使用规则：</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spacing w:line="360" w:lineRule="auto"/>
        <w:widowControl w:val="off"/>
        <w:rPr>
          <w:rFonts w:hint="eastAsia" w:ascii="黑体" w:hAnsi="黑体" w:eastAsia="黑体" w:cs="黑体"/>
          <w:b/>
          <w:bCs/>
          <w:color w:val="auto"/>
          <w:szCs w:val="24"/>
          <w:highlight w:val="none"/>
          <w:lang w:val="en-US" w:eastAsia="zh-CN" w:bidi="ar-SA"/>
        </w:rPr>
      </w:pPr>
      <w:r/>
      <w:bookmarkStart w:id="5" w:name="_Toc80122284"/>
      <w:r>
        <w:rPr>
          <w:rFonts w:hint="eastAsia" w:ascii="黑体" w:hAnsi="黑体" w:eastAsia="黑体" w:cs="黑体"/>
          <w:color w:val="auto"/>
          <w:sz w:val="24"/>
          <w:szCs w:val="24"/>
          <w:highlight w:val="none"/>
          <w:lang w:val="en-US" w:eastAsia="zh-CN" w:bidi="ar-SA"/>
        </w:rPr>
        <w:t xml:space="preserve">九、</w:t>
      </w:r>
      <w:r>
        <w:rPr>
          <w:rFonts w:hint="eastAsia" w:ascii="黑体" w:hAnsi="黑体" w:eastAsia="黑体" w:cs="黑体"/>
          <w:b/>
          <w:bCs/>
          <w:color w:val="auto"/>
          <w:sz w:val="24"/>
          <w:szCs w:val="24"/>
          <w:highlight w:val="none"/>
          <w:lang w:val="en-US" w:eastAsia="zh-CN" w:bidi="ar-SA"/>
        </w:rPr>
        <w:t xml:space="preserve">报价要求</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1、供应商报价为要约，采购人无承诺表示时视为未成交，采购人认为必要时可重新进行竞争性磋商采购或采取其它方式采购。</w:t>
      </w:r>
      <w:r/>
    </w:p>
    <w:p>
      <w:pPr>
        <w:ind w:firstLine="480"/>
        <w:jc w:val="left"/>
        <w:spacing w:line="360" w:lineRule="auto"/>
        <w:widowControl w:val="off"/>
        <w:rPr>
          <w:rFonts w:hint="eastAsia" w:ascii="黑体" w:hAnsi="黑体" w:eastAsia="黑体" w:cs="黑体"/>
          <w:color w:val="auto"/>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2、按照《磋商报价表》要求填写首次报价。</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3、报价包含本项目范围内的全部费用（含税）。供应商有漏报或不报的，采购人将视为有关费用已包括在本项目的报价中而不予支付。采购人不再支付报价以外的任何费用。</w:t>
      </w:r>
      <w:r/>
    </w:p>
    <w:p>
      <w:pPr>
        <w:jc w:val="center"/>
        <w:keepLines w:val="0"/>
        <w:keepNext w:val="0"/>
        <w:spacing w:before="0" w:after="0" w:line="360" w:lineRule="auto"/>
        <w:widowControl w:val="off"/>
        <w:rPr>
          <w:rFonts w:hint="eastAsia" w:ascii="黑体" w:hAnsi="黑体" w:eastAsia="黑体" w:cs="黑体"/>
          <w:b/>
          <w:bCs/>
          <w:color w:val="auto"/>
          <w:sz w:val="44"/>
          <w:szCs w:val="24"/>
          <w:highlight w:val="none"/>
          <w:lang w:val="en-US" w:eastAsia="zh-CN" w:bidi="ar-SA"/>
        </w:rPr>
        <w:outlineLvl w:val="0"/>
      </w:pPr>
      <w:r/>
      <w:bookmarkStart w:id="6" w:name="_Toc4586"/>
      <w:r/>
      <w:bookmarkStart w:id="7" w:name="_Toc53"/>
      <w:r>
        <w:rPr>
          <w:rFonts w:hint="eastAsia" w:ascii="黑体" w:hAnsi="黑体" w:eastAsia="黑体" w:cs="黑体"/>
          <w:b/>
          <w:bCs/>
          <w:color w:val="auto"/>
          <w:sz w:val="24"/>
          <w:szCs w:val="24"/>
          <w:highlight w:val="none"/>
          <w:lang w:val="en-US" w:eastAsia="zh-CN" w:bidi="ar-SA"/>
        </w:rPr>
        <w:t xml:space="preserve">第二章 响应文件要求</w:t>
      </w:r>
      <w:bookmarkEnd w:id="5"/>
      <w:r/>
      <w:bookmarkEnd w:id="6"/>
      <w:r/>
      <w:bookmarkEnd w:id="7"/>
      <w:r/>
      <w:r/>
    </w:p>
    <w:p>
      <w:pPr>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十、获取竞争性磋商文件：苏采云系统 。</w:t>
      </w:r>
      <w:r/>
    </w:p>
    <w:p>
      <w:pPr>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color w:val="auto"/>
          <w:sz w:val="24"/>
          <w:szCs w:val="24"/>
          <w:highlight w:val="none"/>
        </w:rPr>
        <w:t xml:space="preserve">十一、提交响应文件要求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2、“CA数字证书”的获</w:t>
      </w:r>
      <w:r>
        <w:rPr>
          <w:rFonts w:hint="eastAsia" w:ascii="黑体" w:hAnsi="黑体" w:eastAsia="黑体" w:cs="黑体"/>
          <w:color w:val="auto"/>
          <w:sz w:val="24"/>
          <w:szCs w:val="24"/>
          <w:highlight w:val="none"/>
        </w:rPr>
        <w:t xml:space="preserve">取：</w:t>
      </w:r>
      <w:r>
        <w:rPr>
          <w:rFonts w:hint="eastAsia" w:ascii="黑体" w:hAnsi="黑体" w:eastAsia="黑体" w:cs="黑体"/>
          <w:color w:val="auto"/>
          <w:sz w:val="24"/>
          <w:szCs w:val="21"/>
          <w:highlight w:val="none"/>
        </w:rPr>
        <w:t xml:space="preserve">供应商需办理CA锁，“苏采云”系统目前仅支持“苏采云”系统下的政务CA，省内各地区办理的“苏采云”系统下的政务CA全省通用。“CA数字证书”的办理材料详见“徐州政府采购网”中的《“苏采云”系统政务CA办理材料、操作手册及控件下载》</w:t>
      </w:r>
      <w:r>
        <w:rPr>
          <w:rFonts w:hint="eastAsia" w:ascii="黑体" w:hAnsi="黑体" w:eastAsia="黑体" w:cs="黑体"/>
          <w:bCs/>
          <w:color w:val="auto"/>
          <w:sz w:val="24"/>
          <w:szCs w:val="24"/>
          <w:highlight w:val="none"/>
        </w:rPr>
        <w:t xml:space="preserve">。</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3、</w:t>
      </w:r>
      <w:r>
        <w:rPr>
          <w:rFonts w:hint="eastAsia" w:ascii="黑体" w:hAnsi="黑体" w:eastAsia="黑体" w:cs="黑体"/>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黑体" w:hAnsi="黑体" w:eastAsia="黑体" w:cs="黑体"/>
          <w:bCs/>
          <w:color w:val="auto"/>
          <w:sz w:val="24"/>
          <w:szCs w:val="24"/>
          <w:highlight w:val="none"/>
        </w:rPr>
        <w:t xml:space="preserve">（网址：http://jszfcg.jsczt.cn/；或进入徐州政府采购网（网址：</w:t>
      </w:r>
      <w:r>
        <w:rPr>
          <w:rFonts w:hint="eastAsia" w:ascii="黑体" w:hAnsi="黑体" w:eastAsia="黑体" w:cs="黑体"/>
          <w:bCs/>
          <w:color w:val="auto"/>
          <w:sz w:val="24"/>
          <w:szCs w:val="24"/>
          <w:highlight w:val="none"/>
          <w:lang w:eastAsia="zh-CN"/>
        </w:rPr>
        <w:t xml:space="preserve">https://czj.xz.gov.cn/zfcg/index.html</w:t>
      </w:r>
      <w:r>
        <w:rPr>
          <w:rFonts w:hint="eastAsia" w:ascii="黑体" w:hAnsi="黑体" w:eastAsia="黑体" w:cs="黑体"/>
          <w:bCs/>
          <w:color w:val="auto"/>
          <w:sz w:val="24"/>
          <w:szCs w:val="24"/>
          <w:highlight w:val="none"/>
        </w:rPr>
        <w:t xml:space="preserve">），点击“苏采云”进入系统），按照要求通过互联网方式提交首次响应文件。</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4、“苏采云”系统使用要求：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4.1使用谷歌浏览器参与不见面开标及磋商环节。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4.2电脑需提前准备好麦克风、音响，摄像头，提前检查保证能够正常使用。</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4.3操作系统至少win7以上，建议使用win10操作系统。</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（二</w:t>
      </w:r>
      <w:r>
        <w:rPr>
          <w:rFonts w:hint="eastAsia" w:ascii="黑体" w:hAnsi="黑体" w:eastAsia="黑体" w:cs="黑体"/>
          <w:bCs/>
          <w:color w:val="auto"/>
          <w:sz w:val="24"/>
          <w:szCs w:val="24"/>
          <w:highlight w:val="none"/>
        </w:rPr>
        <w:t xml:space="preserve">）首次响应文件提交时间、地点：：</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1、首次响应文件提交的截止时间：</w:t>
      </w:r>
      <w:r>
        <w:rPr>
          <w:rFonts w:hint="eastAsia" w:ascii="黑体" w:hAnsi="黑体" w:eastAsia="黑体" w:cs="黑体"/>
          <w:color w:val="auto"/>
          <w:sz w:val="24"/>
          <w:szCs w:val="24"/>
          <w:highlight w:val="none"/>
        </w:rPr>
        <w:t xml:space="preserve">202</w:t>
      </w: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年</w:t>
      </w:r>
      <w:r>
        <w:rPr>
          <w:rFonts w:hint="eastAsia" w:ascii="黑体" w:hAnsi="黑体" w:eastAsia="黑体" w:cs="黑体"/>
          <w:color w:val="auto"/>
          <w:sz w:val="24"/>
          <w:szCs w:val="24"/>
          <w:highlight w:val="none"/>
          <w:lang w:val="en-US" w:eastAsia="zh-CN"/>
        </w:rPr>
        <w:t xml:space="preserve">10</w:t>
      </w:r>
      <w:r>
        <w:rPr>
          <w:rFonts w:hint="eastAsia" w:ascii="黑体" w:hAnsi="黑体" w:eastAsia="黑体" w:cs="黑体"/>
          <w:color w:val="auto"/>
          <w:sz w:val="24"/>
          <w:szCs w:val="24"/>
          <w:highlight w:val="none"/>
        </w:rPr>
        <w:t xml:space="preserve">月23</w:t>
      </w:r>
      <w:r>
        <w:rPr>
          <w:rFonts w:hint="eastAsia" w:ascii="黑体" w:hAnsi="黑体" w:eastAsia="黑体" w:cs="黑体"/>
          <w:color w:val="auto"/>
          <w:sz w:val="24"/>
          <w:szCs w:val="24"/>
          <w:highlight w:val="none"/>
        </w:rPr>
        <w:t xml:space="preserve">日</w:t>
      </w:r>
      <w:r>
        <w:rPr>
          <w:rFonts w:hint="eastAsia" w:ascii="黑体" w:hAnsi="黑体" w:eastAsia="黑体" w:cs="黑体"/>
          <w:color w:val="auto"/>
          <w:sz w:val="24"/>
          <w:szCs w:val="24"/>
          <w:highlight w:val="none"/>
        </w:rPr>
        <w:t xml:space="preserve">09：30</w:t>
      </w:r>
      <w:r>
        <w:rPr>
          <w:rFonts w:hint="eastAsia" w:ascii="黑体" w:hAnsi="黑体" w:eastAsia="黑体" w:cs="黑体"/>
          <w:b/>
          <w:color w:val="auto"/>
          <w:sz w:val="24"/>
          <w:szCs w:val="24"/>
          <w:highlight w:val="none"/>
        </w:rPr>
        <w:t xml:space="preserve">（北京时间）</w:t>
      </w:r>
      <w:r>
        <w:rPr>
          <w:rFonts w:hint="eastAsia" w:ascii="黑体" w:hAnsi="黑体" w:eastAsia="黑体" w:cs="黑体"/>
          <w:bCs/>
          <w:color w:val="auto"/>
          <w:sz w:val="24"/>
          <w:szCs w:val="24"/>
          <w:highlight w:val="none"/>
        </w:rPr>
        <w:t xml:space="preserve">，截止时间后提交的响应文件为无效文件将被拒收。</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t xml:space="preserve">2、提交首次响应文</w:t>
      </w:r>
      <w:r>
        <w:rPr>
          <w:rFonts w:hint="eastAsia" w:ascii="黑体" w:hAnsi="黑体" w:eastAsia="黑体" w:cs="黑体"/>
          <w:color w:val="auto"/>
          <w:sz w:val="24"/>
          <w:szCs w:val="24"/>
          <w:highlight w:val="none"/>
        </w:rPr>
        <w:t xml:space="preserve">件地点：“苏采云”系统（网址：http://jszfcg.jsczt.cn/）“开标大厅”或进入徐州政府采购网（网址：</w:t>
      </w:r>
      <w:r>
        <w:rPr>
          <w:rFonts w:hint="eastAsia" w:ascii="黑体" w:hAnsi="黑体" w:eastAsia="黑体" w:cs="黑体"/>
          <w:color w:val="auto"/>
          <w:sz w:val="24"/>
          <w:szCs w:val="24"/>
          <w:highlight w:val="none"/>
          <w:lang w:eastAsia="zh-CN"/>
        </w:rPr>
        <w:t xml:space="preserve">https://czj.xz.gov.cn/zfcg/index.html</w:t>
      </w:r>
      <w:r>
        <w:rPr>
          <w:rFonts w:hint="eastAsia" w:ascii="黑体" w:hAnsi="黑体" w:eastAsia="黑体" w:cs="黑体"/>
          <w:color w:val="auto"/>
          <w:sz w:val="24"/>
          <w:szCs w:val="24"/>
          <w:highlight w:val="none"/>
        </w:rPr>
        <w:t xml:space="preserve">），点击“苏采云”进入系统“开标大厅”。</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3、首次响应文件开启时间：202</w:t>
      </w: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年</w:t>
      </w:r>
      <w:r>
        <w:rPr>
          <w:rFonts w:hint="eastAsia" w:ascii="黑体" w:hAnsi="黑体" w:eastAsia="黑体" w:cs="黑体"/>
          <w:color w:val="auto"/>
          <w:sz w:val="24"/>
          <w:szCs w:val="24"/>
          <w:highlight w:val="none"/>
          <w:lang w:val="en-US" w:eastAsia="zh-CN"/>
        </w:rPr>
        <w:t xml:space="preserve">10月23</w:t>
      </w:r>
      <w:r>
        <w:rPr>
          <w:rFonts w:hint="eastAsia" w:ascii="黑体" w:hAnsi="黑体" w:eastAsia="黑体" w:cs="黑体"/>
          <w:color w:val="auto"/>
          <w:sz w:val="24"/>
          <w:szCs w:val="24"/>
          <w:highlight w:val="none"/>
        </w:rPr>
        <w:t xml:space="preserve">日</w:t>
      </w:r>
      <w:r>
        <w:rPr>
          <w:rFonts w:hint="eastAsia" w:ascii="黑体" w:hAnsi="黑体" w:eastAsia="黑体" w:cs="黑体"/>
          <w:color w:val="auto"/>
          <w:sz w:val="24"/>
          <w:szCs w:val="24"/>
          <w:highlight w:val="none"/>
        </w:rPr>
        <w:t xml:space="preserve"> 09：30</w:t>
      </w:r>
      <w:r>
        <w:rPr>
          <w:rFonts w:hint="eastAsia" w:ascii="黑体" w:hAnsi="黑体" w:eastAsia="黑体" w:cs="黑体"/>
          <w:b/>
          <w:bCs/>
          <w:color w:val="auto"/>
          <w:sz w:val="24"/>
          <w:szCs w:val="24"/>
          <w:highlight w:val="none"/>
        </w:rPr>
        <w:t xml:space="preserve">（北京时间）</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4、首次响应文件开启地点：“苏采云”系统（网址：http://jszfcg.jsczt.cn/）“开标大厅”或进入徐州政府采购网（网址：</w:t>
      </w:r>
      <w:r>
        <w:rPr>
          <w:rFonts w:hint="eastAsia" w:ascii="黑体" w:hAnsi="黑体" w:eastAsia="黑体" w:cs="黑体"/>
          <w:color w:val="auto"/>
          <w:sz w:val="24"/>
          <w:szCs w:val="24"/>
          <w:highlight w:val="none"/>
          <w:lang w:eastAsia="zh-CN"/>
        </w:rPr>
        <w:t xml:space="preserve">https://czj.xz.gov.cn/zfcg/index.html</w:t>
      </w:r>
      <w:r>
        <w:rPr>
          <w:rFonts w:hint="eastAsia" w:ascii="黑体" w:hAnsi="黑体" w:eastAsia="黑体" w:cs="黑体"/>
          <w:color w:val="auto"/>
          <w:sz w:val="24"/>
          <w:szCs w:val="24"/>
          <w:highlight w:val="none"/>
        </w:rPr>
        <w:t xml:space="preserve">），点击“苏采云”进入系统“开标大厅”。</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（四）不接受不按要求加盖公章（电子签章）的首次响应文件。电子签章相关要求见“苏采云”系统。</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黑体" w:hAnsi="黑体" w:eastAsia="黑体" w:cs="黑体"/>
          <w:b/>
          <w:color w:val="auto"/>
          <w:sz w:val="24"/>
          <w:szCs w:val="24"/>
          <w:highlight w:val="none"/>
        </w:rPr>
        <w:t xml:space="preserve">开启后“苏采云”系统提示解密30分钟内，通过“苏采云”系统</w:t>
      </w:r>
      <w:r>
        <w:rPr>
          <w:rFonts w:hint="eastAsia" w:ascii="黑体" w:hAnsi="黑体" w:eastAsia="黑体" w:cs="黑体"/>
          <w:color w:val="auto"/>
          <w:sz w:val="24"/>
          <w:szCs w:val="24"/>
          <w:highlight w:val="none"/>
        </w:rPr>
        <w:t xml:space="preserve">（使用“CA数字证书”）解密。</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（六）采购文件（后缀名为“.kedt”）、供应商操作手册及政府采购客户端工具可通过“苏采云”系统（网址：</w:t>
      </w:r>
      <w:r>
        <w:rPr>
          <w:rFonts w:hint="eastAsia" w:ascii="黑体" w:hAnsi="黑体" w:eastAsia="黑体" w:cs="黑体"/>
          <w:color w:val="auto"/>
          <w:szCs w:val="21"/>
          <w:highlight w:val="none"/>
          <w:u w:val="none"/>
        </w:rPr>
        <w:fldChar w:fldCharType="begin"/>
      </w:r>
      <w:r>
        <w:rPr>
          <w:rFonts w:hint="eastAsia" w:ascii="黑体" w:hAnsi="黑体" w:eastAsia="黑体" w:cs="黑体"/>
          <w:color w:val="auto"/>
          <w:szCs w:val="21"/>
          <w:highlight w:val="none"/>
          <w:u w:val="none"/>
        </w:rPr>
        <w:instrText xml:space="preserve"> HYPERLINK "http://jszfcg.jsczt.cn/" </w:instrText>
      </w:r>
      <w:r>
        <w:rPr>
          <w:rFonts w:hint="eastAsia" w:ascii="黑体" w:hAnsi="黑体" w:eastAsia="黑体" w:cs="黑体"/>
          <w:color w:val="auto"/>
          <w:szCs w:val="21"/>
          <w:highlight w:val="none"/>
          <w:u w:val="none"/>
        </w:rPr>
        <w:fldChar w:fldCharType="separate"/>
      </w:r>
      <w:r>
        <w:rPr>
          <w:rFonts w:hint="eastAsia" w:ascii="黑体" w:hAnsi="黑体" w:eastAsia="黑体" w:cs="黑体"/>
          <w:color w:val="auto"/>
          <w:sz w:val="24"/>
          <w:szCs w:val="24"/>
          <w:highlight w:val="none"/>
          <w:u w:val="none"/>
        </w:rPr>
        <w:t xml:space="preserve">http://jszfcg.jsczt.cn/</w:t>
      </w:r>
      <w:r>
        <w:rPr>
          <w:rFonts w:hint="eastAsia" w:ascii="黑体" w:hAnsi="黑体" w:eastAsia="黑体" w:cs="黑体"/>
          <w:color w:val="auto"/>
          <w:sz w:val="24"/>
          <w:szCs w:val="24"/>
          <w:highlight w:val="none"/>
          <w:u w:val="none"/>
        </w:rPr>
        <w:fldChar w:fldCharType="end"/>
      </w:r>
      <w:r>
        <w:rPr>
          <w:rFonts w:hint="eastAsia" w:ascii="黑体" w:hAnsi="黑体" w:eastAsia="黑体" w:cs="黑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（七）相关说明: 供应商在“苏采云”系统中提交首次响应文件的时间即为数据电文（响应文件，下同）的发送时间和接收时间。</w:t>
      </w:r>
      <w:r/>
    </w:p>
    <w:p>
      <w:pPr>
        <w:jc w:val="left"/>
        <w:spacing w:line="360" w:lineRule="auto"/>
        <w:widowControl/>
        <w:rPr>
          <w:rFonts w:hint="eastAsia" w:ascii="黑体" w:hAnsi="黑体" w:eastAsia="黑体" w:cs="黑体"/>
          <w:b/>
          <w:bCs/>
          <w:color w:val="auto"/>
          <w:sz w:val="24"/>
          <w:szCs w:val="20"/>
          <w:highlight w:val="none"/>
        </w:rPr>
      </w:pPr>
      <w:r>
        <w:rPr>
          <w:rFonts w:hint="eastAsia" w:ascii="黑体" w:hAnsi="黑体" w:eastAsia="黑体" w:cs="黑体"/>
          <w:b/>
          <w:bCs/>
          <w:color w:val="auto"/>
          <w:sz w:val="24"/>
          <w:szCs w:val="20"/>
          <w:highlight w:val="none"/>
        </w:rPr>
        <w:t xml:space="preserve">十二、响应文件编制要求，请按照以下要求（包括但不限于以下要求）制作：</w:t>
      </w:r>
      <w:r/>
    </w:p>
    <w:p>
      <w:pPr>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（一）基本目录</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Cs/>
          <w:color w:val="auto"/>
          <w:sz w:val="24"/>
          <w:szCs w:val="20"/>
          <w:highlight w:val="none"/>
        </w:rPr>
        <w:t xml:space="preserve">1.</w:t>
      </w:r>
      <w:r>
        <w:rPr>
          <w:rFonts w:hint="eastAsia" w:ascii="黑体" w:hAnsi="黑体" w:eastAsia="黑体" w:cs="黑体"/>
          <w:color w:val="auto"/>
          <w:sz w:val="24"/>
          <w:szCs w:val="20"/>
          <w:highlight w:val="none"/>
        </w:rPr>
        <w:t xml:space="preserve">《磋商报价表》（加盖电子签章，格式见《</w:t>
      </w:r>
      <w:r>
        <w:rPr>
          <w:rFonts w:hint="eastAsia" w:ascii="黑体" w:hAnsi="黑体" w:eastAsia="黑体" w:cs="黑体"/>
          <w:color w:val="auto"/>
          <w:sz w:val="24"/>
          <w:szCs w:val="20"/>
          <w:highlight w:val="none"/>
          <w:lang w:val="en-US" w:eastAsia="zh-CN"/>
        </w:rPr>
        <w:t xml:space="preserve">响应文件相关格式</w:t>
      </w:r>
      <w:r>
        <w:rPr>
          <w:rFonts w:hint="eastAsia" w:ascii="黑体" w:hAnsi="黑体" w:eastAsia="黑体" w:cs="黑体"/>
          <w:color w:val="auto"/>
          <w:sz w:val="24"/>
          <w:szCs w:val="20"/>
          <w:highlight w:val="none"/>
        </w:rPr>
        <w:t xml:space="preserve">》</w:t>
      </w:r>
      <w:r>
        <w:rPr>
          <w:rFonts w:hint="eastAsia" w:ascii="黑体" w:hAnsi="黑体" w:eastAsia="黑体" w:cs="黑体"/>
          <w:color w:val="auto"/>
          <w:sz w:val="24"/>
          <w:szCs w:val="20"/>
          <w:highlight w:val="none"/>
          <w:lang w:eastAsia="zh-CN"/>
        </w:rPr>
        <w:t xml:space="preserve">，</w:t>
      </w:r>
      <w:r>
        <w:rPr>
          <w:rFonts w:hint="eastAsia" w:ascii="黑体" w:hAnsi="黑体" w:eastAsia="黑体" w:cs="黑体"/>
          <w:color w:val="auto"/>
          <w:sz w:val="24"/>
          <w:szCs w:val="20"/>
          <w:highlight w:val="none"/>
          <w:lang w:val="en-US" w:eastAsia="zh-CN"/>
        </w:rPr>
        <w:t xml:space="preserve">或</w:t>
      </w:r>
      <w:r>
        <w:rPr>
          <w:rFonts w:hint="eastAsia" w:ascii="黑体" w:hAnsi="黑体" w:eastAsia="黑体" w:cs="黑体"/>
          <w:bCs/>
          <w:color w:val="auto"/>
          <w:sz w:val="24"/>
          <w:szCs w:val="20"/>
          <w:highlight w:val="none"/>
        </w:rPr>
        <w:t xml:space="preserve">政府采购客户端工具输入报价自动生成）；</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Cs/>
          <w:color w:val="auto"/>
          <w:sz w:val="24"/>
          <w:szCs w:val="20"/>
          <w:highlight w:val="none"/>
        </w:rPr>
        <w:t xml:space="preserve">2、供应商认为需要提供的其他资料的扫描件（如有）。</w:t>
      </w:r>
      <w:r/>
    </w:p>
    <w:p>
      <w:pPr>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
          <w:bCs/>
          <w:color w:val="auto"/>
          <w:sz w:val="24"/>
          <w:szCs w:val="20"/>
          <w:highlight w:val="none"/>
        </w:rPr>
        <w:t xml:space="preserve">（二）资格审查条件（必须提供，否则</w:t>
      </w:r>
      <w:r>
        <w:rPr>
          <w:rFonts w:hint="eastAsia" w:ascii="黑体" w:hAnsi="黑体" w:eastAsia="黑体" w:cs="黑体"/>
          <w:b/>
          <w:color w:val="auto"/>
          <w:sz w:val="24"/>
          <w:szCs w:val="20"/>
          <w:highlight w:val="none"/>
        </w:rPr>
        <w:t xml:space="preserve">响应无效</w:t>
      </w:r>
      <w:r>
        <w:rPr>
          <w:rFonts w:hint="eastAsia" w:ascii="黑体" w:hAnsi="黑体" w:eastAsia="黑体" w:cs="黑体"/>
          <w:bCs/>
          <w:color w:val="auto"/>
          <w:sz w:val="24"/>
          <w:szCs w:val="20"/>
          <w:highlight w:val="none"/>
        </w:rPr>
        <w:t xml:space="preserve">）</w:t>
      </w:r>
      <w:r/>
    </w:p>
    <w:p>
      <w:pPr>
        <w:ind w:firstLine="482"/>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
          <w:color w:val="auto"/>
          <w:sz w:val="24"/>
          <w:szCs w:val="20"/>
          <w:highlight w:val="none"/>
        </w:rPr>
        <w:t xml:space="preserve">1、</w:t>
      </w:r>
      <w:r>
        <w:rPr>
          <w:rFonts w:hint="eastAsia" w:ascii="黑体" w:hAnsi="黑体" w:eastAsia="黑体" w:cs="黑体"/>
          <w:color w:val="auto"/>
          <w:sz w:val="24"/>
          <w:szCs w:val="24"/>
          <w:highlight w:val="none"/>
        </w:rPr>
        <w:t xml:space="preserve">具有独立承担民事责任的能力，提供</w:t>
      </w:r>
      <w:r>
        <w:rPr>
          <w:rFonts w:hint="eastAsia" w:ascii="黑体" w:hAnsi="黑体" w:eastAsia="黑体" w:cs="黑体"/>
          <w:color w:val="auto"/>
          <w:sz w:val="24"/>
          <w:szCs w:val="24"/>
          <w:highlight w:val="none"/>
          <w:lang w:val="en-US" w:eastAsia="zh-CN"/>
        </w:rPr>
        <w:t xml:space="preserve">供应商合法有效的营业执照</w:t>
      </w:r>
      <w:r>
        <w:rPr>
          <w:rFonts w:hint="eastAsia" w:ascii="黑体" w:hAnsi="黑体" w:eastAsia="黑体" w:cs="黑体"/>
          <w:color w:val="auto"/>
          <w:sz w:val="24"/>
          <w:szCs w:val="24"/>
          <w:highlight w:val="none"/>
        </w:rPr>
        <w:t xml:space="preserve">原件的</w:t>
      </w:r>
      <w:r>
        <w:rPr>
          <w:rFonts w:hint="eastAsia" w:ascii="黑体" w:hAnsi="黑体" w:eastAsia="黑体" w:cs="黑体"/>
          <w:color w:val="auto"/>
          <w:sz w:val="24"/>
          <w:szCs w:val="24"/>
          <w:highlight w:val="none"/>
          <w:lang w:val="en-US" w:eastAsia="zh-CN"/>
        </w:rPr>
        <w:t xml:space="preserve">扫描件（或事业单位法人证书</w:t>
      </w:r>
      <w:r>
        <w:rPr>
          <w:rFonts w:hint="eastAsia" w:ascii="黑体" w:hAnsi="黑体" w:eastAsia="黑体" w:cs="黑体"/>
          <w:color w:val="auto"/>
          <w:sz w:val="24"/>
          <w:szCs w:val="24"/>
          <w:highlight w:val="none"/>
        </w:rPr>
        <w:t xml:space="preserve">原件的</w:t>
      </w:r>
      <w:r>
        <w:rPr>
          <w:rFonts w:hint="eastAsia" w:ascii="黑体" w:hAnsi="黑体" w:eastAsia="黑体" w:cs="黑体"/>
          <w:color w:val="auto"/>
          <w:sz w:val="24"/>
          <w:szCs w:val="24"/>
          <w:highlight w:val="none"/>
          <w:lang w:val="en-US" w:eastAsia="zh-CN"/>
        </w:rPr>
        <w:t xml:space="preserve">扫描件，或民办非企业单位登记证书</w:t>
      </w:r>
      <w:r>
        <w:rPr>
          <w:rFonts w:hint="eastAsia" w:ascii="黑体" w:hAnsi="黑体" w:eastAsia="黑体" w:cs="黑体"/>
          <w:color w:val="auto"/>
          <w:sz w:val="24"/>
          <w:szCs w:val="24"/>
          <w:highlight w:val="none"/>
        </w:rPr>
        <w:t xml:space="preserve">原件的</w:t>
      </w:r>
      <w:r>
        <w:rPr>
          <w:rFonts w:hint="eastAsia" w:ascii="黑体" w:hAnsi="黑体" w:eastAsia="黑体" w:cs="黑体"/>
          <w:color w:val="auto"/>
          <w:sz w:val="24"/>
          <w:szCs w:val="24"/>
          <w:highlight w:val="none"/>
          <w:lang w:val="en-US" w:eastAsia="zh-CN"/>
        </w:rPr>
        <w:t xml:space="preserve">扫描件）</w:t>
      </w:r>
      <w:r>
        <w:rPr>
          <w:rFonts w:hint="eastAsia" w:ascii="黑体" w:hAnsi="黑体" w:eastAsia="黑体" w:cs="黑体"/>
          <w:b/>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2、财务状况报告，至少提供：</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color w:val="auto"/>
          <w:sz w:val="24"/>
          <w:szCs w:val="24"/>
          <w:highlight w:val="none"/>
          <w:lang w:val="en-US" w:eastAsia="zh-CN"/>
        </w:rPr>
        <w:t xml:space="preserve">供应商的本项目开标时间前6个月内任何时间的资产负债表和利润表扫描件各一份；或提供供应商（2025年度）经审计的财务报告扫描件一份；或提供供应商的本项目开标时间前6个月内银行出具的资信证明扫描件一份）</w:t>
      </w:r>
      <w:r>
        <w:rPr>
          <w:rFonts w:hint="eastAsia" w:ascii="黑体" w:hAnsi="黑体" w:eastAsia="黑体" w:cs="黑体"/>
          <w:bCs/>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3、有依法缴纳税收和社会保障资金的良好记录，提供：</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color w:val="auto"/>
          <w:sz w:val="24"/>
          <w:szCs w:val="24"/>
          <w:highlight w:val="none"/>
          <w:lang w:eastAsia="zh-CN"/>
        </w:rPr>
        <w:t xml:space="preserve">本</w:t>
      </w:r>
      <w:r>
        <w:rPr>
          <w:rFonts w:hint="eastAsia" w:ascii="黑体" w:hAnsi="黑体" w:eastAsia="黑体" w:cs="黑体"/>
          <w:color w:val="auto"/>
          <w:sz w:val="24"/>
          <w:szCs w:val="24"/>
          <w:highlight w:val="none"/>
        </w:rPr>
        <w:t xml:space="preserve">项目开标时间前6个月内任何1月的</w:t>
      </w:r>
      <w:r>
        <w:rPr>
          <w:rFonts w:hint="eastAsia" w:ascii="黑体" w:hAnsi="黑体" w:eastAsia="黑体" w:cs="黑体"/>
          <w:color w:val="auto"/>
          <w:sz w:val="24"/>
          <w:szCs w:val="24"/>
          <w:highlight w:val="none"/>
          <w:lang w:val="en-US" w:eastAsia="zh-CN"/>
        </w:rPr>
        <w:t xml:space="preserve">供应商</w:t>
      </w:r>
      <w:r>
        <w:rPr>
          <w:rFonts w:hint="eastAsia" w:ascii="黑体" w:hAnsi="黑体" w:eastAsia="黑体" w:cs="黑体"/>
          <w:color w:val="auto"/>
          <w:sz w:val="24"/>
          <w:szCs w:val="24"/>
          <w:highlight w:val="none"/>
        </w:rPr>
        <w:t xml:space="preserve">依法缴纳税收的相关材料扫描件；</w:t>
      </w:r>
      <w:r>
        <w:rPr>
          <w:rFonts w:hint="eastAsia" w:ascii="黑体" w:hAnsi="黑体" w:eastAsia="黑体" w:cs="黑体"/>
          <w:color w:val="auto"/>
          <w:sz w:val="24"/>
          <w:szCs w:val="24"/>
          <w:highlight w:val="none"/>
          <w:lang w:eastAsia="zh-CN"/>
        </w:rPr>
        <w:t xml:space="preserve">和</w:t>
      </w:r>
      <w:r>
        <w:rPr>
          <w:rFonts w:hint="eastAsia" w:ascii="黑体" w:hAnsi="黑体" w:eastAsia="黑体" w:cs="黑体"/>
          <w:color w:val="auto"/>
          <w:sz w:val="24"/>
          <w:szCs w:val="24"/>
          <w:highlight w:val="none"/>
        </w:rPr>
        <w:t xml:space="preserve">本项目开标时间前6个月内任何1月的</w:t>
      </w:r>
      <w:r>
        <w:rPr>
          <w:rFonts w:hint="eastAsia" w:ascii="黑体" w:hAnsi="黑体" w:eastAsia="黑体" w:cs="黑体"/>
          <w:color w:val="auto"/>
          <w:sz w:val="24"/>
          <w:szCs w:val="24"/>
          <w:highlight w:val="none"/>
          <w:lang w:val="en-US" w:eastAsia="zh-CN"/>
        </w:rPr>
        <w:t xml:space="preserve">供应商</w:t>
      </w:r>
      <w:r>
        <w:rPr>
          <w:rFonts w:hint="eastAsia" w:ascii="黑体" w:hAnsi="黑体" w:eastAsia="黑体" w:cs="黑体"/>
          <w:color w:val="auto"/>
          <w:sz w:val="24"/>
          <w:szCs w:val="24"/>
          <w:highlight w:val="none"/>
        </w:rPr>
        <w:t xml:space="preserve">依法缴纳社会保障资金的相关材料扫描件</w:t>
      </w:r>
      <w:r>
        <w:rPr>
          <w:rFonts w:hint="eastAsia" w:ascii="黑体" w:hAnsi="黑体" w:eastAsia="黑体" w:cs="黑体"/>
          <w:color w:val="auto"/>
          <w:sz w:val="24"/>
          <w:szCs w:val="24"/>
          <w:highlight w:val="none"/>
          <w:lang w:eastAsia="zh-CN"/>
        </w:rPr>
        <w:t xml:space="preserve">；依法免税或不需要缴纳社会保障资金的供应商,提供相应文件扫描件证明其依法免税或不需要缴纳社会保障资金</w:t>
      </w:r>
      <w:r>
        <w:rPr>
          <w:rFonts w:hint="eastAsia" w:ascii="黑体" w:hAnsi="黑体" w:eastAsia="黑体" w:cs="黑体"/>
          <w:bCs/>
          <w:color w:val="auto"/>
          <w:sz w:val="24"/>
          <w:szCs w:val="20"/>
          <w:highlight w:val="none"/>
        </w:rPr>
        <w:t xml:space="preserve">。</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0"/>
          <w:highlight w:val="none"/>
        </w:rPr>
        <w:t xml:space="preserve">4、</w:t>
      </w:r>
      <w:r>
        <w:rPr>
          <w:rFonts w:hint="eastAsia" w:ascii="黑体" w:hAnsi="黑体" w:eastAsia="黑体" w:cs="黑体"/>
          <w:color w:val="auto"/>
          <w:sz w:val="24"/>
          <w:szCs w:val="24"/>
          <w:highlight w:val="none"/>
          <w:lang w:val="en-US" w:eastAsia="zh-CN"/>
        </w:rPr>
        <w:t xml:space="preserve">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rPr>
          <w:rFonts w:hint="eastAsia" w:ascii="黑体" w:hAnsi="黑体" w:eastAsia="黑体" w:cs="黑体"/>
          <w:b/>
          <w:color w:val="auto"/>
          <w:sz w:val="24"/>
          <w:szCs w:val="24"/>
          <w:highlight w:val="none"/>
        </w:rPr>
        <w:t xml:space="preserve">。</w:t>
      </w:r>
      <w:r/>
    </w:p>
    <w:p>
      <w:pPr>
        <w:ind w:firstLine="482"/>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5、</w:t>
      </w:r>
      <w:r>
        <w:rPr>
          <w:rFonts w:hint="eastAsia" w:ascii="黑体" w:hAnsi="黑体" w:eastAsia="黑体" w:cs="黑体"/>
          <w:b/>
          <w:bCs/>
          <w:color w:val="auto"/>
          <w:sz w:val="24"/>
          <w:szCs w:val="24"/>
          <w:highlight w:val="none"/>
          <w:lang w:eastAsia="zh-CN"/>
        </w:rPr>
        <w:t xml:space="preserve">供应商</w:t>
      </w:r>
      <w:r>
        <w:rPr>
          <w:rFonts w:hint="eastAsia" w:ascii="黑体" w:hAnsi="黑体" w:eastAsia="黑体" w:cs="黑体"/>
          <w:b/>
          <w:bCs/>
          <w:color w:val="auto"/>
          <w:sz w:val="24"/>
          <w:szCs w:val="24"/>
          <w:highlight w:val="none"/>
        </w:rPr>
        <w:t xml:space="preserve">参加政府采购活动前3年内在经营活动中没有重大违法记录的书面声明（加盖电子签章，格式见</w:t>
      </w:r>
      <w:r>
        <w:rPr>
          <w:rFonts w:hint="eastAsia" w:ascii="黑体" w:hAnsi="黑体" w:eastAsia="黑体" w:cs="黑体"/>
          <w:b/>
          <w:bCs/>
          <w:color w:val="auto"/>
          <w:sz w:val="24"/>
          <w:szCs w:val="24"/>
          <w:highlight w:val="none"/>
          <w:lang w:val="en-US" w:eastAsia="zh-CN"/>
        </w:rPr>
        <w:t xml:space="preserve">磋商</w:t>
      </w:r>
      <w:r>
        <w:rPr>
          <w:rFonts w:hint="eastAsia" w:ascii="黑体" w:hAnsi="黑体" w:eastAsia="黑体" w:cs="黑体"/>
          <w:b/>
          <w:bCs/>
          <w:color w:val="auto"/>
          <w:sz w:val="24"/>
          <w:szCs w:val="24"/>
          <w:highlight w:val="none"/>
        </w:rPr>
        <w:t xml:space="preserve">文件《</w:t>
      </w:r>
      <w:r>
        <w:rPr>
          <w:rFonts w:hint="eastAsia" w:ascii="黑体" w:hAnsi="黑体" w:eastAsia="黑体" w:cs="黑体"/>
          <w:b/>
          <w:bCs/>
          <w:color w:val="auto"/>
          <w:sz w:val="24"/>
          <w:szCs w:val="24"/>
          <w:highlight w:val="none"/>
          <w:lang w:val="en-US" w:eastAsia="zh-CN"/>
        </w:rPr>
        <w:t xml:space="preserve">响应</w:t>
      </w:r>
      <w:r>
        <w:rPr>
          <w:rFonts w:hint="eastAsia" w:ascii="黑体" w:hAnsi="黑体" w:eastAsia="黑体" w:cs="黑体"/>
          <w:b/>
          <w:bCs/>
          <w:color w:val="auto"/>
          <w:sz w:val="24"/>
          <w:szCs w:val="24"/>
          <w:highlight w:val="none"/>
        </w:rPr>
        <w:t xml:space="preserve">文件相关格式》）</w:t>
      </w:r>
      <w:r>
        <w:rPr>
          <w:rFonts w:hint="eastAsia" w:ascii="黑体" w:hAnsi="黑体" w:eastAsia="黑体" w:cs="黑体"/>
          <w:b/>
          <w:color w:val="auto"/>
          <w:sz w:val="24"/>
          <w:szCs w:val="20"/>
          <w:highlight w:val="none"/>
        </w:rPr>
        <w:t xml:space="preserve">。</w:t>
      </w:r>
      <w:r/>
    </w:p>
    <w:p>
      <w:pPr>
        <w:ind w:firstLine="480"/>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6、本项目的特定资格要求： 提供以下资料的扫描件，加盖电子签章</w:t>
      </w:r>
      <w:r/>
    </w:p>
    <w:p>
      <w:pPr>
        <w:ind w:firstLine="480"/>
        <w:jc w:val="left"/>
        <w:spacing w:line="360" w:lineRule="auto"/>
        <w:widowControl/>
        <w:rPr>
          <w:rFonts w:hint="eastAsia" w:ascii="黑体" w:hAnsi="黑体" w:eastAsia="黑体" w:cs="黑体"/>
          <w:b/>
          <w:color w:val="auto"/>
          <w:sz w:val="24"/>
          <w:szCs w:val="20"/>
          <w:highlight w:val="none"/>
          <w:lang w:eastAsia="zh-CN"/>
        </w:rPr>
      </w:pPr>
      <w:r>
        <w:rPr>
          <w:rFonts w:hint="eastAsia" w:ascii="黑体" w:hAnsi="黑体" w:eastAsia="黑体" w:cs="黑体"/>
          <w:b/>
          <w:color w:val="auto"/>
          <w:sz w:val="24"/>
          <w:szCs w:val="20"/>
          <w:highlight w:val="none"/>
        </w:rPr>
        <w:t xml:space="preserve">①供应商具有建设行政主管部门颁发的</w:t>
      </w:r>
      <w:r>
        <w:rPr>
          <w:rFonts w:hint="eastAsia" w:ascii="黑体" w:hAnsi="黑体" w:eastAsia="黑体" w:cs="黑体"/>
          <w:b/>
          <w:color w:val="auto"/>
          <w:sz w:val="24"/>
          <w:szCs w:val="20"/>
          <w:highlight w:val="none"/>
          <w:lang w:val="en-US" w:eastAsia="zh-CN"/>
        </w:rPr>
        <w:t xml:space="preserve">建筑工程施工总承包三级（含）以上资质证书</w:t>
      </w:r>
      <w:r>
        <w:rPr>
          <w:rFonts w:hint="eastAsia" w:ascii="黑体" w:hAnsi="黑体" w:eastAsia="黑体" w:cs="黑体"/>
          <w:b/>
          <w:color w:val="auto"/>
          <w:sz w:val="24"/>
          <w:szCs w:val="20"/>
          <w:highlight w:val="none"/>
          <w:lang w:eastAsia="zh-CN"/>
        </w:rPr>
        <w:t xml:space="preserve">；</w:t>
      </w:r>
      <w:r/>
    </w:p>
    <w:p>
      <w:pPr>
        <w:ind w:firstLine="480"/>
        <w:jc w:val="left"/>
        <w:spacing w:line="360" w:lineRule="auto"/>
        <w:widowControl/>
        <w:rPr>
          <w:rFonts w:hint="eastAsia" w:ascii="黑体" w:hAnsi="黑体" w:eastAsia="黑体" w:cs="黑体"/>
          <w:b/>
          <w:color w:val="auto"/>
          <w:sz w:val="24"/>
          <w:szCs w:val="20"/>
          <w:highlight w:val="none"/>
          <w:lang w:eastAsia="zh-CN"/>
        </w:rPr>
      </w:pPr>
      <w:r>
        <w:rPr>
          <w:rFonts w:hint="eastAsia" w:ascii="黑体" w:hAnsi="黑体" w:eastAsia="黑体" w:cs="黑体"/>
          <w:b/>
          <w:color w:val="auto"/>
          <w:sz w:val="24"/>
          <w:szCs w:val="20"/>
          <w:highlight w:val="none"/>
        </w:rPr>
        <w:t xml:space="preserve">②供应商具有有效的《安全生产许可证》证书</w:t>
      </w:r>
      <w:r>
        <w:rPr>
          <w:rFonts w:hint="eastAsia" w:ascii="黑体" w:hAnsi="黑体" w:eastAsia="黑体" w:cs="黑体"/>
          <w:b/>
          <w:color w:val="auto"/>
          <w:sz w:val="24"/>
          <w:szCs w:val="20"/>
          <w:highlight w:val="none"/>
          <w:lang w:eastAsia="zh-CN"/>
        </w:rPr>
        <w:t xml:space="preserve">；</w:t>
      </w:r>
      <w:r/>
    </w:p>
    <w:p>
      <w:pPr>
        <w:ind w:firstLine="480"/>
        <w:jc w:val="left"/>
        <w:spacing w:line="360" w:lineRule="auto"/>
        <w:widowControl/>
        <w:rPr>
          <w:rFonts w:hint="eastAsia" w:ascii="黑体" w:hAnsi="黑体" w:eastAsia="黑体" w:cs="黑体"/>
          <w:b/>
          <w:color w:val="auto"/>
          <w:sz w:val="24"/>
          <w:szCs w:val="20"/>
          <w:highlight w:val="none"/>
        </w:rPr>
      </w:pPr>
      <w:r>
        <w:rPr>
          <w:rFonts w:hint="eastAsia" w:ascii="黑体" w:hAnsi="黑体" w:eastAsia="黑体" w:cs="黑体"/>
          <w:b/>
          <w:color w:val="auto"/>
          <w:sz w:val="24"/>
          <w:szCs w:val="20"/>
          <w:highlight w:val="none"/>
        </w:rPr>
        <w:t xml:space="preserve">③供应商拟派的项目负责人(注册建造师)须具备建筑工程专业二级</w:t>
      </w:r>
      <w:r>
        <w:rPr>
          <w:rFonts w:hint="eastAsia" w:ascii="黑体" w:hAnsi="黑体" w:eastAsia="黑体" w:cs="黑体"/>
          <w:b/>
          <w:color w:val="auto"/>
          <w:sz w:val="24"/>
          <w:szCs w:val="20"/>
          <w:highlight w:val="none"/>
          <w:lang w:val="en-US" w:eastAsia="zh-CN"/>
        </w:rPr>
        <w:t xml:space="preserve">（含）</w:t>
      </w:r>
      <w:r>
        <w:rPr>
          <w:rFonts w:hint="eastAsia" w:ascii="黑体" w:hAnsi="黑体" w:eastAsia="黑体" w:cs="黑体"/>
          <w:b/>
          <w:color w:val="auto"/>
          <w:sz w:val="24"/>
          <w:szCs w:val="20"/>
          <w:highlight w:val="none"/>
        </w:rPr>
        <w:t xml:space="preserve">以上资格</w:t>
      </w:r>
      <w:r>
        <w:rPr>
          <w:rFonts w:hint="eastAsia" w:ascii="黑体" w:hAnsi="黑体" w:eastAsia="黑体" w:cs="黑体"/>
          <w:b/>
          <w:color w:val="auto"/>
          <w:sz w:val="24"/>
          <w:szCs w:val="20"/>
          <w:highlight w:val="none"/>
          <w:lang w:val="en-US" w:eastAsia="zh-CN"/>
        </w:rPr>
        <w:t xml:space="preserve">，同时具有</w:t>
      </w:r>
      <w:r>
        <w:rPr>
          <w:rFonts w:hint="eastAsia" w:ascii="黑体" w:hAnsi="黑体" w:eastAsia="黑体" w:cs="黑体"/>
          <w:b/>
          <w:color w:val="auto"/>
          <w:sz w:val="24"/>
          <w:szCs w:val="20"/>
          <w:highlight w:val="none"/>
        </w:rPr>
        <w:t xml:space="preserve">《建筑施工企业安全生产考核合格证书》（B证）且无在建工程</w:t>
      </w:r>
      <w:r>
        <w:rPr>
          <w:rFonts w:hint="eastAsia" w:ascii="黑体" w:hAnsi="黑体" w:eastAsia="黑体" w:cs="黑体"/>
          <w:b/>
          <w:color w:val="auto"/>
          <w:sz w:val="24"/>
          <w:szCs w:val="20"/>
          <w:highlight w:val="none"/>
          <w:lang w:val="en-US" w:eastAsia="zh-CN"/>
        </w:rPr>
        <w:t xml:space="preserve">，</w:t>
      </w:r>
      <w:r>
        <w:rPr>
          <w:rFonts w:hint="eastAsia" w:ascii="黑体" w:hAnsi="黑体" w:eastAsia="黑体" w:cs="黑体"/>
          <w:b/>
          <w:color w:val="auto"/>
          <w:sz w:val="24"/>
          <w:szCs w:val="20"/>
          <w:highlight w:val="none"/>
        </w:rPr>
        <w:t xml:space="preserve">提供无在建工程的承诺书或证明（格式自拟）</w:t>
      </w:r>
      <w:r/>
    </w:p>
    <w:p>
      <w:pPr>
        <w:ind w:firstLine="480"/>
        <w:jc w:val="left"/>
        <w:spacing w:line="360" w:lineRule="auto"/>
        <w:widowControl/>
        <w:rPr>
          <w:rFonts w:hint="eastAsia" w:ascii="黑体" w:hAnsi="黑体" w:eastAsia="黑体" w:cs="黑体"/>
          <w:bCs/>
          <w:color w:val="auto"/>
          <w:sz w:val="24"/>
          <w:szCs w:val="20"/>
          <w:highlight w:val="none"/>
        </w:rPr>
      </w:pPr>
      <w:r>
        <w:rPr>
          <w:rFonts w:hint="eastAsia" w:ascii="黑体" w:hAnsi="黑体" w:eastAsia="黑体" w:cs="黑体"/>
          <w:bCs/>
          <w:color w:val="auto"/>
          <w:sz w:val="24"/>
          <w:szCs w:val="20"/>
          <w:highlight w:val="none"/>
        </w:rPr>
        <w:t xml:space="preserve">7、本项目属于专门面向中小微企业采购的项目，供应商应为中小微企业、监狱企业、残疾人福利性单位。</w:t>
      </w:r>
      <w:r/>
    </w:p>
    <w:p>
      <w:pPr>
        <w:ind w:left="0" w:right="0" w:firstLine="0"/>
        <w:jc w:val="both"/>
        <w:keepLines w:val="0"/>
        <w:keepNext w:val="0"/>
        <w:spacing w:before="0" w:beforeAutospacing="0" w:after="0" w:afterAutospacing="0" w:line="360" w:lineRule="auto"/>
        <w:widowControl/>
        <w:rPr>
          <w:rFonts w:hint="eastAsia" w:ascii="黑体" w:hAnsi="黑体" w:eastAsia="黑体" w:cs="黑体"/>
          <w:bCs/>
          <w:color w:val="auto"/>
          <w:sz w:val="24"/>
          <w:szCs w:val="2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黑体" w:hAnsi="黑体" w:eastAsia="黑体" w:cs="黑体"/>
          <w:bCs/>
          <w:color w:val="auto"/>
          <w:sz w:val="24"/>
          <w:szCs w:val="20"/>
          <w:highlight w:val="none"/>
          <w:lang w:val="en-US" w:eastAsia="zh-CN" w:bidi="ar-SA"/>
        </w:rPr>
        <w:t xml:space="preserve">供应商为中小企业（含中型、小型、微型企业，下同）的，</w:t>
      </w:r>
      <w:r>
        <w:rPr>
          <w:rFonts w:hint="eastAsia" w:ascii="黑体" w:hAnsi="黑体" w:eastAsia="黑体" w:cs="黑体"/>
          <w:b/>
          <w:color w:val="auto"/>
          <w:sz w:val="24"/>
          <w:szCs w:val="20"/>
          <w:highlight w:val="none"/>
          <w:lang w:val="en-US" w:eastAsia="zh-CN" w:bidi="ar-SA"/>
        </w:rPr>
        <w:t xml:space="preserve">提供《中小企业声明函》原件（电子签章，填写完整。格式见《响应文件相关格式》）</w:t>
      </w:r>
      <w:r>
        <w:rPr>
          <w:rFonts w:hint="eastAsia" w:ascii="黑体" w:hAnsi="黑体" w:eastAsia="黑体" w:cs="黑体"/>
          <w:bCs/>
          <w:color w:val="auto"/>
          <w:sz w:val="24"/>
          <w:szCs w:val="20"/>
          <w:highlight w:val="none"/>
          <w:lang w:val="en-US" w:eastAsia="zh-CN" w:bidi="ar-SA"/>
        </w:rPr>
        <w:t xml:space="preserve">。</w:t>
      </w:r>
      <w:bookmarkStart w:id="8" w:name="OLE_LINK13"/>
      <w:r>
        <w:rPr>
          <w:rFonts w:hint="eastAsia" w:ascii="黑体" w:hAnsi="黑体" w:eastAsia="黑体" w:cs="黑体"/>
          <w:i w:val="0"/>
          <w:iCs w:val="0"/>
          <w:caps w:val="0"/>
          <w:color w:val="auto"/>
          <w:spacing w:val="0"/>
          <w:sz w:val="24"/>
          <w:szCs w:val="24"/>
          <w:highlight w:val="none"/>
          <w:lang w:val="en-US" w:eastAsia="zh-CN" w:bidi="ar-SA"/>
        </w:rPr>
        <w:t xml:space="preserve">《中小企业声明函》查询渠道用微信搜索“中小企业规模类型自测小程序”</w:t>
      </w:r>
      <w:bookmarkEnd w:id="8"/>
      <w:r>
        <w:rPr>
          <w:rFonts w:hint="eastAsia" w:ascii="黑体" w:hAnsi="黑体" w:eastAsia="黑体" w:cs="黑体"/>
          <w:i w:val="0"/>
          <w:iCs w:val="0"/>
          <w:caps w:val="0"/>
          <w:color w:val="auto"/>
          <w:spacing w:val="0"/>
          <w:sz w:val="24"/>
          <w:szCs w:val="24"/>
          <w:highlight w:val="none"/>
          <w:lang w:val="en-US" w:eastAsia="zh-CN" w:bidi="ar-SA"/>
        </w:rPr>
        <w:t xml:space="preserve">。</w:t>
      </w:r>
      <w:r/>
    </w:p>
    <w:p>
      <w:pPr>
        <w:ind w:firstLine="482"/>
        <w:jc w:val="left"/>
        <w:spacing w:line="360" w:lineRule="auto"/>
        <w:widowControl/>
        <w:rPr>
          <w:rFonts w:hint="eastAsia" w:ascii="黑体" w:hAnsi="黑体" w:eastAsia="黑体" w:cs="黑体"/>
          <w:color w:val="auto"/>
          <w:sz w:val="24"/>
          <w:szCs w:val="21"/>
          <w:highlight w:val="none"/>
        </w:rPr>
      </w:pPr>
      <w:r>
        <w:rPr>
          <w:rFonts w:hint="eastAsia" w:ascii="黑体" w:hAnsi="黑体" w:eastAsia="黑体" w:cs="黑体"/>
          <w:color w:val="auto"/>
          <w:sz w:val="24"/>
          <w:szCs w:val="20"/>
          <w:highlight w:val="none"/>
        </w:rPr>
        <w:t xml:space="preserve">注：</w:t>
      </w:r>
      <w:r>
        <w:rPr>
          <w:rFonts w:hint="eastAsia" w:ascii="黑体" w:hAnsi="黑体" w:eastAsia="黑体" w:cs="黑体"/>
          <w:bCs/>
          <w:color w:val="auto"/>
          <w:sz w:val="24"/>
          <w:szCs w:val="21"/>
          <w:highlight w:val="none"/>
        </w:rPr>
        <w:t xml:space="preserve">中小</w:t>
      </w:r>
      <w:r>
        <w:rPr>
          <w:rFonts w:hint="eastAsia" w:ascii="黑体" w:hAnsi="黑体" w:eastAsia="黑体" w:cs="黑体"/>
          <w:bCs/>
          <w:color w:val="auto"/>
          <w:sz w:val="24"/>
          <w:szCs w:val="21"/>
          <w:highlight w:val="none"/>
          <w:lang w:val="en-US" w:eastAsia="zh-CN"/>
        </w:rPr>
        <w:t xml:space="preserve">微</w:t>
      </w:r>
      <w:r>
        <w:rPr>
          <w:rFonts w:hint="eastAsia" w:ascii="黑体" w:hAnsi="黑体" w:eastAsia="黑体" w:cs="黑体"/>
          <w:bCs/>
          <w:color w:val="auto"/>
          <w:sz w:val="24"/>
          <w:szCs w:val="21"/>
          <w:highlight w:val="none"/>
        </w:rPr>
        <w:t xml:space="preserve">企业</w:t>
      </w:r>
      <w:r>
        <w:rPr>
          <w:rFonts w:hint="eastAsia" w:ascii="黑体" w:hAnsi="黑体" w:eastAsia="黑体" w:cs="黑体"/>
          <w:color w:val="auto"/>
          <w:sz w:val="24"/>
          <w:szCs w:val="21"/>
          <w:highlight w:val="none"/>
        </w:rPr>
        <w:t xml:space="preserve">，应当符合以下条件：</w:t>
      </w:r>
      <w:r/>
    </w:p>
    <w:p>
      <w:pPr>
        <w:ind w:firstLine="482"/>
        <w:keepLines w:val="0"/>
        <w:keepNext w:val="0"/>
        <w:pageBreakBefore w:val="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bCs/>
          <w:color w:val="auto"/>
          <w:sz w:val="24"/>
          <w:szCs w:val="21"/>
          <w:highlight w:val="none"/>
        </w:rPr>
        <w:t xml:space="preserve">中小企业</w:t>
      </w:r>
      <w:r>
        <w:rPr>
          <w:rFonts w:hint="eastAsia" w:ascii="黑体" w:hAnsi="黑体" w:eastAsia="黑体" w:cs="黑体"/>
          <w:bCs/>
          <w:color w:val="auto"/>
          <w:sz w:val="24"/>
          <w:szCs w:val="21"/>
          <w:highlight w:val="none"/>
          <w:lang w:val="en-US" w:eastAsia="zh-CN"/>
        </w:rPr>
        <w:t xml:space="preserve">需满足的条件</w:t>
      </w:r>
      <w:r>
        <w:rPr>
          <w:rFonts w:hint="eastAsia" w:ascii="黑体" w:hAnsi="黑体" w:eastAsia="黑体" w:cs="黑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keepLines w:val="0"/>
        <w:keepNext w:val="0"/>
        <w:pageBreakBefore w:val="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投标人为监狱企业的，</w:t>
      </w:r>
      <w:r>
        <w:rPr>
          <w:rFonts w:hint="eastAsia" w:ascii="黑体" w:hAnsi="黑体" w:eastAsia="黑体" w:cs="黑体"/>
          <w:color w:val="auto"/>
          <w:sz w:val="24"/>
          <w:szCs w:val="24"/>
          <w:highlight w:val="none"/>
          <w:lang w:val="en-US" w:eastAsia="zh-CN"/>
        </w:rPr>
        <w:t xml:space="preserve">视同小微企业，</w:t>
      </w:r>
      <w:r>
        <w:rPr>
          <w:rFonts w:hint="eastAsia" w:ascii="黑体" w:hAnsi="黑体" w:eastAsia="黑体" w:cs="黑体"/>
          <w:color w:val="auto"/>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keepLines w:val="0"/>
        <w:keepNext w:val="0"/>
        <w:pageBreakBefore w:val="0"/>
        <w:spacing w:line="360" w:lineRule="auto"/>
        <w:widowControl/>
        <w:rPr>
          <w:rFonts w:hint="eastAsia" w:ascii="黑体" w:hAnsi="黑体" w:eastAsia="黑体" w:cs="黑体"/>
          <w:color w:val="auto"/>
          <w:sz w:val="24"/>
          <w:szCs w:val="20"/>
          <w:highlight w:val="none"/>
        </w:rPr>
      </w:pPr>
      <w:r>
        <w:rPr>
          <w:rFonts w:hint="eastAsia" w:ascii="黑体" w:hAnsi="黑体" w:eastAsia="黑体" w:cs="黑体"/>
          <w:color w:val="auto"/>
          <w:sz w:val="24"/>
          <w:szCs w:val="24"/>
          <w:highlight w:val="none"/>
        </w:rPr>
        <w:t xml:space="preserve">投标人为残疾人福利性单位的，</w:t>
      </w:r>
      <w:r>
        <w:rPr>
          <w:rFonts w:hint="eastAsia" w:ascii="黑体" w:hAnsi="黑体" w:eastAsia="黑体" w:cs="黑体"/>
          <w:color w:val="auto"/>
          <w:sz w:val="24"/>
          <w:szCs w:val="24"/>
          <w:highlight w:val="none"/>
          <w:lang w:val="en-US" w:eastAsia="zh-CN"/>
        </w:rPr>
        <w:t xml:space="preserve">视同小微企业，</w:t>
      </w:r>
      <w:r>
        <w:rPr>
          <w:rFonts w:hint="eastAsia" w:ascii="黑体" w:hAnsi="黑体" w:eastAsia="黑体" w:cs="黑体"/>
          <w:color w:val="auto"/>
          <w:sz w:val="24"/>
          <w:szCs w:val="24"/>
          <w:highlight w:val="none"/>
        </w:rPr>
        <w:t xml:space="preserve">提供《残疾人福利性单位声明函》（加盖电子签章，格式见</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具体以《三部门联合发布关于促进残疾人就业政府采购政策的通知》（财库〔2017〕141号）规定为准</w:t>
      </w:r>
      <w:r>
        <w:rPr>
          <w:rFonts w:hint="eastAsia" w:ascii="黑体" w:hAnsi="黑体" w:eastAsia="黑体" w:cs="黑体"/>
          <w:color w:val="auto"/>
          <w:sz w:val="24"/>
          <w:szCs w:val="20"/>
          <w:highlight w:val="none"/>
        </w:rPr>
        <w:t xml:space="preserve">。</w:t>
      </w:r>
      <w:r/>
    </w:p>
    <w:p>
      <w:pPr>
        <w:ind w:firstLine="482"/>
        <w:jc w:val="left"/>
        <w:spacing w:line="360" w:lineRule="auto"/>
        <w:widowControl/>
        <w:rPr>
          <w:rFonts w:hint="eastAsia" w:ascii="黑体" w:hAnsi="黑体" w:eastAsia="黑体" w:cs="黑体"/>
          <w:color w:val="auto"/>
          <w:sz w:val="24"/>
          <w:szCs w:val="20"/>
          <w:highlight w:val="none"/>
        </w:rPr>
      </w:pPr>
      <w:r>
        <w:rPr>
          <w:rFonts w:hint="eastAsia" w:ascii="黑体" w:hAnsi="黑体" w:eastAsia="黑体" w:cs="黑体"/>
          <w:color w:val="auto"/>
          <w:sz w:val="24"/>
          <w:szCs w:val="20"/>
          <w:highlight w:val="none"/>
        </w:rPr>
        <w:t xml:space="preserve">8、项目不接受联合体参与采购活动。</w:t>
      </w:r>
      <w:r/>
    </w:p>
    <w:p>
      <w:pPr>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（三）符合性审查条件（必须提供，否则</w:t>
      </w:r>
      <w:r>
        <w:rPr>
          <w:rFonts w:hint="eastAsia" w:ascii="黑体" w:hAnsi="黑体" w:eastAsia="黑体" w:cs="黑体"/>
          <w:b/>
          <w:color w:val="auto"/>
          <w:sz w:val="24"/>
          <w:szCs w:val="24"/>
          <w:highlight w:val="none"/>
        </w:rPr>
        <w:t xml:space="preserve">响应无效</w:t>
      </w:r>
      <w:r>
        <w:rPr>
          <w:rFonts w:hint="eastAsia" w:ascii="黑体" w:hAnsi="黑体" w:eastAsia="黑体" w:cs="黑体"/>
          <w:b/>
          <w:bCs/>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1、《承诺书》（加盖电子签章，格式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）（必须提供，否则响应无效）；</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2、《磋商报价表》</w:t>
      </w:r>
      <w:r>
        <w:rPr>
          <w:rFonts w:hint="eastAsia" w:ascii="黑体" w:hAnsi="黑体" w:eastAsia="黑体" w:cs="黑体"/>
          <w:color w:val="auto"/>
          <w:sz w:val="24"/>
          <w:szCs w:val="20"/>
          <w:highlight w:val="none"/>
        </w:rPr>
        <w:t xml:space="preserve">（加盖电子签章，格式见《</w:t>
      </w:r>
      <w:r>
        <w:rPr>
          <w:rFonts w:hint="eastAsia" w:ascii="黑体" w:hAnsi="黑体" w:eastAsia="黑体" w:cs="黑体"/>
          <w:color w:val="auto"/>
          <w:sz w:val="24"/>
          <w:szCs w:val="20"/>
          <w:highlight w:val="none"/>
          <w:lang w:val="en-US" w:eastAsia="zh-CN"/>
        </w:rPr>
        <w:t xml:space="preserve">响应文件相关格式</w:t>
      </w:r>
      <w:r>
        <w:rPr>
          <w:rFonts w:hint="eastAsia" w:ascii="黑体" w:hAnsi="黑体" w:eastAsia="黑体" w:cs="黑体"/>
          <w:color w:val="auto"/>
          <w:sz w:val="24"/>
          <w:szCs w:val="20"/>
          <w:highlight w:val="none"/>
        </w:rPr>
        <w:t xml:space="preserve">》</w:t>
      </w:r>
      <w:r>
        <w:rPr>
          <w:rFonts w:hint="eastAsia" w:ascii="黑体" w:hAnsi="黑体" w:eastAsia="黑体" w:cs="黑体"/>
          <w:color w:val="auto"/>
          <w:sz w:val="24"/>
          <w:szCs w:val="20"/>
          <w:highlight w:val="none"/>
          <w:lang w:eastAsia="zh-CN"/>
        </w:rPr>
        <w:t xml:space="preserve">，</w:t>
      </w:r>
      <w:r>
        <w:rPr>
          <w:rFonts w:hint="eastAsia" w:ascii="黑体" w:hAnsi="黑体" w:eastAsia="黑体" w:cs="黑体"/>
          <w:color w:val="auto"/>
          <w:sz w:val="24"/>
          <w:szCs w:val="20"/>
          <w:highlight w:val="none"/>
          <w:lang w:val="en-US" w:eastAsia="zh-CN"/>
        </w:rPr>
        <w:t xml:space="preserve">或</w:t>
      </w:r>
      <w:r>
        <w:rPr>
          <w:rFonts w:hint="eastAsia" w:ascii="黑体" w:hAnsi="黑体" w:eastAsia="黑体" w:cs="黑体"/>
          <w:bCs/>
          <w:color w:val="auto"/>
          <w:sz w:val="24"/>
          <w:szCs w:val="20"/>
          <w:highlight w:val="none"/>
        </w:rPr>
        <w:t xml:space="preserve">政府采购客户端工具输入报价自动生成）</w:t>
      </w:r>
      <w:r>
        <w:rPr>
          <w:rFonts w:hint="eastAsia" w:ascii="黑体" w:hAnsi="黑体" w:eastAsia="黑体" w:cs="黑体"/>
          <w:bCs/>
          <w:color w:val="auto"/>
          <w:sz w:val="24"/>
          <w:szCs w:val="20"/>
          <w:highlight w:val="none"/>
          <w:lang w:eastAsia="zh-CN"/>
        </w:rPr>
        <w:t xml:space="preserve">，</w:t>
      </w:r>
      <w:r>
        <w:rPr>
          <w:rFonts w:hint="eastAsia" w:ascii="黑体" w:hAnsi="黑体" w:eastAsia="黑体" w:cs="黑体"/>
          <w:bCs/>
          <w:color w:val="auto"/>
          <w:sz w:val="24"/>
          <w:szCs w:val="20"/>
          <w:highlight w:val="none"/>
        </w:rPr>
        <w:t xml:space="preserve">但首次报价必须相同）</w:t>
      </w:r>
      <w:r>
        <w:rPr>
          <w:rFonts w:hint="eastAsia" w:ascii="黑体" w:hAnsi="黑体" w:eastAsia="黑体" w:cs="黑体"/>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rPr>
        <w:t xml:space="preserve">分项价格表（具有标价的工程量清单与报价表）（加盖电子签章，格式见《磋商文件》附件）；</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4</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投标</w:t>
      </w:r>
      <w:r>
        <w:rPr>
          <w:rFonts w:hint="eastAsia" w:ascii="黑体" w:hAnsi="黑体" w:eastAsia="黑体" w:cs="黑体"/>
          <w:color w:val="auto"/>
          <w:sz w:val="24"/>
          <w:szCs w:val="24"/>
          <w:highlight w:val="none"/>
        </w:rPr>
        <w:t xml:space="preserve">承诺书》（加盖电子签章，格式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）（必须提供，否则响应无效）</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5</w:t>
      </w:r>
      <w:r>
        <w:rPr>
          <w:rFonts w:hint="eastAsia" w:ascii="黑体" w:hAnsi="黑体" w:eastAsia="黑体" w:cs="黑体"/>
          <w:color w:val="auto"/>
          <w:sz w:val="24"/>
          <w:szCs w:val="24"/>
          <w:highlight w:val="none"/>
        </w:rPr>
        <w:t xml:space="preserve">、《偏离表》（必须提供，否则响应无效）（加盖电子签章，格式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w:t>
      </w:r>
      <w:r/>
    </w:p>
    <w:p>
      <w:pPr>
        <w:ind w:left="0" w:right="0" w:firstLine="240"/>
        <w:keepLines w:val="0"/>
        <w:keepNext w:val="0"/>
        <w:pageBreakBefore w:val="0"/>
        <w:spacing w:before="0" w:beforeAutospacing="0" w:after="0" w:afterAutospacing="0" w:line="312" w:lineRule="auto"/>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rPr>
        <w:t xml:space="preserve">、《授权委托书》（加盖电子签章，格式</w:t>
      </w:r>
      <w:r>
        <w:rPr>
          <w:rFonts w:hint="eastAsia" w:ascii="黑体" w:hAnsi="黑体" w:eastAsia="黑体" w:cs="黑体"/>
          <w:color w:val="auto"/>
          <w:sz w:val="24"/>
          <w:szCs w:val="24"/>
          <w:highlight w:val="none"/>
          <w:lang w:eastAsia="zh-CN"/>
        </w:rPr>
        <w:t xml:space="preserve">见《响应文件相关格式》</w:t>
      </w:r>
      <w:r>
        <w:rPr>
          <w:rFonts w:hint="eastAsia" w:ascii="黑体" w:hAnsi="黑体" w:eastAsia="黑体" w:cs="黑体"/>
          <w:color w:val="auto"/>
          <w:sz w:val="24"/>
          <w:szCs w:val="24"/>
          <w:highlight w:val="none"/>
        </w:rPr>
        <w:t xml:space="preserve">）（必须提供，否则响应无效）；</w:t>
      </w:r>
      <w:r>
        <w:rPr>
          <w:rFonts w:hint="eastAsia" w:ascii="黑体" w:hAnsi="黑体" w:eastAsia="黑体" w:cs="黑体"/>
          <w:b/>
          <w:bCs/>
          <w:color w:val="auto"/>
          <w:sz w:val="24"/>
          <w:szCs w:val="24"/>
          <w:highlight w:val="none"/>
        </w:rPr>
        <w:t xml:space="preserve">授权委托书中受托人身份证</w:t>
      </w:r>
      <w:r>
        <w:rPr>
          <w:rFonts w:hint="eastAsia" w:ascii="黑体" w:hAnsi="黑体" w:eastAsia="黑体" w:cs="黑体"/>
          <w:b/>
          <w:bCs/>
          <w:color w:val="auto"/>
          <w:sz w:val="24"/>
          <w:szCs w:val="24"/>
          <w:highlight w:val="none"/>
          <w:lang w:val="en-US" w:eastAsia="zh-CN"/>
        </w:rPr>
        <w:t xml:space="preserve">扫描件</w:t>
      </w:r>
      <w:r>
        <w:rPr>
          <w:rFonts w:hint="eastAsia" w:ascii="黑体" w:hAnsi="黑体" w:eastAsia="黑体" w:cs="黑体"/>
          <w:b/>
          <w:bCs/>
          <w:color w:val="auto"/>
          <w:sz w:val="24"/>
          <w:szCs w:val="24"/>
          <w:highlight w:val="none"/>
        </w:rPr>
        <w:t xml:space="preserve">（必须提供，否则响应无效）</w:t>
      </w:r>
      <w:r>
        <w:rPr>
          <w:rFonts w:hint="eastAsia" w:ascii="黑体" w:hAnsi="黑体" w:eastAsia="黑体" w:cs="黑体"/>
          <w:color w:val="auto"/>
          <w:sz w:val="24"/>
          <w:szCs w:val="24"/>
          <w:highlight w:val="none"/>
        </w:rPr>
        <w:t xml:space="preserve">；</w:t>
      </w:r>
      <w:r/>
    </w:p>
    <w:p>
      <w:pPr>
        <w:ind w:left="0" w:right="0" w:firstLine="240"/>
        <w:keepLines w:val="0"/>
        <w:keepNext w:val="0"/>
        <w:pageBreakBefore w:val="0"/>
        <w:spacing w:before="0" w:beforeAutospacing="0" w:after="0" w:afterAutospacing="0" w:line="312" w:lineRule="auto"/>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7、</w:t>
      </w:r>
      <w:r>
        <w:rPr>
          <w:rFonts w:hint="eastAsia" w:ascii="黑体" w:hAnsi="黑体" w:eastAsia="黑体" w:cs="黑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①</w:t>
      </w:r>
      <w:r>
        <w:rPr>
          <w:rFonts w:hint="eastAsia" w:ascii="黑体" w:hAnsi="黑体" w:eastAsia="黑体" w:cs="黑体"/>
          <w:color w:val="auto"/>
          <w:sz w:val="24"/>
          <w:szCs w:val="24"/>
          <w:highlight w:val="none"/>
        </w:rPr>
        <w:t xml:space="preserve">单位负责人为同一人或者存在实际控制、直接控股、管理关系的不同</w:t>
      </w:r>
      <w:r>
        <w:rPr>
          <w:rFonts w:hint="eastAsia" w:ascii="黑体" w:hAnsi="黑体" w:eastAsia="黑体" w:cs="黑体"/>
          <w:color w:val="auto"/>
          <w:sz w:val="24"/>
          <w:szCs w:val="24"/>
          <w:highlight w:val="none"/>
          <w:lang w:eastAsia="zh-CN"/>
        </w:rPr>
        <w:t xml:space="preserve">投标人</w:t>
      </w:r>
      <w:r>
        <w:rPr>
          <w:rFonts w:hint="eastAsia" w:ascii="黑体" w:hAnsi="黑体" w:eastAsia="黑体" w:cs="黑体"/>
          <w:color w:val="auto"/>
          <w:sz w:val="24"/>
          <w:szCs w:val="24"/>
          <w:highlight w:val="none"/>
        </w:rPr>
        <w:t xml:space="preserve">，不得参加同一合同项下的政府采购活动。（</w:t>
      </w:r>
      <w:r>
        <w:rPr>
          <w:rFonts w:hint="eastAsia" w:ascii="黑体" w:hAnsi="黑体" w:eastAsia="黑体" w:cs="黑体"/>
          <w:color w:val="auto"/>
          <w:sz w:val="24"/>
          <w:szCs w:val="24"/>
          <w:highlight w:val="none"/>
          <w:lang w:val="en-US" w:eastAsia="zh-CN"/>
        </w:rPr>
        <w:t xml:space="preserve">提供《供应商承诺函》</w:t>
      </w:r>
      <w:r>
        <w:rPr>
          <w:rFonts w:hint="eastAsia" w:ascii="黑体" w:hAnsi="黑体" w:eastAsia="黑体" w:cs="黑体"/>
          <w:color w:val="auto"/>
          <w:sz w:val="24"/>
          <w:szCs w:val="24"/>
          <w:highlight w:val="none"/>
        </w:rPr>
        <w:t xml:space="preserve">加盖电子签章，格式见</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color w:val="auto"/>
          <w:sz w:val="24"/>
          <w:szCs w:val="24"/>
          <w:highlight w:val="none"/>
        </w:rPr>
        <w:t xml:space="preserve">）</w:t>
      </w:r>
      <w:r/>
    </w:p>
    <w:p>
      <w:pPr>
        <w:ind w:left="0" w:right="0" w:firstLine="240"/>
        <w:keepLines w:val="0"/>
        <w:keepNext w:val="0"/>
        <w:pageBreakBefore w:val="0"/>
        <w:spacing w:before="0" w:beforeAutospacing="0" w:after="0" w:afterAutospacing="0" w:line="312" w:lineRule="auto"/>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②</w:t>
      </w:r>
      <w:r>
        <w:rPr>
          <w:rFonts w:hint="eastAsia" w:ascii="黑体" w:hAnsi="黑体" w:eastAsia="黑体" w:cs="黑体"/>
          <w:color w:val="auto"/>
          <w:sz w:val="24"/>
          <w:szCs w:val="24"/>
          <w:highlight w:val="none"/>
        </w:rPr>
        <w:t xml:space="preserve">为本采购项目提供整体设计、规范编制或者项目管理、监理、检测等服务的</w:t>
      </w:r>
      <w:r>
        <w:rPr>
          <w:rFonts w:hint="eastAsia" w:ascii="黑体" w:hAnsi="黑体" w:eastAsia="黑体" w:cs="黑体"/>
          <w:color w:val="auto"/>
          <w:sz w:val="24"/>
          <w:szCs w:val="24"/>
          <w:highlight w:val="none"/>
          <w:lang w:eastAsia="zh-CN"/>
        </w:rPr>
        <w:t xml:space="preserve">投标人</w:t>
      </w:r>
      <w:r>
        <w:rPr>
          <w:rFonts w:hint="eastAsia" w:ascii="黑体" w:hAnsi="黑体" w:eastAsia="黑体" w:cs="黑体"/>
          <w:color w:val="auto"/>
          <w:sz w:val="24"/>
          <w:szCs w:val="24"/>
          <w:highlight w:val="none"/>
        </w:rPr>
        <w:t xml:space="preserve">，不得再参加本采购项目的采购活动。（</w:t>
      </w:r>
      <w:r>
        <w:rPr>
          <w:rFonts w:hint="eastAsia" w:ascii="黑体" w:hAnsi="黑体" w:eastAsia="黑体" w:cs="黑体"/>
          <w:color w:val="auto"/>
          <w:sz w:val="24"/>
          <w:szCs w:val="24"/>
          <w:highlight w:val="none"/>
          <w:lang w:val="en-US" w:eastAsia="zh-CN"/>
        </w:rPr>
        <w:t xml:space="preserve">提供《供应商承诺函》</w:t>
      </w:r>
      <w:r>
        <w:rPr>
          <w:rFonts w:hint="eastAsia" w:ascii="黑体" w:hAnsi="黑体" w:eastAsia="黑体" w:cs="黑体"/>
          <w:color w:val="auto"/>
          <w:sz w:val="24"/>
          <w:szCs w:val="24"/>
          <w:highlight w:val="none"/>
        </w:rPr>
        <w:t xml:space="preserve">加盖电子签章，格式见</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color w:val="auto"/>
          <w:sz w:val="24"/>
          <w:szCs w:val="24"/>
          <w:highlight w:val="none"/>
        </w:rPr>
        <w:t xml:space="preserve">）</w:t>
      </w:r>
      <w:r/>
    </w:p>
    <w:p>
      <w:pPr>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（四）综合评审评分项</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1、技术部分</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要求见《磋商文件》第七章《评分细则》及第八章《项目要求（采购需求）》</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2、商务部分</w:t>
      </w:r>
      <w:r/>
    </w:p>
    <w:p>
      <w:pPr>
        <w:ind w:firstLine="42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要求见《磋商文件》第七章《评分细则》；</w:t>
      </w:r>
      <w:r/>
    </w:p>
    <w:p>
      <w:pPr>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（五）价格折扣文件</w:t>
      </w:r>
      <w:r>
        <w:rPr>
          <w:rFonts w:hint="eastAsia" w:ascii="黑体" w:hAnsi="黑体" w:eastAsia="黑体" w:cs="黑体"/>
          <w:color w:val="auto"/>
          <w:sz w:val="24"/>
          <w:szCs w:val="24"/>
          <w:highlight w:val="none"/>
        </w:rPr>
        <w:t xml:space="preserve"> ：无。</w:t>
      </w:r>
      <w:r/>
    </w:p>
    <w:p>
      <w:pPr>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十三、提交的首次响应文件的密封、签署、盖章要求：</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1、密封（加密）要求：</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
          <w:color w:val="auto"/>
          <w:sz w:val="24"/>
          <w:szCs w:val="24"/>
          <w:highlight w:val="none"/>
        </w:rPr>
        <w:t xml:space="preserve">2、签署要求：</w:t>
      </w:r>
      <w:r>
        <w:rPr>
          <w:rFonts w:hint="eastAsia" w:ascii="黑体" w:hAnsi="黑体" w:eastAsia="黑体" w:cs="黑体"/>
          <w:bCs/>
          <w:color w:val="auto"/>
          <w:sz w:val="24"/>
          <w:szCs w:val="24"/>
          <w:highlight w:val="none"/>
        </w:rPr>
        <w:t xml:space="preserve">见《磋商文件》第九章</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bCs/>
          <w:color w:val="auto"/>
          <w:sz w:val="24"/>
          <w:szCs w:val="24"/>
          <w:highlight w:val="none"/>
        </w:rPr>
        <w:t xml:space="preserve">要求。</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
          <w:color w:val="auto"/>
          <w:sz w:val="24"/>
          <w:szCs w:val="24"/>
          <w:highlight w:val="none"/>
        </w:rPr>
        <w:t xml:space="preserve">3、盖章要求：</w:t>
      </w:r>
      <w:r>
        <w:rPr>
          <w:rFonts w:hint="eastAsia" w:ascii="黑体" w:hAnsi="黑体" w:eastAsia="黑体" w:cs="黑体"/>
          <w:bCs/>
          <w:color w:val="auto"/>
          <w:sz w:val="24"/>
          <w:szCs w:val="24"/>
          <w:highlight w:val="none"/>
        </w:rPr>
        <w:t xml:space="preserve">见《磋商文件》第九章</w:t>
      </w:r>
      <w:r>
        <w:rPr>
          <w:rFonts w:hint="eastAsia" w:ascii="黑体" w:hAnsi="黑体" w:eastAsia="黑体" w:cs="黑体"/>
          <w:color w:val="auto"/>
          <w:sz w:val="24"/>
          <w:szCs w:val="24"/>
          <w:highlight w:val="none"/>
          <w:lang w:eastAsia="zh-CN"/>
        </w:rPr>
        <w:t xml:space="preserve">《响应文件相关格式》</w:t>
      </w:r>
      <w:r>
        <w:rPr>
          <w:rFonts w:hint="eastAsia" w:ascii="黑体" w:hAnsi="黑体" w:eastAsia="黑体" w:cs="黑体"/>
          <w:bCs/>
          <w:color w:val="auto"/>
          <w:sz w:val="24"/>
          <w:szCs w:val="24"/>
          <w:highlight w:val="none"/>
        </w:rPr>
        <w:t xml:space="preserve">要求。供应商须通过“苏采云”系统提供的政府采购客户端工具（使用“CA数字证书”）加盖电子签章。</w:t>
      </w:r>
      <w:r/>
    </w:p>
    <w:p>
      <w:pPr>
        <w:ind w:firstLine="482"/>
        <w:jc w:val="left"/>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4、说明：通过“苏采云”系统提交政府采购客户端工具导出加密的响应文件（后缀名为zip）。响应文件不得超</w:t>
      </w:r>
      <w:r>
        <w:rPr>
          <w:rFonts w:hint="eastAsia" w:ascii="黑体" w:hAnsi="黑体" w:eastAsia="黑体" w:cs="黑体"/>
          <w:b/>
          <w:bCs/>
          <w:color w:val="auto"/>
          <w:sz w:val="24"/>
          <w:szCs w:val="24"/>
          <w:highlight w:val="none"/>
        </w:rPr>
        <w:t xml:space="preserve">过150M！（以系统为准） </w:t>
      </w:r>
      <w:r/>
    </w:p>
    <w:p>
      <w:pPr>
        <w:ind w:firstLine="482"/>
        <w:jc w:val="left"/>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5、特别说明：</w:t>
      </w:r>
      <w:r/>
    </w:p>
    <w:p>
      <w:pPr>
        <w:ind w:firstLine="480"/>
        <w:jc w:val="left"/>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5.2供应商中标（成交）后，须向代理机构提供</w:t>
      </w:r>
      <w:bookmarkStart w:id="9" w:name="_Hlk105221193"/>
      <w:r>
        <w:rPr>
          <w:rFonts w:hint="eastAsia" w:ascii="黑体" w:hAnsi="黑体" w:eastAsia="黑体" w:cs="黑体"/>
          <w:bCs/>
          <w:color w:val="auto"/>
          <w:sz w:val="24"/>
          <w:szCs w:val="24"/>
          <w:highlight w:val="none"/>
        </w:rPr>
        <w:t xml:space="preserve">纸质版响应文件一正四副及电子响应文件（U盘）</w:t>
      </w:r>
      <w:bookmarkEnd w:id="9"/>
      <w:r>
        <w:rPr>
          <w:rFonts w:hint="eastAsia" w:ascii="黑体" w:hAnsi="黑体" w:eastAsia="黑体" w:cs="黑体"/>
          <w:bCs/>
          <w:color w:val="auto"/>
          <w:sz w:val="24"/>
          <w:szCs w:val="24"/>
          <w:highlight w:val="none"/>
        </w:rPr>
        <w:t xml:space="preserve">。采购人索取成交供应商的响应文件，须在双方签订政府采购合同后，由采购代理机构提供给采购人。</w:t>
      </w:r>
      <w:r/>
    </w:p>
    <w:p>
      <w:pPr>
        <w:jc w:val="center"/>
        <w:keepLines w:val="0"/>
        <w:keepNext w:val="0"/>
        <w:pageBreakBefore w:val="0"/>
        <w:spacing w:before="0" w:after="0" w:line="360" w:lineRule="auto"/>
        <w:widowControl w:val="off"/>
        <w:rPr>
          <w:rFonts w:hint="eastAsia" w:ascii="黑体" w:hAnsi="黑体" w:eastAsia="黑体" w:cs="黑体"/>
          <w:b/>
          <w:bCs/>
          <w:color w:val="auto"/>
          <w:sz w:val="44"/>
          <w:szCs w:val="40"/>
          <w:highlight w:val="none"/>
          <w:lang w:val="en-US" w:eastAsia="zh-CN" w:bidi="ar-SA"/>
        </w:rPr>
        <w:outlineLvl w:val="0"/>
      </w:pPr>
      <w:r/>
      <w:bookmarkStart w:id="10" w:name="_Toc19923"/>
      <w:r/>
      <w:bookmarkStart w:id="11" w:name="_Toc80122285"/>
      <w:r/>
      <w:bookmarkStart w:id="12" w:name="_Toc11675"/>
      <w:r>
        <w:rPr>
          <w:rFonts w:hint="eastAsia" w:ascii="黑体" w:hAnsi="黑体" w:eastAsia="黑体" w:cs="黑体"/>
          <w:b/>
          <w:bCs/>
          <w:color w:val="auto"/>
          <w:sz w:val="24"/>
          <w:szCs w:val="40"/>
          <w:highlight w:val="none"/>
          <w:lang w:val="en-US" w:eastAsia="zh-CN" w:bidi="ar-SA"/>
        </w:rPr>
        <w:t xml:space="preserve">第三章 磋商相关说明</w:t>
      </w:r>
      <w:bookmarkEnd w:id="10"/>
      <w:r/>
      <w:bookmarkEnd w:id="11"/>
      <w:r/>
      <w:bookmarkEnd w:id="12"/>
      <w:r/>
      <w:r/>
    </w:p>
    <w:p>
      <w:pPr>
        <w:jc w:val="left"/>
        <w:keepLines w:val="0"/>
        <w:keepNext w:val="0"/>
        <w:pageBreakBefore w:val="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十四、磋商要求</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3、磋商顺序按照电子标书解密先后时间进行，解密时间相同的，不分先后顺序。</w:t>
      </w:r>
      <w:r/>
    </w:p>
    <w:p>
      <w:pPr>
        <w:ind w:firstLine="482"/>
        <w:spacing w:line="360" w:lineRule="auto"/>
        <w:widowControl/>
        <w:rPr>
          <w:rFonts w:hint="eastAsia" w:ascii="黑体" w:hAnsi="黑体" w:eastAsia="黑体" w:cs="黑体"/>
          <w:b/>
          <w:bCs/>
          <w:color w:val="auto"/>
          <w:sz w:val="24"/>
          <w:szCs w:val="24"/>
          <w:highlight w:val="none"/>
        </w:rPr>
      </w:pPr>
      <w:r>
        <w:rPr>
          <w:rFonts w:hint="eastAsia" w:ascii="黑体" w:hAnsi="黑体" w:eastAsia="黑体" w:cs="黑体"/>
          <w:color w:val="auto"/>
          <w:sz w:val="24"/>
          <w:szCs w:val="24"/>
          <w:highlight w:val="none"/>
        </w:rPr>
        <w:t xml:space="preserve">4、</w:t>
      </w:r>
      <w:r>
        <w:rPr>
          <w:rFonts w:hint="eastAsia" w:ascii="黑体" w:hAnsi="黑体" w:eastAsia="黑体" w:cs="黑体"/>
          <w:b/>
          <w:bCs/>
          <w:color w:val="auto"/>
          <w:sz w:val="24"/>
          <w:szCs w:val="24"/>
          <w:highlight w:val="none"/>
        </w:rPr>
        <w:t xml:space="preserve">磋商方式：本次磋商采用“苏采云”系统中的视频会议，供应商自行选择任意地点参加远程磋商会议。</w:t>
      </w:r>
      <w:r/>
    </w:p>
    <w:p>
      <w:pPr>
        <w:ind w:firstLine="482"/>
        <w:spacing w:line="360" w:lineRule="auto"/>
        <w:widowControl/>
        <w:rPr>
          <w:rFonts w:hint="eastAsia" w:ascii="黑体" w:hAnsi="黑体" w:eastAsia="黑体" w:cs="黑体"/>
          <w:b/>
          <w:color w:val="auto"/>
          <w:sz w:val="24"/>
          <w:szCs w:val="24"/>
          <w:highlight w:val="none"/>
        </w:rPr>
      </w:pPr>
      <w:r>
        <w:rPr>
          <w:rFonts w:hint="eastAsia" w:ascii="黑体" w:hAnsi="黑体" w:eastAsia="黑体" w:cs="黑体"/>
          <w:b/>
          <w:bCs/>
          <w:color w:val="auto"/>
          <w:sz w:val="24"/>
          <w:szCs w:val="24"/>
          <w:highlight w:val="none"/>
          <w:lang w:val="en-US" w:eastAsia="zh-CN"/>
        </w:rPr>
        <w:t xml:space="preserve">特别提醒:</w:t>
      </w:r>
      <w:r>
        <w:rPr>
          <w:rFonts w:hint="eastAsia" w:ascii="黑体" w:hAnsi="黑体" w:eastAsia="黑体" w:cs="黑体"/>
          <w:b/>
          <w:bCs/>
          <w:color w:val="auto"/>
          <w:sz w:val="24"/>
          <w:szCs w:val="24"/>
          <w:highlight w:val="none"/>
        </w:rPr>
        <w:t xml:space="preserve">请供应商</w:t>
      </w:r>
      <w:r>
        <w:rPr>
          <w:rFonts w:hint="eastAsia" w:ascii="黑体" w:hAnsi="黑体" w:eastAsia="黑体" w:cs="黑体"/>
          <w:b/>
          <w:bCs/>
          <w:color w:val="auto"/>
          <w:sz w:val="24"/>
          <w:szCs w:val="24"/>
          <w:highlight w:val="none"/>
          <w:lang w:val="en-US" w:eastAsia="zh-CN"/>
        </w:rPr>
        <w:t xml:space="preserve">务必</w:t>
      </w:r>
      <w:r>
        <w:rPr>
          <w:rFonts w:hint="eastAsia" w:ascii="黑体" w:hAnsi="黑体" w:eastAsia="黑体" w:cs="黑体"/>
          <w:b/>
          <w:bCs/>
          <w:color w:val="auto"/>
          <w:sz w:val="24"/>
          <w:szCs w:val="24"/>
          <w:highlight w:val="none"/>
        </w:rPr>
        <w:t xml:space="preserve">在磋商前等候在开标大厅，随时接听磋商小组发出的磋商视频邀请（所有邀请等待时间</w:t>
      </w:r>
      <w:r>
        <w:rPr>
          <w:rFonts w:hint="eastAsia" w:ascii="黑体" w:hAnsi="黑体" w:eastAsia="黑体" w:cs="黑体"/>
          <w:b/>
          <w:bCs/>
          <w:color w:val="auto"/>
          <w:sz w:val="24"/>
          <w:szCs w:val="24"/>
          <w:highlight w:val="none"/>
          <w:lang w:val="en-US" w:eastAsia="zh-CN"/>
        </w:rPr>
        <w:t xml:space="preserve">为</w:t>
      </w:r>
      <w:r>
        <w:rPr>
          <w:rFonts w:hint="eastAsia" w:ascii="黑体" w:hAnsi="黑体" w:eastAsia="黑体" w:cs="黑体"/>
          <w:b/>
          <w:bCs/>
          <w:color w:val="auto"/>
          <w:sz w:val="24"/>
          <w:szCs w:val="24"/>
          <w:highlight w:val="none"/>
        </w:rPr>
        <w:t xml:space="preserve">2分钟，2</w:t>
      </w:r>
      <w:r>
        <w:rPr>
          <w:rFonts w:hint="eastAsia" w:ascii="黑体" w:hAnsi="黑体" w:eastAsia="黑体" w:cs="黑体"/>
          <w:b/>
          <w:color w:val="auto"/>
          <w:sz w:val="24"/>
          <w:szCs w:val="24"/>
          <w:highlight w:val="none"/>
        </w:rPr>
        <w:t xml:space="preserve">分钟内所邀请供应商无响应，视同放弃磋商的权利，由解密顺序下一家进行磋商，不再后补）</w:t>
      </w:r>
      <w:r>
        <w:rPr>
          <w:rFonts w:hint="eastAsia" w:ascii="黑体" w:hAnsi="黑体" w:eastAsia="黑体" w:cs="黑体"/>
          <w:color w:val="auto"/>
          <w:sz w:val="24"/>
          <w:szCs w:val="24"/>
          <w:highlight w:val="none"/>
        </w:rPr>
        <w:t xml:space="preserve">。</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5、未在规定时间内进行答疑澄清的，视同放弃澄清。</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6、未在规定时间内进行报价的，视为响应无效。</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7、被邀请参与磋商的供应商如未按上述磋商要求执行，视同放弃磋商的权利。</w:t>
      </w:r>
      <w:r/>
    </w:p>
    <w:p>
      <w:pPr>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十五、评审方法和评审标准</w:t>
      </w:r>
      <w:r/>
    </w:p>
    <w:p>
      <w:pPr>
        <w:ind w:firstLine="478"/>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1、评审方法：综合评估法</w:t>
      </w:r>
      <w:r/>
    </w:p>
    <w:p>
      <w:pPr>
        <w:ind w:firstLine="478"/>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2、评审标准：详见《评分细则》</w:t>
      </w:r>
      <w:r/>
    </w:p>
    <w:p>
      <w:pPr>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十六、评审程序</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w:t>
      </w:r>
      <w:bookmarkStart w:id="13" w:name="OLE_LINK11"/>
      <w:r>
        <w:rPr>
          <w:rFonts w:hint="eastAsia" w:ascii="黑体" w:hAnsi="黑体" w:eastAsia="黑体" w:cs="黑体"/>
          <w:color w:val="auto"/>
          <w:sz w:val="24"/>
          <w:szCs w:val="24"/>
          <w:highlight w:val="none"/>
        </w:rPr>
        <w:t xml:space="preserve">磋商评审小组的组建：采购人组建。磋商小组成员构成：3 人。磋商小组确定方式：</w:t>
      </w:r>
      <w:r>
        <w:rPr>
          <w:rFonts w:hint="eastAsia" w:ascii="黑体" w:hAnsi="黑体" w:eastAsia="黑体" w:cs="黑体"/>
          <w:color w:val="auto"/>
          <w:sz w:val="24"/>
          <w:szCs w:val="24"/>
          <w:highlight w:val="none"/>
          <w:lang w:val="en-US" w:eastAsia="zh-CN"/>
        </w:rPr>
        <w:t xml:space="preserve">采购人1人，</w:t>
      </w:r>
      <w:r>
        <w:rPr>
          <w:rFonts w:hint="eastAsia" w:ascii="黑体" w:hAnsi="黑体" w:eastAsia="黑体" w:cs="黑体"/>
          <w:color w:val="auto"/>
          <w:sz w:val="24"/>
          <w:szCs w:val="24"/>
          <w:highlight w:val="none"/>
          <w:lang w:val="en-US" w:eastAsia="zh-CN"/>
        </w:rPr>
        <w:t xml:space="preserve">其他</w:t>
      </w:r>
      <w:r>
        <w:rPr>
          <w:rFonts w:hint="eastAsia" w:ascii="黑体" w:hAnsi="黑体" w:eastAsia="黑体" w:cs="黑体"/>
          <w:color w:val="auto"/>
          <w:sz w:val="24"/>
          <w:szCs w:val="24"/>
          <w:highlight w:val="none"/>
        </w:rPr>
        <w:t xml:space="preserve">政府采购专家（从《江苏省政府采购专家库》随机抽取）</w:t>
      </w:r>
      <w:bookmarkEnd w:id="13"/>
      <w:r>
        <w:rPr>
          <w:rFonts w:hint="eastAsia" w:ascii="黑体" w:hAnsi="黑体" w:eastAsia="黑体" w:cs="黑体"/>
          <w:color w:val="auto"/>
          <w:sz w:val="24"/>
          <w:szCs w:val="24"/>
          <w:highlight w:val="none"/>
        </w:rPr>
        <w:t xml:space="preserve">。    </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5、磋商结束后，磋商进入报价环节，磋商小组应当要求所有参加磋商的供应商在规定时间内进行最后报价。供应商可按照磋商小组的要求在磋商现场进行</w:t>
      </w: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color w:val="auto"/>
          <w:sz w:val="24"/>
          <w:szCs w:val="24"/>
          <w:highlight w:val="none"/>
        </w:rPr>
        <w:t xml:space="preserve">次报价。本项目二次报价为最后报价。</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6、已提交响应文件的供应商，在提交最后报价之前，可以根据磋商情况退出磋商。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实施政府采购异常低价审查的有关要求：</w:t>
      </w:r>
      <w:r/>
    </w:p>
    <w:p>
      <w:pPr>
        <w:ind w:firstLine="482"/>
        <w:jc w:val="left"/>
        <w:spacing w:line="360" w:lineRule="auto"/>
        <w:widowControl/>
        <w:rPr>
          <w:rFonts w:hint="eastAsia" w:ascii="黑体" w:hAnsi="黑体" w:eastAsia="黑体" w:cs="黑体"/>
          <w:color w:val="auto"/>
          <w:sz w:val="24"/>
          <w:szCs w:val="24"/>
          <w:highlight w:val="none"/>
          <w:lang w:eastAsia="zh-CN"/>
        </w:rPr>
      </w:pPr>
      <w:r/>
      <w:bookmarkStart w:id="14" w:name="OLE_LINK5"/>
      <w:r>
        <w:rPr>
          <w:rFonts w:hint="eastAsia" w:ascii="黑体" w:hAnsi="黑体" w:eastAsia="黑体" w:cs="黑体"/>
          <w:color w:val="auto"/>
          <w:sz w:val="24"/>
          <w:szCs w:val="24"/>
          <w:highlight w:val="none"/>
        </w:rPr>
        <w:t xml:space="preserve">（一）评审中出现下列情形之一的</w:t>
      </w:r>
      <w:r>
        <w:rPr>
          <w:rFonts w:hint="eastAsia" w:ascii="黑体" w:hAnsi="黑体" w:eastAsia="黑体" w:cs="黑体"/>
          <w:color w:val="auto"/>
          <w:sz w:val="24"/>
          <w:szCs w:val="24"/>
          <w:highlight w:val="none"/>
          <w:lang w:eastAsia="zh-CN"/>
        </w:rPr>
        <w:t xml:space="preserve">，磋商小组应当启动异常低价响应审查程序：</w:t>
      </w:r>
      <w:r/>
    </w:p>
    <w:p>
      <w:pPr>
        <w:ind w:firstLine="482"/>
        <w:jc w:val="left"/>
        <w:spacing w:line="360" w:lineRule="auto"/>
        <w:widowControl/>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1.响应报价低于全部通过符合性审查供应商响应报价平均值50%的，即响应报价&lt;全部通过符合性审查供应商响应报价平均值×50%；</w:t>
      </w:r>
      <w:r/>
    </w:p>
    <w:p>
      <w:pPr>
        <w:ind w:firstLine="482"/>
        <w:jc w:val="left"/>
        <w:spacing w:line="360" w:lineRule="auto"/>
        <w:widowControl/>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2.响应报价低于通过符合性审查的次低报价供应商响应报价50%的，即响应报价&lt;通过符合性审查的次低报价供应商响应报价×50%；</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3.响应报价低于采购项目最高限价（未设定最高限价的采购项目，以采购项目预算金额作为最高限价）45%的，即响应报价&lt;采购项目最高限价×45%；</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lang w:eastAsia="zh-CN"/>
        </w:rPr>
        <w:t xml:space="preserve">磋商小组基于专业判断，认</w:t>
      </w:r>
      <w:r>
        <w:rPr>
          <w:rFonts w:hint="eastAsia" w:ascii="黑体" w:hAnsi="黑体" w:eastAsia="黑体" w:cs="黑体"/>
          <w:color w:val="auto"/>
          <w:sz w:val="24"/>
          <w:szCs w:val="24"/>
          <w:highlight w:val="none"/>
        </w:rPr>
        <w:t xml:space="preserve">为供应商报价过低，有可能影响产品质量或者不能诚信履约的其他情形。</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相关法律法规对供应商报价有规定的，从其规定。</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w:t>
      </w:r>
      <w:r>
        <w:rPr>
          <w:rFonts w:hint="eastAsia" w:ascii="黑体" w:hAnsi="黑体" w:eastAsia="黑体" w:cs="黑体"/>
          <w:color w:val="auto"/>
          <w:sz w:val="24"/>
          <w:szCs w:val="24"/>
          <w:highlight w:val="none"/>
          <w:lang w:eastAsia="zh-CN"/>
        </w:rPr>
        <w:t xml:space="preserve">磋商小组</w:t>
      </w:r>
      <w:r>
        <w:rPr>
          <w:rFonts w:hint="eastAsia" w:ascii="黑体" w:hAnsi="黑体" w:eastAsia="黑体" w:cs="黑体"/>
          <w:color w:val="auto"/>
          <w:sz w:val="24"/>
          <w:szCs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黑体" w:hAnsi="黑体" w:eastAsia="黑体" w:cs="黑体"/>
          <w:color w:val="auto"/>
          <w:sz w:val="24"/>
          <w:szCs w:val="24"/>
          <w:highlight w:val="none"/>
          <w:lang w:eastAsia="zh-CN"/>
        </w:rPr>
        <w:t xml:space="preserve">磋商小组</w:t>
      </w:r>
      <w:r>
        <w:rPr>
          <w:rFonts w:hint="eastAsia" w:ascii="黑体" w:hAnsi="黑体" w:eastAsia="黑体" w:cs="黑体"/>
          <w:color w:val="auto"/>
          <w:sz w:val="24"/>
          <w:szCs w:val="24"/>
          <w:highlight w:val="none"/>
        </w:rPr>
        <w:t xml:space="preserve">应当将其作为无效响应处理。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异常低价响应审查的启动原因、审查意见和审查结果应当在评审报告中记录，并随供应商提供的相关书面说明及证明材料，以及评审委员会有关互联网浏览、查询历史一并归档。</w:t>
      </w:r>
      <w:bookmarkEnd w:id="14"/>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磋商小组成员对需要共同认定的事项存在争议的，应当按照少数服从多数的原则作出结论。持不同意见的磋商小组应当在</w:t>
      </w:r>
      <w:r>
        <w:rPr>
          <w:rFonts w:hint="eastAsia" w:ascii="黑体" w:hAnsi="黑体" w:eastAsia="黑体" w:cs="黑体"/>
          <w:color w:val="auto"/>
          <w:sz w:val="24"/>
          <w:szCs w:val="24"/>
          <w:highlight w:val="none"/>
          <w:lang w:val="en-US" w:eastAsia="zh-CN"/>
        </w:rPr>
        <w:t xml:space="preserve">评审</w:t>
      </w:r>
      <w:r>
        <w:rPr>
          <w:rFonts w:hint="eastAsia" w:ascii="黑体" w:hAnsi="黑体" w:eastAsia="黑体" w:cs="黑体"/>
          <w:color w:val="auto"/>
          <w:sz w:val="24"/>
          <w:szCs w:val="24"/>
          <w:highlight w:val="none"/>
        </w:rPr>
        <w:t xml:space="preserve">报告上签署不同意见及理由，否则视为同意评</w:t>
      </w:r>
      <w:r>
        <w:rPr>
          <w:rFonts w:hint="eastAsia" w:ascii="黑体" w:hAnsi="黑体" w:eastAsia="黑体" w:cs="黑体"/>
          <w:color w:val="auto"/>
          <w:sz w:val="24"/>
          <w:szCs w:val="24"/>
          <w:highlight w:val="none"/>
          <w:lang w:eastAsia="zh-CN"/>
        </w:rPr>
        <w:t xml:space="preserve">审</w:t>
      </w:r>
      <w:r>
        <w:rPr>
          <w:rFonts w:hint="eastAsia" w:ascii="黑体" w:hAnsi="黑体" w:eastAsia="黑体" w:cs="黑体"/>
          <w:color w:val="auto"/>
          <w:sz w:val="24"/>
          <w:szCs w:val="24"/>
          <w:highlight w:val="none"/>
        </w:rPr>
        <w:t xml:space="preserve">报告。</w:t>
      </w:r>
      <w:r/>
    </w:p>
    <w:p>
      <w:pPr>
        <w:ind w:firstLine="482"/>
        <w:jc w:val="left"/>
        <w:spacing w:line="360" w:lineRule="auto"/>
        <w:widowControl/>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4"/>
          <w:szCs w:val="24"/>
          <w:highlight w:val="none"/>
        </w:rPr>
        <w:t xml:space="preserve">证明材料；供应商不能证明其报价合理性的，磋商小组应当将其按响应无效处理。</w:t>
      </w:r>
      <w:r/>
    </w:p>
    <w:p>
      <w:pPr>
        <w:ind w:firstLine="482"/>
        <w:jc w:val="left"/>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十七、有下列情形之一的，其响应无效：</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1、电子响应文件未按规定期限提交的； </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2、电子响应文件未按磋商文件要求签章的；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未在规定时间内解密电子响应文件的；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8、响应文件中有磋商文件未允许提供的选择性内容；</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16、响应文件含有采购人不能接受的附加条件的；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20、法律法规和磋商文件规定的其它无效情形。</w:t>
      </w:r>
      <w:r/>
    </w:p>
    <w:p>
      <w:pPr>
        <w:jc w:val="center"/>
        <w:spacing w:line="360" w:lineRule="auto"/>
        <w:widowControl w:val="off"/>
        <w:rPr>
          <w:rFonts w:hint="eastAsia" w:ascii="黑体" w:hAnsi="黑体" w:eastAsia="黑体" w:cs="黑体"/>
          <w:b/>
          <w:bCs/>
          <w:color w:val="auto"/>
          <w:sz w:val="24"/>
          <w:szCs w:val="24"/>
          <w:highlight w:val="none"/>
        </w:rPr>
        <w:outlineLvl w:val="0"/>
      </w:pPr>
      <w:r/>
      <w:bookmarkStart w:id="15" w:name="_Toc1881"/>
      <w:r/>
      <w:bookmarkStart w:id="16" w:name="_Toc31496"/>
      <w:r/>
      <w:bookmarkStart w:id="17" w:name="_Toc80122286"/>
      <w:r>
        <w:rPr>
          <w:rFonts w:hint="eastAsia" w:ascii="黑体" w:hAnsi="黑体" w:eastAsia="黑体" w:cs="黑体"/>
          <w:b/>
          <w:bCs/>
          <w:color w:val="auto"/>
          <w:sz w:val="24"/>
          <w:szCs w:val="24"/>
          <w:highlight w:val="none"/>
        </w:rPr>
        <w:t xml:space="preserve">第四章 确定成交供应商及合同签订等</w:t>
      </w:r>
      <w:bookmarkEnd w:id="15"/>
      <w:r/>
      <w:bookmarkEnd w:id="16"/>
      <w:r/>
      <w:bookmarkEnd w:id="17"/>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放弃成交的供应商不得参加对该项目重新开展的采购活动。</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采购人对未成交的供应商不做未成交原因的解释。</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二十、采购人与成交供应商应当在成交通知书发出之日起</w:t>
      </w:r>
      <w:r>
        <w:rPr>
          <w:rFonts w:hint="eastAsia" w:ascii="黑体" w:hAnsi="黑体" w:eastAsia="黑体" w:cs="黑体"/>
          <w:color w:val="auto"/>
          <w:sz w:val="24"/>
          <w:szCs w:val="24"/>
          <w:highlight w:val="none"/>
          <w:u w:val="single"/>
        </w:rPr>
        <w:t xml:space="preserve">30</w:t>
      </w:r>
      <w:r>
        <w:rPr>
          <w:rFonts w:hint="eastAsia" w:ascii="黑体" w:hAnsi="黑体" w:eastAsia="黑体" w:cs="黑体"/>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二十一、</w:t>
      </w:r>
      <w:r>
        <w:rPr>
          <w:rFonts w:hint="eastAsia" w:ascii="黑体" w:hAnsi="黑体" w:eastAsia="黑体" w:cs="黑体"/>
          <w:color w:val="auto"/>
          <w:sz w:val="24"/>
          <w:szCs w:val="21"/>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黑体" w:hAnsi="黑体" w:eastAsia="黑体" w:cs="黑体"/>
          <w:color w:val="auto"/>
          <w:sz w:val="24"/>
          <w:szCs w:val="24"/>
          <w:highlight w:val="none"/>
        </w:rPr>
        <w:t xml:space="preserve">。</w:t>
      </w:r>
      <w:r/>
    </w:p>
    <w:p>
      <w:pPr>
        <w:jc w:val="center"/>
        <w:spacing w:line="360" w:lineRule="auto"/>
        <w:widowControl w:val="off"/>
        <w:rPr>
          <w:rFonts w:hint="eastAsia" w:ascii="黑体" w:hAnsi="黑体" w:eastAsia="黑体" w:cs="黑体"/>
          <w:b/>
          <w:bCs/>
          <w:color w:val="auto"/>
          <w:sz w:val="24"/>
          <w:szCs w:val="24"/>
          <w:highlight w:val="none"/>
        </w:rPr>
        <w:outlineLvl w:val="0"/>
      </w:pPr>
      <w:r/>
      <w:bookmarkStart w:id="18" w:name="_Toc80122287"/>
      <w:r/>
      <w:bookmarkStart w:id="19" w:name="_Toc2871"/>
      <w:r/>
      <w:bookmarkStart w:id="20" w:name="_Toc15896"/>
      <w:r>
        <w:rPr>
          <w:rFonts w:hint="eastAsia" w:ascii="黑体" w:hAnsi="黑体" w:eastAsia="黑体" w:cs="黑体"/>
          <w:b/>
          <w:bCs/>
          <w:color w:val="auto"/>
          <w:sz w:val="24"/>
          <w:szCs w:val="24"/>
          <w:highlight w:val="none"/>
        </w:rPr>
        <w:t xml:space="preserve">第五章 磋商文件的澄清或者修改</w:t>
      </w:r>
      <w:bookmarkEnd w:id="18"/>
      <w:r/>
      <w:bookmarkEnd w:id="19"/>
      <w:r/>
      <w:bookmarkEnd w:id="20"/>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二十二、竞争性磋商文件的澄清或者修改</w:t>
      </w:r>
      <w:r/>
    </w:p>
    <w:p>
      <w:pPr>
        <w:ind w:firstLine="480"/>
        <w:jc w:val="left"/>
        <w:spacing w:line="360" w:lineRule="auto"/>
        <w:widowControl w:val="off"/>
        <w:rPr>
          <w:rFonts w:hint="eastAsia" w:ascii="黑体" w:hAnsi="黑体" w:eastAsia="黑体" w:cs="黑体"/>
          <w:b/>
          <w:bCs/>
          <w:color w:val="auto"/>
          <w:sz w:val="24"/>
          <w:szCs w:val="24"/>
          <w:highlight w:val="none"/>
        </w:rPr>
      </w:pPr>
      <w:r>
        <w:rPr>
          <w:rFonts w:hint="eastAsia" w:ascii="黑体" w:hAnsi="黑体" w:eastAsia="黑体" w:cs="黑体"/>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60" w:lineRule="auto"/>
        <w:widowControl w:val="off"/>
        <w:rPr>
          <w:rFonts w:hint="eastAsia" w:ascii="黑体" w:hAnsi="黑体" w:eastAsia="黑体" w:cs="黑体"/>
          <w:b/>
          <w:bCs/>
          <w:color w:val="auto"/>
          <w:sz w:val="24"/>
          <w:szCs w:val="24"/>
          <w:highlight w:val="none"/>
        </w:rPr>
        <w:outlineLvl w:val="0"/>
      </w:pPr>
      <w:r/>
      <w:bookmarkStart w:id="21" w:name="_Toc80122288"/>
      <w:r/>
      <w:bookmarkStart w:id="22" w:name="_Toc17856"/>
      <w:r/>
      <w:bookmarkStart w:id="23" w:name="_Toc11856"/>
      <w:r>
        <w:rPr>
          <w:rFonts w:hint="eastAsia" w:ascii="黑体" w:hAnsi="黑体" w:eastAsia="黑体" w:cs="黑体"/>
          <w:b/>
          <w:bCs/>
          <w:color w:val="auto"/>
          <w:sz w:val="24"/>
          <w:szCs w:val="24"/>
          <w:highlight w:val="none"/>
        </w:rPr>
        <w:t xml:space="preserve">第六章 询问和质疑</w:t>
      </w:r>
      <w:bookmarkEnd w:id="21"/>
      <w:r/>
      <w:bookmarkEnd w:id="22"/>
      <w:r/>
      <w:bookmarkEnd w:id="23"/>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二十三、询问和质疑</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质疑接收人：</w:t>
      </w:r>
      <w:r>
        <w:rPr>
          <w:rFonts w:hint="eastAsia" w:ascii="黑体" w:hAnsi="黑体" w:eastAsia="黑体" w:cs="黑体"/>
          <w:color w:val="auto"/>
          <w:sz w:val="24"/>
          <w:szCs w:val="24"/>
          <w:highlight w:val="none"/>
          <w:lang w:val="en-US" w:eastAsia="zh-CN"/>
        </w:rPr>
        <w:t xml:space="preserve">王静</w:t>
      </w:r>
      <w:r>
        <w:rPr>
          <w:rFonts w:hint="eastAsia" w:ascii="黑体" w:hAnsi="黑体" w:eastAsia="黑体" w:cs="黑体"/>
          <w:color w:val="auto"/>
          <w:sz w:val="24"/>
          <w:szCs w:val="24"/>
          <w:highlight w:val="none"/>
        </w:rPr>
        <w:t xml:space="preserve">     联系电话：</w:t>
      </w:r>
      <w:r>
        <w:rPr>
          <w:rFonts w:hint="eastAsia" w:ascii="黑体" w:hAnsi="黑体" w:eastAsia="黑体" w:cs="黑体"/>
          <w:color w:val="auto"/>
          <w:sz w:val="24"/>
          <w:szCs w:val="24"/>
          <w:highlight w:val="none"/>
          <w:lang w:val="en-US" w:eastAsia="zh-CN"/>
        </w:rPr>
        <w:t xml:space="preserve">13685112186</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接收地址：中经国际招标集团有限公司徐州分公司</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3、供应商对评审过程、成交结果提出质疑的，采购人、采购代理机构可以组织原评审委员会协助答复质疑。</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黑体" w:hAnsi="黑体" w:eastAsia="黑体" w:cs="黑体"/>
          <w:color w:val="auto"/>
          <w:sz w:val="24"/>
          <w:szCs w:val="24"/>
          <w:highlight w:val="none"/>
        </w:rPr>
        <w:t xml:space="preserve">二十五、成交供应商领取成交通知书时，向</w:t>
      </w:r>
      <w:r>
        <w:rPr>
          <w:rFonts w:hint="eastAsia" w:ascii="黑体" w:hAnsi="黑体" w:eastAsia="黑体" w:cs="黑体"/>
          <w:color w:val="auto"/>
          <w:sz w:val="24"/>
          <w:highlight w:val="none"/>
          <w:lang w:val="en-US" w:eastAsia="zh-CN" w:bidi="ar-SA"/>
        </w:rPr>
        <w:t xml:space="preserve">中经国际招标集团有限公司</w:t>
      </w:r>
      <w:r>
        <w:rPr>
          <w:rFonts w:hint="eastAsia" w:ascii="黑体" w:hAnsi="黑体" w:eastAsia="黑体" w:cs="黑体"/>
          <w:color w:val="auto"/>
          <w:sz w:val="24"/>
          <w:szCs w:val="24"/>
          <w:highlight w:val="none"/>
        </w:rPr>
        <w:t xml:space="preserve">一次性支付招标代理服务费，收费标准见</w:t>
      </w:r>
      <w:r>
        <w:rPr>
          <w:rFonts w:hint="eastAsia" w:ascii="黑体" w:hAnsi="黑体" w:eastAsia="黑体" w:cs="黑体"/>
          <w:color w:val="auto"/>
          <w:sz w:val="24"/>
          <w:szCs w:val="24"/>
          <w:highlight w:val="none"/>
          <w:lang w:val="en-US" w:eastAsia="zh-CN"/>
        </w:rPr>
        <w:t xml:space="preserve">本章</w:t>
      </w:r>
      <w:r>
        <w:rPr>
          <w:rFonts w:hint="eastAsia" w:ascii="黑体" w:hAnsi="黑体" w:eastAsia="黑体" w:cs="黑体"/>
          <w:color w:val="auto"/>
          <w:sz w:val="24"/>
          <w:szCs w:val="24"/>
          <w:highlight w:val="none"/>
        </w:rPr>
        <w:t xml:space="preserve">附件。</w:t>
      </w:r>
      <w:r/>
    </w:p>
    <w:p>
      <w:pPr>
        <w:ind w:firstLine="48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二十六、成交结果在徐州政府采购网https://czj.xz.gov.cn/zfcg/index.html/上公布。</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二十七、联系方式</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1</w:t>
      </w:r>
      <w:r>
        <w:rPr>
          <w:rFonts w:hint="eastAsia" w:ascii="黑体" w:hAnsi="黑体" w:eastAsia="黑体" w:cs="黑体"/>
          <w:bCs/>
          <w:color w:val="auto"/>
          <w:sz w:val="24"/>
          <w:highlight w:val="none"/>
          <w:lang w:val="en-US" w:eastAsia="zh-CN" w:bidi="ar-SA"/>
        </w:rPr>
        <w:t xml:space="preserve">、采购人</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名称：淮海战役烈士纪念塔管理中心（淮海战役纪念馆）</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地址：徐州市泉山区解放南路2号</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采购项目联系人：李娜</w:t>
      </w:r>
      <w:r/>
    </w:p>
    <w:p>
      <w:pPr>
        <w:numPr>
          <w:ilvl w:val="0"/>
          <w:numId w:val="0"/>
        </w:num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电话：19961996982</w:t>
      </w:r>
      <w:r/>
    </w:p>
    <w:p>
      <w:pPr>
        <w:numPr>
          <w:ilvl w:val="0"/>
          <w:numId w:val="1"/>
        </w:numPr>
        <w:ind w:firstLine="480"/>
        <w:jc w:val="left"/>
        <w:spacing w:line="360" w:lineRule="auto"/>
        <w:widowControl w:val="off"/>
        <w:rPr>
          <w:rFonts w:hint="eastAsia" w:ascii="黑体" w:hAnsi="黑体" w:eastAsia="黑体" w:cs="黑体"/>
          <w:bCs/>
          <w:color w:val="auto"/>
          <w:sz w:val="24"/>
          <w:highlight w:val="none"/>
          <w:lang w:val="en-US" w:eastAsia="zh-CN" w:bidi="ar-SA"/>
        </w:rPr>
      </w:pPr>
      <w:r>
        <w:rPr>
          <w:rFonts w:hint="eastAsia" w:ascii="黑体" w:hAnsi="黑体" w:eastAsia="黑体" w:cs="黑体"/>
          <w:bCs/>
          <w:color w:val="auto"/>
          <w:sz w:val="24"/>
          <w:highlight w:val="none"/>
          <w:lang w:val="en-US" w:eastAsia="zh-CN" w:bidi="ar-SA"/>
        </w:rPr>
        <w:t xml:space="preserve">采购代理机构</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名称：中经国际招标集团有限公司</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地址：北京市朝阳区曙光西里甲1号第三置业大厦B座2601 </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采购代理联系人：王静</w:t>
      </w:r>
      <w:r/>
    </w:p>
    <w:p>
      <w:pPr>
        <w:ind w:firstLine="96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电话：13685112186</w:t>
      </w:r>
      <w:r/>
    </w:p>
    <w:p>
      <w:pPr>
        <w:ind w:left="0" w:firstLine="0"/>
        <w:jc w:val="left"/>
        <w:spacing w:after="0" w:line="360" w:lineRule="auto"/>
        <w:widowControl w:val="off"/>
        <w:rPr>
          <w:rFonts w:hint="eastAsia" w:ascii="黑体" w:hAnsi="黑体" w:eastAsia="黑体" w:cs="黑体"/>
          <w:color w:val="auto"/>
          <w:sz w:val="28"/>
          <w:szCs w:val="28"/>
          <w:highlight w:val="none"/>
          <w:lang w:val="en-US" w:eastAsia="zh-CN" w:bidi="ar-SA"/>
        </w:rPr>
        <w:outlineLvl w:val="9"/>
      </w:pPr>
      <w:r>
        <w:rPr>
          <w:rFonts w:hint="eastAsia" w:ascii="黑体" w:hAnsi="黑体" w:eastAsia="黑体" w:cs="黑体"/>
          <w:b/>
          <w:bCs/>
          <w:color w:val="auto"/>
          <w:sz w:val="28"/>
          <w:szCs w:val="21"/>
          <w:highlight w:val="none"/>
          <w:lang w:val="en-US" w:eastAsia="zh-CN" w:bidi="ar-SA"/>
        </w:rPr>
        <w:br w:type="page" w:clear="all"/>
      </w:r>
      <w:r>
        <w:rPr>
          <w:rFonts w:hint="eastAsia" w:ascii="黑体" w:hAnsi="黑体" w:eastAsia="黑体" w:cs="黑体"/>
          <w:color w:val="auto"/>
          <w:sz w:val="28"/>
          <w:szCs w:val="28"/>
          <w:highlight w:val="none"/>
          <w:lang w:val="en-US" w:eastAsia="zh-CN" w:bidi="ar-SA"/>
        </w:rPr>
        <w:t xml:space="preserve">本章附件：</w:t>
      </w:r>
      <w:r/>
    </w:p>
    <w:p>
      <w:pPr>
        <w:ind w:left="0" w:firstLine="0"/>
        <w:jc w:val="center"/>
        <w:spacing w:after="0" w:line="360" w:lineRule="auto"/>
        <w:widowControl w:val="off"/>
        <w:rPr>
          <w:rFonts w:hint="eastAsia" w:ascii="黑体" w:hAnsi="黑体" w:eastAsia="黑体" w:cs="黑体"/>
          <w:color w:val="auto"/>
          <w:sz w:val="28"/>
          <w:szCs w:val="28"/>
          <w:highlight w:val="none"/>
          <w:lang w:val="en-US" w:eastAsia="zh-CN" w:bidi="ar-SA"/>
        </w:rPr>
        <w:outlineLvl w:val="9"/>
      </w:pPr>
      <w:r>
        <w:rPr>
          <w:rFonts w:hint="eastAsia" w:ascii="黑体" w:hAnsi="黑体" w:eastAsia="黑体" w:cs="黑体"/>
          <w:color w:val="auto"/>
          <w:sz w:val="28"/>
          <w:szCs w:val="28"/>
          <w:highlight w:val="none"/>
          <w:lang w:val="en-US" w:eastAsia="zh-CN" w:bidi="ar-SA"/>
        </w:rPr>
        <w:t xml:space="preserve">《徐州市政府采购业务代理服务费行业指导价格标准》</w:t>
      </w:r>
      <w:r/>
    </w:p>
    <w:tbl>
      <w:tblPr>
        <w:tblStyle w:val="11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3"/>
        <w:gridCol w:w="3591"/>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3"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91" w:type="dxa"/>
            <w:vAlign w:val="center"/>
            <w:textDirection w:val="lrTb"/>
            <w:noWrap w:val="false"/>
          </w:tcPr>
          <w:p>
            <w:pPr>
              <w:ind w:left="0" w:right="0" w:firstLine="0"/>
              <w:jc w:val="center"/>
              <w:spacing w:before="0" w:after="0" w:line="240" w:lineRule="auto"/>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0.005%</w:t>
            </w:r>
            <w:r/>
          </w:p>
        </w:tc>
      </w:tr>
    </w:tbl>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说 明 ：</w:t>
      </w:r>
      <w:r/>
    </w:p>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2.代理服务费按差额定率累进法计算。</w:t>
      </w:r>
      <w:r/>
    </w:p>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4.代理服务费应收取金额=代理服务费基准金额(按差额定率累进法计算)的合计数。</w:t>
      </w:r>
      <w:r/>
    </w:p>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5.定点类等无金额或事先不能计算出价格总额的项目，按中标(成交)金额100万元计算。</w:t>
      </w:r>
      <w:r/>
    </w:p>
    <w:p>
      <w:pPr>
        <w:ind w:left="0" w:right="0" w:firstLine="0"/>
        <w:jc w:val="both"/>
        <w:keepLines w:val="0"/>
        <w:keepNext w:val="0"/>
        <w:pageBreakBefore w:val="0"/>
        <w:spacing w:before="0" w:after="0" w:line="360" w:lineRule="auto"/>
        <w:widowControl w:val="off"/>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6.有分包(分标段)的按一个项目计算。</w:t>
      </w:r>
      <w:r/>
    </w:p>
    <w:p>
      <w:pPr>
        <w:ind w:firstLine="505"/>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收款单位：中经国际招标集团有限公司徐州分公司</w:t>
      </w:r>
      <w:r/>
    </w:p>
    <w:p>
      <w:pPr>
        <w:ind w:firstLine="505"/>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银行账号：60170188000239136</w:t>
      </w:r>
      <w:r/>
    </w:p>
    <w:p>
      <w:pPr>
        <w:ind w:firstLine="505"/>
        <w:jc w:val="left"/>
        <w:spacing w:line="360" w:lineRule="auto"/>
        <w:widowControl w:val="off"/>
        <w:rPr>
          <w:rFonts w:hint="eastAsia" w:ascii="黑体" w:hAnsi="黑体" w:eastAsia="黑体" w:cs="黑体"/>
          <w:color w:val="auto"/>
          <w:spacing w:val="6"/>
          <w:sz w:val="24"/>
          <w:szCs w:val="24"/>
          <w:highlight w:val="none"/>
          <w:lang w:val="en-US" w:eastAsia="zh-CN" w:bidi="ar-SA"/>
        </w:rPr>
      </w:pPr>
      <w:r>
        <w:rPr>
          <w:rFonts w:hint="eastAsia" w:ascii="黑体" w:hAnsi="黑体" w:eastAsia="黑体" w:cs="黑体"/>
          <w:color w:val="auto"/>
          <w:sz w:val="24"/>
          <w:szCs w:val="24"/>
          <w:highlight w:val="none"/>
        </w:rPr>
        <w:t xml:space="preserve">开户银行：江苏银行股份有限公司徐州奎山支行</w:t>
      </w:r>
      <w:r/>
    </w:p>
    <w:p>
      <w:pPr>
        <w:jc w:val="both"/>
        <w:spacing w:after="120" w:line="360" w:lineRule="auto"/>
        <w:widowControl w:val="off"/>
        <w:rPr>
          <w:rFonts w:hint="eastAsia" w:ascii="黑体" w:hAnsi="黑体" w:eastAsia="黑体" w:cs="黑体"/>
          <w:b/>
          <w:bCs/>
          <w:color w:val="auto"/>
          <w:sz w:val="28"/>
          <w:szCs w:val="28"/>
          <w:highlight w:val="none"/>
          <w:lang w:val="en-US" w:eastAsia="zh-CN" w:bidi="ar-SA"/>
        </w:rPr>
      </w:pPr>
      <w:r>
        <w:rPr>
          <w:rFonts w:hint="eastAsia" w:ascii="黑体" w:hAnsi="黑体" w:eastAsia="黑体" w:cs="黑体"/>
          <w:b/>
          <w:bCs/>
          <w:color w:val="auto"/>
          <w:sz w:val="28"/>
          <w:szCs w:val="28"/>
          <w:highlight w:val="none"/>
          <w:lang w:val="en-US" w:eastAsia="zh-CN" w:bidi="ar-SA"/>
        </w:rPr>
      </w:r>
      <w:r/>
    </w:p>
    <w:p>
      <w:pPr>
        <w:jc w:val="center"/>
        <w:keepLines w:val="0"/>
        <w:keepNext w:val="0"/>
        <w:spacing w:before="0" w:after="0" w:line="360" w:lineRule="auto"/>
        <w:widowControl w:val="off"/>
        <w:rPr>
          <w:rFonts w:hint="eastAsia" w:ascii="黑体" w:hAnsi="黑体" w:eastAsia="黑体" w:cs="黑体"/>
          <w:b/>
          <w:bCs/>
          <w:color w:val="auto"/>
          <w:sz w:val="28"/>
          <w:szCs w:val="44"/>
          <w:highlight w:val="none"/>
          <w:lang w:val="en-US" w:eastAsia="zh-CN" w:bidi="ar-SA"/>
        </w:rPr>
        <w:outlineLvl w:val="0"/>
      </w:pPr>
      <w:r>
        <w:rPr>
          <w:rFonts w:hint="eastAsia" w:ascii="黑体" w:hAnsi="黑体" w:eastAsia="黑体" w:cs="黑体"/>
          <w:b/>
          <w:bCs/>
          <w:color w:val="auto"/>
          <w:sz w:val="28"/>
          <w:szCs w:val="21"/>
          <w:highlight w:val="none"/>
          <w:lang w:val="en-US" w:eastAsia="zh-CN" w:bidi="ar-SA"/>
        </w:rPr>
        <w:br w:type="page" w:clear="all"/>
      </w:r>
      <w:bookmarkStart w:id="24" w:name="_Toc16162"/>
      <w:r/>
      <w:bookmarkStart w:id="25" w:name="_Toc80122289"/>
      <w:r/>
      <w:bookmarkStart w:id="26" w:name="_Toc32109"/>
      <w:r>
        <w:rPr>
          <w:rFonts w:hint="eastAsia" w:ascii="黑体" w:hAnsi="黑体" w:eastAsia="黑体" w:cs="黑体"/>
          <w:b/>
          <w:bCs/>
          <w:color w:val="auto"/>
          <w:sz w:val="28"/>
          <w:szCs w:val="21"/>
          <w:highlight w:val="none"/>
          <w:lang w:val="en-US" w:eastAsia="zh-CN" w:bidi="ar-SA"/>
        </w:rPr>
        <w:t xml:space="preserve">第七章 评分细则</w:t>
      </w:r>
      <w:bookmarkEnd w:id="24"/>
      <w:r/>
      <w:bookmarkEnd w:id="25"/>
      <w:r>
        <w:rPr>
          <w:rFonts w:hint="eastAsia" w:ascii="黑体" w:hAnsi="黑体" w:eastAsia="黑体" w:cs="黑体"/>
          <w:b/>
          <w:bCs/>
          <w:color w:val="auto"/>
          <w:sz w:val="28"/>
          <w:szCs w:val="21"/>
          <w:highlight w:val="none"/>
          <w:lang w:val="en-US" w:eastAsia="zh-CN" w:bidi="ar-SA"/>
        </w:rPr>
        <w:t xml:space="preserve">（综合评分法）</w:t>
      </w:r>
      <w:bookmarkEnd w:id="26"/>
      <w:r/>
      <w:r/>
    </w:p>
    <w:tbl>
      <w:tblPr>
        <w:tblStyle w:val="1167"/>
        <w:tblW w:w="1058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40"/>
        <w:gridCol w:w="1417"/>
        <w:gridCol w:w="8127"/>
      </w:tblGrid>
      <w:tr>
        <w:trPr>
          <w:jc w:val="center"/>
          <w:trHeight w:val="23"/>
        </w:trPr>
        <w:tc>
          <w:tcPr>
            <w:gridSpan w:val="2"/>
            <w:tcW w:w="2458"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bookmarkStart w:id="27" w:name="_Toc80122290"/>
            <w:r>
              <w:rPr>
                <w:rFonts w:hint="eastAsia" w:ascii="黑体" w:hAnsi="黑体" w:eastAsia="黑体" w:cs="黑体"/>
                <w:color w:val="auto"/>
                <w:szCs w:val="21"/>
                <w:highlight w:val="none"/>
              </w:rPr>
              <w:t xml:space="preserve">评审因素</w:t>
            </w:r>
            <w:r/>
          </w:p>
        </w:tc>
        <w:tc>
          <w:tcPr>
            <w:tcW w:w="812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评审因素细化和量化</w:t>
            </w:r>
            <w:r/>
          </w:p>
        </w:tc>
      </w:tr>
      <w:tr>
        <w:trPr>
          <w:jc w:val="center"/>
          <w:trHeight w:val="23"/>
        </w:trPr>
        <w:tc>
          <w:tcPr>
            <w:tcW w:w="1040"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价格</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部分</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（20分）</w:t>
            </w:r>
            <w:r/>
          </w:p>
        </w:tc>
        <w:tc>
          <w:tcPr>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价格</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（20分）</w:t>
            </w:r>
            <w:r/>
          </w:p>
        </w:tc>
        <w:tc>
          <w:tcPr>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以满足磋商文件要求且最终报价最低的供应商的价格为磋商基准价，其价格分为满分。其他供应商的价格分统一按照下列公式计算：</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磋商报价得分=（磋商基准价/最后报价）×20。得分四舍五入保留小数点后2位。</w:t>
            </w:r>
            <w:r/>
          </w:p>
        </w:tc>
      </w:tr>
      <w:tr>
        <w:trPr>
          <w:jc w:val="center"/>
          <w:trHeight w:val="23"/>
        </w:trPr>
        <w:tc>
          <w:tcPr>
            <w:tcW w:w="1040" w:type="dxa"/>
            <w:vAlign w:val="center"/>
            <w:vMerge w:val="restart"/>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技术部分（施工组织设计）</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 w:val="21"/>
                <w:szCs w:val="21"/>
                <w:highlight w:val="none"/>
                <w:lang w:val="en-US" w:eastAsia="zh-CN" w:bidi="ar-SA"/>
              </w:rPr>
              <w:t xml:space="preserve">总体概述（10分）</w:t>
            </w:r>
            <w:r/>
          </w:p>
        </w:tc>
        <w:tc>
          <w:tcPr>
            <w:tcBorders>
              <w:bottom w:val="single" w:color="auto" w:sz="4" w:space="0"/>
            </w:tcBorders>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根据响应文件中针对国防教育馆改造提升的</w:t>
            </w:r>
            <w:r>
              <w:rPr>
                <w:rFonts w:hint="eastAsia" w:ascii="黑体" w:hAnsi="黑体" w:eastAsia="黑体" w:cs="黑体"/>
                <w:color w:val="auto"/>
                <w:szCs w:val="21"/>
                <w:highlight w:val="none"/>
                <w:lang w:val="en-US" w:eastAsia="zh-CN"/>
              </w:rPr>
              <w:t xml:space="preserve">总体概述</w:t>
            </w:r>
            <w:r>
              <w:rPr>
                <w:rFonts w:hint="eastAsia" w:ascii="黑体" w:hAnsi="黑体" w:eastAsia="黑体" w:cs="黑体"/>
                <w:color w:val="auto"/>
                <w:szCs w:val="21"/>
                <w:highlight w:val="none"/>
              </w:rPr>
              <w:t xml:space="preserve">进行综合评价，包含但不限于拆除工程、装饰装修工程、展陈布展工程、电气安装工程等各分部分项工程的施工工艺、施工流程及技术措施</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对内容的全面性、针对性、可行性进行评价：全面性（</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分）：全面具体详实得</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分；较全面得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分；全面性一般得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针对性（</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分）：针对性强得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分；针对性较强得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分；针对性一般得</w:t>
            </w:r>
            <w:r>
              <w:rPr>
                <w:rFonts w:hint="eastAsia" w:ascii="黑体" w:hAnsi="黑体" w:eastAsia="黑体" w:cs="黑体"/>
                <w:color w:val="auto"/>
                <w:szCs w:val="21"/>
                <w:highlight w:val="none"/>
                <w:lang w:val="en-US" w:eastAsia="zh-CN"/>
              </w:rPr>
              <w:t xml:space="preserve">1</w:t>
            </w:r>
            <w:r>
              <w:rPr>
                <w:rFonts w:hint="eastAsia" w:ascii="黑体" w:hAnsi="黑体" w:eastAsia="黑体" w:cs="黑体"/>
                <w:color w:val="auto"/>
                <w:szCs w:val="21"/>
                <w:highlight w:val="none"/>
              </w:rPr>
              <w:t xml:space="preserve">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可行性（</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分）：符合实际切实可行得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分；较切实可行得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分；可行性一般得</w:t>
            </w:r>
            <w:r>
              <w:rPr>
                <w:rFonts w:hint="eastAsia" w:ascii="黑体" w:hAnsi="黑体" w:eastAsia="黑体" w:cs="黑体"/>
                <w:color w:val="auto"/>
                <w:szCs w:val="21"/>
                <w:highlight w:val="none"/>
                <w:lang w:val="en-US" w:eastAsia="zh-CN"/>
              </w:rPr>
              <w:t xml:space="preserve">1</w:t>
            </w:r>
            <w:r>
              <w:rPr>
                <w:rFonts w:hint="eastAsia" w:ascii="黑体" w:hAnsi="黑体" w:eastAsia="黑体" w:cs="黑体"/>
                <w:color w:val="auto"/>
                <w:szCs w:val="21"/>
                <w:highlight w:val="none"/>
              </w:rPr>
              <w:t xml:space="preserve">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w:t>
            </w:r>
            <w:r>
              <w:rPr>
                <w:rFonts w:hint="eastAsia" w:ascii="黑体" w:hAnsi="黑体" w:eastAsia="黑体" w:cs="黑体"/>
                <w:color w:val="auto"/>
                <w:szCs w:val="21"/>
                <w:highlight w:val="none"/>
                <w:lang w:val="en-US" w:eastAsia="zh-CN"/>
              </w:rPr>
              <w:t xml:space="preserve">1</w:t>
            </w:r>
            <w:r>
              <w:rPr>
                <w:rFonts w:hint="eastAsia" w:ascii="黑体" w:hAnsi="黑体" w:eastAsia="黑体" w:cs="黑体"/>
                <w:color w:val="auto"/>
                <w:szCs w:val="21"/>
                <w:highlight w:val="none"/>
              </w:rPr>
              <w:t xml:space="preserve">0分，最低得0分。</w:t>
            </w:r>
            <w:r/>
          </w:p>
        </w:tc>
      </w:tr>
      <w:tr>
        <w:trPr>
          <w:jc w:val="center"/>
          <w:trHeight w:val="23"/>
        </w:trPr>
        <w:tc>
          <w:tcPr>
            <w:tcW w:w="1040" w:type="dxa"/>
            <w:vAlign w:val="top"/>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bottom w:val="single" w:color="auto" w:sz="4" w:space="0"/>
            </w:tcBorders>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质量保证措施</w:t>
            </w:r>
            <w:r/>
          </w:p>
          <w:p>
            <w:pPr>
              <w:jc w:val="center"/>
              <w:keepLines w:val="0"/>
              <w:keepNext w:val="0"/>
              <w:pageBreakBefore w:val="0"/>
              <w:spacing w:line="264" w:lineRule="auto"/>
              <w:widowControl/>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w:t>
            </w:r>
            <w:r>
              <w:rPr>
                <w:rFonts w:hint="eastAsia" w:ascii="黑体" w:hAnsi="黑体" w:eastAsia="黑体" w:cs="黑体"/>
                <w:color w:val="auto"/>
                <w:szCs w:val="21"/>
                <w:highlight w:val="none"/>
                <w:lang w:eastAsia="zh-CN"/>
              </w:rPr>
              <w:t xml:space="preserve">）</w:t>
            </w:r>
            <w:r/>
          </w:p>
        </w:tc>
        <w:tc>
          <w:tcPr>
            <w:tcBorders>
              <w:top w:val="single" w:color="auto" w:sz="4" w:space="0"/>
              <w:bottom w:val="single" w:color="auto" w:sz="4" w:space="0"/>
            </w:tcBorders>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根据响应文件中针对国防教育馆改造提升项目的质量保证体系、</w:t>
            </w:r>
            <w:r>
              <w:rPr>
                <w:rFonts w:hint="eastAsia" w:ascii="黑体" w:hAnsi="黑体" w:eastAsia="黑体" w:cs="黑体"/>
                <w:color w:val="auto"/>
                <w:sz w:val="21"/>
                <w:szCs w:val="24"/>
                <w:highlight w:val="none"/>
                <w:lang w:val="en-US" w:eastAsia="zh-CN" w:bidi="ar-SA"/>
              </w:rPr>
              <w:t xml:space="preserve">质量管控手段及专项质量保证措施</w:t>
            </w:r>
            <w:r>
              <w:rPr>
                <w:rFonts w:hint="eastAsia" w:ascii="黑体" w:hAnsi="黑体" w:eastAsia="黑体" w:cs="黑体"/>
                <w:color w:val="auto"/>
                <w:szCs w:val="21"/>
                <w:highlight w:val="none"/>
                <w:lang w:val="en-US" w:eastAsia="zh-CN"/>
              </w:rPr>
              <w:t xml:space="preserve">进行综合评价，包含但不限于质量控制目标、质量管理组织机构、质量管理制度、各工序质量控制要点及验收标准等。对内容的全面性、针对性、可行性进行评价：</w:t>
            </w:r>
            <w:r/>
          </w:p>
          <w:p>
            <w:pPr>
              <w:keepLines w:val="0"/>
              <w:keepNext w:val="0"/>
              <w:pageBreakBefore w:val="0"/>
              <w:spacing w:line="264" w:lineRule="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全面性（4分）：全面具体详实得4分；较全面得3分；全面性一般得2分；内容有缺陷得1分；无内容的得0分。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针对性（4分）：针对性强得4分；针对性较强得3分；针对性一般得2分；内容有缺陷得1分；无内容的得0分。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可行性（4分）：符合实际切实可行得4分；较切实可行得3分；可行性一般得2分；可行性欠缺得1分；无内容的得0分。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本项最高得12分，最低得0分。</w:t>
            </w:r>
            <w:r/>
          </w:p>
        </w:tc>
      </w:tr>
      <w:tr>
        <w:trPr>
          <w:jc w:val="center"/>
          <w:trHeight w:val="23"/>
        </w:trPr>
        <w:tc>
          <w:tcPr>
            <w:tcW w:w="1040" w:type="dxa"/>
            <w:vAlign w:val="top"/>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劳动力、机械设备和材料投入计划</w:t>
            </w:r>
            <w:r>
              <w:rPr>
                <w:rFonts w:hint="eastAsia" w:ascii="黑体" w:hAnsi="黑体" w:eastAsia="黑体" w:cs="黑体"/>
                <w:color w:val="auto"/>
                <w:szCs w:val="21"/>
                <w:highlight w:val="none"/>
              </w:rPr>
              <w:t xml:space="preserve">       （</w:t>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lang w:val="en-US" w:eastAsia="zh-CN"/>
              </w:rPr>
              <w:t xml:space="preserve">0</w:t>
            </w:r>
            <w:r>
              <w:rPr>
                <w:rFonts w:hint="eastAsia" w:ascii="黑体" w:hAnsi="黑体" w:eastAsia="黑体" w:cs="黑体"/>
                <w:color w:val="auto"/>
                <w:szCs w:val="21"/>
                <w:highlight w:val="none"/>
              </w:rPr>
              <w:t xml:space="preserve">分）</w:t>
            </w:r>
            <w:r/>
          </w:p>
        </w:tc>
        <w:tc>
          <w:tcPr>
            <w:tcBorders>
              <w:top w:val="single" w:color="auto" w:sz="4" w:space="0"/>
              <w:bottom w:val="single" w:color="auto" w:sz="4" w:space="0"/>
            </w:tcBorders>
            <w:tcW w:w="8127" w:type="dxa"/>
            <w:vAlign w:val="center"/>
            <w:textDirection w:val="lrTb"/>
            <w:noWrap w:val="false"/>
          </w:tcPr>
          <w:p>
            <w:pPr>
              <w:jc w:val="left"/>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 w:val="21"/>
                <w:szCs w:val="24"/>
                <w:highlight w:val="none"/>
                <w:lang w:val="en-US" w:eastAsia="zh-CN" w:bidi="ar-SA"/>
              </w:rPr>
              <w:t xml:space="preserve">根据供应商提供的项目部组成主要技术入员、劳动力配置、组织机构管理、各人员岗位职责及保障措施、</w:t>
            </w:r>
            <w:r>
              <w:rPr>
                <w:rFonts w:hint="eastAsia" w:ascii="黑体" w:hAnsi="黑体" w:eastAsia="黑体" w:cs="黑体"/>
                <w:color w:val="auto"/>
                <w:sz w:val="21"/>
                <w:szCs w:val="24"/>
                <w:highlight w:val="none"/>
                <w:lang w:val="zh-CN" w:eastAsia="zh-CN" w:bidi="ar-SA"/>
              </w:rPr>
              <w:t xml:space="preserve">机械设备和材料投入计划</w:t>
            </w:r>
            <w:r>
              <w:rPr>
                <w:rFonts w:hint="eastAsia" w:ascii="黑体" w:hAnsi="黑体" w:eastAsia="黑体" w:cs="黑体"/>
                <w:color w:val="auto"/>
                <w:sz w:val="21"/>
                <w:szCs w:val="24"/>
                <w:highlight w:val="none"/>
                <w:lang w:val="en-US" w:eastAsia="zh-CN" w:bidi="ar-SA"/>
              </w:rPr>
              <w:t xml:space="preserve">等</w:t>
            </w:r>
            <w:r>
              <w:rPr>
                <w:rFonts w:hint="eastAsia" w:ascii="黑体" w:hAnsi="黑体" w:eastAsia="黑体" w:cs="黑体"/>
                <w:color w:val="auto"/>
                <w:szCs w:val="21"/>
                <w:highlight w:val="none"/>
              </w:rPr>
              <w:t xml:space="preserve">，对内容全面性、针对性、可行性进行评价：：</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全面性（</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分）：全面具体详实得</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分；较全面得2分；全面性一般得1分；无内容的得0分。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针对性（3分）：针对性强得3分；针对性较强得2分；针对性一般得1分；无内容的得0分。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可行性（</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分）：符合实际切实可行得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分；较切实可行得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分；可行性一般得1分；无内容的得0分。</w:t>
            </w:r>
            <w:r/>
          </w:p>
          <w:p>
            <w:pPr>
              <w:jc w:val="left"/>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w:t>
            </w: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分，最低得0分。</w:t>
            </w:r>
            <w:r/>
          </w:p>
        </w:tc>
      </w:tr>
      <w:tr>
        <w:trPr>
          <w:jc w:val="center"/>
          <w:trHeight w:val="23"/>
        </w:trPr>
        <w:tc>
          <w:tcPr>
            <w:tcW w:w="1040" w:type="dxa"/>
            <w:vAlign w:val="top"/>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关键施工技术、工艺及工程项目实施的重点、难点和解决方案</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分）</w:t>
            </w:r>
            <w:r/>
          </w:p>
        </w:tc>
        <w:tc>
          <w:tcPr>
            <w:tcBorders>
              <w:top w:val="single" w:color="auto" w:sz="4" w:space="0"/>
              <w:bottom w:val="single" w:color="auto" w:sz="4" w:space="0"/>
            </w:tcBorders>
            <w:tcW w:w="8127" w:type="dxa"/>
            <w:vAlign w:val="center"/>
            <w:textDirection w:val="lrTb"/>
            <w:noWrap w:val="false"/>
          </w:tcPr>
          <w:p>
            <w:pPr>
              <w:pStyle w:val="1184"/>
              <w:jc w:val="left"/>
              <w:keepLines w:val="0"/>
              <w:keepNext w:val="0"/>
              <w:pageBreakBefore w:val="0"/>
              <w:spacing w:line="264" w:lineRule="auto"/>
              <w:widowControl w:val="off"/>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w:t>
            </w:r>
            <w:r>
              <w:rPr>
                <w:rFonts w:hint="eastAsia" w:ascii="黑体" w:hAnsi="黑体" w:eastAsia="黑体" w:cs="黑体"/>
                <w:color w:val="auto"/>
                <w:szCs w:val="21"/>
                <w:highlight w:val="none"/>
                <w:lang w:val="en-US" w:eastAsia="zh-CN"/>
              </w:rPr>
              <w:t xml:space="preserve">针对</w:t>
            </w:r>
            <w:r>
              <w:rPr>
                <w:rFonts w:hint="eastAsia" w:ascii="黑体" w:hAnsi="黑体" w:eastAsia="黑体" w:cs="黑体"/>
                <w:color w:val="auto"/>
                <w:szCs w:val="21"/>
                <w:highlight w:val="none"/>
              </w:rPr>
              <w:t xml:space="preserve">国防教育馆改造提升项目的</w:t>
            </w:r>
            <w:r>
              <w:rPr>
                <w:rFonts w:hint="eastAsia" w:ascii="黑体" w:hAnsi="黑体" w:eastAsia="黑体" w:cs="黑体"/>
                <w:color w:val="auto"/>
                <w:sz w:val="21"/>
                <w:szCs w:val="24"/>
                <w:highlight w:val="none"/>
                <w:lang w:val="en-US" w:eastAsia="zh-CN" w:bidi="ar-SA"/>
              </w:rPr>
              <w:t xml:space="preserve">关键施工技术、工艺及工程项目实施的重点、难点和解决方案</w:t>
            </w:r>
            <w:r>
              <w:rPr>
                <w:rFonts w:hint="eastAsia" w:ascii="黑体" w:hAnsi="黑体" w:eastAsia="黑体" w:cs="黑体"/>
                <w:color w:val="auto"/>
                <w:szCs w:val="21"/>
                <w:highlight w:val="none"/>
              </w:rPr>
              <w:t xml:space="preserve">的全面性、针对性、可行性进行评价：</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全面性（</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分）：全面具体详实得</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分；较全面得2分；全面性一般得1分；无内容的得0分。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针对性（3分）：针对性强得3分；针对性较强得2分；针对性一般得1分；无内容的得0分。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可行性（</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分）：符合实际切实可行得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分；较切实可行得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分；可行性一般得1分；无内容的得0分。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w:t>
            </w: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分，最低得0分。</w:t>
            </w:r>
            <w:r/>
          </w:p>
        </w:tc>
      </w:tr>
      <w:tr>
        <w:trPr>
          <w:jc w:val="center"/>
          <w:trHeight w:val="23"/>
        </w:trPr>
        <w:tc>
          <w:tcPr>
            <w:tcW w:w="1040" w:type="dxa"/>
            <w:vAlign w:val="top"/>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bottom w:val="single" w:color="auto" w:sz="4" w:space="0"/>
            </w:tcBorders>
            <w:tcW w:w="1417" w:type="dxa"/>
            <w:vAlign w:val="center"/>
            <w:textDirection w:val="lrTb"/>
            <w:noWrap w:val="false"/>
          </w:tcPr>
          <w:p>
            <w:pPr>
              <w:jc w:val="center"/>
              <w:keepLines w:val="0"/>
              <w:keepNext w:val="0"/>
              <w:pageBreakBefore w:val="0"/>
              <w:spacing w:line="264"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安全文明施工及环境保护措施</w:t>
            </w:r>
            <w:r/>
          </w:p>
          <w:p>
            <w:pPr>
              <w:ind w:left="0" w:right="0" w:firstLine="0"/>
              <w:jc w:val="center"/>
              <w:keepLines w:val="0"/>
              <w:keepNext w:val="0"/>
              <w:pageBreakBefore w:val="0"/>
              <w:spacing w:line="264"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（10分）</w:t>
            </w:r>
            <w:r/>
          </w:p>
        </w:tc>
        <w:tc>
          <w:tcPr>
            <w:tcBorders>
              <w:top w:val="single" w:color="auto" w:sz="4" w:space="0"/>
              <w:bottom w:val="single" w:color="auto" w:sz="4" w:space="0"/>
            </w:tcBorders>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根据响应文件中针对国防教育馆改造提升项目的</w:t>
            </w:r>
            <w:r>
              <w:rPr>
                <w:rFonts w:hint="eastAsia" w:ascii="黑体" w:hAnsi="黑体" w:eastAsia="黑体" w:cs="黑体"/>
                <w:color w:val="auto"/>
                <w:sz w:val="21"/>
                <w:szCs w:val="24"/>
                <w:highlight w:val="none"/>
                <w:lang w:val="en-US" w:eastAsia="zh-CN" w:bidi="ar-SA"/>
              </w:rPr>
              <w:t xml:space="preserve">安全文明施工方案、安全生产管理措施、文明施工管理措施、环境保护措施等</w:t>
            </w:r>
            <w:r>
              <w:rPr>
                <w:rFonts w:hint="eastAsia" w:ascii="黑体" w:hAnsi="黑体" w:eastAsia="黑体" w:cs="黑体"/>
                <w:color w:val="auto"/>
                <w:szCs w:val="21"/>
                <w:highlight w:val="none"/>
              </w:rPr>
              <w:t xml:space="preserve">内容的全面性、针对性、可行性进行评价：</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全面性（4分）：全面具体详实得4分；较全面得3分；全面性一般得2分；内容有缺陷得1分；无内容的得0分。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针对性（3分）：针对性强得3分；针对性较强得2分；针对性一般得1分；无内容的得0分。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可行性（3分）：符合实际切实可行得3分；较切实可行得2分；可行性一般得1分；内容有缺陷得1分；无内容的得0分。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本项最高得10分，最低得0分。</w:t>
            </w:r>
            <w:r/>
          </w:p>
        </w:tc>
      </w:tr>
      <w:tr>
        <w:trPr>
          <w:jc w:val="center"/>
          <w:trHeight w:val="23"/>
        </w:trPr>
        <w:tc>
          <w:tcPr>
            <w:tcW w:w="1040" w:type="dxa"/>
            <w:vAlign w:val="top"/>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417" w:type="dxa"/>
            <w:vAlign w:val="center"/>
            <w:textDirection w:val="lrTb"/>
            <w:noWrap w:val="false"/>
          </w:tcPr>
          <w:p>
            <w:pPr>
              <w:ind w:left="0" w:right="0" w:firstLine="0"/>
              <w:jc w:val="center"/>
              <w:keepLines w:val="0"/>
              <w:keepNext w:val="0"/>
              <w:pageBreakBefore w:val="0"/>
              <w:spacing w:line="264"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施工进度计划及保证措施</w:t>
            </w:r>
            <w:r/>
          </w:p>
          <w:p>
            <w:pPr>
              <w:ind w:left="0" w:right="0" w:firstLine="0"/>
              <w:jc w:val="center"/>
              <w:keepLines w:val="0"/>
              <w:keepNext w:val="0"/>
              <w:pageBreakBefore w:val="0"/>
              <w:spacing w:line="264"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（10分）</w:t>
            </w:r>
            <w:r/>
          </w:p>
        </w:tc>
        <w:tc>
          <w:tcPr>
            <w:tcBorders>
              <w:top w:val="single" w:color="auto" w:sz="4" w:space="0"/>
            </w:tcBorders>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根据响应文件中针对国防教育馆改造提升项目的</w:t>
            </w:r>
            <w:r>
              <w:rPr>
                <w:rFonts w:hint="eastAsia" w:ascii="黑体" w:hAnsi="黑体" w:eastAsia="黑体" w:cs="黑体"/>
                <w:color w:val="auto"/>
                <w:sz w:val="21"/>
                <w:szCs w:val="24"/>
                <w:highlight w:val="none"/>
                <w:lang w:val="en-US" w:eastAsia="zh-CN" w:bidi="ar-SA"/>
              </w:rPr>
              <w:t xml:space="preserve">施工进度统筹计划、各阶段施工节点安排及配套进度保障措施</w:t>
            </w:r>
            <w:r>
              <w:rPr>
                <w:rFonts w:hint="eastAsia" w:ascii="黑体" w:hAnsi="黑体" w:eastAsia="黑体" w:cs="黑体"/>
                <w:color w:val="auto"/>
                <w:szCs w:val="21"/>
                <w:highlight w:val="none"/>
              </w:rPr>
              <w:t xml:space="preserve">进行综合评价，包含但不限于施工进度计划安排（横道图或网络图）、工期保证措施、各阶段进度控制节点等。对内容的全面性、针对性、可行性进行评价：</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全面性（</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分）：全面具体详实得</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分；较全面得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分；全面性一般得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针对性（3分）：针对性强得3分；针对性较强得2分；针对性一般得1分；无内容的得0分。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可行性（</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分）：符合实际切实可行得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分；较切实可行得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分；可行性一般得1分；无内容的得0分。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w:t>
            </w: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分，最低得0分。</w:t>
            </w:r>
            <w:r/>
          </w:p>
        </w:tc>
      </w:tr>
      <w:tr>
        <w:trPr>
          <w:jc w:val="center"/>
          <w:trHeight w:val="23"/>
        </w:trPr>
        <w:tc>
          <w:tcPr>
            <w:tcW w:w="1040" w:type="dxa"/>
            <w:vAlign w:val="top"/>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 xml:space="preserve">售后服务</w:t>
            </w:r>
            <w:r>
              <w:rPr>
                <w:rFonts w:hint="eastAsia" w:ascii="黑体" w:hAnsi="黑体" w:eastAsia="黑体" w:cs="黑体"/>
                <w:color w:val="auto"/>
                <w:szCs w:val="21"/>
                <w:highlight w:val="none"/>
                <w:lang w:val="en-US" w:eastAsia="zh-CN"/>
              </w:rPr>
              <w:t xml:space="preserve">方案</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分）</w:t>
            </w:r>
            <w:r/>
          </w:p>
          <w:p>
            <w:pPr>
              <w:jc w:val="center"/>
              <w:keepLines w:val="0"/>
              <w:keepNext w:val="0"/>
              <w:pageBreakBefore w:val="0"/>
              <w:spacing w:line="264" w:lineRule="auto"/>
              <w:widowControl/>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r>
            <w:r/>
          </w:p>
        </w:tc>
        <w:tc>
          <w:tcPr>
            <w:tcBorders>
              <w:top w:val="single" w:color="auto" w:sz="4" w:space="0"/>
            </w:tcBorders>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根据响应文件中缺陷责任期内和缺陷责任期外的售后服务方案，包括但不限于售后服务承诺、质保服务年限、服务计划、服务内容、服务响应时间、流程，现场服务支持能力等进行综合评分。对内容的</w:t>
            </w:r>
            <w:r>
              <w:rPr>
                <w:rFonts w:hint="eastAsia" w:ascii="黑体" w:hAnsi="黑体" w:eastAsia="黑体" w:cs="黑体"/>
                <w:color w:val="auto"/>
                <w:szCs w:val="21"/>
                <w:highlight w:val="none"/>
                <w:lang w:val="en-US" w:eastAsia="zh-CN"/>
              </w:rPr>
              <w:t xml:space="preserve">全面</w:t>
            </w:r>
            <w:r>
              <w:rPr>
                <w:rFonts w:hint="eastAsia" w:ascii="黑体" w:hAnsi="黑体" w:eastAsia="黑体" w:cs="黑体"/>
                <w:color w:val="auto"/>
                <w:szCs w:val="21"/>
                <w:highlight w:val="none"/>
              </w:rPr>
              <w:t xml:space="preserve">性、</w:t>
            </w:r>
            <w:r>
              <w:rPr>
                <w:rFonts w:hint="eastAsia" w:ascii="黑体" w:hAnsi="黑体" w:eastAsia="黑体" w:cs="黑体"/>
                <w:color w:val="auto"/>
                <w:szCs w:val="21"/>
                <w:highlight w:val="none"/>
                <w:lang w:val="en-US" w:eastAsia="zh-CN"/>
              </w:rPr>
              <w:t xml:space="preserve">针对</w:t>
            </w:r>
            <w:r>
              <w:rPr>
                <w:rFonts w:hint="eastAsia" w:ascii="黑体" w:hAnsi="黑体" w:eastAsia="黑体" w:cs="黑体"/>
                <w:color w:val="auto"/>
                <w:szCs w:val="21"/>
                <w:highlight w:val="none"/>
              </w:rPr>
              <w:t xml:space="preserve">性、可行性进行评价：</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全面性（</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分）：全面具体详实得</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分；较全面得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分；全面性一般得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分；内容有缺陷得1分；无内容的得0分。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针对性（3分）：针对性强得3分；针对性较强得2分；针对性一般得1分；无内容的得0分。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可行性（</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分）：符合实际切实可行得</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分；较切实可行得</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分；可行性一般得1分；无内容的得0分。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本项最高得</w:t>
            </w: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分，最低得0分。</w:t>
            </w:r>
            <w:r/>
          </w:p>
        </w:tc>
      </w:tr>
      <w:tr>
        <w:trPr>
          <w:jc w:val="center"/>
          <w:trHeight w:val="23"/>
        </w:trPr>
        <w:tc>
          <w:tcPr>
            <w:tcW w:w="1040" w:type="dxa"/>
            <w:vAlign w:val="center"/>
            <w:vMerge w:val="restart"/>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商务</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部分</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分）</w:t>
            </w:r>
            <w:r/>
          </w:p>
        </w:tc>
        <w:tc>
          <w:tcPr>
            <w:tcBorders>
              <w:bottom w:val="single" w:color="auto" w:sz="4" w:space="0"/>
            </w:tcBorders>
            <w:tcW w:w="1417" w:type="dxa"/>
            <w:vAlign w:val="center"/>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供应商业绩</w:t>
            </w:r>
            <w:r/>
          </w:p>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（4分）</w:t>
            </w:r>
            <w:r/>
          </w:p>
        </w:tc>
        <w:tc>
          <w:tcPr>
            <w:tcBorders>
              <w:bottom w:val="single" w:color="auto" w:sz="4" w:space="0"/>
            </w:tcBorders>
            <w:tcW w:w="8127" w:type="dxa"/>
            <w:vAlign w:val="center"/>
            <w:textDirection w:val="lrTb"/>
            <w:noWrap w:val="false"/>
          </w:tcPr>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供应商自2023年</w:t>
            </w:r>
            <w:r>
              <w:rPr>
                <w:rFonts w:hint="eastAsia" w:ascii="黑体" w:hAnsi="黑体" w:eastAsia="黑体" w:cs="黑体"/>
                <w:color w:val="auto"/>
                <w:szCs w:val="21"/>
                <w:highlight w:val="none"/>
                <w:lang w:val="en-US" w:eastAsia="zh-CN"/>
              </w:rPr>
              <w:t xml:space="preserve">10</w:t>
            </w:r>
            <w:r>
              <w:rPr>
                <w:rFonts w:hint="eastAsia" w:ascii="黑体" w:hAnsi="黑体" w:eastAsia="黑体" w:cs="黑体"/>
                <w:color w:val="auto"/>
                <w:szCs w:val="21"/>
                <w:highlight w:val="none"/>
              </w:rPr>
              <w:t xml:space="preserve">月1日（含）以来，独立承担过类似工程（类似工程指展馆、展厅类或场馆</w:t>
            </w:r>
            <w:r>
              <w:rPr>
                <w:rFonts w:hint="eastAsia" w:ascii="黑体" w:hAnsi="黑体" w:eastAsia="黑体" w:cs="黑体"/>
                <w:color w:val="auto"/>
                <w:szCs w:val="21"/>
                <w:highlight w:val="none"/>
                <w:lang w:val="en-US" w:eastAsia="zh-CN"/>
              </w:rPr>
              <w:t xml:space="preserve">等公共建筑装饰装修或展陈</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rPr>
              <w:t xml:space="preserve">，以中标通知书、施工合同及竣工验收证明为准（直接发包项目以施工合同、竣工验收证明为准），以上必须同时具备；每提供一份业绩得2分，最高得4分。</w:t>
            </w:r>
            <w:r/>
          </w:p>
          <w:p>
            <w:pP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b/>
                <w:bCs/>
                <w:color w:val="auto"/>
                <w:szCs w:val="21"/>
                <w:highlight w:val="none"/>
              </w:rPr>
              <w:t xml:space="preserve">注：①施工合同、中标通知书和竣工验收报告中不能体现类似工程的，自行提供相关证明资料。②时间以竣工验收时间为准，响应文件中提供业绩证明材料原件扫描件。</w:t>
            </w:r>
            <w:r/>
          </w:p>
        </w:tc>
      </w:tr>
      <w:tr>
        <w:trPr>
          <w:jc w:val="center"/>
          <w:trHeight w:val="23"/>
        </w:trPr>
        <w:tc>
          <w:tcPr>
            <w:tcW w:w="1040" w:type="dxa"/>
            <w:vAlign w:val="center"/>
            <w:vMerge w:val="continue"/>
            <w:textDirection w:val="lrTb"/>
            <w:noWrap w:val="false"/>
          </w:tcPr>
          <w:p>
            <w:pPr>
              <w:jc w:val="center"/>
              <w:keepLines w:val="0"/>
              <w:keepNext w:val="0"/>
              <w:pageBreakBefore w:val="0"/>
              <w:spacing w:line="264" w:lineRule="auto"/>
              <w:widowControl/>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4" w:space="0"/>
            </w:tcBorders>
            <w:tcW w:w="1417" w:type="dxa"/>
            <w:vAlign w:val="center"/>
            <w:textDirection w:val="lrTb"/>
            <w:noWrap w:val="false"/>
          </w:tcPr>
          <w:p>
            <w:pPr>
              <w:jc w:val="center"/>
              <w:keepLines w:val="0"/>
              <w:keepNext w:val="0"/>
              <w:pageBreakBefore w:val="0"/>
              <w:spacing w:line="264" w:lineRule="auto"/>
              <w:rPr>
                <w:rFonts w:hint="eastAsia" w:ascii="黑体" w:hAnsi="黑体" w:eastAsia="黑体" w:cs="黑体"/>
                <w:strike w:val="0"/>
                <w:color w:val="auto"/>
                <w:sz w:val="21"/>
                <w:szCs w:val="21"/>
                <w:highlight w:val="none"/>
                <w:lang w:val="en-US" w:eastAsia="zh-CN" w:bidi="ar-SA"/>
              </w:rPr>
            </w:pPr>
            <w:r>
              <w:rPr>
                <w:rFonts w:hint="eastAsia" w:ascii="黑体" w:hAnsi="黑体" w:eastAsia="黑体" w:cs="黑体"/>
                <w:strike w:val="0"/>
                <w:color w:val="auto"/>
                <w:sz w:val="21"/>
                <w:szCs w:val="21"/>
                <w:highlight w:val="none"/>
                <w:lang w:val="en-US" w:eastAsia="zh-CN" w:bidi="ar-SA"/>
              </w:rPr>
              <w:t xml:space="preserve">免费质保</w:t>
            </w:r>
            <w:r/>
          </w:p>
          <w:p>
            <w:pPr>
              <w:jc w:val="center"/>
              <w:keepLines w:val="0"/>
              <w:keepNext w:val="0"/>
              <w:pageBreakBefore w:val="0"/>
              <w:spacing w:line="264" w:lineRule="auto"/>
              <w:rPr>
                <w:rFonts w:hint="eastAsia" w:ascii="黑体" w:hAnsi="黑体" w:eastAsia="黑体" w:cs="黑体"/>
                <w:strike/>
                <w:color w:val="auto"/>
                <w:sz w:val="21"/>
                <w:szCs w:val="21"/>
                <w:highlight w:val="none"/>
                <w:lang w:val="en-US" w:eastAsia="zh-CN" w:bidi="ar-SA"/>
              </w:rPr>
            </w:pPr>
            <w:r>
              <w:rPr>
                <w:rFonts w:hint="eastAsia" w:ascii="黑体" w:hAnsi="黑体" w:eastAsia="黑体" w:cs="黑体"/>
                <w:strike w:val="0"/>
                <w:color w:val="auto"/>
                <w:sz w:val="21"/>
                <w:szCs w:val="21"/>
                <w:highlight w:val="none"/>
                <w:lang w:val="en-US" w:eastAsia="zh-CN" w:bidi="ar-SA"/>
              </w:rPr>
              <w:t xml:space="preserve">（4分）</w:t>
            </w:r>
            <w:r/>
          </w:p>
        </w:tc>
        <w:tc>
          <w:tcPr>
            <w:tcBorders>
              <w:top w:val="single" w:color="auto" w:sz="4" w:space="0"/>
            </w:tcBorders>
            <w:tcW w:w="8127" w:type="dxa"/>
            <w:vAlign w:val="center"/>
            <w:textDirection w:val="lrTb"/>
            <w:noWrap w:val="false"/>
          </w:tcPr>
          <w:p>
            <w:pPr>
              <w:jc w:val="both"/>
              <w:keepLines w:val="0"/>
              <w:keepNext w:val="0"/>
              <w:pageBreakBefore w:val="0"/>
              <w:spacing w:line="264" w:lineRule="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免费质保期在满足磋商文件最低要求（防水工程5年，其他工程2年）的基础上，整体同时每增加1年加2分（增加不足1年不计分），本项最高得4分。</w:t>
            </w:r>
            <w:r/>
          </w:p>
          <w:p>
            <w:pPr>
              <w:jc w:val="both"/>
              <w:keepLines w:val="0"/>
              <w:keepNext w:val="0"/>
              <w:pageBreakBefore w:val="0"/>
              <w:spacing w:line="264" w:lineRule="auto"/>
              <w:rPr>
                <w:rFonts w:hint="eastAsia" w:ascii="黑体" w:hAnsi="黑体" w:eastAsia="黑体" w:cs="黑体"/>
                <w:strike/>
                <w:color w:val="auto"/>
                <w:szCs w:val="21"/>
                <w:highlight w:val="none"/>
                <w:lang w:val="en-US"/>
              </w:rPr>
            </w:pPr>
            <w:r>
              <w:rPr>
                <w:rFonts w:hint="eastAsia" w:ascii="黑体" w:hAnsi="黑体" w:eastAsia="黑体" w:cs="黑体"/>
                <w:color w:val="auto"/>
                <w:sz w:val="21"/>
                <w:szCs w:val="21"/>
                <w:highlight w:val="none"/>
                <w:lang w:val="en-US" w:eastAsia="zh-CN"/>
              </w:rPr>
              <w:t xml:space="preserve">注：提供加盖公章的承诺函（格式自拟）扫描件。未提供或不符合要求的不得分。</w:t>
            </w:r>
            <w:r/>
          </w:p>
        </w:tc>
      </w:tr>
    </w:tbl>
    <w:p>
      <w:pPr>
        <w:jc w:val="both"/>
        <w:spacing w:after="0" w:line="360" w:lineRule="auto"/>
        <w:widowControl w:val="off"/>
        <w:rPr>
          <w:rFonts w:hint="eastAsia" w:ascii="黑体" w:hAnsi="黑体" w:eastAsia="黑体" w:cs="黑体"/>
          <w:color w:val="auto"/>
          <w:sz w:val="21"/>
          <w:szCs w:val="24"/>
          <w:highlight w:val="none"/>
          <w:lang w:val="en-US" w:eastAsia="zh-CN" w:bidi="ar-SA"/>
        </w:rPr>
      </w:pPr>
      <w:r>
        <w:rPr>
          <w:rFonts w:hint="eastAsia" w:ascii="黑体" w:hAnsi="黑体" w:eastAsia="黑体" w:cs="黑体"/>
          <w:color w:val="auto"/>
          <w:sz w:val="21"/>
          <w:szCs w:val="24"/>
          <w:highlight w:val="none"/>
          <w:lang w:val="en-US" w:eastAsia="zh-CN" w:bidi="ar-SA"/>
        </w:rPr>
      </w:r>
      <w:r/>
    </w:p>
    <w:p>
      <w:pPr>
        <w:jc w:val="both"/>
        <w:spacing w:after="0"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说明：本项目采用综合评分法。（供应商技术部分得分取所有评委的平均值，保留小数点后二位）。</w:t>
      </w:r>
      <w:r/>
    </w:p>
    <w:p>
      <w:pPr>
        <w:jc w:val="center"/>
        <w:spacing w:line="360" w:lineRule="auto"/>
        <w:widowControl/>
        <w:rPr>
          <w:rFonts w:hint="eastAsia" w:ascii="黑体" w:hAnsi="黑体" w:eastAsia="黑体" w:cs="黑体"/>
          <w:b/>
          <w:bCs/>
          <w:color w:val="auto"/>
          <w:sz w:val="28"/>
          <w:szCs w:val="44"/>
          <w:highlight w:val="none"/>
          <w:lang w:val="en-US" w:eastAsia="zh-CN" w:bidi="ar-SA"/>
        </w:rPr>
        <w:outlineLvl w:val="0"/>
      </w:pPr>
      <w:r>
        <w:rPr>
          <w:rFonts w:hint="eastAsia" w:ascii="黑体" w:hAnsi="黑体" w:eastAsia="黑体" w:cs="黑体"/>
          <w:color w:val="auto"/>
          <w:sz w:val="21"/>
          <w:szCs w:val="21"/>
          <w:highlight w:val="none"/>
        </w:rPr>
        <w:br w:type="page" w:clear="all"/>
      </w:r>
      <w:bookmarkStart w:id="28" w:name="_Toc32561"/>
      <w:r/>
      <w:bookmarkStart w:id="29" w:name="_Toc13181"/>
      <w:r>
        <w:rPr>
          <w:rFonts w:hint="eastAsia" w:ascii="黑体" w:hAnsi="黑体" w:eastAsia="黑体" w:cs="黑体"/>
          <w:b/>
          <w:bCs/>
          <w:color w:val="auto"/>
          <w:sz w:val="28"/>
          <w:szCs w:val="21"/>
          <w:highlight w:val="none"/>
          <w:lang w:val="en-US" w:eastAsia="zh-CN" w:bidi="ar-SA"/>
        </w:rPr>
        <w:t xml:space="preserve">第八章 项目要求（采购需求）</w:t>
      </w:r>
      <w:bookmarkEnd w:id="27"/>
      <w:r/>
      <w:bookmarkEnd w:id="28"/>
      <w:r/>
      <w:bookmarkEnd w:id="29"/>
      <w:r/>
      <w:r/>
    </w:p>
    <w:p>
      <w:pPr>
        <w:jc w:val="both"/>
        <w:spacing w:line="360" w:lineRule="auto"/>
        <w:widowControl w:val="off"/>
        <w:rPr>
          <w:rFonts w:hint="eastAsia" w:ascii="黑体" w:hAnsi="黑体" w:eastAsia="黑体" w:cs="黑体"/>
          <w:b/>
          <w:bCs/>
          <w:color w:val="auto"/>
          <w:sz w:val="21"/>
          <w:szCs w:val="21"/>
          <w:highlight w:val="none"/>
          <w:lang w:val="en-US" w:eastAsia="zh-CN" w:bidi="ar-SA"/>
        </w:rPr>
      </w:pPr>
      <w:r/>
      <w:bookmarkStart w:id="30" w:name="_Toc80122298"/>
      <w:r>
        <w:rPr>
          <w:rFonts w:hint="eastAsia" w:ascii="黑体" w:hAnsi="黑体" w:eastAsia="黑体" w:cs="黑体"/>
          <w:b/>
          <w:color w:val="auto"/>
          <w:sz w:val="21"/>
          <w:szCs w:val="21"/>
          <w:highlight w:val="none"/>
          <w:lang w:val="en-US" w:eastAsia="zh-CN" w:bidi="ar-SA"/>
        </w:rPr>
        <w:t xml:space="preserve">一、采购预算 </w:t>
      </w:r>
      <w:r/>
    </w:p>
    <w:p>
      <w:pPr>
        <w:ind w:firstLine="420"/>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1、本项目采购预算金额：331.6万元</w:t>
      </w:r>
      <w:r/>
    </w:p>
    <w:p>
      <w:pPr>
        <w:ind w:firstLine="420"/>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w:t>
      </w:r>
      <w:r>
        <w:rPr>
          <w:rFonts w:hint="eastAsia" w:ascii="黑体" w:hAnsi="黑体" w:eastAsia="黑体" w:cs="黑体"/>
          <w:b/>
          <w:bCs/>
          <w:color w:val="auto"/>
          <w:sz w:val="21"/>
          <w:szCs w:val="21"/>
          <w:highlight w:val="none"/>
          <w:lang w:val="en-US" w:eastAsia="zh-CN" w:bidi="ar-SA"/>
        </w:rPr>
        <w:t xml:space="preserve">最高限价：331.595680万元 </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本项目不接受高于最高限价的响应报价，工程量清单控制单价为全费用综合单价，包含项目完成的所有费用，供应商报价时需考虑完成本项目内容所涉及的包含并不限于作业成本费（人工费、材料费、机械费、养护工具设备配置、车辆等）、应急保障费、检测、验收、质量保修、保险、培训、税费、合理利润等供应商认为可能发生的相关一切费用。供应商有漏报或不报的，采购人将视为有关费用已包括在本项目的报价中而不予支付，采购人不支付报价以外的任何费用。</w:t>
      </w:r>
      <w:r/>
    </w:p>
    <w:p>
      <w:pPr>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二、项目概况</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1、项目名称：徐州国防教育馆改造提升项目</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2、项目地点：徐州市泉山区解放南路2号</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3、合同履行期限（工期）：60日历天</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4、采购需求：</w:t>
      </w:r>
      <w:bookmarkStart w:id="31" w:name="OLE_LINK7"/>
      <w:r/>
      <w:bookmarkStart w:id="32" w:name="OLE_LINK8"/>
      <w:r>
        <w:rPr>
          <w:rFonts w:hint="eastAsia" w:ascii="黑体" w:hAnsi="黑体" w:eastAsia="黑体" w:cs="黑体"/>
          <w:color w:val="auto"/>
          <w:sz w:val="21"/>
          <w:szCs w:val="21"/>
          <w:highlight w:val="none"/>
          <w:lang w:val="en-US" w:eastAsia="zh-CN" w:bidi="ar-SA"/>
        </w:rPr>
        <w:t xml:space="preserve">本项目主要在现有场馆内进行改造，场馆总建筑面积1988m2，本次改造范围主要为陈列展览区域，涉及建筑面积约1875.4m2，陈列展览区域1114m2，</w:t>
      </w:r>
      <w:r>
        <w:rPr>
          <w:rFonts w:hint="eastAsia" w:ascii="黑体" w:hAnsi="黑体" w:eastAsia="黑体" w:cs="黑体"/>
          <w:color w:val="auto"/>
          <w:sz w:val="21"/>
          <w:szCs w:val="21"/>
          <w:highlight w:val="none"/>
          <w:lang w:val="en-US" w:eastAsia="zh-CN" w:bidi="ar-SA"/>
        </w:rPr>
        <w:t xml:space="preserve">并对相应展线进行重新规划布局。项目主要工程包括:对应的建筑空间结构性提升改造、消防系统提升改造、安防系统提升改造、空调改造、电气提升改造、室内基础装饰工程、展陈专业工程(包括专业布展工程、专业灯光工程、多媒体科技展项工程等)项目。具体内容详见工程量清单及施工图纸。</w:t>
      </w:r>
      <w:bookmarkEnd w:id="31"/>
      <w:r/>
      <w:bookmarkEnd w:id="32"/>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bookmarkStart w:id="33" w:name="_Hlk105172344"/>
      <w:r>
        <w:rPr>
          <w:rFonts w:hint="eastAsia" w:ascii="黑体" w:hAnsi="黑体" w:eastAsia="黑体" w:cs="黑体"/>
          <w:color w:val="auto"/>
          <w:sz w:val="21"/>
          <w:szCs w:val="21"/>
          <w:highlight w:val="none"/>
          <w:lang w:val="en-US" w:eastAsia="zh-CN" w:bidi="ar-SA"/>
        </w:rPr>
        <w:t xml:space="preserve">5、承包方式：包工包料，不得分包与转包。</w:t>
      </w:r>
      <w:r/>
    </w:p>
    <w:p>
      <w:pPr>
        <w:ind w:firstLine="420"/>
        <w:jc w:val="both"/>
        <w:spacing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工程质量：合格，并保证相关部门验收通过；未达到质量要求的，成交供应商负责无条件返工，直至达到要求，所发生的费用由成交供应商承担，成交供应商还应赔偿因此给采购人造成的损失，工期不予顺延，同时采购人有权对成交供应商进行违约处罚。</w:t>
      </w:r>
      <w:bookmarkEnd w:id="33"/>
      <w:r/>
      <w:r/>
    </w:p>
    <w:p>
      <w:pPr>
        <w:jc w:val="both"/>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三、现场踏勘</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建议供应商进行规场查勘，以获取编制响应文件所需的现场信息资料，对代理机构提供的工程量清单进行核对，对工程量清单有疑问的，应在采购文件规定的签疑时间内提出，规定时间内未提出异议的，默认供应商对工程量清单无异议，供应商中标后不得以任何理由变更清单内容或不履行合同，否则将按违约处理。</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2、供应商自行查勘，应承担现场踏勘的责任和风险，勘察现场所发生的风险及费用由供应商自行承担。</w:t>
      </w:r>
      <w:r/>
    </w:p>
    <w:p>
      <w:pPr>
        <w:ind w:firstLine="420"/>
        <w:jc w:val="both"/>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现场自然及施工条件：供应商应对项目现场和周围环境进行实地踏勘，以了解现场的施工环境、施工范围、技术要求及相关服务，获取有关编制响应文件和签订合同所需的各项资料，成交后不得以未踏勘现场或不了解现场为由提出任何增加费用的要求。</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4、由于现场踏勘没有进行或者不详细所导致的一切问题均由供应商自行负责。</w:t>
      </w:r>
      <w:r/>
    </w:p>
    <w:p>
      <w:pPr>
        <w:ind w:firstLine="420"/>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5、供应商对本磋商文件所作出的理解、推论和解释由其自己负责。</w:t>
      </w:r>
      <w:r/>
    </w:p>
    <w:p>
      <w:pPr>
        <w:jc w:val="both"/>
        <w:spacing w:line="360" w:lineRule="auto"/>
        <w:widowControl w:val="off"/>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四、</w:t>
      </w:r>
      <w:bookmarkEnd w:id="30"/>
      <w:r>
        <w:rPr>
          <w:rFonts w:hint="eastAsia" w:ascii="黑体" w:hAnsi="黑体" w:eastAsia="黑体" w:cs="黑体"/>
          <w:b/>
          <w:color w:val="auto"/>
          <w:sz w:val="21"/>
          <w:szCs w:val="21"/>
          <w:highlight w:val="none"/>
          <w:lang w:val="en-US" w:eastAsia="zh-CN" w:bidi="ar-SA"/>
        </w:rPr>
        <w:t xml:space="preserve">本工程采用的技术规范：</w:t>
      </w:r>
      <w:r>
        <w:rPr>
          <w:rFonts w:hint="eastAsia" w:ascii="黑体" w:hAnsi="黑体" w:eastAsia="黑体" w:cs="黑体"/>
          <w:bCs/>
          <w:color w:val="auto"/>
          <w:sz w:val="21"/>
          <w:szCs w:val="21"/>
          <w:highlight w:val="none"/>
          <w:lang w:val="en-US" w:eastAsia="zh-CN" w:bidi="ar-SA"/>
        </w:rPr>
        <w:t xml:space="preserve">执行国家、江苏省及徐州市颁发的现行行业最新规范、相关标准及相关文件。</w:t>
      </w:r>
      <w:r/>
    </w:p>
    <w:p>
      <w:pPr>
        <w:jc w:val="both"/>
        <w:spacing w:line="360" w:lineRule="auto"/>
        <w:widowControl w:val="off"/>
        <w:rPr>
          <w:rFonts w:hint="eastAsia" w:ascii="黑体" w:hAnsi="黑体" w:eastAsia="黑体" w:cs="黑体"/>
          <w:b/>
          <w:color w:val="auto"/>
          <w:szCs w:val="21"/>
          <w:highlight w:val="none"/>
        </w:rPr>
      </w:pPr>
      <w:r>
        <w:rPr>
          <w:rFonts w:hint="eastAsia" w:ascii="黑体" w:hAnsi="黑体" w:eastAsia="黑体" w:cs="黑体"/>
          <w:b/>
          <w:color w:val="auto"/>
          <w:sz w:val="21"/>
          <w:szCs w:val="21"/>
          <w:highlight w:val="none"/>
          <w:lang w:val="en-US" w:eastAsia="zh-CN" w:bidi="ar-SA"/>
        </w:rPr>
        <w:t xml:space="preserve">五、工程量清单（另附）</w:t>
      </w:r>
      <w:r/>
    </w:p>
    <w:p>
      <w:pPr>
        <w:jc w:val="left"/>
        <w:spacing w:line="360" w:lineRule="auto"/>
        <w:widowControl w:val="off"/>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六、有关响应报价的要求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1、</w:t>
      </w:r>
      <w:r>
        <w:rPr>
          <w:rFonts w:hint="eastAsia" w:ascii="黑体" w:hAnsi="黑体" w:eastAsia="黑体" w:cs="黑体"/>
          <w:color w:val="auto"/>
          <w:sz w:val="21"/>
          <w:szCs w:val="21"/>
          <w:highlight w:val="none"/>
          <w:lang w:val="en-US" w:eastAsia="zh-CN" w:bidi="ar-SA"/>
        </w:rPr>
        <w:t xml:space="preserve">本项目施工过程中，如有破坏、现场设备移位安装等，供应商报价时候须充分考虑以上内容及施工现场实际拆除并恢复等，采购人不再另行支付费用。</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2、报价内容</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响应报价应包括竞争性磋商文件中所确定的范围内工程量清单中所含项目的全部内容，以及为完成上述内容所需的全部费用。其根据为供应商提交的已标价的工程量清单。</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3、响应文件报价要求：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供应商应充分考虑施工期间各类建材的市场风险，本工程工期较短结算时综合单价不予调整。</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供应商充分考虑政策性关于人工、机械费用等方面调整，并计入综合单价报价，供应商所填写的单价在合同实施期间不因市场变化因素而变动，结算不再调整。</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4、其他说明</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4.1本磋商文件中使用的词语“采购人（招标人）”和“供应商（供应商）”分别与合同条款中定义的“发包人”和“承包人”同义。</w:t>
      </w:r>
      <w:r/>
    </w:p>
    <w:p>
      <w:pPr>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七、低于成本报价</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在评审过程中，评标委员会发现供应商的报价明显低于其他报价，使得其报价可能低于其个别成本的，应当要求该供应商在评审结束前作出书面说明并提供相关证明材料。供应商不能合理说明或者不能提供相关证明材料的，由评标委员会认定该供应商以低于成本报价，其响应文件应作无效响应文件处理。 </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jc w:val="left"/>
        <w:spacing w:line="360" w:lineRule="auto"/>
        <w:widowControl w:val="off"/>
        <w:rPr>
          <w:rFonts w:hint="eastAsia" w:ascii="黑体" w:hAnsi="黑体" w:eastAsia="黑体" w:cs="黑体"/>
          <w:b/>
          <w:bCs/>
          <w:color w:val="auto"/>
          <w:sz w:val="21"/>
          <w:szCs w:val="21"/>
          <w:highlight w:val="none"/>
          <w:lang w:val="en-US" w:eastAsia="zh-CN" w:bidi="ar-SA"/>
        </w:rPr>
      </w:pPr>
      <w:r>
        <w:rPr>
          <w:rFonts w:hint="eastAsia" w:ascii="黑体" w:hAnsi="黑体" w:eastAsia="黑体" w:cs="黑体"/>
          <w:b/>
          <w:bCs/>
          <w:color w:val="auto"/>
          <w:sz w:val="21"/>
          <w:szCs w:val="21"/>
          <w:highlight w:val="none"/>
          <w:lang w:val="en-US" w:eastAsia="zh-CN" w:bidi="ar-SA"/>
        </w:rPr>
        <w:t xml:space="preserve">八、实施要求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1、采购人提供的资料：</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1.1工程量清单。</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1.2其他与建设工程有关的原始资料由承包人自行勘察收集。</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2、技术标准：现行国家及本省、市的有关标准、规范及其他适用于本工程的最新技术标准、规范。</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3、工程质量保修期：见施工合同《工程质量保修书》。</w:t>
      </w:r>
      <w:r>
        <w:rPr>
          <w:rFonts w:hint="eastAsia" w:ascii="黑体" w:hAnsi="黑体" w:eastAsia="黑体" w:cs="黑体"/>
          <w:color w:val="auto"/>
          <w:sz w:val="21"/>
          <w:szCs w:val="21"/>
          <w:highlight w:val="none"/>
          <w:lang w:val="en-US" w:eastAsia="zh-CN" w:bidi="ar-SA"/>
        </w:rPr>
        <w:t xml:space="preserve">以供应商承诺的保修期限为准。质保期外，工程质量出现问题，中标人应主动提供维修方案，只收取材料费。</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4、施工要求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4.1 供应商必须遵从徐州市有关部门规定的标准化施工现场要求，控制扬尘污染，符合安全文明施工要求。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4.2 施工改造不得破坏现有设施设备，否则免费原样恢复，造成重大事故的由施工单位承担相关责任。</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4.3拆除原设施如为保护性拆除，不得随意损坏。否则，造成损坏的要无偿修复或按工程清单中价格赔偿。赔偿款从工程款中扣除。</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5、响应文件要求</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5.1首次响应文件中提供《施工组织设计》。</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5.2《施工组织设计》包括不限于评分细则内容： </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6、情况说明</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6.1根据施工现场实际情况，采购人有权利对部分工程项目进行增减或调整， 供应商必须认可采购人对部分工程项目增减或调整的内容。 </w:t>
      </w:r>
      <w:r/>
    </w:p>
    <w:p>
      <w:pPr>
        <w:ind w:firstLine="420"/>
        <w:jc w:val="left"/>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6.2 供应商应根据本项目实际情况，合理配置人员，除项目经理外，安全员、质检员、施工员、预算员、材料员等人员应经验丰富，确保项目顺利实施。</w:t>
      </w:r>
      <w:r/>
    </w:p>
    <w:p>
      <w:pPr>
        <w:jc w:val="both"/>
        <w:spacing w:line="360" w:lineRule="auto"/>
        <w:rPr>
          <w:rFonts w:hint="eastAsia" w:ascii="黑体" w:hAnsi="黑体" w:eastAsia="黑体" w:cs="黑体"/>
          <w:b/>
          <w:color w:val="auto"/>
          <w:sz w:val="21"/>
          <w:szCs w:val="21"/>
          <w:highlight w:val="none"/>
          <w:lang w:val="en-US" w:eastAsia="zh-CN" w:bidi="ar-SA"/>
        </w:rPr>
      </w:pPr>
      <w:r>
        <w:rPr>
          <w:rFonts w:hint="eastAsia" w:ascii="黑体" w:hAnsi="黑体" w:eastAsia="黑体" w:cs="黑体"/>
          <w:b/>
          <w:color w:val="auto"/>
          <w:sz w:val="21"/>
          <w:szCs w:val="21"/>
          <w:highlight w:val="none"/>
          <w:lang w:val="en-US" w:eastAsia="zh-CN" w:bidi="ar-SA"/>
        </w:rPr>
        <w:t xml:space="preserve">九、其他要求：</w:t>
      </w:r>
      <w:r/>
    </w:p>
    <w:p>
      <w:pPr>
        <w:ind w:firstLine="420"/>
        <w:jc w:val="both"/>
        <w:spacing w:line="360" w:lineRule="auto"/>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见《响应文件相关格式》《拟签订的合同文本》。</w:t>
      </w:r>
      <w:r/>
    </w:p>
    <w:p>
      <w:pPr>
        <w:jc w:val="center"/>
        <w:keepLines w:val="0"/>
        <w:keepNext w:val="0"/>
        <w:spacing w:before="0" w:after="0" w:line="360" w:lineRule="auto"/>
        <w:widowControl w:val="off"/>
        <w:rPr>
          <w:rFonts w:hint="eastAsia" w:ascii="黑体" w:hAnsi="黑体" w:eastAsia="黑体" w:cs="黑体"/>
          <w:b/>
          <w:bCs/>
          <w:color w:val="auto"/>
          <w:sz w:val="28"/>
          <w:szCs w:val="44"/>
          <w:highlight w:val="none"/>
          <w:lang w:val="en-US" w:eastAsia="zh-CN" w:bidi="ar-SA"/>
        </w:rPr>
        <w:outlineLvl w:val="0"/>
      </w:pPr>
      <w:r/>
      <w:bookmarkStart w:id="34" w:name="_Toc80122301"/>
      <w:r>
        <w:rPr>
          <w:rFonts w:hint="eastAsia" w:ascii="黑体" w:hAnsi="黑体" w:eastAsia="黑体" w:cs="黑体"/>
          <w:b/>
          <w:bCs/>
          <w:color w:val="auto"/>
          <w:sz w:val="28"/>
          <w:szCs w:val="21"/>
          <w:highlight w:val="none"/>
          <w:lang w:val="en-US" w:eastAsia="zh-CN" w:bidi="ar-SA"/>
        </w:rPr>
        <w:br w:type="page" w:clear="all"/>
      </w:r>
      <w:bookmarkStart w:id="35" w:name="_Toc25252"/>
      <w:r/>
      <w:bookmarkStart w:id="36" w:name="_Toc309"/>
      <w:r>
        <w:rPr>
          <w:rFonts w:hint="eastAsia" w:ascii="黑体" w:hAnsi="黑体" w:eastAsia="黑体" w:cs="黑体"/>
          <w:b/>
          <w:bCs/>
          <w:color w:val="auto"/>
          <w:sz w:val="28"/>
          <w:szCs w:val="21"/>
          <w:highlight w:val="none"/>
          <w:lang w:val="en-US" w:eastAsia="zh-CN" w:bidi="ar-SA"/>
        </w:rPr>
        <w:t xml:space="preserve">第九章 响应文件相关格式</w:t>
      </w:r>
      <w:bookmarkEnd w:id="34"/>
      <w:r/>
      <w:bookmarkEnd w:id="35"/>
      <w:r/>
      <w:bookmarkEnd w:id="36"/>
      <w:r/>
      <w:r/>
    </w:p>
    <w:p>
      <w:pPr>
        <w:jc w:val="center"/>
        <w:keepLines w:val="0"/>
        <w:keepNext w:val="0"/>
        <w:spacing w:before="0" w:after="0" w:line="360" w:lineRule="auto"/>
        <w:widowControl w:val="off"/>
        <w:rPr>
          <w:rFonts w:hint="eastAsia" w:ascii="黑体" w:hAnsi="黑体" w:eastAsia="黑体" w:cs="黑体"/>
          <w:b w:val="0"/>
          <w:bCs w:val="0"/>
          <w:color w:val="auto"/>
          <w:sz w:val="24"/>
          <w:szCs w:val="24"/>
          <w:highlight w:val="none"/>
          <w:lang w:val="en-US" w:eastAsia="zh-CN" w:bidi="ar-SA"/>
        </w:rPr>
        <w:outlineLvl w:val="9"/>
      </w:pPr>
      <w:r/>
      <w:bookmarkStart w:id="37" w:name="_Toc7129"/>
      <w:r/>
      <w:bookmarkStart w:id="38" w:name="_Toc8491"/>
      <w:r>
        <w:rPr>
          <w:rFonts w:hint="eastAsia" w:ascii="黑体" w:hAnsi="黑体" w:eastAsia="黑体" w:cs="黑体"/>
          <w:b w:val="0"/>
          <w:bCs w:val="0"/>
          <w:color w:val="auto"/>
          <w:sz w:val="24"/>
          <w:szCs w:val="24"/>
          <w:highlight w:val="none"/>
          <w:lang w:val="en-US" w:eastAsia="zh-CN" w:bidi="ar-SA"/>
        </w:rPr>
        <w:t xml:space="preserve">（本章仅提供响应文件中的部分文件格式，不应被理解为包含了响应文件所需的全部资料）</w:t>
      </w:r>
      <w:bookmarkEnd w:id="37"/>
      <w:r/>
      <w:bookmarkEnd w:id="38"/>
      <w:r/>
      <w:r/>
    </w:p>
    <w:p>
      <w:pPr>
        <w:jc w:val="center"/>
        <w:keepLines w:val="0"/>
        <w:keepNext w:val="0"/>
        <w:spacing w:before="0" w:after="0" w:line="360" w:lineRule="auto"/>
        <w:widowControl w:val="off"/>
        <w:rPr>
          <w:rFonts w:hint="eastAsia" w:ascii="黑体" w:hAnsi="黑体" w:eastAsia="黑体" w:cs="黑体"/>
          <w:b w:val="0"/>
          <w:bCs w:val="0"/>
          <w:color w:val="auto"/>
          <w:sz w:val="28"/>
          <w:szCs w:val="44"/>
          <w:highlight w:val="none"/>
          <w:lang w:val="en-US" w:eastAsia="zh-CN" w:bidi="ar-SA"/>
        </w:rPr>
        <w:outlineLvl w:val="9"/>
      </w:pPr>
      <w:r>
        <w:rPr>
          <w:rFonts w:hint="eastAsia" w:ascii="黑体" w:hAnsi="黑体" w:eastAsia="黑体" w:cs="黑体"/>
          <w:b w:val="0"/>
          <w:bCs w:val="0"/>
          <w:color w:val="auto"/>
          <w:sz w:val="28"/>
          <w:szCs w:val="44"/>
          <w:highlight w:val="none"/>
          <w:lang w:val="en-US" w:eastAsia="zh-CN" w:bidi="ar-SA"/>
        </w:rPr>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一、承诺书</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二、磋商报价表</w:t>
      </w:r>
      <w:r/>
    </w:p>
    <w:p>
      <w:pPr>
        <w:ind w:firstLine="1558"/>
        <w:jc w:val="both"/>
        <w:spacing w:line="360" w:lineRule="auto"/>
        <w:widowControl w:val="off"/>
        <w:tabs>
          <w:tab w:val="left" w:pos="2100" w:leader="none"/>
        </w:tabs>
        <w:rPr>
          <w:rFonts w:hint="default"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三、分项价格表</w:t>
      </w:r>
      <w:r/>
    </w:p>
    <w:p>
      <w:pPr>
        <w:ind w:firstLine="1558"/>
        <w:jc w:val="both"/>
        <w:spacing w:line="360" w:lineRule="auto"/>
        <w:widowControl w:val="off"/>
        <w:tabs>
          <w:tab w:val="left" w:pos="2100" w:leader="none"/>
        </w:tabs>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四、投标承诺书</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五、偏离表</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六、授权委托书</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七、中小企业声明函</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八、残疾人福利性单位声明函</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bCs/>
          <w:color w:val="auto"/>
          <w:sz w:val="21"/>
          <w:szCs w:val="21"/>
          <w:highlight w:val="none"/>
          <w:lang w:val="en-US" w:eastAsia="zh-CN" w:bidi="ar-SA"/>
        </w:rPr>
        <w:t xml:space="preserve">九、供应商参加政府采购活动前三年内在经营活动中没有重大违法记录的书面声明</w:t>
      </w:r>
      <w:r/>
    </w:p>
    <w:p>
      <w:pPr>
        <w:ind w:firstLine="1558"/>
        <w:jc w:val="both"/>
        <w:spacing w:line="360" w:lineRule="auto"/>
        <w:widowControl w:val="off"/>
        <w:rPr>
          <w:rFonts w:hint="eastAsia" w:ascii="黑体" w:hAnsi="黑体" w:eastAsia="黑体" w:cs="黑体"/>
          <w:bCs/>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十</w:t>
      </w:r>
      <w:r>
        <w:rPr>
          <w:rFonts w:hint="eastAsia" w:ascii="黑体" w:hAnsi="黑体" w:eastAsia="黑体" w:cs="黑体"/>
          <w:bCs/>
          <w:color w:val="auto"/>
          <w:sz w:val="21"/>
          <w:szCs w:val="21"/>
          <w:highlight w:val="none"/>
          <w:lang w:val="en-US" w:eastAsia="zh-CN" w:bidi="ar-SA"/>
        </w:rPr>
        <w:t xml:space="preserve">、具备履行合同所必需的设备和专业技术能力的书面声明</w:t>
      </w:r>
      <w:r/>
    </w:p>
    <w:p>
      <w:pPr>
        <w:ind w:firstLine="1558"/>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十一、《供应商承诺函》</w:t>
      </w:r>
      <w:r/>
    </w:p>
    <w:p>
      <w:pPr>
        <w:ind w:firstLine="1558"/>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十二、响应文件编制要求提供的其他资料</w:t>
      </w:r>
      <w:r/>
    </w:p>
    <w:p>
      <w:pPr>
        <w:ind w:left="0" w:right="0" w:firstLine="1558"/>
        <w:jc w:val="both"/>
        <w:spacing w:line="360" w:lineRule="auto"/>
        <w:widowControl w:val="off"/>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十三、预付款保函支付条款模板</w:t>
      </w:r>
      <w:r/>
    </w:p>
    <w:p>
      <w:pPr>
        <w:jc w:val="center"/>
        <w:spacing w:line="360" w:lineRule="auto"/>
        <w:widowControl w:val="off"/>
        <w:rPr>
          <w:rFonts w:hint="eastAsia" w:ascii="黑体" w:hAnsi="黑体" w:eastAsia="黑体" w:cs="黑体"/>
          <w:bCs/>
          <w:color w:val="auto"/>
          <w:sz w:val="28"/>
          <w:highlight w:val="none"/>
          <w:lang w:val="en-US" w:eastAsia="zh-CN" w:bidi="ar-SA"/>
        </w:rPr>
      </w:pPr>
      <w:r>
        <w:rPr>
          <w:rFonts w:hint="eastAsia" w:ascii="黑体" w:hAnsi="黑体" w:eastAsia="黑体" w:cs="黑体"/>
          <w:bCs/>
          <w:color w:val="auto"/>
          <w:sz w:val="28"/>
          <w:highlight w:val="none"/>
          <w:lang w:val="en-US" w:eastAsia="zh-CN" w:bidi="ar-SA"/>
        </w:rPr>
      </w:r>
      <w:r/>
    </w:p>
    <w:p>
      <w:pPr>
        <w:jc w:val="center"/>
        <w:keepLines w:val="0"/>
        <w:keepNext w:val="0"/>
        <w:spacing w:line="240" w:lineRule="auto"/>
        <w:widowControl w:val="off"/>
        <w:rPr>
          <w:rFonts w:hint="eastAsia" w:ascii="黑体" w:hAnsi="黑体" w:eastAsia="黑体" w:cs="黑体"/>
          <w:b/>
          <w:bCs/>
          <w:color w:val="auto"/>
          <w:sz w:val="32"/>
          <w:szCs w:val="32"/>
          <w:highlight w:val="none"/>
          <w:lang w:val="en-US" w:eastAsia="zh-CN" w:bidi="ar-SA"/>
        </w:rPr>
        <w:outlineLvl w:val="1"/>
      </w:pPr>
      <w:r>
        <w:rPr>
          <w:rFonts w:hint="eastAsia" w:ascii="黑体" w:hAnsi="黑体" w:eastAsia="黑体" w:cs="黑体"/>
          <w:b/>
          <w:bCs/>
          <w:color w:val="auto"/>
          <w:sz w:val="28"/>
          <w:szCs w:val="21"/>
          <w:highlight w:val="none"/>
          <w:lang w:val="en-US" w:eastAsia="zh-CN" w:bidi="ar-SA"/>
        </w:rPr>
        <w:br w:type="page" w:clear="all"/>
      </w:r>
      <w:bookmarkStart w:id="39" w:name="_Toc80122302"/>
      <w:r/>
      <w:bookmarkStart w:id="40" w:name="_Toc29380"/>
      <w:r/>
      <w:bookmarkStart w:id="41" w:name="_Toc6721"/>
      <w:r>
        <w:rPr>
          <w:rFonts w:hint="eastAsia" w:ascii="黑体" w:hAnsi="黑体" w:eastAsia="黑体" w:cs="黑体"/>
          <w:b/>
          <w:bCs/>
          <w:color w:val="auto"/>
          <w:sz w:val="28"/>
          <w:szCs w:val="21"/>
          <w:highlight w:val="none"/>
          <w:lang w:val="en-US" w:eastAsia="zh-CN" w:bidi="ar-SA"/>
        </w:rPr>
        <w:t xml:space="preserve">一、承诺书</w:t>
      </w:r>
      <w:bookmarkEnd w:id="39"/>
      <w:r/>
      <w:bookmarkEnd w:id="40"/>
      <w:r/>
      <w:bookmarkEnd w:id="41"/>
      <w:r/>
      <w:r/>
    </w:p>
    <w:p>
      <w:pPr>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致</w:t>
      </w:r>
      <w:r>
        <w:rPr>
          <w:rFonts w:hint="eastAsia" w:ascii="黑体" w:hAnsi="黑体" w:eastAsia="黑体" w:cs="黑体"/>
          <w:color w:val="auto"/>
          <w:sz w:val="24"/>
          <w:szCs w:val="21"/>
          <w:highlight w:val="none"/>
          <w:u w:val="single"/>
          <w:lang w:val="en-US" w:eastAsia="zh-CN" w:bidi="ar-SA"/>
        </w:rPr>
        <w:t xml:space="preserve">中经国际招标集团有限公司</w:t>
      </w:r>
      <w:r>
        <w:rPr>
          <w:rFonts w:hint="eastAsia" w:ascii="黑体" w:hAnsi="黑体" w:eastAsia="黑体" w:cs="黑体"/>
          <w:color w:val="auto"/>
          <w:sz w:val="24"/>
          <w:szCs w:val="21"/>
          <w:highlight w:val="none"/>
          <w:lang w:val="en-US" w:eastAsia="zh-CN" w:bidi="ar-SA"/>
        </w:rPr>
        <w:t xml:space="preserve">：</w:t>
      </w:r>
      <w:r/>
    </w:p>
    <w:p>
      <w:pPr>
        <w:ind w:left="0" w:right="0" w:firstLine="480"/>
        <w:jc w:val="both"/>
        <w:keepLines w:val="0"/>
        <w:keepNext w:val="0"/>
        <w:pageBreakBefore w:val="0"/>
        <w:spacing w:before="0" w:after="0" w:line="312" w:lineRule="auto"/>
        <w:shd w:val="clear" w:color="ffffff" w:fill="auto"/>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根据贵方《磋商文件》（项目编号：</w:t>
      </w:r>
      <w:r>
        <w:rPr>
          <w:rFonts w:hint="eastAsia" w:ascii="黑体" w:hAnsi="黑体" w:eastAsia="黑体" w:cs="黑体"/>
          <w:color w:val="auto"/>
          <w:sz w:val="24"/>
          <w:szCs w:val="21"/>
          <w:highlight w:val="none"/>
          <w:lang w:eastAsia="zh-CN"/>
        </w:rPr>
        <w:t xml:space="preserve">JSZC-320300-ZBZJ-C2026-0003</w:t>
      </w:r>
      <w:r>
        <w:rPr>
          <w:rFonts w:hint="eastAsia" w:ascii="黑体" w:hAnsi="黑体" w:eastAsia="黑体" w:cs="黑体"/>
          <w:color w:val="auto"/>
          <w:sz w:val="24"/>
          <w:szCs w:val="21"/>
          <w:highlight w:val="none"/>
        </w:rPr>
        <w:t xml:space="preserve"> </w:t>
      </w:r>
      <w:r>
        <w:rPr>
          <w:rFonts w:hint="eastAsia" w:ascii="黑体" w:hAnsi="黑体" w:eastAsia="黑体" w:cs="黑体"/>
          <w:color w:val="auto"/>
          <w:sz w:val="24"/>
          <w:szCs w:val="21"/>
          <w:highlight w:val="none"/>
        </w:rPr>
        <w:t xml:space="preserve">）要求，本供应商正式提交以下首次响应文件。</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黑体" w:hAnsi="黑体" w:eastAsia="黑体" w:cs="黑体"/>
          <w:color w:val="auto"/>
          <w:sz w:val="24"/>
          <w:szCs w:val="21"/>
          <w:highlight w:val="none"/>
          <w:lang w:val="en-US" w:eastAsia="zh-CN" w:bidi="ar-SA"/>
        </w:rPr>
        <w:t xml:space="preserve">（1）承诺书； </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（2）磋商报价表； </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（3）偏离表；</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（4）磋商文件要求提供的其他响应文件。</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我单位符合《中华人民共和国政府采购法》第二十二条的规定，符合本项目供应商资格要求。</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我单位按照磋商文件的要求编制响应文件，并对其提交的响应文件的真实性、合法性承担法律责任。</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供应商兹宣布同意如下: </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黑体" w:hAnsi="黑体" w:eastAsia="黑体" w:cs="黑体"/>
          <w:color w:val="auto"/>
          <w:sz w:val="24"/>
          <w:szCs w:val="21"/>
          <w:highlight w:val="none"/>
          <w:lang w:val="en-US" w:eastAsia="zh-CN" w:bidi="ar-SA"/>
        </w:rPr>
        <w:t xml:space="preserve">一、完全承担根据《磋商文件》规定完成合同的责任和义务（如有偏离，将全部填写在偏离表中）。</w:t>
      </w:r>
      <w:r/>
    </w:p>
    <w:p>
      <w:pPr>
        <w:ind w:firstLine="480"/>
        <w:jc w:val="left"/>
        <w:keepLines w:val="0"/>
        <w:keepNext w:val="0"/>
        <w:pageBreakBefore w:val="0"/>
        <w:spacing w:line="312" w:lineRule="auto"/>
        <w:shd w:val="clear" w:color="ffffff" w:fill="auto"/>
        <w:widowControl w:val="off"/>
        <w:tabs>
          <w:tab w:val="right" w:pos="4153" w:leader="none"/>
          <w:tab w:val="left" w:pos="8306" w:leader="underscore"/>
        </w:tabs>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黑体" w:hAnsi="黑体" w:eastAsia="黑体" w:cs="黑体"/>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4" o:spid="_x0000_s14"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黑体" w:hAnsi="黑体" w:eastAsia="黑体" w:cs="黑体"/>
          <w:color w:val="auto"/>
          <w:sz w:val="24"/>
          <w:szCs w:val="21"/>
          <w:highlight w:val="none"/>
          <w:lang w:val="en-US" w:eastAsia="zh-CN" w:bidi="ar-SA"/>
        </w:rPr>
        <w:t xml:space="preserve">二、保证所提供的响应文件及所有材料的真实、合法、有效，并对其负责。</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四、所供货物保证符合国家有关产品质量、性能和安全标准，无权利瑕疵。</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五、报价有效期为30个工作日。</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六、同意向贵方提供贵方可能要求的与本次磋商采购有关的任何证据或资料。</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七、完全理解贵方不一定要接受最低的报价或收到的任何报价。</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八、中经国际招标集团有限公司有权将我单位本项目的《磋商报价表》和《分项价格表》予以公示，公示的方式由中经国际招标集团有限公司确定。</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九、采购人有权对供应商的响应文件的真实性</w:t>
      </w:r>
      <w:r>
        <w:rPr>
          <w:rFonts w:hint="eastAsia" w:ascii="黑体" w:hAnsi="黑体" w:eastAsia="黑体" w:cs="黑体"/>
          <w:bCs/>
          <w:color w:val="auto"/>
          <w:sz w:val="24"/>
          <w:szCs w:val="21"/>
          <w:highlight w:val="none"/>
          <w:lang w:val="en-US" w:eastAsia="zh-CN" w:bidi="ar-SA"/>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黑体" w:hAnsi="黑体" w:eastAsia="黑体" w:cs="黑体"/>
          <w:color w:val="auto"/>
          <w:sz w:val="24"/>
          <w:szCs w:val="21"/>
          <w:highlight w:val="none"/>
          <w:lang w:val="en-US" w:eastAsia="zh-CN" w:bidi="ar-SA"/>
        </w:rPr>
        <w:t xml:space="preserve">。</w:t>
      </w:r>
      <w:r/>
    </w:p>
    <w:p>
      <w:pPr>
        <w:ind w:firstLine="480"/>
        <w:jc w:val="left"/>
        <w:keepLines w:val="0"/>
        <w:keepNext w:val="0"/>
        <w:pageBreakBefore w:val="0"/>
        <w:spacing w:line="312"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十、供应商同意按照磋商文件的有关规定支付相关代理服务费。 </w:t>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联系电话：</w:t>
      </w:r>
      <w:r/>
    </w:p>
    <w:p>
      <w:pPr>
        <w:ind w:firstLine="3960"/>
        <w:jc w:val="left"/>
        <w:spacing w:line="276" w:lineRule="auto"/>
        <w:shd w:val="clear" w:color="ffffff" w:fill="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b/>
          <w:bCs/>
          <w:color w:val="auto"/>
          <w:sz w:val="28"/>
          <w:highlight w:val="none"/>
          <w:lang w:val="en-US" w:eastAsia="zh-CN" w:bidi="ar-SA"/>
        </w:rPr>
        <w:outlineLvl w:val="1"/>
      </w:pPr>
      <w:r>
        <w:rPr>
          <w:rFonts w:hint="eastAsia" w:ascii="黑体" w:hAnsi="黑体" w:eastAsia="黑体" w:cs="黑体"/>
          <w:color w:val="auto"/>
          <w:highlight w:val="none"/>
          <w:lang w:val="en-US" w:eastAsia="zh-CN" w:bidi="ar-SA"/>
        </w:rPr>
        <w:br w:type="page" w:clear="all"/>
      </w:r>
      <w:bookmarkStart w:id="42" w:name="_Toc20127"/>
      <w:r/>
      <w:bookmarkStart w:id="43" w:name="_Toc80122303"/>
      <w:r/>
      <w:bookmarkStart w:id="44" w:name="_Toc25312"/>
      <w:r>
        <w:rPr>
          <w:rFonts w:hint="eastAsia" w:ascii="黑体" w:hAnsi="黑体" w:eastAsia="黑体" w:cs="黑体"/>
          <w:b/>
          <w:bCs/>
          <w:color w:val="auto"/>
          <w:sz w:val="28"/>
          <w:szCs w:val="21"/>
          <w:highlight w:val="none"/>
          <w:lang w:val="en-US" w:eastAsia="zh-CN" w:bidi="ar-SA"/>
        </w:rPr>
        <w:t xml:space="preserve">二、磋商报价表</w:t>
      </w:r>
      <w:bookmarkEnd w:id="42"/>
      <w:r/>
      <w:bookmarkEnd w:id="43"/>
      <w:r/>
      <w:bookmarkEnd w:id="44"/>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highlight w:val="none"/>
          <w:lang w:val="en-US" w:eastAsia="zh-CN" w:bidi="ar-SA"/>
        </w:rPr>
        <w:t xml:space="preserve">（本次为  □首次  □终次报价）                              </w:t>
      </w:r>
      <w:r/>
    </w:p>
    <w:p>
      <w:pPr>
        <w:ind w:left="0" w:right="0" w:firstLine="0"/>
        <w:jc w:val="both"/>
        <w:spacing w:before="0" w:after="0"/>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项目编号：</w:t>
      </w:r>
      <w:r>
        <w:rPr>
          <w:rFonts w:hint="eastAsia" w:ascii="黑体" w:hAnsi="黑体" w:eastAsia="黑体" w:cs="黑体"/>
          <w:color w:val="auto"/>
          <w:sz w:val="24"/>
          <w:szCs w:val="21"/>
          <w:highlight w:val="none"/>
          <w:lang w:eastAsia="zh-CN"/>
        </w:rPr>
        <w:t xml:space="preserve">JSZC-320300-ZBZJ-C2026-0003</w:t>
      </w:r>
      <w:r>
        <w:rPr>
          <w:rFonts w:hint="eastAsia" w:ascii="黑体" w:hAnsi="黑体" w:eastAsia="黑体" w:cs="黑体"/>
          <w:color w:val="auto"/>
          <w:sz w:val="24"/>
          <w:szCs w:val="21"/>
          <w:highlight w:val="none"/>
        </w:rPr>
        <w:t xml:space="preserve"> </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rPr>
          <w:rFonts w:hint="eastAsia" w:ascii="黑体" w:hAnsi="黑体" w:eastAsia="黑体" w:cs="黑体"/>
          <w:color w:val="auto"/>
          <w:sz w:val="24"/>
          <w:szCs w:val="21"/>
          <w:highlight w:val="none"/>
          <w:u w:val="single"/>
          <w:lang w:val="en-US" w:eastAsia="zh-CN" w:bidi="ar-SA"/>
        </w:rPr>
        <w:t xml:space="preserve">徐州国防教育馆改造提升项目</w:t>
      </w:r>
      <w:r>
        <w:rPr>
          <w:rFonts w:hint="eastAsia" w:ascii="黑体" w:hAnsi="黑体" w:eastAsia="黑体" w:cs="黑体"/>
          <w:color w:val="auto"/>
          <w:sz w:val="24"/>
          <w:szCs w:val="21"/>
          <w:highlight w:val="none"/>
          <w:lang w:val="en-US" w:eastAsia="zh-CN" w:bidi="ar-SA"/>
        </w:rPr>
        <w:t xml:space="preserve">                           单位：人民币元</w:t>
      </w:r>
      <w:r/>
    </w:p>
    <w:tbl>
      <w:tblPr>
        <w:tblStyle w:val="1167"/>
        <w:tblW w:w="0" w:type="auto"/>
        <w:jc w:val="center"/>
        <w:tblLayout w:type="fixed"/>
        <w:tblCellMar>
          <w:left w:w="0" w:type="dxa"/>
          <w:top w:w="0" w:type="dxa"/>
          <w:right w:w="0" w:type="dxa"/>
          <w:bottom w:w="0" w:type="dxa"/>
        </w:tblCellMar>
        <w:tblLook w:val="04A0" w:firstRow="1" w:lastRow="0" w:firstColumn="1" w:lastColumn="0" w:noHBand="0" w:noVBand="1"/>
      </w:tblPr>
      <w:tblGrid>
        <w:gridCol w:w="2640"/>
        <w:gridCol w:w="2138"/>
        <w:gridCol w:w="2286"/>
        <w:gridCol w:w="1765"/>
      </w:tblGrid>
      <w:tr>
        <w:trPr>
          <w:jc w:val="center"/>
          <w:trHeight w:val="1107"/>
        </w:trPr>
        <w:tc>
          <w:tcPr>
            <w:tcBorders>
              <w:top w:val="single" w:color="000000" w:sz="6" w:space="0"/>
              <w:left w:val="single" w:color="000000" w:sz="6" w:space="0"/>
              <w:bottom w:val="single" w:color="000000" w:sz="2" w:space="0"/>
              <w:right w:val="single" w:color="000000" w:sz="2" w:space="0"/>
            </w:tcBorders>
            <w:tcMar>
              <w:left w:w="108" w:type="dxa"/>
              <w:top w:w="0" w:type="dxa"/>
              <w:right w:w="108" w:type="dxa"/>
              <w:bottom w:w="0" w:type="dxa"/>
            </w:tcMar>
            <w:tcW w:w="2640" w:type="dxa"/>
            <w:vAlign w:val="center"/>
            <w:textDirection w:val="lrTb"/>
            <w:noWrap w:val="false"/>
          </w:tcPr>
          <w:p>
            <w:pPr>
              <w:jc w:val="center"/>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Mar>
              <w:left w:w="108" w:type="dxa"/>
              <w:top w:w="0" w:type="dxa"/>
              <w:right w:w="108" w:type="dxa"/>
              <w:bottom w:w="0" w:type="dxa"/>
            </w:tcMar>
            <w:tcW w:w="2138" w:type="dxa"/>
            <w:vAlign w:val="center"/>
            <w:textDirection w:val="lrTb"/>
            <w:noWrap w:val="false"/>
          </w:tcPr>
          <w:p>
            <w:pPr>
              <w:jc w:val="center"/>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Mar>
              <w:left w:w="108" w:type="dxa"/>
              <w:top w:w="0" w:type="dxa"/>
              <w:right w:w="108" w:type="dxa"/>
              <w:bottom w:w="0" w:type="dxa"/>
            </w:tcMar>
            <w:tcW w:w="2286" w:type="dxa"/>
            <w:vAlign w:val="center"/>
            <w:textDirection w:val="lrTb"/>
            <w:noWrap w:val="false"/>
          </w:tcPr>
          <w:p>
            <w:pPr>
              <w:jc w:val="center"/>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磋商报价（小写）</w:t>
            </w:r>
            <w:r/>
          </w:p>
        </w:tc>
        <w:tc>
          <w:tcPr>
            <w:tcBorders>
              <w:top w:val="single" w:color="000000" w:sz="6" w:space="0"/>
              <w:left w:val="single" w:color="000000" w:sz="2" w:space="0"/>
              <w:bottom w:val="single" w:color="000000" w:sz="2" w:space="0"/>
              <w:right w:val="single" w:color="000000" w:sz="2" w:space="0"/>
            </w:tcBorders>
            <w:tcMar>
              <w:left w:w="108" w:type="dxa"/>
              <w:top w:w="0" w:type="dxa"/>
              <w:right w:w="108" w:type="dxa"/>
              <w:bottom w:w="0" w:type="dxa"/>
            </w:tcMar>
            <w:tcW w:w="1765" w:type="dxa"/>
            <w:vAlign w:val="center"/>
            <w:textDirection w:val="lrTb"/>
            <w:noWrap w:val="false"/>
          </w:tcPr>
          <w:p>
            <w:pPr>
              <w:jc w:val="center"/>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备注</w:t>
            </w:r>
            <w:r/>
          </w:p>
        </w:tc>
      </w:tr>
      <w:tr>
        <w:trPr>
          <w:jc w:val="center"/>
          <w:trHeight w:val="1096"/>
        </w:trPr>
        <w:tc>
          <w:tcPr>
            <w:tcBorders>
              <w:top w:val="single" w:color="000000" w:sz="2" w:space="0"/>
              <w:left w:val="single" w:color="000000" w:sz="6" w:space="0"/>
              <w:bottom w:val="single" w:color="000000" w:sz="2" w:space="0"/>
              <w:right w:val="single" w:color="000000" w:sz="2" w:space="0"/>
            </w:tcBorders>
            <w:tcMar>
              <w:left w:w="108" w:type="dxa"/>
              <w:top w:w="0" w:type="dxa"/>
              <w:right w:w="108" w:type="dxa"/>
              <w:bottom w:w="0" w:type="dxa"/>
            </w:tcMar>
            <w:tcW w:w="2640" w:type="dxa"/>
            <w:vAlign w:val="center"/>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徐州国防教育馆改造提升项目</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138" w:type="dxa"/>
            <w:vAlign w:val="center"/>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详见响应文件</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286" w:type="dxa"/>
            <w:vAlign w:val="center"/>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tc>
        <w:tc>
          <w:tcPr>
            <w:tcBorders>
              <w:top w:val="single" w:color="000000" w:sz="2" w:space="0"/>
              <w:left w:val="single" w:color="000000" w:sz="2" w:space="0"/>
              <w:right w:val="single" w:color="000000" w:sz="2" w:space="0"/>
            </w:tcBorders>
            <w:tcMar>
              <w:left w:w="108" w:type="dxa"/>
              <w:top w:w="0" w:type="dxa"/>
              <w:right w:w="108" w:type="dxa"/>
              <w:bottom w:w="0" w:type="dxa"/>
            </w:tcMar>
            <w:tcW w:w="1765" w:type="dxa"/>
            <w:vAlign w:val="center"/>
            <w:vMerge w:val="restart"/>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报价为《分项价格》的总价。</w:t>
            </w:r>
            <w:r/>
          </w:p>
        </w:tc>
      </w:tr>
      <w:tr>
        <w:trPr>
          <w:jc w:val="center"/>
          <w:trHeight w:val="1333"/>
        </w:trPr>
        <w:tc>
          <w:tcPr>
            <w:tcBorders>
              <w:top w:val="single" w:color="000000" w:sz="2" w:space="0"/>
              <w:left w:val="single" w:color="000000" w:sz="6" w:space="0"/>
              <w:bottom w:val="single" w:color="000000" w:sz="2" w:space="0"/>
              <w:right w:val="single" w:color="000000" w:sz="2" w:space="0"/>
            </w:tcBorders>
            <w:tcMar>
              <w:left w:w="108" w:type="dxa"/>
              <w:top w:w="0" w:type="dxa"/>
              <w:right w:w="108" w:type="dxa"/>
              <w:bottom w:w="0" w:type="dxa"/>
            </w:tcMar>
            <w:tcW w:w="2640" w:type="dxa"/>
            <w:vAlign w:val="center"/>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t xml:space="preserve">总价（大写）：</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4424" w:type="dxa"/>
            <w:vAlign w:val="top"/>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tc>
        <w:tc>
          <w:tcPr>
            <w:tcBorders>
              <w:left w:val="single" w:color="000000" w:sz="2" w:space="0"/>
              <w:bottom w:val="single" w:color="000000" w:sz="2" w:space="0"/>
              <w:right w:val="single" w:color="000000" w:sz="2" w:space="0"/>
            </w:tcBorders>
            <w:tcMar>
              <w:left w:w="108" w:type="dxa"/>
              <w:top w:w="0" w:type="dxa"/>
              <w:right w:w="108" w:type="dxa"/>
              <w:bottom w:w="0" w:type="dxa"/>
            </w:tcMar>
            <w:tcW w:w="1765" w:type="dxa"/>
            <w:vAlign w:val="center"/>
            <w:vMerge w:val="continue"/>
            <w:textDirection w:val="lrTb"/>
            <w:noWrap w:val="false"/>
          </w:tcPr>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tc>
      </w:tr>
    </w:tbl>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jc w:val="both"/>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供应商承诺：  1、本报价（总价）为供应商本企业提供的服务。 </w:t>
      </w:r>
      <w:r/>
    </w:p>
    <w:p>
      <w:pPr>
        <w:jc w:val="left"/>
        <w:spacing w:line="360" w:lineRule="auto"/>
        <w:widowControl w:val="off"/>
        <w:rPr>
          <w:rFonts w:hint="default"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                  2、</w:t>
      </w:r>
      <w:r>
        <w:rPr>
          <w:rFonts w:hint="eastAsia" w:ascii="黑体" w:hAnsi="黑体" w:eastAsia="黑体" w:cs="黑体"/>
          <w:color w:val="auto"/>
          <w:sz w:val="24"/>
          <w:highlight w:val="none"/>
          <w:lang w:val="en-US" w:eastAsia="zh-CN" w:bidi="ar-SA"/>
        </w:rPr>
        <w:t xml:space="preserve">工期：</w:t>
      </w:r>
      <w:r>
        <w:rPr>
          <w:rFonts w:hint="eastAsia" w:ascii="黑体" w:hAnsi="黑体" w:eastAsia="黑体" w:cs="黑体"/>
          <w:color w:val="auto"/>
          <w:sz w:val="24"/>
          <w:highlight w:val="none"/>
          <w:u w:val="single"/>
          <w:lang w:val="en-US" w:eastAsia="zh-CN" w:bidi="ar-SA"/>
        </w:rPr>
        <w:t xml:space="preserve">    </w:t>
      </w:r>
      <w:r>
        <w:rPr>
          <w:rFonts w:hint="eastAsia" w:ascii="黑体" w:hAnsi="黑体" w:eastAsia="黑体" w:cs="黑体"/>
          <w:color w:val="auto"/>
          <w:sz w:val="24"/>
          <w:highlight w:val="none"/>
          <w:lang w:val="en-US" w:eastAsia="zh-CN" w:bidi="ar-SA"/>
        </w:rPr>
        <w:t xml:space="preserve">日历天</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报价说明：</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1、报价包括完成项目的所有费用。采购人不再支付报价以外的任何费用。</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2、报价以总价为准，大小写不一致以大写为准；</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3、偏离说明：详见《偏离表》；</w:t>
      </w:r>
      <w:r/>
    </w:p>
    <w:p>
      <w:pPr>
        <w:ind w:firstLine="48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供应商（电子签章）：</w:t>
      </w:r>
      <w:r/>
    </w:p>
    <w:p>
      <w:pPr>
        <w:ind w:left="3950" w:right="29"/>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日期：</w:t>
      </w:r>
      <w:r/>
    </w:p>
    <w:p>
      <w:pPr>
        <w:ind w:firstLine="482"/>
        <w:jc w:val="right"/>
        <w:spacing w:line="360" w:lineRule="auto"/>
        <w:widowControl w:val="off"/>
        <w:rPr>
          <w:rFonts w:hint="eastAsia" w:ascii="黑体" w:hAnsi="黑体" w:eastAsia="黑体" w:cs="黑体"/>
          <w:b/>
          <w:color w:val="auto"/>
          <w:highlight w:val="none"/>
          <w:lang w:val="en-US" w:eastAsia="zh-CN" w:bidi="ar-SA"/>
        </w:rPr>
      </w:pPr>
      <w:r>
        <w:rPr>
          <w:rFonts w:hint="eastAsia" w:ascii="黑体" w:hAnsi="黑体" w:eastAsia="黑体" w:cs="黑体"/>
          <w:b/>
          <w:color w:val="auto"/>
          <w:highlight w:val="none"/>
          <w:lang w:val="en-US" w:eastAsia="zh-CN" w:bidi="ar-SA"/>
        </w:rPr>
      </w:r>
      <w:r/>
    </w:p>
    <w:p>
      <w:pPr>
        <w:jc w:val="center"/>
        <w:spacing w:line="360" w:lineRule="auto"/>
        <w:widowControl/>
        <w:rPr>
          <w:rFonts w:hint="eastAsia" w:ascii="黑体" w:hAnsi="黑体" w:eastAsia="黑体" w:cs="黑体"/>
          <w:color w:val="auto"/>
          <w:szCs w:val="21"/>
          <w:highlight w:val="none"/>
        </w:rPr>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outlineLvl w:val="1"/>
      </w:pPr>
      <w:r>
        <w:rPr>
          <w:rFonts w:hint="eastAsia" w:ascii="黑体" w:hAnsi="黑体" w:eastAsia="黑体" w:cs="黑体"/>
          <w:color w:val="auto"/>
          <w:szCs w:val="21"/>
          <w:highlight w:val="none"/>
        </w:rPr>
        <w:br w:type="page" w:clear="all"/>
      </w:r>
      <w:bookmarkStart w:id="45" w:name="_Toc14249"/>
      <w:r/>
      <w:bookmarkStart w:id="46" w:name="_Toc80122304"/>
      <w:r/>
      <w:r/>
    </w:p>
    <w:p>
      <w:pPr>
        <w:jc w:val="center"/>
        <w:spacing w:line="360" w:lineRule="auto"/>
        <w:widowControl w:val="off"/>
        <w:rPr>
          <w:rFonts w:hint="eastAsia" w:ascii="黑体" w:hAnsi="黑体" w:eastAsia="黑体" w:cs="黑体"/>
          <w:b/>
          <w:bCs/>
          <w:color w:val="auto"/>
          <w:sz w:val="28"/>
          <w:szCs w:val="21"/>
          <w:highlight w:val="none"/>
          <w:lang w:val="en-US" w:eastAsia="zh-CN" w:bidi="ar-SA"/>
        </w:rPr>
        <w:outlineLvl w:val="1"/>
      </w:pPr>
      <w:r/>
      <w:bookmarkStart w:id="47" w:name="_Toc10090"/>
      <w:r>
        <w:rPr>
          <w:rFonts w:hint="eastAsia" w:ascii="黑体" w:hAnsi="黑体" w:eastAsia="黑体" w:cs="黑体"/>
          <w:b/>
          <w:bCs/>
          <w:color w:val="auto"/>
          <w:sz w:val="28"/>
          <w:szCs w:val="21"/>
          <w:highlight w:val="none"/>
          <w:lang w:val="en-US" w:eastAsia="zh-CN" w:bidi="ar-SA"/>
        </w:rPr>
        <w:t xml:space="preserve">三、分项价格表</w:t>
      </w:r>
      <w:bookmarkEnd w:id="47"/>
      <w:r/>
      <w:r/>
    </w:p>
    <w:p>
      <w:pPr>
        <w:jc w:val="center"/>
        <w:spacing w:line="360" w:lineRule="auto"/>
        <w:widowControl w:val="off"/>
        <w:rPr>
          <w:rFonts w:hint="eastAsia" w:ascii="宋体" w:hAnsi="宋体" w:cs="宋体"/>
          <w:b/>
          <w:bCs/>
          <w:color w:val="auto"/>
          <w:sz w:val="36"/>
          <w:highlight w:val="none"/>
        </w:rPr>
        <w:outlineLvl w:val="9"/>
      </w:pPr>
      <w:r>
        <w:rPr>
          <w:rFonts w:hint="eastAsia" w:ascii="黑体" w:hAnsi="黑体" w:eastAsia="黑体" w:cs="黑体"/>
          <w:b/>
          <w:bCs/>
          <w:color w:val="auto"/>
          <w:sz w:val="28"/>
          <w:szCs w:val="21"/>
          <w:highlight w:val="none"/>
          <w:lang w:val="en-US" w:eastAsia="zh-CN" w:bidi="ar-SA"/>
        </w:rPr>
        <w:t xml:space="preserve">（具有标价的工程量清单与报价表）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本次为首次报价</w:t>
      </w:r>
      <w:r/>
    </w:p>
    <w:p>
      <w:pPr>
        <w:jc w:val="lef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项目编号：</w:t>
      </w:r>
      <w:r>
        <w:rPr>
          <w:rFonts w:hint="eastAsia" w:ascii="黑体" w:hAnsi="黑体" w:eastAsia="黑体" w:cs="黑体"/>
          <w:color w:val="auto"/>
          <w:sz w:val="24"/>
          <w:highlight w:val="none"/>
          <w:u w:val="single"/>
        </w:rPr>
        <w:t xml:space="preserve">               </w:t>
      </w:r>
      <w:r/>
    </w:p>
    <w:p>
      <w:pPr>
        <w:jc w:val="lef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项目名称：</w:t>
      </w:r>
      <w:r>
        <w:rPr>
          <w:rFonts w:hint="eastAsia" w:ascii="黑体" w:hAnsi="黑体" w:eastAsia="黑体" w:cs="黑体"/>
          <w:color w:val="auto"/>
          <w:sz w:val="24"/>
          <w:highlight w:val="none"/>
          <w:u w:val="single"/>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pStyle w:val="1183"/>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按工程量清单报价（电子版，另附）</w:t>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pStyle w:val="1175"/>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pStyle w:val="1175"/>
        <w:rPr>
          <w:rFonts w:hint="eastAsia" w:ascii="黑体" w:hAnsi="黑体" w:eastAsia="黑体" w:cs="黑体"/>
          <w:color w:val="auto"/>
          <w:highlight w:val="none"/>
        </w:rPr>
      </w:pPr>
      <w:r>
        <w:rPr>
          <w:rFonts w:hint="eastAsia" w:ascii="黑体" w:hAnsi="黑体" w:eastAsia="黑体" w:cs="黑体"/>
          <w:color w:val="auto"/>
          <w:highlight w:val="none"/>
        </w:rPr>
      </w:r>
      <w:r/>
    </w:p>
    <w:p>
      <w:pPr>
        <w:ind w:right="29" w:firstLine="396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供应商（电子签章）：</w:t>
      </w:r>
      <w:r/>
    </w:p>
    <w:p>
      <w:pPr>
        <w:ind w:left="3950" w:right="29"/>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日期：</w:t>
      </w:r>
      <w:r/>
    </w:p>
    <w:p>
      <w:pPr>
        <w:ind w:right="29"/>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w:t>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1.</w:t>
      </w:r>
      <w:r>
        <w:rPr>
          <w:rFonts w:hint="eastAsia" w:ascii="黑体" w:hAnsi="黑体" w:eastAsia="黑体" w:cs="黑体"/>
          <w:color w:val="auto"/>
          <w:sz w:val="24"/>
          <w:highlight w:val="none"/>
        </w:rPr>
        <w:t xml:space="preserve">如果按单价计算的结果与总价不一致，以总价为准。</w:t>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lang w:eastAsia="zh-CN"/>
        </w:rPr>
        <w:t xml:space="preserve">2.</w:t>
      </w:r>
      <w:r>
        <w:rPr>
          <w:rFonts w:hint="eastAsia" w:ascii="黑体" w:hAnsi="黑体" w:eastAsia="黑体" w:cs="黑体"/>
          <w:color w:val="auto"/>
          <w:sz w:val="24"/>
          <w:highlight w:val="none"/>
        </w:rPr>
        <w:t xml:space="preserve">如果不提供详细分项报价将视为没有实质性响应。</w:t>
      </w:r>
      <w:r/>
    </w:p>
    <w:p>
      <w:pPr>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3.</w:t>
      </w:r>
      <w:r>
        <w:rPr>
          <w:rFonts w:hint="eastAsia" w:ascii="黑体" w:hAnsi="黑体" w:eastAsia="黑体" w:cs="黑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黑体" w:hAnsi="黑体" w:eastAsia="黑体" w:cs="黑体"/>
          <w:b/>
          <w:i/>
          <w:color w:val="auto"/>
          <w:sz w:val="24"/>
          <w:highlight w:val="none"/>
          <w:u w:val="single"/>
        </w:rPr>
        <w:t xml:space="preserve">采购人或采购代理机构有权将以上内容进行公示。</w:t>
      </w:r>
      <w:r/>
    </w:p>
    <w:p>
      <w:pPr>
        <w:jc w:val="center"/>
        <w:spacing w:line="360" w:lineRule="auto"/>
        <w:widowControl/>
        <w:rPr>
          <w:rFonts w:hint="eastAsia" w:ascii="黑体" w:hAnsi="黑体" w:eastAsia="黑体" w:cs="黑体"/>
          <w:color w:val="auto"/>
          <w:szCs w:val="21"/>
          <w:highlight w:val="none"/>
        </w:rPr>
        <w:sectPr>
          <w:headerReference w:type="default" r:id="rId11"/>
          <w:footnotePr/>
          <w:endnotePr/>
          <w:type w:val="nextPage"/>
          <w:pgSz w:w="11906" w:h="16838" w:orient="portrait"/>
          <w:pgMar w:top="1440" w:right="1310" w:bottom="1440" w:left="1310" w:header="851" w:footer="992" w:gutter="0"/>
          <w:cols w:num="1" w:sep="0" w:space="720" w:equalWidth="1"/>
          <w:docGrid w:linePitch="360"/>
        </w:sectPr>
        <w:outlineLvl w:val="1"/>
      </w:pPr>
      <w:r>
        <w:rPr>
          <w:rFonts w:hint="eastAsia" w:ascii="黑体" w:hAnsi="黑体" w:eastAsia="黑体" w:cs="黑体"/>
          <w:color w:val="auto"/>
          <w:szCs w:val="21"/>
          <w:highlight w:val="none"/>
        </w:rPr>
      </w:r>
      <w:r/>
    </w:p>
    <w:p>
      <w:pPr>
        <w:jc w:val="center"/>
        <w:spacing w:line="360" w:lineRule="auto"/>
        <w:widowControl/>
        <w:rPr>
          <w:rFonts w:hint="eastAsia" w:ascii="黑体" w:hAnsi="黑体" w:eastAsia="黑体" w:cs="黑体"/>
          <w:b/>
          <w:color w:val="auto"/>
          <w:sz w:val="28"/>
          <w:szCs w:val="28"/>
          <w:highlight w:val="none"/>
        </w:rPr>
        <w:outlineLvl w:val="1"/>
      </w:pPr>
      <w:r/>
      <w:bookmarkStart w:id="48" w:name="_Toc7717"/>
      <w:r>
        <w:rPr>
          <w:rFonts w:hint="eastAsia" w:ascii="黑体" w:hAnsi="黑体" w:eastAsia="黑体" w:cs="黑体"/>
          <w:color w:val="auto"/>
          <w:sz w:val="28"/>
          <w:szCs w:val="28"/>
          <w:highlight w:val="none"/>
          <w:lang w:val="en-US" w:eastAsia="zh-CN"/>
        </w:rPr>
        <w:t xml:space="preserve">四</w:t>
      </w:r>
      <w:r>
        <w:rPr>
          <w:rFonts w:hint="eastAsia" w:ascii="黑体" w:hAnsi="黑体" w:eastAsia="黑体" w:cs="黑体"/>
          <w:color w:val="auto"/>
          <w:sz w:val="28"/>
          <w:szCs w:val="28"/>
          <w:highlight w:val="none"/>
        </w:rPr>
        <w:t xml:space="preserve">、</w:t>
      </w:r>
      <w:bookmarkEnd w:id="45"/>
      <w:r/>
      <w:bookmarkEnd w:id="46"/>
      <w:r>
        <w:rPr>
          <w:rFonts w:hint="eastAsia" w:ascii="黑体" w:hAnsi="黑体" w:eastAsia="黑体" w:cs="黑体"/>
          <w:b/>
          <w:color w:val="auto"/>
          <w:sz w:val="28"/>
          <w:szCs w:val="28"/>
          <w:highlight w:val="none"/>
        </w:rPr>
        <w:t xml:space="preserve">投 标 承 诺 书</w:t>
      </w:r>
      <w:bookmarkEnd w:id="48"/>
      <w:r/>
      <w:r/>
    </w:p>
    <w:p>
      <w:pPr>
        <w:spacing w:line="360" w:lineRule="auto"/>
        <w:widowControl/>
        <w:rPr>
          <w:rFonts w:hint="eastAsia" w:ascii="黑体" w:hAnsi="黑体" w:eastAsia="黑体" w:cs="黑体"/>
          <w:color w:val="auto"/>
          <w:sz w:val="24"/>
          <w:szCs w:val="24"/>
          <w:highlight w:val="none"/>
          <w:u w:val="single"/>
        </w:rPr>
      </w:pPr>
      <w:r>
        <w:rPr>
          <w:rFonts w:hint="eastAsia" w:ascii="黑体" w:hAnsi="黑体" w:eastAsia="黑体" w:cs="黑体"/>
          <w:color w:val="auto"/>
          <w:sz w:val="24"/>
          <w:szCs w:val="24"/>
          <w:highlight w:val="none"/>
          <w:u w:val="single"/>
        </w:rPr>
      </w:r>
      <w:r/>
    </w:p>
    <w:p>
      <w:pP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淮海战役烈士纪念塔管理中心（淮海战役纪念馆）</w:t>
      </w:r>
      <w:r>
        <w:rPr>
          <w:rFonts w:hint="eastAsia" w:ascii="黑体" w:hAnsi="黑体" w:eastAsia="黑体" w:cs="黑体"/>
          <w:color w:val="auto"/>
          <w:sz w:val="24"/>
          <w:szCs w:val="24"/>
          <w:highlight w:val="none"/>
        </w:rPr>
        <w:t xml:space="preserve">：</w:t>
      </w:r>
      <w:r/>
    </w:p>
    <w:p>
      <w:pPr>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我单位有幸参加</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（项目名称）</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(项目编号）的招投标活动，在此承诺如下（包含不限于以下内容）：</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1、投标项目部人员全部为本单位正式上岗人员；</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2、本工程不串通投标、不转包、不违法分包、不私招乱雇人员，并向管理部门提供自有劳务人员名单；</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3、按要求办理民工维权告示牌、民工劳动计酬手册及民工上岗胸牌；</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4、遵守廉洁相关规定，不向招投标各方主体及监管部门行贿、受贿；</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5、符合徐州市有关部门规定的标准化施工现场要求；</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6、不拖欠工人工资，按时发放工人工资；</w:t>
      </w:r>
      <w:r/>
    </w:p>
    <w:p>
      <w:pPr>
        <w:ind w:firstLine="480"/>
        <w:spacing w:line="360" w:lineRule="auto"/>
        <w:widowControl/>
        <w:rPr>
          <w:rFonts w:hint="eastAsia" w:ascii="黑体" w:hAnsi="黑体" w:eastAsia="黑体" w:cs="黑体"/>
          <w:color w:val="auto"/>
          <w:sz w:val="24"/>
          <w:szCs w:val="24"/>
          <w:highlight w:val="none"/>
          <w:u w:val="single"/>
        </w:rPr>
      </w:pPr>
      <w:r>
        <w:rPr>
          <w:rFonts w:hint="eastAsia" w:ascii="黑体" w:hAnsi="黑体" w:eastAsia="黑体" w:cs="黑体"/>
          <w:color w:val="auto"/>
          <w:sz w:val="24"/>
          <w:szCs w:val="24"/>
          <w:highlight w:val="none"/>
        </w:rPr>
        <w:t xml:space="preserve">7、其他承诺：</w:t>
      </w:r>
      <w:r>
        <w:rPr>
          <w:rFonts w:hint="eastAsia" w:ascii="黑体" w:hAnsi="黑体" w:eastAsia="黑体" w:cs="黑体"/>
          <w:color w:val="auto"/>
          <w:sz w:val="24"/>
          <w:szCs w:val="24"/>
          <w:highlight w:val="none"/>
          <w:u w:val="single"/>
        </w:rPr>
        <w:t xml:space="preserve">                             。</w:t>
      </w:r>
      <w:r/>
    </w:p>
    <w:p>
      <w:pPr>
        <w:ind w:firstLine="48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以上承诺如有违反，愿自动放弃本次投标，接受相关部门处罚。</w:t>
      </w:r>
      <w:r/>
    </w:p>
    <w:p>
      <w:pPr>
        <w:ind w:right="29" w:firstLine="396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right="29" w:firstLine="3960"/>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供应商（电子签章）：</w:t>
      </w:r>
      <w:r/>
    </w:p>
    <w:p>
      <w:pPr>
        <w:ind w:left="3950" w:right="29"/>
        <w:jc w:val="left"/>
        <w:spacing w:line="36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日期：</w:t>
      </w:r>
      <w:r/>
    </w:p>
    <w:p>
      <w:pPr>
        <w:ind w:firstLine="0"/>
        <w:spacing w:line="360" w:lineRule="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jc w:val="both"/>
        <w:spacing w:after="0" w:line="360" w:lineRule="auto"/>
        <w:widowControl w:val="off"/>
        <w:rPr>
          <w:rFonts w:hint="eastAsia" w:ascii="黑体" w:hAnsi="黑体" w:eastAsia="黑体" w:cs="黑体"/>
          <w:b/>
          <w:i/>
          <w:color w:val="auto"/>
          <w:sz w:val="24"/>
          <w:szCs w:val="24"/>
          <w:highlight w:val="none"/>
          <w:u w:val="single"/>
          <w:lang w:val="en-US" w:eastAsia="zh-CN" w:bidi="ar-SA"/>
        </w:rPr>
      </w:pPr>
      <w:r>
        <w:rPr>
          <w:rFonts w:hint="eastAsia" w:ascii="黑体" w:hAnsi="黑体" w:eastAsia="黑体" w:cs="黑体"/>
          <w:b/>
          <w:i/>
          <w:color w:val="auto"/>
          <w:sz w:val="24"/>
          <w:szCs w:val="24"/>
          <w:highlight w:val="none"/>
          <w:u w:val="single"/>
          <w:lang w:val="en-US" w:eastAsia="zh-CN" w:bidi="ar-SA"/>
        </w:rPr>
      </w:r>
      <w:r/>
    </w:p>
    <w:p>
      <w:pPr>
        <w:ind w:firstLine="482"/>
        <w:jc w:val="left"/>
        <w:spacing w:line="360" w:lineRule="auto"/>
        <w:widowControl w:val="off"/>
        <w:tabs>
          <w:tab w:val="center" w:pos="4200" w:leader="none"/>
        </w:tabs>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r>
      <w:r/>
    </w:p>
    <w:p>
      <w:pPr>
        <w:jc w:val="center"/>
        <w:spacing w:line="360" w:lineRule="auto"/>
        <w:widowControl w:val="off"/>
        <w:rPr>
          <w:rFonts w:hint="eastAsia" w:ascii="黑体" w:hAnsi="黑体" w:eastAsia="黑体" w:cs="黑体"/>
          <w:color w:val="auto"/>
          <w:highlight w:val="none"/>
          <w:lang w:val="en-US" w:eastAsia="zh-CN" w:bidi="ar-SA"/>
        </w:rPr>
        <w:outlineLvl w:val="1"/>
      </w:pPr>
      <w:r>
        <w:rPr>
          <w:rFonts w:hint="eastAsia" w:ascii="黑体" w:hAnsi="黑体" w:eastAsia="黑体" w:cs="黑体"/>
          <w:color w:val="auto"/>
          <w:highlight w:val="none"/>
          <w:lang w:val="en-US" w:eastAsia="zh-CN" w:bidi="ar-SA"/>
        </w:rPr>
        <w:br w:type="page" w:clear="all"/>
      </w:r>
      <w:bookmarkStart w:id="49" w:name="_Toc9364"/>
      <w:r/>
      <w:bookmarkStart w:id="50" w:name="_Toc9229"/>
      <w:r/>
      <w:bookmarkStart w:id="51" w:name="_Toc80122305"/>
      <w:r>
        <w:rPr>
          <w:rFonts w:hint="eastAsia" w:ascii="黑体" w:hAnsi="黑体" w:eastAsia="黑体" w:cs="黑体"/>
          <w:b/>
          <w:bCs/>
          <w:color w:val="auto"/>
          <w:sz w:val="28"/>
          <w:szCs w:val="32"/>
          <w:highlight w:val="none"/>
          <w:lang w:val="en-US" w:eastAsia="zh-CN" w:bidi="ar-SA"/>
        </w:rPr>
        <w:t xml:space="preserve">五、偏离表</w:t>
      </w:r>
      <w:bookmarkEnd w:id="49"/>
      <w:r/>
      <w:bookmarkEnd w:id="50"/>
      <w:r/>
      <w:bookmarkEnd w:id="51"/>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项目名称：徐州国防教育馆改造提升项目</w:t>
      </w:r>
      <w:r/>
    </w:p>
    <w:p>
      <w:pPr>
        <w:ind w:left="0" w:right="0" w:firstLine="0"/>
        <w:jc w:val="both"/>
        <w:spacing w:before="0" w:after="0"/>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   项目编号：</w:t>
      </w:r>
      <w:r>
        <w:rPr>
          <w:rFonts w:hint="eastAsia" w:ascii="黑体" w:hAnsi="黑体" w:eastAsia="黑体" w:cs="黑体"/>
          <w:color w:val="auto"/>
          <w:sz w:val="24"/>
          <w:szCs w:val="21"/>
          <w:highlight w:val="none"/>
          <w:lang w:eastAsia="zh-CN"/>
        </w:rPr>
        <w:t xml:space="preserve">JSZC-320300-ZBZJ-C2026-0003</w:t>
      </w:r>
      <w:r>
        <w:rPr>
          <w:rFonts w:hint="eastAsia" w:ascii="黑体" w:hAnsi="黑体" w:eastAsia="黑体" w:cs="黑体"/>
          <w:color w:val="auto"/>
          <w:sz w:val="24"/>
          <w:szCs w:val="21"/>
          <w:highlight w:val="none"/>
        </w:rPr>
        <w:t xml:space="preserve"> </w:t>
      </w:r>
      <w:r/>
    </w:p>
    <w:tbl>
      <w:tblPr>
        <w:tblStyle w:val="1167"/>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sz w:val="24"/>
                <w:szCs w:val="21"/>
                <w:highlight w:val="none"/>
                <w:lang w:val="en-US" w:eastAsia="zh-CN" w:bidi="ar-SA"/>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60" w:lineRule="auto"/>
              <w:widowControl w:val="off"/>
              <w:rPr>
                <w:rFonts w:hint="eastAsia" w:ascii="黑体" w:hAnsi="黑体" w:eastAsia="黑体" w:cs="黑体"/>
                <w:caps/>
                <w:color w:val="auto"/>
                <w:highlight w:val="none"/>
                <w:lang w:val="en-US" w:eastAsia="zh-CN" w:bidi="ar-SA"/>
              </w:rPr>
            </w:pPr>
            <w:r>
              <w:rPr>
                <w:rFonts w:hint="eastAsia" w:ascii="黑体" w:hAnsi="黑体" w:eastAsia="黑体" w:cs="黑体"/>
                <w:caps/>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tc>
      </w:tr>
    </w:tbl>
    <w:p>
      <w:pPr>
        <w:jc w:val="left"/>
        <w:spacing w:line="360" w:lineRule="auto"/>
        <w:widowControl w:val="off"/>
        <w:rPr>
          <w:rFonts w:hint="eastAsia" w:ascii="黑体" w:hAnsi="黑体" w:eastAsia="黑体" w:cs="黑体"/>
          <w:color w:val="auto"/>
          <w:highlight w:val="none"/>
          <w:u w:val="single"/>
          <w:lang w:val="en-US" w:eastAsia="zh-CN" w:bidi="ar-SA"/>
        </w:rPr>
      </w:pPr>
      <w:r>
        <w:rPr>
          <w:rFonts w:hint="eastAsia" w:ascii="黑体" w:hAnsi="黑体" w:eastAsia="黑体" w:cs="黑体"/>
          <w:color w:val="auto"/>
          <w:sz w:val="24"/>
          <w:szCs w:val="21"/>
          <w:highlight w:val="none"/>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9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39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日期：</w:t>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1"/>
      </w:pPr>
      <w:r/>
      <w:bookmarkStart w:id="52" w:name="_Toc80122306"/>
      <w:r>
        <w:rPr>
          <w:rFonts w:hint="eastAsia" w:ascii="黑体" w:hAnsi="黑体" w:eastAsia="黑体" w:cs="黑体"/>
          <w:b/>
          <w:bCs/>
          <w:color w:val="auto"/>
          <w:sz w:val="28"/>
          <w:szCs w:val="21"/>
          <w:highlight w:val="none"/>
          <w:lang w:val="en-US" w:eastAsia="zh-CN" w:bidi="ar-SA"/>
        </w:rPr>
        <w:br w:type="page" w:clear="all"/>
      </w:r>
      <w:bookmarkStart w:id="53" w:name="_Toc7832"/>
      <w:r/>
      <w:bookmarkStart w:id="54" w:name="_Toc19384"/>
      <w:r>
        <w:rPr>
          <w:rFonts w:hint="eastAsia" w:ascii="黑体" w:hAnsi="黑体" w:eastAsia="黑体" w:cs="黑体"/>
          <w:b/>
          <w:bCs/>
          <w:color w:val="auto"/>
          <w:sz w:val="28"/>
          <w:szCs w:val="21"/>
          <w:highlight w:val="none"/>
          <w:lang w:val="en-US" w:eastAsia="zh-CN" w:bidi="ar-SA"/>
        </w:rPr>
        <w:t xml:space="preserve">六、授权委托书</w:t>
      </w:r>
      <w:bookmarkEnd w:id="52"/>
      <w:r/>
      <w:bookmarkEnd w:id="53"/>
      <w:r/>
      <w:bookmarkEnd w:id="54"/>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委托人（全称）：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地  址：</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法定代表人：              </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统一社会信用代码：</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受托人：                  先生（女士）</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身份证号：</w:t>
      </w:r>
      <w:r/>
    </w:p>
    <w:p>
      <w:pPr>
        <w:ind w:left="0" w:right="0" w:firstLine="0"/>
        <w:jc w:val="both"/>
        <w:keepLines w:val="0"/>
        <w:keepNext w:val="0"/>
        <w:pageBreakBefore w:val="0"/>
        <w:spacing w:before="0" w:after="0" w:line="360" w:lineRule="auto"/>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兹委托（            ）全权代表我企业（公司）参与</w:t>
      </w:r>
      <w:r>
        <w:rPr>
          <w:rFonts w:hint="eastAsia" w:ascii="黑体" w:hAnsi="黑体" w:eastAsia="黑体" w:cs="黑体"/>
          <w:color w:val="auto"/>
          <w:sz w:val="24"/>
          <w:szCs w:val="21"/>
          <w:highlight w:val="none"/>
          <w:u w:val="single"/>
          <w:lang w:eastAsia="zh-CN"/>
        </w:rPr>
        <w:t xml:space="preserve">徐州国防教育馆改造提升项目</w:t>
      </w:r>
      <w:r>
        <w:rPr>
          <w:rFonts w:hint="eastAsia" w:ascii="黑体" w:hAnsi="黑体" w:eastAsia="黑体" w:cs="黑体"/>
          <w:color w:val="auto"/>
          <w:sz w:val="24"/>
          <w:szCs w:val="21"/>
          <w:highlight w:val="none"/>
        </w:rPr>
        <w:t xml:space="preserve"> [项目编号：</w:t>
      </w:r>
      <w:r>
        <w:rPr>
          <w:rFonts w:hint="eastAsia" w:ascii="黑体" w:hAnsi="黑体" w:eastAsia="黑体" w:cs="黑体"/>
          <w:color w:val="auto"/>
          <w:sz w:val="24"/>
          <w:szCs w:val="21"/>
          <w:highlight w:val="none"/>
          <w:lang w:eastAsia="zh-CN"/>
        </w:rPr>
        <w:t xml:space="preserve">JSZC-320300-ZBZJ-C2026-0003</w:t>
      </w:r>
      <w:r>
        <w:rPr>
          <w:rFonts w:hint="eastAsia" w:ascii="黑体" w:hAnsi="黑体" w:eastAsia="黑体" w:cs="黑体"/>
          <w:color w:val="auto"/>
          <w:sz w:val="24"/>
          <w:szCs w:val="21"/>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ind w:firstLine="45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委托人（</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jc w:val="left"/>
        <w:spacing w:line="360" w:lineRule="atLeast"/>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法定代表人（签字或盖章）：</w:t>
      </w:r>
      <w:r/>
    </w:p>
    <w:p>
      <w:pPr>
        <w:jc w:val="left"/>
        <w:spacing w:line="360" w:lineRule="atLeast"/>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受托人（签字或盖章）：</w:t>
      </w:r>
      <w:r/>
    </w:p>
    <w:p>
      <w:pPr>
        <w:jc w:val="left"/>
        <w:spacing w:line="360" w:lineRule="atLeast"/>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highlight w:val="none"/>
          <w:lang w:val="en-US" w:eastAsia="zh-CN" w:bidi="ar-SA"/>
        </w:rPr>
      </w:r>
      <w:r/>
    </w:p>
    <w:p>
      <w:pPr>
        <w:ind w:firstLine="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center"/>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(受托人身份证复印件附后)</w:t>
      </w:r>
      <w:r/>
    </w:p>
    <w:p>
      <w:pPr>
        <w:jc w:val="both"/>
        <w:spacing w:line="360" w:lineRule="auto"/>
        <w:widowControl w:val="off"/>
        <w:rPr>
          <w:rFonts w:hint="eastAsia" w:ascii="黑体" w:hAnsi="黑体" w:eastAsia="黑体" w:cs="黑体"/>
          <w:b/>
          <w:bCs/>
          <w:color w:val="auto"/>
          <w:highlight w:val="none"/>
          <w:lang w:val="en-US" w:eastAsia="zh-CN" w:bidi="ar-SA"/>
        </w:rPr>
      </w:pPr>
      <w:r>
        <w:rPr>
          <w:rFonts w:hint="eastAsia" w:ascii="黑体" w:hAnsi="黑体" w:eastAsia="黑体" w:cs="黑体"/>
          <w:b/>
          <w:bCs/>
          <w:color w:val="auto"/>
          <w:highlight w:val="none"/>
          <w:lang w:val="en-US" w:eastAsia="zh-CN" w:bidi="ar-SA"/>
        </w:rPr>
      </w:r>
      <w:r/>
    </w:p>
    <w:p>
      <w:pPr>
        <w:jc w:val="center"/>
        <w:spacing w:line="360" w:lineRule="auto"/>
        <w:widowControl w:val="off"/>
        <w:rPr>
          <w:rFonts w:hint="eastAsia" w:ascii="黑体" w:hAnsi="黑体" w:eastAsia="黑体" w:cs="黑体"/>
          <w:color w:val="auto"/>
          <w:sz w:val="28"/>
          <w:highlight w:val="none"/>
          <w:lang w:val="en-US" w:eastAsia="zh-CN" w:bidi="ar-SA"/>
        </w:rPr>
      </w:pPr>
      <w:r>
        <w:rPr>
          <w:rFonts w:hint="eastAsia" w:ascii="黑体" w:hAnsi="黑体" w:eastAsia="黑体" w:cs="黑体"/>
          <w:color w:val="auto"/>
          <w:sz w:val="28"/>
          <w:highlight w:val="none"/>
          <w:lang w:val="en-US" w:eastAsia="zh-CN" w:bidi="ar-SA"/>
        </w:rPr>
      </w:r>
      <w:r/>
    </w:p>
    <w:p>
      <w:pPr>
        <w:ind w:left="0" w:right="0" w:firstLine="950"/>
        <w:jc w:val="both"/>
        <w:spacing w:before="0" w:after="0" w:line="85" w:lineRule="atLeast"/>
        <w:widowControl/>
        <w:rPr>
          <w:rFonts w:hint="eastAsia" w:ascii="黑体" w:hAnsi="黑体" w:eastAsia="黑体" w:cs="黑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8"/>
          <w:szCs w:val="21"/>
          <w:highlight w:val="none"/>
        </w:rPr>
        <w:t xml:space="preserve">     </w:t>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9"/>
      </w:pPr>
      <w:r/>
      <w:bookmarkStart w:id="55" w:name="_Toc80122307"/>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1"/>
      </w:pPr>
      <w:r>
        <w:rPr>
          <w:rFonts w:hint="eastAsia" w:ascii="黑体" w:hAnsi="黑体" w:eastAsia="黑体" w:cs="黑体"/>
          <w:b/>
          <w:bCs/>
          <w:color w:val="auto"/>
          <w:sz w:val="28"/>
          <w:szCs w:val="21"/>
          <w:highlight w:val="none"/>
          <w:lang w:val="en-US" w:eastAsia="zh-CN" w:bidi="ar-SA"/>
        </w:rPr>
        <w:br w:type="page" w:clear="all"/>
      </w:r>
      <w:bookmarkStart w:id="56" w:name="_Toc6068"/>
      <w:r/>
      <w:bookmarkStart w:id="57" w:name="_Toc387"/>
      <w:r>
        <w:rPr>
          <w:rFonts w:hint="eastAsia" w:ascii="黑体" w:hAnsi="黑体" w:eastAsia="黑体" w:cs="黑体"/>
          <w:b/>
          <w:bCs/>
          <w:color w:val="auto"/>
          <w:sz w:val="28"/>
          <w:szCs w:val="21"/>
          <w:highlight w:val="none"/>
          <w:lang w:val="en-US" w:eastAsia="zh-CN" w:bidi="ar-SA"/>
        </w:rPr>
        <w:t xml:space="preserve">七、中小企业声明函</w:t>
      </w:r>
      <w:bookmarkEnd w:id="55"/>
      <w:r/>
      <w:bookmarkEnd w:id="56"/>
      <w:r/>
      <w:bookmarkEnd w:id="57"/>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项目编号：</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本公司郑重声明，根据《政府采购促进中小企业发展管理办法》（财库﹝2020﹞46号）的规定，本公司参加</w:t>
      </w:r>
      <w:r>
        <w:rPr>
          <w:rFonts w:hint="eastAsia" w:ascii="黑体" w:hAnsi="黑体" w:eastAsia="黑体" w:cs="黑体"/>
          <w:color w:val="auto"/>
          <w:sz w:val="24"/>
          <w:szCs w:val="24"/>
          <w:highlight w:val="none"/>
          <w:u w:val="single"/>
          <w:lang w:val="en-US" w:eastAsia="zh-CN" w:bidi="ar-SA"/>
        </w:rPr>
        <w:t xml:space="preserve">（单位名称）</w:t>
      </w:r>
      <w:r>
        <w:rPr>
          <w:rFonts w:hint="eastAsia" w:ascii="黑体" w:hAnsi="黑体" w:eastAsia="黑体" w:cs="黑体"/>
          <w:color w:val="auto"/>
          <w:sz w:val="24"/>
          <w:szCs w:val="24"/>
          <w:highlight w:val="none"/>
          <w:lang w:val="en-US" w:eastAsia="zh-CN" w:bidi="ar-SA"/>
        </w:rPr>
        <w:t xml:space="preserve">的</w:t>
      </w:r>
      <w:r>
        <w:rPr>
          <w:rFonts w:hint="eastAsia" w:ascii="黑体" w:hAnsi="黑体" w:eastAsia="黑体" w:cs="黑体"/>
          <w:color w:val="auto"/>
          <w:sz w:val="24"/>
          <w:szCs w:val="24"/>
          <w:highlight w:val="none"/>
          <w:u w:val="single"/>
          <w:lang w:val="en-US" w:eastAsia="zh-CN" w:bidi="ar-SA"/>
        </w:rPr>
        <w:t xml:space="preserve">（项目名称）</w:t>
      </w:r>
      <w:r>
        <w:rPr>
          <w:rFonts w:hint="eastAsia" w:ascii="黑体" w:hAnsi="黑体" w:eastAsia="黑体" w:cs="黑体"/>
          <w:color w:val="auto"/>
          <w:sz w:val="24"/>
          <w:szCs w:val="24"/>
          <w:highlight w:val="none"/>
          <w:lang w:val="en-US" w:eastAsia="zh-CN" w:bidi="ar-SA"/>
        </w:rPr>
        <w:t xml:space="preserve">采购活动，工程的施工全部由符合政策要求的中小企业承接。相关企业的具体情况如下：</w:t>
      </w:r>
      <w:r/>
    </w:p>
    <w:p>
      <w:pPr>
        <w:ind w:firstLine="480"/>
        <w:jc w:val="both"/>
        <w:spacing w:line="360" w:lineRule="auto"/>
        <w:widowControl w:val="off"/>
        <w:rPr>
          <w:rFonts w:hint="eastAsia" w:ascii="黑体" w:hAnsi="黑体" w:eastAsia="黑体" w:cs="黑体"/>
          <w:color w:val="auto"/>
          <w:spacing w:val="6"/>
          <w:sz w:val="24"/>
          <w:szCs w:val="24"/>
          <w:highlight w:val="none"/>
          <w:lang w:val="en-US" w:eastAsia="zh-CN" w:bidi="ar-SA"/>
        </w:rPr>
      </w:pPr>
      <w:r>
        <w:rPr>
          <w:rFonts w:hint="eastAsia" w:ascii="黑体" w:hAnsi="黑体" w:eastAsia="黑体" w:cs="黑体"/>
          <w:color w:val="auto"/>
          <w:sz w:val="24"/>
          <w:szCs w:val="24"/>
          <w:highlight w:val="none"/>
          <w:u w:val="single"/>
          <w:lang w:val="en-US" w:eastAsia="zh-CN" w:bidi="ar-SA"/>
        </w:rPr>
        <w:t xml:space="preserve">（标的名称）</w:t>
      </w:r>
      <w:r>
        <w:rPr>
          <w:rFonts w:hint="eastAsia" w:ascii="黑体" w:hAnsi="黑体" w:eastAsia="黑体" w:cs="黑体"/>
          <w:color w:val="auto"/>
          <w:sz w:val="24"/>
          <w:szCs w:val="24"/>
          <w:highlight w:val="none"/>
          <w:lang w:val="en-US" w:eastAsia="zh-CN" w:bidi="ar-SA"/>
        </w:rPr>
        <w:t xml:space="preserve">，属于</w:t>
      </w:r>
      <w:r>
        <w:rPr>
          <w:rFonts w:hint="eastAsia" w:ascii="黑体" w:hAnsi="黑体" w:eastAsia="黑体" w:cs="黑体"/>
          <w:color w:val="auto"/>
          <w:sz w:val="24"/>
          <w:szCs w:val="24"/>
          <w:highlight w:val="none"/>
          <w:u w:val="single"/>
          <w:lang w:val="en-US" w:eastAsia="zh-CN" w:bidi="ar-SA"/>
        </w:rPr>
        <w:t xml:space="preserve">（建筑业）</w:t>
      </w:r>
      <w:r>
        <w:rPr>
          <w:rFonts w:hint="eastAsia" w:ascii="黑体" w:hAnsi="黑体" w:eastAsia="黑体" w:cs="黑体"/>
          <w:color w:val="auto"/>
          <w:sz w:val="24"/>
          <w:szCs w:val="24"/>
          <w:highlight w:val="none"/>
          <w:lang w:val="en-US" w:eastAsia="zh-CN" w:bidi="ar-SA"/>
        </w:rPr>
        <w:t xml:space="preserve">； 承建（承接）企业为</w:t>
      </w:r>
      <w:r>
        <w:rPr>
          <w:rFonts w:hint="eastAsia" w:ascii="黑体" w:hAnsi="黑体" w:eastAsia="黑体" w:cs="黑体"/>
          <w:color w:val="auto"/>
          <w:sz w:val="24"/>
          <w:szCs w:val="24"/>
          <w:highlight w:val="none"/>
          <w:u w:val="single"/>
          <w:lang w:val="en-US" w:eastAsia="zh-CN" w:bidi="ar-SA"/>
        </w:rPr>
        <w:t xml:space="preserve">（企业名称）</w:t>
      </w:r>
      <w:r>
        <w:rPr>
          <w:rFonts w:hint="eastAsia" w:ascii="黑体" w:hAnsi="黑体" w:eastAsia="黑体" w:cs="黑体"/>
          <w:color w:val="auto"/>
          <w:sz w:val="24"/>
          <w:szCs w:val="24"/>
          <w:highlight w:val="none"/>
          <w:lang w:val="en-US" w:eastAsia="zh-CN" w:bidi="ar-SA"/>
        </w:rPr>
        <w:t xml:space="preserve">，从业人员</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人，营业收入为</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万元，资产总额为</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万元，属于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b/>
          <w:color w:val="auto"/>
          <w:sz w:val="24"/>
          <w:szCs w:val="24"/>
          <w:highlight w:val="none"/>
          <w:u w:val="single"/>
          <w:lang w:val="en-US" w:eastAsia="zh-CN" w:bidi="ar-SA"/>
        </w:rPr>
        <w:t xml:space="preserve">此处请填空</w:t>
      </w:r>
      <w:r>
        <w:rPr>
          <w:rFonts w:hint="eastAsia" w:ascii="黑体" w:hAnsi="黑体" w:eastAsia="黑体" w:cs="黑体"/>
          <w:color w:val="auto"/>
          <w:sz w:val="24"/>
          <w:szCs w:val="24"/>
          <w:highlight w:val="none"/>
          <w:u w:val="single"/>
          <w:lang w:val="en-US" w:eastAsia="zh-CN" w:bidi="ar-SA"/>
        </w:rPr>
        <w:t xml:space="preserve">）（中型企业、小型企业、微型企业</w:t>
      </w:r>
      <w:r>
        <w:rPr>
          <w:rFonts w:hint="eastAsia" w:ascii="黑体" w:hAnsi="黑体" w:eastAsia="黑体" w:cs="黑体"/>
          <w:b/>
          <w:color w:val="auto"/>
          <w:sz w:val="24"/>
          <w:szCs w:val="24"/>
          <w:highlight w:val="none"/>
          <w:u w:val="single"/>
          <w:lang w:val="en-US" w:eastAsia="zh-CN" w:bidi="ar-SA"/>
        </w:rPr>
        <w:t xml:space="preserve">，请填空！</w:t>
      </w:r>
      <w:r>
        <w:rPr>
          <w:rFonts w:hint="eastAsia" w:ascii="黑体" w:hAnsi="黑体" w:eastAsia="黑体" w:cs="黑体"/>
          <w:color w:val="auto"/>
          <w:sz w:val="24"/>
          <w:szCs w:val="24"/>
          <w:highlight w:val="none"/>
          <w:u w:val="single"/>
          <w:lang w:val="en-US" w:eastAsia="zh-CN" w:bidi="ar-SA"/>
        </w:rPr>
        <w:t xml:space="preserve">）</w:t>
      </w:r>
      <w:r>
        <w:rPr>
          <w:rFonts w:hint="eastAsia" w:ascii="黑体" w:hAnsi="黑体" w:eastAsia="黑体" w:cs="黑体"/>
          <w:color w:val="auto"/>
          <w:sz w:val="24"/>
          <w:szCs w:val="24"/>
          <w:highlight w:val="none"/>
          <w:lang w:val="en-US" w:eastAsia="zh-CN" w:bidi="ar-SA"/>
        </w:rPr>
        <w:t xml:space="preserve">；</w:t>
      </w:r>
      <w:r/>
    </w:p>
    <w:p>
      <w:pPr>
        <w:ind w:firstLine="482"/>
        <w:jc w:val="both"/>
        <w:spacing w:line="360" w:lineRule="auto"/>
        <w:widowControl w:val="off"/>
        <w:rPr>
          <w:rFonts w:hint="eastAsia" w:ascii="黑体" w:hAnsi="黑体" w:eastAsia="黑体" w:cs="黑体"/>
          <w:b/>
          <w:color w:val="auto"/>
          <w:spacing w:val="6"/>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注：本项目采购属于</w:t>
      </w:r>
      <w:r>
        <w:rPr>
          <w:rFonts w:hint="eastAsia" w:ascii="黑体" w:hAnsi="黑体" w:eastAsia="黑体" w:cs="黑体"/>
          <w:color w:val="auto"/>
          <w:sz w:val="24"/>
          <w:szCs w:val="24"/>
          <w:highlight w:val="none"/>
          <w:u w:val="single"/>
          <w:lang w:val="en-US" w:eastAsia="zh-CN" w:bidi="ar-SA"/>
        </w:rPr>
        <w:t xml:space="preserve"> 建筑业 </w:t>
      </w:r>
      <w:r>
        <w:rPr>
          <w:rFonts w:hint="eastAsia" w:ascii="黑体" w:hAnsi="黑体" w:eastAsia="黑体" w:cs="黑体"/>
          <w:color w:val="auto"/>
          <w:sz w:val="24"/>
          <w:szCs w:val="24"/>
          <w:highlight w:val="none"/>
          <w:lang w:val="en-US" w:eastAsia="zh-CN" w:bidi="ar-SA"/>
        </w:rPr>
        <w:t xml:space="preserve">。</w:t>
      </w:r>
      <w:r/>
    </w:p>
    <w:p>
      <w:pPr>
        <w:ind w:firstLine="480"/>
        <w:jc w:val="both"/>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本企业对上述声明内容的真实性负责。如有虚假，将依法承担相应责任。</w:t>
      </w:r>
      <w:r/>
    </w:p>
    <w:p>
      <w:pPr>
        <w:ind w:firstLine="482"/>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备注：从业人员、营业收入、资产总额填报上一年度数据，无上一年度数据的新成立企业可不填报</w:t>
      </w:r>
      <w:r>
        <w:rPr>
          <w:rFonts w:hint="eastAsia" w:ascii="黑体" w:hAnsi="黑体" w:eastAsia="黑体" w:cs="黑体"/>
          <w:color w:val="auto"/>
          <w:sz w:val="24"/>
          <w:szCs w:val="24"/>
          <w:highlight w:val="none"/>
          <w:lang w:val="en-US" w:eastAsia="zh-CN" w:bidi="ar-SA"/>
        </w:rPr>
        <w:t xml:space="preserve">。</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righ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firstLine="312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60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  </w:t>
      </w:r>
      <w:r/>
    </w:p>
    <w:p>
      <w:pPr>
        <w:jc w:val="center"/>
        <w:spacing w:line="360" w:lineRule="auto"/>
        <w:widowControl w:val="off"/>
        <w:rPr>
          <w:rFonts w:hint="eastAsia" w:ascii="黑体" w:hAnsi="黑体" w:eastAsia="黑体" w:cs="黑体"/>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color w:val="auto"/>
          <w:highlight w:val="none"/>
        </w:rPr>
      </w:r>
      <w:r/>
    </w:p>
    <w:p>
      <w:pPr>
        <w:ind w:left="0" w:firstLine="0"/>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color w:val="auto"/>
          <w:sz w:val="22"/>
          <w:szCs w:val="22"/>
          <w:highlight w:val="none"/>
          <w:lang w:val="en-US" w:eastAsia="zh-CN" w:bidi="ar-SA"/>
        </w:rPr>
        <w:t xml:space="preserve"> </w:t>
      </w:r>
      <w:r>
        <w:rPr>
          <w:rFonts w:hint="eastAsia" w:ascii="黑体" w:hAnsi="黑体" w:eastAsia="黑体" w:cs="黑体"/>
          <w:b w:val="0"/>
          <w:bCs w:val="0"/>
          <w:color w:val="auto"/>
          <w:sz w:val="24"/>
          <w:highlight w:val="none"/>
          <w:lang w:val="en-US" w:eastAsia="zh-CN" w:bidi="ar-SA"/>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2、从业人员、营业收入、资产总额填报响应供应商上一年度数据，无上一年度数据的新成立企业可不填报。</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3、成交供应商为中型、小型、微型企业的，采购人或者其委托的采购代理机构有权随中标、成交结果同时公告其《中小企业声明函》，接受社会监督。</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4、执行江苏省财政厅关于进一步加大政府采购支持中小企业力度的通知（苏财购〔2022〕45号）的规定。</w:t>
      </w:r>
      <w:r/>
    </w:p>
    <w:p>
      <w:pPr>
        <w:ind w:left="0" w:firstLine="482"/>
        <w:jc w:val="both"/>
        <w:spacing w:after="0" w:line="360" w:lineRule="auto"/>
        <w:rPr>
          <w:rFonts w:hint="eastAsia" w:ascii="黑体" w:hAnsi="黑体" w:eastAsia="黑体" w:cs="黑体"/>
          <w:b w:val="0"/>
          <w:bCs w:val="0"/>
          <w:color w:val="auto"/>
          <w:sz w:val="24"/>
          <w:highlight w:val="none"/>
          <w:lang w:val="en-US" w:eastAsia="zh-CN" w:bidi="ar-SA"/>
        </w:rPr>
      </w:pPr>
      <w:r>
        <w:rPr>
          <w:rFonts w:hint="eastAsia" w:ascii="黑体" w:hAnsi="黑体" w:eastAsia="黑体" w:cs="黑体"/>
          <w:b w:val="0"/>
          <w:bCs w:val="0"/>
          <w:color w:val="auto"/>
          <w:sz w:val="24"/>
          <w:highlight w:val="none"/>
          <w:lang w:val="en-US" w:eastAsia="zh-CN" w:bidi="ar-SA"/>
        </w:rPr>
        <w:t xml:space="preserve">5、响应供应商提供的《中小企业声明函》与事实不符的，依照《中华人民共和国政府采购法》第七十七条第一款的规定追究法律责任。</w:t>
      </w:r>
      <w:r/>
    </w:p>
    <w:p>
      <w:pPr>
        <w:ind w:firstLine="480"/>
        <w:jc w:val="left"/>
        <w:keepLines w:val="0"/>
        <w:keepNext w:val="0"/>
        <w:pageBreakBefore w:val="0"/>
        <w:spacing w:before="100" w:beforeAutospacing="0" w:after="100" w:afterAutospacing="0" w:line="360" w:lineRule="auto"/>
        <w:rPr>
          <w:rFonts w:hint="eastAsia" w:ascii="黑体" w:hAnsi="黑体" w:eastAsia="黑体" w:cs="黑体"/>
          <w:color w:val="auto"/>
          <w:sz w:val="22"/>
          <w:szCs w:val="22"/>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6、《中小企业声明函》查询渠道用微信搜索“中小企业规模类型自测小程序”。</w:t>
      </w:r>
      <w:r/>
    </w:p>
    <w:p>
      <w:pPr>
        <w:jc w:val="center"/>
        <w:keepLines w:val="0"/>
        <w:keepNext w:val="0"/>
        <w:pageBreakBefore w:val="0"/>
        <w:spacing w:beforeAutospacing="0" w:afterAutospacing="0" w:line="360" w:lineRule="auto"/>
        <w:rPr>
          <w:rFonts w:hint="eastAsia" w:ascii="黑体" w:hAnsi="黑体" w:eastAsia="黑体" w:cs="黑体"/>
          <w:color w:val="auto"/>
          <w:sz w:val="30"/>
          <w:szCs w:val="30"/>
          <w:highlight w:val="none"/>
        </w:rPr>
        <w:sectPr>
          <w:footerReference w:type="even" r:id="rId15"/>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color w:val="auto"/>
          <w:sz w:val="24"/>
          <w:szCs w:val="24"/>
          <w:highlight w:val="none"/>
          <w:lang w:val="en-US" w:eastAsia="zh-CN" w:bidi="ar-SA"/>
        </w:rPr>
        <mc:AlternateContent>
          <mc:Choice Requires="wpg">
            <w:drawing>
              <wp:inline xmlns:wp="http://schemas.openxmlformats.org/drawingml/2006/wordprocessingDrawing" distT="0" distB="0" distL="0" distR="0">
                <wp:extent cx="1887855" cy="4225925"/>
                <wp:effectExtent l="0" t="0" r="17145" b="3175"/>
                <wp:docPr id="16" name="图片 16"/>
                <wp:cNvGraphicFramePr/>
                <a:graphic xmlns:a="http://schemas.openxmlformats.org/drawingml/2006/main">
                  <a:graphicData uri="http://schemas.openxmlformats.org/drawingml/2006/picture">
                    <pic:pic xmlns:pic="http://schemas.openxmlformats.org/drawingml/2006/picture">
                      <pic:nvPicPr>
                        <pic:cNvPr id="2" name="图片 16"/>
                        <pic:cNvPicPr/>
                        <pic:nvPr/>
                      </pic:nvPicPr>
                      <pic:blipFill>
                        <a:blip r:embed="rId24"/>
                        <a:srcRect l="0" t="4825" r="0" b="0"/>
                        <a:stretch/>
                      </pic:blipFill>
                      <pic:spPr bwMode="auto">
                        <a:xfrm>
                          <a:off x="0" y="0"/>
                          <a:ext cx="1887855" cy="4225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8.7pt;height:332.8pt;mso-wrap-distance-left:0.0pt;mso-wrap-distance-top:0.0pt;mso-wrap-distance-right:0.0pt;mso-wrap-distance-bottom:0.0pt;" stroked="f">
                <v:path textboxrect="0,0,0,0"/>
                <v:imagedata r:id="rId24" o:title=""/>
              </v:shape>
            </w:pict>
          </mc:Fallback>
        </mc:AlternateContent>
      </w:r>
      <w:r/>
    </w:p>
    <w:p>
      <w:pPr>
        <w:jc w:val="center"/>
        <w:spacing w:line="360" w:lineRule="auto"/>
        <w:widowControl w:val="off"/>
        <w:rPr>
          <w:rFonts w:hint="eastAsia" w:ascii="黑体" w:hAnsi="黑体" w:eastAsia="黑体" w:cs="黑体"/>
          <w:color w:val="auto"/>
          <w:sz w:val="28"/>
          <w:highlight w:val="none"/>
          <w:lang w:val="en-US" w:eastAsia="zh-CN" w:bidi="ar-SA"/>
        </w:rPr>
        <w:outlineLvl w:val="1"/>
      </w:pPr>
      <w:r/>
      <w:bookmarkStart w:id="58" w:name="_Toc15197"/>
      <w:r/>
      <w:bookmarkStart w:id="59" w:name="_Toc80122308"/>
      <w:r/>
      <w:bookmarkStart w:id="60" w:name="_Toc3823"/>
      <w:r>
        <w:rPr>
          <w:rFonts w:hint="eastAsia" w:ascii="黑体" w:hAnsi="黑体" w:eastAsia="黑体" w:cs="黑体"/>
          <w:b/>
          <w:bCs/>
          <w:color w:val="auto"/>
          <w:sz w:val="28"/>
          <w:szCs w:val="21"/>
          <w:highlight w:val="none"/>
          <w:lang w:val="en-US" w:eastAsia="zh-CN" w:bidi="ar-SA"/>
        </w:rPr>
        <w:t xml:space="preserve">八、</w:t>
      </w:r>
      <w:bookmarkStart w:id="61" w:name="OLE_LINK6"/>
      <w:r>
        <w:rPr>
          <w:rFonts w:hint="eastAsia" w:ascii="黑体" w:hAnsi="黑体" w:eastAsia="黑体" w:cs="黑体"/>
          <w:b/>
          <w:bCs/>
          <w:color w:val="auto"/>
          <w:sz w:val="28"/>
          <w:szCs w:val="21"/>
          <w:highlight w:val="none"/>
          <w:lang w:val="en-US" w:eastAsia="zh-CN" w:bidi="ar-SA"/>
        </w:rPr>
        <w:t xml:space="preserve">残疾人福利性单位</w:t>
      </w:r>
      <w:bookmarkEnd w:id="61"/>
      <w:r>
        <w:rPr>
          <w:rFonts w:hint="eastAsia" w:ascii="黑体" w:hAnsi="黑体" w:eastAsia="黑体" w:cs="黑体"/>
          <w:b/>
          <w:bCs/>
          <w:color w:val="auto"/>
          <w:sz w:val="28"/>
          <w:szCs w:val="21"/>
          <w:highlight w:val="none"/>
          <w:lang w:val="en-US" w:eastAsia="zh-CN" w:bidi="ar-SA"/>
        </w:rPr>
        <w:t xml:space="preserve">声明函</w:t>
      </w:r>
      <w:bookmarkEnd w:id="58"/>
      <w:r/>
      <w:bookmarkEnd w:id="59"/>
      <w:r>
        <w:rPr>
          <w:rFonts w:hint="eastAsia" w:ascii="黑体" w:hAnsi="黑体" w:eastAsia="黑体" w:cs="黑体"/>
          <w:b/>
          <w:bCs/>
          <w:color w:val="auto"/>
          <w:sz w:val="28"/>
          <w:szCs w:val="21"/>
          <w:highlight w:val="none"/>
          <w:lang w:val="en-US" w:eastAsia="zh-CN" w:bidi="ar-SA"/>
        </w:rPr>
        <w:t xml:space="preserve">（非残疾人福利性单位可以不提供）</w:t>
      </w:r>
      <w:bookmarkEnd w:id="60"/>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项目编号：</w:t>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sz w:val="24"/>
          <w:szCs w:val="21"/>
          <w:highlight w:val="none"/>
          <w:lang w:val="en-US" w:eastAsia="zh-CN" w:bidi="ar-SA"/>
        </w:rPr>
        <w:t xml:space="preserve">本单位郑重声明，根据《财政部民政部中国残疾人联合会关于促进残疾人就业政府采购政策的通知》（财库</w:t>
      </w:r>
      <w:r>
        <w:rPr>
          <w:rFonts w:hint="eastAsia" w:ascii="黑体" w:hAnsi="黑体" w:eastAsia="黑体" w:cs="黑体"/>
          <w:color w:val="auto"/>
          <w:sz w:val="24"/>
          <w:szCs w:val="21"/>
          <w:highlight w:val="none"/>
          <w:lang w:val="en-US" w:eastAsia="zh-CN" w:bidi="ar-SA"/>
        </w:rPr>
        <w:t xml:space="preserve">〔2017〕141</w:t>
      </w:r>
      <w:r>
        <w:rPr>
          <w:rFonts w:hint="eastAsia" w:ascii="黑体" w:hAnsi="黑体" w:eastAsia="黑体" w:cs="黑体"/>
          <w:color w:val="auto"/>
          <w:spacing w:val="6"/>
          <w:sz w:val="24"/>
          <w:szCs w:val="21"/>
          <w:highlight w:val="none"/>
          <w:lang w:val="en-US" w:eastAsia="zh-CN" w:bidi="ar-SA"/>
        </w:rPr>
        <w:t xml:space="preserve">号）的规定，本单位为符合条件的残疾人福利性单位，且本单位参加</w:t>
      </w:r>
      <w:r>
        <w:rPr>
          <w:rFonts w:hint="eastAsia" w:ascii="黑体" w:hAnsi="黑体" w:eastAsia="黑体" w:cs="黑体"/>
          <w:color w:val="auto"/>
          <w:sz w:val="24"/>
          <w:szCs w:val="21"/>
          <w:highlight w:val="none"/>
          <w:lang w:val="en-US" w:eastAsia="zh-CN" w:bidi="ar-SA"/>
        </w:rPr>
        <w:t xml:space="preserve">______</w:t>
      </w:r>
      <w:r>
        <w:rPr>
          <w:rFonts w:hint="eastAsia" w:ascii="黑体" w:hAnsi="黑体" w:eastAsia="黑体" w:cs="黑体"/>
          <w:color w:val="auto"/>
          <w:spacing w:val="6"/>
          <w:sz w:val="24"/>
          <w:szCs w:val="21"/>
          <w:highlight w:val="none"/>
          <w:lang w:val="en-US" w:eastAsia="zh-CN" w:bidi="ar-SA"/>
        </w:rPr>
        <w:t xml:space="preserve">单位的</w:t>
      </w:r>
      <w:r>
        <w:rPr>
          <w:rFonts w:hint="eastAsia" w:ascii="黑体" w:hAnsi="黑体" w:eastAsia="黑体" w:cs="黑体"/>
          <w:color w:val="auto"/>
          <w:sz w:val="24"/>
          <w:szCs w:val="21"/>
          <w:highlight w:val="none"/>
          <w:lang w:val="en-US" w:eastAsia="zh-CN" w:bidi="ar-SA"/>
        </w:rPr>
        <w:t xml:space="preserve">______</w:t>
      </w:r>
      <w:r>
        <w:rPr>
          <w:rFonts w:hint="eastAsia" w:ascii="黑体" w:hAnsi="黑体" w:eastAsia="黑体" w:cs="黑体"/>
          <w:color w:val="auto"/>
          <w:spacing w:val="6"/>
          <w:sz w:val="24"/>
          <w:szCs w:val="21"/>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sz w:val="24"/>
          <w:szCs w:val="21"/>
          <w:highlight w:val="none"/>
          <w:lang w:val="en-US" w:eastAsia="zh-CN" w:bidi="ar-SA"/>
        </w:rPr>
        <w:t xml:space="preserve">本单位对上述声明的真实性负责。如有虚假，将依法承担相应责任。</w:t>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highlight w:val="none"/>
          <w:lang w:val="en-US" w:eastAsia="zh-CN" w:bidi="ar-SA"/>
        </w:rPr>
      </w:r>
      <w:r/>
    </w:p>
    <w:p>
      <w:pPr>
        <w:ind w:firstLine="504"/>
        <w:jc w:val="left"/>
        <w:spacing w:line="360" w:lineRule="auto"/>
        <w:widowControl w:val="off"/>
        <w:rPr>
          <w:rFonts w:hint="eastAsia" w:ascii="黑体" w:hAnsi="黑体" w:eastAsia="黑体" w:cs="黑体"/>
          <w:color w:val="auto"/>
          <w:spacing w:val="6"/>
          <w:highlight w:val="none"/>
          <w:lang w:val="en-US" w:eastAsia="zh-CN" w:bidi="ar-SA"/>
        </w:rPr>
      </w:pPr>
      <w:r>
        <w:rPr>
          <w:rFonts w:hint="eastAsia" w:ascii="黑体" w:hAnsi="黑体" w:eastAsia="黑体" w:cs="黑体"/>
          <w:color w:val="auto"/>
          <w:spacing w:val="6"/>
          <w:highlight w:val="none"/>
          <w:lang w:val="en-US" w:eastAsia="zh-CN" w:bidi="ar-SA"/>
        </w:rPr>
      </w:r>
      <w:r/>
    </w:p>
    <w:p>
      <w:pPr>
        <w:ind w:firstLine="456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480"/>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                                  日期：  </w:t>
      </w:r>
      <w:r/>
    </w:p>
    <w:p>
      <w:pPr>
        <w:jc w:val="center"/>
        <w:spacing w:line="360" w:lineRule="auto"/>
        <w:widowControl w:val="off"/>
        <w:rPr>
          <w:rFonts w:hint="eastAsia" w:ascii="黑体" w:hAnsi="黑体" w:eastAsia="黑体" w:cs="黑体"/>
          <w:color w:val="auto"/>
          <w:szCs w:val="24"/>
          <w:highlight w:val="none"/>
        </w:rPr>
        <w:sectPr>
          <w:footerReference w:type="default" r:id="rId16"/>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color w:val="auto"/>
          <w:szCs w:val="24"/>
          <w:highlight w:val="none"/>
        </w:rPr>
      </w:r>
      <w:r/>
    </w:p>
    <w:p>
      <w:pPr>
        <w:jc w:val="center"/>
        <w:keepLines w:val="0"/>
        <w:keepNext w:val="0"/>
        <w:spacing w:before="0" w:after="0" w:line="360" w:lineRule="auto"/>
        <w:widowControl w:val="off"/>
        <w:rPr>
          <w:rFonts w:hint="eastAsia" w:ascii="黑体" w:hAnsi="黑体" w:eastAsia="黑体" w:cs="黑体"/>
          <w:b/>
          <w:bCs/>
          <w:color w:val="auto"/>
          <w:sz w:val="28"/>
          <w:szCs w:val="32"/>
          <w:highlight w:val="none"/>
          <w:lang w:val="en-US" w:eastAsia="zh-CN" w:bidi="ar-SA"/>
        </w:rPr>
        <w:outlineLvl w:val="1"/>
      </w:pPr>
      <w:r/>
      <w:bookmarkStart w:id="62" w:name="_Toc31412"/>
      <w:r/>
      <w:bookmarkStart w:id="63" w:name="_Toc5658"/>
      <w:r/>
      <w:bookmarkStart w:id="64" w:name="_Toc80122309"/>
      <w:r>
        <w:rPr>
          <w:rFonts w:hint="eastAsia" w:ascii="黑体" w:hAnsi="黑体" w:eastAsia="黑体" w:cs="黑体"/>
          <w:b/>
          <w:bCs/>
          <w:color w:val="auto"/>
          <w:sz w:val="28"/>
          <w:szCs w:val="21"/>
          <w:highlight w:val="none"/>
          <w:lang w:val="en-US" w:eastAsia="zh-CN" w:bidi="ar-SA"/>
        </w:rPr>
        <w:t xml:space="preserve">九、供应商参加政府采购活动前三年内在经营活动中没有重大违法记录的书面声明</w:t>
      </w:r>
      <w:bookmarkEnd w:id="62"/>
      <w:r/>
      <w:bookmarkEnd w:id="63"/>
      <w:r/>
      <w:bookmarkEnd w:id="64"/>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ind w:left="0" w:right="0" w:firstLine="720"/>
        <w:jc w:val="both"/>
        <w:spacing w:before="0" w:after="0" w:line="360" w:lineRule="auto"/>
        <w:widowControl/>
        <w:rPr>
          <w:rFonts w:hint="eastAsia" w:ascii="黑体" w:hAnsi="黑体" w:eastAsia="黑体" w:cs="黑体"/>
          <w:color w:val="auto"/>
          <w:szCs w:val="21"/>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1"/>
          <w:highlight w:val="none"/>
        </w:rPr>
        <w:t xml:space="preserve">我单位在参加</w:t>
      </w:r>
      <w:r>
        <w:rPr>
          <w:rFonts w:hint="eastAsia" w:ascii="黑体" w:hAnsi="黑体" w:eastAsia="黑体" w:cs="黑体"/>
          <w:color w:val="auto"/>
          <w:sz w:val="24"/>
          <w:szCs w:val="21"/>
          <w:highlight w:val="none"/>
          <w:u w:val="single"/>
        </w:rPr>
        <w:t xml:space="preserve"> </w:t>
      </w:r>
      <w:r>
        <w:rPr>
          <w:rFonts w:hint="eastAsia" w:ascii="黑体" w:hAnsi="黑体" w:eastAsia="黑体" w:cs="黑体"/>
          <w:color w:val="auto"/>
          <w:sz w:val="24"/>
          <w:szCs w:val="21"/>
          <w:highlight w:val="none"/>
          <w:u w:val="single"/>
          <w:lang w:eastAsia="zh-CN"/>
        </w:rPr>
        <w:t xml:space="preserve">徐州国防教育馆改造提升项目</w:t>
      </w:r>
      <w:r>
        <w:rPr>
          <w:rFonts w:hint="eastAsia" w:ascii="黑体" w:hAnsi="黑体" w:eastAsia="黑体" w:cs="黑体"/>
          <w:color w:val="auto"/>
          <w:sz w:val="24"/>
          <w:szCs w:val="21"/>
          <w:highlight w:val="none"/>
          <w:u w:val="single"/>
        </w:rPr>
        <w:t xml:space="preserve"> </w:t>
      </w:r>
      <w:r>
        <w:rPr>
          <w:rFonts w:hint="eastAsia" w:ascii="黑体" w:hAnsi="黑体" w:eastAsia="黑体" w:cs="黑体"/>
          <w:color w:val="auto"/>
          <w:sz w:val="24"/>
          <w:szCs w:val="21"/>
          <w:highlight w:val="none"/>
        </w:rPr>
        <w:t xml:space="preserve">[项目编号：</w:t>
      </w:r>
      <w:r>
        <w:rPr>
          <w:rFonts w:hint="eastAsia" w:ascii="黑体" w:hAnsi="黑体" w:eastAsia="黑体" w:cs="黑体"/>
          <w:color w:val="auto"/>
          <w:sz w:val="24"/>
          <w:szCs w:val="21"/>
          <w:highlight w:val="none"/>
          <w:lang w:eastAsia="zh-CN"/>
        </w:rPr>
        <w:t xml:space="preserve">JSZC-320300-ZBZJ-C2026-0003</w:t>
      </w:r>
      <w:r>
        <w:rPr>
          <w:rFonts w:hint="eastAsia" w:ascii="黑体" w:hAnsi="黑体" w:eastAsia="黑体" w:cs="黑体"/>
          <w:color w:val="auto"/>
          <w:sz w:val="24"/>
          <w:szCs w:val="21"/>
          <w:highlight w:val="none"/>
        </w:rPr>
        <w:t xml:space="preserve"> ]政府采购活动前三年内在经营活动中没有重大违法记录。重大违法记录是指因违法经营受到刑事处罚或者责令停产停业、吊销许可证或者执照、较大数额罚款等行政处罚。</w:t>
      </w:r>
      <w:r/>
    </w:p>
    <w:p>
      <w:pPr>
        <w:ind w:firstLine="72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我单位对上述声明的真实性负责。如有虚假，将依法承担相应责任。</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jc w:val="left"/>
        <w:spacing w:line="360" w:lineRule="auto"/>
        <w:widowControl w:val="off"/>
        <w:rPr>
          <w:rFonts w:hint="eastAsia" w:ascii="黑体" w:hAnsi="黑体" w:eastAsia="黑体" w:cs="黑体"/>
          <w:color w:val="auto"/>
          <w:sz w:val="24"/>
          <w:highlight w:val="none"/>
          <w:lang w:val="en-US" w:eastAsia="zh-CN" w:bidi="ar-SA"/>
        </w:rPr>
      </w:pPr>
      <w:r>
        <w:rPr>
          <w:rFonts w:hint="eastAsia" w:ascii="黑体" w:hAnsi="黑体" w:eastAsia="黑体" w:cs="黑体"/>
          <w:color w:val="auto"/>
          <w:sz w:val="24"/>
          <w:szCs w:val="21"/>
          <w:highlight w:val="none"/>
          <w:lang w:val="en-US" w:eastAsia="zh-CN" w:bidi="ar-SA"/>
        </w:rPr>
        <w:t xml:space="preserve">                           日期： </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highlight w:val="none"/>
          <w:lang w:val="en-US" w:eastAsia="zh-CN" w:bidi="ar-SA"/>
        </w:rPr>
      </w:r>
      <w:r/>
    </w:p>
    <w:p>
      <w:pPr>
        <w:jc w:val="center"/>
        <w:keepLines w:val="0"/>
        <w:keepNext w:val="0"/>
        <w:spacing w:before="0" w:after="0" w:line="360" w:lineRule="auto"/>
        <w:widowControl w:val="off"/>
        <w:rPr>
          <w:rFonts w:hint="eastAsia" w:ascii="黑体" w:hAnsi="黑体" w:eastAsia="黑体" w:cs="黑体"/>
          <w:b/>
          <w:bCs/>
          <w:color w:val="auto"/>
          <w:sz w:val="28"/>
          <w:szCs w:val="32"/>
          <w:highlight w:val="none"/>
          <w:lang w:val="en-US" w:eastAsia="zh-CN" w:bidi="ar-SA"/>
        </w:rPr>
        <w:outlineLvl w:val="1"/>
      </w:pPr>
      <w:r>
        <w:rPr>
          <w:rFonts w:hint="eastAsia" w:ascii="黑体" w:hAnsi="黑体" w:eastAsia="黑体" w:cs="黑体"/>
          <w:b/>
          <w:bCs/>
          <w:color w:val="auto"/>
          <w:sz w:val="28"/>
          <w:szCs w:val="28"/>
          <w:highlight w:val="none"/>
          <w:lang w:val="en-US" w:eastAsia="zh-CN" w:bidi="ar-SA"/>
        </w:rPr>
        <w:br w:type="page" w:clear="all"/>
      </w:r>
      <w:bookmarkStart w:id="65" w:name="_Toc7334"/>
      <w:r/>
      <w:bookmarkStart w:id="66" w:name="_Toc23037"/>
      <w:r/>
      <w:bookmarkStart w:id="67" w:name="_Toc80122310"/>
      <w:r>
        <w:rPr>
          <w:rFonts w:hint="eastAsia" w:ascii="黑体" w:hAnsi="黑体" w:eastAsia="黑体" w:cs="黑体"/>
          <w:b/>
          <w:bCs/>
          <w:color w:val="auto"/>
          <w:sz w:val="28"/>
          <w:szCs w:val="21"/>
          <w:highlight w:val="none"/>
          <w:lang w:val="en-US" w:eastAsia="zh-CN" w:bidi="ar-SA"/>
        </w:rPr>
        <w:t xml:space="preserve">十、具备履行合同所必需的设备和专业技术能力的书面声明</w:t>
      </w:r>
      <w:bookmarkEnd w:id="65"/>
      <w:r/>
      <w:bookmarkEnd w:id="66"/>
      <w:r/>
      <w:r/>
    </w:p>
    <w:p>
      <w:pPr>
        <w:jc w:val="center"/>
        <w:keepLines w:val="0"/>
        <w:keepNext w:val="0"/>
        <w:spacing w:before="0" w:after="0" w:line="360" w:lineRule="auto"/>
        <w:widowControl w:val="off"/>
        <w:rPr>
          <w:rFonts w:hint="eastAsia" w:ascii="黑体" w:hAnsi="黑体" w:eastAsia="黑体" w:cs="黑体"/>
          <w:b/>
          <w:bCs/>
          <w:color w:val="auto"/>
          <w:sz w:val="28"/>
          <w:szCs w:val="28"/>
          <w:highlight w:val="none"/>
          <w:lang w:val="en-US" w:eastAsia="zh-CN" w:bidi="ar-SA"/>
        </w:rPr>
        <w:outlineLvl w:val="9"/>
      </w:pPr>
      <w:r/>
      <w:bookmarkStart w:id="68" w:name="_Toc28074"/>
      <w:r/>
      <w:bookmarkStart w:id="69" w:name="_Toc19685"/>
      <w:r>
        <w:rPr>
          <w:rFonts w:hint="eastAsia" w:ascii="黑体" w:hAnsi="黑体" w:eastAsia="黑体" w:cs="黑体"/>
          <w:b/>
          <w:bCs/>
          <w:color w:val="auto"/>
          <w:sz w:val="28"/>
          <w:szCs w:val="21"/>
          <w:highlight w:val="none"/>
          <w:lang w:val="en-US" w:eastAsia="zh-CN" w:bidi="ar-SA"/>
        </w:rPr>
        <w:t xml:space="preserve">（附证明材料复印件）</w:t>
      </w:r>
      <w:bookmarkEnd w:id="67"/>
      <w:r/>
      <w:bookmarkEnd w:id="68"/>
      <w:r/>
      <w:bookmarkEnd w:id="69"/>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项目名称：</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项目编号：</w:t>
      </w:r>
      <w:r/>
    </w:p>
    <w:p>
      <w:pPr>
        <w:ind w:firstLine="48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供应商郑重声明：供应商具备履行合同（项目名称</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，项目编号：所必需的设备和专业技术能力，具体为：</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设备：</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1、 </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  </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专业技术能力：</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1、</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2、</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3、</w:t>
      </w:r>
      <w:r>
        <w:rPr>
          <w:rFonts w:hint="eastAsia" w:ascii="黑体" w:hAnsi="黑体" w:eastAsia="黑体" w:cs="黑体"/>
          <w:color w:val="auto"/>
          <w:sz w:val="24"/>
          <w:szCs w:val="21"/>
          <w:highlight w:val="none"/>
          <w:u w:val="single"/>
          <w:lang w:val="en-US" w:eastAsia="zh-CN" w:bidi="ar-SA"/>
        </w:rPr>
        <w:t xml:space="preserve">                          </w:t>
      </w:r>
      <w:r>
        <w:rPr>
          <w:rFonts w:hint="eastAsia" w:ascii="黑体" w:hAnsi="黑体" w:eastAsia="黑体" w:cs="黑体"/>
          <w:color w:val="auto"/>
          <w:sz w:val="24"/>
          <w:szCs w:val="21"/>
          <w:highlight w:val="none"/>
          <w:lang w:val="en-US" w:eastAsia="zh-CN" w:bidi="ar-SA"/>
        </w:rPr>
        <w:t xml:space="preserve"> （证明材料复印件附后）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特此声明。</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供应商人对上述声明的真实性负责。如有虚假，将依法承担相应责任。</w:t>
      </w:r>
      <w:r/>
    </w:p>
    <w:p>
      <w:pPr>
        <w:ind w:firstLine="972"/>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600"/>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供应商（</w:t>
      </w:r>
      <w:r>
        <w:rPr>
          <w:rFonts w:hint="eastAsia" w:ascii="黑体" w:hAnsi="黑体" w:eastAsia="黑体" w:cs="黑体"/>
          <w:color w:val="auto"/>
          <w:sz w:val="24"/>
          <w:szCs w:val="24"/>
          <w:highlight w:val="none"/>
          <w:lang w:val="en-US" w:eastAsia="zh-CN" w:bidi="ar-SA"/>
        </w:rPr>
        <w:t xml:space="preserve">电子签章</w:t>
      </w:r>
      <w:r>
        <w:rPr>
          <w:rFonts w:hint="eastAsia" w:ascii="黑体" w:hAnsi="黑体" w:eastAsia="黑体" w:cs="黑体"/>
          <w:color w:val="auto"/>
          <w:sz w:val="24"/>
          <w:szCs w:val="21"/>
          <w:highlight w:val="none"/>
          <w:lang w:val="en-US" w:eastAsia="zh-CN" w:bidi="ar-SA"/>
        </w:rPr>
        <w:t xml:space="preserve">）：</w:t>
      </w:r>
      <w:r/>
    </w:p>
    <w:p>
      <w:pPr>
        <w:jc w:val="left"/>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                              </w:t>
      </w:r>
      <w:r/>
    </w:p>
    <w:p>
      <w:pPr>
        <w:ind w:firstLine="3600"/>
        <w:jc w:val="both"/>
        <w:spacing w:line="360" w:lineRule="auto"/>
        <w:widowControl w:val="off"/>
        <w:rPr>
          <w:rFonts w:hint="eastAsia" w:ascii="黑体" w:hAnsi="黑体" w:eastAsia="黑体" w:cs="黑体"/>
          <w:color w:val="auto"/>
          <w:highlight w:val="none"/>
          <w:lang w:val="en-US" w:eastAsia="zh-CN" w:bidi="ar-SA"/>
        </w:rPr>
      </w:pPr>
      <w:r>
        <w:rPr>
          <w:rFonts w:hint="eastAsia" w:ascii="黑体" w:hAnsi="黑体" w:eastAsia="黑体" w:cs="黑体"/>
          <w:color w:val="auto"/>
          <w:sz w:val="24"/>
          <w:szCs w:val="21"/>
          <w:highlight w:val="none"/>
          <w:lang w:val="en-US" w:eastAsia="zh-CN" w:bidi="ar-SA"/>
        </w:rPr>
        <w:t xml:space="preserve">日期：</w:t>
      </w:r>
      <w:r/>
    </w:p>
    <w:p>
      <w:pPr>
        <w:jc w:val="center"/>
        <w:spacing w:line="360" w:lineRule="auto"/>
        <w:widowControl w:val="off"/>
        <w:rPr>
          <w:rFonts w:hint="eastAsia" w:ascii="黑体" w:hAnsi="黑体" w:eastAsia="黑体" w:cs="黑体"/>
          <w:color w:val="auto"/>
          <w:sz w:val="28"/>
          <w:szCs w:val="28"/>
          <w:highlight w:val="none"/>
          <w:lang w:val="en-US" w:eastAsia="zh-CN" w:bidi="ar-SA"/>
        </w:rPr>
      </w:pPr>
      <w:r>
        <w:rPr>
          <w:rFonts w:hint="eastAsia" w:ascii="黑体" w:hAnsi="黑体" w:eastAsia="黑体" w:cs="黑体"/>
          <w:color w:val="auto"/>
          <w:sz w:val="28"/>
          <w:szCs w:val="28"/>
          <w:highlight w:val="none"/>
          <w:lang w:val="en-US" w:eastAsia="zh-CN" w:bidi="ar-SA"/>
        </w:rPr>
      </w:r>
      <w:r/>
    </w:p>
    <w:p>
      <w:pPr>
        <w:jc w:val="center"/>
        <w:keepLines w:val="0"/>
        <w:keepNext w:val="0"/>
        <w:spacing w:before="260" w:after="260" w:line="360" w:lineRule="auto"/>
        <w:widowControl w:val="off"/>
        <w:rPr>
          <w:rFonts w:hint="eastAsia" w:ascii="黑体" w:hAnsi="黑体" w:eastAsia="黑体" w:cs="黑体"/>
          <w:b/>
          <w:bCs/>
          <w:color w:val="auto"/>
          <w:sz w:val="28"/>
          <w:szCs w:val="32"/>
          <w:highlight w:val="none"/>
          <w:lang w:val="en-US" w:eastAsia="zh-CN" w:bidi="ar-SA"/>
        </w:rPr>
        <w:outlineLvl w:val="9"/>
      </w:pPr>
      <w:r/>
      <w:bookmarkStart w:id="70" w:name="_Toc80122311"/>
      <w:r>
        <w:rPr>
          <w:rFonts w:hint="eastAsia" w:ascii="黑体" w:hAnsi="黑体" w:eastAsia="黑体" w:cs="黑体"/>
          <w:b/>
          <w:bCs/>
          <w:color w:val="auto"/>
          <w:sz w:val="28"/>
          <w:szCs w:val="21"/>
          <w:highlight w:val="none"/>
          <w:lang w:val="en-US" w:eastAsia="zh-CN" w:bidi="ar-SA"/>
        </w:rPr>
        <w:t xml:space="preserve">       </w:t>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黑体" w:hAnsi="黑体" w:eastAsia="黑体" w:cs="黑体"/>
          <w:color w:val="auto"/>
          <w:sz w:val="28"/>
          <w:szCs w:val="21"/>
          <w:highlight w:val="none"/>
          <w:lang w:val="en-US" w:eastAsia="zh-CN" w:bidi="ar-SA"/>
        </w:rPr>
        <w:br w:type="page" w:clear="all"/>
      </w:r>
      <w:bookmarkStart w:id="71" w:name="_Toc30792"/>
      <w:r/>
      <w:bookmarkStart w:id="72" w:name="_Toc6127"/>
      <w:r>
        <w:rPr>
          <w:rFonts w:hint="eastAsia" w:ascii="黑体" w:hAnsi="黑体" w:eastAsia="黑体" w:cs="黑体"/>
          <w:b/>
          <w:bCs/>
          <w:color w:val="auto"/>
          <w:sz w:val="28"/>
          <w:szCs w:val="21"/>
          <w:highlight w:val="none"/>
          <w:lang w:val="en-US" w:eastAsia="zh-CN" w:bidi="ar-SA"/>
        </w:rPr>
        <w:t xml:space="preserve">十</w:t>
      </w:r>
      <w:bookmarkEnd w:id="70"/>
      <w:r/>
      <w:bookmarkStart w:id="73" w:name="_Toc80122313"/>
      <w:r>
        <w:rPr>
          <w:rFonts w:hint="eastAsia" w:ascii="黑体" w:hAnsi="黑体" w:eastAsia="黑体" w:cs="黑体"/>
          <w:b/>
          <w:bCs/>
          <w:color w:val="auto"/>
          <w:sz w:val="28"/>
          <w:szCs w:val="21"/>
          <w:highlight w:val="none"/>
          <w:lang w:val="en-US" w:eastAsia="zh-CN" w:bidi="ar-SA"/>
        </w:rPr>
        <w:t xml:space="preserve">一、</w:t>
      </w:r>
      <w:r>
        <w:rPr>
          <w:rFonts w:hint="eastAsia" w:ascii="宋体" w:hAnsi="宋体" w:eastAsia="宋体" w:cs="宋体"/>
          <w:b/>
          <w:bCs/>
          <w:color w:val="auto"/>
          <w:sz w:val="28"/>
          <w:szCs w:val="28"/>
          <w:highlight w:val="none"/>
          <w:lang w:val="en-US" w:eastAsia="zh-CN"/>
        </w:rPr>
        <w:t xml:space="preserve">《供应商承诺函》</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项目名称：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项目编号：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我单位承诺：</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1、如有参与同一合同项下政府采购活动的投标人与我单位存在负责人为同一人的情况或者存在直接控股、管理关系，我单位不再参加该同一合同项下的政府采购活动。</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2、我单位不是为本采购项目提供整体设计、规范编制或者项目管理、监理、检测等服务的供应商。</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3、我单位无联合体参与招标活动。</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我单位对上述承诺负责，如有虚假，将依法承担相应责任。</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787"/>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投标人：     （盖电子签章）</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  日期：   年  月  日</w:t>
      </w:r>
      <w:r/>
    </w:p>
    <w:p>
      <w:pPr>
        <w:rPr>
          <w:rFonts w:hint="eastAsia" w:ascii="黑体" w:hAnsi="黑体" w:eastAsia="黑体" w:cs="黑体"/>
          <w:b/>
          <w:bCs/>
          <w:color w:val="auto"/>
          <w:sz w:val="28"/>
          <w:szCs w:val="21"/>
          <w:highlight w:val="none"/>
          <w:lang w:val="en-US" w:eastAsia="zh-CN" w:bidi="ar-SA"/>
        </w:rPr>
      </w:pPr>
      <w:r>
        <w:rPr>
          <w:rFonts w:hint="eastAsia" w:ascii="黑体" w:hAnsi="黑体" w:eastAsia="黑体" w:cs="黑体"/>
          <w:b/>
          <w:bCs/>
          <w:color w:val="auto"/>
          <w:sz w:val="28"/>
          <w:szCs w:val="21"/>
          <w:highlight w:val="none"/>
          <w:lang w:val="en-US" w:eastAsia="zh-CN" w:bidi="ar-SA"/>
        </w:rPr>
        <w:br w:type="page" w:clear="all"/>
      </w:r>
      <w:r/>
    </w:p>
    <w:p>
      <w:pPr>
        <w:jc w:val="center"/>
        <w:spacing w:line="360" w:lineRule="auto"/>
        <w:widowControl w:val="off"/>
        <w:rPr>
          <w:rFonts w:hint="eastAsia" w:ascii="黑体" w:hAnsi="黑体" w:eastAsia="黑体" w:cs="黑体"/>
          <w:color w:val="auto"/>
          <w:sz w:val="28"/>
          <w:highlight w:val="none"/>
          <w:lang w:val="en-US" w:eastAsia="zh-CN" w:bidi="ar-SA"/>
        </w:rPr>
        <w:outlineLvl w:val="1"/>
      </w:pPr>
      <w:r>
        <w:rPr>
          <w:rFonts w:hint="eastAsia" w:ascii="黑体" w:hAnsi="黑体" w:eastAsia="黑体" w:cs="黑体"/>
          <w:b/>
          <w:bCs/>
          <w:color w:val="auto"/>
          <w:sz w:val="28"/>
          <w:szCs w:val="21"/>
          <w:highlight w:val="none"/>
          <w:lang w:val="en-US" w:eastAsia="zh-CN" w:bidi="ar-SA"/>
        </w:rPr>
        <w:t xml:space="preserve">十二、响应文件编制及评分细则要求提供的其他资料</w:t>
      </w:r>
      <w:bookmarkEnd w:id="71"/>
      <w:r/>
      <w:bookmarkEnd w:id="72"/>
      <w:r/>
      <w:bookmarkEnd w:id="73"/>
      <w:r/>
      <w:r/>
    </w:p>
    <w:p>
      <w:pPr>
        <w:jc w:val="center"/>
        <w:spacing w:line="360" w:lineRule="auto"/>
        <w:widowControl w:val="off"/>
        <w:rPr>
          <w:rFonts w:hint="eastAsia" w:ascii="黑体" w:hAnsi="黑体" w:eastAsia="黑体" w:cs="黑体"/>
          <w:color w:val="auto"/>
          <w:sz w:val="28"/>
          <w:highlight w:val="none"/>
          <w:lang w:val="en-US" w:eastAsia="zh-CN" w:bidi="ar-SA"/>
        </w:rPr>
      </w:pPr>
      <w:r/>
      <w:bookmarkStart w:id="74" w:name="_Toc80122314"/>
      <w:r>
        <w:rPr>
          <w:rFonts w:hint="eastAsia" w:ascii="黑体" w:hAnsi="黑体" w:eastAsia="黑体" w:cs="黑体"/>
          <w:color w:val="auto"/>
          <w:sz w:val="28"/>
          <w:szCs w:val="21"/>
          <w:highlight w:val="none"/>
          <w:lang w:val="en-US" w:eastAsia="zh-CN" w:bidi="ar-SA"/>
        </w:rPr>
        <w:t xml:space="preserve">（格式自拟）</w:t>
      </w:r>
      <w:r/>
    </w:p>
    <w:p>
      <w:pPr>
        <w:ind w:firstLine="2800"/>
        <w:jc w:val="left"/>
        <w:spacing w:line="360" w:lineRule="auto"/>
        <w:widowControl w:val="off"/>
        <w:rPr>
          <w:rFonts w:hint="eastAsia" w:ascii="黑体" w:hAnsi="黑体" w:eastAsia="黑体" w:cs="黑体"/>
          <w:color w:val="auto"/>
          <w:sz w:val="28"/>
          <w:highlight w:val="none"/>
          <w:lang w:val="en-US" w:eastAsia="zh-CN" w:bidi="ar-SA"/>
        </w:rPr>
        <w:outlineLvl w:val="1"/>
      </w:pPr>
      <w:r/>
      <w:bookmarkStart w:id="75" w:name="_Toc27950"/>
      <w:r/>
      <w:bookmarkStart w:id="76" w:name="_Toc15649"/>
      <w:r>
        <w:rPr>
          <w:rFonts w:hint="eastAsia" w:ascii="黑体" w:hAnsi="黑体" w:eastAsia="黑体" w:cs="黑体"/>
          <w:b/>
          <w:bCs/>
          <w:color w:val="auto"/>
          <w:sz w:val="28"/>
          <w:szCs w:val="21"/>
          <w:highlight w:val="none"/>
          <w:lang w:val="en-US" w:eastAsia="zh-CN" w:bidi="ar-SA"/>
        </w:rPr>
        <w:t xml:space="preserve">十三、预付款保函支付条款模板</w:t>
      </w:r>
      <w:bookmarkEnd w:id="74"/>
      <w:r/>
      <w:bookmarkEnd w:id="75"/>
      <w:r/>
      <w:bookmarkEnd w:id="76"/>
      <w:r/>
      <w:r/>
    </w:p>
    <w:p>
      <w:pPr>
        <w:jc w:val="left"/>
        <w:spacing w:line="360" w:lineRule="auto"/>
        <w:widowControl w:val="off"/>
        <w:rPr>
          <w:rFonts w:hint="eastAsia" w:ascii="黑体" w:hAnsi="黑体" w:eastAsia="黑体" w:cs="黑体"/>
          <w:b/>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符合条件一：提交预付款保函的</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（1）合同签订且乙方向甲方出具预付款保函后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乙方需提交的支付文件：乙方出具的全额正式发票。</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（2）验收合格后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 。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 </w:t>
      </w:r>
      <w:r/>
    </w:p>
    <w:p>
      <w:pPr>
        <w:jc w:val="left"/>
        <w:spacing w:line="360" w:lineRule="auto"/>
        <w:widowControl w:val="off"/>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符合条件二：不提交预付款保函的</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（1）合同签订后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乙方需提交的支付文件：乙方出具的全额正式发票。</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（2）验收合格后</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个工作日内，甲方应支付合同价款的百分之</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%），小写￥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大写：</w:t>
      </w:r>
      <w:r>
        <w:rPr>
          <w:rFonts w:hint="eastAsia" w:ascii="黑体" w:hAnsi="黑体" w:eastAsia="黑体" w:cs="黑体"/>
          <w:color w:val="auto"/>
          <w:sz w:val="24"/>
          <w:szCs w:val="24"/>
          <w:highlight w:val="none"/>
          <w:u w:val="single"/>
          <w:lang w:val="en-US" w:eastAsia="zh-CN" w:bidi="ar-SA"/>
        </w:rPr>
        <w:t xml:space="preserve">   </w:t>
      </w:r>
      <w:r>
        <w:rPr>
          <w:rFonts w:hint="eastAsia" w:ascii="黑体" w:hAnsi="黑体" w:eastAsia="黑体" w:cs="黑体"/>
          <w:color w:val="auto"/>
          <w:sz w:val="24"/>
          <w:szCs w:val="24"/>
          <w:highlight w:val="none"/>
          <w:lang w:val="en-US" w:eastAsia="zh-CN" w:bidi="ar-SA"/>
        </w:rPr>
        <w:t xml:space="preserve">人民币。</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 </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1、付款条件一中，出具预付款保函后支付的合同款应当与保函金额一致。</w:t>
      </w:r>
      <w:r/>
    </w:p>
    <w:p>
      <w:pPr>
        <w:ind w:firstLine="480"/>
        <w:jc w:val="left"/>
        <w:spacing w:line="360" w:lineRule="auto"/>
        <w:widowControl w:val="off"/>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firstLine="643"/>
        <w:jc w:val="center"/>
        <w:spacing w:line="360" w:lineRule="auto"/>
        <w:widowControl w:val="off"/>
        <w:rPr>
          <w:rFonts w:hint="eastAsia" w:ascii="黑体" w:hAnsi="黑体" w:eastAsia="黑体" w:cs="黑体"/>
          <w:color w:val="auto"/>
          <w:sz w:val="28"/>
          <w:highlight w:val="none"/>
          <w:lang w:val="en-US" w:eastAsia="zh-CN" w:bidi="ar-SA"/>
        </w:rPr>
        <w:outlineLvl w:val="0"/>
      </w:pPr>
      <w:r>
        <w:rPr>
          <w:rFonts w:hint="eastAsia" w:ascii="黑体" w:hAnsi="黑体" w:eastAsia="黑体" w:cs="黑体"/>
          <w:b/>
          <w:color w:val="auto"/>
          <w:sz w:val="32"/>
          <w:szCs w:val="21"/>
          <w:highlight w:val="none"/>
          <w:lang w:val="en-US" w:eastAsia="zh-CN" w:bidi="ar-SA"/>
        </w:rPr>
        <w:br w:type="page" w:clear="all"/>
      </w:r>
      <w:bookmarkStart w:id="77" w:name="_Toc11596"/>
      <w:r/>
      <w:bookmarkStart w:id="78" w:name="_Toc80122315"/>
      <w:r/>
      <w:bookmarkStart w:id="79" w:name="_Toc21208"/>
      <w:r>
        <w:rPr>
          <w:rFonts w:hint="eastAsia" w:ascii="黑体" w:hAnsi="黑体" w:eastAsia="黑体" w:cs="黑体"/>
          <w:b/>
          <w:bCs/>
          <w:color w:val="auto"/>
          <w:sz w:val="28"/>
          <w:szCs w:val="21"/>
          <w:highlight w:val="none"/>
          <w:lang w:val="en-US" w:eastAsia="zh-CN" w:bidi="ar-SA"/>
        </w:rPr>
        <w:t xml:space="preserve">第十章</w:t>
      </w:r>
      <w:bookmarkStart w:id="80" w:name="_Hlk77698623"/>
      <w:r>
        <w:rPr>
          <w:rFonts w:hint="eastAsia" w:ascii="黑体" w:hAnsi="黑体" w:eastAsia="黑体" w:cs="黑体"/>
          <w:b/>
          <w:bCs/>
          <w:color w:val="auto"/>
          <w:sz w:val="28"/>
          <w:szCs w:val="21"/>
          <w:highlight w:val="none"/>
          <w:lang w:val="en-US" w:eastAsia="zh-CN" w:bidi="ar-SA"/>
        </w:rPr>
        <w:t xml:space="preserve"> 拟签订的合同文本</w:t>
      </w:r>
      <w:bookmarkEnd w:id="77"/>
      <w:r/>
      <w:bookmarkEnd w:id="78"/>
      <w:r/>
      <w:bookmarkEnd w:id="79"/>
      <w:r/>
      <w:bookmarkEnd w:id="80"/>
      <w:r/>
      <w:r/>
    </w:p>
    <w:p>
      <w:pPr>
        <w:jc w:val="center"/>
        <w:spacing w:line="360" w:lineRule="auto"/>
        <w:widowControl/>
        <w:rPr>
          <w:rFonts w:hint="eastAsia" w:ascii="黑体" w:hAnsi="黑体" w:eastAsia="黑体" w:cs="黑体"/>
          <w:b/>
          <w:color w:val="auto"/>
          <w:sz w:val="32"/>
          <w:szCs w:val="32"/>
          <w:highlight w:val="none"/>
        </w:rPr>
      </w:pPr>
      <w:r/>
      <w:bookmarkStart w:id="81" w:name="_Toc358569763"/>
      <w:r/>
      <w:bookmarkStart w:id="82" w:name="_Toc498006748"/>
      <w:r/>
      <w:bookmarkStart w:id="83" w:name="_Toc80122316"/>
      <w:r/>
      <w:r/>
    </w:p>
    <w:p>
      <w:pPr>
        <w:jc w:val="center"/>
        <w:spacing w:line="360" w:lineRule="auto"/>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建设工程施工合同</w:t>
      </w:r>
      <w:r>
        <w:rPr>
          <w:rFonts w:hint="eastAsia" w:ascii="黑体" w:hAnsi="黑体" w:eastAsia="黑体" w:cs="黑体"/>
          <w:b/>
          <w:color w:val="auto"/>
          <w:sz w:val="32"/>
          <w:szCs w:val="32"/>
          <w:highlight w:val="none"/>
        </w:rPr>
        <w:br/>
      </w:r>
      <w:r>
        <w:rPr>
          <w:rFonts w:hint="eastAsia" w:ascii="黑体" w:hAnsi="黑体" w:eastAsia="黑体" w:cs="黑体"/>
          <w:b/>
          <w:color w:val="auto"/>
          <w:sz w:val="32"/>
          <w:szCs w:val="32"/>
          <w:highlight w:val="none"/>
        </w:rPr>
        <w:t xml:space="preserve">（示范文本）</w:t>
      </w:r>
      <w:r/>
    </w:p>
    <w:p>
      <w:pPr>
        <w:jc w:val="center"/>
        <w:spacing w:line="36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（GF—2017—0201）</w:t>
      </w:r>
      <w:r/>
    </w:p>
    <w:p>
      <w:pPr>
        <w:jc w:val="center"/>
        <w:spacing w:line="360" w:lineRule="auto"/>
        <w:widowControl/>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jc w:val="center"/>
        <w:spacing w:line="360" w:lineRule="auto"/>
        <w:widowControl/>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r>
      <w:r/>
    </w:p>
    <w:p>
      <w:pPr>
        <w:ind w:firstLine="2520"/>
        <w:spacing w:after="120"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项目名称： </w:t>
      </w:r>
      <w:r/>
    </w:p>
    <w:p>
      <w:pPr>
        <w:ind w:firstLine="2520"/>
        <w:spacing w:after="120" w:line="360" w:lineRule="auto"/>
        <w:widowControl/>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标段名称：</w:t>
      </w:r>
      <w:r/>
    </w:p>
    <w:p>
      <w:pPr>
        <w:ind w:firstLine="2400"/>
        <w:jc w:val="left"/>
        <w:spacing w:after="0" w:line="360" w:lineRule="auto"/>
        <w:widowControl w:val="off"/>
        <w:rPr>
          <w:rFonts w:hint="eastAsia" w:ascii="黑体" w:hAnsi="黑体" w:eastAsia="黑体" w:cs="黑体"/>
          <w:bCs/>
          <w:color w:val="auto"/>
          <w:sz w:val="24"/>
          <w:szCs w:val="24"/>
          <w:highlight w:val="none"/>
          <w:lang w:val="en-US" w:eastAsia="zh-CN" w:bidi="ar-SA"/>
        </w:rPr>
      </w:pPr>
      <w:r>
        <w:rPr>
          <w:rFonts w:hint="eastAsia" w:ascii="黑体" w:hAnsi="黑体" w:eastAsia="黑体" w:cs="黑体"/>
          <w:bCs/>
          <w:color w:val="auto"/>
          <w:sz w:val="24"/>
          <w:szCs w:val="24"/>
          <w:highlight w:val="none"/>
          <w:lang w:val="en-US" w:eastAsia="zh-CN" w:bidi="ar-SA"/>
        </w:rPr>
        <w:t xml:space="preserve">发包人（全称）：</w:t>
      </w:r>
      <w:r>
        <w:rPr>
          <w:rFonts w:hint="eastAsia" w:ascii="黑体" w:hAnsi="黑体" w:eastAsia="黑体" w:cs="黑体"/>
          <w:bCs/>
          <w:color w:val="auto"/>
          <w:sz w:val="24"/>
          <w:szCs w:val="24"/>
          <w:highlight w:val="none"/>
          <w:u w:val="single"/>
          <w:lang w:val="en-US" w:eastAsia="zh-CN" w:bidi="ar-SA"/>
        </w:rPr>
        <w:t xml:space="preserve">                     </w:t>
      </w:r>
      <w:r>
        <w:rPr>
          <w:rFonts w:hint="eastAsia" w:ascii="黑体" w:hAnsi="黑体" w:eastAsia="黑体" w:cs="黑体"/>
          <w:bCs/>
          <w:color w:val="auto"/>
          <w:sz w:val="24"/>
          <w:szCs w:val="24"/>
          <w:highlight w:val="none"/>
          <w:lang w:val="en-US" w:eastAsia="zh-CN" w:bidi="ar-SA"/>
        </w:rPr>
        <w:t xml:space="preserve"> </w:t>
      </w:r>
      <w:r/>
    </w:p>
    <w:p>
      <w:pPr>
        <w:ind w:firstLine="2400"/>
        <w:jc w:val="left"/>
        <w:spacing w:after="0" w:line="360" w:lineRule="auto"/>
        <w:widowControl w:val="off"/>
        <w:rPr>
          <w:rFonts w:hint="eastAsia" w:ascii="黑体" w:hAnsi="黑体" w:eastAsia="黑体" w:cs="黑体"/>
          <w:b/>
          <w:color w:val="auto"/>
          <w:sz w:val="21"/>
          <w:szCs w:val="21"/>
          <w:highlight w:val="none"/>
          <w:u w:val="single"/>
          <w:lang w:val="en-US" w:eastAsia="zh-CN" w:bidi="ar-SA"/>
        </w:rPr>
      </w:pPr>
      <w:r>
        <w:rPr>
          <w:rFonts w:hint="eastAsia" w:ascii="黑体" w:hAnsi="黑体" w:eastAsia="黑体" w:cs="黑体"/>
          <w:bCs/>
          <w:color w:val="auto"/>
          <w:sz w:val="24"/>
          <w:szCs w:val="24"/>
          <w:highlight w:val="none"/>
          <w:lang w:val="en-US" w:eastAsia="zh-CN" w:bidi="ar-SA"/>
        </w:rPr>
        <w:t xml:space="preserve">承包人（全称）：</w:t>
      </w:r>
      <w:r>
        <w:rPr>
          <w:rFonts w:hint="eastAsia" w:ascii="黑体" w:hAnsi="黑体" w:eastAsia="黑体" w:cs="黑体"/>
          <w:bCs/>
          <w:color w:val="auto"/>
          <w:sz w:val="24"/>
          <w:szCs w:val="24"/>
          <w:highlight w:val="none"/>
          <w:u w:val="single"/>
          <w:lang w:val="en-US" w:eastAsia="zh-CN" w:bidi="ar-SA"/>
        </w:rPr>
        <w:t xml:space="preserve">              </w:t>
      </w:r>
      <w:r>
        <w:rPr>
          <w:rFonts w:hint="eastAsia" w:ascii="黑体" w:hAnsi="黑体" w:eastAsia="黑体" w:cs="黑体"/>
          <w:b/>
          <w:color w:val="auto"/>
          <w:sz w:val="21"/>
          <w:szCs w:val="21"/>
          <w:highlight w:val="none"/>
          <w:u w:val="single"/>
          <w:lang w:val="en-US" w:eastAsia="zh-CN" w:bidi="ar-SA"/>
        </w:rPr>
        <w:t xml:space="preserve">            </w:t>
      </w:r>
      <w:r/>
    </w:p>
    <w:p>
      <w:pPr>
        <w:ind w:firstLine="2400"/>
        <w:jc w:val="left"/>
        <w:spacing w:after="0" w:line="360" w:lineRule="auto"/>
        <w:widowControl w:val="off"/>
        <w:rPr>
          <w:rFonts w:hint="eastAsia" w:ascii="黑体" w:hAnsi="黑体" w:eastAsia="黑体" w:cs="黑体"/>
          <w:b/>
          <w:color w:val="auto"/>
          <w:sz w:val="28"/>
          <w:szCs w:val="28"/>
          <w:highlight w:val="none"/>
          <w:lang w:val="en-US" w:eastAsia="zh-CN" w:bidi="ar-SA"/>
        </w:rPr>
      </w:pPr>
      <w:r>
        <w:rPr>
          <w:rFonts w:hint="eastAsia" w:ascii="黑体" w:hAnsi="黑体" w:eastAsia="黑体" w:cs="黑体"/>
          <w:bCs/>
          <w:color w:val="auto"/>
          <w:sz w:val="24"/>
          <w:szCs w:val="24"/>
          <w:highlight w:val="none"/>
          <w:lang w:val="en-US" w:eastAsia="zh-CN" w:bidi="ar-SA"/>
        </w:rPr>
        <w:t xml:space="preserve">合同签订日期：   年   月   日</w:t>
      </w:r>
      <w:r/>
    </w:p>
    <w:p>
      <w:pPr>
        <w:jc w:val="center"/>
        <w:spacing w:line="360" w:lineRule="auto"/>
        <w:widowControl/>
        <w:rPr>
          <w:rFonts w:hint="eastAsia" w:ascii="黑体" w:hAnsi="黑体" w:eastAsia="黑体" w:cs="黑体"/>
          <w:b/>
          <w:color w:val="auto"/>
          <w:sz w:val="72"/>
          <w:szCs w:val="72"/>
          <w:highlight w:val="none"/>
        </w:rPr>
      </w:pPr>
      <w:r>
        <w:rPr>
          <w:rFonts w:hint="eastAsia" w:ascii="黑体" w:hAnsi="黑体" w:eastAsia="黑体" w:cs="黑体"/>
          <w:b/>
          <w:color w:val="auto"/>
          <w:sz w:val="72"/>
          <w:szCs w:val="72"/>
          <w:highlight w:val="none"/>
        </w:rPr>
      </w:r>
      <w:r/>
    </w:p>
    <w:p>
      <w:pPr>
        <w:ind w:firstLine="480"/>
        <w:jc w:val="both"/>
        <w:spacing w:line="360" w:lineRule="auto"/>
        <w:rPr>
          <w:rFonts w:hint="eastAsia" w:ascii="黑体" w:hAnsi="黑体" w:eastAsia="黑体" w:cs="黑体"/>
          <w:b w:val="0"/>
          <w:bCs w:val="0"/>
          <w:color w:val="auto"/>
          <w:sz w:val="24"/>
          <w:szCs w:val="24"/>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友情提醒：采购人与中标、成交供应商应当在中标、成交通知书发出之日起30日内，按照采购文件确定的事项签订政府采购合同。</w:t>
      </w:r>
      <w:r/>
    </w:p>
    <w:p>
      <w:pPr>
        <w:ind w:left="0" w:right="0" w:firstLine="560"/>
        <w:jc w:val="both"/>
        <w:keepLines w:val="0"/>
        <w:keepNext w:val="0"/>
        <w:pageBreakBefore w:val="0"/>
        <w:spacing w:beforeAutospacing="0" w:afterAutospacing="0" w:line="360" w:lineRule="auto"/>
        <w:rPr>
          <w:rFonts w:hint="eastAsia" w:ascii="黑体" w:hAnsi="黑体" w:eastAsia="黑体" w:cs="黑体"/>
          <w:color w:val="auto"/>
          <w:sz w:val="28"/>
          <w:szCs w:val="20"/>
          <w:highlight w:val="none"/>
          <w:lang w:val="en-US" w:eastAsia="zh-CN" w:bidi="ar-SA"/>
        </w:rPr>
      </w:pPr>
      <w:r>
        <w:rPr>
          <w:rFonts w:hint="eastAsia" w:ascii="黑体" w:hAnsi="黑体" w:eastAsia="黑体" w:cs="黑体"/>
          <w:b w:val="0"/>
          <w:bCs w:val="0"/>
          <w:color w:val="auto"/>
          <w:sz w:val="24"/>
          <w:szCs w:val="24"/>
          <w:highlight w:val="none"/>
          <w:lang w:val="en-US" w:eastAsia="zh-CN" w:bidi="ar-SA"/>
        </w:rPr>
        <w:t xml:space="preserve">采购人应当自政府采购合同签订之日起2个</w:t>
      </w:r>
      <w:r>
        <w:rPr>
          <w:rFonts w:hint="eastAsia" w:ascii="黑体" w:hAnsi="黑体" w:eastAsia="黑体" w:cs="黑体"/>
          <w:b w:val="0"/>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left="0" w:right="0" w:firstLine="482"/>
        <w:jc w:val="both"/>
        <w:keepLines w:val="0"/>
        <w:keepNext w:val="0"/>
        <w:pageBreakBefore w:val="0"/>
        <w:spacing w:beforeAutospacing="0" w:afterAutospacing="0" w:line="360" w:lineRule="auto"/>
        <w:rPr>
          <w:rFonts w:hint="eastAsia" w:ascii="黑体" w:hAnsi="黑体" w:eastAsia="黑体" w:cs="黑体"/>
          <w:b/>
          <w:color w:val="auto"/>
          <w:sz w:val="24"/>
          <w:szCs w:val="24"/>
          <w:highlight w:val="none"/>
          <w:lang w:val="en-US" w:eastAsia="zh-CN" w:bidi="ar-SA"/>
        </w:rPr>
      </w:pPr>
      <w:r>
        <w:rPr>
          <w:rFonts w:hint="eastAsia" w:ascii="黑体" w:hAnsi="黑体" w:eastAsia="黑体" w:cs="黑体"/>
          <w:b/>
          <w:color w:val="auto"/>
          <w:sz w:val="24"/>
          <w:szCs w:val="24"/>
          <w:highlight w:val="none"/>
          <w:lang w:val="en-US" w:eastAsia="zh-CN" w:bidi="ar-SA"/>
        </w:rPr>
        <w:t xml:space="preserve">特别提醒：</w:t>
      </w:r>
      <w:r/>
    </w:p>
    <w:p>
      <w:pPr>
        <w:spacing w:line="360" w:lineRule="auto"/>
        <w:widowControl/>
        <w:rPr>
          <w:rFonts w:hint="eastAsia" w:ascii="黑体" w:hAnsi="黑体" w:eastAsia="黑体" w:cs="黑体"/>
          <w:b/>
          <w:color w:val="auto"/>
          <w:sz w:val="28"/>
          <w:szCs w:val="28"/>
          <w:highlight w:val="none"/>
        </w:rPr>
      </w:pPr>
      <w:r>
        <w:rPr>
          <w:rFonts w:hint="eastAsia" w:ascii="黑体" w:hAnsi="黑体" w:eastAsia="黑体" w:cs="黑体"/>
          <w:color w:val="auto"/>
          <w:sz w:val="24"/>
          <w:szCs w:val="21"/>
          <w:highlight w:val="none"/>
        </w:rPr>
        <w:t xml:space="preserve">中标人领取中标通知书时须向代理机构提交纸质胶装投标文件一正四副，</w:t>
      </w:r>
      <w:r>
        <w:rPr>
          <w:rFonts w:hint="eastAsia" w:ascii="黑体" w:hAnsi="黑体" w:eastAsia="黑体" w:cs="黑体"/>
          <w:color w:val="auto"/>
          <w:sz w:val="24"/>
          <w:szCs w:val="21"/>
          <w:highlight w:val="none"/>
          <w:lang w:val="en-US" w:eastAsia="zh-CN"/>
        </w:rPr>
        <w:t xml:space="preserve">电子版投标文件二份（U盘）。</w:t>
      </w:r>
      <w:bookmarkEnd w:id="81"/>
      <w:r/>
      <w:bookmarkEnd w:id="82"/>
      <w:r/>
      <w:bookmarkEnd w:id="83"/>
      <w:r/>
      <w:r/>
    </w:p>
    <w:p>
      <w:pPr>
        <w:spacing w:line="360" w:lineRule="auto"/>
        <w:widowControl/>
        <w:rPr>
          <w:rFonts w:hint="eastAsia" w:ascii="黑体" w:hAnsi="黑体" w:eastAsia="黑体" w:cs="黑体"/>
          <w:b/>
          <w:color w:val="auto"/>
          <w:sz w:val="28"/>
          <w:szCs w:val="28"/>
          <w:highlight w:val="none"/>
          <w:lang w:val="en-US" w:eastAsia="zh-CN"/>
        </w:rPr>
      </w:pPr>
      <w:r>
        <w:rPr>
          <w:rFonts w:hint="eastAsia" w:ascii="黑体" w:hAnsi="黑体" w:eastAsia="黑体" w:cs="黑体"/>
          <w:b/>
          <w:color w:val="auto"/>
          <w:sz w:val="28"/>
          <w:szCs w:val="28"/>
          <w:highlight w:val="none"/>
          <w:lang w:val="en-US" w:eastAsia="zh-CN"/>
        </w:rPr>
      </w:r>
      <w:r/>
    </w:p>
    <w:p>
      <w:pPr>
        <w:spacing w:line="360" w:lineRule="auto"/>
        <w:widowControl/>
        <w:rPr>
          <w:rFonts w:hint="eastAsia" w:ascii="黑体" w:hAnsi="黑体" w:eastAsia="黑体" w:cs="黑体"/>
          <w:b/>
          <w:color w:val="auto"/>
          <w:sz w:val="28"/>
          <w:szCs w:val="28"/>
          <w:highlight w:val="none"/>
          <w:lang w:val="en-US" w:eastAsia="zh-CN"/>
        </w:rPr>
        <w:sectPr>
          <w:headerReference w:type="default" r:id="rId12"/>
          <w:footerReference w:type="default" r:id="rId17"/>
          <w:footerReference w:type="first" r:id="rId18"/>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黑体" w:hAnsi="黑体" w:eastAsia="黑体" w:cs="黑体"/>
          <w:b/>
          <w:color w:val="auto"/>
          <w:sz w:val="28"/>
          <w:szCs w:val="28"/>
          <w:highlight w:val="none"/>
          <w:lang w:val="en-US" w:eastAsia="zh-CN"/>
        </w:rPr>
      </w:r>
      <w:r/>
    </w:p>
    <w:p>
      <w:pPr>
        <w:pStyle w:val="1164"/>
        <w:jc w:val="center"/>
        <w:keepLines w:val="0"/>
        <w:keepNext w:val="0"/>
        <w:rPr>
          <w:rFonts w:hint="eastAsia" w:ascii="黑体" w:hAnsi="黑体" w:eastAsia="黑体" w:cs="黑体"/>
          <w:b w:val="0"/>
          <w:color w:val="auto"/>
          <w:sz w:val="32"/>
          <w:szCs w:val="44"/>
          <w:highlight w:val="none"/>
        </w:rPr>
      </w:pPr>
      <w:r/>
      <w:bookmarkStart w:id="84" w:name="_Toc498006744"/>
      <w:r>
        <w:rPr>
          <w:rFonts w:hint="eastAsia" w:ascii="黑体" w:hAnsi="黑体" w:eastAsia="黑体" w:cs="黑体"/>
          <w:color w:val="auto"/>
          <w:sz w:val="32"/>
          <w:szCs w:val="44"/>
          <w:highlight w:val="none"/>
        </w:rPr>
        <w:t xml:space="preserve">第一部分 合同协议书</w:t>
      </w:r>
      <w:bookmarkEnd w:id="84"/>
      <w:r/>
      <w:r/>
    </w:p>
    <w:p>
      <w:pPr>
        <w:spacing w:line="360" w:lineRule="auto"/>
        <w:rPr>
          <w:rFonts w:hint="eastAsia" w:ascii="黑体" w:hAnsi="黑体" w:eastAsia="黑体" w:cs="黑体"/>
          <w:b/>
          <w:color w:val="auto"/>
          <w:sz w:val="21"/>
          <w:szCs w:val="21"/>
          <w:highlight w:val="none"/>
          <w:u w:val="single"/>
        </w:rPr>
      </w:pPr>
      <w:r>
        <w:rPr>
          <w:rFonts w:hint="eastAsia" w:ascii="黑体" w:hAnsi="黑体" w:eastAsia="黑体" w:cs="黑体"/>
          <w:b/>
          <w:color w:val="auto"/>
          <w:sz w:val="21"/>
          <w:szCs w:val="21"/>
          <w:highlight w:val="none"/>
        </w:rPr>
        <w:t xml:space="preserve">发包人（全称）：</w:t>
      </w:r>
      <w:r>
        <w:rPr>
          <w:rFonts w:hint="eastAsia" w:ascii="黑体" w:hAnsi="黑体" w:eastAsia="黑体" w:cs="黑体"/>
          <w:b/>
          <w:color w:val="auto"/>
          <w:sz w:val="21"/>
          <w:szCs w:val="21"/>
          <w:highlight w:val="none"/>
          <w:u w:val="single"/>
        </w:rPr>
        <w:t xml:space="preserve">淮海战役烈士纪念塔管理中心 </w:t>
      </w:r>
      <w:r/>
    </w:p>
    <w:p>
      <w:pPr>
        <w:spacing w:line="360" w:lineRule="auto"/>
        <w:rPr>
          <w:rFonts w:hint="eastAsia" w:ascii="黑体" w:hAnsi="黑体" w:eastAsia="黑体" w:cs="黑体"/>
          <w:b/>
          <w:color w:val="auto"/>
          <w:sz w:val="21"/>
          <w:szCs w:val="21"/>
          <w:highlight w:val="none"/>
          <w:u w:val="single"/>
        </w:rPr>
      </w:pPr>
      <w:r>
        <w:rPr>
          <w:rFonts w:hint="eastAsia" w:ascii="黑体" w:hAnsi="黑体" w:eastAsia="黑体" w:cs="黑体"/>
          <w:b/>
          <w:color w:val="auto"/>
          <w:sz w:val="21"/>
          <w:szCs w:val="21"/>
          <w:highlight w:val="none"/>
        </w:rPr>
        <w:t xml:space="preserve">承包人（全称）：</w:t>
      </w:r>
      <w:r>
        <w:rPr>
          <w:rFonts w:hint="eastAsia" w:ascii="黑体" w:hAnsi="黑体" w:eastAsia="黑体" w:cs="黑体"/>
          <w:b/>
          <w:color w:val="auto"/>
          <w:sz w:val="21"/>
          <w:szCs w:val="21"/>
          <w:highlight w:val="none"/>
          <w:u w:val="single"/>
        </w:rPr>
        <w:t xml:space="preserve">                                </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根据《中华人民共和国民法典》、《中华人民共和国建筑法》及有关法律规定，遵循平等、自愿、公平和诚实信用的原则，双方就</w:t>
      </w:r>
      <w:r>
        <w:rPr>
          <w:rFonts w:hint="eastAsia" w:ascii="黑体" w:hAnsi="黑体" w:eastAsia="黑体" w:cs="黑体"/>
          <w:color w:val="auto"/>
          <w:sz w:val="21"/>
          <w:szCs w:val="21"/>
          <w:highlight w:val="none"/>
          <w:u w:val="single"/>
          <w:lang w:eastAsia="zh-CN"/>
        </w:rPr>
        <w:t xml:space="preserve">徐州国防教育馆改造提升项目</w:t>
      </w:r>
      <w:r>
        <w:rPr>
          <w:rFonts w:hint="eastAsia" w:ascii="黑体" w:hAnsi="黑体" w:eastAsia="黑体" w:cs="黑体"/>
          <w:color w:val="auto"/>
          <w:sz w:val="21"/>
          <w:szCs w:val="21"/>
          <w:highlight w:val="none"/>
        </w:rPr>
        <w:t xml:space="preserve">施工及有关事项协商一致，共同达成如下协议：</w:t>
      </w:r>
      <w:r/>
    </w:p>
    <w:p>
      <w:pPr>
        <w:pStyle w:val="1165"/>
        <w:keepLines w:val="0"/>
        <w:keepNext w:val="0"/>
        <w:rPr>
          <w:rFonts w:hint="eastAsia" w:ascii="黑体" w:hAnsi="黑体" w:eastAsia="黑体" w:cs="黑体"/>
          <w:bCs w:val="0"/>
          <w:color w:val="auto"/>
          <w:szCs w:val="21"/>
          <w:highlight w:val="none"/>
          <w:u w:val="single"/>
        </w:rPr>
      </w:pPr>
      <w:r/>
      <w:bookmarkStart w:id="85" w:name="_Toc351203481"/>
      <w:r>
        <w:rPr>
          <w:rFonts w:hint="eastAsia" w:ascii="黑体" w:hAnsi="黑体" w:eastAsia="黑体" w:cs="黑体"/>
          <w:b w:val="0"/>
          <w:color w:val="auto"/>
          <w:szCs w:val="21"/>
          <w:highlight w:val="none"/>
        </w:rPr>
        <w:t xml:space="preserve">一、工程概况</w:t>
      </w:r>
      <w:bookmarkEnd w:id="85"/>
      <w:r/>
      <w:r/>
    </w:p>
    <w:p>
      <w:pPr>
        <w:ind w:firstLine="411"/>
        <w:spacing w:line="360" w:lineRule="auto"/>
        <w:rPr>
          <w:rFonts w:hint="eastAsia" w:ascii="黑体" w:hAnsi="黑体" w:eastAsia="黑体" w:cs="黑体"/>
          <w:color w:val="auto"/>
          <w:sz w:val="21"/>
          <w:szCs w:val="21"/>
          <w:highlight w:val="none"/>
          <w:u w:val="single"/>
        </w:rPr>
      </w:pPr>
      <w:r>
        <w:rPr>
          <w:rFonts w:hint="eastAsia" w:ascii="黑体" w:hAnsi="黑体" w:eastAsia="黑体" w:cs="黑体"/>
          <w:bCs/>
          <w:color w:val="auto"/>
          <w:sz w:val="21"/>
          <w:szCs w:val="21"/>
          <w:highlight w:val="none"/>
        </w:rPr>
        <w:t xml:space="preserve">1.工程名称</w:t>
      </w: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u w:val="single"/>
          <w:lang w:eastAsia="zh-CN"/>
        </w:rPr>
        <w:t xml:space="preserve">徐州国防教育馆改造提升项目</w:t>
      </w:r>
      <w:r>
        <w:rPr>
          <w:rFonts w:hint="eastAsia" w:ascii="黑体" w:hAnsi="黑体" w:eastAsia="黑体" w:cs="黑体"/>
          <w:color w:val="auto"/>
          <w:sz w:val="21"/>
          <w:szCs w:val="21"/>
          <w:highlight w:val="none"/>
          <w:u w:val="single"/>
        </w:rPr>
        <w:t xml:space="preserve"> </w:t>
      </w:r>
      <w:r/>
    </w:p>
    <w:p>
      <w:pPr>
        <w:ind w:firstLine="411"/>
        <w:spacing w:line="360" w:lineRule="auto"/>
        <w:rPr>
          <w:rFonts w:hint="eastAsia" w:ascii="黑体" w:hAnsi="黑体" w:eastAsia="黑体" w:cs="黑体"/>
          <w:color w:val="auto"/>
          <w:sz w:val="21"/>
          <w:szCs w:val="21"/>
          <w:highlight w:val="none"/>
          <w:u w:val="single"/>
        </w:rPr>
      </w:pPr>
      <w:r>
        <w:rPr>
          <w:rFonts w:hint="eastAsia" w:ascii="黑体" w:hAnsi="黑体" w:eastAsia="黑体" w:cs="黑体"/>
          <w:bCs/>
          <w:color w:val="auto"/>
          <w:sz w:val="21"/>
          <w:szCs w:val="21"/>
          <w:highlight w:val="none"/>
        </w:rPr>
        <w:t xml:space="preserve">2.工程地点：</w:t>
      </w:r>
      <w:r>
        <w:rPr>
          <w:rFonts w:hint="eastAsia" w:ascii="黑体" w:hAnsi="黑体" w:eastAsia="黑体" w:cs="黑体"/>
          <w:bCs/>
          <w:color w:val="auto"/>
          <w:sz w:val="21"/>
          <w:szCs w:val="21"/>
          <w:highlight w:val="none"/>
          <w:u w:val="single"/>
        </w:rPr>
        <w:t xml:space="preserve">泉山区解放南路2号</w:t>
      </w:r>
      <w:r/>
    </w:p>
    <w:p>
      <w:pPr>
        <w:ind w:firstLine="411"/>
        <w:spacing w:line="360" w:lineRule="auto"/>
        <w:rPr>
          <w:rFonts w:hint="eastAsia" w:ascii="黑体" w:hAnsi="黑体" w:eastAsia="黑体" w:cs="黑体"/>
          <w:bCs/>
          <w:color w:val="auto"/>
          <w:sz w:val="21"/>
          <w:szCs w:val="21"/>
          <w:highlight w:val="none"/>
          <w:lang w:eastAsia="zh-CN"/>
        </w:rPr>
      </w:pPr>
      <w:r>
        <w:rPr>
          <w:rFonts w:hint="eastAsia" w:ascii="黑体" w:hAnsi="黑体" w:eastAsia="黑体" w:cs="黑体"/>
          <w:bCs/>
          <w:color w:val="auto"/>
          <w:sz w:val="21"/>
          <w:szCs w:val="21"/>
          <w:highlight w:val="none"/>
        </w:rPr>
        <w:t xml:space="preserve">3.工程立项批准文号：</w:t>
      </w:r>
      <w:r>
        <w:rPr>
          <w:rFonts w:hint="eastAsia" w:ascii="黑体" w:hAnsi="黑体" w:eastAsia="黑体" w:cs="黑体"/>
          <w:bCs/>
          <w:color w:val="auto"/>
          <w:sz w:val="21"/>
          <w:szCs w:val="21"/>
          <w:highlight w:val="none"/>
          <w:u w:val="single"/>
          <w:lang w:val="en-US" w:eastAsia="zh-CN"/>
        </w:rPr>
        <w:t xml:space="preserve"> </w:t>
      </w:r>
      <w:r/>
    </w:p>
    <w:p>
      <w:pPr>
        <w:ind w:firstLine="411"/>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4.资金来源：财政资金。</w:t>
      </w:r>
      <w:r/>
    </w:p>
    <w:p>
      <w:pPr>
        <w:ind w:firstLine="420"/>
        <w:spacing w:line="360" w:lineRule="auto"/>
        <w:rPr>
          <w:rFonts w:hint="eastAsia" w:ascii="黑体" w:hAnsi="黑体" w:eastAsia="黑体" w:cs="黑体"/>
          <w:color w:val="auto"/>
          <w:sz w:val="21"/>
          <w:szCs w:val="21"/>
          <w:highlight w:val="none"/>
          <w:u w:val="single"/>
        </w:rPr>
      </w:pPr>
      <w:r>
        <w:rPr>
          <w:rFonts w:hint="eastAsia" w:ascii="黑体" w:hAnsi="黑体" w:eastAsia="黑体" w:cs="黑体"/>
          <w:bCs/>
          <w:color w:val="auto"/>
          <w:sz w:val="21"/>
          <w:szCs w:val="21"/>
          <w:highlight w:val="none"/>
        </w:rPr>
        <w:t xml:space="preserve">5.工程内容：</w:t>
      </w:r>
      <w:r>
        <w:rPr>
          <w:rFonts w:hint="eastAsia" w:ascii="黑体" w:hAnsi="黑体" w:eastAsia="黑体" w:cs="黑体"/>
          <w:color w:val="auto"/>
          <w:sz w:val="21"/>
          <w:szCs w:val="21"/>
          <w:highlight w:val="none"/>
          <w:u w:val="single"/>
          <w:lang w:val="en-US" w:eastAsia="zh-CN"/>
        </w:rPr>
        <w:t xml:space="preserve">本项目主要在现有场馆内进行改造，场馆总建筑面积1988m2，本次改造范围主要为陈列展览区域，涉及建筑面积约1875.4m2，陈列展览区域1114m2，并对相应展线进行重新规划布局。项目主要工程包括:对应的建筑空间结构性提升改造、消防系统提升改造、安防系统提升改造、空调改造、电气提升改造、室内基础装饰工程、展陈专业工程(包括专业布展工程、专业灯光工程、多媒体科技展项工程等)项目。具体内容详见工程量清单及施工图纸</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lang w:val="zh-TW"/>
        </w:rPr>
        <w:t xml:space="preserve">                         </w:t>
      </w:r>
      <w:r/>
    </w:p>
    <w:p>
      <w:pPr>
        <w:ind w:firstLine="411"/>
        <w:spacing w:line="360" w:lineRule="auto"/>
        <w:rPr>
          <w:rFonts w:hint="eastAsia" w:ascii="黑体" w:hAnsi="黑体" w:eastAsia="黑体" w:cs="黑体"/>
          <w:color w:val="auto"/>
          <w:sz w:val="21"/>
          <w:szCs w:val="21"/>
          <w:highlight w:val="none"/>
          <w:u w:val="single"/>
          <w:lang w:val="zh-TW"/>
        </w:rPr>
      </w:pPr>
      <w:r>
        <w:rPr>
          <w:rFonts w:hint="eastAsia" w:ascii="黑体" w:hAnsi="黑体" w:eastAsia="黑体" w:cs="黑体"/>
          <w:bCs/>
          <w:color w:val="auto"/>
          <w:sz w:val="21"/>
          <w:szCs w:val="21"/>
          <w:highlight w:val="none"/>
        </w:rPr>
        <w:t xml:space="preserve">6.工程承包范围：</w:t>
      </w:r>
      <w:r>
        <w:rPr>
          <w:rFonts w:hint="eastAsia" w:ascii="黑体" w:hAnsi="黑体" w:eastAsia="黑体" w:cs="黑体"/>
          <w:color w:val="auto"/>
          <w:sz w:val="21"/>
          <w:szCs w:val="21"/>
          <w:highlight w:val="none"/>
          <w:u w:val="single"/>
          <w:lang w:val="zh-TW"/>
        </w:rPr>
        <w:t xml:space="preserve">详见工程量清单及施工图所含全部内容</w:t>
      </w:r>
      <w:r>
        <w:rPr>
          <w:rFonts w:hint="eastAsia" w:ascii="黑体" w:hAnsi="黑体" w:eastAsia="黑体" w:cs="黑体"/>
          <w:color w:val="auto"/>
          <w:sz w:val="21"/>
          <w:szCs w:val="21"/>
          <w:highlight w:val="none"/>
          <w:u w:val="single"/>
        </w:rPr>
        <w:t xml:space="preserve">。</w:t>
      </w:r>
      <w:r/>
    </w:p>
    <w:p>
      <w:pPr>
        <w:ind w:firstLine="411"/>
        <w:spacing w:line="360" w:lineRule="auto"/>
        <w:rPr>
          <w:rFonts w:hint="eastAsia" w:ascii="黑体" w:hAnsi="黑体" w:eastAsia="黑体" w:cs="黑体"/>
          <w:bCs/>
          <w:color w:val="auto"/>
          <w:sz w:val="21"/>
          <w:szCs w:val="21"/>
          <w:highlight w:val="none"/>
          <w:lang w:eastAsia="zh-TW"/>
        </w:rPr>
      </w:pPr>
      <w:r>
        <w:rPr>
          <w:rFonts w:hint="eastAsia" w:ascii="黑体" w:hAnsi="黑体" w:eastAsia="黑体" w:cs="黑体"/>
          <w:color w:val="auto"/>
          <w:sz w:val="21"/>
          <w:szCs w:val="21"/>
          <w:highlight w:val="none"/>
          <w:lang w:val="zh-TW" w:eastAsia="zh-TW"/>
        </w:rPr>
        <w:t xml:space="preserve">7、</w:t>
      </w:r>
      <w:r>
        <w:rPr>
          <w:rFonts w:hint="eastAsia" w:ascii="黑体" w:hAnsi="黑体" w:eastAsia="黑体" w:cs="黑体"/>
          <w:bCs/>
          <w:color w:val="auto"/>
          <w:sz w:val="21"/>
          <w:szCs w:val="21"/>
          <w:highlight w:val="none"/>
          <w:lang w:eastAsia="zh-TW"/>
        </w:rPr>
        <w:t xml:space="preserve">承包方式：包工包料。</w:t>
      </w:r>
      <w:r>
        <w:rPr>
          <w:rFonts w:hint="eastAsia" w:ascii="黑体" w:hAnsi="黑体" w:eastAsia="黑体" w:cs="黑体"/>
          <w:color w:val="auto"/>
          <w:sz w:val="21"/>
          <w:szCs w:val="21"/>
          <w:highlight w:val="none"/>
          <w:lang w:val="zh-TW" w:eastAsia="zh-TW"/>
        </w:rPr>
        <w:t xml:space="preserve">  </w:t>
      </w:r>
      <w:r/>
    </w:p>
    <w:p>
      <w:pPr>
        <w:pStyle w:val="1165"/>
        <w:keepLines w:val="0"/>
        <w:keepNext w:val="0"/>
        <w:rPr>
          <w:rFonts w:hint="eastAsia" w:ascii="黑体" w:hAnsi="黑体" w:eastAsia="黑体" w:cs="黑体"/>
          <w:b w:val="0"/>
          <w:color w:val="auto"/>
          <w:szCs w:val="21"/>
          <w:highlight w:val="none"/>
          <w:lang w:eastAsia="zh-TW"/>
        </w:rPr>
      </w:pPr>
      <w:r/>
      <w:bookmarkStart w:id="86" w:name="_Toc351203482"/>
      <w:r>
        <w:rPr>
          <w:rFonts w:hint="eastAsia" w:ascii="黑体" w:hAnsi="黑体" w:eastAsia="黑体" w:cs="黑体"/>
          <w:b w:val="0"/>
          <w:color w:val="auto"/>
          <w:szCs w:val="21"/>
          <w:highlight w:val="none"/>
          <w:lang w:eastAsia="zh-TW"/>
        </w:rPr>
        <w:t xml:space="preserve">二、合同工期</w:t>
      </w:r>
      <w:bookmarkEnd w:id="86"/>
      <w:r/>
      <w:r/>
    </w:p>
    <w:p>
      <w:pPr>
        <w:ind w:firstLine="459"/>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计划开工日期：</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日。</w:t>
      </w:r>
      <w:r/>
    </w:p>
    <w:p>
      <w:pPr>
        <w:ind w:firstLine="459"/>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计划竣工日期：</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日。</w:t>
      </w:r>
      <w:r/>
    </w:p>
    <w:p>
      <w:pPr>
        <w:ind w:firstLine="459"/>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工期总日历天数：</w:t>
      </w:r>
      <w:r>
        <w:rPr>
          <w:rFonts w:hint="eastAsia" w:ascii="黑体" w:hAnsi="黑体" w:eastAsia="黑体" w:cs="黑体"/>
          <w:color w:val="auto"/>
          <w:sz w:val="21"/>
          <w:szCs w:val="21"/>
          <w:highlight w:val="none"/>
          <w:u w:val="single"/>
          <w:lang w:val="en-US" w:eastAsia="zh-CN"/>
        </w:rPr>
        <w:t xml:space="preserve">60</w:t>
      </w:r>
      <w:r>
        <w:rPr>
          <w:rFonts w:hint="eastAsia" w:ascii="黑体" w:hAnsi="黑体" w:eastAsia="黑体" w:cs="黑体"/>
          <w:color w:val="auto"/>
          <w:sz w:val="21"/>
          <w:szCs w:val="21"/>
          <w:highlight w:val="none"/>
        </w:rPr>
        <w:t xml:space="preserve">日历天。工期总日历天数与根据前述计划开竣工日期计算的工期天数不一致的，以工期总日历天数为准。</w:t>
      </w:r>
      <w:r/>
    </w:p>
    <w:p>
      <w:pPr>
        <w:pStyle w:val="1165"/>
        <w:keepLines w:val="0"/>
        <w:keepNext w:val="0"/>
        <w:rPr>
          <w:rFonts w:hint="eastAsia" w:ascii="黑体" w:hAnsi="黑体" w:eastAsia="黑体" w:cs="黑体"/>
          <w:bCs w:val="0"/>
          <w:color w:val="auto"/>
          <w:szCs w:val="21"/>
          <w:highlight w:val="none"/>
        </w:rPr>
      </w:pPr>
      <w:r/>
      <w:bookmarkStart w:id="87" w:name="_Toc351203483"/>
      <w:r>
        <w:rPr>
          <w:rFonts w:hint="eastAsia" w:ascii="黑体" w:hAnsi="黑体" w:eastAsia="黑体" w:cs="黑体"/>
          <w:b w:val="0"/>
          <w:color w:val="auto"/>
          <w:szCs w:val="21"/>
          <w:highlight w:val="none"/>
        </w:rPr>
        <w:t xml:space="preserve">三、质量标准</w:t>
      </w:r>
      <w:bookmarkEnd w:id="87"/>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必须满足设计图纸对于施工工艺要求，工程质量符合</w:t>
      </w:r>
      <w:r>
        <w:rPr>
          <w:rFonts w:hint="eastAsia" w:ascii="黑体" w:hAnsi="黑体" w:eastAsia="黑体" w:cs="黑体"/>
          <w:color w:val="auto"/>
          <w:sz w:val="21"/>
          <w:szCs w:val="21"/>
          <w:highlight w:val="none"/>
          <w:u w:val="single"/>
        </w:rPr>
        <w:t xml:space="preserve">合格</w:t>
      </w:r>
      <w:r>
        <w:rPr>
          <w:rFonts w:hint="eastAsia" w:ascii="黑体" w:hAnsi="黑体" w:eastAsia="黑体" w:cs="黑体"/>
          <w:color w:val="auto"/>
          <w:sz w:val="21"/>
          <w:szCs w:val="21"/>
          <w:highlight w:val="none"/>
        </w:rPr>
        <w:t xml:space="preserve">标准</w:t>
      </w:r>
      <w:r>
        <w:rPr>
          <w:rFonts w:hint="eastAsia" w:ascii="黑体" w:hAnsi="黑体" w:eastAsia="黑体" w:cs="黑体"/>
          <w:color w:val="auto"/>
          <w:sz w:val="21"/>
          <w:szCs w:val="21"/>
          <w:highlight w:val="none"/>
        </w:rPr>
        <w:t xml:space="preserve">。工程所有设施、材料、设备、构配件等产品质量须符合相关标准规范的要求，合格率达到100%。</w:t>
      </w:r>
      <w:r/>
    </w:p>
    <w:p>
      <w:pPr>
        <w:pStyle w:val="1165"/>
        <w:keepLines w:val="0"/>
        <w:keepNext w:val="0"/>
        <w:rPr>
          <w:rFonts w:hint="eastAsia" w:ascii="黑体" w:hAnsi="黑体" w:eastAsia="黑体" w:cs="黑体"/>
          <w:bCs w:val="0"/>
          <w:color w:val="auto"/>
          <w:szCs w:val="21"/>
          <w:highlight w:val="none"/>
        </w:rPr>
      </w:pPr>
      <w:r/>
      <w:bookmarkStart w:id="88" w:name="_Toc351203484"/>
      <w:r>
        <w:rPr>
          <w:rFonts w:hint="eastAsia" w:ascii="黑体" w:hAnsi="黑体" w:eastAsia="黑体" w:cs="黑体"/>
          <w:b w:val="0"/>
          <w:color w:val="auto"/>
          <w:szCs w:val="21"/>
          <w:highlight w:val="none"/>
        </w:rPr>
        <w:t xml:space="preserve">四、签约合同价与合同价格形式</w:t>
      </w:r>
      <w:bookmarkEnd w:id="88"/>
      <w:r>
        <w:rPr>
          <w:rFonts w:hint="eastAsia" w:ascii="黑体" w:hAnsi="黑体" w:eastAsia="黑体" w:cs="黑体"/>
          <w:b w:val="0"/>
          <w:color w:val="auto"/>
          <w:szCs w:val="21"/>
          <w:highlight w:val="none"/>
        </w:rPr>
        <w:tab/>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1.签约合同价为：</w:t>
      </w:r>
      <w:r/>
    </w:p>
    <w:p>
      <w:pPr>
        <w:ind w:firstLine="525"/>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人民币（大写）</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元)；</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其中：</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（1）安全文明施工费：</w:t>
      </w:r>
      <w:r/>
    </w:p>
    <w:p>
      <w:pPr>
        <w:ind w:firstLine="945"/>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人民币（大写）</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元)；</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（2）材料和工程设备暂估价金额：</w:t>
      </w:r>
      <w:r/>
    </w:p>
    <w:p>
      <w:pPr>
        <w:ind w:firstLine="945"/>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人民币（大写）</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元)；</w:t>
      </w:r>
      <w:r/>
    </w:p>
    <w:p>
      <w:pPr>
        <w:ind w:firstLine="420"/>
        <w:spacing w:line="360" w:lineRule="auto"/>
        <w:rPr>
          <w:rFonts w:hint="eastAsia" w:ascii="黑体" w:hAnsi="黑体" w:eastAsia="黑体" w:cs="黑体"/>
          <w:color w:val="auto"/>
          <w:sz w:val="21"/>
          <w:szCs w:val="21"/>
          <w:highlight w:val="none"/>
        </w:rPr>
        <w:sectPr>
          <w:headerReference w:type="default" r:id="rId13"/>
          <w:footerReference w:type="default" r:id="rId19"/>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黑体" w:hAnsi="黑体" w:eastAsia="黑体" w:cs="黑体"/>
          <w:color w:val="auto"/>
          <w:sz w:val="21"/>
          <w:szCs w:val="21"/>
          <w:highlight w:val="none"/>
        </w:rPr>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（3）专业工程暂估价金额：</w:t>
      </w:r>
      <w:r/>
    </w:p>
    <w:p>
      <w:pPr>
        <w:ind w:firstLine="945"/>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人民币（大写）</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元)；</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（4）暂列金额：</w:t>
      </w:r>
      <w:r/>
    </w:p>
    <w:p>
      <w:pPr>
        <w:ind w:firstLine="945"/>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人民币（大写）</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元)。</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2.合同价格形式：</w:t>
      </w:r>
      <w:r>
        <w:rPr>
          <w:rFonts w:hint="eastAsia" w:ascii="黑体" w:hAnsi="黑体" w:eastAsia="黑体" w:cs="黑体"/>
          <w:color w:val="auto"/>
          <w:sz w:val="21"/>
          <w:szCs w:val="21"/>
          <w:highlight w:val="none"/>
          <w:u w:val="single"/>
        </w:rPr>
        <w:t xml:space="preserve">固定单价合同</w:t>
      </w:r>
      <w:r>
        <w:rPr>
          <w:rFonts w:hint="eastAsia" w:ascii="黑体" w:hAnsi="黑体" w:eastAsia="黑体" w:cs="黑体"/>
          <w:color w:val="auto"/>
          <w:sz w:val="21"/>
          <w:szCs w:val="21"/>
          <w:highlight w:val="none"/>
        </w:rPr>
        <w:t xml:space="preserve">。</w:t>
      </w:r>
      <w:r/>
    </w:p>
    <w:p>
      <w:pPr>
        <w:pStyle w:val="1165"/>
        <w:keepLines w:val="0"/>
        <w:keepNext w:val="0"/>
        <w:rPr>
          <w:rFonts w:hint="eastAsia" w:ascii="黑体" w:hAnsi="黑体" w:eastAsia="黑体" w:cs="黑体"/>
          <w:b w:val="0"/>
          <w:color w:val="auto"/>
          <w:szCs w:val="21"/>
          <w:highlight w:val="none"/>
        </w:rPr>
      </w:pPr>
      <w:r/>
      <w:bookmarkStart w:id="89" w:name="_Toc351203485"/>
      <w:r>
        <w:rPr>
          <w:rFonts w:hint="eastAsia" w:ascii="黑体" w:hAnsi="黑体" w:eastAsia="黑体" w:cs="黑体"/>
          <w:b w:val="0"/>
          <w:color w:val="auto"/>
          <w:szCs w:val="21"/>
          <w:highlight w:val="none"/>
        </w:rPr>
        <w:t xml:space="preserve">五、</w:t>
      </w:r>
      <w:bookmarkEnd w:id="89"/>
      <w:r>
        <w:rPr>
          <w:rFonts w:hint="eastAsia" w:ascii="黑体" w:hAnsi="黑体" w:eastAsia="黑体" w:cs="黑体"/>
          <w:b w:val="0"/>
          <w:color w:val="auto"/>
          <w:szCs w:val="21"/>
          <w:highlight w:val="none"/>
        </w:rPr>
        <w:t xml:space="preserve">项目经理</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承包人项目经理：</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pStyle w:val="1165"/>
        <w:keepLines w:val="0"/>
        <w:keepNext w:val="0"/>
        <w:rPr>
          <w:rFonts w:hint="eastAsia" w:ascii="黑体" w:hAnsi="黑体" w:eastAsia="黑体" w:cs="黑体"/>
          <w:bCs w:val="0"/>
          <w:color w:val="auto"/>
          <w:szCs w:val="21"/>
          <w:highlight w:val="none"/>
        </w:rPr>
      </w:pPr>
      <w:r/>
      <w:bookmarkStart w:id="90" w:name="_Toc351203486"/>
      <w:r>
        <w:rPr>
          <w:rFonts w:hint="eastAsia" w:ascii="黑体" w:hAnsi="黑体" w:eastAsia="黑体" w:cs="黑体"/>
          <w:b w:val="0"/>
          <w:color w:val="auto"/>
          <w:szCs w:val="21"/>
          <w:highlight w:val="none"/>
        </w:rPr>
        <w:t xml:space="preserve">六、合同文件构成</w:t>
      </w:r>
      <w:bookmarkEnd w:id="90"/>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本协议书与下列文件一起构成合同文件：</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（1）中标通知书（如有）；</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（2）投标函及其附录（如有）； </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（3）专用合同条款及其附件；</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（4）通用合同条款；</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（5）技术标准和要求；</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（6）图纸；</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（7）已标价工程量清单或预算书；</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（8）其他合同文件。</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在合同订立及履行过程中形成的与合同有关的文件均构成合同文件组成部分。</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65"/>
        <w:keepLines w:val="0"/>
        <w:keepNext w:val="0"/>
        <w:rPr>
          <w:rFonts w:hint="eastAsia" w:ascii="黑体" w:hAnsi="黑体" w:eastAsia="黑体" w:cs="黑体"/>
          <w:b w:val="0"/>
          <w:bCs w:val="0"/>
          <w:color w:val="auto"/>
          <w:szCs w:val="21"/>
          <w:highlight w:val="none"/>
        </w:rPr>
      </w:pPr>
      <w:r/>
      <w:bookmarkStart w:id="91" w:name="_Toc351203487"/>
      <w:r>
        <w:rPr>
          <w:rFonts w:hint="eastAsia" w:ascii="黑体" w:hAnsi="黑体" w:eastAsia="黑体" w:cs="黑体"/>
          <w:b w:val="0"/>
          <w:color w:val="auto"/>
          <w:szCs w:val="21"/>
          <w:highlight w:val="none"/>
        </w:rPr>
        <w:t xml:space="preserve">七、承诺</w:t>
      </w:r>
      <w:bookmarkEnd w:id="91"/>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3.发包人和承包人通过招投标形式签订合同的，双方理解并承诺不再就同一工程另行签订与合同实质性内容相背离的协议。</w:t>
      </w:r>
      <w:r/>
    </w:p>
    <w:p>
      <w:pPr>
        <w:pStyle w:val="1165"/>
        <w:keepLines w:val="0"/>
        <w:keepNext w:val="0"/>
        <w:rPr>
          <w:rFonts w:hint="eastAsia" w:ascii="黑体" w:hAnsi="黑体" w:eastAsia="黑体" w:cs="黑体"/>
          <w:b w:val="0"/>
          <w:color w:val="auto"/>
          <w:szCs w:val="21"/>
          <w:highlight w:val="none"/>
        </w:rPr>
      </w:pPr>
      <w:r/>
      <w:bookmarkStart w:id="92" w:name="_Toc351203488"/>
      <w:r>
        <w:rPr>
          <w:rFonts w:hint="eastAsia" w:ascii="黑体" w:hAnsi="黑体" w:eastAsia="黑体" w:cs="黑体"/>
          <w:b w:val="0"/>
          <w:color w:val="auto"/>
          <w:szCs w:val="21"/>
          <w:highlight w:val="none"/>
        </w:rPr>
        <w:t xml:space="preserve">八、词语含义</w:t>
      </w:r>
      <w:bookmarkEnd w:id="92"/>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本协议书中词语含义与第二部分通用合同条款中赋予的含义相同。</w:t>
      </w:r>
      <w:r/>
    </w:p>
    <w:p>
      <w:pPr>
        <w:pStyle w:val="1165"/>
        <w:keepLines w:val="0"/>
        <w:keepNext w:val="0"/>
        <w:rPr>
          <w:rFonts w:hint="eastAsia" w:ascii="黑体" w:hAnsi="黑体" w:eastAsia="黑体" w:cs="黑体"/>
          <w:bCs w:val="0"/>
          <w:color w:val="auto"/>
          <w:szCs w:val="21"/>
          <w:highlight w:val="none"/>
        </w:rPr>
      </w:pPr>
      <w:r/>
      <w:bookmarkStart w:id="93" w:name="_Toc351203489"/>
      <w:r>
        <w:rPr>
          <w:rFonts w:hint="eastAsia" w:ascii="黑体" w:hAnsi="黑体" w:eastAsia="黑体" w:cs="黑体"/>
          <w:b w:val="0"/>
          <w:color w:val="auto"/>
          <w:szCs w:val="21"/>
          <w:highlight w:val="none"/>
        </w:rPr>
        <w:t xml:space="preserve">九、签订时间</w:t>
      </w:r>
      <w:bookmarkEnd w:id="93"/>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本合同于</w:t>
      </w:r>
      <w:r>
        <w:rPr>
          <w:rFonts w:hint="eastAsia" w:ascii="黑体" w:hAnsi="黑体" w:eastAsia="黑体" w:cs="黑体"/>
          <w:bCs/>
          <w:color w:val="auto"/>
          <w:sz w:val="21"/>
          <w:szCs w:val="21"/>
          <w:highlight w:val="none"/>
          <w:u w:val="single"/>
        </w:rPr>
        <w:t xml:space="preserve">         </w:t>
      </w:r>
      <w:r>
        <w:rPr>
          <w:rFonts w:hint="eastAsia" w:ascii="黑体" w:hAnsi="黑体" w:eastAsia="黑体" w:cs="黑体"/>
          <w:bCs/>
          <w:color w:val="auto"/>
          <w:sz w:val="21"/>
          <w:szCs w:val="21"/>
          <w:highlight w:val="none"/>
        </w:rPr>
        <w:t xml:space="preserve">年</w:t>
      </w:r>
      <w:r>
        <w:rPr>
          <w:rFonts w:hint="eastAsia" w:ascii="黑体" w:hAnsi="黑体" w:eastAsia="黑体" w:cs="黑体"/>
          <w:bCs/>
          <w:color w:val="auto"/>
          <w:sz w:val="21"/>
          <w:szCs w:val="21"/>
          <w:highlight w:val="none"/>
          <w:u w:val="single"/>
        </w:rPr>
        <w:t xml:space="preserve">    </w:t>
      </w:r>
      <w:r>
        <w:rPr>
          <w:rFonts w:hint="eastAsia" w:ascii="黑体" w:hAnsi="黑体" w:eastAsia="黑体" w:cs="黑体"/>
          <w:bCs/>
          <w:color w:val="auto"/>
          <w:sz w:val="21"/>
          <w:szCs w:val="21"/>
          <w:highlight w:val="none"/>
        </w:rPr>
        <w:t xml:space="preserve">月</w:t>
      </w:r>
      <w:r>
        <w:rPr>
          <w:rFonts w:hint="eastAsia" w:ascii="黑体" w:hAnsi="黑体" w:eastAsia="黑体" w:cs="黑体"/>
          <w:bCs/>
          <w:color w:val="auto"/>
          <w:sz w:val="21"/>
          <w:szCs w:val="21"/>
          <w:highlight w:val="none"/>
          <w:u w:val="single"/>
        </w:rPr>
        <w:t xml:space="preserve">    </w:t>
      </w:r>
      <w:r>
        <w:rPr>
          <w:rFonts w:hint="eastAsia" w:ascii="黑体" w:hAnsi="黑体" w:eastAsia="黑体" w:cs="黑体"/>
          <w:bCs/>
          <w:color w:val="auto"/>
          <w:sz w:val="21"/>
          <w:szCs w:val="21"/>
          <w:highlight w:val="none"/>
        </w:rPr>
        <w:t xml:space="preserve">日签订。</w:t>
      </w:r>
      <w:r/>
    </w:p>
    <w:p>
      <w:pPr>
        <w:pStyle w:val="1165"/>
        <w:keepLines w:val="0"/>
        <w:keepNext w:val="0"/>
        <w:rPr>
          <w:rFonts w:hint="eastAsia" w:ascii="黑体" w:hAnsi="黑体" w:eastAsia="黑体" w:cs="黑体"/>
          <w:bCs w:val="0"/>
          <w:color w:val="auto"/>
          <w:szCs w:val="21"/>
          <w:highlight w:val="none"/>
        </w:rPr>
      </w:pPr>
      <w:r/>
      <w:bookmarkStart w:id="94" w:name="_Toc351203490"/>
      <w:r>
        <w:rPr>
          <w:rFonts w:hint="eastAsia" w:ascii="黑体" w:hAnsi="黑体" w:eastAsia="黑体" w:cs="黑体"/>
          <w:b w:val="0"/>
          <w:color w:val="auto"/>
          <w:szCs w:val="21"/>
          <w:highlight w:val="none"/>
        </w:rPr>
        <w:t xml:space="preserve">十、签订地点</w:t>
      </w:r>
      <w:bookmarkEnd w:id="94"/>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本合同在</w:t>
      </w:r>
      <w:r>
        <w:rPr>
          <w:rFonts w:hint="eastAsia" w:ascii="黑体" w:hAnsi="黑体" w:eastAsia="黑体" w:cs="黑体"/>
          <w:bCs/>
          <w:color w:val="auto"/>
          <w:sz w:val="21"/>
          <w:szCs w:val="21"/>
          <w:highlight w:val="none"/>
          <w:u w:val="single"/>
        </w:rPr>
        <w:t xml:space="preserve">  本工程所在地  </w:t>
      </w:r>
      <w:r>
        <w:rPr>
          <w:rFonts w:hint="eastAsia" w:ascii="黑体" w:hAnsi="黑体" w:eastAsia="黑体" w:cs="黑体"/>
          <w:bCs/>
          <w:color w:val="auto"/>
          <w:sz w:val="21"/>
          <w:szCs w:val="21"/>
          <w:highlight w:val="none"/>
        </w:rPr>
        <w:t xml:space="preserve">签订。</w:t>
      </w:r>
      <w:r/>
    </w:p>
    <w:p>
      <w:pPr>
        <w:pStyle w:val="1165"/>
        <w:keepLines w:val="0"/>
        <w:keepNext w:val="0"/>
        <w:rPr>
          <w:rFonts w:hint="eastAsia" w:ascii="黑体" w:hAnsi="黑体" w:eastAsia="黑体" w:cs="黑体"/>
          <w:bCs w:val="0"/>
          <w:color w:val="auto"/>
          <w:szCs w:val="21"/>
          <w:highlight w:val="none"/>
        </w:rPr>
      </w:pPr>
      <w:r/>
      <w:bookmarkStart w:id="95" w:name="_Toc351203491"/>
      <w:r>
        <w:rPr>
          <w:rFonts w:hint="eastAsia" w:ascii="黑体" w:hAnsi="黑体" w:eastAsia="黑体" w:cs="黑体"/>
          <w:b w:val="0"/>
          <w:color w:val="auto"/>
          <w:szCs w:val="21"/>
          <w:highlight w:val="none"/>
        </w:rPr>
        <w:t xml:space="preserve">十一、补充协议</w:t>
      </w:r>
      <w:bookmarkEnd w:id="95"/>
      <w:r/>
      <w:r/>
    </w:p>
    <w:p>
      <w:pPr>
        <w:ind w:firstLine="420"/>
        <w:spacing w:line="360" w:lineRule="auto"/>
        <w:rPr>
          <w:rFonts w:hint="eastAsia" w:ascii="黑体" w:hAnsi="黑体" w:eastAsia="黑体" w:cs="黑体"/>
          <w:b/>
          <w:bCs/>
          <w:color w:val="auto"/>
          <w:sz w:val="21"/>
          <w:szCs w:val="21"/>
          <w:highlight w:val="none"/>
        </w:rPr>
      </w:pPr>
      <w:r>
        <w:rPr>
          <w:rFonts w:hint="eastAsia" w:ascii="黑体" w:hAnsi="黑体" w:eastAsia="黑体" w:cs="黑体"/>
          <w:bCs/>
          <w:color w:val="auto"/>
          <w:sz w:val="21"/>
          <w:szCs w:val="21"/>
          <w:highlight w:val="none"/>
        </w:rPr>
        <w:t xml:space="preserve">合同未尽事宜，合同当事人另行签订补充协议，补充协议是合同的组成部分。</w:t>
      </w:r>
      <w:r/>
    </w:p>
    <w:p>
      <w:pPr>
        <w:pStyle w:val="1165"/>
        <w:keepLines w:val="0"/>
        <w:keepNext w:val="0"/>
        <w:rPr>
          <w:rFonts w:hint="eastAsia" w:ascii="黑体" w:hAnsi="黑体" w:eastAsia="黑体" w:cs="黑体"/>
          <w:bCs w:val="0"/>
          <w:color w:val="auto"/>
          <w:szCs w:val="21"/>
          <w:highlight w:val="none"/>
        </w:rPr>
      </w:pPr>
      <w:r/>
      <w:bookmarkStart w:id="96" w:name="_Toc351203492"/>
      <w:r>
        <w:rPr>
          <w:rFonts w:hint="eastAsia" w:ascii="黑体" w:hAnsi="黑体" w:eastAsia="黑体" w:cs="黑体"/>
          <w:b w:val="0"/>
          <w:color w:val="auto"/>
          <w:szCs w:val="21"/>
          <w:highlight w:val="none"/>
        </w:rPr>
        <w:t xml:space="preserve">十二、合同生效</w:t>
      </w:r>
      <w:bookmarkEnd w:id="96"/>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本合同自</w:t>
      </w:r>
      <w:r>
        <w:rPr>
          <w:rFonts w:hint="eastAsia" w:ascii="黑体" w:hAnsi="黑体" w:eastAsia="黑体" w:cs="黑体"/>
          <w:bCs/>
          <w:color w:val="auto"/>
          <w:sz w:val="21"/>
          <w:szCs w:val="21"/>
          <w:highlight w:val="none"/>
          <w:u w:val="single"/>
        </w:rPr>
        <w:t xml:space="preserve">  双方签字、盖章后  </w:t>
      </w:r>
      <w:r>
        <w:rPr>
          <w:rFonts w:hint="eastAsia" w:ascii="黑体" w:hAnsi="黑体" w:eastAsia="黑体" w:cs="黑体"/>
          <w:bCs/>
          <w:color w:val="auto"/>
          <w:sz w:val="21"/>
          <w:szCs w:val="21"/>
          <w:highlight w:val="none"/>
        </w:rPr>
        <w:t xml:space="preserve">生效。</w:t>
      </w:r>
      <w:r/>
    </w:p>
    <w:p>
      <w:pPr>
        <w:pStyle w:val="1165"/>
        <w:keepLines w:val="0"/>
        <w:keepNext w:val="0"/>
        <w:rPr>
          <w:rFonts w:hint="eastAsia" w:ascii="黑体" w:hAnsi="黑体" w:eastAsia="黑体" w:cs="黑体"/>
          <w:bCs w:val="0"/>
          <w:color w:val="auto"/>
          <w:szCs w:val="21"/>
          <w:highlight w:val="none"/>
        </w:rPr>
      </w:pPr>
      <w:r/>
      <w:bookmarkStart w:id="97" w:name="_Toc351203493"/>
      <w:r>
        <w:rPr>
          <w:rFonts w:hint="eastAsia" w:ascii="黑体" w:hAnsi="黑体" w:eastAsia="黑体" w:cs="黑体"/>
          <w:b w:val="0"/>
          <w:color w:val="auto"/>
          <w:szCs w:val="21"/>
          <w:highlight w:val="none"/>
        </w:rPr>
        <w:t xml:space="preserve">十三、合同份数</w:t>
      </w:r>
      <w:bookmarkEnd w:id="97"/>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t xml:space="preserve">本合同一式</w:t>
      </w:r>
      <w:r>
        <w:rPr>
          <w:rFonts w:hint="eastAsia" w:ascii="黑体" w:hAnsi="黑体" w:eastAsia="黑体" w:cs="黑体"/>
          <w:bCs/>
          <w:color w:val="auto"/>
          <w:sz w:val="21"/>
          <w:szCs w:val="21"/>
          <w:highlight w:val="none"/>
          <w:u w:val="single"/>
        </w:rPr>
        <w:t xml:space="preserve"> 捌 </w:t>
      </w:r>
      <w:r>
        <w:rPr>
          <w:rFonts w:hint="eastAsia" w:ascii="黑体" w:hAnsi="黑体" w:eastAsia="黑体" w:cs="黑体"/>
          <w:bCs/>
          <w:color w:val="auto"/>
          <w:sz w:val="21"/>
          <w:szCs w:val="21"/>
          <w:highlight w:val="none"/>
        </w:rPr>
        <w:t xml:space="preserve">份，均具有同等法律效力，发包人执</w:t>
      </w:r>
      <w:r>
        <w:rPr>
          <w:rFonts w:hint="eastAsia" w:ascii="黑体" w:hAnsi="黑体" w:eastAsia="黑体" w:cs="黑体"/>
          <w:bCs/>
          <w:color w:val="auto"/>
          <w:sz w:val="21"/>
          <w:szCs w:val="21"/>
          <w:highlight w:val="none"/>
          <w:u w:val="single"/>
        </w:rPr>
        <w:t xml:space="preserve">  肆 </w:t>
      </w:r>
      <w:r>
        <w:rPr>
          <w:rFonts w:hint="eastAsia" w:ascii="黑体" w:hAnsi="黑体" w:eastAsia="黑体" w:cs="黑体"/>
          <w:bCs/>
          <w:color w:val="auto"/>
          <w:sz w:val="21"/>
          <w:szCs w:val="21"/>
          <w:highlight w:val="none"/>
        </w:rPr>
        <w:t xml:space="preserve">份，承包人执</w:t>
      </w:r>
      <w:r>
        <w:rPr>
          <w:rFonts w:hint="eastAsia" w:ascii="黑体" w:hAnsi="黑体" w:eastAsia="黑体" w:cs="黑体"/>
          <w:bCs/>
          <w:color w:val="auto"/>
          <w:sz w:val="21"/>
          <w:szCs w:val="21"/>
          <w:highlight w:val="none"/>
          <w:u w:val="single"/>
        </w:rPr>
        <w:t xml:space="preserve"> 肆 </w:t>
      </w:r>
      <w:r>
        <w:rPr>
          <w:rFonts w:hint="eastAsia" w:ascii="黑体" w:hAnsi="黑体" w:eastAsia="黑体" w:cs="黑体"/>
          <w:bCs/>
          <w:color w:val="auto"/>
          <w:sz w:val="21"/>
          <w:szCs w:val="21"/>
          <w:highlight w:val="none"/>
        </w:rPr>
        <w:t xml:space="preserve">份。</w:t>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r>
      <w:r/>
    </w:p>
    <w:p>
      <w:pPr>
        <w:ind w:firstLine="420"/>
        <w:spacing w:line="360" w:lineRule="auto"/>
        <w:rPr>
          <w:rFonts w:hint="eastAsia" w:ascii="黑体" w:hAnsi="黑体" w:eastAsia="黑体" w:cs="黑体"/>
          <w:bCs/>
          <w:color w:val="auto"/>
          <w:sz w:val="21"/>
          <w:szCs w:val="21"/>
          <w:highlight w:val="none"/>
        </w:rPr>
      </w:pPr>
      <w:r>
        <w:rPr>
          <w:rFonts w:hint="eastAsia" w:ascii="黑体" w:hAnsi="黑体" w:eastAsia="黑体" w:cs="黑体"/>
          <w:bCs/>
          <w:color w:val="auto"/>
          <w:sz w:val="21"/>
          <w:szCs w:val="21"/>
          <w:highlight w:val="none"/>
        </w:rPr>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  (公章)             承包人：  (公章)</w:t>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法定代表人或其委托代理人：  法定代表人或其委托代理人：</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（签字）                    （签字）</w:t>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r>
      <w:r/>
    </w:p>
    <w:p>
      <w:pPr>
        <w:spacing w:line="360" w:lineRule="auto"/>
        <w:tabs>
          <w:tab w:val="left" w:pos="4410" w:leader="none"/>
        </w:tabs>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组织机构代码：</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组织机构代码：</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地  址：</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地  址：</w:t>
      </w:r>
      <w:r>
        <w:rPr>
          <w:rFonts w:hint="eastAsia" w:ascii="黑体" w:hAnsi="黑体" w:eastAsia="黑体" w:cs="黑体"/>
          <w:color w:val="auto"/>
          <w:sz w:val="21"/>
          <w:szCs w:val="21"/>
          <w:highlight w:val="none"/>
          <w:u w:val="single"/>
        </w:rPr>
        <w:t xml:space="preserve"> 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邮政编码：</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 邮政编码：</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  法定代表人：</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委托代理人：</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委托代理人：</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  话：</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电  话：</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传  真：</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传  真：</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电子信箱：</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电子信箱：</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开户银行：</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开户银行：</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账  号：</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  账  号：</w:t>
      </w:r>
      <w:r>
        <w:rPr>
          <w:rFonts w:hint="eastAsia" w:ascii="黑体" w:hAnsi="黑体" w:eastAsia="黑体" w:cs="黑体"/>
          <w:color w:val="auto"/>
          <w:sz w:val="21"/>
          <w:szCs w:val="21"/>
          <w:highlight w:val="none"/>
          <w:u w:val="single"/>
        </w:rPr>
        <w:t xml:space="preserve">     </w:t>
      </w:r>
      <w:r/>
    </w:p>
    <w:p>
      <w:pPr>
        <w:ind w:right="-36" w:firstLine="529"/>
        <w:spacing w:line="540" w:lineRule="exact"/>
        <w:tabs>
          <w:tab w:val="left" w:pos="0" w:leader="none"/>
        </w:tabs>
        <w:rPr>
          <w:rFonts w:hint="eastAsia" w:ascii="黑体" w:hAnsi="黑体" w:eastAsia="黑体" w:cs="黑体"/>
          <w:color w:val="auto"/>
          <w:highlight w:val="none"/>
        </w:rPr>
      </w:pPr>
      <w:r>
        <w:rPr>
          <w:rFonts w:hint="eastAsia" w:ascii="黑体" w:hAnsi="黑体" w:eastAsia="黑体" w:cs="黑体"/>
          <w:color w:val="auto"/>
          <w:highlight w:val="none"/>
        </w:rPr>
      </w:r>
      <w:r/>
    </w:p>
    <w:p>
      <w:pPr>
        <w:pStyle w:val="1164"/>
        <w:jc w:val="center"/>
        <w:keepLines w:val="0"/>
        <w:keepNext w:val="0"/>
        <w:spacing w:line="312" w:lineRule="auto"/>
        <w:rPr>
          <w:rFonts w:hint="eastAsia" w:ascii="黑体" w:hAnsi="黑体" w:eastAsia="黑体" w:cs="黑体"/>
          <w:color w:val="auto"/>
          <w:sz w:val="24"/>
          <w:szCs w:val="24"/>
          <w:highlight w:val="none"/>
        </w:rPr>
      </w:pPr>
      <w:r>
        <w:rPr>
          <w:rFonts w:hint="eastAsia" w:ascii="黑体" w:hAnsi="黑体" w:eastAsia="黑体" w:cs="黑体"/>
          <w:color w:val="auto"/>
          <w:highlight w:val="none"/>
        </w:rPr>
        <w:br w:type="page" w:clear="all"/>
      </w:r>
      <w:bookmarkStart w:id="98" w:name="_Toc498006745"/>
      <w:r>
        <w:rPr>
          <w:rFonts w:hint="eastAsia" w:ascii="黑体" w:hAnsi="黑体" w:eastAsia="黑体" w:cs="黑体"/>
          <w:color w:val="auto"/>
          <w:sz w:val="24"/>
          <w:szCs w:val="24"/>
          <w:highlight w:val="none"/>
        </w:rPr>
        <w:t xml:space="preserve">第二部分 通用合同条款</w:t>
      </w:r>
      <w:bookmarkEnd w:id="98"/>
      <w:r/>
      <w:r/>
    </w:p>
    <w:p>
      <w:pPr>
        <w:ind w:firstLine="480"/>
        <w:spacing w:line="312"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      采用《建设工程施工合同（示范文本）》（GF—2017—0201）。</w:t>
      </w:r>
      <w:r/>
    </w:p>
    <w:p>
      <w:pPr>
        <w:jc w:val="center"/>
        <w:spacing w:line="312" w:lineRule="auto"/>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此部分在正式签订合同时应不加修改的、完整的装订在合同中。</w:t>
      </w:r>
      <w:r/>
    </w:p>
    <w:p>
      <w:pPr>
        <w:jc w:val="center"/>
        <w:spacing w:line="312" w:lineRule="auto"/>
        <w:rPr>
          <w:rFonts w:hint="eastAsia" w:ascii="黑体" w:hAnsi="黑体" w:eastAsia="黑体" w:cs="黑体"/>
          <w:color w:val="auto"/>
          <w:sz w:val="24"/>
          <w:szCs w:val="24"/>
          <w:highlight w:val="none"/>
        </w:rPr>
        <w:outlineLvl w:val="2"/>
      </w:pPr>
      <w:r/>
      <w:bookmarkStart w:id="99" w:name="_Toc498006746"/>
      <w:r/>
      <w:r/>
    </w:p>
    <w:p>
      <w:pPr>
        <w:jc w:val="center"/>
        <w:spacing w:line="312" w:lineRule="auto"/>
        <w:rPr>
          <w:rFonts w:hint="eastAsia" w:ascii="黑体" w:hAnsi="黑体" w:eastAsia="黑体" w:cs="黑体"/>
          <w:b/>
          <w:bCs/>
          <w:color w:val="auto"/>
          <w:sz w:val="24"/>
          <w:szCs w:val="24"/>
          <w:highlight w:val="none"/>
        </w:rPr>
        <w:outlineLvl w:val="2"/>
      </w:pPr>
      <w:r>
        <w:rPr>
          <w:rFonts w:hint="eastAsia" w:ascii="黑体" w:hAnsi="黑体" w:eastAsia="黑体" w:cs="黑体"/>
          <w:b/>
          <w:bCs/>
          <w:color w:val="auto"/>
          <w:sz w:val="24"/>
          <w:szCs w:val="24"/>
          <w:highlight w:val="none"/>
        </w:rPr>
        <w:t xml:space="preserve">第三部分 专用合同条款</w:t>
      </w:r>
      <w:bookmarkEnd w:id="99"/>
      <w:r/>
      <w:r/>
    </w:p>
    <w:p>
      <w:pPr>
        <w:spacing w:line="312" w:lineRule="auto"/>
        <w:rPr>
          <w:rFonts w:hint="eastAsia" w:ascii="黑体" w:hAnsi="黑体" w:eastAsia="黑体" w:cs="黑体"/>
          <w:bCs/>
          <w:color w:val="auto"/>
          <w:sz w:val="21"/>
          <w:szCs w:val="21"/>
          <w:highlight w:val="none"/>
        </w:rPr>
        <w:outlineLvl w:val="3"/>
      </w:pPr>
      <w:r/>
      <w:bookmarkStart w:id="100" w:name="_Toc351203633"/>
      <w:r>
        <w:rPr>
          <w:rFonts w:hint="eastAsia" w:ascii="黑体" w:hAnsi="黑体" w:eastAsia="黑体" w:cs="黑体"/>
          <w:bCs/>
          <w:color w:val="auto"/>
          <w:sz w:val="21"/>
          <w:szCs w:val="21"/>
          <w:highlight w:val="none"/>
        </w:rPr>
        <w:t xml:space="preserve">1</w:t>
      </w:r>
      <w:bookmarkStart w:id="101" w:name="_Toc292559866"/>
      <w:r/>
      <w:bookmarkStart w:id="102" w:name="_Toc296346657"/>
      <w:r/>
      <w:bookmarkStart w:id="103" w:name="_Toc296944495"/>
      <w:r/>
      <w:bookmarkStart w:id="104" w:name="_Toc292559361"/>
      <w:r/>
      <w:bookmarkStart w:id="105" w:name="_Toc296503156"/>
      <w:r/>
      <w:bookmarkStart w:id="106" w:name="_Toc297120456"/>
      <w:r/>
      <w:bookmarkStart w:id="107" w:name="_Toc297048342"/>
      <w:r/>
      <w:bookmarkStart w:id="108" w:name="_Toc296891196"/>
      <w:r/>
      <w:bookmarkStart w:id="109" w:name="_Toc296347155"/>
      <w:r/>
      <w:bookmarkStart w:id="110" w:name="_Toc296890984"/>
      <w:r>
        <w:rPr>
          <w:rFonts w:hint="eastAsia" w:ascii="黑体" w:hAnsi="黑体" w:eastAsia="黑体" w:cs="黑体"/>
          <w:bCs/>
          <w:color w:val="auto"/>
          <w:sz w:val="21"/>
          <w:szCs w:val="21"/>
          <w:highlight w:val="none"/>
        </w:rPr>
        <w:t xml:space="preserve">. 一般约定</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20"/>
        <w:spacing w:line="312" w:lineRule="auto"/>
        <w:rPr>
          <w:rFonts w:hint="eastAsia" w:ascii="黑体" w:hAnsi="黑体" w:eastAsia="黑体" w:cs="黑体"/>
          <w:color w:val="auto"/>
          <w:sz w:val="21"/>
          <w:szCs w:val="21"/>
          <w:highlight w:val="none"/>
        </w:rPr>
        <w:outlineLvl w:val="0"/>
      </w:pPr>
      <w:r/>
      <w:bookmarkStart w:id="111" w:name="_Toc23198"/>
      <w:r>
        <w:rPr>
          <w:rFonts w:hint="eastAsia" w:ascii="黑体" w:hAnsi="黑体" w:eastAsia="黑体" w:cs="黑体"/>
          <w:color w:val="auto"/>
          <w:sz w:val="21"/>
          <w:szCs w:val="21"/>
          <w:highlight w:val="none"/>
        </w:rPr>
        <w:t xml:space="preserve">1.1 词语定义</w:t>
      </w:r>
      <w:bookmarkEnd w:id="111"/>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1.1.1合同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1.1.1.10其他合同文件包括：</w:t>
      </w:r>
      <w:r>
        <w:rPr>
          <w:rFonts w:hint="eastAsia" w:ascii="黑体" w:hAnsi="黑体" w:eastAsia="黑体" w:cs="黑体"/>
          <w:color w:val="auto"/>
          <w:sz w:val="21"/>
          <w:szCs w:val="21"/>
          <w:highlight w:val="none"/>
          <w:u w:val="single"/>
        </w:rPr>
        <w:t xml:space="preserve">履行合同过程中双方书面确认的会议纪要、联系单、签证、设计变更等资料。</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1.1.2 合同当事人及其他相关方</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1.1.2.4监理人：</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名    称：</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资质类别和等级：</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联系电话：</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电子信箱：</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通信地址：</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1.1.2.5 设计人：</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名    称：</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资质类别和等级：</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联系电话：</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电子信箱：</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通信地址：</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1.1.3 工程和设备</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1.1.3.7 作为施工现场组成部分的其他场所包括：</w:t>
      </w:r>
      <w:r>
        <w:rPr>
          <w:rFonts w:hint="eastAsia" w:ascii="黑体" w:hAnsi="黑体" w:eastAsia="黑体" w:cs="黑体"/>
          <w:color w:val="auto"/>
          <w:sz w:val="21"/>
          <w:szCs w:val="21"/>
          <w:highlight w:val="none"/>
          <w:u w:val="single"/>
        </w:rPr>
        <w:t xml:space="preserve">现场临时办公及施工场地。</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1.1.3.9 永久占地包括：</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1.1.3.10 临时占地包括：</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1.3法律 </w:t>
      </w:r>
      <w:r/>
    </w:p>
    <w:p>
      <w:pPr>
        <w:ind w:firstLine="63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适用于合同的其他规范性文件：</w:t>
      </w:r>
      <w:r>
        <w:rPr>
          <w:rFonts w:hint="eastAsia" w:ascii="黑体" w:hAnsi="黑体" w:eastAsia="黑体" w:cs="黑体"/>
          <w:color w:val="auto"/>
          <w:sz w:val="21"/>
          <w:szCs w:val="21"/>
          <w:highlight w:val="none"/>
          <w:u w:val="single"/>
        </w:rPr>
        <w:t xml:space="preserve">适用于工程的国家标准、行业标准、工程所在地的地方性标准以及相应的规范、规程等。</w:t>
      </w:r>
      <w:r/>
    </w:p>
    <w:p>
      <w:pPr>
        <w:ind w:firstLine="525"/>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 标准和规范</w:t>
      </w:r>
      <w:r/>
    </w:p>
    <w:p>
      <w:pPr>
        <w:ind w:firstLine="525"/>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1.4.1适用于工程的标准规范包括：</w:t>
      </w:r>
      <w:r>
        <w:rPr>
          <w:rFonts w:hint="eastAsia" w:ascii="黑体" w:hAnsi="黑体" w:eastAsia="黑体" w:cs="黑体"/>
          <w:color w:val="auto"/>
          <w:sz w:val="21"/>
          <w:szCs w:val="21"/>
          <w:highlight w:val="none"/>
          <w:u w:val="single"/>
        </w:rPr>
        <w:t xml:space="preserve">设计有要求的按设计要求执行，设计没有要求的执行现行国家及江苏省、徐州市的有关标准及其他适用于本工程的技术标准、规范等。</w:t>
      </w:r>
      <w:r/>
    </w:p>
    <w:p>
      <w:pPr>
        <w:ind w:left="596"/>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1.4.2 发包人提供国外标准、规范的名称：</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发包人提供国外标准、规范的份数：</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发包人提供国外标准、规范的名称：</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left="596"/>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1.4.3发包人对工程的技术标准和功能要求的特殊要求：</w:t>
      </w:r>
      <w:r>
        <w:rPr>
          <w:rFonts w:hint="eastAsia" w:ascii="黑体" w:hAnsi="黑体" w:eastAsia="黑体" w:cs="黑体"/>
          <w:color w:val="auto"/>
          <w:sz w:val="21"/>
          <w:szCs w:val="21"/>
          <w:highlight w:val="none"/>
          <w:u w:val="single"/>
        </w:rPr>
        <w:t xml:space="preserve">符合有关行业主管部门和业主的要求</w:t>
      </w:r>
      <w:r>
        <w:rPr>
          <w:rFonts w:hint="eastAsia" w:ascii="黑体" w:hAnsi="黑体" w:eastAsia="黑体" w:cs="黑体"/>
          <w:color w:val="auto"/>
          <w:sz w:val="21"/>
          <w:szCs w:val="21"/>
          <w:highlight w:val="none"/>
        </w:rPr>
        <w:t xml:space="preserve">。</w:t>
      </w:r>
      <w:r/>
    </w:p>
    <w:p>
      <w:pPr>
        <w:ind w:left="596"/>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 合同文件的优先顺序</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合同文件组成及优先顺序为：</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1）本合同协议书及补充协议书</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2）中标通知书</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3）投标书及其附件</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4）本合同专用条款</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5）本合同通用条款</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6）标准、规范及有关技术文件</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7）图纸</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8）招标文件及答疑纪要、已标价工程量清单或预算书</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9）工程报价单或预算书</w:t>
      </w:r>
      <w:r/>
    </w:p>
    <w:p>
      <w:pPr>
        <w:ind w:firstLine="63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10）双方有关工程的洽商、变更等书面协议或文件视为本合同的组成部分。</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上述各项合同文件包括合同当事人就该项合同文件所作出的补充和修改，属于同一类内容的文件，应以最新签署的为准。</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20"/>
        <w:spacing w:line="312" w:lineRule="auto"/>
        <w:rPr>
          <w:rFonts w:hint="eastAsia" w:ascii="黑体" w:hAnsi="黑体" w:eastAsia="黑体" w:cs="黑体"/>
          <w:color w:val="auto"/>
          <w:sz w:val="21"/>
          <w:szCs w:val="21"/>
          <w:highlight w:val="none"/>
        </w:rPr>
        <w:outlineLvl w:val="0"/>
      </w:pPr>
      <w:r/>
      <w:bookmarkStart w:id="112" w:name="_Toc18298"/>
      <w:r>
        <w:rPr>
          <w:rFonts w:hint="eastAsia" w:ascii="黑体" w:hAnsi="黑体" w:eastAsia="黑体" w:cs="黑体"/>
          <w:color w:val="auto"/>
          <w:sz w:val="21"/>
          <w:szCs w:val="21"/>
          <w:highlight w:val="none"/>
        </w:rPr>
        <w:t xml:space="preserve">1.6 图纸和承包人文件</w:t>
      </w:r>
      <w:bookmarkEnd w:id="112"/>
      <w:r>
        <w:rPr>
          <w:rFonts w:hint="eastAsia" w:ascii="黑体" w:hAnsi="黑体" w:eastAsia="黑体" w:cs="黑体"/>
          <w:color w:val="auto"/>
          <w:sz w:val="21"/>
          <w:szCs w:val="21"/>
          <w:highlight w:val="none"/>
        </w:rPr>
        <w:tab/>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1.6.1 图纸的提供</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发包人向承包人提供图纸的期限：</w:t>
      </w:r>
      <w:r>
        <w:rPr>
          <w:rFonts w:hint="eastAsia" w:ascii="黑体" w:hAnsi="黑体" w:eastAsia="黑体" w:cs="黑体"/>
          <w:color w:val="auto"/>
          <w:sz w:val="21"/>
          <w:szCs w:val="21"/>
          <w:highlight w:val="none"/>
          <w:u w:val="single"/>
        </w:rPr>
        <w:t xml:space="preserve">合同签订后7日内提供图纸</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发包人向承包人提供图纸的数量：</w:t>
      </w:r>
      <w:r>
        <w:rPr>
          <w:rFonts w:hint="eastAsia" w:ascii="黑体" w:hAnsi="黑体" w:eastAsia="黑体" w:cs="黑体"/>
          <w:color w:val="auto"/>
          <w:sz w:val="21"/>
          <w:szCs w:val="21"/>
          <w:highlight w:val="none"/>
          <w:u w:val="single"/>
        </w:rPr>
        <w:t xml:space="preserve">合同签订后 7日内，提供叁套施工图纸，如承包人需增加施工图纸，由发包人与设计院联系，出图费由承包人自行承担</w:t>
      </w: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u w:val="single"/>
        </w:rPr>
        <w:t xml:space="preserve">设计文件和图纸由发包人统一提供，承包人不得直接接收设计单位提供的设计文件和图纸。</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发包人向承包人提供图纸的内容：</w:t>
      </w:r>
      <w:r>
        <w:rPr>
          <w:rFonts w:hint="eastAsia" w:ascii="黑体" w:hAnsi="黑体" w:eastAsia="黑体" w:cs="黑体"/>
          <w:color w:val="auto"/>
          <w:sz w:val="21"/>
          <w:szCs w:val="21"/>
          <w:highlight w:val="none"/>
          <w:u w:val="single"/>
        </w:rPr>
        <w:t xml:space="preserve">通过图纸审查的全套施工图纸</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1.6.2 图纸的错误</w:t>
      </w:r>
      <w:r/>
    </w:p>
    <w:p>
      <w:pPr>
        <w:ind w:firstLine="420"/>
        <w:spacing w:line="312" w:lineRule="auto"/>
        <w:rPr>
          <w:rFonts w:hint="eastAsia" w:ascii="黑体" w:hAnsi="黑体" w:eastAsia="黑体" w:cs="黑体"/>
          <w:b/>
          <w:bCs/>
          <w:color w:val="auto"/>
          <w:sz w:val="21"/>
          <w:szCs w:val="21"/>
          <w:highlight w:val="none"/>
          <w:lang w:eastAsia="zh-CN"/>
        </w:rPr>
      </w:pPr>
      <w:r>
        <w:rPr>
          <w:rFonts w:hint="eastAsia" w:ascii="黑体" w:hAnsi="黑体" w:eastAsia="黑体" w:cs="黑体"/>
          <w:b/>
          <w:bCs/>
          <w:color w:val="auto"/>
          <w:sz w:val="21"/>
          <w:szCs w:val="21"/>
          <w:highlight w:val="none"/>
        </w:rPr>
        <w:t xml:space="preserve">承包人在收到发包人提供的图纸后，应就各专业进行合图，发现图纸存在差错、遗漏或缺陷的，应及时通知发包人。如因承包人未合图</w:t>
      </w:r>
      <w:r>
        <w:rPr>
          <w:rFonts w:hint="eastAsia" w:ascii="黑体" w:hAnsi="黑体" w:eastAsia="黑体" w:cs="黑体"/>
          <w:b/>
          <w:bCs/>
          <w:color w:val="auto"/>
          <w:sz w:val="21"/>
          <w:szCs w:val="21"/>
          <w:highlight w:val="none"/>
          <w:lang w:val="en-US" w:eastAsia="zh-CN"/>
        </w:rPr>
        <w:t xml:space="preserve">或合图不完善</w:t>
      </w:r>
      <w:r>
        <w:rPr>
          <w:rFonts w:hint="eastAsia" w:ascii="黑体" w:hAnsi="黑体" w:eastAsia="黑体" w:cs="黑体"/>
          <w:b/>
          <w:bCs/>
          <w:color w:val="auto"/>
          <w:sz w:val="21"/>
          <w:szCs w:val="21"/>
          <w:highlight w:val="none"/>
        </w:rPr>
        <w:t xml:space="preserve">导致后续施工返工的，</w:t>
      </w:r>
      <w:r>
        <w:rPr>
          <w:rFonts w:hint="eastAsia" w:ascii="黑体" w:hAnsi="黑体" w:eastAsia="黑体" w:cs="黑体"/>
          <w:b/>
          <w:bCs/>
          <w:color w:val="auto"/>
          <w:sz w:val="21"/>
          <w:szCs w:val="21"/>
          <w:highlight w:val="none"/>
          <w:lang w:val="en-US" w:eastAsia="zh-CN"/>
        </w:rPr>
        <w:t xml:space="preserve">由此产生的</w:t>
      </w:r>
      <w:r>
        <w:rPr>
          <w:rFonts w:hint="eastAsia" w:ascii="黑体" w:hAnsi="黑体" w:eastAsia="黑体" w:cs="黑体"/>
          <w:b/>
          <w:bCs/>
          <w:color w:val="auto"/>
          <w:sz w:val="21"/>
          <w:szCs w:val="21"/>
          <w:highlight w:val="none"/>
        </w:rPr>
        <w:t xml:space="preserve">全部返工</w:t>
      </w:r>
      <w:r>
        <w:rPr>
          <w:rFonts w:hint="eastAsia" w:ascii="黑体" w:hAnsi="黑体" w:eastAsia="黑体" w:cs="黑体"/>
          <w:b/>
          <w:bCs/>
          <w:color w:val="auto"/>
          <w:sz w:val="21"/>
          <w:szCs w:val="21"/>
          <w:highlight w:val="none"/>
          <w:lang w:val="en-US" w:eastAsia="zh-CN"/>
        </w:rPr>
        <w:t xml:space="preserve">费用和</w:t>
      </w:r>
      <w:r>
        <w:rPr>
          <w:rFonts w:hint="eastAsia" w:ascii="黑体" w:hAnsi="黑体" w:eastAsia="黑体" w:cs="黑体"/>
          <w:b/>
          <w:bCs/>
          <w:color w:val="auto"/>
          <w:sz w:val="21"/>
          <w:szCs w:val="21"/>
          <w:highlight w:val="none"/>
        </w:rPr>
        <w:t xml:space="preserve">延误的工期由承包人承担</w:t>
      </w:r>
      <w:r>
        <w:rPr>
          <w:rFonts w:hint="eastAsia" w:ascii="黑体" w:hAnsi="黑体" w:eastAsia="黑体" w:cs="黑体"/>
          <w:b/>
          <w:bCs/>
          <w:color w:val="auto"/>
          <w:sz w:val="21"/>
          <w:szCs w:val="21"/>
          <w:highlight w:val="none"/>
          <w:lang w:eastAsia="zh-CN"/>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1.6.4 承包人文件</w:t>
      </w:r>
      <w:r/>
    </w:p>
    <w:p>
      <w:pPr>
        <w:ind w:left="596"/>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需要由承包人提供的文件，包括：</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①按 GB/T50502、本合同第二部分 通用合同条款 7.1 和7.2 编制施工组织设计、施工措施计划、施工方案报监理人审核和发包人确认；</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②由承包人办理的许可和批准的办理结果书面报送监理人审核和发包人确认、留存；</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③拟制施工人员名册（动态），并与为其办理工伤保险的有效证明一起报送监理人审核和发包人确认；</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⑤特殊工种作业人员资格证明报送监理人审核和发包人确认；</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黑体" w:hAnsi="黑体" w:eastAsia="黑体" w:cs="黑体"/>
          <w:color w:val="auto"/>
          <w:sz w:val="21"/>
          <w:szCs w:val="21"/>
          <w:highlight w:val="none"/>
        </w:rPr>
        <w:t xml:space="preserve">；</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⑦工程质量管理体系及措施文件、质量检查制度、质量控制文件，报送监理人审核和发包人确认；</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⑧工程安全管理体系及措施文件、安全检查制度、安全控制文件，报送监理人审核和发包人确认；</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⑨发包人管理需要的其他文件。</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⑩上述文件如发包人因管理需增加时，承包人有义务按发包人提出的形式、格式、数量、时间等要求提供。</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承包人提供的文件的期限为：</w:t>
      </w:r>
      <w:r>
        <w:rPr>
          <w:rFonts w:hint="eastAsia" w:ascii="黑体" w:hAnsi="黑体" w:eastAsia="黑体" w:cs="黑体"/>
          <w:color w:val="auto"/>
          <w:sz w:val="21"/>
          <w:szCs w:val="21"/>
          <w:highlight w:val="none"/>
          <w:u w:val="single"/>
        </w:rPr>
        <w:t xml:space="preserve">合同签定后 7 日内</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承包人提供的文件的数量为：</w:t>
      </w:r>
      <w:r>
        <w:rPr>
          <w:rFonts w:hint="eastAsia" w:ascii="黑体" w:hAnsi="黑体" w:eastAsia="黑体" w:cs="黑体"/>
          <w:color w:val="auto"/>
          <w:sz w:val="21"/>
          <w:szCs w:val="21"/>
          <w:highlight w:val="none"/>
          <w:u w:val="single"/>
        </w:rPr>
        <w:t xml:space="preserve">纸质版肆套，电子版一套</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承包人提供的文件的形式为：</w:t>
      </w:r>
      <w:r>
        <w:rPr>
          <w:rFonts w:hint="eastAsia" w:ascii="黑体" w:hAnsi="黑体" w:eastAsia="黑体" w:cs="黑体"/>
          <w:color w:val="auto"/>
          <w:sz w:val="21"/>
          <w:szCs w:val="21"/>
          <w:highlight w:val="none"/>
          <w:u w:val="single"/>
        </w:rPr>
        <w:t xml:space="preserve">加盖承包人鲜章（公章）的书面文件，电子版</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发包人审批承包人文件的期限：</w:t>
      </w:r>
      <w:r>
        <w:rPr>
          <w:rFonts w:hint="eastAsia" w:ascii="黑体" w:hAnsi="黑体" w:eastAsia="黑体" w:cs="黑体"/>
          <w:color w:val="auto"/>
          <w:sz w:val="21"/>
          <w:szCs w:val="21"/>
          <w:highlight w:val="none"/>
          <w:u w:val="single"/>
        </w:rPr>
        <w:t xml:space="preserve">7 个工作日内</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1.6.5 现场图纸准备</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关于现场图纸准备的约定：</w:t>
      </w:r>
      <w:r>
        <w:rPr>
          <w:rFonts w:hint="eastAsia" w:ascii="黑体" w:hAnsi="黑体" w:eastAsia="黑体" w:cs="黑体"/>
          <w:color w:val="auto"/>
          <w:sz w:val="21"/>
          <w:szCs w:val="21"/>
          <w:highlight w:val="none"/>
          <w:u w:val="single"/>
        </w:rPr>
        <w:t xml:space="preserve">承包人应在施工现场另外保存一套完整的图纸和承包人文件，供发包人、监理人及有关人员进行工程检查时使用。</w:t>
      </w:r>
      <w:r/>
    </w:p>
    <w:p>
      <w:pPr>
        <w:ind w:firstLine="420"/>
        <w:spacing w:line="312" w:lineRule="auto"/>
        <w:rPr>
          <w:rFonts w:hint="eastAsia" w:ascii="黑体" w:hAnsi="黑体" w:eastAsia="黑体" w:cs="黑体"/>
          <w:color w:val="auto"/>
          <w:sz w:val="21"/>
          <w:szCs w:val="21"/>
          <w:highlight w:val="none"/>
        </w:rPr>
        <w:outlineLvl w:val="0"/>
      </w:pPr>
      <w:r/>
      <w:bookmarkStart w:id="113" w:name="_Toc6025"/>
      <w:r>
        <w:rPr>
          <w:rFonts w:hint="eastAsia" w:ascii="黑体" w:hAnsi="黑体" w:eastAsia="黑体" w:cs="黑体"/>
          <w:color w:val="auto"/>
          <w:sz w:val="21"/>
          <w:szCs w:val="21"/>
          <w:highlight w:val="none"/>
        </w:rPr>
        <w:t xml:space="preserve">1.7 联络</w:t>
      </w:r>
      <w:bookmarkEnd w:id="113"/>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1.7.1发包人和承包人应当在</w:t>
      </w:r>
      <w:r>
        <w:rPr>
          <w:rFonts w:hint="eastAsia" w:ascii="黑体" w:hAnsi="黑体" w:eastAsia="黑体" w:cs="黑体"/>
          <w:color w:val="auto"/>
          <w:sz w:val="21"/>
          <w:szCs w:val="21"/>
          <w:highlight w:val="none"/>
          <w:u w:val="single"/>
        </w:rPr>
        <w:t xml:space="preserve"> 5 </w:t>
      </w:r>
      <w:r>
        <w:rPr>
          <w:rFonts w:hint="eastAsia" w:ascii="黑体" w:hAnsi="黑体" w:eastAsia="黑体" w:cs="黑体"/>
          <w:color w:val="auto"/>
          <w:sz w:val="21"/>
          <w:szCs w:val="21"/>
          <w:highlight w:val="none"/>
        </w:rPr>
        <w:t xml:space="preserve">天内将与合同有关的通知、批准、证明、证书、指示、指令、要求、请求、同意、意见、确定和决定等书面函件送达对方当事人。</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1.7.2 发包人接收文件的地点：</w:t>
      </w:r>
      <w:r>
        <w:rPr>
          <w:rFonts w:hint="eastAsia" w:ascii="黑体" w:hAnsi="黑体" w:eastAsia="黑体" w:cs="黑体"/>
          <w:color w:val="auto"/>
          <w:sz w:val="21"/>
          <w:szCs w:val="21"/>
          <w:highlight w:val="none"/>
          <w:u w:val="single"/>
        </w:rPr>
        <w:t xml:space="preserve">发包人指定地点</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发包人指定的接收人为：</w:t>
      </w:r>
      <w:r>
        <w:rPr>
          <w:rFonts w:hint="eastAsia" w:ascii="黑体" w:hAnsi="黑体" w:eastAsia="黑体" w:cs="黑体"/>
          <w:color w:val="auto"/>
          <w:sz w:val="21"/>
          <w:szCs w:val="21"/>
          <w:highlight w:val="none"/>
          <w:u w:val="single"/>
        </w:rPr>
        <w:t xml:space="preserve">发包人驻工地代表</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承包人接收文件的地点：</w:t>
      </w:r>
      <w:r>
        <w:rPr>
          <w:rFonts w:hint="eastAsia" w:ascii="黑体" w:hAnsi="黑体" w:eastAsia="黑体" w:cs="黑体"/>
          <w:color w:val="auto"/>
          <w:sz w:val="21"/>
          <w:szCs w:val="21"/>
          <w:highlight w:val="none"/>
          <w:u w:val="single"/>
        </w:rPr>
        <w:t xml:space="preserve">承包人驻工地办公室</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承包人指定的接收人为：</w:t>
      </w:r>
      <w:r>
        <w:rPr>
          <w:rFonts w:hint="eastAsia" w:ascii="黑体" w:hAnsi="黑体" w:eastAsia="黑体" w:cs="黑体"/>
          <w:color w:val="auto"/>
          <w:sz w:val="21"/>
          <w:szCs w:val="21"/>
          <w:highlight w:val="none"/>
          <w:u w:val="single"/>
        </w:rPr>
        <w:t xml:space="preserve">承包人项目经理或其指定的代理人</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监理人接收文件的地点：</w:t>
      </w:r>
      <w:r>
        <w:rPr>
          <w:rFonts w:hint="eastAsia" w:ascii="黑体" w:hAnsi="黑体" w:eastAsia="黑体" w:cs="黑体"/>
          <w:color w:val="auto"/>
          <w:sz w:val="21"/>
          <w:szCs w:val="21"/>
          <w:highlight w:val="none"/>
          <w:u w:val="single"/>
        </w:rPr>
        <w:t xml:space="preserve">本项目监理项目部</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监理人指定的接收人为：</w:t>
      </w:r>
      <w:r>
        <w:rPr>
          <w:rFonts w:hint="eastAsia" w:ascii="黑体" w:hAnsi="黑体" w:eastAsia="黑体" w:cs="黑体"/>
          <w:color w:val="auto"/>
          <w:sz w:val="21"/>
          <w:szCs w:val="21"/>
          <w:highlight w:val="none"/>
          <w:u w:val="single"/>
        </w:rPr>
        <w:t xml:space="preserve">本项目的总监理工程师或其指定的代理人</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outlineLvl w:val="0"/>
      </w:pPr>
      <w:r/>
      <w:bookmarkStart w:id="114" w:name="_Toc14821"/>
      <w:r>
        <w:rPr>
          <w:rFonts w:hint="eastAsia" w:ascii="黑体" w:hAnsi="黑体" w:eastAsia="黑体" w:cs="黑体"/>
          <w:color w:val="auto"/>
          <w:sz w:val="21"/>
          <w:szCs w:val="21"/>
          <w:highlight w:val="none"/>
        </w:rPr>
        <w:t xml:space="preserve">1.10 交通运输</w:t>
      </w:r>
      <w:bookmarkEnd w:id="114"/>
      <w:r/>
      <w:r/>
    </w:p>
    <w:p>
      <w:pPr>
        <w:ind w:firstLine="420"/>
        <w:spacing w:line="312" w:lineRule="auto"/>
        <w:rPr>
          <w:rFonts w:hint="eastAsia" w:ascii="黑体" w:hAnsi="黑体" w:eastAsia="黑体" w:cs="黑体"/>
          <w:color w:val="auto"/>
          <w:sz w:val="21"/>
          <w:szCs w:val="21"/>
          <w:highlight w:val="none"/>
        </w:rPr>
        <w:outlineLvl w:val="0"/>
      </w:pPr>
      <w:r/>
      <w:bookmarkStart w:id="115" w:name="_Toc22505"/>
      <w:r>
        <w:rPr>
          <w:rFonts w:hint="eastAsia" w:ascii="黑体" w:hAnsi="黑体" w:eastAsia="黑体" w:cs="黑体"/>
          <w:color w:val="auto"/>
          <w:sz w:val="21"/>
          <w:szCs w:val="21"/>
          <w:highlight w:val="none"/>
        </w:rPr>
        <w:t xml:space="preserve">1</w:t>
      </w:r>
      <w:bookmarkStart w:id="116" w:name="_Toc312677986"/>
      <w:r/>
      <w:bookmarkStart w:id="117" w:name="_Toc318581155"/>
      <w:r/>
      <w:bookmarkStart w:id="118" w:name="_Toc304295521"/>
      <w:r/>
      <w:bookmarkStart w:id="119" w:name="_Toc303539100"/>
      <w:r/>
      <w:bookmarkStart w:id="120" w:name="_Toc300934943"/>
      <w:r>
        <w:rPr>
          <w:rFonts w:hint="eastAsia" w:ascii="黑体" w:hAnsi="黑体" w:eastAsia="黑体" w:cs="黑体"/>
          <w:color w:val="auto"/>
          <w:sz w:val="21"/>
          <w:szCs w:val="21"/>
          <w:highlight w:val="none"/>
        </w:rPr>
        <w:t xml:space="preserve">.10.1 出入现场的权利</w:t>
      </w:r>
      <w:bookmarkEnd w:id="115"/>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关于出入现场的权利的约定：</w:t>
      </w:r>
      <w:bookmarkEnd w:id="116"/>
      <w:r/>
      <w:bookmarkEnd w:id="117"/>
      <w:r/>
      <w:bookmarkEnd w:id="118"/>
      <w:r/>
      <w:bookmarkEnd w:id="119"/>
      <w:r/>
      <w:bookmarkEnd w:id="120"/>
      <w:r>
        <w:rPr>
          <w:rFonts w:hint="eastAsia" w:ascii="黑体" w:hAnsi="黑体" w:eastAsia="黑体" w:cs="黑体"/>
          <w:color w:val="auto"/>
          <w:sz w:val="21"/>
          <w:szCs w:val="21"/>
          <w:highlight w:val="none"/>
          <w:u w:val="single"/>
        </w:rPr>
        <w:t xml:space="preserve">由承包人按发包人要求负责取得出入施工现场所需的批准手续和全部权利，以及取得因施工所需修建道路、桥梁以及其他基础设施的权利，并承担相关手续费用和建设费用</w:t>
      </w: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u w:val="single"/>
        </w:rPr>
        <w:t xml:space="preserve">此费用包含在投标报价内</w:t>
      </w:r>
      <w:r>
        <w:rPr>
          <w:rFonts w:hint="eastAsia" w:ascii="黑体" w:hAnsi="黑体" w:eastAsia="黑体" w:cs="黑体"/>
          <w:color w:val="auto"/>
          <w:sz w:val="21"/>
          <w:szCs w:val="21"/>
          <w:highlight w:val="none"/>
        </w:rPr>
        <w:t xml:space="preserve">。 </w:t>
      </w:r>
      <w:r/>
    </w:p>
    <w:p>
      <w:pPr>
        <w:ind w:left="596"/>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1.10.2 场外交通</w:t>
      </w:r>
      <w:r/>
    </w:p>
    <w:p>
      <w:pPr>
        <w:spacing w:line="312" w:lineRule="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 xml:space="preserve">场外交通设施无法满足工程施工需要的，由承包人负责完善并承担相关费用，费用已包含在签约合同价中。</w:t>
      </w:r>
      <w:r/>
    </w:p>
    <w:p>
      <w:pPr>
        <w:ind w:left="596"/>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bookmarkStart w:id="121" w:name="_Toc304295522"/>
      <w:r/>
      <w:bookmarkStart w:id="122" w:name="_Toc300934944"/>
      <w:r/>
      <w:bookmarkStart w:id="123" w:name="_Toc318581156"/>
      <w:r/>
      <w:bookmarkStart w:id="124" w:name="_Toc303539101"/>
      <w:r/>
      <w:bookmarkStart w:id="125" w:name="_Toc312677987"/>
      <w:r>
        <w:rPr>
          <w:rFonts w:hint="eastAsia" w:ascii="黑体" w:hAnsi="黑体" w:eastAsia="黑体" w:cs="黑体"/>
          <w:color w:val="auto"/>
          <w:sz w:val="21"/>
          <w:szCs w:val="21"/>
          <w:highlight w:val="none"/>
        </w:rPr>
        <w:t xml:space="preserve">.10.3 场内交通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关于场外交通和场内交通的边界的约定：</w:t>
      </w:r>
      <w:r>
        <w:rPr>
          <w:rFonts w:hint="eastAsia" w:ascii="黑体" w:hAnsi="黑体" w:eastAsia="黑体" w:cs="黑体"/>
          <w:color w:val="auto"/>
          <w:sz w:val="21"/>
          <w:szCs w:val="21"/>
          <w:highlight w:val="none"/>
          <w:u w:val="single"/>
        </w:rPr>
        <w:t xml:space="preserve">以现场实际施工条件为准</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关于发包人向承包人免费提供满足工程施工需要的场内道路和交通设施的约定：</w:t>
      </w:r>
      <w:bookmarkEnd w:id="121"/>
      <w:r/>
      <w:bookmarkEnd w:id="122"/>
      <w:r/>
      <w:bookmarkEnd w:id="123"/>
      <w:r/>
      <w:bookmarkEnd w:id="124"/>
      <w:r/>
      <w:bookmarkEnd w:id="125"/>
      <w:r/>
      <w:bookmarkStart w:id="126" w:name="_Toc318581157"/>
      <w:r>
        <w:rPr>
          <w:rFonts w:hint="eastAsia" w:ascii="黑体" w:hAnsi="黑体" w:eastAsia="黑体" w:cs="黑体"/>
          <w:color w:val="auto"/>
          <w:sz w:val="21"/>
          <w:szCs w:val="21"/>
          <w:highlight w:val="none"/>
          <w:u w:val="single"/>
        </w:rPr>
        <w:t xml:space="preserve">以投标时场地现状为准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1.10.4超大件和超重件的运输</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运输超大件或超重件所需的道路和桥梁临时加固改造费用和其他有关费用由</w:t>
      </w:r>
      <w:r>
        <w:rPr>
          <w:rFonts w:hint="eastAsia" w:ascii="黑体" w:hAnsi="黑体" w:eastAsia="黑体" w:cs="黑体"/>
          <w:color w:val="auto"/>
          <w:sz w:val="21"/>
          <w:szCs w:val="21"/>
          <w:highlight w:val="none"/>
          <w:u w:val="single"/>
        </w:rPr>
        <w:t xml:space="preserve">承包人</w:t>
      </w:r>
      <w:r>
        <w:rPr>
          <w:rFonts w:hint="eastAsia" w:ascii="黑体" w:hAnsi="黑体" w:eastAsia="黑体" w:cs="黑体"/>
          <w:color w:val="auto"/>
          <w:sz w:val="21"/>
          <w:szCs w:val="21"/>
          <w:highlight w:val="none"/>
        </w:rPr>
        <w:t xml:space="preserve">承担。</w:t>
      </w:r>
      <w:bookmarkEnd w:id="126"/>
      <w:r/>
      <w:r/>
    </w:p>
    <w:p>
      <w:pPr>
        <w:ind w:firstLine="420"/>
        <w:spacing w:line="312" w:lineRule="auto"/>
        <w:rPr>
          <w:rFonts w:hint="eastAsia" w:ascii="黑体" w:hAnsi="黑体" w:eastAsia="黑体" w:cs="黑体"/>
          <w:color w:val="auto"/>
          <w:sz w:val="21"/>
          <w:szCs w:val="21"/>
          <w:highlight w:val="none"/>
        </w:rPr>
        <w:outlineLvl w:val="0"/>
      </w:pPr>
      <w:r/>
      <w:bookmarkStart w:id="127" w:name="_Toc30848"/>
      <w:r>
        <w:rPr>
          <w:rFonts w:hint="eastAsia" w:ascii="黑体" w:hAnsi="黑体" w:eastAsia="黑体" w:cs="黑体"/>
          <w:color w:val="auto"/>
          <w:sz w:val="21"/>
          <w:szCs w:val="21"/>
          <w:highlight w:val="none"/>
        </w:rPr>
        <w:t xml:space="preserve">1.11 知识产权</w:t>
      </w:r>
      <w:bookmarkEnd w:id="127"/>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left="596"/>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关于发包人提供的上述文件的使用限制的要求：</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left="596"/>
        <w:spacing w:line="312" w:lineRule="auto"/>
        <w:rPr>
          <w:rFonts w:hint="eastAsia" w:ascii="黑体" w:hAnsi="黑体" w:eastAsia="黑体" w:cs="黑体"/>
          <w:color w:val="auto"/>
          <w:sz w:val="21"/>
          <w:szCs w:val="21"/>
          <w:highlight w:val="none"/>
        </w:rPr>
        <w:outlineLvl w:val="0"/>
      </w:pPr>
      <w:r/>
      <w:bookmarkStart w:id="128" w:name="_Toc18690"/>
      <w:r>
        <w:rPr>
          <w:rFonts w:hint="eastAsia" w:ascii="黑体" w:hAnsi="黑体" w:eastAsia="黑体" w:cs="黑体"/>
          <w:color w:val="auto"/>
          <w:sz w:val="21"/>
          <w:szCs w:val="21"/>
          <w:highlight w:val="none"/>
        </w:rPr>
        <w:t xml:space="preserve">1.11.2 关于承包人为实施工程所编制文件的著作权的归属：</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bookmarkEnd w:id="128"/>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关于承包人提供的上述文件的使用限制的要求：</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outlineLvl w:val="0"/>
      </w:pPr>
      <w:r/>
      <w:bookmarkStart w:id="129" w:name="_Toc6678"/>
      <w:r>
        <w:rPr>
          <w:rFonts w:hint="eastAsia" w:ascii="黑体" w:hAnsi="黑体" w:eastAsia="黑体" w:cs="黑体"/>
          <w:color w:val="auto"/>
          <w:sz w:val="21"/>
          <w:szCs w:val="21"/>
          <w:highlight w:val="none"/>
        </w:rPr>
        <w:t xml:space="preserve">1.11.4 承包人在施工过程中所采用的专利、专有技术、技术秘密的使用费的承担方式：</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bookmarkEnd w:id="129"/>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1.13工程量清单错误的修正</w:t>
      </w:r>
      <w:r/>
    </w:p>
    <w:p>
      <w:pPr>
        <w:ind w:firstLine="420"/>
        <w:spacing w:line="312" w:lineRule="auto"/>
        <w:rPr>
          <w:rFonts w:hint="eastAsia" w:ascii="黑体" w:hAnsi="黑体" w:eastAsia="黑体" w:cs="黑体"/>
          <w:b/>
          <w:bCs/>
          <w:color w:val="auto"/>
          <w:sz w:val="21"/>
          <w:szCs w:val="21"/>
          <w:highlight w:val="none"/>
          <w:u w:val="single"/>
        </w:rPr>
      </w:pPr>
      <w:r>
        <w:rPr>
          <w:rFonts w:hint="eastAsia" w:ascii="黑体" w:hAnsi="黑体" w:eastAsia="黑体" w:cs="黑体"/>
          <w:color w:val="auto"/>
          <w:sz w:val="21"/>
          <w:szCs w:val="21"/>
          <w:highlight w:val="none"/>
        </w:rPr>
        <w:t xml:space="preserve">出现工程量清单错误时，是否调整合同价格：</w:t>
      </w:r>
      <w:r>
        <w:rPr>
          <w:rFonts w:hint="eastAsia" w:ascii="黑体" w:hAnsi="黑体" w:eastAsia="黑体" w:cs="黑体"/>
          <w:b/>
          <w:bCs/>
          <w:color w:val="auto"/>
          <w:sz w:val="21"/>
          <w:szCs w:val="21"/>
          <w:highlight w:val="none"/>
          <w:u w:val="single"/>
        </w:rPr>
        <w:t xml:space="preserve">不调整，承包人应在投标阶段复核工程量清单，如有疑问应在投标阶段以答疑方式提出，无论是否提出异议，提交投标文件即视为认可工程量清单无误。</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允许调整合同价格的工程量偏差范围：</w:t>
      </w:r>
      <w:bookmarkStart w:id="130" w:name="_Toc351203634"/>
      <w:r>
        <w:rPr>
          <w:rFonts w:hint="eastAsia" w:ascii="黑体" w:hAnsi="黑体" w:eastAsia="黑体" w:cs="黑体"/>
          <w:b/>
          <w:bCs/>
          <w:color w:val="auto"/>
          <w:sz w:val="21"/>
          <w:szCs w:val="21"/>
          <w:highlight w:val="none"/>
          <w:u w:val="single"/>
        </w:rPr>
        <w:t xml:space="preserve">不调整</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2</w:t>
      </w:r>
      <w:bookmarkStart w:id="131" w:name="_Toc296891197"/>
      <w:r/>
      <w:bookmarkStart w:id="132" w:name="_Toc296503157"/>
      <w:r/>
      <w:bookmarkStart w:id="133" w:name="_Toc292559362"/>
      <w:r/>
      <w:bookmarkStart w:id="134" w:name="_Toc297048343"/>
      <w:r/>
      <w:bookmarkStart w:id="135" w:name="_Toc296347156"/>
      <w:r/>
      <w:bookmarkStart w:id="136" w:name="_Toc296890985"/>
      <w:r/>
      <w:bookmarkStart w:id="137" w:name="_Toc297120457"/>
      <w:r/>
      <w:bookmarkStart w:id="138" w:name="_Toc292559867"/>
      <w:r/>
      <w:bookmarkStart w:id="139" w:name="_Toc296346658"/>
      <w:r/>
      <w:bookmarkStart w:id="140" w:name="_Toc296944496"/>
      <w:r>
        <w:rPr>
          <w:rFonts w:hint="eastAsia" w:ascii="黑体" w:hAnsi="黑体" w:eastAsia="黑体" w:cs="黑体"/>
          <w:b/>
          <w:color w:val="auto"/>
          <w:sz w:val="21"/>
          <w:szCs w:val="21"/>
          <w:highlight w:val="none"/>
        </w:rPr>
        <w:t xml:space="preserve">. 发包人</w:t>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20"/>
        <w:spacing w:line="312" w:lineRule="auto"/>
        <w:rPr>
          <w:rFonts w:hint="eastAsia" w:ascii="黑体" w:hAnsi="黑体" w:eastAsia="黑体" w:cs="黑体"/>
          <w:color w:val="auto"/>
          <w:sz w:val="21"/>
          <w:szCs w:val="21"/>
          <w:highlight w:val="none"/>
        </w:rPr>
        <w:outlineLvl w:val="0"/>
      </w:pPr>
      <w:r/>
      <w:bookmarkStart w:id="141" w:name="_Toc4798"/>
      <w:r>
        <w:rPr>
          <w:rFonts w:hint="eastAsia" w:ascii="黑体" w:hAnsi="黑体" w:eastAsia="黑体" w:cs="黑体"/>
          <w:color w:val="auto"/>
          <w:sz w:val="21"/>
          <w:szCs w:val="21"/>
          <w:highlight w:val="none"/>
        </w:rPr>
        <w:t xml:space="preserve">2.2 发包人代表</w:t>
      </w:r>
      <w:bookmarkEnd w:id="141"/>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发包人代表：</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姓    名：</w:t>
      </w:r>
      <w:r>
        <w:rPr>
          <w:rFonts w:hint="eastAsia" w:ascii="黑体" w:hAnsi="黑体" w:eastAsia="黑体" w:cs="黑体"/>
          <w:color w:val="auto"/>
          <w:sz w:val="21"/>
          <w:szCs w:val="21"/>
          <w:highlight w:val="none"/>
          <w:u w:val="single"/>
        </w:rPr>
        <w:t xml:space="preserve"> 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身份证号：</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职    务：</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联系电话：</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电子信箱：</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通信地址：</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发包人对发包人代表的授权范围如下：</w:t>
      </w:r>
      <w:r>
        <w:rPr>
          <w:rFonts w:hint="eastAsia" w:ascii="黑体" w:hAnsi="黑体" w:eastAsia="黑体" w:cs="黑体"/>
          <w:color w:val="auto"/>
          <w:sz w:val="21"/>
          <w:szCs w:val="21"/>
          <w:highlight w:val="none"/>
          <w:u w:val="single"/>
        </w:rPr>
        <w:t xml:space="preserve">主持开展施工现场的全面工作协助外部环境的协调与配合,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需要取得发包人批准才能行使的职权:</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(1)批准改变工程质量验收的标准</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(2)批准延长工期</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 (3)批准涉及到对合同总价有影响 的变更或指示</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(4)批准工程索赔</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(5)批准施工程序的重大变更</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(6)批准重要部位的设计变更</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 (7)确定工程变更估价。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2.4 施工现场、施工条件和基础资料的提供</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2.4.1 提供施工现场</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关于发包人移交施工现场的期限要求：</w:t>
      </w:r>
      <w:r>
        <w:rPr>
          <w:rFonts w:hint="eastAsia" w:ascii="黑体" w:hAnsi="黑体" w:eastAsia="黑体" w:cs="黑体"/>
          <w:color w:val="auto"/>
          <w:sz w:val="21"/>
          <w:szCs w:val="21"/>
          <w:highlight w:val="none"/>
          <w:u w:val="single"/>
        </w:rPr>
        <w:t xml:space="preserve">开工通知载明的开工日期 7 日前</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2.4.2 提供施工条件</w:t>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关于发包人应负责提供施工所需要的条件，包括：</w:t>
      </w:r>
      <w:r/>
    </w:p>
    <w:p>
      <w:pPr>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其自行缴纳。承包人逾期缴纳，发包人有权从承包人工程款中直接扣除 。</w:t>
      </w:r>
      <w:r/>
    </w:p>
    <w:p>
      <w:pPr>
        <w:pStyle w:val="1181"/>
        <w:ind w:left="0" w:right="0" w:firstLine="420"/>
        <w:spacing w:before="0" w:after="0"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自行缴纳。承包人逾期缴纳，发包人有权从承包人工程款中直接扣除 。</w:t>
      </w:r>
      <w:r/>
    </w:p>
    <w:p>
      <w:pPr>
        <w:pStyle w:val="1181"/>
        <w:ind w:left="0" w:right="0" w:firstLine="420"/>
        <w:spacing w:before="0" w:after="0"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场外施工道路为市政现状，场内施工道路由承包人根据批准的施工组织设计在开工前自行完成，并满足施工要求及有关规定，此费用包含在投标报价内。</w:t>
      </w:r>
      <w:r/>
    </w:p>
    <w:p>
      <w:pPr>
        <w:ind w:firstLine="420"/>
        <w:spacing w:line="312" w:lineRule="auto"/>
        <w:rPr>
          <w:rFonts w:hint="eastAsia" w:ascii="黑体" w:hAnsi="黑体" w:eastAsia="黑体" w:cs="黑体"/>
          <w:color w:val="auto"/>
          <w:sz w:val="21"/>
          <w:szCs w:val="21"/>
          <w:highlight w:val="none"/>
          <w:u w:val="single"/>
        </w:rPr>
        <w:outlineLvl w:val="0"/>
      </w:pPr>
      <w:r/>
      <w:bookmarkStart w:id="142" w:name="_Toc2570"/>
      <w:r>
        <w:rPr>
          <w:rFonts w:hint="eastAsia" w:ascii="黑体" w:hAnsi="黑体" w:eastAsia="黑体" w:cs="黑体"/>
          <w:color w:val="auto"/>
          <w:sz w:val="21"/>
          <w:szCs w:val="21"/>
          <w:highlight w:val="none"/>
          <w:u w:val="single"/>
        </w:rPr>
        <w:t xml:space="preserve">图纸会审和设计交底时间：开工前一周内。</w:t>
      </w:r>
      <w:bookmarkEnd w:id="142"/>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20"/>
        <w:spacing w:line="312" w:lineRule="auto"/>
        <w:rPr>
          <w:rFonts w:hint="eastAsia" w:ascii="黑体" w:hAnsi="黑体" w:eastAsia="黑体" w:cs="黑体"/>
          <w:color w:val="auto"/>
          <w:sz w:val="21"/>
          <w:szCs w:val="21"/>
          <w:highlight w:val="none"/>
        </w:rPr>
        <w:outlineLvl w:val="0"/>
      </w:pPr>
      <w:r/>
      <w:bookmarkStart w:id="143" w:name="_Toc20878"/>
      <w:r>
        <w:rPr>
          <w:rFonts w:hint="eastAsia" w:ascii="黑体" w:hAnsi="黑体" w:eastAsia="黑体" w:cs="黑体"/>
          <w:color w:val="auto"/>
          <w:sz w:val="21"/>
          <w:szCs w:val="21"/>
          <w:highlight w:val="none"/>
          <w:u w:val="single"/>
        </w:rPr>
        <w:t xml:space="preserve">开工前一周内完成施工期间的周边关系及第三方干扰等由承包人负责协调，所需费用含在投标报价内。</w:t>
      </w:r>
      <w:bookmarkEnd w:id="143"/>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2.4.3提供基础资料</w:t>
      </w:r>
      <w:r/>
    </w:p>
    <w:p>
      <w:pPr>
        <w:ind w:firstLine="420"/>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发包人应当在移交施工现场前向承包人提供施工现场及工程实施所必需的毗邻区域内的供水、排水、供电、供气、供热、通信、广播电视等地下管线和设施资料，气象和水文观测资料，地质勘察资料，相邻建筑物、构筑物和地下工程等有关基础资料</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承包人应审核发包人提供</w:t>
      </w:r>
      <w:r>
        <w:rPr>
          <w:rFonts w:hint="eastAsia" w:ascii="黑体" w:hAnsi="黑体" w:eastAsia="黑体" w:cs="黑体"/>
          <w:color w:val="auto"/>
          <w:sz w:val="21"/>
          <w:szCs w:val="21"/>
          <w:highlight w:val="none"/>
          <w:u w:val="single"/>
          <w:lang w:val="en-US" w:eastAsia="zh-CN"/>
        </w:rPr>
        <w:t xml:space="preserve">的</w:t>
      </w:r>
      <w:r>
        <w:rPr>
          <w:rFonts w:hint="eastAsia" w:ascii="黑体" w:hAnsi="黑体" w:eastAsia="黑体" w:cs="黑体"/>
          <w:color w:val="auto"/>
          <w:sz w:val="21"/>
          <w:szCs w:val="21"/>
          <w:highlight w:val="none"/>
          <w:u w:val="single"/>
        </w:rPr>
        <w:t xml:space="preserve">资料是否齐全</w:t>
      </w:r>
      <w:r>
        <w:rPr>
          <w:rFonts w:hint="eastAsia" w:ascii="黑体" w:hAnsi="黑体" w:eastAsia="黑体" w:cs="黑体"/>
          <w:color w:val="auto"/>
          <w:sz w:val="21"/>
          <w:szCs w:val="21"/>
          <w:highlight w:val="none"/>
          <w:u w:val="single"/>
          <w:lang w:val="en-US" w:eastAsia="zh-CN"/>
        </w:rPr>
        <w:t xml:space="preserve">或存在错误</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u w:val="single"/>
          <w:lang w:val="en-US" w:eastAsia="zh-CN"/>
        </w:rPr>
        <w:t xml:space="preserve">如</w:t>
      </w:r>
      <w:r>
        <w:rPr>
          <w:rFonts w:hint="eastAsia" w:ascii="黑体" w:hAnsi="黑体" w:eastAsia="黑体" w:cs="黑体"/>
          <w:color w:val="auto"/>
          <w:sz w:val="21"/>
          <w:szCs w:val="21"/>
          <w:highlight w:val="none"/>
          <w:u w:val="single"/>
        </w:rPr>
        <w:t xml:space="preserve">发现发包人提供</w:t>
      </w:r>
      <w:r>
        <w:rPr>
          <w:rFonts w:hint="eastAsia" w:ascii="黑体" w:hAnsi="黑体" w:eastAsia="黑体" w:cs="黑体"/>
          <w:color w:val="auto"/>
          <w:sz w:val="21"/>
          <w:szCs w:val="21"/>
          <w:highlight w:val="none"/>
          <w:u w:val="single"/>
          <w:lang w:val="en-US" w:eastAsia="zh-CN"/>
        </w:rPr>
        <w:t xml:space="preserve">的</w:t>
      </w:r>
      <w:r>
        <w:rPr>
          <w:rFonts w:hint="eastAsia" w:ascii="黑体" w:hAnsi="黑体" w:eastAsia="黑体" w:cs="黑体"/>
          <w:color w:val="auto"/>
          <w:sz w:val="21"/>
          <w:szCs w:val="21"/>
          <w:highlight w:val="none"/>
          <w:u w:val="single"/>
        </w:rPr>
        <w:t xml:space="preserve">资料不齐全</w:t>
      </w:r>
      <w:r>
        <w:rPr>
          <w:rFonts w:hint="eastAsia" w:ascii="黑体" w:hAnsi="黑体" w:eastAsia="黑体" w:cs="黑体"/>
          <w:color w:val="auto"/>
          <w:sz w:val="21"/>
          <w:szCs w:val="21"/>
          <w:highlight w:val="none"/>
          <w:u w:val="single"/>
          <w:lang w:val="en-US" w:eastAsia="zh-CN"/>
        </w:rPr>
        <w:t xml:space="preserve">或</w:t>
      </w:r>
      <w:r>
        <w:rPr>
          <w:rFonts w:hint="eastAsia" w:ascii="黑体" w:hAnsi="黑体" w:eastAsia="黑体" w:cs="黑体"/>
          <w:color w:val="auto"/>
          <w:sz w:val="21"/>
          <w:szCs w:val="21"/>
          <w:highlight w:val="none"/>
          <w:u w:val="single"/>
        </w:rPr>
        <w:t xml:space="preserve">错误的</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承包人应在收到发包人提供资料之日起3日内提出</w:t>
      </w:r>
      <w:r>
        <w:rPr>
          <w:rFonts w:hint="eastAsia" w:ascii="黑体" w:hAnsi="黑体" w:eastAsia="黑体" w:cs="黑体"/>
          <w:color w:val="auto"/>
          <w:sz w:val="21"/>
          <w:szCs w:val="21"/>
          <w:highlight w:val="none"/>
          <w:u w:val="single"/>
          <w:lang w:val="en-US" w:eastAsia="zh-CN"/>
        </w:rPr>
        <w:t xml:space="preserve">补正</w:t>
      </w:r>
      <w:r>
        <w:rPr>
          <w:rFonts w:hint="eastAsia" w:ascii="黑体" w:hAnsi="黑体" w:eastAsia="黑体" w:cs="黑体"/>
          <w:color w:val="auto"/>
          <w:sz w:val="21"/>
          <w:szCs w:val="21"/>
          <w:highlight w:val="none"/>
          <w:u w:val="single"/>
        </w:rPr>
        <w:t xml:space="preserve">资料的要求，否则视为发包人提供</w:t>
      </w:r>
      <w:r>
        <w:rPr>
          <w:rFonts w:hint="eastAsia" w:ascii="黑体" w:hAnsi="黑体" w:eastAsia="黑体" w:cs="黑体"/>
          <w:color w:val="auto"/>
          <w:sz w:val="21"/>
          <w:szCs w:val="21"/>
          <w:highlight w:val="none"/>
          <w:u w:val="single"/>
          <w:lang w:val="en-US" w:eastAsia="zh-CN"/>
        </w:rPr>
        <w:t xml:space="preserve">的</w:t>
      </w:r>
      <w:r>
        <w:rPr>
          <w:rFonts w:hint="eastAsia" w:ascii="黑体" w:hAnsi="黑体" w:eastAsia="黑体" w:cs="黑体"/>
          <w:color w:val="auto"/>
          <w:sz w:val="21"/>
          <w:szCs w:val="21"/>
          <w:highlight w:val="none"/>
          <w:u w:val="single"/>
        </w:rPr>
        <w:t xml:space="preserve">资料齐全</w:t>
      </w:r>
      <w:r>
        <w:rPr>
          <w:rFonts w:hint="eastAsia" w:ascii="黑体" w:hAnsi="黑体" w:eastAsia="黑体" w:cs="黑体"/>
          <w:color w:val="auto"/>
          <w:sz w:val="21"/>
          <w:szCs w:val="21"/>
          <w:highlight w:val="none"/>
          <w:u w:val="single"/>
          <w:lang w:val="en-US" w:eastAsia="zh-CN"/>
        </w:rPr>
        <w:t xml:space="preserve">正确</w:t>
      </w:r>
      <w:r>
        <w:rPr>
          <w:rFonts w:hint="eastAsia" w:ascii="黑体" w:hAnsi="黑体" w:eastAsia="黑体" w:cs="黑体"/>
          <w:color w:val="auto"/>
          <w:sz w:val="21"/>
          <w:szCs w:val="21"/>
          <w:highlight w:val="none"/>
          <w:u w:val="singl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2.5 资金来源证明及支付担保</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发包人提供资金来源证明的期限要求：</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发包人是否提供支付担保：</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发包人提供支付担保的形式：</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spacing w:line="312" w:lineRule="auto"/>
        <w:rPr>
          <w:rFonts w:hint="eastAsia" w:ascii="黑体" w:hAnsi="黑体" w:eastAsia="黑体" w:cs="黑体"/>
          <w:bCs/>
          <w:color w:val="auto"/>
          <w:sz w:val="21"/>
          <w:szCs w:val="21"/>
          <w:highlight w:val="none"/>
        </w:rPr>
        <w:outlineLvl w:val="3"/>
      </w:pPr>
      <w:r/>
      <w:bookmarkStart w:id="144" w:name="_Toc351203635"/>
      <w:r>
        <w:rPr>
          <w:rFonts w:hint="eastAsia" w:ascii="黑体" w:hAnsi="黑体" w:eastAsia="黑体" w:cs="黑体"/>
          <w:bCs/>
          <w:color w:val="auto"/>
          <w:sz w:val="21"/>
          <w:szCs w:val="21"/>
          <w:highlight w:val="none"/>
        </w:rPr>
        <w:t xml:space="preserve">3</w:t>
      </w:r>
      <w:bookmarkStart w:id="145" w:name="_Toc296891198"/>
      <w:r/>
      <w:bookmarkStart w:id="146" w:name="_Toc296346659"/>
      <w:r/>
      <w:bookmarkStart w:id="147" w:name="_Toc296944497"/>
      <w:r/>
      <w:bookmarkStart w:id="148" w:name="_Toc296890986"/>
      <w:r/>
      <w:bookmarkStart w:id="149" w:name="_Toc292559363"/>
      <w:r/>
      <w:bookmarkStart w:id="150" w:name="_Toc296347157"/>
      <w:r/>
      <w:bookmarkStart w:id="151" w:name="_Toc296503158"/>
      <w:r/>
      <w:bookmarkStart w:id="152" w:name="_Toc292559868"/>
      <w:r/>
      <w:bookmarkStart w:id="153" w:name="_Toc297048344"/>
      <w:r/>
      <w:bookmarkStart w:id="154" w:name="_Toc297120458"/>
      <w:r>
        <w:rPr>
          <w:rFonts w:hint="eastAsia" w:ascii="黑体" w:hAnsi="黑体" w:eastAsia="黑体" w:cs="黑体"/>
          <w:bCs/>
          <w:color w:val="auto"/>
          <w:sz w:val="21"/>
          <w:szCs w:val="21"/>
          <w:highlight w:val="none"/>
        </w:rPr>
        <w:t xml:space="preserve">. 承包人</w:t>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3.1 承包人的一般义务</w:t>
      </w:r>
      <w:r/>
    </w:p>
    <w:p>
      <w:pPr>
        <w:ind w:firstLine="420"/>
        <w:spacing w:line="312" w:lineRule="auto"/>
        <w:rPr>
          <w:rFonts w:hint="eastAsia" w:ascii="黑体" w:hAnsi="黑体" w:eastAsia="黑体" w:cs="黑体"/>
          <w:color w:val="auto"/>
          <w:sz w:val="21"/>
          <w:szCs w:val="21"/>
          <w:highlight w:val="none"/>
          <w:u w:val="single"/>
        </w:rPr>
        <w:outlineLvl w:val="0"/>
      </w:pPr>
      <w:r/>
      <w:bookmarkStart w:id="155" w:name="_Toc16185"/>
      <w:r>
        <w:rPr>
          <w:rFonts w:hint="eastAsia" w:ascii="黑体" w:hAnsi="黑体" w:eastAsia="黑体" w:cs="黑体"/>
          <w:color w:val="auto"/>
          <w:sz w:val="21"/>
          <w:szCs w:val="21"/>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w:t>
      </w:r>
      <w:bookmarkEnd w:id="155"/>
      <w:r>
        <w:rPr>
          <w:rFonts w:hint="eastAsia" w:ascii="黑体" w:hAnsi="黑体" w:eastAsia="黑体" w:cs="黑体"/>
          <w:color w:val="auto"/>
          <w:sz w:val="21"/>
          <w:szCs w:val="21"/>
          <w:highlight w:val="none"/>
          <w:u w:val="single"/>
        </w:rPr>
        <w:t xml:space="preserve"> </w:t>
      </w:r>
      <w:r/>
    </w:p>
    <w:p>
      <w:pPr>
        <w:ind w:firstLine="420"/>
        <w:spacing w:line="312" w:lineRule="auto"/>
        <w:rPr>
          <w:rFonts w:hint="eastAsia" w:ascii="黑体" w:hAnsi="黑体" w:eastAsia="黑体" w:cs="黑体"/>
          <w:color w:val="auto"/>
          <w:sz w:val="21"/>
          <w:szCs w:val="21"/>
          <w:highlight w:val="none"/>
          <w:u w:val="single"/>
        </w:rPr>
        <w:outlineLvl w:val="0"/>
      </w:pPr>
      <w:r/>
      <w:bookmarkStart w:id="156" w:name="_Toc1091"/>
      <w:r>
        <w:rPr>
          <w:rFonts w:hint="eastAsia" w:ascii="黑体" w:hAnsi="黑体" w:eastAsia="黑体" w:cs="黑体"/>
          <w:color w:val="auto"/>
          <w:sz w:val="21"/>
          <w:szCs w:val="21"/>
          <w:highlight w:val="none"/>
          <w:u w:val="single"/>
        </w:rPr>
        <w:t xml:space="preserve">3.1.2 施工过程中的排污、环卫、市容、城建、城管、治安、人口管理、夜间施工、渣土许可等相关手续由承包人按规定负责办理，对临近居民和行人的影响由承包人负责处理并承担相应费用。</w:t>
      </w:r>
      <w:bookmarkEnd w:id="156"/>
      <w:r>
        <w:rPr>
          <w:rFonts w:hint="eastAsia" w:ascii="黑体" w:hAnsi="黑体" w:eastAsia="黑体" w:cs="黑体"/>
          <w:color w:val="auto"/>
          <w:sz w:val="21"/>
          <w:szCs w:val="21"/>
          <w:highlight w:val="none"/>
          <w:u w:val="single"/>
        </w:rPr>
        <w:t xml:space="preserve"> </w:t>
      </w:r>
      <w:r/>
    </w:p>
    <w:p>
      <w:pPr>
        <w:ind w:firstLine="420"/>
        <w:spacing w:line="312" w:lineRule="auto"/>
        <w:rPr>
          <w:rFonts w:hint="eastAsia" w:ascii="黑体" w:hAnsi="黑体" w:eastAsia="黑体" w:cs="黑体"/>
          <w:color w:val="auto"/>
          <w:sz w:val="21"/>
          <w:szCs w:val="21"/>
          <w:highlight w:val="none"/>
          <w:u w:val="single"/>
        </w:rPr>
        <w:outlineLvl w:val="0"/>
      </w:pPr>
      <w:r/>
      <w:bookmarkStart w:id="157" w:name="_Toc15092"/>
      <w:r>
        <w:rPr>
          <w:rFonts w:hint="eastAsia" w:ascii="黑体" w:hAnsi="黑体" w:eastAsia="黑体" w:cs="黑体"/>
          <w:color w:val="auto"/>
          <w:sz w:val="21"/>
          <w:szCs w:val="21"/>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bookmarkEnd w:id="157"/>
      <w:r>
        <w:rPr>
          <w:rFonts w:hint="eastAsia" w:ascii="黑体" w:hAnsi="黑体" w:eastAsia="黑体" w:cs="黑体"/>
          <w:color w:val="auto"/>
          <w:sz w:val="21"/>
          <w:szCs w:val="21"/>
          <w:highlight w:val="none"/>
          <w:u w:val="single"/>
        </w:rPr>
        <w:t xml:space="preserve"> </w:t>
      </w:r>
      <w:r/>
    </w:p>
    <w:p>
      <w:pPr>
        <w:ind w:firstLine="420"/>
        <w:spacing w:line="312" w:lineRule="auto"/>
        <w:rPr>
          <w:rFonts w:hint="eastAsia" w:ascii="黑体" w:hAnsi="黑体" w:eastAsia="黑体" w:cs="黑体"/>
          <w:color w:val="auto"/>
          <w:sz w:val="21"/>
          <w:szCs w:val="21"/>
          <w:highlight w:val="none"/>
          <w:u w:val="single"/>
        </w:rPr>
        <w:outlineLvl w:val="0"/>
      </w:pPr>
      <w:r/>
      <w:bookmarkStart w:id="158" w:name="_Toc13733"/>
      <w:r>
        <w:rPr>
          <w:rFonts w:hint="eastAsia" w:ascii="黑体" w:hAnsi="黑体" w:eastAsia="黑体" w:cs="黑体"/>
          <w:color w:val="auto"/>
          <w:sz w:val="21"/>
          <w:szCs w:val="21"/>
          <w:highlight w:val="none"/>
          <w:u w:val="single"/>
        </w:rPr>
        <w:t xml:space="preserve">3.1.4 承包人按规定做好施工场地周围地下管线和邻近建筑物的保护。</w:t>
      </w:r>
      <w:bookmarkEnd w:id="158"/>
      <w:r>
        <w:rPr>
          <w:rFonts w:hint="eastAsia" w:ascii="黑体" w:hAnsi="黑体" w:eastAsia="黑体" w:cs="黑体"/>
          <w:color w:val="auto"/>
          <w:sz w:val="21"/>
          <w:szCs w:val="21"/>
          <w:highlight w:val="none"/>
          <w:u w:val="single"/>
        </w:rPr>
        <w:t xml:space="preserve"> </w:t>
      </w:r>
      <w:r/>
    </w:p>
    <w:p>
      <w:pPr>
        <w:ind w:firstLine="420"/>
        <w:spacing w:line="312" w:lineRule="auto"/>
        <w:rPr>
          <w:rFonts w:hint="eastAsia" w:ascii="黑体" w:hAnsi="黑体" w:eastAsia="黑体" w:cs="黑体"/>
          <w:color w:val="auto"/>
          <w:sz w:val="21"/>
          <w:szCs w:val="21"/>
          <w:highlight w:val="none"/>
          <w:u w:val="single"/>
        </w:rPr>
        <w:outlineLvl w:val="0"/>
      </w:pPr>
      <w:r/>
      <w:bookmarkStart w:id="159" w:name="_Toc6323"/>
      <w:r>
        <w:rPr>
          <w:rFonts w:hint="eastAsia" w:ascii="黑体" w:hAnsi="黑体" w:eastAsia="黑体" w:cs="黑体"/>
          <w:color w:val="auto"/>
          <w:sz w:val="21"/>
          <w:szCs w:val="21"/>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bookmarkEnd w:id="159"/>
      <w:r/>
      <w:r/>
    </w:p>
    <w:p>
      <w:pPr>
        <w:ind w:firstLine="420"/>
        <w:spacing w:line="312" w:lineRule="auto"/>
        <w:rPr>
          <w:rFonts w:hint="eastAsia" w:ascii="黑体" w:hAnsi="黑体" w:eastAsia="黑体" w:cs="黑体"/>
          <w:color w:val="auto"/>
          <w:sz w:val="21"/>
          <w:szCs w:val="21"/>
          <w:highlight w:val="none"/>
          <w:u w:val="single"/>
        </w:rPr>
        <w:outlineLvl w:val="0"/>
      </w:pPr>
      <w:r/>
      <w:bookmarkStart w:id="160" w:name="_Toc10200"/>
      <w:r>
        <w:rPr>
          <w:rFonts w:hint="eastAsia" w:ascii="黑体" w:hAnsi="黑体" w:eastAsia="黑体" w:cs="黑体"/>
          <w:color w:val="auto"/>
          <w:sz w:val="21"/>
          <w:szCs w:val="21"/>
          <w:highlight w:val="none"/>
          <w:u w:val="single"/>
        </w:rPr>
        <w:t xml:space="preserve">3.1.6承包人必须对工程现场施工人员全部实行实名制考勤管理，签订劳动合同，设立工资存储专户，按照工程进度和工人实名制登记信息，按月足额由银行代发工资。</w:t>
      </w:r>
      <w:bookmarkEnd w:id="160"/>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承包人提交的竣工资料的内容：</w:t>
      </w:r>
      <w:r>
        <w:rPr>
          <w:rFonts w:hint="eastAsia" w:ascii="黑体" w:hAnsi="黑体" w:eastAsia="黑体" w:cs="黑体"/>
          <w:color w:val="auto"/>
          <w:sz w:val="21"/>
          <w:szCs w:val="21"/>
          <w:highlight w:val="none"/>
          <w:u w:val="single"/>
        </w:rPr>
        <w:t xml:space="preserve">承包人按照GB/T50328-201</w:t>
      </w:r>
      <w:r>
        <w:rPr>
          <w:rFonts w:hint="eastAsia" w:ascii="黑体" w:hAnsi="黑体" w:eastAsia="黑体" w:cs="黑体"/>
          <w:color w:val="auto"/>
          <w:sz w:val="21"/>
          <w:szCs w:val="21"/>
          <w:highlight w:val="none"/>
          <w:u w:val="single"/>
          <w:lang w:val="en-US" w:eastAsia="zh-CN"/>
        </w:rPr>
        <w:t xml:space="preserve">9</w:t>
      </w:r>
      <w:r>
        <w:rPr>
          <w:rFonts w:hint="eastAsia" w:ascii="黑体" w:hAnsi="黑体" w:eastAsia="黑体" w:cs="黑体"/>
          <w:color w:val="auto"/>
          <w:sz w:val="21"/>
          <w:szCs w:val="21"/>
          <w:highlight w:val="none"/>
          <w:u w:val="single"/>
        </w:rPr>
        <w:t xml:space="preserve">《建设工程文件归档规范》及江苏省相关法规、规范标准及发包人相关要求绘制竣工图及完整的工程技术档案、工程质量保修书、及有关工程使用、保养、维护的说明。</w:t>
      </w:r>
      <w:r/>
    </w:p>
    <w:p>
      <w:pPr>
        <w:ind w:firstLine="420"/>
        <w:spacing w:line="312" w:lineRule="auto"/>
        <w:rPr>
          <w:rFonts w:hint="eastAsia" w:ascii="黑体" w:hAnsi="黑体" w:eastAsia="黑体" w:cs="黑体"/>
          <w:color w:val="auto"/>
          <w:sz w:val="21"/>
          <w:szCs w:val="21"/>
          <w:highlight w:val="none"/>
          <w:u w:val="single"/>
        </w:rPr>
        <w:outlineLvl w:val="0"/>
      </w:pPr>
      <w:r/>
      <w:bookmarkStart w:id="161" w:name="_Toc31853"/>
      <w:r>
        <w:rPr>
          <w:rFonts w:hint="eastAsia" w:ascii="黑体" w:hAnsi="黑体" w:eastAsia="黑体" w:cs="黑体"/>
          <w:color w:val="auto"/>
          <w:sz w:val="21"/>
          <w:szCs w:val="21"/>
          <w:highlight w:val="none"/>
        </w:rPr>
        <w:t xml:space="preserve">承包人需要提交的竣工资料套数： </w:t>
      </w:r>
      <w:r>
        <w:rPr>
          <w:rFonts w:hint="eastAsia" w:ascii="黑体" w:hAnsi="黑体" w:eastAsia="黑体" w:cs="黑体"/>
          <w:color w:val="auto"/>
          <w:sz w:val="21"/>
          <w:szCs w:val="21"/>
          <w:highlight w:val="none"/>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w:t>
      </w:r>
      <w:bookmarkEnd w:id="161"/>
      <w:r/>
      <w:r/>
    </w:p>
    <w:p>
      <w:pPr>
        <w:ind w:firstLine="420"/>
        <w:spacing w:line="312" w:lineRule="auto"/>
        <w:rPr>
          <w:rFonts w:hint="eastAsia" w:ascii="黑体" w:hAnsi="黑体" w:eastAsia="黑体" w:cs="黑体"/>
          <w:color w:val="auto"/>
          <w:sz w:val="21"/>
          <w:szCs w:val="21"/>
          <w:highlight w:val="none"/>
          <w:u w:val="single"/>
        </w:rPr>
        <w:outlineLvl w:val="0"/>
      </w:pPr>
      <w:r/>
      <w:bookmarkStart w:id="162" w:name="_Toc14285"/>
      <w:r>
        <w:rPr>
          <w:rFonts w:hint="eastAsia" w:ascii="黑体" w:hAnsi="黑体" w:eastAsia="黑体" w:cs="黑体"/>
          <w:color w:val="auto"/>
          <w:sz w:val="21"/>
          <w:szCs w:val="21"/>
          <w:highlight w:val="none"/>
        </w:rPr>
        <w:t xml:space="preserve">承包人提交的竣工资料的费用承担：</w:t>
      </w:r>
      <w:r>
        <w:rPr>
          <w:rFonts w:hint="eastAsia" w:ascii="黑体" w:hAnsi="黑体" w:eastAsia="黑体" w:cs="黑体"/>
          <w:color w:val="auto"/>
          <w:sz w:val="21"/>
          <w:szCs w:val="21"/>
          <w:highlight w:val="none"/>
          <w:u w:val="single"/>
        </w:rPr>
        <w:t xml:space="preserve">由承包人承担。</w:t>
      </w:r>
      <w:bookmarkEnd w:id="162"/>
      <w:r/>
      <w:r/>
    </w:p>
    <w:p>
      <w:pPr>
        <w:ind w:firstLine="420"/>
        <w:spacing w:line="312" w:lineRule="auto"/>
        <w:rPr>
          <w:rFonts w:hint="eastAsia" w:ascii="黑体" w:hAnsi="黑体" w:eastAsia="黑体" w:cs="黑体"/>
          <w:color w:val="auto"/>
          <w:sz w:val="21"/>
          <w:szCs w:val="21"/>
          <w:highlight w:val="none"/>
          <w:u w:val="single"/>
        </w:rPr>
        <w:outlineLvl w:val="0"/>
      </w:pPr>
      <w:r/>
      <w:bookmarkStart w:id="163" w:name="_Toc23747"/>
      <w:r>
        <w:rPr>
          <w:rFonts w:hint="eastAsia" w:ascii="黑体" w:hAnsi="黑体" w:eastAsia="黑体" w:cs="黑体"/>
          <w:color w:val="auto"/>
          <w:sz w:val="21"/>
          <w:szCs w:val="21"/>
          <w:highlight w:val="none"/>
        </w:rPr>
        <w:t xml:space="preserve">承包人提交的竣工资料移交时间</w:t>
      </w:r>
      <w:r>
        <w:rPr>
          <w:rFonts w:hint="eastAsia" w:ascii="黑体" w:hAnsi="黑体" w:eastAsia="黑体" w:cs="黑体"/>
          <w:color w:val="auto"/>
          <w:sz w:val="21"/>
          <w:szCs w:val="21"/>
          <w:highlight w:val="none"/>
          <w:u w:val="single"/>
        </w:rPr>
        <w:t xml:space="preserve">：竣工验收合格后28日内，竣工付款之前。</w:t>
      </w:r>
      <w:bookmarkEnd w:id="163"/>
      <w:r/>
      <w:r/>
    </w:p>
    <w:p>
      <w:pPr>
        <w:ind w:firstLine="420"/>
        <w:spacing w:line="312" w:lineRule="auto"/>
        <w:rPr>
          <w:rFonts w:hint="eastAsia" w:ascii="黑体" w:hAnsi="黑体" w:eastAsia="黑体" w:cs="黑体"/>
          <w:color w:val="auto"/>
          <w:sz w:val="21"/>
          <w:szCs w:val="21"/>
          <w:highlight w:val="none"/>
          <w:u w:val="single"/>
        </w:rPr>
        <w:outlineLvl w:val="0"/>
      </w:pPr>
      <w:r/>
      <w:bookmarkStart w:id="164" w:name="_Toc8526"/>
      <w:r>
        <w:rPr>
          <w:rFonts w:hint="eastAsia" w:ascii="黑体" w:hAnsi="黑体" w:eastAsia="黑体" w:cs="黑体"/>
          <w:color w:val="auto"/>
          <w:sz w:val="21"/>
          <w:szCs w:val="21"/>
          <w:highlight w:val="none"/>
        </w:rPr>
        <w:t xml:space="preserve">承包人提交的竣工资料形式要求</w:t>
      </w:r>
      <w:r>
        <w:rPr>
          <w:rFonts w:hint="eastAsia" w:ascii="黑体" w:hAnsi="黑体" w:eastAsia="黑体" w:cs="黑体"/>
          <w:color w:val="auto"/>
          <w:sz w:val="21"/>
          <w:szCs w:val="21"/>
          <w:highlight w:val="none"/>
          <w:u w:val="single"/>
        </w:rPr>
        <w:t xml:space="preserve">：立卷、装订成册的纸质文档和电子文档。</w:t>
      </w:r>
      <w:bookmarkEnd w:id="164"/>
      <w:r/>
      <w:r/>
    </w:p>
    <w:p>
      <w:pPr>
        <w:ind w:firstLine="420"/>
        <w:spacing w:line="312" w:lineRule="auto"/>
        <w:rPr>
          <w:rFonts w:hint="eastAsia" w:ascii="黑体" w:hAnsi="黑体" w:eastAsia="黑体" w:cs="黑体"/>
          <w:color w:val="auto"/>
          <w:sz w:val="21"/>
          <w:szCs w:val="21"/>
          <w:highlight w:val="none"/>
        </w:rPr>
        <w:outlineLvl w:val="0"/>
      </w:pPr>
      <w:r/>
      <w:bookmarkStart w:id="165" w:name="_Toc20312"/>
      <w:r>
        <w:rPr>
          <w:rFonts w:hint="eastAsia" w:ascii="黑体" w:hAnsi="黑体" w:eastAsia="黑体" w:cs="黑体"/>
          <w:color w:val="auto"/>
          <w:sz w:val="21"/>
          <w:szCs w:val="21"/>
          <w:highlight w:val="none"/>
        </w:rPr>
        <w:t xml:space="preserve">承包人应履行的其他义务：</w:t>
      </w:r>
      <w:bookmarkEnd w:id="165"/>
      <w:r/>
      <w:r/>
    </w:p>
    <w:p>
      <w:pPr>
        <w:ind w:firstLine="420"/>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①承包人应遵守发包人下发的有关施工现场管理的各项制度，服从发包人和监理人的管理，接受发包人和监理人的检查与监督。</w:t>
      </w:r>
      <w:r/>
    </w:p>
    <w:p>
      <w:pPr>
        <w:ind w:firstLine="420"/>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②对于法律规定和合同约定由发包人办理的许可和批准，承包人应积极配合给予协助。</w:t>
      </w:r>
      <w:r/>
    </w:p>
    <w:p>
      <w:pPr>
        <w:ind w:firstLine="420"/>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③</w:t>
      </w:r>
      <w:r>
        <w:rPr>
          <w:rFonts w:hint="eastAsia" w:ascii="黑体" w:hAnsi="黑体" w:eastAsia="黑体" w:cs="黑体"/>
          <w:bCs/>
          <w:color w:val="auto"/>
          <w:sz w:val="21"/>
          <w:szCs w:val="21"/>
          <w:highlight w:val="none"/>
          <w:u w:val="single"/>
        </w:rPr>
        <w:t xml:space="preserve">承包人应负责免费提供发包人和监理人施工现场管理人员</w:t>
      </w:r>
      <w:r>
        <w:rPr>
          <w:rFonts w:hint="eastAsia" w:ascii="黑体" w:hAnsi="黑体" w:eastAsia="黑体" w:cs="黑体"/>
          <w:bCs/>
          <w:color w:val="auto"/>
          <w:sz w:val="21"/>
          <w:szCs w:val="21"/>
          <w:highlight w:val="none"/>
          <w:u w:val="single"/>
          <w:lang w:val="en-US" w:eastAsia="zh-CN"/>
        </w:rPr>
        <w:t xml:space="preserve">4间</w:t>
      </w:r>
      <w:r>
        <w:rPr>
          <w:rFonts w:hint="eastAsia" w:ascii="黑体" w:hAnsi="黑体" w:eastAsia="黑体" w:cs="黑体"/>
          <w:bCs/>
          <w:color w:val="auto"/>
          <w:sz w:val="21"/>
          <w:szCs w:val="21"/>
          <w:highlight w:val="none"/>
          <w:u w:val="single"/>
        </w:rPr>
        <w:t xml:space="preserve">办公用房及</w:t>
      </w:r>
      <w:r>
        <w:rPr>
          <w:rFonts w:hint="eastAsia" w:ascii="黑体" w:hAnsi="黑体" w:eastAsia="黑体" w:cs="黑体"/>
          <w:bCs/>
          <w:color w:val="auto"/>
          <w:sz w:val="21"/>
          <w:szCs w:val="21"/>
          <w:highlight w:val="none"/>
          <w:u w:val="single"/>
          <w:lang w:val="en-US" w:eastAsia="zh-CN"/>
        </w:rPr>
        <w:t xml:space="preserve">必要的</w:t>
      </w:r>
      <w:r>
        <w:rPr>
          <w:rFonts w:hint="eastAsia" w:ascii="黑体" w:hAnsi="黑体" w:eastAsia="黑体" w:cs="黑体"/>
          <w:bCs/>
          <w:color w:val="auto"/>
          <w:sz w:val="21"/>
          <w:szCs w:val="21"/>
          <w:highlight w:val="none"/>
          <w:u w:val="single"/>
        </w:rPr>
        <w:t xml:space="preserve">办公设施。</w:t>
      </w:r>
      <w:r/>
    </w:p>
    <w:p>
      <w:pPr>
        <w:ind w:firstLine="420"/>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④承包人负责协调处理施工现场周围地上和地下管线、邻近建筑物、构筑物、古树名木等的保护工作，并承担相关费用，费用已包含在签约合同价中。</w:t>
      </w:r>
      <w:r/>
    </w:p>
    <w:p>
      <w:pPr>
        <w:ind w:firstLine="420"/>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⑤承包人</w:t>
      </w:r>
      <w:r>
        <w:rPr>
          <w:rFonts w:hint="eastAsia" w:ascii="黑体" w:hAnsi="黑体" w:eastAsia="黑体" w:cs="黑体"/>
          <w:bCs/>
          <w:color w:val="auto"/>
          <w:sz w:val="21"/>
          <w:szCs w:val="21"/>
          <w:highlight w:val="none"/>
          <w:u w:val="single"/>
          <w:lang w:val="en-US" w:eastAsia="zh-CN"/>
        </w:rPr>
        <w:t xml:space="preserve">应</w:t>
      </w:r>
      <w:r>
        <w:rPr>
          <w:rFonts w:hint="eastAsia" w:ascii="黑体" w:hAnsi="黑体" w:eastAsia="黑体" w:cs="黑体"/>
          <w:bCs/>
          <w:color w:val="auto"/>
          <w:sz w:val="21"/>
          <w:szCs w:val="21"/>
          <w:highlight w:val="none"/>
          <w:u w:val="single"/>
        </w:rPr>
        <w:t xml:space="preserve">采取相应措施减少施工对临近居民的影响，因施工对临近居民的影响产生纠纷和赔偿的，承包人负责协调处理并承担一切责任。</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⑥合同签订后的周边关系及第三方干扰等由承包人负责协调，费用已包含在签约合同价中</w:t>
      </w:r>
      <w:r>
        <w:rPr>
          <w:rFonts w:hint="eastAsia" w:ascii="黑体" w:hAnsi="黑体" w:eastAsia="黑体" w:cs="黑体"/>
          <w:color w:val="auto"/>
          <w:sz w:val="21"/>
          <w:szCs w:val="21"/>
          <w:highlight w:val="none"/>
        </w:rPr>
        <w:t xml:space="preserve">。</w:t>
      </w:r>
      <w:r/>
    </w:p>
    <w:p>
      <w:pPr>
        <w:ind w:left="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3.2 项目经理</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3.2.1 项目经理：</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姓    名：</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身份证号：</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建造师执业资格等级：</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建造师注册证书号：</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建造师执业印章号：</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安全生产考核合格证书号：</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联系电话：</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电子信箱：</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通信地址：</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承包人对项目经理的授权范围如下：</w:t>
      </w:r>
      <w:r>
        <w:rPr>
          <w:rFonts w:hint="eastAsia" w:ascii="黑体" w:hAnsi="黑体" w:eastAsia="黑体" w:cs="黑体"/>
          <w:color w:val="auto"/>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keepLines w:val="0"/>
        <w:keepNext w:val="0"/>
        <w:pageBreakBefore w:val="0"/>
        <w:spacing w:line="360" w:lineRule="auto"/>
        <w:widowControl w:val="off"/>
        <w:rPr>
          <w:rFonts w:hint="eastAsia" w:ascii="黑体" w:hAnsi="黑体" w:eastAsia="黑体" w:cs="黑体"/>
          <w:b/>
          <w:bCs/>
          <w:color w:val="auto"/>
          <w:sz w:val="21"/>
          <w:szCs w:val="21"/>
          <w:highlight w:val="none"/>
          <w:u w:val="single"/>
        </w:rPr>
      </w:pPr>
      <w:r>
        <w:rPr>
          <w:rFonts w:hint="eastAsia" w:ascii="黑体" w:hAnsi="黑体" w:eastAsia="黑体" w:cs="黑体"/>
          <w:color w:val="auto"/>
          <w:sz w:val="21"/>
          <w:szCs w:val="21"/>
          <w:highlight w:val="none"/>
        </w:rPr>
        <w:t xml:space="preserve">关于项目经理每月在施工现场的时间要求：</w:t>
      </w:r>
      <w:r>
        <w:rPr>
          <w:rFonts w:hint="eastAsia" w:ascii="黑体" w:hAnsi="黑体" w:eastAsia="黑体" w:cs="黑体"/>
          <w:bCs/>
          <w:color w:val="auto"/>
          <w:sz w:val="21"/>
          <w:szCs w:val="21"/>
          <w:highlight w:val="none"/>
          <w:u w:val="single"/>
        </w:rPr>
        <w:t xml:space="preserve">项目经理每月在现场时间不得少于</w:t>
      </w:r>
      <w:r>
        <w:rPr>
          <w:rFonts w:hint="eastAsia" w:ascii="黑体" w:hAnsi="黑体" w:eastAsia="黑体" w:cs="黑体"/>
          <w:bCs/>
          <w:color w:val="auto"/>
          <w:sz w:val="21"/>
          <w:szCs w:val="21"/>
          <w:highlight w:val="none"/>
          <w:u w:val="single"/>
          <w:lang w:val="en-US" w:eastAsia="zh-CN"/>
        </w:rPr>
        <w:t xml:space="preserve">24</w:t>
      </w:r>
      <w:r>
        <w:rPr>
          <w:rFonts w:hint="eastAsia" w:ascii="黑体" w:hAnsi="黑体" w:eastAsia="黑体" w:cs="黑体"/>
          <w:bCs/>
          <w:color w:val="auto"/>
          <w:sz w:val="21"/>
          <w:szCs w:val="21"/>
          <w:highlight w:val="none"/>
          <w:u w:val="single"/>
        </w:rPr>
        <w:t xml:space="preserve">天，每天不少于8小时，少于8小时视为当天未在现场，每少一天，承包人应按照2000元/天的标准向发包</w:t>
      </w:r>
      <w:r>
        <w:rPr>
          <w:rFonts w:hint="eastAsia" w:ascii="黑体" w:hAnsi="黑体" w:eastAsia="黑体" w:cs="黑体"/>
          <w:color w:val="auto"/>
          <w:sz w:val="21"/>
          <w:szCs w:val="21"/>
          <w:highlight w:val="none"/>
          <w:u w:val="single"/>
        </w:rPr>
        <w:t xml:space="preserve">人支付违约金，项目经理违反本约定累计达7天，发包人即有权要求更换项目经理。如更换项目经理，承包人还应按照</w:t>
      </w:r>
      <w:r>
        <w:rPr>
          <w:rFonts w:hint="eastAsia" w:ascii="黑体" w:hAnsi="黑体" w:eastAsia="黑体" w:cs="黑体"/>
          <w:color w:val="auto"/>
          <w:sz w:val="21"/>
          <w:szCs w:val="21"/>
          <w:highlight w:val="none"/>
          <w:u w:val="single"/>
          <w:lang w:val="en-US" w:eastAsia="zh-CN"/>
        </w:rPr>
        <w:t xml:space="preserve">5</w:t>
      </w:r>
      <w:r>
        <w:rPr>
          <w:rFonts w:hint="eastAsia" w:ascii="黑体" w:hAnsi="黑体" w:eastAsia="黑体" w:cs="黑体"/>
          <w:color w:val="auto"/>
          <w:sz w:val="21"/>
          <w:szCs w:val="21"/>
          <w:highlight w:val="none"/>
          <w:u w:val="single"/>
        </w:rPr>
        <w:t xml:space="preserve">万元/次的标准向发包人支付违约金</w:t>
      </w:r>
      <w:r>
        <w:rPr>
          <w:rFonts w:hint="eastAsia" w:ascii="黑体" w:hAnsi="黑体" w:eastAsia="黑体" w:cs="黑体"/>
          <w:b/>
          <w:b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项目经理必须参加每周例会、专题会议和发包人组织召开的需承包人参加的有关会议，因故不能参加的应提前24小时向发包人提出申请，获得发包人批准后方可缺席，否则</w:t>
      </w:r>
      <w:r>
        <w:rPr>
          <w:rFonts w:hint="eastAsia" w:ascii="黑体" w:hAnsi="黑体" w:eastAsia="黑体" w:cs="黑体"/>
          <w:bCs/>
          <w:color w:val="auto"/>
          <w:sz w:val="21"/>
          <w:szCs w:val="21"/>
          <w:highlight w:val="none"/>
          <w:u w:val="single"/>
          <w:lang w:val="en-US" w:eastAsia="zh-CN"/>
        </w:rPr>
        <w:t xml:space="preserve">应按照2</w:t>
      </w:r>
      <w:r>
        <w:rPr>
          <w:rFonts w:hint="eastAsia" w:ascii="黑体" w:hAnsi="黑体" w:eastAsia="黑体" w:cs="黑体"/>
          <w:bCs/>
          <w:color w:val="auto"/>
          <w:sz w:val="21"/>
          <w:szCs w:val="21"/>
          <w:highlight w:val="none"/>
          <w:u w:val="single"/>
        </w:rPr>
        <w:t xml:space="preserve">000元/次</w:t>
      </w:r>
      <w:r>
        <w:rPr>
          <w:rFonts w:hint="eastAsia" w:ascii="黑体" w:hAnsi="黑体" w:eastAsia="黑体" w:cs="黑体"/>
          <w:bCs/>
          <w:color w:val="auto"/>
          <w:sz w:val="21"/>
          <w:szCs w:val="21"/>
          <w:highlight w:val="none"/>
          <w:u w:val="single"/>
          <w:lang w:val="en-US" w:eastAsia="zh-CN"/>
        </w:rPr>
        <w:t xml:space="preserve">的标准</w:t>
      </w:r>
      <w:r>
        <w:rPr>
          <w:rFonts w:hint="eastAsia" w:ascii="黑体" w:hAnsi="黑体" w:eastAsia="黑体" w:cs="黑体"/>
          <w:bCs/>
          <w:color w:val="auto"/>
          <w:sz w:val="21"/>
          <w:szCs w:val="21"/>
          <w:highlight w:val="none"/>
          <w:u w:val="single"/>
        </w:rPr>
        <w:t xml:space="preserve">向发包人支付违约金。</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承包人未提交劳动合同，以及没有为项目经理缴纳社会保险证明的违约责任：</w:t>
      </w:r>
      <w:r>
        <w:rPr>
          <w:rFonts w:hint="eastAsia" w:ascii="黑体" w:hAnsi="黑体" w:eastAsia="黑体" w:cs="黑体"/>
          <w:color w:val="auto"/>
          <w:sz w:val="21"/>
          <w:szCs w:val="21"/>
          <w:highlight w:val="none"/>
          <w:u w:val="single"/>
        </w:rPr>
        <w:t xml:space="preserve">发包人有权解除合同</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项目经理未经批准，擅自离开施工现场的违约责任：</w:t>
      </w:r>
      <w:r>
        <w:rPr>
          <w:rFonts w:hint="eastAsia" w:ascii="黑体" w:hAnsi="黑体" w:eastAsia="黑体" w:cs="黑体"/>
          <w:bCs/>
          <w:color w:val="auto"/>
          <w:sz w:val="21"/>
          <w:szCs w:val="21"/>
          <w:highlight w:val="none"/>
          <w:u w:val="single"/>
        </w:rPr>
        <w:t xml:space="preserve">项目经理离开施工现场必须由总监理工程师或发包人代表书面批准后方可离开。未经批准擅自离开施工现场的，承包人应按照1000元/次的标准向发包人支付违约金。擅自离开现场累计达15次，发包人即有权要求更换项目经理。如更换项目经理，承包人还应按照</w:t>
      </w:r>
      <w:r>
        <w:rPr>
          <w:rFonts w:hint="eastAsia" w:ascii="黑体" w:hAnsi="黑体" w:eastAsia="黑体" w:cs="黑体"/>
          <w:bCs/>
          <w:color w:val="auto"/>
          <w:sz w:val="21"/>
          <w:szCs w:val="21"/>
          <w:highlight w:val="none"/>
          <w:u w:val="single"/>
          <w:lang w:val="en-US" w:eastAsia="zh-CN"/>
        </w:rPr>
        <w:t xml:space="preserve">1</w:t>
      </w:r>
      <w:r>
        <w:rPr>
          <w:rFonts w:hint="eastAsia" w:ascii="黑体" w:hAnsi="黑体" w:eastAsia="黑体" w:cs="黑体"/>
          <w:bCs/>
          <w:color w:val="auto"/>
          <w:sz w:val="21"/>
          <w:szCs w:val="21"/>
          <w:highlight w:val="none"/>
          <w:u w:val="single"/>
        </w:rPr>
        <w:t xml:space="preserve">0万元/次的标准向发包人支付违约金</w:t>
      </w:r>
      <w:r>
        <w:rPr>
          <w:rFonts w:hint="eastAsia" w:ascii="黑体" w:hAnsi="黑体" w:eastAsia="黑体" w:cs="黑体"/>
          <w:color w:val="auto"/>
          <w:sz w:val="21"/>
          <w:szCs w:val="21"/>
          <w:highlight w:val="none"/>
          <w:u w:val="singl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承包人擅自更换项目经理的违约责任：</w:t>
      </w:r>
      <w:r>
        <w:rPr>
          <w:rFonts w:hint="eastAsia" w:ascii="黑体" w:hAnsi="黑体" w:eastAsia="黑体" w:cs="黑体"/>
          <w:bCs/>
          <w:color w:val="auto"/>
          <w:sz w:val="21"/>
          <w:szCs w:val="21"/>
          <w:highlight w:val="none"/>
          <w:u w:val="single"/>
        </w:rPr>
        <w:t xml:space="preserve">承包人应</w:t>
      </w:r>
      <w:r>
        <w:rPr>
          <w:rFonts w:hint="eastAsia" w:ascii="黑体" w:hAnsi="黑体" w:eastAsia="黑体" w:cs="黑体"/>
          <w:bCs/>
          <w:color w:val="auto"/>
          <w:sz w:val="21"/>
          <w:szCs w:val="21"/>
          <w:highlight w:val="none"/>
          <w:u w:val="single"/>
        </w:rPr>
        <w:t xml:space="preserve">按照</w:t>
      </w:r>
      <w:r>
        <w:rPr>
          <w:rFonts w:hint="eastAsia" w:ascii="黑体" w:hAnsi="黑体" w:eastAsia="黑体" w:cs="黑体"/>
          <w:bCs/>
          <w:color w:val="auto"/>
          <w:sz w:val="21"/>
          <w:szCs w:val="21"/>
          <w:highlight w:val="none"/>
          <w:u w:val="single"/>
          <w:lang w:val="en-US" w:eastAsia="zh-CN"/>
        </w:rPr>
        <w:t xml:space="preserve">5</w:t>
      </w:r>
      <w:r>
        <w:rPr>
          <w:rFonts w:hint="eastAsia" w:ascii="黑体" w:hAnsi="黑体" w:eastAsia="黑体" w:cs="黑体"/>
          <w:bCs/>
          <w:color w:val="auto"/>
          <w:sz w:val="21"/>
          <w:szCs w:val="21"/>
          <w:highlight w:val="none"/>
          <w:u w:val="single"/>
        </w:rPr>
        <w:t xml:space="preserve">万元/次</w:t>
      </w:r>
      <w:r>
        <w:rPr>
          <w:rFonts w:hint="eastAsia" w:ascii="黑体" w:hAnsi="黑体" w:eastAsia="黑体" w:cs="黑体"/>
          <w:bCs/>
          <w:color w:val="auto"/>
          <w:sz w:val="21"/>
          <w:szCs w:val="21"/>
          <w:highlight w:val="none"/>
          <w:u w:val="single"/>
        </w:rPr>
        <w:t xml:space="preserve">的标准向发包人支付违约金，由此产生的一切损失及后果由承包人承担</w:t>
      </w:r>
      <w:r>
        <w:rPr>
          <w:rFonts w:hint="eastAsia" w:ascii="黑体" w:hAnsi="黑体" w:eastAsia="黑体" w:cs="黑体"/>
          <w:color w:val="auto"/>
          <w:sz w:val="21"/>
          <w:szCs w:val="21"/>
          <w:highlight w:val="none"/>
          <w:u w:val="single"/>
        </w:rPr>
        <w:t xml:space="preserve">。</w:t>
      </w:r>
      <w:r/>
    </w:p>
    <w:p>
      <w:pPr>
        <w:spacing w:line="312" w:lineRule="auto"/>
        <w:rPr>
          <w:rFonts w:hint="eastAsia" w:ascii="黑体" w:hAnsi="黑体" w:eastAsia="黑体" w:cs="黑体"/>
          <w:color w:val="auto"/>
          <w:sz w:val="21"/>
          <w:szCs w:val="21"/>
          <w:highlight w:val="none"/>
        </w:rPr>
        <w:outlineLvl w:val="0"/>
      </w:pPr>
      <w:r>
        <w:rPr>
          <w:rFonts w:hint="eastAsia" w:ascii="黑体" w:hAnsi="黑体" w:eastAsia="黑体" w:cs="黑体"/>
          <w:color w:val="auto"/>
          <w:sz w:val="21"/>
          <w:szCs w:val="21"/>
          <w:highlight w:val="none"/>
        </w:rPr>
        <w:t xml:space="preserve">     </w:t>
      </w:r>
      <w:bookmarkStart w:id="166" w:name="_Toc20587"/>
      <w:r>
        <w:rPr>
          <w:rFonts w:hint="eastAsia" w:ascii="黑体" w:hAnsi="黑体" w:eastAsia="黑体" w:cs="黑体"/>
          <w:color w:val="auto"/>
          <w:sz w:val="21"/>
          <w:szCs w:val="21"/>
          <w:highlight w:val="none"/>
        </w:rPr>
        <w:t xml:space="preserve">承包人无正当理由拒绝更换项目经理的违约责任：</w:t>
      </w:r>
      <w:r>
        <w:rPr>
          <w:rFonts w:hint="eastAsia" w:ascii="黑体" w:hAnsi="黑体" w:eastAsia="黑体" w:cs="黑体"/>
          <w:color w:val="auto"/>
          <w:sz w:val="21"/>
          <w:szCs w:val="21"/>
          <w:highlight w:val="none"/>
          <w:u w:val="single"/>
        </w:rPr>
        <w:t xml:space="preserve">如项目经理不能满足现场施工管理要求，发包人有权要求更换项目经理，且有权要求承包人承担5万元/次的违约金，同时有权解除合同并责令承包人退场，由此产生的一切损失及后果由承包人承担</w:t>
      </w:r>
      <w:r>
        <w:rPr>
          <w:rFonts w:hint="eastAsia" w:ascii="黑体" w:hAnsi="黑体" w:eastAsia="黑体" w:cs="黑体"/>
          <w:color w:val="auto"/>
          <w:sz w:val="21"/>
          <w:szCs w:val="21"/>
          <w:highlight w:val="none"/>
        </w:rPr>
        <w:t xml:space="preserve">。</w:t>
      </w:r>
      <w:bookmarkEnd w:id="166"/>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3.3 承包人人员</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3.3.1 承包人提交项目管理机构及施工现场管理人员安排报告的期限：</w:t>
      </w:r>
      <w:r>
        <w:rPr>
          <w:rFonts w:hint="eastAsia" w:ascii="黑体" w:hAnsi="黑体" w:eastAsia="黑体" w:cs="黑体"/>
          <w:color w:val="auto"/>
          <w:sz w:val="21"/>
          <w:szCs w:val="21"/>
          <w:highlight w:val="none"/>
          <w:u w:val="single"/>
        </w:rPr>
        <w:t xml:space="preserve">开工前7日内，递交工程开工报告之前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3.3.2承包人无正当理由拒绝撤换主要施工管理人员的违约责任：</w:t>
      </w:r>
      <w:r>
        <w:rPr>
          <w:rFonts w:hint="eastAsia" w:ascii="黑体" w:hAnsi="黑体" w:eastAsia="黑体" w:cs="黑体"/>
          <w:color w:val="auto"/>
          <w:sz w:val="21"/>
          <w:szCs w:val="21"/>
          <w:highlight w:val="none"/>
          <w:u w:val="single"/>
        </w:rPr>
        <w:t xml:space="preserve">发包人有权要求承包人承担</w:t>
      </w:r>
      <w:r>
        <w:rPr>
          <w:rFonts w:hint="eastAsia" w:ascii="黑体" w:hAnsi="黑体" w:eastAsia="黑体" w:cs="黑体"/>
          <w:color w:val="auto"/>
          <w:sz w:val="21"/>
          <w:szCs w:val="21"/>
          <w:highlight w:val="none"/>
          <w:u w:val="single"/>
          <w:lang w:val="en-US" w:eastAsia="zh-CN"/>
        </w:rPr>
        <w:t xml:space="preserve">3</w:t>
      </w:r>
      <w:r>
        <w:rPr>
          <w:rFonts w:hint="eastAsia" w:ascii="黑体" w:hAnsi="黑体" w:eastAsia="黑体" w:cs="黑体"/>
          <w:color w:val="auto"/>
          <w:sz w:val="21"/>
          <w:szCs w:val="21"/>
          <w:highlight w:val="none"/>
          <w:u w:val="single"/>
        </w:rPr>
        <w:t xml:space="preserve">万元的违约金，并有权解除合同并责令承包人退场，由此产生的一切损失及后果由承包人承担。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3.3.3 承包人主要施工管理人员离开施工现场的批准要求：</w:t>
      </w:r>
      <w:r>
        <w:rPr>
          <w:rFonts w:hint="eastAsia" w:ascii="黑体" w:hAnsi="黑体" w:eastAsia="黑体" w:cs="黑体"/>
          <w:color w:val="auto"/>
          <w:sz w:val="21"/>
          <w:szCs w:val="21"/>
          <w:highlight w:val="none"/>
          <w:u w:val="single"/>
        </w:rPr>
        <w:t xml:space="preserve">由总监理工程师批准，发包人认可后方可离开。</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3.3.4承包人擅自更换主要施工管理人员的违约责任：</w:t>
      </w:r>
      <w:r>
        <w:rPr>
          <w:rFonts w:hint="eastAsia" w:ascii="黑体" w:hAnsi="黑体" w:eastAsia="黑体" w:cs="黑体"/>
          <w:color w:val="auto"/>
          <w:sz w:val="21"/>
          <w:szCs w:val="21"/>
          <w:highlight w:val="none"/>
          <w:u w:val="single"/>
        </w:rPr>
        <w:t xml:space="preserve">发包人有权要求承包人承担</w:t>
      </w:r>
      <w:r>
        <w:rPr>
          <w:rFonts w:hint="eastAsia" w:ascii="黑体" w:hAnsi="黑体" w:eastAsia="黑体" w:cs="黑体"/>
          <w:color w:val="auto"/>
          <w:sz w:val="21"/>
          <w:szCs w:val="21"/>
          <w:highlight w:val="none"/>
          <w:u w:val="single"/>
          <w:lang w:val="en-US" w:eastAsia="zh-CN"/>
        </w:rPr>
        <w:t xml:space="preserve">1</w:t>
      </w:r>
      <w:r>
        <w:rPr>
          <w:rFonts w:hint="eastAsia" w:ascii="黑体" w:hAnsi="黑体" w:eastAsia="黑体" w:cs="黑体"/>
          <w:color w:val="auto"/>
          <w:sz w:val="21"/>
          <w:szCs w:val="21"/>
          <w:highlight w:val="none"/>
          <w:u w:val="single"/>
        </w:rPr>
        <w:t xml:space="preserve">万元的违约金，并有权解除合同并责令承包人退场，由此产生的一切损失及后果由承包人承担。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3.3.5承包人主要施工管理人员擅自离开施工现场的违约责任：</w:t>
      </w:r>
      <w:r>
        <w:rPr>
          <w:rFonts w:hint="eastAsia" w:ascii="黑体" w:hAnsi="黑体" w:eastAsia="黑体" w:cs="黑体"/>
          <w:color w:val="auto"/>
          <w:sz w:val="21"/>
          <w:szCs w:val="21"/>
          <w:highlight w:val="none"/>
          <w:u w:val="single"/>
        </w:rPr>
        <w:t xml:space="preserve">承包人承担</w:t>
      </w:r>
      <w:r>
        <w:rPr>
          <w:rFonts w:hint="eastAsia" w:ascii="黑体" w:hAnsi="黑体" w:eastAsia="黑体" w:cs="黑体"/>
          <w:color w:val="auto"/>
          <w:sz w:val="21"/>
          <w:szCs w:val="21"/>
          <w:highlight w:val="none"/>
          <w:u w:val="single"/>
          <w:lang w:val="en-US" w:eastAsia="zh-CN"/>
        </w:rPr>
        <w:t xml:space="preserve">1000</w:t>
      </w:r>
      <w:r>
        <w:rPr>
          <w:rFonts w:hint="eastAsia" w:ascii="黑体" w:hAnsi="黑体" w:eastAsia="黑体" w:cs="黑体"/>
          <w:color w:val="auto"/>
          <w:sz w:val="21"/>
          <w:szCs w:val="21"/>
          <w:highlight w:val="none"/>
          <w:u w:val="single"/>
        </w:rPr>
        <w:t xml:space="preserve">元/人次的违约金，承包人承担上述违约给发包人造成的损失。</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3.4承包人现场查勘</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无论施工现场及周围环境与发包人提供的资料是否一致，承包人均自愿承担相应风险与责任。在全部合同工作中，视为承包人已充分估计了应承担的责任和风险。</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w:t>
      </w:r>
      <w:bookmarkStart w:id="167" w:name="_Toc296890987"/>
      <w:r/>
      <w:bookmarkStart w:id="168" w:name="_Toc292559364"/>
      <w:r/>
      <w:bookmarkStart w:id="169" w:name="_Toc297048345"/>
      <w:r/>
      <w:bookmarkStart w:id="170" w:name="_Toc300934945"/>
      <w:r/>
      <w:bookmarkStart w:id="171" w:name="_Toc297120459"/>
      <w:r/>
      <w:bookmarkStart w:id="172" w:name="_Toc296503159"/>
      <w:r/>
      <w:bookmarkStart w:id="173" w:name="_Toc296346660"/>
      <w:r/>
      <w:bookmarkStart w:id="174" w:name="_Toc297123492"/>
      <w:r/>
      <w:bookmarkStart w:id="175" w:name="_Toc296347158"/>
      <w:r/>
      <w:bookmarkStart w:id="176" w:name="_Toc292559869"/>
      <w:r/>
      <w:bookmarkStart w:id="177" w:name="_Toc296944498"/>
      <w:r/>
      <w:bookmarkStart w:id="178" w:name="_Toc304295523"/>
      <w:r/>
      <w:bookmarkStart w:id="179" w:name="_Toc312677988"/>
      <w:r/>
      <w:bookmarkStart w:id="180" w:name="_Toc297216151"/>
      <w:r/>
      <w:bookmarkStart w:id="181" w:name="_Toc303539102"/>
      <w:r/>
      <w:bookmarkStart w:id="182" w:name="_Toc296891199"/>
      <w:r>
        <w:rPr>
          <w:rFonts w:hint="eastAsia" w:ascii="黑体" w:hAnsi="黑体" w:eastAsia="黑体" w:cs="黑体"/>
          <w:color w:val="auto"/>
          <w:sz w:val="21"/>
          <w:szCs w:val="21"/>
          <w:highlight w:val="none"/>
        </w:rPr>
        <w:t xml:space="preserve">.5 分包</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w:t>
      </w:r>
      <w:bookmarkStart w:id="183" w:name="_Toc296891200"/>
      <w:r/>
      <w:bookmarkStart w:id="184" w:name="_Toc297123493"/>
      <w:r/>
      <w:bookmarkStart w:id="185" w:name="_Toc296346661"/>
      <w:r/>
      <w:bookmarkStart w:id="186" w:name="_Toc292559870"/>
      <w:r/>
      <w:bookmarkStart w:id="187" w:name="_Toc297120460"/>
      <w:r/>
      <w:bookmarkStart w:id="188" w:name="_Toc304295524"/>
      <w:r/>
      <w:bookmarkStart w:id="189" w:name="_Toc303539103"/>
      <w:r/>
      <w:bookmarkStart w:id="190" w:name="_Toc296944499"/>
      <w:r/>
      <w:bookmarkStart w:id="191" w:name="_Toc296890988"/>
      <w:r/>
      <w:bookmarkStart w:id="192" w:name="_Toc297216152"/>
      <w:r/>
      <w:bookmarkStart w:id="193" w:name="_Toc297048346"/>
      <w:r/>
      <w:bookmarkStart w:id="194" w:name="_Toc296503160"/>
      <w:r/>
      <w:bookmarkStart w:id="195" w:name="_Toc296347159"/>
      <w:r/>
      <w:bookmarkStart w:id="196" w:name="_Toc292559365"/>
      <w:r/>
      <w:bookmarkStart w:id="197" w:name="_Toc300934946"/>
      <w:r/>
      <w:bookmarkStart w:id="198" w:name="_Toc318581158"/>
      <w:r/>
      <w:bookmarkStart w:id="199" w:name="_Toc312677989"/>
      <w:r>
        <w:rPr>
          <w:rFonts w:hint="eastAsia" w:ascii="黑体" w:hAnsi="黑体" w:eastAsia="黑体" w:cs="黑体"/>
          <w:color w:val="auto"/>
          <w:sz w:val="21"/>
          <w:szCs w:val="21"/>
          <w:highlight w:val="none"/>
        </w:rPr>
        <w:t xml:space="preserve">.5.1 分包的一般约定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禁止分包的工程包括：</w:t>
      </w:r>
      <w:r>
        <w:rPr>
          <w:rFonts w:hint="eastAsia" w:ascii="黑体" w:hAnsi="黑体" w:eastAsia="黑体" w:cs="黑体"/>
          <w:color w:val="auto"/>
          <w:sz w:val="21"/>
          <w:szCs w:val="21"/>
          <w:highlight w:val="none"/>
          <w:u w:val="single"/>
        </w:rPr>
        <w:t xml:space="preserve">主体结构、关键性工作</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主体结构、关键性工作的范围：</w:t>
      </w:r>
      <w:r>
        <w:rPr>
          <w:rFonts w:hint="eastAsia" w:ascii="黑体" w:hAnsi="黑体" w:eastAsia="黑体" w:cs="黑体"/>
          <w:color w:val="auto"/>
          <w:sz w:val="21"/>
          <w:szCs w:val="21"/>
          <w:highlight w:val="none"/>
          <w:u w:val="single"/>
        </w:rPr>
        <w:t xml:space="preserve"> 执行国家相关法律、法规规定 </w:t>
      </w:r>
      <w:r>
        <w:rPr>
          <w:rFonts w:hint="eastAsia" w:ascii="黑体" w:hAnsi="黑体" w:eastAsia="黑体" w:cs="黑体"/>
          <w:color w:val="auto"/>
          <w:sz w:val="21"/>
          <w:szCs w:val="21"/>
          <w:highlight w:val="none"/>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3</w:t>
      </w:r>
      <w:bookmarkStart w:id="200" w:name="_Toc318581159"/>
      <w:r/>
      <w:bookmarkStart w:id="201" w:name="_Toc312677990"/>
      <w:r>
        <w:rPr>
          <w:rFonts w:hint="eastAsia" w:ascii="黑体" w:hAnsi="黑体" w:eastAsia="黑体" w:cs="黑体"/>
          <w:color w:val="auto"/>
          <w:sz w:val="21"/>
          <w:szCs w:val="21"/>
          <w:highlight w:val="none"/>
        </w:rPr>
        <w:t xml:space="preserve">.5.2分包的确定</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允许分包的专业工程包括：</w:t>
      </w:r>
      <w:r>
        <w:rPr>
          <w:rFonts w:hint="eastAsia" w:ascii="黑体" w:hAnsi="黑体" w:eastAsia="黑体" w:cs="黑体"/>
          <w:color w:val="auto"/>
          <w:sz w:val="21"/>
          <w:szCs w:val="21"/>
          <w:highlight w:val="none"/>
          <w:u w:val="single"/>
        </w:rPr>
        <w:t xml:space="preserve">按相关规定允许分包的工程。</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其他关于分包的约定：</w:t>
      </w:r>
      <w:r>
        <w:rPr>
          <w:rFonts w:hint="eastAsia" w:ascii="黑体" w:hAnsi="黑体" w:eastAsia="黑体" w:cs="黑体"/>
          <w:color w:val="auto"/>
          <w:sz w:val="21"/>
          <w:szCs w:val="21"/>
          <w:highlight w:val="none"/>
          <w:u w:val="single"/>
        </w:rPr>
        <w:t xml:space="preserve">允许分包的工程，经发包人认可后，分包给具有相应资质和能力的施工企业。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3.5.4 分包合同价款</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关于分包合同价款支付的约定：</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rPr>
        <w:t xml:space="preserve">。</w:t>
      </w:r>
      <w:bookmarkEnd w:id="200"/>
      <w:r/>
      <w:bookmarkEnd w:id="201"/>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3.6 工程照管与成品、半成品保护</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承包人负责照管工程及工程相关的材料、工程设备的起始时间：</w:t>
      </w:r>
      <w:r>
        <w:rPr>
          <w:rFonts w:hint="eastAsia" w:ascii="黑体" w:hAnsi="黑体" w:eastAsia="黑体" w:cs="黑体"/>
          <w:color w:val="auto"/>
          <w:sz w:val="21"/>
          <w:szCs w:val="21"/>
          <w:highlight w:val="none"/>
          <w:u w:val="single"/>
        </w:rPr>
        <w:t xml:space="preserve">设备、人员进场至工程移交/接收证书签发前由承包人负责照管，费用由承包人承担 。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3.7 履约担保</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承包人是否提供履约担保：</w:t>
      </w:r>
      <w:r>
        <w:rPr>
          <w:rFonts w:hint="eastAsia" w:ascii="黑体" w:hAnsi="黑体" w:eastAsia="黑体" w:cs="黑体"/>
          <w:color w:val="auto"/>
          <w:sz w:val="21"/>
          <w:szCs w:val="21"/>
          <w:highlight w:val="none"/>
          <w:u w:val="single"/>
        </w:rPr>
        <w:t xml:space="preserve">   否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承包人提供履约担保的形式、金额及期限的：</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spacing w:line="312" w:lineRule="auto"/>
        <w:rPr>
          <w:rFonts w:hint="eastAsia" w:ascii="黑体" w:hAnsi="黑体" w:eastAsia="黑体" w:cs="黑体"/>
          <w:bCs/>
          <w:color w:val="auto"/>
          <w:sz w:val="21"/>
          <w:szCs w:val="21"/>
          <w:highlight w:val="none"/>
        </w:rPr>
        <w:outlineLvl w:val="3"/>
      </w:pPr>
      <w:r/>
      <w:bookmarkStart w:id="202" w:name="_Toc351203636"/>
      <w:r>
        <w:rPr>
          <w:rFonts w:hint="eastAsia" w:ascii="黑体" w:hAnsi="黑体" w:eastAsia="黑体" w:cs="黑体"/>
          <w:bCs/>
          <w:color w:val="auto"/>
          <w:sz w:val="21"/>
          <w:szCs w:val="21"/>
          <w:highlight w:val="none"/>
        </w:rPr>
        <w:t xml:space="preserve">4</w:t>
      </w:r>
      <w:bookmarkStart w:id="203" w:name="_Toc297120462"/>
      <w:r/>
      <w:bookmarkStart w:id="204" w:name="_Toc296891202"/>
      <w:r/>
      <w:bookmarkStart w:id="205" w:name="_Toc297048348"/>
      <w:r/>
      <w:bookmarkStart w:id="206" w:name="_Toc292559871"/>
      <w:r/>
      <w:bookmarkStart w:id="207" w:name="_Toc292559366"/>
      <w:r/>
      <w:bookmarkStart w:id="208" w:name="_Toc296944501"/>
      <w:r/>
      <w:bookmarkStart w:id="209" w:name="_Toc296347161"/>
      <w:r/>
      <w:bookmarkStart w:id="210" w:name="_Toc296346663"/>
      <w:r/>
      <w:bookmarkStart w:id="211" w:name="_Toc296503162"/>
      <w:r/>
      <w:bookmarkStart w:id="212" w:name="_Toc296890990"/>
      <w:r/>
      <w:bookmarkStart w:id="213" w:name="_Toc267251413"/>
      <w:r>
        <w:rPr>
          <w:rFonts w:hint="eastAsia" w:ascii="黑体" w:hAnsi="黑体" w:eastAsia="黑体" w:cs="黑体"/>
          <w:bCs/>
          <w:color w:val="auto"/>
          <w:sz w:val="21"/>
          <w:szCs w:val="21"/>
          <w:highlight w:val="none"/>
        </w:rPr>
        <w:t xml:space="preserve">. 监</w:t>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黑体" w:hAnsi="黑体" w:eastAsia="黑体" w:cs="黑体"/>
          <w:bCs/>
          <w:color w:val="auto"/>
          <w:sz w:val="21"/>
          <w:szCs w:val="21"/>
          <w:highlight w:val="none"/>
        </w:rPr>
        <w:t xml:space="preserve">理人</w:t>
      </w:r>
      <w:bookmarkEnd w:id="20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4.1监理人的一般规定</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关于监理人的监理内容：</w:t>
      </w:r>
      <w:r>
        <w:rPr>
          <w:rFonts w:hint="eastAsia" w:ascii="黑体" w:hAnsi="黑体" w:eastAsia="黑体" w:cs="黑体"/>
          <w:color w:val="auto"/>
          <w:sz w:val="21"/>
          <w:szCs w:val="21"/>
          <w:highlight w:val="none"/>
          <w:u w:val="single"/>
        </w:rPr>
        <w:t xml:space="preserve">见监理合同（发包人在承包人进场时提供）。</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关于监理人的监理权限：</w:t>
      </w:r>
      <w:r>
        <w:rPr>
          <w:rFonts w:hint="eastAsia" w:ascii="黑体" w:hAnsi="黑体" w:eastAsia="黑体" w:cs="黑体"/>
          <w:color w:val="auto"/>
          <w:sz w:val="21"/>
          <w:szCs w:val="21"/>
          <w:highlight w:val="none"/>
          <w:u w:val="single"/>
        </w:rPr>
        <w:t xml:space="preserve">见监理合同（发包人在承包人进场时提供），但监理向承包人签发开工令（停复工令）、经济签证、工程变更时，应取得发包方同意。</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关于监理人在施工现场的办公场所、生活场所的提供和费用承担的约定：</w:t>
      </w:r>
      <w:r>
        <w:rPr>
          <w:rFonts w:hint="eastAsia" w:ascii="黑体" w:hAnsi="黑体" w:eastAsia="黑体" w:cs="黑体"/>
          <w:color w:val="auto"/>
          <w:sz w:val="21"/>
          <w:szCs w:val="21"/>
          <w:highlight w:val="none"/>
          <w:u w:val="single"/>
        </w:rPr>
        <w:t xml:space="preserve">由承包人承担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4.2 监理人员</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总监理工程师：</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姓    名：</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职    务：</w:t>
      </w:r>
      <w:r>
        <w:rPr>
          <w:rFonts w:hint="eastAsia" w:ascii="黑体" w:hAnsi="黑体" w:eastAsia="黑体" w:cs="黑体"/>
          <w:color w:val="auto"/>
          <w:sz w:val="21"/>
          <w:szCs w:val="21"/>
          <w:highlight w:val="none"/>
          <w:u w:val="single"/>
        </w:rPr>
        <w:t xml:space="preserve">总监理工程师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监理工程师执业资格证书号：</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联系电话：</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电子信箱：</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通信地址：</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关于监理人的其他约定：</w:t>
      </w:r>
      <w:r>
        <w:rPr>
          <w:rFonts w:hint="eastAsia" w:ascii="黑体" w:hAnsi="黑体" w:eastAsia="黑体" w:cs="黑体"/>
          <w:color w:val="auto"/>
          <w:sz w:val="21"/>
          <w:szCs w:val="21"/>
          <w:highlight w:val="none"/>
          <w:u w:val="single"/>
        </w:rPr>
        <w:t xml:space="preserve">详见本工程监理合同</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4.4 商定或确定</w:t>
      </w:r>
      <w:r/>
    </w:p>
    <w:p>
      <w:pPr>
        <w:ind w:firstLine="420"/>
        <w:spacing w:line="312" w:lineRule="auto"/>
        <w:rPr>
          <w:rFonts w:hint="eastAsia" w:ascii="黑体" w:hAnsi="黑体" w:eastAsia="黑体" w:cs="黑体"/>
          <w:color w:val="auto"/>
          <w:sz w:val="21"/>
          <w:szCs w:val="21"/>
          <w:highlight w:val="none"/>
        </w:rPr>
      </w:pPr>
      <w:r/>
      <w:bookmarkStart w:id="214" w:name="_Toc267251418"/>
      <w:r>
        <w:rPr>
          <w:rFonts w:hint="eastAsia" w:ascii="黑体" w:hAnsi="黑体" w:eastAsia="黑体" w:cs="黑体"/>
          <w:color w:val="auto"/>
          <w:sz w:val="21"/>
          <w:szCs w:val="21"/>
          <w:highlight w:val="none"/>
        </w:rPr>
        <w:t xml:space="preserve">在发包人和承包人不能通过协商达成一致意见时，发包人授权监理人对以下事项进行确定：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spacing w:line="312" w:lineRule="auto"/>
        <w:rPr>
          <w:rFonts w:hint="eastAsia" w:ascii="黑体" w:hAnsi="黑体" w:eastAsia="黑体" w:cs="黑体"/>
          <w:bCs/>
          <w:color w:val="auto"/>
          <w:sz w:val="21"/>
          <w:szCs w:val="21"/>
          <w:highlight w:val="none"/>
        </w:rPr>
        <w:outlineLvl w:val="3"/>
      </w:pPr>
      <w:r/>
      <w:bookmarkStart w:id="215" w:name="_Toc351203637"/>
      <w:r>
        <w:rPr>
          <w:rFonts w:hint="eastAsia" w:ascii="黑体" w:hAnsi="黑体" w:eastAsia="黑体" w:cs="黑体"/>
          <w:bCs/>
          <w:color w:val="auto"/>
          <w:sz w:val="21"/>
          <w:szCs w:val="21"/>
          <w:highlight w:val="none"/>
        </w:rPr>
        <w:t xml:space="preserve">5</w:t>
      </w:r>
      <w:bookmarkEnd w:id="214"/>
      <w:r/>
      <w:bookmarkStart w:id="216" w:name="_Toc296890991"/>
      <w:r/>
      <w:bookmarkStart w:id="217" w:name="_Toc297120463"/>
      <w:r/>
      <w:bookmarkStart w:id="218" w:name="_Toc296347162"/>
      <w:r/>
      <w:bookmarkStart w:id="219" w:name="_Toc296891203"/>
      <w:r/>
      <w:bookmarkStart w:id="220" w:name="_Toc297048349"/>
      <w:r/>
      <w:bookmarkStart w:id="221" w:name="_Toc296346664"/>
      <w:r/>
      <w:bookmarkStart w:id="222" w:name="_Toc292559367"/>
      <w:r/>
      <w:bookmarkStart w:id="223" w:name="_Toc296944502"/>
      <w:r/>
      <w:bookmarkStart w:id="224" w:name="_Toc292559872"/>
      <w:r/>
      <w:bookmarkStart w:id="225" w:name="_Toc296503163"/>
      <w:r>
        <w:rPr>
          <w:rFonts w:hint="eastAsia" w:ascii="黑体" w:hAnsi="黑体" w:eastAsia="黑体" w:cs="黑体"/>
          <w:bCs/>
          <w:color w:val="auto"/>
          <w:sz w:val="21"/>
          <w:szCs w:val="21"/>
          <w:highlight w:val="none"/>
        </w:rPr>
        <w:t xml:space="preserve">. 工程质量</w:t>
      </w:r>
      <w:bookmarkEnd w:id="215"/>
      <w:r/>
      <w:r/>
    </w:p>
    <w:p>
      <w:pPr>
        <w:ind w:firstLine="420"/>
        <w:spacing w:line="312" w:lineRule="auto"/>
        <w:rPr>
          <w:rFonts w:hint="eastAsia" w:ascii="黑体" w:hAnsi="黑体" w:eastAsia="黑体" w:cs="黑体"/>
          <w:color w:val="auto"/>
          <w:sz w:val="21"/>
          <w:szCs w:val="21"/>
          <w:highlight w:val="none"/>
        </w:rPr>
        <w:outlineLvl w:val="0"/>
      </w:pPr>
      <w:r/>
      <w:bookmarkStart w:id="226" w:name="_Toc28939"/>
      <w:r>
        <w:rPr>
          <w:rFonts w:hint="eastAsia" w:ascii="黑体" w:hAnsi="黑体" w:eastAsia="黑体" w:cs="黑体"/>
          <w:color w:val="auto"/>
          <w:sz w:val="21"/>
          <w:szCs w:val="21"/>
          <w:highlight w:val="none"/>
        </w:rPr>
        <w:t xml:space="preserve">5.1质量要求</w:t>
      </w:r>
      <w:bookmarkEnd w:id="226"/>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5</w:t>
      </w:r>
      <w:bookmarkStart w:id="227" w:name="_Toc318581164"/>
      <w:r/>
      <w:bookmarkStart w:id="228" w:name="_Toc297216155"/>
      <w:r/>
      <w:bookmarkStart w:id="229" w:name="_Toc304295527"/>
      <w:r/>
      <w:bookmarkStart w:id="230" w:name="_Toc303539106"/>
      <w:r/>
      <w:bookmarkStart w:id="231" w:name="_Toc300934949"/>
      <w:r/>
      <w:bookmarkStart w:id="232" w:name="_Toc312677997"/>
      <w:r/>
      <w:bookmarkStart w:id="233" w:name="_Toc297123496"/>
      <w:r>
        <w:rPr>
          <w:rFonts w:hint="eastAsia" w:ascii="黑体" w:hAnsi="黑体" w:eastAsia="黑体" w:cs="黑体"/>
          <w:color w:val="auto"/>
          <w:sz w:val="21"/>
          <w:szCs w:val="21"/>
          <w:highlight w:val="none"/>
        </w:rPr>
        <w:t xml:space="preserve">.1.1 特殊质量标准和要求：</w:t>
      </w:r>
      <w:r>
        <w:rPr>
          <w:rFonts w:hint="eastAsia" w:ascii="黑体" w:hAnsi="黑体" w:eastAsia="黑体" w:cs="黑体"/>
          <w:color w:val="auto"/>
          <w:sz w:val="21"/>
          <w:szCs w:val="21"/>
          <w:highlight w:val="none"/>
          <w:u w:val="single"/>
        </w:rPr>
        <w:t xml:space="preserve">对不符合国家现行质量验收标准及图纸要求，所发生的一切责任和费用以及由此给发包人造成的经济损失由承包人承担。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关于工程奖项的约定：</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5.3 隐蔽工程检查</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5.3.2承包人提前通知监理人隐蔽工程检查的期限的约定：</w:t>
      </w:r>
      <w:r>
        <w:rPr>
          <w:rFonts w:hint="eastAsia" w:ascii="黑体" w:hAnsi="黑体" w:eastAsia="黑体" w:cs="黑体"/>
          <w:bCs/>
          <w:color w:val="auto"/>
          <w:sz w:val="21"/>
          <w:szCs w:val="21"/>
          <w:highlight w:val="none"/>
          <w:u w:val="single"/>
        </w:rPr>
        <w:t xml:space="preserve">执行通用合同条款</w:t>
      </w:r>
      <w:r>
        <w:rPr>
          <w:rFonts w:hint="eastAsia" w:ascii="黑体" w:hAnsi="黑体" w:eastAsia="黑体" w:cs="黑体"/>
          <w:color w:val="auto"/>
          <w:sz w:val="21"/>
          <w:szCs w:val="21"/>
          <w:highlight w:val="none"/>
        </w:rPr>
        <w:t xml:space="preserve">。</w:t>
      </w:r>
      <w:r/>
    </w:p>
    <w:p>
      <w:pPr>
        <w:ind w:firstLine="420"/>
        <w:jc w:val="left"/>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5.3.4承包人私自覆盖</w:t>
      </w:r>
      <w:r/>
    </w:p>
    <w:p>
      <w:pPr>
        <w:ind w:firstLine="420"/>
        <w:jc w:val="left"/>
        <w:spacing w:line="360" w:lineRule="auto"/>
        <w:rPr>
          <w:rFonts w:hint="eastAsia" w:ascii="黑体" w:hAnsi="黑体" w:eastAsia="黑体" w:cs="黑体"/>
          <w:color w:val="auto"/>
          <w:sz w:val="21"/>
          <w:szCs w:val="21"/>
          <w:highlight w:val="none"/>
        </w:rPr>
      </w:pPr>
      <w:r>
        <w:rPr>
          <w:rFonts w:hint="eastAsia" w:ascii="黑体" w:hAnsi="黑体" w:eastAsia="黑体" w:cs="黑体"/>
          <w:b/>
          <w:bCs/>
          <w:color w:val="auto"/>
          <w:sz w:val="21"/>
          <w:szCs w:val="21"/>
          <w:highlight w:val="none"/>
        </w:rPr>
        <w:t xml:space="preserve">承包人未通知监理人到场检查，私自将工程隐蔽部位覆盖的，应按</w:t>
      </w:r>
      <w:r>
        <w:rPr>
          <w:rFonts w:hint="eastAsia" w:ascii="黑体" w:hAnsi="黑体" w:eastAsia="黑体" w:cs="黑体"/>
          <w:b/>
          <w:bCs/>
          <w:color w:val="auto"/>
          <w:sz w:val="21"/>
          <w:szCs w:val="21"/>
          <w:highlight w:val="none"/>
          <w:lang w:val="en-US" w:eastAsia="zh-CN"/>
        </w:rPr>
        <w:t xml:space="preserve">5</w:t>
      </w:r>
      <w:r>
        <w:rPr>
          <w:rFonts w:hint="eastAsia" w:ascii="黑体" w:hAnsi="黑体" w:eastAsia="黑体" w:cs="黑体"/>
          <w:b/>
          <w:bCs/>
          <w:color w:val="auto"/>
          <w:sz w:val="21"/>
          <w:szCs w:val="21"/>
          <w:highlight w:val="none"/>
        </w:rPr>
        <w:t xml:space="preserve">万元/次的标准向发包人支付违约金，且监理人或发包人有权指示承包人钻孔探测或揭开检查，无论工程隐蔽部位质量是否合格，由此增加的费用和（或）延误的工期由承包人承担。</w:t>
      </w:r>
      <w:r/>
    </w:p>
    <w:p>
      <w:pPr>
        <w:spacing w:line="312" w:lineRule="auto"/>
        <w:rPr>
          <w:rFonts w:hint="eastAsia" w:ascii="黑体" w:hAnsi="黑体" w:eastAsia="黑体" w:cs="黑体"/>
          <w:bCs/>
          <w:color w:val="auto"/>
          <w:sz w:val="21"/>
          <w:szCs w:val="21"/>
          <w:highlight w:val="none"/>
        </w:rPr>
        <w:outlineLvl w:val="3"/>
      </w:pPr>
      <w:r/>
      <w:bookmarkStart w:id="234" w:name="_Toc351203638"/>
      <w:r>
        <w:rPr>
          <w:rFonts w:hint="eastAsia" w:ascii="黑体" w:hAnsi="黑体" w:eastAsia="黑体" w:cs="黑体"/>
          <w:bCs/>
          <w:color w:val="auto"/>
          <w:sz w:val="21"/>
          <w:szCs w:val="21"/>
          <w:highlight w:val="none"/>
        </w:rPr>
        <w:t xml:space="preserve">6. 安全文明施工与环境保护</w:t>
      </w:r>
      <w:bookmarkEnd w:id="234"/>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6.1安全文明施工</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6.1.1 项目安全生产的达标目标及相应事项的定：</w:t>
      </w:r>
      <w:r>
        <w:rPr>
          <w:rFonts w:hint="eastAsia" w:ascii="黑体" w:hAnsi="黑体" w:eastAsia="黑体" w:cs="黑体"/>
          <w:color w:val="auto"/>
          <w:sz w:val="21"/>
          <w:szCs w:val="21"/>
          <w:highlight w:val="none"/>
          <w:u w:val="single"/>
        </w:rPr>
        <w:t xml:space="preserve">达标目标为《建筑施工安全检查标准》（JGJ59-2011）及相关规范标准。其安全文明施工费用已经含在合同价款（即中标价）内。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1、承包人负责施工期间施工区域内的安全保卫工作，包括在施工区域内提供和维护有利于工程和公众安全和方便的灯光、护板、格栅等警告警示信号和警卫。安全防护费已含在合同价款内。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2、消防设备：在施工期间，承包人应按需要提供灭火器、沙桶和其它有效的消防设备，应符合当地政府法规及其它由工程师规定的要求。</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3、承包人负责在工程施工至竣工前及保修过程中施工现场全部承包方及相应工作人员的安全。发包人不承担承包人及其分包单位雇工或其他人员的伤亡赔偿或补偿责任。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4、承包人在施工现场的安全管理、教育和安全事故的责任皆由承包人自行承担。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5、承包人违反安全施工的有关规定，其责任及所发生的一切费用由承包人自行承担。 </w:t>
      </w:r>
      <w:r/>
    </w:p>
    <w:p>
      <w:pPr>
        <w:ind w:firstLine="420"/>
        <w:spacing w:line="312" w:lineRule="auto"/>
        <w:rPr>
          <w:rFonts w:hint="eastAsia" w:ascii="黑体" w:hAnsi="黑体" w:eastAsia="黑体" w:cs="黑体"/>
          <w:b/>
          <w:bCs/>
          <w:color w:val="auto"/>
          <w:sz w:val="21"/>
          <w:szCs w:val="21"/>
          <w:highlight w:val="none"/>
          <w:u w:val="single"/>
        </w:rPr>
      </w:pPr>
      <w:r>
        <w:rPr>
          <w:rFonts w:hint="eastAsia" w:ascii="黑体" w:hAnsi="黑体" w:eastAsia="黑体" w:cs="黑体"/>
          <w:b/>
          <w:bCs/>
          <w:color w:val="auto"/>
          <w:sz w:val="21"/>
          <w:szCs w:val="21"/>
          <w:highlight w:val="none"/>
          <w:u w:val="single"/>
        </w:rPr>
        <w:t xml:space="preserve">6、本项目在景区内进行施工，周边情况复杂，安全责任重大，承包人必须切实做好现场安全生产管理工作，加强安全防护和工地管理，施工区与景区进行安全隔离，安排专人看护，禁止一切非工程人员进入施工现场，禁止工人进入景区，如因承包人管理不当造成安全事故发生，其责任及所发生的一切费用由承包人自行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7、其他事项执行通用条款第五条。</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6.1.2关于治安保卫的特别约定：</w:t>
      </w:r>
      <w:r>
        <w:rPr>
          <w:rFonts w:hint="eastAsia" w:ascii="黑体" w:hAnsi="黑体" w:eastAsia="黑体" w:cs="黑体"/>
          <w:color w:val="auto"/>
          <w:sz w:val="21"/>
          <w:szCs w:val="21"/>
          <w:highlight w:val="none"/>
          <w:u w:val="single"/>
        </w:rPr>
        <w:t xml:space="preserve">按通用条款执行和景区规定执行</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关于编制施工场地治安管理计划的约定：</w:t>
      </w:r>
      <w:r>
        <w:rPr>
          <w:rFonts w:hint="eastAsia" w:ascii="黑体" w:hAnsi="黑体" w:eastAsia="黑体" w:cs="黑体"/>
          <w:color w:val="auto"/>
          <w:sz w:val="21"/>
          <w:szCs w:val="21"/>
          <w:highlight w:val="none"/>
          <w:u w:val="single"/>
        </w:rPr>
        <w:t xml:space="preserve">开工通知载明的开工日期前 7 天提交施工场地治安管理计划</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6.1.3 文明施工</w:t>
      </w:r>
      <w:r/>
    </w:p>
    <w:p>
      <w:pPr>
        <w:numPr>
          <w:ilvl w:val="0"/>
          <w:numId w:val="0"/>
        </w:numPr>
        <w:ind w:firstLine="420"/>
        <w:jc w:val="left"/>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color w:val="auto"/>
          <w:sz w:val="21"/>
          <w:szCs w:val="21"/>
          <w:highlight w:val="none"/>
        </w:rPr>
        <w:t xml:space="preserve">合同当事人对文明施工的要求：</w:t>
      </w:r>
      <w:r>
        <w:rPr>
          <w:rFonts w:hint="eastAsia" w:ascii="黑体" w:hAnsi="黑体" w:eastAsia="黑体" w:cs="黑体"/>
          <w:bCs/>
          <w:color w:val="auto"/>
          <w:sz w:val="21"/>
          <w:szCs w:val="21"/>
          <w:highlight w:val="none"/>
          <w:lang w:val="en-US" w:eastAsia="zh-CN" w:bidi="ar-SA"/>
        </w:rPr>
        <w:t xml:space="preserve">（1）</w:t>
      </w:r>
      <w:r>
        <w:rPr>
          <w:rFonts w:hint="eastAsia" w:ascii="黑体" w:hAnsi="黑体" w:eastAsia="黑体" w:cs="黑体"/>
          <w:bCs/>
          <w:color w:val="auto"/>
          <w:sz w:val="21"/>
          <w:szCs w:val="21"/>
          <w:highlight w:val="none"/>
          <w:u w:val="single"/>
        </w:rPr>
        <w:t xml:space="preserve">按照《徐州市扬尘污染防治条例》和《徐州市市区扬尘污染防治办法》的要求，开工前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 </w:t>
      </w:r>
      <w:r>
        <w:rPr>
          <w:rFonts w:hint="eastAsia" w:ascii="黑体" w:hAnsi="黑体" w:eastAsia="黑体" w:cs="黑体"/>
          <w:bCs/>
          <w:color w:val="auto"/>
          <w:sz w:val="21"/>
          <w:szCs w:val="21"/>
          <w:highlight w:val="none"/>
          <w:u w:val="single"/>
          <w:lang w:val="en-US" w:eastAsia="zh-CN"/>
        </w:rPr>
        <w:t xml:space="preserve">1万</w:t>
      </w:r>
      <w:r>
        <w:rPr>
          <w:rFonts w:hint="eastAsia" w:ascii="黑体" w:hAnsi="黑体" w:eastAsia="黑体" w:cs="黑体"/>
          <w:bCs/>
          <w:color w:val="auto"/>
          <w:sz w:val="21"/>
          <w:szCs w:val="21"/>
          <w:highlight w:val="none"/>
          <w:u w:val="single"/>
        </w:rPr>
        <w:t xml:space="preserve">元违约金；造成损失的，由承包人承担。</w:t>
      </w:r>
      <w:r/>
    </w:p>
    <w:p>
      <w:pPr>
        <w:ind w:firstLine="420"/>
        <w:jc w:val="left"/>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lang w:eastAsia="zh-CN"/>
        </w:rPr>
        <w:t xml:space="preserve">（</w:t>
      </w:r>
      <w:r>
        <w:rPr>
          <w:rFonts w:hint="eastAsia" w:ascii="黑体" w:hAnsi="黑体" w:eastAsia="黑体" w:cs="黑体"/>
          <w:bCs/>
          <w:color w:val="auto"/>
          <w:sz w:val="21"/>
          <w:szCs w:val="21"/>
          <w:highlight w:val="none"/>
          <w:u w:val="single"/>
          <w:lang w:val="en-US" w:eastAsia="zh-CN"/>
        </w:rPr>
        <w:t xml:space="preserve">2</w:t>
      </w:r>
      <w:r>
        <w:rPr>
          <w:rFonts w:hint="eastAsia" w:ascii="黑体" w:hAnsi="黑体" w:eastAsia="黑体" w:cs="黑体"/>
          <w:bCs/>
          <w:color w:val="auto"/>
          <w:sz w:val="21"/>
          <w:szCs w:val="21"/>
          <w:highlight w:val="none"/>
          <w:u w:val="single"/>
          <w:lang w:eastAsia="zh-CN"/>
        </w:rPr>
        <w:t xml:space="preserve">）</w:t>
      </w:r>
      <w:r>
        <w:rPr>
          <w:rFonts w:hint="eastAsia" w:ascii="黑体" w:hAnsi="黑体" w:eastAsia="黑体" w:cs="黑体"/>
          <w:bCs/>
          <w:color w:val="auto"/>
          <w:sz w:val="21"/>
          <w:szCs w:val="21"/>
          <w:highlight w:val="none"/>
          <w:u w:val="single"/>
        </w:rPr>
        <w:t xml:space="preserve">扬尘污染防治管控按照徐州市住房和城乡建设局《关于进一步加强市区建设工地扬尘污染防治的通知》（徐住建发[2023]62号）、《关于印发&lt;徐州市建设工程扬尘(噪声)智慧监管系统建设实施意见(试行)&gt;的通知》(徐污防攻坚指办（2023〕26号）文件的最新规定执行，否则将根据规定接受相应的处罚。</w:t>
      </w:r>
      <w:r/>
    </w:p>
    <w:p>
      <w:pPr>
        <w:ind w:firstLine="420"/>
        <w:jc w:val="left"/>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w:t>
      </w:r>
      <w:r>
        <w:rPr>
          <w:rFonts w:hint="eastAsia" w:ascii="黑体" w:hAnsi="黑体" w:eastAsia="黑体" w:cs="黑体"/>
          <w:bCs/>
          <w:color w:val="auto"/>
          <w:sz w:val="21"/>
          <w:szCs w:val="21"/>
          <w:highlight w:val="none"/>
          <w:u w:val="single"/>
          <w:lang w:val="en-US" w:eastAsia="zh-CN"/>
        </w:rPr>
        <w:t xml:space="preserve">3</w:t>
      </w:r>
      <w:r>
        <w:rPr>
          <w:rFonts w:hint="eastAsia" w:ascii="黑体" w:hAnsi="黑体" w:eastAsia="黑体" w:cs="黑体"/>
          <w:bCs/>
          <w:color w:val="auto"/>
          <w:sz w:val="21"/>
          <w:szCs w:val="21"/>
          <w:highlight w:val="none"/>
          <w:u w:val="single"/>
        </w:rPr>
        <w:t xml:space="preserve">）承包人应当遵守国家和工程所在地有关文明施工的要求，遵守发包人下发的有关文明施工的各项规章制度，做好文明施工管理工作。</w:t>
      </w:r>
      <w:r/>
    </w:p>
    <w:p>
      <w:pPr>
        <w:ind w:firstLine="420"/>
        <w:jc w:val="left"/>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w:t>
      </w:r>
      <w:r>
        <w:rPr>
          <w:rFonts w:hint="eastAsia" w:ascii="黑体" w:hAnsi="黑体" w:eastAsia="黑体" w:cs="黑体"/>
          <w:bCs/>
          <w:color w:val="auto"/>
          <w:sz w:val="21"/>
          <w:szCs w:val="21"/>
          <w:highlight w:val="none"/>
          <w:u w:val="single"/>
          <w:lang w:val="en-US" w:eastAsia="zh-CN"/>
        </w:rPr>
        <w:t xml:space="preserve">4</w:t>
      </w:r>
      <w:r>
        <w:rPr>
          <w:rFonts w:hint="eastAsia" w:ascii="黑体" w:hAnsi="黑体" w:eastAsia="黑体" w:cs="黑体"/>
          <w:bCs/>
          <w:color w:val="auto"/>
          <w:sz w:val="21"/>
          <w:szCs w:val="21"/>
          <w:highlight w:val="none"/>
          <w:u w:val="single"/>
        </w:rPr>
        <w:t xml:space="preserve">）符合徐州市有关部门规定的标准化施工现场要求，同时应满足市政、市容等相关主管部门的有关规定。</w:t>
      </w:r>
      <w:r/>
    </w:p>
    <w:p>
      <w:pPr>
        <w:ind w:firstLine="420"/>
        <w:jc w:val="left"/>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w:t>
      </w:r>
      <w:r>
        <w:rPr>
          <w:rFonts w:hint="eastAsia" w:ascii="黑体" w:hAnsi="黑体" w:eastAsia="黑体" w:cs="黑体"/>
          <w:bCs/>
          <w:color w:val="auto"/>
          <w:sz w:val="21"/>
          <w:szCs w:val="21"/>
          <w:highlight w:val="none"/>
          <w:u w:val="single"/>
          <w:lang w:val="en-US" w:eastAsia="zh-CN"/>
        </w:rPr>
        <w:t xml:space="preserve">5</w:t>
      </w:r>
      <w:r>
        <w:rPr>
          <w:rFonts w:hint="eastAsia" w:ascii="黑体" w:hAnsi="黑体" w:eastAsia="黑体" w:cs="黑体"/>
          <w:bCs/>
          <w:color w:val="auto"/>
          <w:sz w:val="21"/>
          <w:szCs w:val="21"/>
          <w:highlight w:val="none"/>
          <w:u w:val="single"/>
        </w:rPr>
        <w:t xml:space="preserve">）承包人应配合发包人做好与本工程相关的文明城市创建、卫生城市创建等工作，相关费用已包含在签约合同价中。</w:t>
      </w:r>
      <w:r/>
    </w:p>
    <w:p>
      <w:pPr>
        <w:ind w:firstLine="420"/>
        <w:jc w:val="left"/>
        <w:spacing w:line="360" w:lineRule="auto"/>
        <w:rPr>
          <w:rFonts w:hint="eastAsia" w:ascii="黑体" w:hAnsi="黑体" w:eastAsia="黑体" w:cs="黑体"/>
          <w:bCs/>
          <w:color w:val="auto"/>
          <w:sz w:val="21"/>
          <w:szCs w:val="21"/>
          <w:highlight w:val="none"/>
          <w:u w:val="single"/>
        </w:rPr>
      </w:pPr>
      <w:r>
        <w:rPr>
          <w:rFonts w:hint="eastAsia" w:ascii="黑体" w:hAnsi="黑体" w:eastAsia="黑体" w:cs="黑体"/>
          <w:bCs/>
          <w:color w:val="auto"/>
          <w:sz w:val="21"/>
          <w:szCs w:val="21"/>
          <w:highlight w:val="none"/>
          <w:u w:val="single"/>
        </w:rPr>
        <w:t xml:space="preserve">（</w:t>
      </w:r>
      <w:r>
        <w:rPr>
          <w:rFonts w:hint="eastAsia" w:ascii="黑体" w:hAnsi="黑体" w:eastAsia="黑体" w:cs="黑体"/>
          <w:bCs/>
          <w:color w:val="auto"/>
          <w:sz w:val="21"/>
          <w:szCs w:val="21"/>
          <w:highlight w:val="none"/>
          <w:u w:val="single"/>
          <w:lang w:val="en-US" w:eastAsia="zh-CN"/>
        </w:rPr>
        <w:t xml:space="preserve">6</w:t>
      </w:r>
      <w:r>
        <w:rPr>
          <w:rFonts w:hint="eastAsia" w:ascii="黑体" w:hAnsi="黑体" w:eastAsia="黑体" w:cs="黑体"/>
          <w:bCs/>
          <w:color w:val="auto"/>
          <w:sz w:val="21"/>
          <w:szCs w:val="21"/>
          <w:highlight w:val="none"/>
          <w:u w:val="single"/>
        </w:rPr>
        <w:t xml:space="preserve">）在工程移交之前，承包人应当从施工现场清除承包人的全部工程设备、多余材料、垃圾和各种临时工程，并保持施工现场清洁整齐。如承包人不清除或清除不干净，发包人有权委托第三方进行清除，费用从承包人工程款中双倍扣除</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6.1.4关于安全文明施工费支付比例和支付期限的约定：</w:t>
      </w:r>
      <w:bookmarkEnd w:id="227"/>
      <w:r/>
      <w:bookmarkEnd w:id="228"/>
      <w:r/>
      <w:bookmarkEnd w:id="229"/>
      <w:r/>
      <w:bookmarkEnd w:id="230"/>
      <w:r/>
      <w:bookmarkEnd w:id="231"/>
      <w:r/>
      <w:bookmarkEnd w:id="232"/>
      <w:r/>
      <w:bookmarkEnd w:id="233"/>
      <w:r/>
      <w:bookmarkStart w:id="235" w:name="_Toc351203639"/>
      <w:r>
        <w:rPr>
          <w:rFonts w:hint="eastAsia" w:ascii="黑体" w:hAnsi="黑体" w:eastAsia="黑体" w:cs="黑体"/>
          <w:color w:val="auto"/>
          <w:sz w:val="21"/>
          <w:szCs w:val="21"/>
          <w:highlight w:val="none"/>
          <w:u w:val="single"/>
        </w:rPr>
        <w:t xml:space="preserve">合同价（即中标价）款中已含，与合同价款同期支付</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6.2 扬尘治理规定：</w:t>
      </w:r>
      <w:r>
        <w:rPr>
          <w:rFonts w:hint="eastAsia" w:ascii="黑体" w:hAnsi="黑体" w:eastAsia="黑体" w:cs="黑体"/>
          <w:color w:val="auto"/>
          <w:sz w:val="21"/>
          <w:szCs w:val="21"/>
          <w:highlight w:val="none"/>
          <w:u w:val="single"/>
        </w:rPr>
        <w:t xml:space="preserve">已经包含在投标报价当中，结算不再增加此项费用。</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7. 工期和进度</w:t>
      </w:r>
      <w:bookmarkEnd w:id="235"/>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7.1 施工组织设计</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7.1.1 合同当事人约定的施工组织设计应包括的其他内容：</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7.1.2 施工组织设计的提交和修改</w:t>
      </w:r>
      <w:r/>
    </w:p>
    <w:p>
      <w:pPr>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承包人提交详细施工组织设计的期限的约定：</w:t>
      </w:r>
      <w:r>
        <w:rPr>
          <w:rFonts w:hint="eastAsia" w:ascii="黑体" w:hAnsi="黑体" w:eastAsia="黑体" w:cs="黑体"/>
          <w:color w:val="auto"/>
          <w:sz w:val="21"/>
          <w:szCs w:val="21"/>
          <w:highlight w:val="none"/>
          <w:u w:val="single"/>
        </w:rPr>
        <w:t xml:space="preserve">合开工通知载明的开工日期7天前。</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发包人和监理人在收到详细的施工组织设计后确认或提出修改意见的期限：</w:t>
      </w:r>
      <w:r>
        <w:rPr>
          <w:rFonts w:hint="eastAsia" w:ascii="黑体" w:hAnsi="黑体" w:eastAsia="黑体" w:cs="黑体"/>
          <w:color w:val="auto"/>
          <w:sz w:val="21"/>
          <w:szCs w:val="21"/>
          <w:highlight w:val="none"/>
          <w:u w:val="single"/>
        </w:rPr>
        <w:t xml:space="preserve">收到后 7 天内</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w:t>
      </w:r>
      <w:bookmarkStart w:id="236" w:name="_Toc312678005"/>
      <w:r/>
      <w:bookmarkStart w:id="237" w:name="_Toc303539123"/>
      <w:r/>
      <w:bookmarkStart w:id="238" w:name="_Toc304295541"/>
      <w:r/>
      <w:bookmarkStart w:id="239" w:name="_Toc297123514"/>
      <w:r/>
      <w:bookmarkStart w:id="240" w:name="_Toc312677479"/>
      <w:r/>
      <w:bookmarkStart w:id="241" w:name="_Toc300934966"/>
      <w:r/>
      <w:bookmarkStart w:id="242" w:name="_Toc297216173"/>
      <w:r>
        <w:rPr>
          <w:rFonts w:hint="eastAsia" w:ascii="黑体" w:hAnsi="黑体" w:eastAsia="黑体" w:cs="黑体"/>
          <w:color w:val="auto"/>
          <w:sz w:val="21"/>
          <w:szCs w:val="21"/>
          <w:highlight w:val="none"/>
        </w:rPr>
        <w:t xml:space="preserve">.2 施工进度计划</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7.2.2 施工进度计划的修订</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发包人和监理人在收到修订的施工进度计划后确认或提出修改意见的期限：</w:t>
      </w:r>
      <w:r>
        <w:rPr>
          <w:rFonts w:hint="eastAsia" w:ascii="黑体" w:hAnsi="黑体" w:eastAsia="黑体" w:cs="黑体"/>
          <w:color w:val="auto"/>
          <w:sz w:val="21"/>
          <w:szCs w:val="21"/>
          <w:highlight w:val="none"/>
          <w:u w:val="single"/>
        </w:rPr>
        <w:t xml:space="preserve">收到后 7 天内</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7.3 开工</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7.3.1 开工准备</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关于承包人提交工程开工报审表的期限：</w:t>
      </w:r>
      <w:r>
        <w:rPr>
          <w:rFonts w:hint="eastAsia" w:ascii="黑体" w:hAnsi="黑体" w:eastAsia="黑体" w:cs="黑体"/>
          <w:color w:val="auto"/>
          <w:sz w:val="21"/>
          <w:szCs w:val="21"/>
          <w:highlight w:val="none"/>
          <w:u w:val="single"/>
        </w:rPr>
        <w:t xml:space="preserve">合同签订后、开工前</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关于发包人应完成的其他开工准备工作及期限：</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关于承包人应完成的其他开工准备工作及期限：</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7.3.2开工通知</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因发包人原因造成监理人未能在计划开工日期之日起</w:t>
      </w:r>
      <w:r>
        <w:rPr>
          <w:rFonts w:hint="eastAsia" w:ascii="黑体" w:hAnsi="黑体" w:eastAsia="黑体" w:cs="黑体"/>
          <w:color w:val="auto"/>
          <w:sz w:val="21"/>
          <w:szCs w:val="21"/>
          <w:highlight w:val="none"/>
          <w:u w:val="single"/>
        </w:rPr>
        <w:t xml:space="preserve">180</w:t>
      </w:r>
      <w:r>
        <w:rPr>
          <w:rFonts w:hint="eastAsia" w:ascii="黑体" w:hAnsi="黑体" w:eastAsia="黑体" w:cs="黑体"/>
          <w:color w:val="auto"/>
          <w:sz w:val="21"/>
          <w:szCs w:val="21"/>
          <w:highlight w:val="none"/>
        </w:rPr>
        <w:t xml:space="preserve">天内发出开工通知的，承包人有权提出价格调整要求，或者解除合同。</w:t>
      </w:r>
      <w:bookmarkEnd w:id="236"/>
      <w:r/>
      <w:bookmarkEnd w:id="237"/>
      <w:r/>
      <w:bookmarkEnd w:id="238"/>
      <w:r/>
      <w:bookmarkEnd w:id="239"/>
      <w:r/>
      <w:bookmarkEnd w:id="240"/>
      <w:r/>
      <w:bookmarkEnd w:id="241"/>
      <w:r/>
      <w:bookmarkEnd w:id="24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7.4 测量放线</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7.4.1发包人通过监理人向承包人提供测量基准点、基准线和水准点及其书面资料的期限：</w:t>
      </w:r>
      <w:r>
        <w:rPr>
          <w:rFonts w:hint="eastAsia" w:ascii="黑体" w:hAnsi="黑体" w:eastAsia="黑体" w:cs="黑体"/>
          <w:color w:val="auto"/>
          <w:sz w:val="21"/>
          <w:szCs w:val="21"/>
          <w:highlight w:val="none"/>
          <w:u w:val="single"/>
        </w:rPr>
        <w:t xml:space="preserve">合同签订后、开工前10日内 。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1）开工前发包人现场确定水准点与坐标控制点位置，承包人负责现场接收。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2）发包人将水准点与坐标控制点测量成果书面形式交给承包人，成果上所示的所有坐标及标高均由承包人进行校验，如有差错承包人应及时书面通知发包人。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3）承包人接收后负责保护，此后由于差错不能闭合和点位破坏或丢失造成的损失均由承包人承担。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4）由发包人工程师或其代表对任何放线或标高进行的检查工作，均不能免除承包人对有关工程的准确程度应负的任何责任。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w:t>
      </w:r>
      <w:bookmarkStart w:id="243" w:name="_Toc297123516"/>
      <w:r/>
      <w:bookmarkStart w:id="244" w:name="_Toc303539125"/>
      <w:r/>
      <w:bookmarkStart w:id="245" w:name="_Toc300934968"/>
      <w:r/>
      <w:bookmarkStart w:id="246" w:name="_Toc304295546"/>
      <w:r/>
      <w:bookmarkStart w:id="247" w:name="_Toc312678010"/>
      <w:r/>
      <w:bookmarkStart w:id="248" w:name="_Toc312677484"/>
      <w:r/>
      <w:bookmarkStart w:id="249" w:name="_Toc297216175"/>
      <w:r>
        <w:rPr>
          <w:rFonts w:hint="eastAsia" w:ascii="黑体" w:hAnsi="黑体" w:eastAsia="黑体" w:cs="黑体"/>
          <w:color w:val="auto"/>
          <w:sz w:val="21"/>
          <w:szCs w:val="21"/>
          <w:highlight w:val="none"/>
        </w:rPr>
        <w:t xml:space="preserve">.5 工期延误</w:t>
      </w:r>
      <w:bookmarkEnd w:id="243"/>
      <w:r/>
      <w:bookmarkEnd w:id="244"/>
      <w:r/>
      <w:bookmarkEnd w:id="245"/>
      <w:r/>
      <w:bookmarkEnd w:id="246"/>
      <w:r/>
      <w:bookmarkEnd w:id="247"/>
      <w:r/>
      <w:bookmarkEnd w:id="248"/>
      <w:r/>
      <w:bookmarkEnd w:id="249"/>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7.5.1 因发包人原因导致工期延误</w:t>
      </w:r>
      <w:r/>
    </w:p>
    <w:p>
      <w:pPr>
        <w:ind w:firstLine="315"/>
        <w:jc w:val="left"/>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因发包人原因导致工期延误的其他情形：</w:t>
      </w:r>
      <w:r>
        <w:rPr>
          <w:rFonts w:hint="eastAsia" w:ascii="黑体" w:hAnsi="黑体" w:eastAsia="黑体" w:cs="黑体"/>
          <w:color w:val="auto"/>
          <w:sz w:val="21"/>
          <w:szCs w:val="21"/>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人必须都要举证证明且举证证明应该属实，否则发包人不予以工期顺延。</w:t>
      </w:r>
      <w:r/>
    </w:p>
    <w:p>
      <w:pPr>
        <w:ind w:firstLine="315"/>
        <w:jc w:val="left"/>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因发包人原因导致的工期延误</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仅顺延工期，承包人不得提出任何其他补偿或索赔费用。</w:t>
      </w:r>
      <w:r/>
    </w:p>
    <w:p>
      <w:pPr>
        <w:ind w:firstLine="315"/>
        <w:jc w:val="left"/>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承包人应在上述工期事件发生后28日内，向监理人递交工期索赔意向通知书，逾期视为承包人放弃工期索赔。</w:t>
      </w:r>
      <w:r/>
    </w:p>
    <w:p>
      <w:pPr>
        <w:ind w:firstLine="210"/>
        <w:jc w:val="left"/>
        <w:spacing w:line="360" w:lineRule="auto"/>
        <w:rPr>
          <w:rFonts w:hint="eastAsia" w:ascii="黑体" w:hAnsi="黑体" w:eastAsia="黑体" w:cs="黑体"/>
          <w:color w:val="auto"/>
          <w:sz w:val="21"/>
          <w:szCs w:val="21"/>
          <w:highlight w:val="none"/>
        </w:rPr>
      </w:pPr>
      <w:r>
        <w:rPr>
          <w:rFonts w:hint="eastAsia" w:ascii="黑体" w:hAnsi="黑体" w:eastAsia="黑体" w:cs="黑体"/>
          <w:bCs/>
          <w:color w:val="auto"/>
          <w:sz w:val="21"/>
          <w:szCs w:val="21"/>
          <w:highlight w:val="none"/>
          <w:u w:val="single"/>
        </w:rPr>
        <w:t xml:space="preserve">工程实施过程中因设计变更、经济签证等原因造成的工程量增减，工期不予调整</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w:t>
      </w:r>
      <w:bookmarkStart w:id="250" w:name="_Toc303539127"/>
      <w:r/>
      <w:bookmarkStart w:id="251" w:name="_Toc312678012"/>
      <w:r/>
      <w:bookmarkStart w:id="252" w:name="_Toc312677486"/>
      <w:r/>
      <w:bookmarkStart w:id="253" w:name="_Toc297123518"/>
      <w:r/>
      <w:bookmarkStart w:id="254" w:name="_Toc318581169"/>
      <w:r/>
      <w:bookmarkStart w:id="255" w:name="_Toc300934970"/>
      <w:r/>
      <w:bookmarkStart w:id="256" w:name="_Toc304295548"/>
      <w:r/>
      <w:bookmarkStart w:id="257" w:name="_Toc297216177"/>
      <w:r>
        <w:rPr>
          <w:rFonts w:hint="eastAsia" w:ascii="黑体" w:hAnsi="黑体" w:eastAsia="黑体" w:cs="黑体"/>
          <w:color w:val="auto"/>
          <w:sz w:val="21"/>
          <w:szCs w:val="21"/>
          <w:highlight w:val="none"/>
        </w:rPr>
        <w:t xml:space="preserve">.5.2 因承包人原因导致工期延误</w:t>
      </w:r>
      <w:bookmarkEnd w:id="250"/>
      <w:r/>
      <w:bookmarkEnd w:id="251"/>
      <w:r/>
      <w:bookmarkEnd w:id="252"/>
      <w:r/>
      <w:bookmarkEnd w:id="253"/>
      <w:r/>
      <w:bookmarkEnd w:id="254"/>
      <w:r/>
      <w:bookmarkEnd w:id="255"/>
      <w:r/>
      <w:bookmarkEnd w:id="256"/>
      <w:r/>
      <w:bookmarkEnd w:id="257"/>
      <w:r/>
      <w:r/>
    </w:p>
    <w:p>
      <w:pPr>
        <w:ind w:firstLine="420"/>
        <w:spacing w:line="312" w:lineRule="auto"/>
        <w:rPr>
          <w:rFonts w:hint="eastAsia" w:ascii="黑体" w:hAnsi="黑体" w:eastAsia="黑体" w:cs="黑体"/>
          <w:b w:val="0"/>
          <w:bCs w:val="0"/>
          <w:color w:val="auto"/>
          <w:sz w:val="21"/>
          <w:szCs w:val="21"/>
          <w:highlight w:val="none"/>
          <w:u w:val="single"/>
        </w:rPr>
      </w:pPr>
      <w:r>
        <w:rPr>
          <w:rFonts w:hint="eastAsia" w:ascii="黑体" w:hAnsi="黑体" w:eastAsia="黑体" w:cs="黑体"/>
          <w:color w:val="auto"/>
          <w:sz w:val="21"/>
          <w:szCs w:val="21"/>
          <w:highlight w:val="none"/>
        </w:rPr>
        <w:t xml:space="preserve">因</w:t>
      </w:r>
      <w:bookmarkStart w:id="258" w:name="_Toc312677487"/>
      <w:r/>
      <w:bookmarkStart w:id="259" w:name="_Toc312678013"/>
      <w:r/>
      <w:bookmarkStart w:id="260" w:name="_Toc318581170"/>
      <w:r>
        <w:rPr>
          <w:rFonts w:hint="eastAsia" w:ascii="黑体" w:hAnsi="黑体" w:eastAsia="黑体" w:cs="黑体"/>
          <w:color w:val="auto"/>
          <w:sz w:val="21"/>
          <w:szCs w:val="21"/>
          <w:highlight w:val="none"/>
        </w:rPr>
        <w:t xml:space="preserve">承包人原因造成工期延误，逾期竣工违约金的计算方法为：</w:t>
      </w:r>
      <w:bookmarkEnd w:id="258"/>
      <w:r/>
      <w:bookmarkEnd w:id="259"/>
      <w:r>
        <w:rPr>
          <w:rFonts w:hint="eastAsia" w:ascii="黑体" w:hAnsi="黑体" w:eastAsia="黑体" w:cs="黑体"/>
          <w:b w:val="0"/>
          <w:bCs w:val="0"/>
          <w:color w:val="auto"/>
          <w:sz w:val="21"/>
          <w:szCs w:val="21"/>
          <w:highlight w:val="none"/>
          <w:u w:val="single"/>
        </w:rPr>
        <w:t xml:space="preserve">按照</w:t>
      </w:r>
      <w:r>
        <w:rPr>
          <w:rFonts w:hint="eastAsia" w:ascii="黑体" w:hAnsi="黑体" w:eastAsia="黑体" w:cs="黑体"/>
          <w:b w:val="0"/>
          <w:bCs w:val="0"/>
          <w:color w:val="auto"/>
          <w:sz w:val="21"/>
          <w:szCs w:val="21"/>
          <w:highlight w:val="none"/>
          <w:u w:val="single"/>
        </w:rPr>
        <w:t xml:space="preserve">5000元/天计算。同时发包方保留进一步索赔的权利</w:t>
      </w:r>
      <w:r>
        <w:rPr>
          <w:rFonts w:hint="eastAsia" w:ascii="黑体" w:hAnsi="黑体" w:eastAsia="黑体" w:cs="黑体"/>
          <w:b w:val="0"/>
          <w:bCs w:val="0"/>
          <w:color w:val="auto"/>
          <w:sz w:val="21"/>
          <w:szCs w:val="21"/>
          <w:highlight w:val="none"/>
        </w:rPr>
        <w:t xml:space="preserve">。</w:t>
      </w:r>
      <w:bookmarkEnd w:id="260"/>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因承包人原因造成工期延误，逾</w:t>
      </w:r>
      <w:bookmarkStart w:id="261" w:name="_Toc318581171"/>
      <w:r/>
      <w:bookmarkStart w:id="262" w:name="_Toc312678014"/>
      <w:r>
        <w:rPr>
          <w:rFonts w:hint="eastAsia" w:ascii="黑体" w:hAnsi="黑体" w:eastAsia="黑体" w:cs="黑体"/>
          <w:color w:val="auto"/>
          <w:sz w:val="21"/>
          <w:szCs w:val="21"/>
          <w:highlight w:val="none"/>
        </w:rPr>
        <w:t xml:space="preserve">期竣工违约金的上限：</w:t>
      </w:r>
      <w:r>
        <w:rPr>
          <w:rFonts w:hint="eastAsia" w:ascii="黑体" w:hAnsi="黑体" w:eastAsia="黑体" w:cs="黑体"/>
          <w:color w:val="auto"/>
          <w:sz w:val="21"/>
          <w:szCs w:val="21"/>
          <w:highlight w:val="none"/>
          <w:u w:val="single"/>
        </w:rPr>
        <w:t xml:space="preserve">总额不超过合同价款的20%</w:t>
      </w:r>
      <w:r>
        <w:rPr>
          <w:rFonts w:hint="eastAsia" w:ascii="黑体" w:hAnsi="黑体" w:eastAsia="黑体" w:cs="黑体"/>
          <w:color w:val="auto"/>
          <w:sz w:val="21"/>
          <w:szCs w:val="21"/>
          <w:highlight w:val="none"/>
        </w:rPr>
        <w:t xml:space="preserve">。</w:t>
      </w:r>
      <w:bookmarkEnd w:id="261"/>
      <w:r/>
      <w:bookmarkEnd w:id="26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w:t>
      </w:r>
      <w:bookmarkStart w:id="263" w:name="_Toc304295549"/>
      <w:r/>
      <w:bookmarkStart w:id="264" w:name="_Toc300934971"/>
      <w:r/>
      <w:bookmarkStart w:id="265" w:name="_Toc297123519"/>
      <w:r/>
      <w:bookmarkStart w:id="266" w:name="_Toc312678015"/>
      <w:r/>
      <w:bookmarkStart w:id="267" w:name="_Toc297216178"/>
      <w:r/>
      <w:bookmarkStart w:id="268" w:name="_Toc303539128"/>
      <w:r>
        <w:rPr>
          <w:rFonts w:hint="eastAsia" w:ascii="黑体" w:hAnsi="黑体" w:eastAsia="黑体" w:cs="黑体"/>
          <w:color w:val="auto"/>
          <w:sz w:val="21"/>
          <w:szCs w:val="21"/>
          <w:highlight w:val="none"/>
        </w:rPr>
        <w:t xml:space="preserve">.6 不</w:t>
      </w:r>
      <w:bookmarkEnd w:id="263"/>
      <w:r/>
      <w:bookmarkEnd w:id="264"/>
      <w:r/>
      <w:bookmarkEnd w:id="265"/>
      <w:r/>
      <w:bookmarkEnd w:id="266"/>
      <w:r/>
      <w:bookmarkEnd w:id="267"/>
      <w:r/>
      <w:bookmarkEnd w:id="268"/>
      <w:r>
        <w:rPr>
          <w:rFonts w:hint="eastAsia" w:ascii="黑体" w:hAnsi="黑体" w:eastAsia="黑体" w:cs="黑体"/>
          <w:color w:val="auto"/>
          <w:sz w:val="21"/>
          <w:szCs w:val="21"/>
          <w:highlight w:val="none"/>
        </w:rPr>
        <w:t xml:space="preserve">利物质条件</w:t>
      </w:r>
      <w:r/>
    </w:p>
    <w:p>
      <w:pPr>
        <w:spacing w:line="312" w:lineRule="auto"/>
        <w:rPr>
          <w:rFonts w:hint="eastAsia" w:ascii="黑体" w:hAnsi="黑体" w:eastAsia="黑体" w:cs="黑体"/>
          <w:color w:val="auto"/>
          <w:sz w:val="21"/>
          <w:szCs w:val="21"/>
          <w:highlight w:val="none"/>
          <w:u w:val="single"/>
          <w:lang w:eastAsia="zh-CN"/>
        </w:rPr>
      </w:pPr>
      <w:r/>
      <w:bookmarkStart w:id="269" w:name="_Toc318581172"/>
      <w:r/>
      <w:bookmarkStart w:id="270" w:name="_Toc304295550"/>
      <w:r/>
      <w:bookmarkStart w:id="271" w:name="_Toc312678016"/>
      <w:r/>
      <w:bookmarkStart w:id="272" w:name="_Toc300934972"/>
      <w:r/>
      <w:bookmarkStart w:id="273" w:name="_Toc297216179"/>
      <w:r/>
      <w:bookmarkStart w:id="274" w:name="_Toc297123520"/>
      <w:r/>
      <w:bookmarkStart w:id="275" w:name="_Toc303539129"/>
      <w:r>
        <w:rPr>
          <w:rFonts w:hint="eastAsia" w:ascii="黑体" w:hAnsi="黑体" w:eastAsia="黑体" w:cs="黑体"/>
          <w:color w:val="auto"/>
          <w:sz w:val="21"/>
          <w:szCs w:val="21"/>
          <w:highlight w:val="none"/>
        </w:rPr>
        <w:t xml:space="preserve">不利物质条件的其他情形和有关约定：</w:t>
      </w:r>
      <w:r>
        <w:rPr>
          <w:rFonts w:hint="eastAsia" w:ascii="黑体" w:hAnsi="黑体" w:eastAsia="黑体" w:cs="黑体"/>
          <w:color w:val="auto"/>
          <w:sz w:val="21"/>
          <w:szCs w:val="21"/>
          <w:highlight w:val="none"/>
          <w:u w:val="single"/>
        </w:rPr>
        <w:t xml:space="preserve"> 执行通用条款</w:t>
      </w:r>
      <w:r>
        <w:rPr>
          <w:rFonts w:hint="eastAsia" w:ascii="黑体" w:hAnsi="黑体" w:eastAsia="黑体" w:cs="黑体"/>
          <w:color w:val="auto"/>
          <w:sz w:val="21"/>
          <w:szCs w:val="21"/>
          <w:highlight w:val="none"/>
          <w:u w:val="single"/>
          <w:lang w:eastAsia="zh-CN"/>
        </w:rPr>
        <w:t xml:space="preserve">；</w:t>
      </w:r>
      <w:bookmarkEnd w:id="269"/>
      <w:r/>
      <w:bookmarkEnd w:id="270"/>
      <w:r/>
      <w:bookmarkEnd w:id="271"/>
      <w:r/>
      <w:bookmarkEnd w:id="272"/>
      <w:r/>
      <w:bookmarkEnd w:id="273"/>
      <w:r/>
      <w:bookmarkEnd w:id="274"/>
      <w:r/>
      <w:bookmarkEnd w:id="275"/>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w:t>
      </w:r>
      <w:bookmarkStart w:id="276" w:name="_Toc297216180"/>
      <w:r/>
      <w:bookmarkStart w:id="277" w:name="_Toc297123521"/>
      <w:r/>
      <w:bookmarkStart w:id="278" w:name="_Toc304295551"/>
      <w:r/>
      <w:bookmarkStart w:id="279" w:name="_Toc300934973"/>
      <w:r/>
      <w:bookmarkStart w:id="280" w:name="_Toc303539130"/>
      <w:r/>
      <w:bookmarkStart w:id="281" w:name="_Toc312678017"/>
      <w:r>
        <w:rPr>
          <w:rFonts w:hint="eastAsia" w:ascii="黑体" w:hAnsi="黑体" w:eastAsia="黑体" w:cs="黑体"/>
          <w:color w:val="auto"/>
          <w:sz w:val="21"/>
          <w:szCs w:val="21"/>
          <w:highlight w:val="none"/>
        </w:rPr>
        <w:t xml:space="preserve">.7异常恶劣的气候条件</w:t>
      </w:r>
      <w:bookmarkEnd w:id="276"/>
      <w:r/>
      <w:bookmarkEnd w:id="277"/>
      <w:r/>
      <w:bookmarkEnd w:id="278"/>
      <w:r/>
      <w:bookmarkEnd w:id="279"/>
      <w:r/>
      <w:bookmarkEnd w:id="280"/>
      <w:r/>
      <w:bookmarkEnd w:id="281"/>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发包人和承包人同意以下情形视为异常恶劣的气候条件：</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（4）</w:t>
      </w:r>
      <w:r>
        <w:rPr>
          <w:rFonts w:hint="eastAsia" w:ascii="黑体" w:hAnsi="黑体" w:eastAsia="黑体" w:cs="黑体"/>
          <w:color w:val="auto"/>
          <w:sz w:val="21"/>
          <w:szCs w:val="21"/>
          <w:highlight w:val="none"/>
          <w:u w:val="single"/>
        </w:rPr>
        <w:t xml:space="preserve">执行通用条款。</w:t>
      </w:r>
      <w:r/>
    </w:p>
    <w:p>
      <w:pPr>
        <w:ind w:firstLine="420"/>
        <w:spacing w:line="312" w:lineRule="auto"/>
        <w:rPr>
          <w:rFonts w:hint="eastAsia" w:ascii="黑体" w:hAnsi="黑体" w:eastAsia="黑体" w:cs="黑体"/>
          <w:color w:val="auto"/>
          <w:sz w:val="21"/>
          <w:szCs w:val="21"/>
          <w:highlight w:val="none"/>
        </w:rPr>
        <w:outlineLvl w:val="0"/>
      </w:pPr>
      <w:r/>
      <w:bookmarkStart w:id="282" w:name="_Toc4947"/>
      <w:r>
        <w:rPr>
          <w:rFonts w:hint="eastAsia" w:ascii="黑体" w:hAnsi="黑体" w:eastAsia="黑体" w:cs="黑体"/>
          <w:color w:val="auto"/>
          <w:sz w:val="21"/>
          <w:szCs w:val="21"/>
          <w:highlight w:val="none"/>
        </w:rPr>
        <w:t xml:space="preserve">7.9 提前竣工的奖励</w:t>
      </w:r>
      <w:bookmarkEnd w:id="28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7.9.2提前竣工的奖励：</w:t>
      </w:r>
      <w:r>
        <w:rPr>
          <w:rFonts w:hint="eastAsia" w:ascii="黑体" w:hAnsi="黑体" w:eastAsia="黑体" w:cs="黑体"/>
          <w:color w:val="auto"/>
          <w:sz w:val="21"/>
          <w:szCs w:val="21"/>
          <w:highlight w:val="none"/>
          <w:u w:val="single"/>
        </w:rPr>
        <w:t xml:space="preserve"> 无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b/>
          <w:bCs w:val="0"/>
          <w:color w:val="auto"/>
          <w:sz w:val="21"/>
          <w:szCs w:val="21"/>
          <w:highlight w:val="none"/>
        </w:rPr>
        <w:outlineLvl w:val="3"/>
      </w:pPr>
      <w:r/>
      <w:bookmarkStart w:id="283" w:name="_Toc351203640"/>
      <w:r>
        <w:rPr>
          <w:rFonts w:hint="eastAsia" w:ascii="黑体" w:hAnsi="黑体" w:eastAsia="黑体" w:cs="黑体"/>
          <w:b/>
          <w:bCs w:val="0"/>
          <w:color w:val="auto"/>
          <w:sz w:val="21"/>
          <w:szCs w:val="21"/>
          <w:highlight w:val="none"/>
        </w:rPr>
        <w:t xml:space="preserve">8. 材料与设备</w:t>
      </w:r>
      <w:bookmarkEnd w:id="283"/>
      <w:r/>
      <w:bookmarkEnd w:id="216"/>
      <w:r/>
      <w:bookmarkEnd w:id="217"/>
      <w:r/>
      <w:bookmarkEnd w:id="218"/>
      <w:r/>
      <w:bookmarkEnd w:id="219"/>
      <w:r/>
      <w:bookmarkEnd w:id="220"/>
      <w:r/>
      <w:bookmarkEnd w:id="221"/>
      <w:r/>
      <w:bookmarkEnd w:id="222"/>
      <w:r/>
      <w:bookmarkEnd w:id="223"/>
      <w:r/>
      <w:bookmarkEnd w:id="224"/>
      <w:r/>
      <w:bookmarkEnd w:id="225"/>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w:t>
      </w:r>
      <w:bookmarkStart w:id="284" w:name="_Toc296347166"/>
      <w:r/>
      <w:bookmarkStart w:id="285" w:name="_Toc297216186"/>
      <w:r/>
      <w:bookmarkStart w:id="286" w:name="_Toc296890995"/>
      <w:r/>
      <w:bookmarkStart w:id="287" w:name="_Toc280868654"/>
      <w:r/>
      <w:bookmarkStart w:id="288" w:name="_Toc297048353"/>
      <w:r/>
      <w:bookmarkStart w:id="289" w:name="_Toc296503167"/>
      <w:r/>
      <w:bookmarkStart w:id="290" w:name="_Toc292559372"/>
      <w:r/>
      <w:bookmarkStart w:id="291" w:name="_Toc303539136"/>
      <w:r/>
      <w:bookmarkStart w:id="292" w:name="_Toc304295556"/>
      <w:r/>
      <w:bookmarkStart w:id="293" w:name="_Toc297120467"/>
      <w:r/>
      <w:bookmarkStart w:id="294" w:name="_Toc297123527"/>
      <w:r/>
      <w:bookmarkStart w:id="295" w:name="_Toc312677493"/>
      <w:r/>
      <w:bookmarkStart w:id="296" w:name="_Toc300934979"/>
      <w:r/>
      <w:bookmarkStart w:id="297" w:name="_Toc296891207"/>
      <w:r/>
      <w:bookmarkStart w:id="298" w:name="_Toc312678019"/>
      <w:r/>
      <w:bookmarkStart w:id="299" w:name="_Toc296944506"/>
      <w:r/>
      <w:bookmarkStart w:id="300" w:name="_Toc296346668"/>
      <w:r/>
      <w:bookmarkStart w:id="301" w:name="_Toc292559877"/>
      <w:r/>
      <w:bookmarkStart w:id="302" w:name="_Toc280868655"/>
      <w:r/>
      <w:bookmarkStart w:id="303" w:name="_Toc280868656"/>
      <w:r/>
      <w:bookmarkStart w:id="304" w:name="_Toc267251424"/>
      <w:r>
        <w:rPr>
          <w:rFonts w:hint="eastAsia" w:ascii="黑体" w:hAnsi="黑体" w:eastAsia="黑体" w:cs="黑体"/>
          <w:color w:val="auto"/>
          <w:sz w:val="21"/>
          <w:szCs w:val="21"/>
          <w:highlight w:val="none"/>
        </w:rPr>
        <w:t xml:space="preserve">.4材料与工程设备的保管与使用</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8</w:t>
      </w:r>
      <w:bookmarkStart w:id="305" w:name="_Toc292559373"/>
      <w:r/>
      <w:bookmarkStart w:id="306" w:name="_Toc292559878"/>
      <w:r/>
      <w:bookmarkStart w:id="307" w:name="_Toc297120468"/>
      <w:r/>
      <w:bookmarkStart w:id="308" w:name="_Toc296890996"/>
      <w:r/>
      <w:bookmarkStart w:id="309" w:name="_Toc300934980"/>
      <w:r/>
      <w:bookmarkStart w:id="310" w:name="_Toc304295557"/>
      <w:r/>
      <w:bookmarkStart w:id="311" w:name="_Toc297123528"/>
      <w:r/>
      <w:bookmarkStart w:id="312" w:name="_Toc296346669"/>
      <w:r/>
      <w:bookmarkStart w:id="313" w:name="_Toc303539137"/>
      <w:r/>
      <w:bookmarkStart w:id="314" w:name="_Toc297216187"/>
      <w:r/>
      <w:bookmarkStart w:id="315" w:name="_Toc312677494"/>
      <w:r/>
      <w:bookmarkStart w:id="316" w:name="_Toc297048354"/>
      <w:r/>
      <w:bookmarkStart w:id="317" w:name="_Toc296891208"/>
      <w:r/>
      <w:bookmarkStart w:id="318" w:name="_Toc296503168"/>
      <w:r/>
      <w:bookmarkStart w:id="319" w:name="_Toc296944507"/>
      <w:r/>
      <w:bookmarkStart w:id="320" w:name="_Toc318581173"/>
      <w:r/>
      <w:bookmarkStart w:id="321" w:name="_Toc312678020"/>
      <w:r/>
      <w:bookmarkStart w:id="322" w:name="_Toc296347167"/>
      <w:r>
        <w:rPr>
          <w:rFonts w:hint="eastAsia" w:ascii="黑体" w:hAnsi="黑体" w:eastAsia="黑体" w:cs="黑体"/>
          <w:color w:val="auto"/>
          <w:sz w:val="21"/>
          <w:szCs w:val="21"/>
          <w:highlight w:val="none"/>
        </w:rPr>
        <w:t xml:space="preserve">.4.1发包人供应的材料设备的保管费用的承担：</w:t>
      </w:r>
      <w:bookmarkEnd w:id="305"/>
      <w:r/>
      <w:bookmarkEnd w:id="306"/>
      <w:r>
        <w:rPr>
          <w:rFonts w:hint="eastAsia" w:ascii="黑体" w:hAnsi="黑体" w:eastAsia="黑体" w:cs="黑体"/>
          <w:color w:val="auto"/>
          <w:sz w:val="21"/>
          <w:szCs w:val="21"/>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8.6 样品</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8.6.1样品的报送与封存</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需要承包人报送样品的材料或工程设备，样品的种类、名称、规格、数量要求：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①施工中，根据发包人具体指令制作，样品不得另行收取费用。</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②承包人所提供样品均不得低于发包人甲控品牌的技术参数要求。</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rPr>
          <w:rFonts w:hint="eastAsia" w:ascii="黑体" w:hAnsi="黑体" w:eastAsia="黑体" w:cs="黑体"/>
          <w:color w:val="auto"/>
          <w:sz w:val="21"/>
          <w:szCs w:val="21"/>
          <w:highlight w:val="none"/>
          <w:u w:val="single"/>
        </w:rPr>
        <w:br/>
      </w:r>
      <w:r>
        <w:rPr>
          <w:rFonts w:hint="eastAsia" w:ascii="黑体" w:hAnsi="黑体" w:eastAsia="黑体" w:cs="黑体"/>
          <w:color w:val="auto"/>
          <w:sz w:val="21"/>
          <w:szCs w:val="21"/>
          <w:highlight w:val="none"/>
          <w:u w:val="single"/>
        </w:rPr>
        <w:t xml:space="preserve">   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⑥承包人投标报价时自行去现场踏勘。</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8.8 施工设备和临时设施</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8.8.1 承包人提供的施工设备和临时设施</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关于修建临时设施费用承担的约定：</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351203641"/>
      <w:r>
        <w:rPr>
          <w:rFonts w:hint="eastAsia" w:ascii="黑体" w:hAnsi="黑体" w:eastAsia="黑体" w:cs="黑体"/>
          <w:color w:val="auto"/>
          <w:sz w:val="21"/>
          <w:szCs w:val="21"/>
          <w:highlight w:val="none"/>
          <w:u w:val="single"/>
        </w:rPr>
        <w:t xml:space="preserve">由承包人全额承担，另外发包人、监理驻施工现场管理人员必要的办公用房及设施由承包人负责免费提供</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9</w:t>
      </w:r>
      <w:bookmarkEnd w:id="302"/>
      <w:r/>
      <w:bookmarkEnd w:id="303"/>
      <w:r/>
      <w:bookmarkEnd w:id="304"/>
      <w:r/>
      <w:bookmarkStart w:id="324" w:name="_Toc304295559"/>
      <w:r/>
      <w:bookmarkStart w:id="325" w:name="_Toc312677495"/>
      <w:r/>
      <w:bookmarkStart w:id="326" w:name="_Toc303539139"/>
      <w:r/>
      <w:bookmarkStart w:id="327" w:name="_Toc300934982"/>
      <w:r/>
      <w:bookmarkStart w:id="328" w:name="_Toc297123533"/>
      <w:r/>
      <w:bookmarkStart w:id="329" w:name="_Toc312678021"/>
      <w:r/>
      <w:bookmarkStart w:id="330" w:name="_Toc297216192"/>
      <w:r/>
      <w:bookmarkStart w:id="331" w:name="_Toc296346674"/>
      <w:r/>
      <w:bookmarkStart w:id="332" w:name="_Toc296503173"/>
      <w:r/>
      <w:bookmarkStart w:id="333" w:name="_Toc297120473"/>
      <w:r/>
      <w:bookmarkStart w:id="334" w:name="_Toc292559883"/>
      <w:r/>
      <w:bookmarkStart w:id="335" w:name="_Toc296347172"/>
      <w:r/>
      <w:bookmarkStart w:id="336" w:name="_Toc296891213"/>
      <w:r/>
      <w:bookmarkStart w:id="337" w:name="_Toc292559378"/>
      <w:r/>
      <w:bookmarkStart w:id="338" w:name="_Toc297048359"/>
      <w:r/>
      <w:bookmarkStart w:id="339" w:name="_Toc267251428"/>
      <w:r/>
      <w:bookmarkStart w:id="340" w:name="_Toc267251427"/>
      <w:r/>
      <w:bookmarkStart w:id="341" w:name="_Toc296944512"/>
      <w:r/>
      <w:bookmarkStart w:id="342" w:name="_Toc296891001"/>
      <w:r>
        <w:rPr>
          <w:rFonts w:hint="eastAsia" w:ascii="黑体" w:hAnsi="黑体" w:eastAsia="黑体" w:cs="黑体"/>
          <w:b/>
          <w:color w:val="auto"/>
          <w:sz w:val="21"/>
          <w:szCs w:val="21"/>
          <w:highlight w:val="none"/>
        </w:rPr>
        <w:t xml:space="preserve">. 试验与检验</w:t>
      </w:r>
      <w:bookmarkEnd w:id="323"/>
      <w:r/>
      <w:bookmarkEnd w:id="324"/>
      <w:r/>
      <w:bookmarkEnd w:id="325"/>
      <w:r/>
      <w:bookmarkEnd w:id="326"/>
      <w:r/>
      <w:bookmarkEnd w:id="327"/>
      <w:r/>
      <w:bookmarkEnd w:id="328"/>
      <w:r/>
      <w:bookmarkEnd w:id="329"/>
      <w:r/>
      <w:bookmarkEnd w:id="330"/>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w:t>
      </w:r>
      <w:bookmarkStart w:id="343" w:name="_Toc297123534"/>
      <w:r/>
      <w:bookmarkStart w:id="344" w:name="_Toc300934983"/>
      <w:r/>
      <w:bookmarkStart w:id="345" w:name="_Toc312677496"/>
      <w:r/>
      <w:bookmarkStart w:id="346" w:name="_Toc303539140"/>
      <w:r/>
      <w:bookmarkStart w:id="347" w:name="_Toc304295560"/>
      <w:r/>
      <w:bookmarkStart w:id="348" w:name="_Toc297216193"/>
      <w:r/>
      <w:bookmarkStart w:id="349" w:name="_Toc312678022"/>
      <w:r>
        <w:rPr>
          <w:rFonts w:hint="eastAsia" w:ascii="黑体" w:hAnsi="黑体" w:eastAsia="黑体" w:cs="黑体"/>
          <w:color w:val="auto"/>
          <w:sz w:val="21"/>
          <w:szCs w:val="21"/>
          <w:highlight w:val="none"/>
        </w:rPr>
        <w:t xml:space="preserve">.1试验设备与试验人员</w:t>
      </w:r>
      <w:bookmarkEnd w:id="343"/>
      <w:r/>
      <w:bookmarkEnd w:id="344"/>
      <w:r/>
      <w:bookmarkEnd w:id="345"/>
      <w:r/>
      <w:bookmarkEnd w:id="346"/>
      <w:r/>
      <w:bookmarkEnd w:id="347"/>
      <w:r/>
      <w:bookmarkEnd w:id="348"/>
      <w:r/>
      <w:bookmarkEnd w:id="349"/>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w:t>
      </w:r>
      <w:bookmarkStart w:id="350" w:name="_Toc297216194"/>
      <w:r/>
      <w:bookmarkStart w:id="351" w:name="_Toc312678023"/>
      <w:r/>
      <w:bookmarkStart w:id="352" w:name="_Toc304295561"/>
      <w:r/>
      <w:bookmarkStart w:id="353" w:name="_Toc303539141"/>
      <w:r/>
      <w:bookmarkStart w:id="354" w:name="_Toc297123535"/>
      <w:r/>
      <w:bookmarkStart w:id="355" w:name="_Toc312677497"/>
      <w:r/>
      <w:bookmarkStart w:id="356" w:name="_Toc300934984"/>
      <w:r/>
      <w:bookmarkStart w:id="357" w:name="_Toc318581174"/>
      <w:r>
        <w:rPr>
          <w:rFonts w:hint="eastAsia" w:ascii="黑体" w:hAnsi="黑体" w:eastAsia="黑体" w:cs="黑体"/>
          <w:color w:val="auto"/>
          <w:sz w:val="21"/>
          <w:szCs w:val="21"/>
          <w:highlight w:val="none"/>
        </w:rPr>
        <w:t xml:space="preserve">.1.2 试验设备</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施工现场需要配置的试验场所：</w:t>
      </w:r>
      <w:bookmarkEnd w:id="350"/>
      <w:r/>
      <w:bookmarkEnd w:id="351"/>
      <w:r/>
      <w:bookmarkEnd w:id="352"/>
      <w:r/>
      <w:bookmarkEnd w:id="353"/>
      <w:r/>
      <w:bookmarkEnd w:id="354"/>
      <w:r/>
      <w:bookmarkEnd w:id="355"/>
      <w:r/>
      <w:bookmarkEnd w:id="356"/>
      <w:r/>
      <w:bookmarkStart w:id="358" w:name="_Toc297123536"/>
      <w:r/>
      <w:bookmarkStart w:id="359" w:name="_Toc297216195"/>
      <w:r/>
      <w:bookmarkStart w:id="360" w:name="_Toc304295562"/>
      <w:r/>
      <w:bookmarkStart w:id="361" w:name="_Toc312678024"/>
      <w:r/>
      <w:bookmarkStart w:id="362" w:name="_Toc312677498"/>
      <w:r/>
      <w:bookmarkStart w:id="363" w:name="_Toc303539142"/>
      <w:r/>
      <w:bookmarkStart w:id="364" w:name="_Toc300934985"/>
      <w:r>
        <w:rPr>
          <w:rFonts w:hint="eastAsia" w:ascii="黑体" w:hAnsi="黑体" w:eastAsia="黑体" w:cs="黑体"/>
          <w:color w:val="auto"/>
          <w:sz w:val="21"/>
          <w:szCs w:val="21"/>
          <w:highlight w:val="none"/>
          <w:u w:val="single"/>
        </w:rPr>
        <w:t xml:space="preserve">符合相关规范规定，满足施工材料、施工工序自检需要</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施工现场需要配备的试验设备：</w:t>
      </w:r>
      <w:r>
        <w:rPr>
          <w:rFonts w:hint="eastAsia" w:ascii="黑体" w:hAnsi="黑体" w:eastAsia="黑体" w:cs="黑体"/>
          <w:color w:val="auto"/>
          <w:sz w:val="21"/>
          <w:szCs w:val="21"/>
          <w:highlight w:val="none"/>
          <w:u w:val="single"/>
        </w:rPr>
        <w:t xml:space="preserve">符合相关规范规定，满足施工材料、施工工序自检需要。</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施工现场需要具备的其他试验条件：</w:t>
      </w:r>
      <w:r>
        <w:rPr>
          <w:rFonts w:hint="eastAsia" w:ascii="黑体" w:hAnsi="黑体" w:eastAsia="黑体" w:cs="黑体"/>
          <w:color w:val="auto"/>
          <w:sz w:val="21"/>
          <w:szCs w:val="21"/>
          <w:highlight w:val="none"/>
          <w:u w:val="single"/>
        </w:rPr>
        <w:t xml:space="preserve">符合相关规范规定，满足施工材料、施工工序自检需要。</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9.4 现场工艺试验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现场工艺试验的有关约定：</w:t>
      </w:r>
      <w:bookmarkEnd w:id="357"/>
      <w:r/>
      <w:bookmarkEnd w:id="358"/>
      <w:r/>
      <w:bookmarkEnd w:id="359"/>
      <w:r/>
      <w:bookmarkEnd w:id="360"/>
      <w:r/>
      <w:bookmarkEnd w:id="361"/>
      <w:r/>
      <w:bookmarkEnd w:id="362"/>
      <w:r/>
      <w:bookmarkEnd w:id="363"/>
      <w:r/>
      <w:bookmarkEnd w:id="364"/>
      <w:r/>
      <w:bookmarkStart w:id="365" w:name="_Toc351203642"/>
      <w:r>
        <w:rPr>
          <w:rFonts w:hint="eastAsia" w:ascii="黑体" w:hAnsi="黑体" w:eastAsia="黑体" w:cs="黑体"/>
          <w:color w:val="auto"/>
          <w:sz w:val="21"/>
          <w:szCs w:val="21"/>
          <w:highlight w:val="none"/>
          <w:u w:val="single"/>
        </w:rPr>
        <w:t xml:space="preserve">承包人根据相关法律、标准和规范及按照监理人指示进行试验并承担检测费用</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1</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66" w:name="_Toc296347192"/>
      <w:r/>
      <w:bookmarkStart w:id="367" w:name="_Toc300934989"/>
      <w:r/>
      <w:bookmarkStart w:id="368" w:name="_Toc296346694"/>
      <w:r/>
      <w:bookmarkStart w:id="369" w:name="_Toc296503193"/>
      <w:r/>
      <w:bookmarkStart w:id="370" w:name="_Toc297048379"/>
      <w:r/>
      <w:bookmarkStart w:id="371" w:name="_Toc297123540"/>
      <w:r/>
      <w:bookmarkStart w:id="372" w:name="_Toc296944532"/>
      <w:r/>
      <w:bookmarkStart w:id="373" w:name="_Toc292559398"/>
      <w:r/>
      <w:bookmarkStart w:id="374" w:name="_Toc296891021"/>
      <w:r/>
      <w:bookmarkStart w:id="375" w:name="_Toc303539146"/>
      <w:r/>
      <w:bookmarkStart w:id="376" w:name="_Toc304295566"/>
      <w:r/>
      <w:bookmarkStart w:id="377" w:name="_Toc297216199"/>
      <w:r/>
      <w:bookmarkStart w:id="378" w:name="_Toc296891233"/>
      <w:r/>
      <w:bookmarkStart w:id="379" w:name="_Toc297120493"/>
      <w:r/>
      <w:bookmarkStart w:id="380" w:name="_Toc292559903"/>
      <w:r/>
      <w:bookmarkStart w:id="381" w:name="_Toc312678025"/>
      <w:r/>
      <w:bookmarkStart w:id="382" w:name="_Toc312677499"/>
      <w:r/>
      <w:bookmarkStart w:id="383" w:name="_Toc267251439"/>
      <w:r/>
      <w:bookmarkStart w:id="384" w:name="_Toc267251433"/>
      <w:r/>
      <w:bookmarkStart w:id="385" w:name="_Toc267251441"/>
      <w:r/>
      <w:bookmarkStart w:id="386" w:name="_Toc267251437"/>
      <w:r/>
      <w:bookmarkStart w:id="387" w:name="_Toc267251435"/>
      <w:r/>
      <w:bookmarkStart w:id="388" w:name="_Toc267251440"/>
      <w:r/>
      <w:bookmarkStart w:id="389" w:name="_Toc267251442"/>
      <w:r>
        <w:rPr>
          <w:rFonts w:hint="eastAsia" w:ascii="黑体" w:hAnsi="黑体" w:eastAsia="黑体" w:cs="黑体"/>
          <w:b/>
          <w:color w:val="auto"/>
          <w:sz w:val="21"/>
          <w:szCs w:val="21"/>
          <w:highlight w:val="none"/>
        </w:rPr>
        <w:t xml:space="preserve">0. 变更</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bookmarkStart w:id="390" w:name="_Toc292559399"/>
      <w:r/>
      <w:bookmarkStart w:id="391" w:name="_Toc296891022"/>
      <w:r/>
      <w:bookmarkStart w:id="392" w:name="_Toc297120494"/>
      <w:r/>
      <w:bookmarkStart w:id="393" w:name="_Toc297123541"/>
      <w:r/>
      <w:bookmarkStart w:id="394" w:name="_Toc296944533"/>
      <w:r/>
      <w:bookmarkStart w:id="395" w:name="_Toc296891234"/>
      <w:r/>
      <w:bookmarkStart w:id="396" w:name="_Toc296503194"/>
      <w:r/>
      <w:bookmarkStart w:id="397" w:name="_Toc303539147"/>
      <w:r/>
      <w:bookmarkStart w:id="398" w:name="_Toc296347193"/>
      <w:r/>
      <w:bookmarkStart w:id="399" w:name="_Toc312678026"/>
      <w:r/>
      <w:bookmarkStart w:id="400" w:name="_Toc300934990"/>
      <w:r/>
      <w:bookmarkStart w:id="401" w:name="_Toc296346695"/>
      <w:r/>
      <w:bookmarkStart w:id="402" w:name="_Toc297216200"/>
      <w:r/>
      <w:bookmarkStart w:id="403" w:name="_Toc312677500"/>
      <w:r/>
      <w:bookmarkStart w:id="404" w:name="_Toc292559904"/>
      <w:r/>
      <w:bookmarkStart w:id="405" w:name="_Toc304295567"/>
      <w:r/>
      <w:bookmarkStart w:id="406" w:name="_Toc297048380"/>
      <w:r>
        <w:rPr>
          <w:rFonts w:hint="eastAsia" w:ascii="黑体" w:hAnsi="黑体" w:eastAsia="黑体" w:cs="黑体"/>
          <w:color w:val="auto"/>
          <w:sz w:val="21"/>
          <w:szCs w:val="21"/>
          <w:highlight w:val="none"/>
        </w:rPr>
        <w:t xml:space="preserve">0.1变更的范围</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关于变更的范围的约定:</w:t>
      </w:r>
      <w:r>
        <w:rPr>
          <w:rFonts w:hint="eastAsia" w:ascii="黑体" w:hAnsi="黑体" w:eastAsia="黑体" w:cs="黑体"/>
          <w:color w:val="auto"/>
          <w:sz w:val="21"/>
          <w:szCs w:val="21"/>
          <w:highlight w:val="none"/>
          <w:u w:val="single"/>
        </w:rPr>
        <w:t xml:space="preserve">除设计变更、现场签证和新增（减）工程外,其余均不作调整；设计变更、现场签证、新增（减）工程均须经设计院、监理工程师和发包人代表签字认可</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10.4 变更估价</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10.4.1 变更估价原则</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关于变更估价的约定: </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lang w:val="en-US" w:eastAsia="zh-CN"/>
        </w:rPr>
        <w:t xml:space="preserve">1</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新增工程量清单项目，其相应综合单价按最高投标限价计价办法计算，并乘以中标价与最高投标限价的比率作为结算依据。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lang w:val="en-US" w:eastAsia="zh-CN"/>
        </w:rPr>
        <w:t xml:space="preserve">2</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清单工程量增加，按承包人投标报价中清单综合单价进行调整，但不得高于最高投标限价的清单综合单价。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lang w:val="en-US" w:eastAsia="zh-CN"/>
        </w:rPr>
        <w:t xml:space="preserve">3</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清单项目减少或清单工程量减少，按承包人投标报价中清单综合单价进行调整，但低于最高投标限价清单综合单价15%以上的按最高投标限价清单综合单价的85%调整。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lang w:val="en-US" w:eastAsia="zh-CN"/>
        </w:rPr>
        <w:t xml:space="preserve">4</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当清单工程量增加15%以上时，增加部分的工程量的清单综合单价应予调低5%；当清单工程量减少15%以上时，减少后剩余部分的工程量的清单综合单价应予调高5%。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lang w:val="en-US" w:eastAsia="zh-CN"/>
        </w:rPr>
        <w:t xml:space="preserve">5</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对发包人所列的总价措施项目，承包人可根据工程实际与施工组织设计自行增补，但不应更改发包人已列总价措施项目</w:t>
      </w:r>
      <w:r>
        <w:rPr>
          <w:rFonts w:hint="eastAsia" w:ascii="黑体" w:hAnsi="黑体" w:eastAsia="黑体" w:cs="黑体"/>
          <w:color w:val="auto"/>
          <w:sz w:val="21"/>
          <w:szCs w:val="21"/>
          <w:highlight w:val="none"/>
          <w:u w:val="single"/>
          <w:lang w:eastAsia="zh-CN"/>
        </w:rPr>
        <w:t xml:space="preserve">，</w:t>
      </w:r>
      <w:r>
        <w:rPr>
          <w:rFonts w:hint="eastAsia" w:ascii="黑体" w:hAnsi="黑体" w:eastAsia="黑体" w:cs="黑体"/>
          <w:color w:val="auto"/>
          <w:sz w:val="21"/>
          <w:szCs w:val="21"/>
          <w:highlight w:val="none"/>
          <w:u w:val="single"/>
        </w:rPr>
        <w:t xml:space="preserve">总价措施</w:t>
      </w:r>
      <w:r>
        <w:rPr>
          <w:rFonts w:hint="eastAsia" w:ascii="黑体" w:hAnsi="黑体" w:eastAsia="黑体" w:cs="黑体"/>
          <w:color w:val="auto"/>
          <w:sz w:val="21"/>
          <w:szCs w:val="21"/>
          <w:highlight w:val="none"/>
          <w:u w:val="single"/>
          <w:lang w:val="en-US" w:eastAsia="zh-CN"/>
        </w:rPr>
        <w:t xml:space="preserve">费不调整</w:t>
      </w:r>
      <w:r>
        <w:rPr>
          <w:rFonts w:hint="eastAsia" w:ascii="黑体" w:hAnsi="黑体" w:eastAsia="黑体" w:cs="黑体"/>
          <w:color w:val="auto"/>
          <w:sz w:val="21"/>
          <w:szCs w:val="21"/>
          <w:highlight w:val="none"/>
          <w:u w:val="singl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07" w:name="_Toc296891025"/>
      <w:r/>
      <w:bookmarkStart w:id="408" w:name="_Toc296891237"/>
      <w:r/>
      <w:bookmarkStart w:id="409" w:name="_Toc297123544"/>
      <w:r/>
      <w:bookmarkStart w:id="410" w:name="_Toc296346698"/>
      <w:r/>
      <w:bookmarkStart w:id="411" w:name="_Toc296347196"/>
      <w:r/>
      <w:bookmarkStart w:id="412" w:name="_Toc297216203"/>
      <w:r/>
      <w:bookmarkStart w:id="413" w:name="_Toc296503197"/>
      <w:r/>
      <w:bookmarkStart w:id="414" w:name="_Toc297048383"/>
      <w:r/>
      <w:bookmarkStart w:id="415" w:name="_Toc297120497"/>
      <w:r/>
      <w:bookmarkStart w:id="416" w:name="_Toc303539150"/>
      <w:r/>
      <w:bookmarkStart w:id="417" w:name="_Toc296944536"/>
      <w:r/>
      <w:bookmarkStart w:id="418" w:name="_Toc292559402"/>
      <w:r/>
      <w:bookmarkStart w:id="419" w:name="_Toc292559907"/>
      <w:r/>
      <w:bookmarkStart w:id="420" w:name="_Toc300934993"/>
      <w:r/>
      <w:bookmarkStart w:id="421" w:name="_Toc312677503"/>
      <w:r/>
      <w:bookmarkStart w:id="422" w:name="_Toc312678029"/>
      <w:r/>
      <w:bookmarkStart w:id="423" w:name="_Toc304295570"/>
      <w:r>
        <w:rPr>
          <w:rFonts w:hint="eastAsia" w:ascii="黑体" w:hAnsi="黑体" w:eastAsia="黑体" w:cs="黑体"/>
          <w:color w:val="auto"/>
          <w:sz w:val="21"/>
          <w:szCs w:val="21"/>
          <w:highlight w:val="none"/>
        </w:rPr>
        <w:t xml:space="preserve">0.5承</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Start w:id="424" w:name="_Toc297216204"/>
      <w:r/>
      <w:bookmarkStart w:id="425" w:name="_Toc303539151"/>
      <w:r/>
      <w:bookmarkStart w:id="426" w:name="_Toc292559408"/>
      <w:r/>
      <w:bookmarkStart w:id="427" w:name="_Toc296503203"/>
      <w:r/>
      <w:bookmarkStart w:id="428" w:name="_Toc296891031"/>
      <w:r/>
      <w:bookmarkStart w:id="429" w:name="_Toc296944542"/>
      <w:r/>
      <w:bookmarkStart w:id="430" w:name="_Toc296346704"/>
      <w:r/>
      <w:bookmarkStart w:id="431" w:name="_Toc296891243"/>
      <w:r/>
      <w:bookmarkStart w:id="432" w:name="_Toc296347202"/>
      <w:r/>
      <w:bookmarkStart w:id="433" w:name="_Toc297123545"/>
      <w:r/>
      <w:bookmarkStart w:id="434" w:name="_Toc300934994"/>
      <w:r/>
      <w:bookmarkStart w:id="435" w:name="_Toc292559913"/>
      <w:r/>
      <w:bookmarkStart w:id="436" w:name="_Toc297048389"/>
      <w:r/>
      <w:bookmarkStart w:id="437" w:name="_Toc297120503"/>
      <w:r>
        <w:rPr>
          <w:rFonts w:hint="eastAsia" w:ascii="黑体" w:hAnsi="黑体" w:eastAsia="黑体" w:cs="黑体"/>
          <w:color w:val="auto"/>
          <w:sz w:val="21"/>
          <w:szCs w:val="21"/>
          <w:highlight w:val="none"/>
        </w:rPr>
        <w:t xml:space="preserve">包人的合理化建议</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监理人审查承包人合理化建议的期限：</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发包人审批承包人合理化建议的期限：</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w:t>
      </w:r>
      <w:r/>
    </w:p>
    <w:p>
      <w:pPr>
        <w:ind w:firstLine="420"/>
        <w:jc w:val="left"/>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w:t>
      </w:r>
      <w:bookmarkStart w:id="438" w:name="_Toc296891032"/>
      <w:r/>
      <w:bookmarkStart w:id="439" w:name="_Toc296891244"/>
      <w:r/>
      <w:bookmarkStart w:id="440" w:name="_Toc296944543"/>
      <w:r/>
      <w:bookmarkStart w:id="441" w:name="_Toc297048390"/>
      <w:r/>
      <w:bookmarkStart w:id="442" w:name="_Toc297123546"/>
      <w:r/>
      <w:bookmarkStart w:id="443" w:name="_Toc297216205"/>
      <w:r/>
      <w:bookmarkStart w:id="444" w:name="_Toc292559914"/>
      <w:r/>
      <w:bookmarkStart w:id="445" w:name="_Toc296503204"/>
      <w:r/>
      <w:bookmarkStart w:id="446" w:name="_Toc292559409"/>
      <w:r/>
      <w:bookmarkStart w:id="447" w:name="_Toc312677504"/>
      <w:r/>
      <w:bookmarkStart w:id="448" w:name="_Toc304295571"/>
      <w:r/>
      <w:bookmarkStart w:id="449" w:name="_Toc318581175"/>
      <w:r/>
      <w:bookmarkStart w:id="450" w:name="_Toc312678030"/>
      <w:r/>
      <w:bookmarkStart w:id="451" w:name="_Toc297120504"/>
      <w:r/>
      <w:bookmarkStart w:id="452" w:name="_Toc296346705"/>
      <w:r/>
      <w:bookmarkStart w:id="453" w:name="_Toc296347203"/>
      <w:r/>
      <w:bookmarkStart w:id="454" w:name="_Toc303539152"/>
      <w:r/>
      <w:bookmarkStart w:id="455" w:name="_Toc300934995"/>
      <w:r>
        <w:rPr>
          <w:rFonts w:hint="eastAsia" w:ascii="黑体" w:hAnsi="黑体" w:eastAsia="黑体" w:cs="黑体"/>
          <w:color w:val="auto"/>
          <w:sz w:val="21"/>
          <w:szCs w:val="21"/>
          <w:highlight w:val="none"/>
        </w:rPr>
        <w:t xml:space="preserve">包人提出的合理化建议降低了合同价格或者提高了工程经济效益的奖励的方法和金额为：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420"/>
        <w:spacing w:line="312" w:lineRule="auto"/>
        <w:rPr>
          <w:rFonts w:hint="eastAsia" w:ascii="黑体" w:hAnsi="黑体" w:eastAsia="黑体" w:cs="黑体"/>
          <w:color w:val="auto"/>
          <w:sz w:val="21"/>
          <w:szCs w:val="21"/>
          <w:highlight w:val="none"/>
        </w:rPr>
        <w:outlineLvl w:val="0"/>
      </w:pPr>
      <w:r/>
      <w:bookmarkStart w:id="456" w:name="_Toc4338"/>
      <w:r>
        <w:rPr>
          <w:rFonts w:hint="eastAsia" w:ascii="黑体" w:hAnsi="黑体" w:eastAsia="黑体" w:cs="黑体"/>
          <w:color w:val="auto"/>
          <w:sz w:val="21"/>
          <w:szCs w:val="21"/>
          <w:highlight w:val="none"/>
        </w:rPr>
        <w:t xml:space="preserve">1</w:t>
      </w:r>
      <w:bookmarkStart w:id="457" w:name="_Toc296891027"/>
      <w:r/>
      <w:bookmarkStart w:id="458" w:name="_Toc296347198"/>
      <w:r/>
      <w:bookmarkStart w:id="459" w:name="_Toc296503199"/>
      <w:r/>
      <w:bookmarkStart w:id="460" w:name="_Toc303539154"/>
      <w:r/>
      <w:bookmarkStart w:id="461" w:name="_Toc297120499"/>
      <w:r/>
      <w:bookmarkStart w:id="462" w:name="_Toc292559404"/>
      <w:r/>
      <w:bookmarkStart w:id="463" w:name="_Toc300934997"/>
      <w:r/>
      <w:bookmarkStart w:id="464" w:name="_Toc296944538"/>
      <w:r/>
      <w:bookmarkStart w:id="465" w:name="_Toc297216207"/>
      <w:r/>
      <w:bookmarkStart w:id="466" w:name="_Toc296891239"/>
      <w:r/>
      <w:bookmarkStart w:id="467" w:name="_Toc312678033"/>
      <w:r/>
      <w:bookmarkStart w:id="468" w:name="_Toc297123548"/>
      <w:r/>
      <w:bookmarkStart w:id="469" w:name="_Toc312677507"/>
      <w:r/>
      <w:bookmarkStart w:id="470" w:name="_Toc296346700"/>
      <w:r/>
      <w:bookmarkStart w:id="471" w:name="_Toc297048385"/>
      <w:r/>
      <w:bookmarkStart w:id="472" w:name="_Toc292559909"/>
      <w:r/>
      <w:bookmarkStart w:id="473" w:name="_Toc304295574"/>
      <w:r>
        <w:rPr>
          <w:rFonts w:hint="eastAsia" w:ascii="黑体" w:hAnsi="黑体" w:eastAsia="黑体" w:cs="黑体"/>
          <w:color w:val="auto"/>
          <w:sz w:val="21"/>
          <w:szCs w:val="21"/>
          <w:highlight w:val="none"/>
        </w:rPr>
        <w:t xml:space="preserve">0.7 暂估价</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暂</w:t>
      </w:r>
      <w:bookmarkStart w:id="474" w:name="_Toc318581176"/>
      <w:r/>
      <w:bookmarkStart w:id="475" w:name="_Toc312678034"/>
      <w:r/>
      <w:bookmarkStart w:id="476" w:name="_Toc312677508"/>
      <w:r>
        <w:rPr>
          <w:rFonts w:hint="eastAsia" w:ascii="黑体" w:hAnsi="黑体" w:eastAsia="黑体" w:cs="黑体"/>
          <w:color w:val="auto"/>
          <w:sz w:val="21"/>
          <w:szCs w:val="21"/>
          <w:highlight w:val="none"/>
        </w:rPr>
        <w:t xml:space="preserve">估价材料和工程设备的明细详见附件11：《暂估价一览表》。</w:t>
      </w:r>
      <w:bookmarkEnd w:id="474"/>
      <w:r/>
      <w:bookmarkEnd w:id="475"/>
      <w:r/>
      <w:bookmarkEnd w:id="476"/>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bookmarkStart w:id="477" w:name="_Toc312677509"/>
      <w:r/>
      <w:bookmarkStart w:id="478" w:name="_Toc318581177"/>
      <w:r/>
      <w:bookmarkStart w:id="479" w:name="_Toc312678035"/>
      <w:r>
        <w:rPr>
          <w:rFonts w:hint="eastAsia" w:ascii="黑体" w:hAnsi="黑体" w:eastAsia="黑体" w:cs="黑体"/>
          <w:color w:val="auto"/>
          <w:sz w:val="21"/>
          <w:szCs w:val="21"/>
          <w:highlight w:val="none"/>
        </w:rPr>
        <w:t xml:space="preserve">0.7.1 依法必须招标的暂估价项目</w:t>
      </w:r>
      <w:bookmarkEnd w:id="477"/>
      <w:r/>
      <w:bookmarkEnd w:id="478"/>
      <w:r/>
      <w:bookmarkEnd w:id="479"/>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对于依法必须招标的暂估价项目的确认和批准采取第</w:t>
      </w:r>
      <w:r>
        <w:rPr>
          <w:rFonts w:hint="eastAsia" w:ascii="黑体" w:hAnsi="黑体" w:eastAsia="黑体" w:cs="黑体"/>
          <w:color w:val="auto"/>
          <w:sz w:val="21"/>
          <w:szCs w:val="21"/>
          <w:highlight w:val="none"/>
          <w:u w:val="single"/>
        </w:rPr>
        <w:t xml:space="preserve">  2  </w:t>
      </w:r>
      <w:r>
        <w:rPr>
          <w:rFonts w:hint="eastAsia" w:ascii="黑体" w:hAnsi="黑体" w:eastAsia="黑体" w:cs="黑体"/>
          <w:color w:val="auto"/>
          <w:sz w:val="21"/>
          <w:szCs w:val="21"/>
          <w:highlight w:val="none"/>
        </w:rPr>
        <w:t xml:space="preserve">种方式确定。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10.7.2 不属于依法必须招标的暂估价项目</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对于不属于依法必须招标的暂估价项目的确认和批准采取第</w:t>
      </w:r>
      <w:r>
        <w:rPr>
          <w:rFonts w:hint="eastAsia" w:ascii="黑体" w:hAnsi="黑体" w:eastAsia="黑体" w:cs="黑体"/>
          <w:color w:val="auto"/>
          <w:sz w:val="21"/>
          <w:szCs w:val="21"/>
          <w:highlight w:val="none"/>
          <w:u w:val="single"/>
        </w:rPr>
        <w:t xml:space="preserve"> 3</w:t>
      </w:r>
      <w:r>
        <w:rPr>
          <w:rFonts w:hint="eastAsia" w:ascii="黑体" w:hAnsi="黑体" w:eastAsia="黑体" w:cs="黑体"/>
          <w:color w:val="auto"/>
          <w:sz w:val="21"/>
          <w:szCs w:val="21"/>
          <w:highlight w:val="none"/>
        </w:rPr>
        <w:t xml:space="preserve">种方式确定。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第3种方式：承包人直接实施的暂估价项目</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承包人直接实施的暂估价项目的约定：</w:t>
      </w:r>
      <w:r>
        <w:rPr>
          <w:rFonts w:hint="eastAsia" w:ascii="黑体" w:hAnsi="黑体" w:eastAsia="黑体" w:cs="黑体"/>
          <w:color w:val="auto"/>
          <w:sz w:val="21"/>
          <w:szCs w:val="21"/>
          <w:highlight w:val="none"/>
          <w:u w:val="single"/>
        </w:rPr>
        <w:t xml:space="preserve">仅作为投标报价使用，不作为最后结算依据。中标人采购时，其供应商、品牌、规格、质量（等级）、产地、价格须经招标人认可后，方可采购。结算时，按招标人签字认可的实际价格，进行结算，且仅调整价差及价差的税金</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10.8 暂列金额</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合同当事人关于暂列金额使用的约定：</w:t>
      </w:r>
      <w:bookmarkStart w:id="480" w:name="_Toc351203643"/>
      <w:r>
        <w:rPr>
          <w:rFonts w:hint="eastAsia" w:ascii="黑体" w:hAnsi="黑体" w:eastAsia="黑体" w:cs="黑体"/>
          <w:color w:val="auto"/>
          <w:sz w:val="21"/>
          <w:szCs w:val="21"/>
          <w:highlight w:val="none"/>
          <w:u w:val="single"/>
        </w:rPr>
        <w:t xml:space="preserve">按照监理通知执行。</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11. 价格调整</w:t>
      </w:r>
      <w:bookmarkEnd w:id="480"/>
      <w:r/>
      <w:r/>
    </w:p>
    <w:p>
      <w:pPr>
        <w:ind w:firstLine="420"/>
        <w:spacing w:line="312" w:lineRule="auto"/>
        <w:rPr>
          <w:rFonts w:hint="eastAsia" w:ascii="黑体" w:hAnsi="黑体" w:eastAsia="黑体" w:cs="黑体"/>
          <w:color w:val="auto"/>
          <w:sz w:val="21"/>
          <w:szCs w:val="21"/>
          <w:highlight w:val="none"/>
        </w:rPr>
      </w:pPr>
      <w:r/>
      <w:bookmarkStart w:id="481" w:name="_Toc296891241"/>
      <w:r/>
      <w:bookmarkStart w:id="482" w:name="_Toc296944540"/>
      <w:r/>
      <w:bookmarkStart w:id="483" w:name="_Toc297123550"/>
      <w:r/>
      <w:bookmarkStart w:id="484" w:name="_Toc296891029"/>
      <w:r/>
      <w:bookmarkStart w:id="485" w:name="_Toc292559911"/>
      <w:r/>
      <w:bookmarkStart w:id="486" w:name="_Toc300935000"/>
      <w:r/>
      <w:bookmarkStart w:id="487" w:name="_Toc297216209"/>
      <w:r/>
      <w:bookmarkStart w:id="488" w:name="_Toc312678039"/>
      <w:r/>
      <w:bookmarkStart w:id="489" w:name="_Toc296503201"/>
      <w:r/>
      <w:bookmarkStart w:id="490" w:name="_Toc297048387"/>
      <w:r/>
      <w:bookmarkStart w:id="491" w:name="_Toc296347200"/>
      <w:r/>
      <w:bookmarkStart w:id="492" w:name="_Toc304295577"/>
      <w:r/>
      <w:bookmarkStart w:id="493" w:name="_Toc292559406"/>
      <w:r/>
      <w:bookmarkStart w:id="494" w:name="_Toc296346702"/>
      <w:r/>
      <w:bookmarkStart w:id="495" w:name="_Toc303539157"/>
      <w:r/>
      <w:bookmarkStart w:id="496" w:name="_Toc297120501"/>
      <w:r>
        <w:rPr>
          <w:rFonts w:hint="eastAsia" w:ascii="黑体" w:hAnsi="黑体" w:eastAsia="黑体" w:cs="黑体"/>
          <w:color w:val="auto"/>
          <w:sz w:val="21"/>
          <w:szCs w:val="21"/>
          <w:highlight w:val="none"/>
        </w:rPr>
        <w:t xml:space="preserve">11.1 市场价格波动引起的调整</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市场价格波动是否调整合同价格的约定：</w:t>
      </w:r>
      <w:r>
        <w:rPr>
          <w:rFonts w:hint="eastAsia" w:ascii="黑体" w:hAnsi="黑体" w:eastAsia="黑体" w:cs="黑体"/>
          <w:color w:val="auto"/>
          <w:sz w:val="21"/>
          <w:szCs w:val="21"/>
          <w:highlight w:val="none"/>
          <w:u w:val="single"/>
        </w:rPr>
        <w:t xml:space="preserve">人工费、材料费不调整（即不因政策性文件变化、市场价格波动等因素进行调整）  </w:t>
      </w:r>
      <w:bookmarkEnd w:id="383"/>
      <w:r/>
      <w:bookmarkEnd w:id="384"/>
      <w:r/>
      <w:bookmarkEnd w:id="385"/>
      <w:r/>
      <w:bookmarkEnd w:id="386"/>
      <w:r/>
      <w:bookmarkEnd w:id="387"/>
      <w:r/>
      <w:bookmarkEnd w:id="388"/>
      <w:r/>
      <w:r/>
    </w:p>
    <w:p>
      <w:pPr>
        <w:ind w:firstLine="420"/>
        <w:spacing w:line="312" w:lineRule="auto"/>
        <w:rPr>
          <w:rFonts w:hint="eastAsia" w:ascii="黑体" w:hAnsi="黑体" w:eastAsia="黑体" w:cs="黑体"/>
          <w:bCs/>
          <w:color w:val="auto"/>
          <w:sz w:val="21"/>
          <w:szCs w:val="21"/>
          <w:highlight w:val="none"/>
        </w:rPr>
        <w:outlineLvl w:val="3"/>
      </w:pPr>
      <w:r/>
      <w:bookmarkStart w:id="497" w:name="_Toc296891245"/>
      <w:r/>
      <w:bookmarkStart w:id="498" w:name="_Toc297120505"/>
      <w:r/>
      <w:bookmarkStart w:id="499" w:name="_Toc296891033"/>
      <w:r/>
      <w:bookmarkStart w:id="500" w:name="_Toc296346706"/>
      <w:r/>
      <w:bookmarkStart w:id="501" w:name="_Toc296503205"/>
      <w:r/>
      <w:bookmarkStart w:id="502" w:name="_Toc297048391"/>
      <w:r/>
      <w:bookmarkStart w:id="503" w:name="_Toc296944544"/>
      <w:r/>
      <w:bookmarkStart w:id="504" w:name="_Toc292559410"/>
      <w:r/>
      <w:bookmarkStart w:id="505" w:name="_Toc292559915"/>
      <w:r/>
      <w:bookmarkStart w:id="506" w:name="_Toc296347204"/>
      <w:r/>
      <w:bookmarkStart w:id="507" w:name="_Toc351203644"/>
      <w:r/>
      <w:bookmarkStart w:id="508" w:name="_Toc303539159"/>
      <w:r/>
      <w:bookmarkStart w:id="509" w:name="_Toc297216211"/>
      <w:r/>
      <w:bookmarkStart w:id="510" w:name="_Toc304295579"/>
      <w:r/>
      <w:bookmarkStart w:id="511" w:name="_Toc300935002"/>
      <w:r/>
      <w:bookmarkStart w:id="512" w:name="_Toc297123552"/>
      <w:r/>
      <w:bookmarkStart w:id="513" w:name="_Toc312678040"/>
      <w:r>
        <w:rPr>
          <w:rFonts w:hint="eastAsia" w:ascii="黑体" w:hAnsi="黑体" w:eastAsia="黑体" w:cs="黑体"/>
          <w:bCs/>
          <w:color w:val="auto"/>
          <w:sz w:val="21"/>
          <w:szCs w:val="21"/>
          <w:highlight w:val="none"/>
        </w:rPr>
        <w:t xml:space="preserve">12. </w:t>
      </w:r>
      <w:bookmarkEnd w:id="497"/>
      <w:r/>
      <w:bookmarkEnd w:id="498"/>
      <w:r/>
      <w:bookmarkEnd w:id="499"/>
      <w:r/>
      <w:bookmarkEnd w:id="500"/>
      <w:r/>
      <w:bookmarkEnd w:id="501"/>
      <w:r/>
      <w:bookmarkEnd w:id="502"/>
      <w:r/>
      <w:bookmarkEnd w:id="503"/>
      <w:r/>
      <w:bookmarkEnd w:id="504"/>
      <w:r/>
      <w:bookmarkEnd w:id="505"/>
      <w:r/>
      <w:bookmarkEnd w:id="506"/>
      <w:r>
        <w:rPr>
          <w:rFonts w:hint="eastAsia" w:ascii="黑体" w:hAnsi="黑体" w:eastAsia="黑体" w:cs="黑体"/>
          <w:bCs/>
          <w:color w:val="auto"/>
          <w:sz w:val="21"/>
          <w:szCs w:val="21"/>
          <w:highlight w:val="none"/>
        </w:rPr>
        <w:t xml:space="preserve">合同价格、计量与支付</w:t>
      </w:r>
      <w:bookmarkEnd w:id="507"/>
      <w:r/>
      <w:bookmarkEnd w:id="508"/>
      <w:r/>
      <w:bookmarkEnd w:id="509"/>
      <w:r/>
      <w:bookmarkEnd w:id="510"/>
      <w:r/>
      <w:bookmarkEnd w:id="511"/>
      <w:r/>
      <w:bookmarkEnd w:id="512"/>
      <w:r/>
      <w:bookmarkEnd w:id="513"/>
      <w:r/>
      <w:r/>
    </w:p>
    <w:p>
      <w:pPr>
        <w:ind w:firstLine="420"/>
        <w:spacing w:line="312" w:lineRule="auto"/>
        <w:rPr>
          <w:rFonts w:hint="eastAsia" w:ascii="黑体" w:hAnsi="黑体" w:eastAsia="黑体" w:cs="黑体"/>
          <w:color w:val="auto"/>
          <w:sz w:val="21"/>
          <w:szCs w:val="21"/>
          <w:highlight w:val="none"/>
        </w:rPr>
      </w:pPr>
      <w:r/>
      <w:bookmarkStart w:id="514" w:name="_Toc267251461"/>
      <w:r/>
      <w:bookmarkStart w:id="515" w:name="_Toc292559916"/>
      <w:r/>
      <w:bookmarkStart w:id="516" w:name="_Toc292559411"/>
      <w:r/>
      <w:bookmarkStart w:id="517" w:name="_Toc297048392"/>
      <w:r/>
      <w:bookmarkStart w:id="518" w:name="_Toc296891034"/>
      <w:r/>
      <w:bookmarkStart w:id="519" w:name="_Toc296347205"/>
      <w:r/>
      <w:bookmarkStart w:id="520" w:name="_Toc296346707"/>
      <w:r/>
      <w:bookmarkStart w:id="521" w:name="_Toc296891246"/>
      <w:r/>
      <w:bookmarkStart w:id="522" w:name="_Toc296944545"/>
      <w:r/>
      <w:bookmarkStart w:id="523" w:name="_Toc297120506"/>
      <w:r/>
      <w:bookmarkStart w:id="524" w:name="_Toc296503206"/>
      <w:r/>
      <w:bookmarkStart w:id="525" w:name="_Toc297216212"/>
      <w:r/>
      <w:bookmarkStart w:id="526" w:name="_Toc303539160"/>
      <w:r/>
      <w:bookmarkStart w:id="527" w:name="_Toc297123553"/>
      <w:r/>
      <w:bookmarkStart w:id="528" w:name="_Toc312678041"/>
      <w:r/>
      <w:bookmarkStart w:id="529" w:name="_Toc300935003"/>
      <w:r/>
      <w:bookmarkStart w:id="530" w:name="_Toc304295580"/>
      <w:r>
        <w:rPr>
          <w:rFonts w:hint="eastAsia" w:ascii="黑体" w:hAnsi="黑体" w:eastAsia="黑体" w:cs="黑体"/>
          <w:color w:val="auto"/>
          <w:sz w:val="21"/>
          <w:szCs w:val="21"/>
          <w:highlight w:val="none"/>
        </w:rPr>
        <w:t xml:space="preserve">12.1 合</w:t>
      </w:r>
      <w:bookmarkEnd w:id="514"/>
      <w:r/>
      <w:bookmarkEnd w:id="515"/>
      <w:r/>
      <w:bookmarkEnd w:id="516"/>
      <w:r>
        <w:rPr>
          <w:rFonts w:hint="eastAsia" w:ascii="黑体" w:hAnsi="黑体" w:eastAsia="黑体" w:cs="黑体"/>
          <w:color w:val="auto"/>
          <w:sz w:val="21"/>
          <w:szCs w:val="21"/>
          <w:highlight w:val="none"/>
        </w:rPr>
        <w:t xml:space="preserve">同价</w:t>
      </w:r>
      <w:bookmarkEnd w:id="517"/>
      <w:r/>
      <w:bookmarkEnd w:id="518"/>
      <w:r/>
      <w:bookmarkEnd w:id="519"/>
      <w:r/>
      <w:bookmarkEnd w:id="520"/>
      <w:r/>
      <w:bookmarkEnd w:id="521"/>
      <w:r/>
      <w:bookmarkEnd w:id="522"/>
      <w:r/>
      <w:bookmarkEnd w:id="523"/>
      <w:r/>
      <w:bookmarkEnd w:id="524"/>
      <w:r>
        <w:rPr>
          <w:rFonts w:hint="eastAsia" w:ascii="黑体" w:hAnsi="黑体" w:eastAsia="黑体" w:cs="黑体"/>
          <w:color w:val="auto"/>
          <w:sz w:val="21"/>
          <w:szCs w:val="21"/>
          <w:highlight w:val="none"/>
        </w:rPr>
        <w:t xml:space="preserve">格形式</w:t>
      </w:r>
      <w:bookmarkEnd w:id="525"/>
      <w:r/>
      <w:bookmarkEnd w:id="526"/>
      <w:r/>
      <w:bookmarkEnd w:id="527"/>
      <w:r/>
      <w:bookmarkEnd w:id="528"/>
      <w:r/>
      <w:bookmarkEnd w:id="529"/>
      <w:r/>
      <w:bookmarkEnd w:id="530"/>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1、单价合同。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综合单价包含的风险范围：</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1、投标报价应包括招标文件所确定的招标范围内工程量清单中所含施工图项目的全部内容，以及为完成上述内容所需的全部费用，其根据为投标人提交的已标价的工程量清单及附表。</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2、投标人应按招标人提供的工程量清单填报价格。填写的项目编码、项目名称、项目特征、计量单位、工程量必须与招标人提供的一致。</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3、实行工程量清单招标的工程建设项目，量的风险由发包人承担，价的风险在约定风险范围内的，由承包人承担，风险范围以外的按合同约定。</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5 、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6 、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7 、地方关系、施工涉及的交通协调费投标人自行考虑，就此项招标人不支付任何费用。</w:t>
      </w:r>
      <w:r/>
    </w:p>
    <w:p>
      <w:pPr>
        <w:numPr>
          <w:ilvl w:val="0"/>
          <w:numId w:val="2"/>
        </w:num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9、投标人的施工组织设计在施工前，必须报监理、业主审批，进行再深化后执行。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风险费用的计算方法：</w:t>
      </w:r>
      <w:r>
        <w:rPr>
          <w:rFonts w:hint="eastAsia" w:ascii="黑体" w:hAnsi="黑体" w:eastAsia="黑体" w:cs="黑体"/>
          <w:color w:val="auto"/>
          <w:sz w:val="21"/>
          <w:szCs w:val="21"/>
          <w:highlight w:val="none"/>
          <w:u w:val="single"/>
        </w:rPr>
        <w:t xml:space="preserve">综合单价应考虑招标文件和合同中要求承包人承担的风险内容及其范围（幅度）产生的风险费用。在施工过程中，当出现的风险范围（幅度）在合同约定的范围内，合同价款不作调整</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lang w:eastAsia="zh-CN"/>
        </w:rPr>
      </w:pPr>
      <w:r>
        <w:rPr>
          <w:rFonts w:hint="eastAsia" w:ascii="黑体" w:hAnsi="黑体" w:eastAsia="黑体" w:cs="黑体"/>
          <w:color w:val="auto"/>
          <w:sz w:val="21"/>
          <w:szCs w:val="21"/>
          <w:highlight w:val="none"/>
        </w:rPr>
        <w:t xml:space="preserve">风险范围以外合同价格的调整方法：</w:t>
      </w:r>
      <w:r>
        <w:rPr>
          <w:rFonts w:hint="eastAsia" w:ascii="黑体" w:hAnsi="黑体" w:eastAsia="黑体" w:cs="黑体"/>
          <w:color w:val="auto"/>
          <w:sz w:val="21"/>
          <w:szCs w:val="21"/>
          <w:highlight w:val="none"/>
          <w:u w:val="single"/>
        </w:rPr>
        <w:t xml:space="preserve">①人工费、材料费不调整；②对于法律、法规、规章或有关政策出台导致工程税金、规费发生变化的，应按照有关规定执行</w:t>
      </w:r>
      <w:r>
        <w:rPr>
          <w:rFonts w:hint="eastAsia" w:ascii="黑体" w:hAnsi="黑体" w:eastAsia="黑体" w:cs="黑体"/>
          <w:color w:val="auto"/>
          <w:sz w:val="21"/>
          <w:szCs w:val="21"/>
          <w:highlight w:val="none"/>
          <w:u w:val="single"/>
          <w:lang w:eastAsia="zh-CN"/>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2、总价合同。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总价包含的风险范围：</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风险费用的计算方法：</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风险范围以外合同价格的调整方法：</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3、其他价格方式：</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bookmarkStart w:id="531" w:name="_Toc304295581"/>
      <w:r/>
      <w:bookmarkStart w:id="532" w:name="_Toc297123554"/>
      <w:r/>
      <w:bookmarkStart w:id="533" w:name="_Toc297216213"/>
      <w:r/>
      <w:bookmarkStart w:id="534" w:name="_Toc300935004"/>
      <w:r/>
      <w:bookmarkStart w:id="535" w:name="_Toc312678042"/>
      <w:r/>
      <w:bookmarkStart w:id="536" w:name="_Toc303539161"/>
      <w:r/>
      <w:bookmarkStart w:id="537" w:name="_Toc292559412"/>
      <w:r/>
      <w:bookmarkStart w:id="538" w:name="_Toc296347206"/>
      <w:r/>
      <w:bookmarkStart w:id="539" w:name="_Toc292559917"/>
      <w:r/>
      <w:bookmarkStart w:id="540" w:name="_Toc296503207"/>
      <w:r/>
      <w:bookmarkStart w:id="541" w:name="_Toc297120507"/>
      <w:r/>
      <w:bookmarkStart w:id="542" w:name="_Toc296891247"/>
      <w:r/>
      <w:bookmarkStart w:id="543" w:name="_Toc296944546"/>
      <w:r/>
      <w:bookmarkStart w:id="544" w:name="_Toc296346708"/>
      <w:r/>
      <w:bookmarkStart w:id="545" w:name="_Toc297048393"/>
      <w:r/>
      <w:bookmarkStart w:id="546" w:name="_Toc296891035"/>
      <w:r>
        <w:rPr>
          <w:rFonts w:hint="eastAsia" w:ascii="黑体" w:hAnsi="黑体" w:eastAsia="黑体" w:cs="黑体"/>
          <w:color w:val="auto"/>
          <w:sz w:val="21"/>
          <w:szCs w:val="21"/>
          <w:highlight w:val="none"/>
        </w:rPr>
        <w:t xml:space="preserve">12.2 预付款</w:t>
      </w:r>
      <w:bookmarkEnd w:id="531"/>
      <w:r/>
      <w:bookmarkEnd w:id="532"/>
      <w:r/>
      <w:bookmarkEnd w:id="533"/>
      <w:r/>
      <w:bookmarkEnd w:id="534"/>
      <w:r/>
      <w:bookmarkEnd w:id="535"/>
      <w:r/>
      <w:bookmarkEnd w:id="536"/>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12.2.1 预付款的支付</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预付款支付比例或金额：</w:t>
      </w:r>
      <w:r>
        <w:rPr>
          <w:rFonts w:hint="eastAsia" w:ascii="黑体" w:hAnsi="黑体" w:eastAsia="黑体" w:cs="黑体"/>
          <w:b/>
          <w:bCs/>
          <w:color w:val="auto"/>
          <w:sz w:val="21"/>
          <w:szCs w:val="21"/>
          <w:highlight w:val="none"/>
          <w:u w:val="single"/>
        </w:rPr>
        <w:t xml:space="preserve">合同价款的30% （包含全部安全文明施工费） </w:t>
      </w:r>
      <w:r>
        <w:rPr>
          <w:rFonts w:hint="eastAsia" w:ascii="黑体" w:hAnsi="黑体" w:eastAsia="黑体" w:cs="黑体"/>
          <w:b/>
          <w:bCs/>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预付款支付期限：合同签订、进场开工且财政拨款到位后 10 日内。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预付款扣回的方式：</w:t>
      </w:r>
      <w:r>
        <w:rPr>
          <w:rFonts w:hint="eastAsia" w:ascii="黑体" w:hAnsi="黑体" w:eastAsia="黑体" w:cs="黑体"/>
          <w:color w:val="auto"/>
          <w:sz w:val="21"/>
          <w:szCs w:val="21"/>
          <w:highlight w:val="none"/>
          <w:u w:val="single"/>
        </w:rPr>
        <w:t xml:space="preserve">   不扣回，转为工程进度款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12.2.2 预付款担保</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承包人提交预付款担保的期限：</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预付款担保的形式为：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bookmarkEnd w:id="537"/>
      <w:r/>
      <w:bookmarkEnd w:id="538"/>
      <w:r/>
      <w:bookmarkEnd w:id="539"/>
      <w:r/>
      <w:bookmarkEnd w:id="540"/>
      <w:r/>
      <w:bookmarkEnd w:id="541"/>
      <w:r/>
      <w:bookmarkEnd w:id="542"/>
      <w:r/>
      <w:bookmarkEnd w:id="543"/>
      <w:r/>
      <w:bookmarkEnd w:id="544"/>
      <w:r/>
      <w:bookmarkEnd w:id="545"/>
      <w:r/>
      <w:bookmarkEnd w:id="546"/>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12.3 计量</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12.3.1 计量原则</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工程量计算规则：现行国家标准《建设工程工程量清单计价标准》(GB/T50500-2024)、《房屋建筑与装饰工程工程量计算标准》GB/T50854-2024、《通用安装工程工程量计算标准》GB/T50856-2024、《江苏省建筑与装饰工程消耗量》（2026年版）、《江苏省通用安装工程消耗量》（2026年版）、《江苏省市政工程消耗量》（2026年版）、《江苏修缮建筑定额》（2009年版）、《江苏省建设工程费用参考》（2026年）、《江苏省建设工程施工机具台班费用参考表》（2026年）等有关文件规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12.3.2 计量周期</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关于计量周期的约定：</w:t>
      </w:r>
      <w:r>
        <w:rPr>
          <w:rFonts w:hint="eastAsia" w:ascii="黑体" w:hAnsi="黑体" w:eastAsia="黑体" w:cs="黑体"/>
          <w:color w:val="auto"/>
          <w:sz w:val="21"/>
          <w:szCs w:val="21"/>
          <w:highlight w:val="none"/>
          <w:u w:val="single"/>
        </w:rPr>
        <w:t xml:space="preserve"> </w:t>
      </w:r>
      <w:r>
        <w:rPr>
          <w:rFonts w:hint="eastAsia" w:ascii="黑体" w:hAnsi="黑体" w:eastAsia="黑体" w:cs="黑体"/>
          <w:bCs/>
          <w:color w:val="auto"/>
          <w:sz w:val="21"/>
          <w:szCs w:val="21"/>
          <w:highlight w:val="none"/>
          <w:u w:val="single"/>
        </w:rPr>
        <w:t xml:space="preserve">按月进行</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12.3.3 单价合同的计量</w:t>
      </w:r>
      <w:r/>
    </w:p>
    <w:p>
      <w:pPr>
        <w:ind w:firstLine="420"/>
        <w:spacing w:line="312" w:lineRule="auto"/>
        <w:rPr>
          <w:rFonts w:hint="eastAsia" w:ascii="黑体" w:hAnsi="黑体" w:eastAsia="黑体" w:cs="黑体"/>
          <w:color w:val="auto"/>
          <w:sz w:val="21"/>
          <w:szCs w:val="21"/>
          <w:highlight w:val="none"/>
          <w:u w:val="single"/>
          <w:lang w:val="en-US" w:eastAsia="zh-CN"/>
        </w:rPr>
      </w:pPr>
      <w:r>
        <w:rPr>
          <w:rFonts w:hint="eastAsia" w:ascii="黑体" w:hAnsi="黑体" w:eastAsia="黑体" w:cs="黑体"/>
          <w:color w:val="auto"/>
          <w:sz w:val="21"/>
          <w:szCs w:val="21"/>
          <w:highlight w:val="none"/>
        </w:rPr>
        <w:t xml:space="preserve">关于单价合同计量的约定：</w:t>
      </w:r>
      <w:r>
        <w:rPr>
          <w:rFonts w:hint="eastAsia" w:ascii="黑体" w:hAnsi="黑体" w:eastAsia="黑体" w:cs="黑体"/>
          <w:color w:val="auto"/>
          <w:sz w:val="21"/>
          <w:szCs w:val="21"/>
          <w:highlight w:val="none"/>
          <w:u w:val="single"/>
        </w:rPr>
        <w:t xml:space="preserve">承包人应于每月</w:t>
      </w:r>
      <w:r>
        <w:rPr>
          <w:rFonts w:hint="eastAsia" w:ascii="黑体" w:hAnsi="黑体" w:eastAsia="黑体" w:cs="黑体"/>
          <w:color w:val="auto"/>
          <w:sz w:val="21"/>
          <w:szCs w:val="21"/>
          <w:highlight w:val="none"/>
          <w:u w:val="single"/>
          <w:lang w:val="en-US" w:eastAsia="zh-CN"/>
        </w:rPr>
        <w:t xml:space="preserve">25</w:t>
      </w:r>
      <w:r>
        <w:rPr>
          <w:rFonts w:hint="eastAsia" w:ascii="黑体" w:hAnsi="黑体" w:eastAsia="黑体" w:cs="黑体"/>
          <w:color w:val="auto"/>
          <w:sz w:val="21"/>
          <w:szCs w:val="21"/>
          <w:highlight w:val="none"/>
          <w:u w:val="single"/>
        </w:rPr>
        <w:t xml:space="preserve">日前向监理人、发包人报送上月已完成的工程量报告及相关形象进度资料</w:t>
      </w:r>
      <w:r>
        <w:rPr>
          <w:rFonts w:hint="eastAsia" w:ascii="黑体" w:hAnsi="黑体" w:eastAsia="黑体" w:cs="黑体"/>
          <w:bCs/>
          <w:color w:val="auto"/>
          <w:sz w:val="21"/>
          <w:szCs w:val="21"/>
          <w:highlight w:val="none"/>
          <w:u w:val="single"/>
        </w:rPr>
        <w:t xml:space="preserve">。如承包人未按时报送工程量，影响工程款支付的，由承包人自行负责</w:t>
      </w:r>
      <w:r>
        <w:rPr>
          <w:rFonts w:hint="eastAsia" w:ascii="黑体" w:hAnsi="黑体" w:eastAsia="黑体" w:cs="黑体"/>
          <w:bCs/>
          <w:color w:val="auto"/>
          <w:sz w:val="21"/>
          <w:szCs w:val="21"/>
          <w:highlight w:val="none"/>
          <w:u w:val="single"/>
          <w:lang w:eastAsia="zh-CN"/>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12.4 工程进度款支付</w:t>
      </w:r>
      <w:r/>
    </w:p>
    <w:p>
      <w:pPr>
        <w:ind w:firstLine="420"/>
        <w:spacing w:line="312" w:lineRule="auto"/>
        <w:rPr>
          <w:rFonts w:hint="eastAsia" w:ascii="黑体" w:hAnsi="黑体" w:eastAsia="黑体" w:cs="黑体"/>
          <w:color w:val="auto"/>
          <w:sz w:val="21"/>
          <w:szCs w:val="21"/>
          <w:highlight w:val="none"/>
        </w:rPr>
      </w:pPr>
      <w:r/>
      <w:bookmarkStart w:id="547" w:name="_Toc292559416"/>
      <w:r/>
      <w:bookmarkStart w:id="548" w:name="_Toc296347210"/>
      <w:r/>
      <w:bookmarkStart w:id="549" w:name="_Toc297048397"/>
      <w:r/>
      <w:bookmarkStart w:id="550" w:name="_Toc296503211"/>
      <w:r/>
      <w:bookmarkStart w:id="551" w:name="_Toc296891039"/>
      <w:r/>
      <w:bookmarkStart w:id="552" w:name="_Toc297123556"/>
      <w:r/>
      <w:bookmarkStart w:id="553" w:name="_Toc296346712"/>
      <w:r/>
      <w:bookmarkStart w:id="554" w:name="_Toc297216215"/>
      <w:r/>
      <w:bookmarkStart w:id="555" w:name="_Toc303539163"/>
      <w:r/>
      <w:bookmarkStart w:id="556" w:name="_Toc292559921"/>
      <w:r/>
      <w:bookmarkStart w:id="557" w:name="_Toc296891251"/>
      <w:r/>
      <w:bookmarkStart w:id="558" w:name="_Toc297120511"/>
      <w:r/>
      <w:bookmarkStart w:id="559" w:name="_Toc296944550"/>
      <w:r/>
      <w:bookmarkStart w:id="560" w:name="_Toc300935006"/>
      <w:r>
        <w:rPr>
          <w:rFonts w:hint="eastAsia" w:ascii="黑体" w:hAnsi="黑体" w:eastAsia="黑体" w:cs="黑体"/>
          <w:color w:val="auto"/>
          <w:sz w:val="21"/>
          <w:szCs w:val="21"/>
          <w:highlight w:val="none"/>
        </w:rPr>
        <w:t xml:space="preserve">12.4.1 付款周期</w:t>
      </w:r>
      <w:r/>
    </w:p>
    <w:p>
      <w:pPr>
        <w:ind w:left="0" w:right="0" w:firstLine="420"/>
        <w:jc w:val="both"/>
        <w:spacing w:before="0" w:after="0" w:line="74"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highlight w:val="white"/>
          <w:u w:val="single"/>
        </w:rPr>
        <w:t xml:space="preserve">合同签订后、施工组织设计经监理、发包方审查确认且人员机械进场施工七个工作日内支付合同价款30%作为预付款；工程完工2/3后30日内付至合同价款的50%；工程竣工验收合格后30日内，付至合同价款的80%；完整规范的竣工结算资料报送发包人并完成竣工结算审核后30日内，支付至双方认可的竣工结算价款的100%。</w:t>
      </w:r>
      <w:r>
        <w:rPr>
          <w:highlight w:val="white"/>
        </w:rPr>
      </w:r>
      <w:r>
        <w:rPr>
          <w:sz w:val="21"/>
          <w:highlight w:val="white"/>
        </w:rP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支付程序遵循</w:t>
      </w:r>
      <w:r>
        <w:rPr>
          <w:rFonts w:hint="eastAsia" w:ascii="黑体" w:hAnsi="黑体" w:eastAsia="黑体" w:cs="黑体"/>
          <w:color w:val="auto"/>
          <w:sz w:val="21"/>
          <w:szCs w:val="21"/>
          <w:highlight w:val="none"/>
          <w:u w:val="single"/>
          <w:lang w:val="en-US" w:eastAsia="zh-CN"/>
        </w:rPr>
        <w:t xml:space="preserve">甲方</w:t>
      </w:r>
      <w:r>
        <w:rPr>
          <w:rFonts w:hint="eastAsia" w:ascii="黑体" w:hAnsi="黑体" w:eastAsia="黑体" w:cs="黑体"/>
          <w:color w:val="auto"/>
          <w:sz w:val="21"/>
          <w:szCs w:val="21"/>
          <w:highlight w:val="none"/>
          <w:u w:val="single"/>
        </w:rPr>
        <w:t xml:space="preserve">工程付款程序。</w:t>
      </w:r>
      <w:r>
        <w:rPr>
          <w:rFonts w:hint="eastAsia" w:ascii="黑体" w:hAnsi="黑体" w:eastAsia="黑体" w:cs="黑体"/>
          <w:color w:val="auto"/>
          <w:sz w:val="21"/>
          <w:szCs w:val="21"/>
          <w:highlight w:val="none"/>
          <w:u w:val="single"/>
        </w:rPr>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12.4.2 进度付款申请单的编制</w:t>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关于进度付款申请单编制的约定：</w:t>
      </w:r>
      <w:r>
        <w:rPr>
          <w:rFonts w:hint="eastAsia" w:ascii="黑体" w:hAnsi="黑体" w:eastAsia="黑体" w:cs="黑体"/>
          <w:color w:val="auto"/>
          <w:sz w:val="21"/>
          <w:szCs w:val="21"/>
          <w:highlight w:val="none"/>
          <w:u w:val="single"/>
        </w:rPr>
        <w:t xml:space="preserve">合同履行过程中发生变更需调整合同价款的，均在竣工结算时调整，合同履行过程中不支付该款项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黑体" w:hAnsi="黑体" w:eastAsia="黑体" w:cs="黑体"/>
          <w:color w:val="auto"/>
          <w:sz w:val="21"/>
          <w:szCs w:val="21"/>
          <w:highlight w:val="none"/>
        </w:rPr>
        <w:t xml:space="preserve">2.4.3 进度付款申请单的提交</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（1）单价合同进度付款申请单提交的约定：</w:t>
      </w:r>
      <w:r>
        <w:rPr>
          <w:rFonts w:hint="eastAsia" w:ascii="黑体" w:hAnsi="黑体" w:eastAsia="黑体" w:cs="黑体"/>
          <w:color w:val="auto"/>
          <w:sz w:val="21"/>
          <w:szCs w:val="21"/>
          <w:highlight w:val="none"/>
          <w:u w:val="single"/>
        </w:rPr>
        <w:t xml:space="preserve">  </w:t>
      </w:r>
      <w:r>
        <w:rPr>
          <w:rFonts w:hint="eastAsia" w:ascii="黑体" w:hAnsi="黑体" w:eastAsia="黑体" w:cs="黑体"/>
          <w:bCs/>
          <w:color w:val="auto"/>
          <w:sz w:val="21"/>
          <w:szCs w:val="21"/>
          <w:highlight w:val="none"/>
          <w:u w:val="single"/>
        </w:rPr>
        <w:t xml:space="preserve">执行通用合同条款</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（2）总价合同进度付款申请单提交的约定：</w:t>
      </w:r>
      <w:r>
        <w:rPr>
          <w:rFonts w:hint="eastAsia" w:ascii="黑体" w:hAnsi="黑体" w:eastAsia="黑体" w:cs="黑体"/>
          <w:color w:val="auto"/>
          <w:sz w:val="21"/>
          <w:szCs w:val="21"/>
          <w:highlight w:val="none"/>
          <w:u w:val="single"/>
          <w:lang w:val="en-US" w:eastAsia="zh-CN"/>
        </w:rPr>
        <w:t xml:space="preserve">/</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（3）其他价格形式合同进度付款申请单提交的约定：</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12.4.4 进度款审核和支付</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（1）监理人审查并报送发包人的期限：</w:t>
      </w:r>
      <w:r>
        <w:rPr>
          <w:rFonts w:hint="eastAsia" w:ascii="黑体" w:hAnsi="黑体" w:eastAsia="黑体" w:cs="黑体"/>
          <w:color w:val="auto"/>
          <w:sz w:val="21"/>
          <w:szCs w:val="21"/>
          <w:highlight w:val="none"/>
          <w:u w:val="single"/>
        </w:rPr>
        <w:t xml:space="preserve">收到承包人修正后的进度付款申请单及发票等完整付款资料后3个工作日内。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发包人完成审批并签发进度款支付证书的期限：</w:t>
      </w:r>
      <w:r>
        <w:rPr>
          <w:rFonts w:hint="eastAsia" w:ascii="黑体" w:hAnsi="黑体" w:eastAsia="黑体" w:cs="黑体"/>
          <w:bCs/>
          <w:color w:val="auto"/>
          <w:sz w:val="21"/>
          <w:szCs w:val="21"/>
          <w:highlight w:val="none"/>
          <w:u w:val="single"/>
        </w:rPr>
        <w:t xml:space="preserve">收到监理人报送的进度付款申请单及相关资料后</w:t>
      </w:r>
      <w:r>
        <w:rPr>
          <w:rFonts w:hint="eastAsia" w:ascii="黑体" w:hAnsi="黑体" w:eastAsia="黑体" w:cs="黑体"/>
          <w:bCs/>
          <w:color w:val="auto"/>
          <w:sz w:val="21"/>
          <w:szCs w:val="21"/>
          <w:highlight w:val="none"/>
          <w:u w:val="single"/>
          <w:lang w:val="en-US" w:eastAsia="zh-CN"/>
        </w:rPr>
        <w:t xml:space="preserve">7</w:t>
      </w:r>
      <w:r>
        <w:rPr>
          <w:rFonts w:hint="eastAsia" w:ascii="黑体" w:hAnsi="黑体" w:eastAsia="黑体" w:cs="黑体"/>
          <w:bCs/>
          <w:color w:val="auto"/>
          <w:sz w:val="21"/>
          <w:szCs w:val="21"/>
          <w:highlight w:val="none"/>
          <w:u w:val="single"/>
        </w:rPr>
        <w:t xml:space="preserve">个工作日内</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（2）发包人支付进度款的期限：</w:t>
      </w:r>
      <w:r>
        <w:rPr>
          <w:rFonts w:hint="eastAsia" w:ascii="黑体" w:hAnsi="黑体" w:eastAsia="黑体" w:cs="黑体"/>
          <w:color w:val="auto"/>
          <w:sz w:val="21"/>
          <w:szCs w:val="21"/>
          <w:highlight w:val="none"/>
          <w:u w:val="single"/>
        </w:rPr>
        <w:t xml:space="preserve">  执行通用条款   </w:t>
      </w:r>
      <w:r>
        <w:rPr>
          <w:rFonts w:hint="eastAsia" w:ascii="黑体" w:hAnsi="黑体" w:eastAsia="黑体" w:cs="黑体"/>
          <w:color w:val="auto"/>
          <w:sz w:val="21"/>
          <w:szCs w:val="21"/>
          <w:highlight w:val="none"/>
        </w:rPr>
        <w:t xml:space="preserve">。</w:t>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发包人逾期支付进度款的违约金的计算方式：</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ind w:firstLine="525"/>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12.4.6 支付分解表的编制</w:t>
      </w:r>
      <w:r/>
    </w:p>
    <w:p>
      <w:pPr>
        <w:ind w:left="4200" w:hanging="420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2、总价合同支付分解表的编制与审批：</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3、单价合同的总价项目支付分解表的编制与审批：</w:t>
      </w:r>
      <w:bookmarkEnd w:id="389"/>
      <w:r/>
      <w:bookmarkStart w:id="561" w:name="_Toc351203645"/>
      <w:r/>
      <w:bookmarkStart w:id="562" w:name="_Toc303539172"/>
      <w:r/>
      <w:bookmarkStart w:id="563" w:name="_Toc297216223"/>
      <w:r/>
      <w:bookmarkStart w:id="564" w:name="_Toc296503219"/>
      <w:r/>
      <w:bookmarkStart w:id="565" w:name="_Toc292559424"/>
      <w:r/>
      <w:bookmarkStart w:id="566" w:name="_Toc297048405"/>
      <w:r/>
      <w:bookmarkStart w:id="567" w:name="_Toc296347218"/>
      <w:r/>
      <w:bookmarkStart w:id="568" w:name="_Toc297123564"/>
      <w:r/>
      <w:bookmarkStart w:id="569" w:name="_Toc296346720"/>
      <w:r/>
      <w:bookmarkStart w:id="570" w:name="_Toc296891047"/>
      <w:r/>
      <w:bookmarkStart w:id="571" w:name="_Toc296944558"/>
      <w:r/>
      <w:bookmarkStart w:id="572" w:name="_Toc296891259"/>
      <w:r/>
      <w:bookmarkStart w:id="573" w:name="_Toc312678053"/>
      <w:r/>
      <w:bookmarkStart w:id="574" w:name="_Toc297120519"/>
      <w:r/>
      <w:bookmarkStart w:id="575" w:name="_Toc300935015"/>
      <w:r/>
      <w:bookmarkStart w:id="576" w:name="_Toc292559929"/>
      <w:r/>
      <w:bookmarkStart w:id="577" w:name="_Toc304295593"/>
      <w:r>
        <w:rPr>
          <w:rFonts w:hint="eastAsia" w:ascii="黑体" w:hAnsi="黑体" w:eastAsia="黑体" w:cs="黑体"/>
          <w:color w:val="auto"/>
          <w:sz w:val="21"/>
          <w:szCs w:val="21"/>
          <w:highlight w:val="none"/>
          <w:u w:val="single"/>
        </w:rPr>
        <w:t xml:space="preserve">   /  </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13. 验收和工程试车</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13.1 分部分项工程验收</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13.1.2监理人不能按时进行验收时，应提前</w:t>
      </w:r>
      <w:r>
        <w:rPr>
          <w:rFonts w:hint="eastAsia" w:ascii="黑体" w:hAnsi="黑体" w:eastAsia="黑体" w:cs="黑体"/>
          <w:color w:val="auto"/>
          <w:sz w:val="21"/>
          <w:szCs w:val="21"/>
          <w:highlight w:val="none"/>
          <w:u w:val="single"/>
        </w:rPr>
        <w:t xml:space="preserve">  24 </w:t>
      </w:r>
      <w:r>
        <w:rPr>
          <w:rFonts w:hint="eastAsia" w:ascii="黑体" w:hAnsi="黑体" w:eastAsia="黑体" w:cs="黑体"/>
          <w:color w:val="auto"/>
          <w:sz w:val="21"/>
          <w:szCs w:val="21"/>
          <w:highlight w:val="none"/>
        </w:rPr>
        <w:t xml:space="preserve">小时提交书面延期要求。</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color w:val="auto"/>
          <w:sz w:val="21"/>
          <w:szCs w:val="21"/>
          <w:highlight w:val="none"/>
        </w:rPr>
        <w:t xml:space="preserve">关于延期最长不得超过：</w:t>
      </w:r>
      <w:r>
        <w:rPr>
          <w:rFonts w:hint="eastAsia" w:ascii="黑体" w:hAnsi="黑体" w:eastAsia="黑体" w:cs="黑体"/>
          <w:color w:val="auto"/>
          <w:sz w:val="21"/>
          <w:szCs w:val="21"/>
          <w:highlight w:val="none"/>
          <w:u w:val="single"/>
        </w:rPr>
        <w:t xml:space="preserve">  48  </w:t>
      </w:r>
      <w:r>
        <w:rPr>
          <w:rFonts w:hint="eastAsia" w:ascii="黑体" w:hAnsi="黑体" w:eastAsia="黑体" w:cs="黑体"/>
          <w:color w:val="auto"/>
          <w:sz w:val="21"/>
          <w:szCs w:val="21"/>
          <w:highlight w:val="none"/>
        </w:rPr>
        <w:t xml:space="preserve">小时。</w:t>
      </w:r>
      <w:r/>
    </w:p>
    <w:p>
      <w:pPr>
        <w:ind w:firstLine="420"/>
        <w:spacing w:line="312" w:lineRule="auto"/>
        <w:rPr>
          <w:rFonts w:hint="eastAsia" w:ascii="黑体" w:hAnsi="黑体" w:eastAsia="黑体" w:cs="黑体"/>
          <w:color w:val="auto"/>
          <w:sz w:val="21"/>
          <w:szCs w:val="21"/>
          <w:highlight w:val="none"/>
        </w:rPr>
      </w:pPr>
      <w:r/>
      <w:bookmarkStart w:id="578" w:name="_Toc296346724"/>
      <w:r/>
      <w:bookmarkStart w:id="579" w:name="_Toc297123565"/>
      <w:r/>
      <w:bookmarkStart w:id="580" w:name="_Toc292559933"/>
      <w:r/>
      <w:bookmarkStart w:id="581" w:name="_Toc296891051"/>
      <w:r/>
      <w:bookmarkStart w:id="582" w:name="_Toc296944562"/>
      <w:r/>
      <w:bookmarkStart w:id="583" w:name="_Toc303539173"/>
      <w:r/>
      <w:bookmarkStart w:id="584" w:name="_Toc297120523"/>
      <w:r/>
      <w:bookmarkStart w:id="585" w:name="_Toc296503223"/>
      <w:r/>
      <w:bookmarkStart w:id="586" w:name="_Toc292559428"/>
      <w:r/>
      <w:bookmarkStart w:id="587" w:name="_Toc297048409"/>
      <w:r/>
      <w:bookmarkStart w:id="588" w:name="_Toc296891263"/>
      <w:r/>
      <w:bookmarkStart w:id="589" w:name="_Toc296347222"/>
      <w:r/>
      <w:bookmarkStart w:id="590" w:name="_Toc304295596"/>
      <w:r/>
      <w:bookmarkStart w:id="591" w:name="_Toc300935016"/>
      <w:r/>
      <w:bookmarkStart w:id="592" w:name="_Toc297216224"/>
      <w:r/>
      <w:bookmarkStart w:id="593" w:name="_Toc312678056"/>
      <w:r/>
      <w:bookmarkStart w:id="594" w:name="_Toc267251470"/>
      <w:r/>
      <w:bookmarkStart w:id="595" w:name="_Toc267251473"/>
      <w:r/>
      <w:bookmarkStart w:id="596" w:name="_Toc267251474"/>
      <w:r/>
      <w:bookmarkStart w:id="597" w:name="_Toc267251471"/>
      <w:r/>
      <w:bookmarkStart w:id="598" w:name="_Toc267251472"/>
      <w:r/>
      <w:bookmarkStart w:id="599" w:name="_Toc267251475"/>
      <w:r/>
      <w:bookmarkStart w:id="600" w:name="_Toc267251476"/>
      <w:r>
        <w:rPr>
          <w:rFonts w:hint="eastAsia" w:ascii="黑体" w:hAnsi="黑体" w:eastAsia="黑体" w:cs="黑体"/>
          <w:color w:val="auto"/>
          <w:sz w:val="21"/>
          <w:szCs w:val="21"/>
          <w:highlight w:val="none"/>
        </w:rPr>
        <w:t xml:space="preserve">13.2 竣工验收</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ind w:firstLine="420"/>
        <w:spacing w:line="312" w:lineRule="auto"/>
        <w:rPr>
          <w:rFonts w:hint="eastAsia" w:ascii="黑体" w:hAnsi="黑体" w:eastAsia="黑体" w:cs="黑体"/>
          <w:color w:val="auto"/>
          <w:sz w:val="21"/>
          <w:szCs w:val="21"/>
          <w:highlight w:val="none"/>
        </w:rPr>
      </w:pPr>
      <w:r/>
      <w:bookmarkStart w:id="601" w:name="_Toc280868704"/>
      <w:r/>
      <w:bookmarkStart w:id="602" w:name="_Toc280868705"/>
      <w:r/>
      <w:bookmarkStart w:id="603" w:name="_Toc280868706"/>
      <w:r/>
      <w:bookmarkStart w:id="604" w:name="_Toc280868707"/>
      <w:r/>
      <w:bookmarkStart w:id="605" w:name="_Toc280868708"/>
      <w:r/>
      <w:bookmarkStart w:id="606" w:name="_Toc280868709"/>
      <w:r>
        <w:rPr>
          <w:rFonts w:hint="eastAsia" w:ascii="黑体" w:hAnsi="黑体" w:eastAsia="黑体" w:cs="黑体"/>
          <w:color w:val="auto"/>
          <w:sz w:val="21"/>
          <w:szCs w:val="21"/>
          <w:highlight w:val="none"/>
        </w:rPr>
        <w:t xml:space="preserve">13.2.2竣工验收程序</w:t>
      </w:r>
      <w:bookmarkEnd w:id="601"/>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关于竣工验收程序的约定：</w:t>
      </w:r>
      <w:r>
        <w:rPr>
          <w:rFonts w:hint="eastAsia" w:ascii="黑体" w:hAnsi="黑体" w:eastAsia="黑体" w:cs="黑体"/>
          <w:color w:val="auto"/>
          <w:sz w:val="21"/>
          <w:szCs w:val="21"/>
          <w:highlight w:val="none"/>
          <w:u w:val="single"/>
        </w:rPr>
        <w:t xml:space="preserve">由监理人进行初步验收，初步验收合格后由发包人 组织相关单位竣工验收 . 工程竣工验收前一周内，承包人提供竣工图肆套。（竣工验收合格后 30 日内，提供符合属地建设工程档案归档规范要求及属地城建档案馆要求的竣工图纸及资料各肆套。并提供符合档案要求的电子档案。因承包人原因未能达到归档要求，由此给发包人增加工作，承包人将承担 2 万元的违约金）。</w:t>
      </w:r>
      <w:r/>
    </w:p>
    <w:p>
      <w:pPr>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发包人不按照本项约定组织竣工验收、颁发工程接收证书的违约金的计算方法：</w:t>
      </w:r>
      <w:r>
        <w:rPr>
          <w:rFonts w:hint="eastAsia" w:ascii="黑体" w:hAnsi="黑体" w:eastAsia="黑体" w:cs="黑体"/>
          <w:color w:val="auto"/>
          <w:sz w:val="21"/>
          <w:szCs w:val="21"/>
          <w:highlight w:val="none"/>
          <w:u w:val="single"/>
        </w:rPr>
        <w:t xml:space="preserve">/。</w:t>
      </w:r>
      <w:bookmarkEnd w:id="602"/>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13.2.5移交、接收全部与部分工程</w:t>
      </w:r>
      <w:bookmarkEnd w:id="603"/>
      <w:r/>
      <w:r/>
    </w:p>
    <w:p>
      <w:pPr>
        <w:ind w:firstLine="420"/>
        <w:spacing w:line="312" w:lineRule="auto"/>
        <w:tabs>
          <w:tab w:val="left" w:pos="5935" w:leader="none"/>
        </w:tabs>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承包人向发包人移交工程的期限：</w:t>
      </w:r>
      <w:r>
        <w:rPr>
          <w:rFonts w:hint="eastAsia" w:ascii="黑体" w:hAnsi="黑体" w:eastAsia="黑体" w:cs="黑体"/>
          <w:color w:val="auto"/>
          <w:sz w:val="21"/>
          <w:szCs w:val="21"/>
          <w:highlight w:val="none"/>
          <w:u w:val="single"/>
        </w:rPr>
        <w:t xml:space="preserve">按通用条款执行</w:t>
      </w: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rPr>
        <w:tab/>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发包人未按本合同约定接收全部或部分工程的，违约金的计算方法为：</w:t>
      </w:r>
      <w:r>
        <w:rPr>
          <w:rFonts w:hint="eastAsia" w:ascii="黑体" w:hAnsi="黑体" w:eastAsia="黑体" w:cs="黑体"/>
          <w:color w:val="auto"/>
          <w:sz w:val="21"/>
          <w:szCs w:val="21"/>
          <w:highlight w:val="none"/>
          <w:u w:val="single"/>
        </w:rPr>
        <w:t xml:space="preserve">按通用条款执行。</w:t>
      </w:r>
      <w:bookmarkEnd w:id="604"/>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承包人未按时移交工程的，违约金的计算方法为：</w:t>
      </w:r>
      <w:r>
        <w:rPr>
          <w:rFonts w:hint="eastAsia" w:ascii="黑体" w:hAnsi="黑体" w:eastAsia="黑体" w:cs="黑体"/>
          <w:b/>
          <w:bCs/>
          <w:color w:val="auto"/>
          <w:sz w:val="21"/>
          <w:szCs w:val="21"/>
          <w:highlight w:val="none"/>
          <w:u w:val="single"/>
        </w:rPr>
        <w:t xml:space="preserve">每延误一天按照5000元/天计算</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13.3 工程试车</w:t>
      </w:r>
      <w:bookmarkEnd w:id="605"/>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13.3.1 试车程序</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工程试车内容：</w:t>
      </w:r>
      <w:r>
        <w:rPr>
          <w:rFonts w:hint="eastAsia" w:ascii="黑体" w:hAnsi="黑体" w:eastAsia="黑体" w:cs="黑体"/>
          <w:color w:val="auto"/>
          <w:sz w:val="21"/>
          <w:szCs w:val="21"/>
          <w:highlight w:val="none"/>
          <w:u w:val="single"/>
        </w:rPr>
        <w:t xml:space="preserve">按通用条款执行。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（1）单机无负荷试车费用由</w:t>
      </w:r>
      <w:r>
        <w:rPr>
          <w:rFonts w:hint="eastAsia" w:ascii="黑体" w:hAnsi="黑体" w:eastAsia="黑体" w:cs="黑体"/>
          <w:color w:val="auto"/>
          <w:sz w:val="21"/>
          <w:szCs w:val="21"/>
          <w:highlight w:val="none"/>
          <w:u w:val="single"/>
        </w:rPr>
        <w:t xml:space="preserve">   承包人   </w:t>
      </w:r>
      <w:r>
        <w:rPr>
          <w:rFonts w:hint="eastAsia" w:ascii="黑体" w:hAnsi="黑体" w:eastAsia="黑体" w:cs="黑体"/>
          <w:color w:val="auto"/>
          <w:sz w:val="21"/>
          <w:szCs w:val="21"/>
          <w:highlight w:val="none"/>
        </w:rPr>
        <w:t xml:space="preserve">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（2）无负荷联动试车费用由</w:t>
      </w:r>
      <w:r>
        <w:rPr>
          <w:rFonts w:hint="eastAsia" w:ascii="黑体" w:hAnsi="黑体" w:eastAsia="黑体" w:cs="黑体"/>
          <w:color w:val="auto"/>
          <w:sz w:val="21"/>
          <w:szCs w:val="21"/>
          <w:highlight w:val="none"/>
          <w:u w:val="single"/>
        </w:rPr>
        <w:t xml:space="preserve">   承包人   </w:t>
      </w:r>
      <w:r>
        <w:rPr>
          <w:rFonts w:hint="eastAsia" w:ascii="黑体" w:hAnsi="黑体" w:eastAsia="黑体" w:cs="黑体"/>
          <w:color w:val="auto"/>
          <w:sz w:val="21"/>
          <w:szCs w:val="21"/>
          <w:highlight w:val="none"/>
        </w:rPr>
        <w:t xml:space="preserve">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13.3.3 投料试车</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关于投料试车相关事项的约定：</w:t>
      </w:r>
      <w:r>
        <w:rPr>
          <w:rFonts w:hint="eastAsia" w:ascii="黑体" w:hAnsi="黑体" w:eastAsia="黑体" w:cs="黑体"/>
          <w:color w:val="auto"/>
          <w:sz w:val="21"/>
          <w:szCs w:val="21"/>
          <w:highlight w:val="none"/>
          <w:u w:val="single"/>
        </w:rPr>
        <w:t xml:space="preserve">按通用条款执行。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13.6 竣工退场</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13.6.1 竣工退场</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承包人完成竣工退场的期限：</w:t>
      </w:r>
      <w:bookmarkStart w:id="607" w:name="_Toc351203646"/>
      <w:r>
        <w:rPr>
          <w:rFonts w:hint="eastAsia" w:ascii="黑体" w:hAnsi="黑体" w:eastAsia="黑体" w:cs="黑体"/>
          <w:color w:val="auto"/>
          <w:sz w:val="21"/>
          <w:szCs w:val="21"/>
          <w:highlight w:val="none"/>
          <w:u w:val="single"/>
        </w:rPr>
        <w:t xml:space="preserve">执行通用条款。</w:t>
      </w:r>
      <w:r/>
    </w:p>
    <w:p>
      <w:pPr>
        <w:ind w:firstLine="420"/>
        <w:spacing w:line="312"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14. 竣工结算</w:t>
      </w:r>
      <w:bookmarkEnd w:id="607"/>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14.1 竣工结算申请</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承包人提交竣工结算申请单的期限：</w:t>
      </w:r>
      <w:r>
        <w:rPr>
          <w:rFonts w:hint="eastAsia" w:ascii="黑体" w:hAnsi="黑体" w:eastAsia="黑体" w:cs="黑体"/>
          <w:color w:val="auto"/>
          <w:sz w:val="21"/>
          <w:szCs w:val="21"/>
          <w:highlight w:val="none"/>
          <w:u w:val="single"/>
        </w:rPr>
        <w:t xml:space="preserve">工程竣工验收合格后 60 天内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竣工结算申请单应包括的内容：</w:t>
      </w:r>
      <w:r>
        <w:rPr>
          <w:rFonts w:hint="eastAsia" w:ascii="黑体" w:hAnsi="黑体" w:eastAsia="黑体" w:cs="黑体"/>
          <w:color w:val="auto"/>
          <w:sz w:val="21"/>
          <w:szCs w:val="21"/>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outlineLvl w:val="0"/>
      </w:pPr>
      <w:r/>
      <w:bookmarkStart w:id="608" w:name="_Toc22489"/>
      <w:r>
        <w:rPr>
          <w:rFonts w:hint="eastAsia" w:ascii="黑体" w:hAnsi="黑体" w:eastAsia="黑体" w:cs="黑体"/>
          <w:color w:val="auto"/>
          <w:sz w:val="21"/>
          <w:szCs w:val="21"/>
          <w:highlight w:val="none"/>
        </w:rPr>
        <w:t xml:space="preserve">14.2 竣工结算审核</w:t>
      </w:r>
      <w:bookmarkEnd w:id="608"/>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发包人审批竣工付款申请单的期限：</w:t>
      </w:r>
      <w:r>
        <w:rPr>
          <w:rFonts w:hint="eastAsia" w:ascii="黑体" w:hAnsi="黑体" w:eastAsia="黑体" w:cs="黑体"/>
          <w:color w:val="auto"/>
          <w:sz w:val="21"/>
          <w:szCs w:val="21"/>
          <w:highlight w:val="none"/>
          <w:u w:val="single"/>
        </w:rPr>
        <w:t xml:space="preserve">竣工资料移交后 30 日内。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发包人完成竣工付款的期限：</w:t>
      </w:r>
      <w:r>
        <w:rPr>
          <w:rFonts w:hint="eastAsia" w:ascii="黑体" w:hAnsi="黑体" w:eastAsia="黑体" w:cs="黑体"/>
          <w:color w:val="auto"/>
          <w:sz w:val="21"/>
          <w:szCs w:val="21"/>
          <w:highlight w:val="none"/>
          <w:u w:val="single"/>
        </w:rPr>
        <w:t xml:space="preserve">按发包人工程款支付管理规定。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关于竣工付款证书异议部分复核的方式和程序：</w:t>
      </w:r>
      <w:r>
        <w:rPr>
          <w:rFonts w:hint="eastAsia" w:ascii="黑体" w:hAnsi="黑体" w:eastAsia="黑体" w:cs="黑体"/>
          <w:color w:val="auto"/>
          <w:sz w:val="21"/>
          <w:szCs w:val="21"/>
          <w:highlight w:val="none"/>
          <w:u w:val="single"/>
        </w:rPr>
        <w:t xml:space="preserve">承包人的竣工结算送审报告应客观且符合实际，当承包人提交的竣工结算送审报告经发包人审计后，若工程结算审计审减率超出送审价的7% 以上（不含7%），承包人应全额承担审计费用，并且按照审减额的5%进行处罚[参照徐建重办 2015 20 号文件执行]，由发包人在支付工程款时一次性扣除。审减额以审计报告为准</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14.4 最终结清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14.4.1 最终结清申请单</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承包人提交最终结清申请单的份数：</w:t>
      </w:r>
      <w:r>
        <w:rPr>
          <w:rFonts w:hint="eastAsia" w:ascii="黑体" w:hAnsi="黑体" w:eastAsia="黑体" w:cs="黑体"/>
          <w:color w:val="auto"/>
          <w:sz w:val="21"/>
          <w:szCs w:val="21"/>
          <w:highlight w:val="none"/>
          <w:u w:val="single"/>
        </w:rPr>
        <w:t xml:space="preserve">一式伍份</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承包人提交最终结算申请单的期限：</w:t>
      </w:r>
      <w:r>
        <w:rPr>
          <w:rFonts w:hint="eastAsia" w:ascii="黑体" w:hAnsi="黑体" w:eastAsia="黑体" w:cs="黑体"/>
          <w:color w:val="auto"/>
          <w:sz w:val="21"/>
          <w:szCs w:val="21"/>
          <w:highlight w:val="none"/>
          <w:u w:val="single"/>
        </w:rPr>
        <w:t xml:space="preserve">工程审计结束、已办理完毕移交手续后 7日内。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14.4.2 最终结清证书和支付</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（1）发包人完成最终结清申请单的审批并颁发最终结清证书的期限：</w:t>
      </w:r>
      <w:r>
        <w:rPr>
          <w:rFonts w:hint="eastAsia" w:ascii="黑体" w:hAnsi="黑体" w:eastAsia="黑体" w:cs="黑体"/>
          <w:color w:val="auto"/>
          <w:sz w:val="21"/>
          <w:szCs w:val="21"/>
          <w:highlight w:val="none"/>
          <w:u w:val="single"/>
        </w:rPr>
        <w:t xml:space="preserve">收到申请后且承包人完成相关保修责任义务后 14</w:t>
      </w:r>
      <w:r>
        <w:rPr>
          <w:rFonts w:hint="eastAsia" w:ascii="黑体" w:hAnsi="黑体" w:eastAsia="黑体" w:cs="黑体"/>
          <w:color w:val="auto"/>
          <w:sz w:val="21"/>
          <w:szCs w:val="21"/>
          <w:highlight w:val="none"/>
          <w:u w:val="single"/>
          <w:lang w:val="en-US" w:eastAsia="zh-CN"/>
        </w:rPr>
        <w:t xml:space="preserve">日</w:t>
      </w:r>
      <w:r>
        <w:rPr>
          <w:rFonts w:hint="eastAsia" w:ascii="黑体" w:hAnsi="黑体" w:eastAsia="黑体" w:cs="黑体"/>
          <w:color w:val="auto"/>
          <w:sz w:val="21"/>
          <w:szCs w:val="21"/>
          <w:highlight w:val="none"/>
          <w:u w:val="single"/>
        </w:rPr>
        <w:t xml:space="preserve">内</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（2）发包人完成支付的期限：</w:t>
      </w:r>
      <w:r>
        <w:rPr>
          <w:rFonts w:hint="eastAsia" w:ascii="黑体" w:hAnsi="黑体" w:eastAsia="黑体" w:cs="黑体"/>
          <w:color w:val="auto"/>
          <w:sz w:val="21"/>
          <w:szCs w:val="21"/>
          <w:highlight w:val="none"/>
          <w:u w:val="single"/>
        </w:rPr>
        <w:t xml:space="preserve">最终结清申请单的审批结束后 14 日内。</w:t>
      </w:r>
      <w:bookmarkEnd w:id="594"/>
      <w:r/>
      <w:bookmarkEnd w:id="595"/>
      <w:r/>
      <w:bookmarkEnd w:id="596"/>
      <w:r/>
      <w:bookmarkEnd w:id="597"/>
      <w:r/>
      <w:bookmarkEnd w:id="598"/>
      <w:r/>
      <w:bookmarkEnd w:id="599"/>
      <w:r/>
      <w:bookmarkEnd w:id="600"/>
      <w:r/>
      <w:bookmarkEnd w:id="606"/>
      <w:r/>
      <w:r/>
    </w:p>
    <w:p>
      <w:pPr>
        <w:spacing w:line="312" w:lineRule="auto"/>
        <w:rPr>
          <w:rFonts w:hint="eastAsia" w:ascii="黑体" w:hAnsi="黑体" w:eastAsia="黑体" w:cs="黑体"/>
          <w:bCs/>
          <w:color w:val="auto"/>
          <w:sz w:val="21"/>
          <w:szCs w:val="21"/>
          <w:highlight w:val="none"/>
        </w:rPr>
        <w:outlineLvl w:val="3"/>
      </w:pPr>
      <w:r/>
      <w:bookmarkStart w:id="609" w:name="_Toc351203647"/>
      <w:r/>
      <w:bookmarkStart w:id="610" w:name="_Toc267251483"/>
      <w:r/>
      <w:bookmarkStart w:id="611" w:name="_Toc267251482"/>
      <w:r/>
      <w:bookmarkStart w:id="612" w:name="_Toc267251484"/>
      <w:r/>
      <w:bookmarkStart w:id="613" w:name="_Toc267251485"/>
      <w:r/>
      <w:bookmarkStart w:id="614" w:name="_Toc267251489"/>
      <w:r/>
      <w:bookmarkStart w:id="615" w:name="_Toc267251488"/>
      <w:r/>
      <w:bookmarkStart w:id="616" w:name="_Toc267251486"/>
      <w:r/>
      <w:bookmarkStart w:id="617" w:name="_Toc267251490"/>
      <w:r/>
      <w:bookmarkStart w:id="618" w:name="_Toc267251495"/>
      <w:r/>
      <w:bookmarkStart w:id="619" w:name="_Toc267251502"/>
      <w:r/>
      <w:bookmarkStart w:id="620" w:name="_Toc267251497"/>
      <w:r/>
      <w:bookmarkStart w:id="621" w:name="_Toc267251494"/>
      <w:r/>
      <w:bookmarkStart w:id="622" w:name="_Toc267251503"/>
      <w:r/>
      <w:bookmarkStart w:id="623" w:name="_Toc267251492"/>
      <w:r/>
      <w:bookmarkStart w:id="624" w:name="_Toc267251501"/>
      <w:r/>
      <w:bookmarkStart w:id="625" w:name="_Toc267251496"/>
      <w:r/>
      <w:bookmarkStart w:id="626" w:name="_Toc267251498"/>
      <w:r/>
      <w:bookmarkStart w:id="627" w:name="_Toc267251493"/>
      <w:r/>
      <w:bookmarkStart w:id="628" w:name="_Toc267251491"/>
      <w:r/>
      <w:bookmarkStart w:id="629" w:name="_Toc267251499"/>
      <w:r/>
      <w:bookmarkStart w:id="630" w:name="_Toc267251504"/>
      <w:r/>
      <w:bookmarkStart w:id="631" w:name="_Toc267251506"/>
      <w:r/>
      <w:bookmarkStart w:id="632" w:name="_Toc267251507"/>
      <w:r/>
      <w:bookmarkStart w:id="633" w:name="_Toc267251508"/>
      <w:r/>
      <w:bookmarkStart w:id="634" w:name="_Toc267251509"/>
      <w:r/>
      <w:bookmarkStart w:id="635" w:name="_Toc267251515"/>
      <w:r/>
      <w:bookmarkStart w:id="636" w:name="_Toc267251514"/>
      <w:r/>
      <w:bookmarkStart w:id="637" w:name="_Toc267251513"/>
      <w:r/>
      <w:bookmarkStart w:id="638" w:name="_Toc267251511"/>
      <w:r/>
      <w:bookmarkStart w:id="639" w:name="_Toc267251510"/>
      <w:r>
        <w:rPr>
          <w:rFonts w:hint="eastAsia" w:ascii="黑体" w:hAnsi="黑体" w:eastAsia="黑体" w:cs="黑体"/>
          <w:bCs/>
          <w:color w:val="auto"/>
          <w:sz w:val="21"/>
          <w:szCs w:val="21"/>
          <w:highlight w:val="none"/>
        </w:rPr>
        <w:t xml:space="preserve">15. 缺陷责任期与保修</w:t>
      </w:r>
      <w:bookmarkEnd w:id="609"/>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15.2缺陷责任期</w:t>
      </w:r>
      <w:bookmarkEnd w:id="610"/>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缺陷责任期的具体期限</w:t>
      </w:r>
      <w:r>
        <w:rPr>
          <w:rFonts w:hint="eastAsia" w:ascii="黑体" w:hAnsi="黑体" w:eastAsia="黑体" w:cs="黑体"/>
          <w:b w:val="0"/>
          <w:bCs w:val="0"/>
          <w:color w:val="auto"/>
          <w:sz w:val="21"/>
          <w:szCs w:val="21"/>
          <w:highlight w:val="none"/>
        </w:rPr>
        <w:t xml:space="preserve">：</w:t>
      </w:r>
      <w:r>
        <w:rPr>
          <w:rFonts w:hint="eastAsia" w:ascii="黑体" w:hAnsi="黑体" w:eastAsia="黑体" w:cs="黑体"/>
          <w:b w:val="0"/>
          <w:bCs w:val="0"/>
          <w:color w:val="auto"/>
          <w:sz w:val="21"/>
          <w:szCs w:val="21"/>
          <w:highlight w:val="none"/>
          <w:u w:val="single"/>
        </w:rPr>
        <w:t xml:space="preserve">具体详见《工程质量保修书》 </w:t>
      </w:r>
      <w:r>
        <w:rPr>
          <w:rFonts w:hint="eastAsia" w:ascii="黑体" w:hAnsi="黑体" w:eastAsia="黑体" w:cs="黑体"/>
          <w:b w:val="0"/>
          <w:bCs w:val="0"/>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15.3 质量保证金</w:t>
      </w:r>
      <w:r/>
    </w:p>
    <w:p>
      <w:pPr>
        <w:ind w:left="0" w:right="0" w:firstLine="420"/>
        <w:jc w:val="both"/>
        <w:spacing w:before="0" w:after="0" w:line="74" w:lineRule="atLeast"/>
        <w:rPr>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关于是否扣留质量保证金的约定：</w:t>
      </w:r>
      <w:r>
        <w:rPr>
          <w:rFonts w:ascii="SimHei" w:hAnsi="SimHei" w:eastAsia="SimHei" w:cs="SimHei"/>
          <w:color w:val="000000"/>
          <w:sz w:val="21"/>
          <w:highlight w:val="white"/>
          <w:u w:val="single"/>
        </w:rPr>
        <w:t xml:space="preserve">不扣留。</w:t>
      </w:r>
      <w:r>
        <w:rPr>
          <w:highlight w:val="white"/>
        </w:rP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15.3.1 承包人提供质量保证金的方式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质量保证金采用以下第</w:t>
      </w:r>
      <w:r>
        <w:rPr>
          <w:rFonts w:ascii="SimHei" w:hAnsi="SimHei" w:eastAsia="SimHei" w:cs="SimHei"/>
          <w:color w:val="000000"/>
          <w:sz w:val="21"/>
          <w:u w:val="single"/>
        </w:rPr>
        <w:t xml:space="preserve">    </w:t>
      </w:r>
      <w:r>
        <w:rPr>
          <w:rFonts w:ascii="SimHei" w:hAnsi="SimHei" w:eastAsia="SimHei" w:cs="SimHei"/>
          <w:color w:val="000000"/>
          <w:sz w:val="21"/>
        </w:rPr>
        <w:t xml:space="preserve">种方式：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（1）质量保证金保函，保证金额为：</w:t>
      </w:r>
      <w:r>
        <w:rPr>
          <w:rFonts w:ascii="SimHei" w:hAnsi="SimHei" w:eastAsia="SimHei" w:cs="SimHei"/>
          <w:color w:val="000000"/>
          <w:sz w:val="21"/>
          <w:u w:val="single"/>
        </w:rPr>
        <w:t xml:space="preserve">  / </w:t>
      </w:r>
      <w:r>
        <w:rPr>
          <w:rFonts w:ascii="SimHei" w:hAnsi="SimHei" w:eastAsia="SimHei" w:cs="SimHei"/>
          <w:color w:val="000000"/>
          <w:sz w:val="21"/>
        </w:rPr>
        <w:t xml:space="preserve">； </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w:t>
      </w:r>
      <w:r>
        <w:rPr>
          <w:rFonts w:ascii="SimHei" w:hAnsi="SimHei" w:eastAsia="SimHei" w:cs="SimHei"/>
          <w:color w:val="000000"/>
          <w:sz w:val="21"/>
          <w:u w:val="single"/>
        </w:rPr>
        <w:t xml:space="preserve">   </w:t>
      </w:r>
      <w:r>
        <w:rPr>
          <w:rFonts w:ascii="SimHei" w:hAnsi="SimHei" w:eastAsia="SimHei" w:cs="SimHei"/>
          <w:color w:val="000000"/>
          <w:sz w:val="21"/>
        </w:rPr>
        <w:t xml:space="preserve">%的工程款；</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（3）其他方式:</w:t>
      </w:r>
      <w:r>
        <w:rPr>
          <w:rFonts w:ascii="SimHei" w:hAnsi="SimHei" w:eastAsia="SimHei" w:cs="SimHei"/>
          <w:color w:val="000000"/>
          <w:sz w:val="21"/>
          <w:u w:val="single"/>
        </w:rPr>
        <w:t xml:space="preserve">     /         </w:t>
      </w:r>
      <w:r>
        <w:rPr>
          <w:rFonts w:ascii="SimHei" w:hAnsi="SimHei" w:eastAsia="SimHei" w:cs="SimHei"/>
          <w:color w:val="000000"/>
          <w:sz w:val="21"/>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15.3.2 质量保证金的扣留 </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质量保证金的扣留采取以下第</w:t>
      </w:r>
      <w:r>
        <w:rPr>
          <w:rFonts w:ascii="SimHei" w:hAnsi="SimHei" w:eastAsia="SimHei" w:cs="SimHei"/>
          <w:color w:val="000000"/>
          <w:sz w:val="21"/>
          <w:u w:val="single"/>
        </w:rPr>
        <w:t xml:space="preserve">  </w:t>
      </w:r>
      <w:r>
        <w:rPr>
          <w:rFonts w:ascii="SimHei" w:hAnsi="SimHei" w:eastAsia="SimHei" w:cs="SimHei"/>
          <w:color w:val="000000"/>
          <w:sz w:val="21"/>
        </w:rPr>
        <w:t xml:space="preserve">种方式：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（1）在支付工程进度款时逐次扣留，在此情形下，质量保证金的计算基数不包括预付款的支付、扣回以及价格调整的金额；</w:t>
      </w:r>
      <w:r/>
    </w:p>
    <w:p>
      <w:pPr>
        <w:ind w:left="0" w:right="0" w:firstLine="424"/>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（2）工程竣工结算时一次性扣留质量保证金；</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（3）其他扣留方式:</w:t>
      </w:r>
      <w:r>
        <w:rPr>
          <w:rFonts w:ascii="SimHei" w:hAnsi="SimHei" w:eastAsia="SimHei" w:cs="SimHei"/>
          <w:color w:val="000000"/>
          <w:sz w:val="21"/>
          <w:u w:val="single"/>
        </w:rPr>
        <w:t xml:space="preserve">        /              </w:t>
      </w:r>
      <w:r>
        <w:rPr>
          <w:rFonts w:ascii="SimHei" w:hAnsi="SimHei" w:eastAsia="SimHei" w:cs="SimHei"/>
          <w:color w:val="000000"/>
          <w:sz w:val="21"/>
        </w:rPr>
        <w:t xml:space="preserve">。</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关于质量保证金的补充约定：</w:t>
      </w:r>
      <w:r>
        <w:rPr>
          <w:rFonts w:ascii="SimHei" w:hAnsi="SimHei" w:eastAsia="SimHei" w:cs="SimHei"/>
          <w:color w:val="000000"/>
          <w:sz w:val="21"/>
          <w:u w:val="single"/>
        </w:rPr>
        <w:t xml:space="preserve">/ </w:t>
      </w:r>
      <w:r>
        <w:rPr>
          <w:rFonts w:ascii="SimHei" w:hAnsi="SimHei" w:eastAsia="SimHei" w:cs="SimHei"/>
          <w:color w:val="000000"/>
          <w:sz w:val="21"/>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15.4保修</w:t>
      </w:r>
      <w:bookmarkEnd w:id="613"/>
      <w:r/>
      <w:r/>
    </w:p>
    <w:p>
      <w:pPr>
        <w:ind w:firstLine="409"/>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15.4.1 保修责任</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工程保修期为：自竣工备案之日起计算，具体期限详见《工程质量保修书》，以最终承诺的期限为准。本合同其他约定与本约定不一致的，以本约定为准。</w:t>
      </w:r>
      <w:r/>
      <w:r>
        <w:rPr>
          <w:rFonts w:hint="eastAsia" w:ascii="黑体" w:hAnsi="黑体" w:eastAsia="黑体" w:cs="黑体"/>
          <w:color w:val="auto"/>
          <w:sz w:val="21"/>
          <w:szCs w:val="21"/>
          <w:highlight w:val="none"/>
        </w:rPr>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15.4.3 修复通知</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承包人收到保修通知并到达工程现场的合理时间：24小时内 。</w:t>
      </w:r>
      <w:bookmarkEnd w:id="614"/>
      <w:r/>
      <w:bookmarkEnd w:id="615"/>
      <w:r/>
      <w:bookmarkEnd w:id="616"/>
      <w:r/>
      <w:bookmarkEnd w:id="617"/>
      <w:r/>
      <w:r/>
    </w:p>
    <w:p>
      <w:pPr>
        <w:spacing w:line="312" w:lineRule="auto"/>
        <w:rPr>
          <w:rFonts w:hint="eastAsia" w:ascii="黑体" w:hAnsi="黑体" w:eastAsia="黑体" w:cs="黑体"/>
          <w:bCs/>
          <w:color w:val="auto"/>
          <w:sz w:val="21"/>
          <w:szCs w:val="21"/>
          <w:highlight w:val="none"/>
        </w:rPr>
        <w:outlineLvl w:val="3"/>
      </w:pPr>
      <w:r/>
      <w:bookmarkStart w:id="642" w:name="_Toc351203648"/>
      <w:r/>
      <w:bookmarkStart w:id="643" w:name="_Toc280868717"/>
      <w:r/>
      <w:bookmarkStart w:id="644" w:name="_Toc280868718"/>
      <w:r>
        <w:rPr>
          <w:rFonts w:hint="eastAsia" w:ascii="黑体" w:hAnsi="黑体" w:eastAsia="黑体" w:cs="黑体"/>
          <w:bCs/>
          <w:color w:val="auto"/>
          <w:sz w:val="21"/>
          <w:szCs w:val="21"/>
          <w:highlight w:val="none"/>
        </w:rPr>
        <w:t xml:space="preserve">16. 违约</w:t>
      </w:r>
      <w:bookmarkEnd w:id="642"/>
      <w:r/>
      <w:r/>
    </w:p>
    <w:p>
      <w:pPr>
        <w:ind w:firstLine="420"/>
        <w:spacing w:line="312" w:lineRule="auto"/>
        <w:rPr>
          <w:rFonts w:hint="eastAsia" w:ascii="黑体" w:hAnsi="黑体" w:eastAsia="黑体" w:cs="黑体"/>
          <w:color w:val="auto"/>
          <w:sz w:val="21"/>
          <w:szCs w:val="21"/>
          <w:highlight w:val="none"/>
        </w:rPr>
        <w:outlineLvl w:val="0"/>
      </w:pPr>
      <w:r/>
      <w:bookmarkStart w:id="645" w:name="_Toc31414"/>
      <w:r>
        <w:rPr>
          <w:rFonts w:hint="eastAsia" w:ascii="黑体" w:hAnsi="黑体" w:eastAsia="黑体" w:cs="黑体"/>
          <w:color w:val="auto"/>
          <w:sz w:val="21"/>
          <w:szCs w:val="21"/>
          <w:highlight w:val="none"/>
        </w:rPr>
        <w:t xml:space="preserve">16.1 发包人违约</w:t>
      </w:r>
      <w:bookmarkEnd w:id="645"/>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16.1.1发包人违约的情形</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发包人违约的其他情形：</w:t>
      </w:r>
      <w:r>
        <w:rPr>
          <w:rFonts w:hint="eastAsia" w:ascii="黑体" w:hAnsi="黑体" w:eastAsia="黑体" w:cs="黑体"/>
          <w:color w:val="auto"/>
          <w:sz w:val="21"/>
          <w:szCs w:val="21"/>
          <w:highlight w:val="none"/>
          <w:u w:val="single"/>
        </w:rPr>
        <w:t xml:space="preserve"> /。</w:t>
      </w:r>
      <w:r/>
    </w:p>
    <w:p>
      <w:pPr>
        <w:ind w:left="1050" w:hanging="105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16.1.2 发包人违约的责任</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发包人违约责任的承担方式和计算方法：</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（1）因发包人原因未能在计划开工日期前7天内下达开工通知的违约责任：</w:t>
      </w:r>
      <w:r>
        <w:rPr>
          <w:rFonts w:hint="eastAsia" w:ascii="黑体" w:hAnsi="黑体" w:eastAsia="黑体" w:cs="黑体"/>
          <w:color w:val="auto"/>
          <w:sz w:val="21"/>
          <w:szCs w:val="21"/>
          <w:highlight w:val="none"/>
          <w:u w:val="single"/>
        </w:rPr>
        <w:t xml:space="preserve">执行通用条款。</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（2）因发包人原因未能按合同约定支付合同价款的违约责任：</w:t>
      </w:r>
      <w:r>
        <w:rPr>
          <w:rFonts w:hint="eastAsia" w:ascii="黑体" w:hAnsi="黑体" w:eastAsia="黑体" w:cs="黑体"/>
          <w:color w:val="auto"/>
          <w:sz w:val="21"/>
          <w:szCs w:val="21"/>
          <w:highlight w:val="none"/>
          <w:u w:val="single"/>
        </w:rPr>
        <w:t xml:space="preserve">执行通用条款。</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（3）发包人违反第10.1款〔变更的范围〕第（2）项约定，自行实施被取消的工作或转由他人实施的违约责任：</w:t>
      </w:r>
      <w:r>
        <w:rPr>
          <w:rFonts w:hint="eastAsia" w:ascii="黑体" w:hAnsi="黑体" w:eastAsia="黑体" w:cs="黑体"/>
          <w:color w:val="auto"/>
          <w:sz w:val="21"/>
          <w:szCs w:val="21"/>
          <w:highlight w:val="none"/>
          <w:u w:val="single"/>
        </w:rPr>
        <w:t xml:space="preserve">执行通用条款。</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黑体" w:hAnsi="黑体" w:eastAsia="黑体" w:cs="黑体"/>
          <w:color w:val="auto"/>
          <w:sz w:val="21"/>
          <w:szCs w:val="21"/>
          <w:highlight w:val="none"/>
          <w:u w:val="single"/>
        </w:rPr>
        <w:t xml:space="preserve">执行通用条款。</w:t>
      </w:r>
      <w:r>
        <w:rPr>
          <w:rFonts w:hint="eastAsia" w:ascii="黑体" w:hAnsi="黑体" w:eastAsia="黑体" w:cs="黑体"/>
          <w:color w:val="auto"/>
          <w:sz w:val="21"/>
          <w:szCs w:val="21"/>
          <w:highlight w:val="none"/>
        </w:rPr>
        <w:t xml:space="preserve">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（5）因发包人违反合同约定造成暂停施工的违约责任：</w:t>
      </w:r>
      <w:r>
        <w:rPr>
          <w:rFonts w:hint="eastAsia" w:ascii="黑体" w:hAnsi="黑体" w:eastAsia="黑体" w:cs="黑体"/>
          <w:color w:val="auto"/>
          <w:sz w:val="21"/>
          <w:szCs w:val="21"/>
          <w:highlight w:val="none"/>
          <w:u w:val="single"/>
        </w:rPr>
        <w:t xml:space="preserve"> 执行通用条款。    </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（6）发包人无正当理由没有在约定期限内发出复工指示，导致承包人无法复工的违约责任：</w:t>
      </w:r>
      <w:r>
        <w:rPr>
          <w:rFonts w:hint="eastAsia" w:ascii="黑体" w:hAnsi="黑体" w:eastAsia="黑体" w:cs="黑体"/>
          <w:color w:val="auto"/>
          <w:sz w:val="21"/>
          <w:szCs w:val="21"/>
          <w:highlight w:val="none"/>
          <w:u w:val="single"/>
        </w:rPr>
        <w:t xml:space="preserve">执行通用条款。</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（7）其他：</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16.1.3 因发包人违约解除合同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承包人按16.1.1项〔发包人违约的情形〕约定暂停施工满 </w:t>
      </w:r>
      <w:r>
        <w:rPr>
          <w:rFonts w:hint="eastAsia" w:ascii="黑体" w:hAnsi="黑体" w:eastAsia="黑体" w:cs="黑体"/>
          <w:color w:val="auto"/>
          <w:sz w:val="21"/>
          <w:szCs w:val="21"/>
          <w:highlight w:val="none"/>
          <w:u w:val="single"/>
        </w:rPr>
        <w:t xml:space="preserve">180 </w:t>
      </w:r>
      <w:r>
        <w:rPr>
          <w:rFonts w:hint="eastAsia" w:ascii="黑体" w:hAnsi="黑体" w:eastAsia="黑体" w:cs="黑体"/>
          <w:color w:val="auto"/>
          <w:sz w:val="21"/>
          <w:szCs w:val="21"/>
          <w:highlight w:val="none"/>
        </w:rPr>
        <w:t xml:space="preserve">天后发包人仍不纠正其违约行为并致使合同目的不能实现的，承包人有权解除合同。</w:t>
      </w:r>
      <w:r/>
    </w:p>
    <w:p>
      <w:pPr>
        <w:ind w:firstLine="420"/>
        <w:spacing w:line="312" w:lineRule="auto"/>
        <w:rPr>
          <w:rFonts w:hint="eastAsia" w:ascii="黑体" w:hAnsi="黑体" w:eastAsia="黑体" w:cs="黑体"/>
          <w:color w:val="auto"/>
          <w:sz w:val="21"/>
          <w:szCs w:val="21"/>
          <w:highlight w:val="none"/>
        </w:rPr>
        <w:outlineLvl w:val="0"/>
      </w:pPr>
      <w:r/>
      <w:bookmarkStart w:id="646" w:name="_Toc5816"/>
      <w:r>
        <w:rPr>
          <w:rFonts w:hint="eastAsia" w:ascii="黑体" w:hAnsi="黑体" w:eastAsia="黑体" w:cs="黑体"/>
          <w:color w:val="auto"/>
          <w:sz w:val="21"/>
          <w:szCs w:val="21"/>
          <w:highlight w:val="none"/>
        </w:rPr>
        <w:t xml:space="preserve">16.2 承包人违约</w:t>
      </w:r>
      <w:bookmarkEnd w:id="646"/>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16.2.1 承包人违约的情形</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承包人违约的其他情形：</w:t>
      </w:r>
      <w:r>
        <w:rPr>
          <w:rFonts w:hint="eastAsia" w:ascii="黑体" w:hAnsi="黑体" w:eastAsia="黑体" w:cs="黑体"/>
          <w:color w:val="auto"/>
          <w:sz w:val="21"/>
          <w:szCs w:val="21"/>
          <w:highlight w:val="none"/>
          <w:u w:val="single"/>
          <w:lang w:val="en-US" w:eastAsia="zh-CN"/>
        </w:rPr>
        <w:t xml:space="preserve">详见</w:t>
      </w:r>
      <w:r>
        <w:rPr>
          <w:rFonts w:hint="eastAsia" w:ascii="黑体" w:hAnsi="黑体" w:eastAsia="黑体" w:cs="黑体"/>
          <w:color w:val="auto"/>
          <w:sz w:val="21"/>
          <w:szCs w:val="21"/>
          <w:highlight w:val="none"/>
          <w:u w:val="single"/>
        </w:rPr>
        <w:t xml:space="preserve">通用合同条款</w:t>
      </w:r>
      <w:r>
        <w:rPr>
          <w:rFonts w:hint="eastAsia" w:ascii="黑体" w:hAnsi="黑体" w:eastAsia="黑体" w:cs="黑体"/>
          <w:color w:val="auto"/>
          <w:sz w:val="21"/>
          <w:szCs w:val="21"/>
          <w:highlight w:val="none"/>
          <w:u w:val="single"/>
          <w:lang w:val="en-US" w:eastAsia="zh-CN"/>
        </w:rPr>
        <w:t xml:space="preserve">和专用合同条款</w:t>
      </w:r>
      <w:r>
        <w:rPr>
          <w:rFonts w:hint="eastAsia" w:ascii="黑体" w:hAnsi="黑体" w:eastAsia="黑体" w:cs="黑体"/>
          <w:color w:val="auto"/>
          <w:sz w:val="21"/>
          <w:szCs w:val="21"/>
          <w:highlight w:val="none"/>
          <w:u w:val="singl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16.2.2承包人违约的责任</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（2）承包人违反合同约定采购和使用不合格的材料和工程设备的: 承包人采购的材料设备的品种、规格、型号、质量等级不能通过监理或发包人认可</w:t>
      </w:r>
      <w:r>
        <w:rPr>
          <w:rFonts w:hint="eastAsia" w:ascii="黑体" w:hAnsi="黑体" w:eastAsia="黑体" w:cs="黑体"/>
          <w:color w:val="auto"/>
          <w:sz w:val="21"/>
          <w:szCs w:val="21"/>
          <w:highlight w:val="none"/>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（4）承包人违反材料与设备专用要求的约定，未经批准，私自将已按照合同约定进入施工现场的材料或设备撤离施工现场的，向发包人支付撤离施工现场材料或设备价值双倍的违约金。</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（5）承包人未能按施工进度计划及时完成合同约定的工作，造成工期延误的：按照合同专用条款7.5条执行。</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（7）承包人明确表示或者以其行为表明不履行合同主要义务的：发包人有权单方解除合同并不再对承包人已完工程量进行结算，承包人应承担因此造成的一切损失。</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（8）承包人在中标后，未能按规定的时间办理相关手续、缴纳相关费用，影响办理施工许可证：视为放弃本次中标资格。</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（9）没有合理的原因而未能按期开工：延迟一天承包人向发包人支付违约金2万/天，延迟超过30天，发包方有权单方解除合同。</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（13）承包人未能按照合同约定履行其他义务的：发包人有权单方解除合同并不再对承包人已完工程量进行结算，承包人应承担因此造成的一切损失。</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承包人发生除本项第（7）目约定以外的其他违约情况时，监理人可向承包人发出整改通知，要求其在指定的期限内改正。若不能按期改正，按以上约定执行。</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以上违约已明确责任，但短时间内无法量化违约金的，按实际经济损失赔偿。</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16.2.3 因承包人违约解除合同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关于承包人违约解除合同的特别约定：其他承包人应承担的违约责任按本合同约定执行。</w:t>
      </w:r>
      <w:r/>
    </w:p>
    <w:p>
      <w:pPr>
        <w:ind w:firstLine="420"/>
        <w:spacing w:line="312" w:lineRule="auto"/>
        <w:rPr>
          <w:rFonts w:hint="eastAsia" w:ascii="黑体" w:hAnsi="黑体" w:eastAsia="黑体" w:cs="黑体"/>
          <w:color w:val="auto"/>
          <w:sz w:val="21"/>
          <w:szCs w:val="21"/>
          <w:highlight w:val="none"/>
        </w:rPr>
      </w:pPr>
      <w:r/>
      <w:bookmarkStart w:id="647" w:name="_Toc351203649"/>
      <w:r>
        <w:rPr>
          <w:rFonts w:hint="eastAsia" w:ascii="黑体" w:hAnsi="黑体" w:eastAsia="黑体" w:cs="黑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黑体" w:hAnsi="黑体" w:eastAsia="黑体" w:cs="黑体"/>
          <w:color w:val="auto"/>
          <w:sz w:val="21"/>
          <w:szCs w:val="21"/>
          <w:highlight w:val="none"/>
          <w:u w:val="single"/>
        </w:rPr>
        <w:t xml:space="preserve"> 发包人不支付任何费用</w:t>
      </w:r>
      <w:r>
        <w:rPr>
          <w:rFonts w:hint="eastAsia" w:ascii="黑体" w:hAnsi="黑体" w:eastAsia="黑体" w:cs="黑体"/>
          <w:color w:val="auto"/>
          <w:sz w:val="21"/>
          <w:szCs w:val="21"/>
          <w:highlight w:val="none"/>
        </w:rPr>
        <w:t xml:space="preserve">。</w:t>
      </w:r>
      <w:r/>
    </w:p>
    <w:p>
      <w:pPr>
        <w:spacing w:line="312" w:lineRule="auto"/>
        <w:rPr>
          <w:rFonts w:hint="eastAsia" w:ascii="黑体" w:hAnsi="黑体" w:eastAsia="黑体" w:cs="黑体"/>
          <w:bCs/>
          <w:color w:val="auto"/>
          <w:sz w:val="21"/>
          <w:szCs w:val="21"/>
          <w:highlight w:val="none"/>
        </w:rPr>
        <w:outlineLvl w:val="3"/>
      </w:pPr>
      <w:r>
        <w:rPr>
          <w:rFonts w:hint="eastAsia" w:ascii="黑体" w:hAnsi="黑体" w:eastAsia="黑体" w:cs="黑体"/>
          <w:bCs/>
          <w:color w:val="auto"/>
          <w:sz w:val="21"/>
          <w:szCs w:val="21"/>
          <w:highlight w:val="none"/>
        </w:rPr>
        <w:t xml:space="preserve">17. 不可抗力</w:t>
      </w:r>
      <w:bookmarkEnd w:id="647"/>
      <w:r>
        <w:rPr>
          <w:rFonts w:hint="eastAsia" w:ascii="黑体" w:hAnsi="黑体" w:eastAsia="黑体" w:cs="黑体"/>
          <w:bCs/>
          <w:color w:val="auto"/>
          <w:sz w:val="21"/>
          <w:szCs w:val="21"/>
          <w:highlight w:val="none"/>
        </w:rPr>
        <w:t xml:space="preserve"> </w:t>
      </w:r>
      <w:bookmarkEnd w:id="643"/>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17.1 不可抗力的确认</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除通用合同条款约定的不可抗力事件之外，视为不可抗力的其他情形：</w:t>
      </w:r>
      <w:r>
        <w:rPr>
          <w:rFonts w:hint="eastAsia" w:ascii="黑体" w:hAnsi="黑体" w:eastAsia="黑体" w:cs="黑体"/>
          <w:color w:val="auto"/>
          <w:sz w:val="21"/>
          <w:szCs w:val="21"/>
          <w:highlight w:val="none"/>
          <w:u w:val="single"/>
        </w:rPr>
        <w:t xml:space="preserve">/</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outlineLvl w:val="0"/>
      </w:pPr>
      <w:r/>
      <w:bookmarkStart w:id="648" w:name="_Toc17777"/>
      <w:r>
        <w:rPr>
          <w:rFonts w:hint="eastAsia" w:ascii="黑体" w:hAnsi="黑体" w:eastAsia="黑体" w:cs="黑体"/>
          <w:color w:val="auto"/>
          <w:sz w:val="21"/>
          <w:szCs w:val="21"/>
          <w:highlight w:val="none"/>
        </w:rPr>
        <w:t xml:space="preserve">17.4 因不可抗力解除合同</w:t>
      </w:r>
      <w:bookmarkEnd w:id="648"/>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合同解除后，发包人应在商定或确定发包人应支付款项后</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90</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天内完成款项的支付。</w:t>
      </w:r>
      <w:r/>
    </w:p>
    <w:p>
      <w:pPr>
        <w:spacing w:line="312" w:lineRule="auto"/>
        <w:rPr>
          <w:rFonts w:hint="eastAsia" w:ascii="黑体" w:hAnsi="黑体" w:eastAsia="黑体" w:cs="黑体"/>
          <w:bCs/>
          <w:color w:val="auto"/>
          <w:sz w:val="21"/>
          <w:szCs w:val="21"/>
          <w:highlight w:val="none"/>
        </w:rPr>
        <w:outlineLvl w:val="3"/>
      </w:pPr>
      <w:r/>
      <w:bookmarkStart w:id="649" w:name="_Toc351203650"/>
      <w:r>
        <w:rPr>
          <w:rFonts w:hint="eastAsia" w:ascii="黑体" w:hAnsi="黑体" w:eastAsia="黑体" w:cs="黑体"/>
          <w:bCs/>
          <w:color w:val="auto"/>
          <w:sz w:val="21"/>
          <w:szCs w:val="21"/>
          <w:highlight w:val="none"/>
        </w:rPr>
        <w:t xml:space="preserve">18. 保险</w:t>
      </w:r>
      <w:bookmarkEnd w:id="649"/>
      <w:r/>
      <w:bookmarkEnd w:id="644"/>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18.1 工程保险</w:t>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关于工程保险的特别约定：</w:t>
      </w:r>
      <w:r>
        <w:rPr>
          <w:rFonts w:hint="eastAsia" w:ascii="黑体" w:hAnsi="黑体" w:eastAsia="黑体" w:cs="黑体"/>
          <w:color w:val="auto"/>
          <w:sz w:val="21"/>
          <w:szCs w:val="21"/>
          <w:highlight w:val="none"/>
          <w:u w:val="single"/>
        </w:rPr>
        <w:t xml:space="preserve">根据规定如需投保相应保险的，因投保产生的保险费和其他相关费用由承包人承担，费用已包含在签约合同价中。</w:t>
      </w:r>
      <w:r/>
    </w:p>
    <w:p>
      <w:pPr>
        <w:ind w:firstLine="420"/>
        <w:spacing w:line="312" w:lineRule="auto"/>
        <w:rPr>
          <w:rFonts w:hint="eastAsia" w:ascii="黑体" w:hAnsi="黑体" w:eastAsia="黑体" w:cs="黑体"/>
          <w:color w:val="auto"/>
          <w:sz w:val="21"/>
          <w:szCs w:val="21"/>
          <w:highlight w:val="none"/>
        </w:rPr>
        <w:outlineLvl w:val="0"/>
      </w:pPr>
      <w:r/>
      <w:bookmarkStart w:id="650" w:name="_Toc7865"/>
      <w:r>
        <w:rPr>
          <w:rFonts w:hint="eastAsia" w:ascii="黑体" w:hAnsi="黑体" w:eastAsia="黑体" w:cs="黑体"/>
          <w:color w:val="auto"/>
          <w:sz w:val="21"/>
          <w:szCs w:val="21"/>
          <w:highlight w:val="none"/>
        </w:rPr>
        <w:t xml:space="preserve">18.3 其他保险</w:t>
      </w:r>
      <w:bookmarkEnd w:id="650"/>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关于其他保险的约定：</w:t>
      </w:r>
      <w:r>
        <w:rPr>
          <w:rFonts w:hint="eastAsia" w:ascii="黑体" w:hAnsi="黑体" w:eastAsia="黑体" w:cs="黑体"/>
          <w:color w:val="auto"/>
          <w:sz w:val="21"/>
          <w:szCs w:val="21"/>
          <w:highlight w:val="none"/>
          <w:u w:val="single"/>
        </w:rPr>
        <w:t xml:space="preserve">   承包人应为其施工现场的全部人员办理意外伤害保险并支付保险费，包括其员工及为履行合同聘请的第三方的人员，因投保产生的保险费和其他相关费用由承包人承担，费用已包含在签约合同价中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承包人是否应为其施工设备等办理财产保险：</w:t>
      </w:r>
      <w:r>
        <w:rPr>
          <w:rFonts w:hint="eastAsia" w:ascii="黑体" w:hAnsi="黑体" w:eastAsia="黑体" w:cs="黑体"/>
          <w:color w:val="auto"/>
          <w:sz w:val="21"/>
          <w:szCs w:val="21"/>
          <w:highlight w:val="none"/>
          <w:u w:val="single"/>
        </w:rPr>
        <w:t xml:space="preserve">按通用条款执行</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18.7 通知义务</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关于变更保险合同时的通知义务的约定：</w:t>
      </w:r>
      <w:r>
        <w:rPr>
          <w:rFonts w:hint="eastAsia" w:ascii="黑体" w:hAnsi="黑体" w:eastAsia="黑体" w:cs="黑体"/>
          <w:color w:val="auto"/>
          <w:sz w:val="21"/>
          <w:szCs w:val="21"/>
          <w:highlight w:val="none"/>
          <w:u w:val="single"/>
        </w:rPr>
        <w:t xml:space="preserve">按通用条款执行</w:t>
      </w:r>
      <w:r>
        <w:rPr>
          <w:rFonts w:hint="eastAsia" w:ascii="黑体" w:hAnsi="黑体" w:eastAsia="黑体" w:cs="黑体"/>
          <w:color w:val="auto"/>
          <w:sz w:val="21"/>
          <w:szCs w:val="21"/>
          <w:highlight w:val="none"/>
        </w:rPr>
        <w:t xml:space="preserve">。</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
    </w:p>
    <w:p>
      <w:pPr>
        <w:spacing w:line="312" w:lineRule="auto"/>
        <w:rPr>
          <w:rFonts w:hint="eastAsia" w:ascii="黑体" w:hAnsi="黑体" w:eastAsia="黑体" w:cs="黑体"/>
          <w:bCs/>
          <w:color w:val="auto"/>
          <w:sz w:val="21"/>
          <w:szCs w:val="21"/>
          <w:highlight w:val="none"/>
        </w:rPr>
        <w:outlineLvl w:val="3"/>
      </w:pPr>
      <w:r/>
      <w:bookmarkStart w:id="651" w:name="_Toc351203651"/>
      <w:r>
        <w:rPr>
          <w:rFonts w:hint="eastAsia" w:ascii="黑体" w:hAnsi="黑体" w:eastAsia="黑体" w:cs="黑体"/>
          <w:bCs/>
          <w:color w:val="auto"/>
          <w:sz w:val="21"/>
          <w:szCs w:val="21"/>
          <w:highlight w:val="none"/>
        </w:rPr>
        <w:t xml:space="preserve">20. 争议解决</w:t>
      </w:r>
      <w:bookmarkEnd w:id="651"/>
      <w:r/>
      <w:bookmarkEnd w:id="630"/>
      <w:r/>
      <w:bookmarkEnd w:id="631"/>
      <w:r/>
      <w:r/>
    </w:p>
    <w:p>
      <w:pPr>
        <w:ind w:firstLine="420"/>
        <w:spacing w:line="312" w:lineRule="auto"/>
        <w:rPr>
          <w:rFonts w:hint="eastAsia" w:ascii="黑体" w:hAnsi="黑体" w:eastAsia="黑体" w:cs="黑体"/>
          <w:color w:val="auto"/>
          <w:sz w:val="21"/>
          <w:szCs w:val="21"/>
          <w:highlight w:val="none"/>
        </w:rPr>
        <w:outlineLvl w:val="0"/>
      </w:pPr>
      <w:r/>
      <w:bookmarkStart w:id="652" w:name="_Toc22910"/>
      <w:r>
        <w:rPr>
          <w:rFonts w:hint="eastAsia" w:ascii="黑体" w:hAnsi="黑体" w:eastAsia="黑体" w:cs="黑体"/>
          <w:color w:val="auto"/>
          <w:sz w:val="21"/>
          <w:szCs w:val="21"/>
          <w:highlight w:val="none"/>
        </w:rPr>
        <w:t xml:space="preserve">20.3 争</w:t>
      </w:r>
      <w:bookmarkEnd w:id="632"/>
      <w:r>
        <w:rPr>
          <w:rFonts w:hint="eastAsia" w:ascii="黑体" w:hAnsi="黑体" w:eastAsia="黑体" w:cs="黑体"/>
          <w:color w:val="auto"/>
          <w:sz w:val="21"/>
          <w:szCs w:val="21"/>
          <w:highlight w:val="none"/>
        </w:rPr>
        <w:t xml:space="preserve">议评审</w:t>
      </w:r>
      <w:bookmarkEnd w:id="652"/>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合同当事人是否同意将工程争议提交争议评审小组决定：</w:t>
      </w:r>
      <w:r>
        <w:rPr>
          <w:rFonts w:hint="eastAsia" w:ascii="黑体" w:hAnsi="黑体" w:eastAsia="黑体" w:cs="黑体"/>
          <w:color w:val="auto"/>
          <w:sz w:val="21"/>
          <w:szCs w:val="21"/>
          <w:highlight w:val="none"/>
          <w:u w:val="single"/>
        </w:rPr>
        <w:t xml:space="preserve">不同意 </w:t>
      </w:r>
      <w:r>
        <w:rPr>
          <w:rFonts w:hint="eastAsia" w:ascii="黑体" w:hAnsi="黑体" w:eastAsia="黑体" w:cs="黑体"/>
          <w:color w:val="auto"/>
          <w:sz w:val="21"/>
          <w:szCs w:val="21"/>
          <w:highlight w:val="none"/>
        </w:rPr>
        <w:t xml:space="preserve">。  </w:t>
      </w:r>
      <w:r/>
    </w:p>
    <w:p>
      <w:pPr>
        <w:ind w:firstLine="420"/>
        <w:spacing w:line="312" w:lineRule="auto"/>
        <w:rPr>
          <w:rFonts w:hint="eastAsia" w:ascii="黑体" w:hAnsi="黑体" w:eastAsia="黑体" w:cs="黑体"/>
          <w:color w:val="auto"/>
          <w:sz w:val="21"/>
          <w:szCs w:val="21"/>
          <w:highlight w:val="none"/>
        </w:rPr>
        <w:outlineLvl w:val="0"/>
      </w:pPr>
      <w:r/>
      <w:bookmarkStart w:id="653" w:name="_Toc12424"/>
      <w:r>
        <w:rPr>
          <w:rFonts w:hint="eastAsia" w:ascii="黑体" w:hAnsi="黑体" w:eastAsia="黑体" w:cs="黑体"/>
          <w:color w:val="auto"/>
          <w:sz w:val="21"/>
          <w:szCs w:val="21"/>
          <w:highlight w:val="none"/>
        </w:rPr>
        <w:t xml:space="preserve">20.3.1 争议评审小组的确定</w:t>
      </w:r>
      <w:bookmarkEnd w:id="653"/>
      <w:r/>
      <w:r/>
    </w:p>
    <w:p>
      <w:pPr>
        <w:ind w:firstLine="420"/>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争议评审小组成员的确定：</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选定争议评审员的期限：</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争议评审小组成员的报酬承担方式：</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其他事项的约定：</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outlineLvl w:val="0"/>
      </w:pPr>
      <w:r/>
      <w:bookmarkStart w:id="654" w:name="_Toc17359"/>
      <w:r>
        <w:rPr>
          <w:rFonts w:hint="eastAsia" w:ascii="黑体" w:hAnsi="黑体" w:eastAsia="黑体" w:cs="黑体"/>
          <w:color w:val="auto"/>
          <w:sz w:val="21"/>
          <w:szCs w:val="21"/>
          <w:highlight w:val="none"/>
        </w:rPr>
        <w:t xml:space="preserve">20.3.2 争议评审小组的决定</w:t>
      </w:r>
      <w:bookmarkEnd w:id="654"/>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合同当事人关于本项的约定：</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outlineLvl w:val="0"/>
      </w:pPr>
      <w:r/>
      <w:bookmarkStart w:id="655" w:name="_Toc30073"/>
      <w:r>
        <w:rPr>
          <w:rFonts w:hint="eastAsia" w:ascii="黑体" w:hAnsi="黑体" w:eastAsia="黑体" w:cs="黑体"/>
          <w:color w:val="auto"/>
          <w:sz w:val="21"/>
          <w:szCs w:val="21"/>
          <w:highlight w:val="none"/>
        </w:rPr>
        <w:t xml:space="preserve">20.4仲裁或诉讼</w:t>
      </w:r>
      <w:bookmarkEnd w:id="633"/>
      <w:r/>
      <w:bookmarkEnd w:id="655"/>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因合同及合同有关事项发生的争议，按下列第</w:t>
      </w:r>
      <w:r>
        <w:rPr>
          <w:rFonts w:hint="eastAsia" w:ascii="黑体" w:hAnsi="黑体" w:eastAsia="黑体" w:cs="黑体"/>
          <w:color w:val="auto"/>
          <w:sz w:val="21"/>
          <w:szCs w:val="21"/>
          <w:highlight w:val="none"/>
          <w:u w:val="single"/>
        </w:rPr>
        <w:t xml:space="preserve"> （2） </w:t>
      </w:r>
      <w:r>
        <w:rPr>
          <w:rFonts w:hint="eastAsia" w:ascii="黑体" w:hAnsi="黑体" w:eastAsia="黑体" w:cs="黑体"/>
          <w:color w:val="auto"/>
          <w:sz w:val="21"/>
          <w:szCs w:val="21"/>
          <w:highlight w:val="none"/>
        </w:rPr>
        <w:t xml:space="preserve">种方式解决：</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（1）向</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仲裁委员会申请仲裁；</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（2）向</w:t>
      </w:r>
      <w:r>
        <w:rPr>
          <w:rFonts w:hint="eastAsia" w:ascii="黑体" w:hAnsi="黑体" w:eastAsia="黑体" w:cs="黑体"/>
          <w:color w:val="auto"/>
          <w:sz w:val="21"/>
          <w:szCs w:val="21"/>
          <w:highlight w:val="none"/>
          <w:u w:val="single"/>
        </w:rPr>
        <w:t xml:space="preserve">     工程所在地   </w:t>
      </w:r>
      <w:r>
        <w:rPr>
          <w:rFonts w:hint="eastAsia" w:ascii="黑体" w:hAnsi="黑体" w:eastAsia="黑体" w:cs="黑体"/>
          <w:color w:val="auto"/>
          <w:sz w:val="21"/>
          <w:szCs w:val="21"/>
          <w:highlight w:val="none"/>
        </w:rPr>
        <w:t xml:space="preserve">人民法院起诉。</w:t>
      </w:r>
      <w:bookmarkEnd w:id="634"/>
      <w:r/>
      <w:bookmarkEnd w:id="635"/>
      <w:r/>
      <w:bookmarkEnd w:id="636"/>
      <w:r/>
      <w:bookmarkEnd w:id="637"/>
      <w:r/>
      <w:bookmarkEnd w:id="638"/>
      <w:r/>
      <w:bookmarkEnd w:id="639"/>
      <w:r/>
      <w:r/>
    </w:p>
    <w:p>
      <w:pPr>
        <w:spacing w:line="312" w:lineRule="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21、补充条款</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本工程是</w:t>
      </w:r>
      <w:r>
        <w:rPr>
          <w:rFonts w:hint="eastAsia" w:ascii="黑体" w:hAnsi="黑体" w:eastAsia="黑体" w:cs="黑体"/>
          <w:color w:val="auto"/>
          <w:sz w:val="21"/>
          <w:szCs w:val="21"/>
          <w:highlight w:val="none"/>
          <w:u w:val="single"/>
          <w:lang w:val="en-US" w:eastAsia="zh-CN"/>
        </w:rPr>
        <w:t xml:space="preserve">发包人</w:t>
      </w:r>
      <w:r>
        <w:rPr>
          <w:rFonts w:hint="eastAsia" w:ascii="黑体" w:hAnsi="黑体" w:eastAsia="黑体" w:cs="黑体"/>
          <w:color w:val="auto"/>
          <w:sz w:val="21"/>
          <w:szCs w:val="21"/>
          <w:highlight w:val="none"/>
          <w:u w:val="single"/>
        </w:rPr>
        <w:t xml:space="preserve">重点工程，工期紧任务重，</w:t>
      </w:r>
      <w:r>
        <w:rPr>
          <w:rFonts w:hint="eastAsia" w:ascii="黑体" w:hAnsi="黑体" w:eastAsia="黑体" w:cs="黑体"/>
          <w:color w:val="auto"/>
          <w:sz w:val="21"/>
          <w:szCs w:val="21"/>
          <w:highlight w:val="none"/>
          <w:u w:val="single"/>
          <w:lang w:val="en-US" w:eastAsia="zh-CN"/>
        </w:rPr>
        <w:t xml:space="preserve">承包方在中标结果公告</w:t>
      </w:r>
      <w:r>
        <w:rPr>
          <w:rFonts w:hint="eastAsia" w:ascii="黑体" w:hAnsi="黑体" w:eastAsia="黑体" w:cs="黑体"/>
          <w:color w:val="auto"/>
          <w:sz w:val="21"/>
          <w:szCs w:val="21"/>
          <w:highlight w:val="none"/>
          <w:u w:val="single"/>
        </w:rPr>
        <w:t xml:space="preserve">立即签订合同及承诺书后进场施工（5 日内完成），愈期进场按照 20000元/天交纳违约金。</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（1）承包人不得拖欠工人工资，如发生因拖欠工资上访、闹事等情况，发包人有权采取一切必要的措施来保证自身权益，承包人不得提出异议。</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w:t>
      </w:r>
      <w:r>
        <w:rPr>
          <w:rFonts w:hint="eastAsia" w:ascii="黑体" w:hAnsi="黑体" w:eastAsia="黑体" w:cs="黑体"/>
          <w:color w:val="auto"/>
          <w:sz w:val="21"/>
          <w:szCs w:val="21"/>
          <w:highlight w:val="none"/>
          <w:u w:val="single"/>
          <w:lang w:eastAsia="zh-CN"/>
        </w:rPr>
        <w:t xml:space="preserve">本工程的下浮比率为（1-中标价/最高投标限价）*100%=    %，新增工程项及工程结算时需下浮的部分按此比率下浮</w:t>
      </w:r>
      <w:r>
        <w:rPr>
          <w:rFonts w:hint="eastAsia" w:ascii="黑体" w:hAnsi="黑体" w:eastAsia="黑体" w:cs="黑体"/>
          <w:color w:val="auto"/>
          <w:sz w:val="21"/>
          <w:szCs w:val="21"/>
          <w:highlight w:val="none"/>
        </w:rPr>
        <w:t xml:space="preserve">。</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（3）施工过程中，承包人无条件配合发包人处理周围相关事宜及相关分包工程的施工。</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承包人必须遵守发包人现场的管理制度和规定，服从发包人及监理人的管理和监督检查。承包人不得对发包人的工作人员有请吃、送礼行为。如有违反此规定除按有关法律规定送交有关国家机关处理外，发包人将按下列标准扣减中标人应得的工程款。工程款竣工结算后被发现的，发包人有权向承包人按下列标准的金额索赔，这种索赔将是无时限的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（5）施工过程中，承包人如违反现场管理制度和规定，发包人有权对承包人进行经济处罚，罚金必须3日内缴纳，若未按期缴纳，发包人有权暂缓支付工程款直至缴纳罚金。</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（6）工程进度款与工程质量挂钩，承包人施工的工程质量若达不到验收规范标准，发包人有权暂缓支付该期工程款，直至符合要求。</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(7)如承包人未按设计图纸、国家规范及合同要求施工，发包人可勒令承包人暂停施工，待承包人整改完毕并报经监理人、发包人验收同意后方可复工，由此造成的损失由承包人负责。</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如承包人拒绝执行发包人的工作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(11)保修期内因承包人原因造成的工程质量问题给发包人、业主或他人造成财产损失和人身伤害的，由承包人承担一切责任。</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(12)监理人及发包人有权对承包人的违章现象与安全文明情况进行检查并提出整改意见，承包人接到通知后在规定时间内未采取相应措施进行整改的，发包人将按照现场管理规定进行处罚。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(13)因承包人原因造成工期延误而产生的赔付费用由承包人承担。</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(14)本合同履行期间，承包人与第三方产生的债权、债务均由承包人自行解决，与发包人无关。</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(15)本工程合同备案手续由承包人办理，发包人配合。</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(16)中标后被发现有出卖资质、非法挂靠行为的承包人,发包人有权单方解除施工合同，清退施工人员并按合同总价的5%收取违约金，在这种情况下，承包人必须在10日内退场，并且不得提出任何对发包人不利的要求。</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(17)开工前承包方对施工图纸认真核查，积极配合发包方组织的施工图纸交底及会审工作，指出图纸上任何不符施工常规、惯例或规范之处，以及设计图纸中错、漏、碰问题，并做好各系统管线的综合平衡工作。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(18)承包方必须配备专职的预结算人员满足发包方的工作。每月二十五日向建设单位、发包方书面报送《下月施工计划》和《本月完成工程月报》，下月施工计划必须具体、详细，包括人力安排、增加人力的来源、工程量等。如不按时、按要求报送，发包方有权不予支付进度款或支付时间顺延。</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(19)当工程到达某一付款节点，而发包人资金尚未拨付下来，承包人在施工期间保证不得以资金等任何原因为借口，拖延工期或擅自停工，否则，发包人将处5000元/天罚款。</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(20)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建设单位、发包方及监理现场总协调作出的决定。</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(21)在施工过程中必须配合建设单位、发包方工期要求并按发包方指令时限完成。</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(22)对3个工作日前产生的工程变更和经济签证，承包人未及时报送监理人和发包人的，将不予认可。</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(23)本工程有深基坑工程，且周边有相邻建筑物，房屋安全鉴定由承包人负责。本项目有装配式建筑，涉及到装配式建筑的深化设计、PC构件生产加工、材料检测及实施技术方案由承包人负责。</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(24）本工程工期紧、任务重，投标人务必充分考虑施工人员的组织工作，并在施工组织设计中体现出确保人员及工期的措施方案。中标后不得以市场工人短缺、赶工等借口拖延工期或申请追加合同金额，农忙季节不得停工 ，否则视为中标人违约。</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(25)地方关系、道路施工涉及的交通协调费投标人自行考虑，就此项招标人不支付任何费用。</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(26) 施工期间，承包人不得辱骂、殴打、威胁发包人、监理人及跟踪审计人员，如若发生将支付发包人1万元/次的违约金，停止支付工程款，并追究其法律责任，直至承包人向发包人保证此类事件不再发生。</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(27)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(28)承包人必须积极响应政府部门及发包人组织开展的扫黑除恶专项斗争活动及工地党建工作，承包人按照发包人指示要求制作相关宣传条幅、展板、告示牌、资料台账等，投标人自行考虑，就此项发包人不支付任何费用。</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(29)承包人作为有经验的施工单位，应充分考虑项目多余土方工程量及场地标高情况，根据项目实际情况进行土方的留置和外运，发包人不再支付外购土方的费用。</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(30)承包人未经发包人同意不得私自减少施工内容，如若发生将支付发包人10万元/次的违约金；承包人不得以发包人提出的合理要求不在工程量清单范围内而拒绝实施，如若发生将支付发包人10万元/次的违约金。</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(31)投标人选用的材料应参照或优于以下品牌表：</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（1）钢筋：鞍钢、莱钢、宝钢、徐钢及以上品牌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（2）混凝土：中联、诚意、铸本</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（3）防水材料（聚氨酯、SBS、自粘式）：东方雨虹、禹王、卧牛山及以上品牌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（4）塑钢型材：海螺、实德、中财及以上品牌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（5）内外墙涂料（真石漆）：多乐士、嘉宝莉、三棵树、立邦及以上品牌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（6）瓷砖：东鹏、冠军、新中源、金舵及以上品牌   </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（7）给水管和排水管、管件（含空调冷凝水）：中财、金牛、公元、联塑及以上品牌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（8）镀锌管：徐州光环、靖江凯靖、浙江金洲、天津友发及以上品牌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（9）卫生洁具、水龙头：金牌、箭牌、鹰牌、恒洁及以上品牌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（9）水泵（生活、污水、消防）：凯泉、熊猫、东方、江南及以上品牌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（10）阀门：江苏竹箦、埃美柯、天津塘沽、中核苏阀及以上品牌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（11）电线电缆：宝胜、江南、上上、远东及以上品牌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（12）开关、面板、插座：正泰、德力西、公牛、西蒙及以上品牌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（13）电气元件：正泰、德力西、常熟开关、西蒙及以上品牌</w:t>
      </w:r>
      <w:r/>
    </w:p>
    <w:p>
      <w:pPr>
        <w:ind w:firstLine="42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（14）灯具：飞利浦、欧普、佛山及以上品牌</w:t>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备注：</w:t>
      </w:r>
      <w:r/>
    </w:p>
    <w:p>
      <w:pPr>
        <w:ind w:firstLine="21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承包人所用甲控材料必须从生产厂家或厂家办事处购买（如在工程所在地没有生产厂家或厂家办事处的应从甲方认可的厂家当地授权经销商处购买），材料进场前向发包人提供材料购货合同原件。承包人甲控材料进场前需向发包方提供购买材料支付给生产厂家或厂家办事处的材料款付款证明，（如从厂家当地授权经销商处购买的材料可提供向授权经销商的材料付款证明，还应提供相应授权资料）。</w:t>
      </w:r>
      <w:r/>
    </w:p>
    <w:p>
      <w:pPr>
        <w:ind w:firstLine="21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（2）甲控材料进场时需向发包方及监理提供厂家发货单、物流单、检测报告等资料。</w:t>
      </w:r>
      <w:r/>
    </w:p>
    <w:p>
      <w:pPr>
        <w:ind w:firstLine="21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发包人对甲控材料以上资料检验通过后，承包人方可将甲控材料用于施工。未经验收通过擅自施工的，承包人应向发包人支付甲控材料总价款10 %的违约金，同时承包人应对未能检验通过的材料应予以无条件更换，并提供上述资料供发包人检验，因此产生的一切损失和费用由承包人承担，工期不予顺延。</w:t>
      </w:r>
      <w:r/>
    </w:p>
    <w:p>
      <w:pPr>
        <w:ind w:firstLine="210"/>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（4）承包人选用及使用的材料全部按国标执行，并承担产品质量责任，不得因发包人对材料所作出的要求而免责。</w:t>
      </w:r>
      <w:r/>
    </w:p>
    <w:p>
      <w:pPr>
        <w:spacing w:line="312"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（5）承包人选用上述品牌以外的材料的，应经发包人书面同意。未经发包人书面同意，选择上述品牌以外的材料的，承包人应无条件更换并承担因此产生的一切费用。</w:t>
      </w:r>
      <w:r/>
    </w:p>
    <w:p>
      <w:pPr>
        <w:ind w:firstLine="420"/>
        <w:spacing w:line="312" w:lineRule="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 xml:space="preserve">22、技术要求：</w:t>
      </w:r>
      <w:r/>
    </w:p>
    <w:p>
      <w:pPr>
        <w:spacing w:line="312"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t xml:space="preserve">执行国家、江苏省及徐州市颁发的现行行业规范、相关标准及相关文件。 </w:t>
      </w:r>
      <w:r/>
    </w:p>
    <w:p>
      <w:pPr>
        <w:keepLines w:val="0"/>
        <w:keepNext w:val="0"/>
        <w:pageBreakBefore w:val="0"/>
        <w:spacing w:line="400" w:lineRule="exact"/>
        <w:widowControl w:val="off"/>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附件</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协议书附件：</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附件1：承包人承揽工程项目一览表</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专用合同条款附件：</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附件2：发包人供应材料设备一览表</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附件3：工程质量保修书</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附件4：主要建设工程文件目录</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附件5：承包人用于本工程施工的机械设备表</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附件6：承包人主要施工管理人员表</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附件7：分包人主要施工管理人员表</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附件8：履约担保格式</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附件9：预付款担保格式</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附件10：支付担保格式</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附件11：暂估价一览表</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 xml:space="preserve">附件12：廉洁从业承诺书</w:t>
      </w:r>
      <w:r/>
    </w:p>
    <w:p>
      <w:pPr>
        <w:keepLines w:val="0"/>
        <w:keepNext w:val="0"/>
        <w:pageBreakBefore w:val="0"/>
        <w:spacing w:line="40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lang w:val="en-US" w:eastAsia="zh-CN"/>
        </w:rPr>
        <w:t xml:space="preserve">附件13：安全生产协议</w:t>
      </w:r>
      <w:r/>
    </w:p>
    <w:p>
      <w:pPr>
        <w:keepLines w:val="0"/>
        <w:keepNext w:val="0"/>
        <w:pageBreakBefore w:val="0"/>
        <w:spacing w:line="400" w:lineRule="exact"/>
        <w:widowControl w:val="off"/>
        <w:rPr>
          <w:rFonts w:hint="eastAsia" w:ascii="黑体" w:hAnsi="黑体" w:eastAsia="黑体" w:cs="黑体"/>
          <w:color w:val="auto"/>
          <w:szCs w:val="21"/>
          <w:highlight w:val="none"/>
        </w:rPr>
        <w:sectPr>
          <w:footerReference w:type="default" r:id="rId20"/>
          <w:footerReference w:type="first" r:id="rId21"/>
          <w:footnotePr/>
          <w:endnotePr/>
          <w:type w:val="nextPage"/>
          <w:pgSz w:w="11906" w:h="16838" w:orient="portrait"/>
          <w:pgMar w:top="1418" w:right="1531" w:bottom="1418" w:left="1554" w:header="851" w:footer="992" w:gutter="0"/>
          <w:cols w:num="1" w:sep="0" w:space="720" w:equalWidth="1"/>
          <w:docGrid w:linePitch="360"/>
          <w:titlePg/>
        </w:sectPr>
      </w:pPr>
      <w:r/>
      <w:bookmarkStart w:id="724" w:name="_GoBack"/>
      <w:r/>
      <w:bookmarkEnd w:id="724"/>
      <w:r/>
      <w:r/>
    </w:p>
    <w:p>
      <w:pPr>
        <w:spacing w:before="156" w:after="156"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附件1：</w:t>
      </w:r>
      <w:r/>
    </w:p>
    <w:p>
      <w:pPr>
        <w:jc w:val="center"/>
        <w:spacing w:before="156" w:after="156"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承包人承揽工程项目一览表</w:t>
      </w:r>
      <w:r/>
    </w:p>
    <w:tbl>
      <w:tblPr>
        <w:tblStyle w:val="1167"/>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trHeight w:val="567"/>
        </w:trPr>
        <w:tc>
          <w:tcPr>
            <w:tcW w:w="127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8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41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56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212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bl>
    <w:p>
      <w:pPr>
        <w:spacing w:line="440" w:lineRule="exact"/>
        <w:rPr>
          <w:rFonts w:hint="eastAsia" w:ascii="黑体" w:hAnsi="黑体" w:eastAsia="黑体" w:cs="黑体"/>
          <w:b/>
          <w:color w:val="auto"/>
          <w:sz w:val="21"/>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ascii="黑体" w:hAnsi="黑体" w:eastAsia="黑体" w:cs="黑体"/>
          <w:b/>
          <w:color w:val="auto"/>
          <w:sz w:val="21"/>
          <w:szCs w:val="21"/>
          <w:highlight w:val="none"/>
        </w:rPr>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w:t>
      </w:r>
      <w:bookmarkStart w:id="656" w:name="_Toc296944564"/>
      <w:r/>
      <w:bookmarkStart w:id="657" w:name="_Toc296503225"/>
      <w:r/>
      <w:bookmarkStart w:id="658" w:name="_Toc296346726"/>
      <w:r/>
      <w:bookmarkStart w:id="659" w:name="_Toc296891053"/>
      <w:r/>
      <w:bookmarkStart w:id="660" w:name="_Toc267261692"/>
      <w:r/>
      <w:bookmarkStart w:id="661" w:name="_Toc296347224"/>
      <w:r/>
      <w:bookmarkStart w:id="662" w:name="_Toc296891265"/>
      <w:r>
        <w:rPr>
          <w:rFonts w:hint="eastAsia" w:ascii="黑体" w:hAnsi="黑体" w:eastAsia="黑体" w:cs="黑体"/>
          <w:color w:val="auto"/>
          <w:sz w:val="21"/>
          <w:szCs w:val="21"/>
          <w:highlight w:val="none"/>
        </w:rPr>
        <w:t xml:space="preserve">件2：</w:t>
      </w:r>
      <w:bookmarkEnd w:id="656"/>
      <w:r/>
      <w:bookmarkEnd w:id="657"/>
      <w:r/>
      <w:bookmarkEnd w:id="658"/>
      <w:r/>
      <w:bookmarkEnd w:id="659"/>
      <w:r/>
      <w:bookmarkEnd w:id="660"/>
      <w:r/>
      <w:bookmarkEnd w:id="661"/>
      <w:r/>
      <w:bookmarkEnd w:id="662"/>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发包人供应材料设备一览表</w:t>
      </w:r>
      <w:r/>
    </w:p>
    <w:tbl>
      <w:tblPr>
        <w:tblStyle w:val="11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材料、</w:t>
            </w:r>
            <w:r/>
          </w:p>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单价（元）</w:t>
            </w:r>
            <w:r/>
          </w:p>
        </w:tc>
        <w:tc>
          <w:tcPr>
            <w:tcBorders>
              <w:top w:val="single" w:color="auto" w:sz="12" w:space="0"/>
              <w:bottom w:val="single" w:color="auto" w:sz="6" w:space="0"/>
            </w:tcBorders>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4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4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9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40"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44"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7"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92" w:type="dxa"/>
            <w:vAlign w:val="center"/>
            <w:textDirection w:val="lrTb"/>
            <w:noWrap w:val="false"/>
          </w:tcPr>
          <w:p>
            <w:pPr>
              <w:jc w:val="cente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bl>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40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w:t>
      </w:r>
      <w:bookmarkStart w:id="663" w:name="_Toc296503226"/>
      <w:r/>
      <w:bookmarkStart w:id="664" w:name="_Toc296346727"/>
      <w:r/>
      <w:bookmarkStart w:id="665" w:name="_Toc296347225"/>
      <w:r/>
      <w:bookmarkStart w:id="666" w:name="_Toc296891266"/>
      <w:r/>
      <w:bookmarkStart w:id="667" w:name="_Toc267261693"/>
      <w:r/>
      <w:bookmarkStart w:id="668" w:name="_Toc296944565"/>
      <w:r/>
      <w:bookmarkStart w:id="669" w:name="_Toc296891054"/>
      <w:r>
        <w:rPr>
          <w:rFonts w:hint="eastAsia" w:ascii="黑体" w:hAnsi="黑体" w:eastAsia="黑体" w:cs="黑体"/>
          <w:color w:val="auto"/>
          <w:sz w:val="21"/>
          <w:szCs w:val="21"/>
          <w:highlight w:val="none"/>
        </w:rPr>
        <w:t xml:space="preserve">件3：</w:t>
      </w:r>
      <w:bookmarkEnd w:id="663"/>
      <w:r/>
      <w:bookmarkEnd w:id="664"/>
      <w:r/>
      <w:bookmarkEnd w:id="665"/>
      <w:r/>
      <w:bookmarkEnd w:id="666"/>
      <w:r/>
      <w:bookmarkEnd w:id="667"/>
      <w:r/>
      <w:bookmarkEnd w:id="668"/>
      <w:r/>
      <w:bookmarkEnd w:id="669"/>
      <w:r>
        <w:rPr>
          <w:rFonts w:hint="eastAsia" w:ascii="黑体" w:hAnsi="黑体" w:eastAsia="黑体" w:cs="黑体"/>
          <w:color w:val="auto"/>
          <w:sz w:val="21"/>
          <w:szCs w:val="21"/>
          <w:highlight w:val="none"/>
        </w:rPr>
        <w:t xml:space="preserve">   </w:t>
      </w:r>
      <w:r/>
    </w:p>
    <w:p>
      <w:pPr>
        <w:jc w:val="center"/>
        <w:spacing w:before="120" w:after="120" w:line="40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工程质量保修书</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发包人（全称）：</w:t>
      </w:r>
      <w:r>
        <w:rPr>
          <w:rFonts w:hint="eastAsia" w:ascii="黑体" w:hAnsi="黑体" w:eastAsia="黑体" w:cs="黑体"/>
          <w:color w:val="auto"/>
          <w:sz w:val="21"/>
          <w:szCs w:val="21"/>
          <w:highlight w:val="none"/>
          <w:u w:val="single"/>
        </w:rPr>
        <w:t xml:space="preserve">淮海战役烈士纪念塔管理中心    </w:t>
      </w:r>
      <w:r>
        <w:rPr>
          <w:rFonts w:hint="eastAsia" w:ascii="黑体" w:hAnsi="黑体" w:eastAsia="黑体" w:cs="黑体"/>
          <w:color w:val="auto"/>
          <w:sz w:val="21"/>
          <w:szCs w:val="21"/>
          <w:highlight w:val="none"/>
        </w:rPr>
        <w:t xml:space="preserve"> </w:t>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承包人（全称）：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w:t>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发包人和承包人根据《中华人民共和国建筑法》和《建设工程质量管理条例》，经协商一致就</w:t>
      </w:r>
      <w:r>
        <w:rPr>
          <w:rFonts w:hint="eastAsia" w:ascii="黑体" w:hAnsi="黑体" w:eastAsia="黑体" w:cs="黑体"/>
          <w:color w:val="auto"/>
          <w:sz w:val="21"/>
          <w:szCs w:val="21"/>
          <w:highlight w:val="none"/>
          <w:u w:val="single"/>
          <w:lang w:eastAsia="zh-CN"/>
        </w:rPr>
        <w:t xml:space="preserve">徐州国防教育馆改造提升项目</w:t>
      </w:r>
      <w:r>
        <w:rPr>
          <w:rFonts w:hint="eastAsia" w:ascii="黑体" w:hAnsi="黑体" w:eastAsia="黑体" w:cs="黑体"/>
          <w:color w:val="auto"/>
          <w:sz w:val="21"/>
          <w:szCs w:val="21"/>
          <w:highlight w:val="none"/>
        </w:rPr>
        <w:t xml:space="preserve">签订工程质量保修书。</w:t>
      </w:r>
      <w:r/>
    </w:p>
    <w:p>
      <w:pPr>
        <w:keepLines w:val="0"/>
        <w:keepNext w:val="0"/>
        <w:pageBreakBefore w:val="0"/>
        <w:spacing w:line="312" w:lineRule="auto"/>
        <w:widowControl w:val="off"/>
        <w:rPr>
          <w:rFonts w:hint="eastAsia" w:ascii="黑体" w:hAnsi="黑体" w:eastAsia="黑体" w:cs="黑体"/>
          <w:color w:val="auto"/>
          <w:sz w:val="21"/>
          <w:szCs w:val="21"/>
          <w:highlight w:val="none"/>
        </w:rPr>
        <w:outlineLvl w:val="0"/>
      </w:pPr>
      <w:r>
        <w:rPr>
          <w:rFonts w:hint="eastAsia" w:ascii="黑体" w:hAnsi="黑体" w:eastAsia="黑体" w:cs="黑体"/>
          <w:color w:val="auto"/>
          <w:sz w:val="21"/>
          <w:szCs w:val="21"/>
          <w:highlight w:val="none"/>
        </w:rPr>
        <w:t xml:space="preserve">　　</w:t>
      </w:r>
      <w:bookmarkStart w:id="670" w:name="_Toc16362"/>
      <w:r>
        <w:rPr>
          <w:rFonts w:hint="eastAsia" w:ascii="黑体" w:hAnsi="黑体" w:eastAsia="黑体" w:cs="黑体"/>
          <w:color w:val="auto"/>
          <w:sz w:val="21"/>
          <w:szCs w:val="21"/>
          <w:highlight w:val="none"/>
        </w:rPr>
        <w:t xml:space="preserve">一、工程质量保修范围和内容</w:t>
      </w:r>
      <w:bookmarkEnd w:id="670"/>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承包人在质量保修期内，按照有关法律规定和合同约定，承担工程质量保修责任。</w:t>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b/>
          <w:bCs/>
          <w:color w:val="auto"/>
          <w:sz w:val="21"/>
          <w:szCs w:val="21"/>
          <w:highlight w:val="none"/>
          <w:u w:val="single"/>
        </w:rPr>
        <w:t xml:space="preserve">施工图设计及变更范围内全部内容</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w:t>
      </w:r>
      <w:r/>
    </w:p>
    <w:p>
      <w:pPr>
        <w:keepLines w:val="0"/>
        <w:keepNext w:val="0"/>
        <w:pageBreakBefore w:val="0"/>
        <w:spacing w:line="312" w:lineRule="auto"/>
        <w:widowControl w:val="off"/>
        <w:rPr>
          <w:rFonts w:hint="eastAsia" w:ascii="黑体" w:hAnsi="黑体" w:eastAsia="黑体" w:cs="黑体"/>
          <w:color w:val="auto"/>
          <w:sz w:val="21"/>
          <w:szCs w:val="21"/>
          <w:highlight w:val="none"/>
        </w:rPr>
        <w:outlineLvl w:val="0"/>
      </w:pPr>
      <w:r>
        <w:rPr>
          <w:rFonts w:hint="eastAsia" w:ascii="黑体" w:hAnsi="黑体" w:eastAsia="黑体" w:cs="黑体"/>
          <w:b/>
          <w:color w:val="auto"/>
          <w:sz w:val="21"/>
          <w:szCs w:val="21"/>
          <w:highlight w:val="none"/>
        </w:rPr>
        <w:t xml:space="preserve">　　</w:t>
      </w:r>
      <w:bookmarkStart w:id="671" w:name="_Toc7286"/>
      <w:r>
        <w:rPr>
          <w:rFonts w:hint="eastAsia" w:ascii="黑体" w:hAnsi="黑体" w:eastAsia="黑体" w:cs="黑体"/>
          <w:color w:val="auto"/>
          <w:sz w:val="21"/>
          <w:szCs w:val="21"/>
          <w:highlight w:val="none"/>
        </w:rPr>
        <w:t xml:space="preserve">二、质量保修期</w:t>
      </w:r>
      <w:bookmarkEnd w:id="671"/>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根据《建设工程质量管理条例》及有关规定，工程的质量保修期如下：</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1.地基基础工程和主体结构工程为</w:t>
      </w:r>
      <w:r>
        <w:rPr>
          <w:rFonts w:hint="eastAsia" w:ascii="黑体" w:hAnsi="黑体" w:eastAsia="黑体" w:cs="黑体"/>
          <w:color w:val="auto"/>
          <w:sz w:val="21"/>
          <w:szCs w:val="21"/>
          <w:highlight w:val="none"/>
          <w:u w:val="single"/>
        </w:rPr>
        <w:t xml:space="preserve">设计文件规定的工程合理使用年限</w:t>
      </w:r>
      <w:r>
        <w:rPr>
          <w:rFonts w:hint="eastAsia" w:ascii="黑体" w:hAnsi="黑体" w:eastAsia="黑体" w:cs="黑体"/>
          <w:color w:val="auto"/>
          <w:sz w:val="21"/>
          <w:szCs w:val="21"/>
          <w:highlight w:val="none"/>
        </w:rPr>
        <w:t xml:space="preserve">；</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2.屋面防水工程、有防水要求的卫生间、房间和外墙面的防渗</w:t>
      </w:r>
      <w:r>
        <w:rPr>
          <w:rFonts w:hint="eastAsia" w:ascii="黑体" w:hAnsi="黑体" w:eastAsia="黑体" w:cs="黑体"/>
          <w:color w:val="auto"/>
          <w:sz w:val="21"/>
          <w:szCs w:val="21"/>
          <w:highlight w:val="none"/>
          <w:lang w:eastAsia="zh-CN"/>
        </w:rPr>
        <w:t xml:space="preserve">、</w:t>
      </w:r>
      <w:r>
        <w:rPr>
          <w:rFonts w:hint="eastAsia" w:ascii="黑体" w:hAnsi="黑体" w:eastAsia="黑体" w:cs="黑体"/>
          <w:color w:val="auto"/>
          <w:sz w:val="21"/>
          <w:szCs w:val="21"/>
          <w:highlight w:val="none"/>
          <w:lang w:val="en-US" w:eastAsia="zh-CN"/>
        </w:rPr>
        <w:t xml:space="preserve">其他防水工程</w:t>
      </w:r>
      <w:r>
        <w:rPr>
          <w:rFonts w:hint="eastAsia" w:ascii="黑体" w:hAnsi="黑体" w:eastAsia="黑体" w:cs="黑体"/>
          <w:color w:val="auto"/>
          <w:sz w:val="21"/>
          <w:szCs w:val="21"/>
          <w:highlight w:val="none"/>
        </w:rPr>
        <w:t xml:space="preserve">为 </w:t>
      </w:r>
      <w:r>
        <w:rPr>
          <w:rFonts w:hint="eastAsia" w:ascii="黑体" w:hAnsi="黑体" w:eastAsia="黑体" w:cs="黑体"/>
          <w:color w:val="auto"/>
          <w:sz w:val="21"/>
          <w:szCs w:val="21"/>
          <w:highlight w:val="none"/>
          <w:u w:val="single"/>
        </w:rPr>
        <w:t xml:space="preserve"> 5 </w:t>
      </w:r>
      <w:r>
        <w:rPr>
          <w:rFonts w:hint="eastAsia" w:ascii="黑体" w:hAnsi="黑体" w:eastAsia="黑体" w:cs="黑体"/>
          <w:color w:val="auto"/>
          <w:sz w:val="21"/>
          <w:szCs w:val="21"/>
          <w:highlight w:val="none"/>
        </w:rPr>
        <w:t xml:space="preserve">年；</w:t>
      </w:r>
      <w:r/>
    </w:p>
    <w:p>
      <w:pPr>
        <w:ind w:left="0"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3.装修工程为</w:t>
      </w:r>
      <w:r>
        <w:rPr>
          <w:rFonts w:hint="eastAsia" w:ascii="黑体" w:hAnsi="黑体" w:eastAsia="黑体" w:cs="黑体"/>
          <w:color w:val="auto"/>
          <w:sz w:val="21"/>
          <w:szCs w:val="21"/>
          <w:highlight w:val="none"/>
          <w:u w:val="single"/>
        </w:rPr>
        <w:t xml:space="preserve">  2  </w:t>
      </w:r>
      <w:r>
        <w:rPr>
          <w:rFonts w:hint="eastAsia" w:ascii="黑体" w:hAnsi="黑体" w:eastAsia="黑体" w:cs="黑体"/>
          <w:color w:val="auto"/>
          <w:sz w:val="21"/>
          <w:szCs w:val="21"/>
          <w:highlight w:val="none"/>
        </w:rPr>
        <w:t xml:space="preserve">年；</w:t>
      </w:r>
      <w:r/>
    </w:p>
    <w:p>
      <w:pPr>
        <w:ind w:left="0"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4.电气管线、给排水管道、设备安装工程为</w:t>
      </w:r>
      <w:r>
        <w:rPr>
          <w:rFonts w:hint="eastAsia" w:ascii="黑体" w:hAnsi="黑体" w:eastAsia="黑体" w:cs="黑体"/>
          <w:color w:val="auto"/>
          <w:sz w:val="21"/>
          <w:szCs w:val="21"/>
          <w:highlight w:val="none"/>
          <w:u w:val="single"/>
        </w:rPr>
        <w:t xml:space="preserve">   2  </w:t>
      </w:r>
      <w:r>
        <w:rPr>
          <w:rFonts w:hint="eastAsia" w:ascii="黑体" w:hAnsi="黑体" w:eastAsia="黑体" w:cs="黑体"/>
          <w:color w:val="auto"/>
          <w:sz w:val="21"/>
          <w:szCs w:val="21"/>
          <w:highlight w:val="none"/>
        </w:rPr>
        <w:t xml:space="preserve">年；</w:t>
      </w:r>
      <w:r/>
    </w:p>
    <w:p>
      <w:pPr>
        <w:ind w:left="0"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5.供热与供冷系统为</w:t>
      </w:r>
      <w:r>
        <w:rPr>
          <w:rFonts w:hint="eastAsia" w:ascii="黑体" w:hAnsi="黑体" w:eastAsia="黑体" w:cs="黑体"/>
          <w:color w:val="auto"/>
          <w:sz w:val="21"/>
          <w:szCs w:val="21"/>
          <w:highlight w:val="none"/>
          <w:u w:val="single"/>
        </w:rPr>
        <w:t xml:space="preserve">  2  </w:t>
      </w:r>
      <w:r>
        <w:rPr>
          <w:rFonts w:hint="eastAsia" w:ascii="黑体" w:hAnsi="黑体" w:eastAsia="黑体" w:cs="黑体"/>
          <w:color w:val="auto"/>
          <w:sz w:val="21"/>
          <w:szCs w:val="21"/>
          <w:highlight w:val="none"/>
        </w:rPr>
        <w:t xml:space="preserve">个采暖期、供冷期；</w:t>
      </w:r>
      <w:r/>
    </w:p>
    <w:p>
      <w:pPr>
        <w:ind w:left="0"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6.给排水设施、道路等配套工程为</w:t>
      </w:r>
      <w:r>
        <w:rPr>
          <w:rFonts w:hint="eastAsia" w:ascii="黑体" w:hAnsi="黑体" w:eastAsia="黑体" w:cs="黑体"/>
          <w:color w:val="auto"/>
          <w:sz w:val="21"/>
          <w:szCs w:val="21"/>
          <w:highlight w:val="none"/>
          <w:u w:val="single"/>
        </w:rPr>
        <w:t xml:space="preserve">  2  </w:t>
      </w:r>
      <w:r>
        <w:rPr>
          <w:rFonts w:hint="eastAsia" w:ascii="黑体" w:hAnsi="黑体" w:eastAsia="黑体" w:cs="黑体"/>
          <w:color w:val="auto"/>
          <w:sz w:val="21"/>
          <w:szCs w:val="21"/>
          <w:highlight w:val="none"/>
        </w:rPr>
        <w:t xml:space="preserve">年；</w:t>
      </w:r>
      <w:r/>
    </w:p>
    <w:p>
      <w:pPr>
        <w:ind w:left="0"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w:t>
      </w:r>
      <w:r>
        <w:rPr>
          <w:rFonts w:hint="eastAsia" w:ascii="黑体" w:hAnsi="黑体" w:eastAsia="黑体" w:cs="黑体"/>
          <w:color w:val="auto"/>
          <w:sz w:val="21"/>
          <w:szCs w:val="21"/>
          <w:highlight w:val="none"/>
          <w:lang w:eastAsia="zh-CN"/>
        </w:rPr>
        <w:t xml:space="preserve">.</w:t>
      </w:r>
      <w:r>
        <w:rPr>
          <w:rFonts w:hint="eastAsia" w:ascii="黑体" w:hAnsi="黑体" w:eastAsia="黑体" w:cs="黑体"/>
          <w:color w:val="auto"/>
          <w:sz w:val="21"/>
          <w:szCs w:val="21"/>
          <w:highlight w:val="none"/>
        </w:rPr>
        <w:t xml:space="preserve">其他项目保修期限约定如下：</w:t>
      </w:r>
      <w:r>
        <w:rPr>
          <w:rFonts w:hint="eastAsia" w:ascii="黑体" w:hAnsi="黑体" w:eastAsia="黑体" w:cs="黑体"/>
          <w:b/>
          <w:bCs/>
          <w:color w:val="auto"/>
          <w:sz w:val="21"/>
          <w:szCs w:val="21"/>
          <w:highlight w:val="none"/>
          <w:u w:val="single"/>
        </w:rPr>
        <w:t xml:space="preserve">上述未列入的其他工程内容保修期均为2年</w:t>
      </w:r>
      <w:r>
        <w:rPr>
          <w:rFonts w:hint="eastAsia" w:ascii="黑体" w:hAnsi="黑体" w:eastAsia="黑体" w:cs="黑体"/>
          <w:b/>
          <w:bCs/>
          <w:color w:val="auto"/>
          <w:sz w:val="21"/>
          <w:szCs w:val="21"/>
          <w:highlight w:val="none"/>
          <w:u w:val="none"/>
        </w:rPr>
        <w:t xml:space="preserve">。</w:t>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b/>
          <w:bCs/>
          <w:color w:val="auto"/>
          <w:sz w:val="21"/>
          <w:szCs w:val="21"/>
          <w:highlight w:val="none"/>
        </w:rPr>
        <w:t xml:space="preserve">质量保修期自工程竣工备案完成之日起计算。</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outlineLvl w:val="0"/>
      </w:pPr>
      <w:r/>
      <w:bookmarkStart w:id="672" w:name="_Toc1195"/>
      <w:r>
        <w:rPr>
          <w:rFonts w:hint="eastAsia" w:ascii="黑体" w:hAnsi="黑体" w:eastAsia="黑体" w:cs="黑体"/>
          <w:color w:val="auto"/>
          <w:sz w:val="21"/>
          <w:szCs w:val="21"/>
          <w:highlight w:val="none"/>
        </w:rPr>
        <w:t xml:space="preserve">三、缺陷责任期</w:t>
      </w:r>
      <w:bookmarkEnd w:id="672"/>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工程缺陷责任期为</w:t>
      </w:r>
      <w:r>
        <w:rPr>
          <w:rFonts w:hint="eastAsia" w:ascii="黑体" w:hAnsi="黑体" w:eastAsia="黑体" w:cs="黑体"/>
          <w:color w:val="auto"/>
          <w:sz w:val="21"/>
          <w:szCs w:val="21"/>
          <w:highlight w:val="none"/>
          <w:u w:val="single"/>
        </w:rPr>
        <w:t xml:space="preserve">   24   </w:t>
      </w:r>
      <w:r>
        <w:rPr>
          <w:rFonts w:hint="eastAsia" w:ascii="黑体" w:hAnsi="黑体" w:eastAsia="黑体" w:cs="黑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keepLines w:val="0"/>
        <w:keepNext w:val="0"/>
        <w:pageBreakBefore w:val="0"/>
        <w:spacing w:line="312" w:lineRule="auto"/>
        <w:widowControl w:val="off"/>
        <w:rPr>
          <w:rFonts w:hint="eastAsia" w:ascii="黑体" w:hAnsi="黑体" w:eastAsia="黑体" w:cs="黑体"/>
          <w:color w:val="auto"/>
          <w:sz w:val="21"/>
          <w:szCs w:val="21"/>
          <w:highlight w:val="none"/>
        </w:rPr>
        <w:outlineLvl w:val="0"/>
      </w:pPr>
      <w:r>
        <w:rPr>
          <w:rFonts w:hint="eastAsia" w:ascii="黑体" w:hAnsi="黑体" w:eastAsia="黑体" w:cs="黑体"/>
          <w:color w:val="auto"/>
          <w:sz w:val="21"/>
          <w:szCs w:val="21"/>
          <w:highlight w:val="none"/>
        </w:rPr>
        <w:t xml:space="preserve">    </w:t>
      </w:r>
      <w:bookmarkStart w:id="673" w:name="_Toc32310"/>
      <w:r>
        <w:rPr>
          <w:rFonts w:hint="eastAsia" w:ascii="黑体" w:hAnsi="黑体" w:eastAsia="黑体" w:cs="黑体"/>
          <w:color w:val="auto"/>
          <w:sz w:val="21"/>
          <w:szCs w:val="21"/>
          <w:highlight w:val="none"/>
        </w:rPr>
        <w:t xml:space="preserve">四、质量保修责任</w:t>
      </w:r>
      <w:bookmarkEnd w:id="673"/>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2．发生紧急事故需抢修的，承包人在接到事故通知后，应当立即到达事故现场抢修。</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4．质量保修完成后，由发包人组织验收。</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5.工程保修服务承诺</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1）建立回访制，进行定期、不定期回访，每年内工程回访不少于两次，认真听取建设单位意见，并形成回访记录。</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2）建立维修工程专班专人负责制，由公司工程部、技术部派人负责。</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3）在质保期内承包人做到： </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A、免费提供所需的工作人员和材料进行维修。针对现场破坏程度，制定相关处理方案，得到业主同意后，对工程进行维护修复工作。</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B、负责对工程进行日常一般性的定期维修保养，同时提供日夜24小时应答的紧急维修服务。</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4）工程保修原则及质量回访计划</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A、工程保修原则</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fldChar w:fldCharType="begin"/>
      </w:r>
      <w:r>
        <w:rPr>
          <w:rFonts w:hint="eastAsia" w:ascii="黑体" w:hAnsi="黑体" w:eastAsia="黑体" w:cs="黑体"/>
          <w:color w:val="auto"/>
          <w:sz w:val="21"/>
          <w:szCs w:val="21"/>
          <w:highlight w:val="none"/>
        </w:rPr>
        <w:instrText xml:space="preserve"> eq \o\ac(</w:instrText>
      </w:r>
      <w:r>
        <w:rPr>
          <w:rFonts w:hint="eastAsia" w:ascii="黑体" w:hAnsi="黑体" w:eastAsia="黑体" w:cs="黑体"/>
          <w:color w:val="auto"/>
          <w:position w:val="-4"/>
          <w:sz w:val="31"/>
          <w:szCs w:val="21"/>
          <w:highlight w:val="none"/>
        </w:rPr>
        <w:instrText xml:space="preserve">○</w:instrText>
      </w:r>
      <w:r>
        <w:rPr>
          <w:rFonts w:hint="eastAsia" w:ascii="黑体" w:hAnsi="黑体" w:eastAsia="黑体" w:cs="黑体"/>
          <w:color w:val="auto"/>
          <w:position w:val="0"/>
          <w:sz w:val="21"/>
          <w:szCs w:val="21"/>
          <w:highlight w:val="none"/>
        </w:rPr>
        <w:instrText xml:space="preserve">,1)</w:instrText>
      </w:r>
      <w:r>
        <w:rPr>
          <w:rFonts w:hint="eastAsia" w:ascii="黑体" w:hAnsi="黑体" w:eastAsia="黑体" w:cs="黑体"/>
          <w:color w:val="auto"/>
          <w:sz w:val="21"/>
          <w:szCs w:val="21"/>
          <w:highlight w:val="none"/>
        </w:rPr>
        <w:fldChar w:fldCharType="end"/>
      </w:r>
      <w:r>
        <w:rPr>
          <w:rFonts w:hint="eastAsia" w:ascii="黑体" w:hAnsi="黑体" w:eastAsia="黑体" w:cs="黑体"/>
          <w:color w:val="auto"/>
          <w:sz w:val="21"/>
          <w:szCs w:val="21"/>
          <w:highlight w:val="none"/>
        </w:rPr>
        <w:t xml:space="preserve">在保修期间，承包人将本着“向发包人负责，让用户满意”的态度，以有效的制度及措施，以优质迅速的维修质量维护承包人利益。</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fldChar w:fldCharType="begin"/>
      </w:r>
      <w:r>
        <w:rPr>
          <w:rFonts w:hint="eastAsia" w:ascii="黑体" w:hAnsi="黑体" w:eastAsia="黑体" w:cs="黑体"/>
          <w:color w:val="auto"/>
          <w:sz w:val="21"/>
          <w:szCs w:val="21"/>
          <w:highlight w:val="none"/>
        </w:rPr>
        <w:instrText xml:space="preserve"> eq \o\ac(</w:instrText>
      </w:r>
      <w:r>
        <w:rPr>
          <w:rFonts w:hint="eastAsia" w:ascii="黑体" w:hAnsi="黑体" w:eastAsia="黑体" w:cs="黑体"/>
          <w:color w:val="auto"/>
          <w:position w:val="-4"/>
          <w:sz w:val="31"/>
          <w:szCs w:val="21"/>
          <w:highlight w:val="none"/>
        </w:rPr>
        <w:instrText xml:space="preserve">○</w:instrText>
      </w:r>
      <w:r>
        <w:rPr>
          <w:rFonts w:hint="eastAsia" w:ascii="黑体" w:hAnsi="黑体" w:eastAsia="黑体" w:cs="黑体"/>
          <w:color w:val="auto"/>
          <w:position w:val="0"/>
          <w:sz w:val="21"/>
          <w:szCs w:val="21"/>
          <w:highlight w:val="none"/>
        </w:rPr>
        <w:instrText xml:space="preserve">,2)</w:instrText>
      </w:r>
      <w:r>
        <w:rPr>
          <w:rFonts w:hint="eastAsia" w:ascii="黑体" w:hAnsi="黑体" w:eastAsia="黑体" w:cs="黑体"/>
          <w:color w:val="auto"/>
          <w:sz w:val="21"/>
          <w:szCs w:val="21"/>
          <w:highlight w:val="none"/>
        </w:rPr>
        <w:fldChar w:fldCharType="end"/>
      </w:r>
      <w:r>
        <w:rPr>
          <w:rFonts w:hint="eastAsia" w:ascii="黑体" w:hAnsi="黑体" w:eastAsia="黑体" w:cs="黑体"/>
          <w:color w:val="auto"/>
          <w:sz w:val="21"/>
          <w:szCs w:val="21"/>
          <w:highlight w:val="none"/>
        </w:rPr>
        <w:t xml:space="preserve">由承包人原因造成的任何损伤和损坏，承包人将对所有缺陷的进行无偿检修，并承担由此造成的发包人的损失。</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B、工程保修回访计划</w:t>
      </w:r>
      <w:r/>
    </w:p>
    <w:p>
      <w:pPr>
        <w:ind w:firstLine="420"/>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keepLines w:val="0"/>
        <w:keepNext w:val="0"/>
        <w:pageBreakBefore w:val="0"/>
        <w:spacing w:line="312" w:lineRule="auto"/>
        <w:widowControl w:val="off"/>
        <w:rPr>
          <w:rFonts w:hint="eastAsia" w:ascii="黑体" w:hAnsi="黑体" w:eastAsia="黑体" w:cs="黑体"/>
          <w:color w:val="auto"/>
          <w:sz w:val="21"/>
          <w:szCs w:val="21"/>
          <w:highlight w:val="none"/>
        </w:rPr>
        <w:outlineLvl w:val="0"/>
      </w:pPr>
      <w:r>
        <w:rPr>
          <w:rFonts w:hint="eastAsia" w:ascii="黑体" w:hAnsi="黑体" w:eastAsia="黑体" w:cs="黑体"/>
          <w:color w:val="auto"/>
          <w:sz w:val="21"/>
          <w:szCs w:val="21"/>
          <w:highlight w:val="none"/>
        </w:rPr>
        <w:t xml:space="preserve">　　</w:t>
      </w:r>
      <w:bookmarkStart w:id="674" w:name="_Toc14341"/>
      <w:r>
        <w:rPr>
          <w:rFonts w:hint="eastAsia" w:ascii="黑体" w:hAnsi="黑体" w:eastAsia="黑体" w:cs="黑体"/>
          <w:color w:val="auto"/>
          <w:sz w:val="21"/>
          <w:szCs w:val="21"/>
          <w:highlight w:val="none"/>
        </w:rPr>
        <w:t xml:space="preserve">五、保修费用</w:t>
      </w:r>
      <w:bookmarkEnd w:id="674"/>
      <w:r/>
      <w:r/>
    </w:p>
    <w:p>
      <w:pPr>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保修费用由造成质量缺陷的责任方承担。</w:t>
      </w:r>
      <w:r/>
    </w:p>
    <w:p>
      <w:pPr>
        <w:ind w:firstLine="422"/>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b/>
          <w:color w:val="auto"/>
          <w:sz w:val="21"/>
          <w:szCs w:val="21"/>
          <w:highlight w:val="none"/>
        </w:rPr>
        <w:t xml:space="preserve">六</w:t>
      </w:r>
      <w:r>
        <w:rPr>
          <w:rFonts w:hint="eastAsia" w:ascii="黑体" w:hAnsi="黑体" w:eastAsia="黑体" w:cs="黑体"/>
          <w:color w:val="auto"/>
          <w:sz w:val="21"/>
          <w:szCs w:val="21"/>
          <w:highlight w:val="none"/>
        </w:rPr>
        <w:t xml:space="preserve">、双方约定的其他工程质量保修事项：</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399"/>
        <w:keepLines w:val="0"/>
        <w:keepNext w:val="0"/>
        <w:pageBreakBefore w:val="0"/>
        <w:spacing w:line="312"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工程质量保修书由发包人、承包人在工程竣工验收前共同签署，作为施工合同附件，其有效期限至保修期满。</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发包人(公章)：</w:t>
      </w:r>
      <w:r>
        <w:rPr>
          <w:rFonts w:hint="eastAsia" w:ascii="黑体" w:hAnsi="黑体" w:eastAsia="黑体" w:cs="黑体"/>
          <w:color w:val="auto"/>
          <w:sz w:val="21"/>
          <w:szCs w:val="21"/>
          <w:highlight w:val="none"/>
          <w:u w:val="single"/>
        </w:rPr>
        <w:t xml:space="preserve">           </w:t>
      </w:r>
      <w:r>
        <w:rPr>
          <w:rFonts w:hint="eastAsia" w:ascii="黑体" w:hAnsi="黑体" w:eastAsia="黑体" w:cs="黑体"/>
          <w:color w:val="auto"/>
          <w:sz w:val="21"/>
          <w:szCs w:val="21"/>
          <w:highlight w:val="none"/>
        </w:rPr>
        <w:t xml:space="preserve">   承包人(公章)：</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地  址：</w:t>
      </w:r>
      <w:r>
        <w:rPr>
          <w:rFonts w:hint="eastAsia" w:ascii="黑体" w:hAnsi="黑体" w:eastAsia="黑体" w:cs="黑体"/>
          <w:color w:val="auto"/>
          <w:sz w:val="21"/>
          <w:szCs w:val="21"/>
          <w:highlight w:val="none"/>
          <w:u w:val="single"/>
        </w:rPr>
        <w:t xml:space="preserve">                        </w:t>
      </w:r>
      <w:r>
        <w:rPr>
          <w:rStyle w:val="1178"/>
          <w:rFonts w:hint="eastAsia" w:ascii="黑体" w:hAnsi="黑体" w:eastAsia="黑体" w:cs="黑体"/>
          <w:color w:val="auto"/>
          <w:sz w:val="21"/>
          <w:szCs w:val="21"/>
          <w:highlight w:val="none"/>
        </w:rPr>
        <w:t xml:space="preserve">  地址：</w:t>
      </w:r>
      <w:r>
        <w:rPr>
          <w:rStyle w:val="1178"/>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法定代表人(签字)：</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法定代表人(签字)：</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委托代理人(签字)：</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委托代理人(签字)：</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电  话：</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电  话：</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传  真：</w:t>
      </w:r>
      <w:r>
        <w:rPr>
          <w:rFonts w:hint="eastAsia" w:ascii="黑体" w:hAnsi="黑体" w:eastAsia="黑体" w:cs="黑体"/>
          <w:color w:val="auto"/>
          <w:sz w:val="21"/>
          <w:szCs w:val="21"/>
          <w:highlight w:val="none"/>
          <w:u w:val="single"/>
        </w:rPr>
        <w:t xml:space="preserve">  </w:t>
      </w:r>
      <w:r>
        <w:rPr>
          <w:rStyle w:val="1178"/>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传  真：</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开户银行：</w:t>
      </w:r>
      <w:r>
        <w:rPr>
          <w:rStyle w:val="1178"/>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开户银行：</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账  号：</w:t>
      </w:r>
      <w:r>
        <w:rPr>
          <w:rFonts w:hint="eastAsia" w:ascii="黑体" w:hAnsi="黑体" w:eastAsia="黑体" w:cs="黑体"/>
          <w:color w:val="auto"/>
          <w:sz w:val="21"/>
          <w:szCs w:val="21"/>
          <w:highlight w:val="none"/>
          <w:u w:val="single"/>
        </w:rPr>
        <w:t xml:space="preserve"></w:t>
      </w:r>
      <w:r>
        <w:rPr>
          <w:rStyle w:val="1178"/>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账  号：</w:t>
      </w:r>
      <w:r>
        <w:rPr>
          <w:rFonts w:hint="eastAsia" w:ascii="黑体" w:hAnsi="黑体" w:eastAsia="黑体" w:cs="黑体"/>
          <w:color w:val="auto"/>
          <w:sz w:val="21"/>
          <w:szCs w:val="21"/>
          <w:highlight w:val="none"/>
          <w:u w:val="single"/>
        </w:rPr>
        <w:t xml:space="preserve">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邮政编码：</w:t>
      </w:r>
      <w:r>
        <w:rPr>
          <w:rFonts w:hint="eastAsia" w:ascii="黑体" w:hAnsi="黑体" w:eastAsia="黑体" w:cs="黑体"/>
          <w:color w:val="auto"/>
          <w:sz w:val="21"/>
          <w:szCs w:val="21"/>
          <w:highlight w:val="none"/>
          <w:u w:val="single"/>
        </w:rPr>
        <w:t xml:space="preserve">     </w:t>
      </w:r>
      <w:r>
        <w:rPr>
          <w:rStyle w:val="1178"/>
          <w:rFonts w:hint="eastAsia" w:ascii="黑体" w:hAnsi="黑体" w:eastAsia="黑体" w:cs="黑体"/>
          <w:color w:val="auto"/>
          <w:sz w:val="21"/>
          <w:szCs w:val="21"/>
          <w:highlight w:val="none"/>
          <w:u w:val="single"/>
        </w:rPr>
        <w:t xml:space="preserve"> 221000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邮政编码：</w:t>
      </w:r>
      <w:r>
        <w:rPr>
          <w:rFonts w:hint="eastAsia" w:ascii="黑体" w:hAnsi="黑体" w:eastAsia="黑体" w:cs="黑体"/>
          <w:color w:val="auto"/>
          <w:sz w:val="21"/>
          <w:szCs w:val="21"/>
          <w:highlight w:val="none"/>
          <w:u w:val="single"/>
        </w:rPr>
        <w:t xml:space="preserve">   </w:t>
      </w:r>
      <w:r>
        <w:rPr>
          <w:rFonts w:hint="eastAsia" w:ascii="黑体" w:hAnsi="黑体" w:eastAsia="黑体" w:cs="黑体"/>
          <w:b/>
          <w:color w:val="auto"/>
          <w:sz w:val="21"/>
          <w:szCs w:val="21"/>
          <w:highlight w:val="none"/>
        </w:rPr>
        <w:br w:type="page" w:clear="all"/>
      </w:r>
      <w:r>
        <w:rPr>
          <w:rFonts w:hint="eastAsia" w:ascii="黑体" w:hAnsi="黑体" w:eastAsia="黑体" w:cs="黑体"/>
          <w:color w:val="auto"/>
          <w:sz w:val="21"/>
          <w:szCs w:val="21"/>
          <w:highlight w:val="none"/>
        </w:rPr>
        <w:t xml:space="preserve">附件4：</w:t>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主要建设工程文件目录</w:t>
      </w:r>
      <w:r/>
    </w:p>
    <w:tbl>
      <w:tblPr>
        <w:tblStyle w:val="11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费用（元）</w:t>
            </w:r>
            <w:r/>
          </w:p>
        </w:tc>
        <w:tc>
          <w:tcPr>
            <w:tcBorders>
              <w:top w:val="single" w:color="auto" w:sz="12" w:space="0"/>
              <w:bottom w:val="single" w:color="auto" w:sz="6" w:space="0"/>
            </w:tcBorders>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76"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243"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667"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95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43"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667"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bl>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rPr>
          <w:rFonts w:hint="eastAsia" w:ascii="黑体" w:hAnsi="黑体" w:eastAsia="黑体" w:cs="黑体"/>
          <w:color w:val="auto"/>
          <w:sz w:val="21"/>
          <w:szCs w:val="21"/>
          <w:highlight w:val="none"/>
        </w:rPr>
        <w:t xml:space="preserve">附</w:t>
      </w:r>
      <w:bookmarkStart w:id="675" w:name="_Toc296891267"/>
      <w:r/>
      <w:bookmarkStart w:id="676" w:name="_Toc267261698"/>
      <w:r/>
      <w:bookmarkStart w:id="677" w:name="_Toc296503227"/>
      <w:r/>
      <w:bookmarkStart w:id="678" w:name="_Toc296944566"/>
      <w:r/>
      <w:bookmarkStart w:id="679" w:name="_Toc296347226"/>
      <w:r/>
      <w:bookmarkStart w:id="680" w:name="_Toc296346728"/>
      <w:r/>
      <w:bookmarkStart w:id="681" w:name="_Toc296891055"/>
      <w:r>
        <w:rPr>
          <w:rFonts w:hint="eastAsia" w:ascii="黑体" w:hAnsi="黑体" w:eastAsia="黑体" w:cs="黑体"/>
          <w:color w:val="auto"/>
          <w:sz w:val="21"/>
          <w:szCs w:val="21"/>
          <w:highlight w:val="none"/>
        </w:rPr>
        <w:t xml:space="preserve">件5：</w:t>
      </w:r>
      <w:bookmarkEnd w:id="675"/>
      <w:r/>
      <w:bookmarkEnd w:id="676"/>
      <w:r/>
      <w:bookmarkEnd w:id="677"/>
      <w:r/>
      <w:bookmarkEnd w:id="678"/>
      <w:r/>
      <w:bookmarkEnd w:id="679"/>
      <w:r/>
      <w:bookmarkEnd w:id="680"/>
      <w:r/>
      <w:bookmarkEnd w:id="681"/>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承包人用于本工程施工的机械设备表</w:t>
      </w:r>
      <w:r/>
    </w:p>
    <w:tbl>
      <w:tblPr>
        <w:tblStyle w:val="11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single" w:color="auto" w:sz="6" w:space="0"/>
              <w:bottom w:val="single" w:color="auto" w:sz="6" w:space="0"/>
            </w:tcBorders>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5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5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8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8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020"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92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jc w:val="center"/>
          <w:trHeight w:val="567"/>
        </w:trPr>
        <w:tc>
          <w:tcPr>
            <w:tcW w:w="1162"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58"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8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020"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921" w:type="dxa"/>
            <w:vAlign w:val="top"/>
            <w:textDirection w:val="lrTb"/>
            <w:noWrap w:val="false"/>
          </w:tcPr>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bl>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w:t>
      </w:r>
      <w:bookmarkStart w:id="682" w:name="_Toc296346729"/>
      <w:r/>
      <w:bookmarkStart w:id="683" w:name="_Toc296944567"/>
      <w:r/>
      <w:bookmarkStart w:id="684" w:name="_Toc296891268"/>
      <w:r/>
      <w:bookmarkStart w:id="685" w:name="_Toc296503228"/>
      <w:r/>
      <w:bookmarkStart w:id="686" w:name="_Toc267261699"/>
      <w:r/>
      <w:bookmarkStart w:id="687" w:name="_Toc296347227"/>
      <w:r/>
      <w:bookmarkStart w:id="688" w:name="_Toc296891056"/>
      <w:r>
        <w:rPr>
          <w:rFonts w:hint="eastAsia" w:ascii="黑体" w:hAnsi="黑体" w:eastAsia="黑体" w:cs="黑体"/>
          <w:color w:val="auto"/>
          <w:sz w:val="21"/>
          <w:szCs w:val="21"/>
          <w:highlight w:val="none"/>
        </w:rPr>
        <w:t xml:space="preserve">件6：</w:t>
      </w:r>
      <w:bookmarkEnd w:id="682"/>
      <w:r/>
      <w:bookmarkEnd w:id="683"/>
      <w:r/>
      <w:bookmarkEnd w:id="684"/>
      <w:r/>
      <w:bookmarkEnd w:id="685"/>
      <w:r/>
      <w:bookmarkEnd w:id="686"/>
      <w:r/>
      <w:bookmarkEnd w:id="687"/>
      <w:r/>
      <w:bookmarkEnd w:id="688"/>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承包人主要施工管理人员表</w:t>
      </w:r>
      <w:r/>
    </w:p>
    <w:tbl>
      <w:tblPr>
        <w:tblStyle w:val="11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其他人员</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项目经理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项目副经理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技术负责人</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造价管理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质量管理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材料管理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计划管理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安全管理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其他人员</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bl>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rPr>
          <w:rFonts w:hint="eastAsia" w:ascii="黑体" w:hAnsi="黑体" w:eastAsia="黑体" w:cs="黑体"/>
          <w:color w:val="auto"/>
          <w:sz w:val="21"/>
          <w:szCs w:val="21"/>
          <w:highlight w:val="none"/>
        </w:rPr>
        <w:t xml:space="preserve">附</w:t>
      </w:r>
      <w:bookmarkStart w:id="689" w:name="_Toc296891269"/>
      <w:r/>
      <w:bookmarkStart w:id="690" w:name="_Toc296891057"/>
      <w:r/>
      <w:bookmarkStart w:id="691" w:name="_Toc296346730"/>
      <w:r/>
      <w:bookmarkStart w:id="692" w:name="_Toc296503229"/>
      <w:r/>
      <w:bookmarkStart w:id="693" w:name="_Toc296944568"/>
      <w:r/>
      <w:bookmarkStart w:id="694" w:name="_Toc296347228"/>
      <w:r>
        <w:rPr>
          <w:rFonts w:hint="eastAsia" w:ascii="黑体" w:hAnsi="黑体" w:eastAsia="黑体" w:cs="黑体"/>
          <w:color w:val="auto"/>
          <w:sz w:val="21"/>
          <w:szCs w:val="21"/>
          <w:highlight w:val="none"/>
        </w:rPr>
        <w:t xml:space="preserve">件7：</w:t>
      </w:r>
      <w:bookmarkEnd w:id="689"/>
      <w:r/>
      <w:bookmarkEnd w:id="690"/>
      <w:r/>
      <w:bookmarkEnd w:id="691"/>
      <w:r/>
      <w:bookmarkEnd w:id="692"/>
      <w:r/>
      <w:bookmarkEnd w:id="693"/>
      <w:r/>
      <w:bookmarkEnd w:id="694"/>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分包人主要施工管理人员表</w:t>
      </w:r>
      <w:r/>
    </w:p>
    <w:tbl>
      <w:tblPr>
        <w:tblStyle w:val="11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605"/>
        </w:trPr>
        <w:tc>
          <w:tcPr>
            <w:tcBorders>
              <w:top w:val="single" w:color="auto" w:sz="12"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主要资历、经验及承担过的项目</w:t>
            </w:r>
            <w:r/>
          </w:p>
        </w:tc>
      </w:tr>
      <w:tr>
        <w:trPr>
          <w:jc w:val="center"/>
          <w:trHeight w:val="590"/>
        </w:trPr>
        <w:tc>
          <w:tcPr>
            <w:gridSpan w:val="5"/>
            <w:tcBorders>
              <w:top w:val="single" w:color="auto" w:sz="6" w:space="0"/>
              <w:bottom w:val="single" w:color="auto" w:sz="6" w:space="0"/>
            </w:tcBorders>
            <w:tcW w:w="9809"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一、总部人员</w:t>
            </w:r>
            <w:r/>
          </w:p>
        </w:tc>
      </w:tr>
      <w:tr>
        <w:trPr>
          <w:jc w:val="center"/>
          <w:trHeight w:val="620"/>
        </w:trPr>
        <w:tc>
          <w:tcPr>
            <w:tcBorders>
              <w:top w:val="none" w:color="000000" w:sz="4"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90"/>
        </w:trPr>
        <w:tc>
          <w:tcPr>
            <w:tcBorders>
              <w:top w:val="single" w:color="auto" w:sz="6"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650"/>
        </w:trPr>
        <w:tc>
          <w:tcPr>
            <w:tcBorders>
              <w:top w:val="none" w:color="000000" w:sz="4"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其他人员</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620"/>
        </w:trPr>
        <w:tc>
          <w:tcPr>
            <w:gridSpan w:val="5"/>
            <w:tcBorders>
              <w:top w:val="single" w:color="auto" w:sz="6" w:space="0"/>
              <w:bottom w:val="single" w:color="auto" w:sz="6" w:space="0"/>
            </w:tcBorders>
            <w:tcW w:w="9809"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二、现场人员</w:t>
            </w:r>
            <w:r/>
          </w:p>
        </w:tc>
      </w:tr>
      <w:tr>
        <w:trPr>
          <w:jc w:val="center"/>
          <w:trHeight w:val="575"/>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项目经理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30"/>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项目副经理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15"/>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技术负责人</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00"/>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造价管理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15"/>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质量管理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485"/>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材料管理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15"/>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计划管理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Height w:val="560"/>
        </w:trPr>
        <w:tc>
          <w:tcPr>
            <w:tcBorders>
              <w:top w:val="single" w:color="auto" w:sz="6" w:space="0"/>
              <w:bottom w:val="single" w:color="auto" w:sz="6" w:space="0"/>
            </w:tcBorders>
            <w:tcW w:w="1871"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安全管理</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其他人员</w:t>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1169"/>
              <w:ind w:left="60" w:right="60"/>
              <w:spacing w:line="44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r>
            <w:r/>
          </w:p>
        </w:tc>
      </w:tr>
    </w:tbl>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bookmarkStart w:id="695" w:name="_Toc267261701"/>
      <w:r>
        <w:rPr>
          <w:rFonts w:hint="eastAsia" w:ascii="黑体" w:hAnsi="黑体" w:eastAsia="黑体" w:cs="黑体"/>
          <w:color w:val="auto"/>
          <w:sz w:val="21"/>
          <w:szCs w:val="21"/>
          <w:highlight w:val="none"/>
        </w:rPr>
        <w:t xml:space="preserve">附</w:t>
      </w:r>
      <w:bookmarkStart w:id="696" w:name="_Toc296347230"/>
      <w:r/>
      <w:bookmarkStart w:id="697" w:name="_Toc296891271"/>
      <w:r/>
      <w:bookmarkStart w:id="698" w:name="_Toc296944570"/>
      <w:r/>
      <w:bookmarkStart w:id="699" w:name="_Toc296503231"/>
      <w:r/>
      <w:bookmarkStart w:id="700" w:name="_Toc296891059"/>
      <w:r/>
      <w:bookmarkStart w:id="701" w:name="_Toc296346732"/>
      <w:r>
        <w:rPr>
          <w:rFonts w:hint="eastAsia" w:ascii="黑体" w:hAnsi="黑体" w:eastAsia="黑体" w:cs="黑体"/>
          <w:color w:val="auto"/>
          <w:sz w:val="21"/>
          <w:szCs w:val="21"/>
          <w:highlight w:val="none"/>
        </w:rPr>
        <w:t xml:space="preserve">件8：</w:t>
      </w:r>
      <w:bookmarkEnd w:id="695"/>
      <w:r/>
      <w:bookmarkEnd w:id="696"/>
      <w:r/>
      <w:bookmarkEnd w:id="697"/>
      <w:r/>
      <w:bookmarkEnd w:id="698"/>
      <w:r/>
      <w:bookmarkEnd w:id="699"/>
      <w:r/>
      <w:bookmarkEnd w:id="700"/>
      <w:r/>
      <w:bookmarkEnd w:id="701"/>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履约担保</w:t>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rPr>
        <w:t xml:space="preserve">（发包人名称）：</w:t>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鉴于</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（发包人名称，以下简称“发包人”）与</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（承包人名称）（以下称“承包人”）于</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日就</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（工程名称）施工及有关事项协商一致共同签订《建设工程施工合同》。我方愿意无条件地、不可撤销地就承包人履行与你方签订的合同，向你方提供连带责任担保。 </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担保金额人民币（大写）</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元（¥</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担保有效期自你方与承包人签订的合同生效之日起至你方签发或应签发工程接收证书之日止。</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 你方和承包人按合同约定变更合同时，我方承担本担保规定的义务不变。</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 因本保函发生的纠纷，可由双方协商解决，协商不成的，任何一方均可提请</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仲裁委员会仲裁。</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 本保函自我方法定代表人（或其授权代理人）签字并加盖公章之日起生效。</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担 保 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（盖单位章）</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法定代表人或其委托代理人：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（签字）</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地    址：</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邮政编码：</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电    话：</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传    真：</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single"/>
        </w:rPr>
      </w:r>
      <w:r/>
    </w:p>
    <w:p>
      <w:pPr>
        <w:ind w:left="1266" w:hanging="1329"/>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w:t>
      </w:r>
      <w:r/>
    </w:p>
    <w:p>
      <w:pPr>
        <w:ind w:left="1266" w:hanging="1329"/>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附</w:t>
      </w:r>
      <w:bookmarkStart w:id="702" w:name="_Toc296891060"/>
      <w:r/>
      <w:bookmarkStart w:id="703" w:name="_Toc296944571"/>
      <w:r/>
      <w:bookmarkStart w:id="704" w:name="_Toc296891272"/>
      <w:r/>
      <w:bookmarkStart w:id="705" w:name="_Toc296346733"/>
      <w:r/>
      <w:bookmarkStart w:id="706" w:name="_Toc296503232"/>
      <w:r/>
      <w:bookmarkStart w:id="707" w:name="_Toc296347231"/>
      <w:r/>
      <w:bookmarkStart w:id="708" w:name="_Toc267261702"/>
      <w:r>
        <w:rPr>
          <w:rFonts w:hint="eastAsia" w:ascii="黑体" w:hAnsi="黑体" w:eastAsia="黑体" w:cs="黑体"/>
          <w:color w:val="auto"/>
          <w:sz w:val="21"/>
          <w:szCs w:val="21"/>
          <w:highlight w:val="none"/>
        </w:rPr>
        <w:t xml:space="preserve">件9 ：</w:t>
      </w:r>
      <w:bookmarkEnd w:id="702"/>
      <w:r/>
      <w:bookmarkEnd w:id="703"/>
      <w:r/>
      <w:bookmarkEnd w:id="704"/>
      <w:r/>
      <w:bookmarkEnd w:id="705"/>
      <w:r/>
      <w:bookmarkEnd w:id="706"/>
      <w:r/>
      <w:bookmarkEnd w:id="707"/>
      <w:r/>
      <w:bookmarkEnd w:id="708"/>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预付款担保</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 （发包人名称）：</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根据</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（承包人名称）（以下称“承包人”）与</w:t>
      </w:r>
      <w:r/>
    </w:p>
    <w:p>
      <w:pPr>
        <w:spacing w:line="360" w:lineRule="auto"/>
        <w:rPr>
          <w:rFonts w:hint="eastAsia" w:ascii="黑体" w:hAnsi="黑体" w:eastAsia="黑体" w:cs="黑体"/>
          <w:color w:val="auto"/>
          <w:sz w:val="21"/>
          <w:szCs w:val="21"/>
          <w:highlight w:val="none"/>
        </w:rPr>
        <w:outlineLvl w:val="0"/>
      </w:pPr>
      <w:r>
        <w:rPr>
          <w:rFonts w:hint="eastAsia" w:ascii="黑体" w:hAnsi="黑体" w:eastAsia="黑体" w:cs="黑体"/>
          <w:color w:val="auto"/>
          <w:sz w:val="21"/>
          <w:szCs w:val="21"/>
          <w:highlight w:val="none"/>
          <w:u w:val="single"/>
        </w:rPr>
        <w:t xml:space="preserve">         </w:t>
      </w:r>
      <w:bookmarkStart w:id="709" w:name="_Toc8308"/>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（发包人名称）（以下简称“发包人”）</w:t>
      </w:r>
      <w:bookmarkEnd w:id="709"/>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于</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日签订的</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担保金额人民币（大写）</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元（¥</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担保有效期自预付款支付给承包人起生效，至你方签发的进度款支付证书说明已完全扣清止。</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 你方和承包人按合同约定变更合同时，我方承担本保函规定的义务不变。</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 因本保函发生的纠纷，可由双方协商解决，协商不成的，任何一方均可提请</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仲裁委员会仲裁。</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 本保函自我方法定代表人（或其授权代理人）签字并加盖公章之日起生效。</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担保人：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（盖单位章）</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法定代表人或其委托代理人：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（签字）</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地    址：</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邮政编码：</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电    话：</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p>
    <w:p>
      <w:pPr>
        <w:spacing w:line="360" w:lineRule="auto"/>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rPr>
        <w:t xml:space="preserve">传    真：</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rPr>
          <w:rFonts w:hint="eastAsia" w:ascii="黑体" w:hAnsi="黑体" w:eastAsia="黑体" w:cs="黑体"/>
          <w:color w:val="auto"/>
          <w:sz w:val="21"/>
          <w:szCs w:val="21"/>
          <w:highlight w:val="none"/>
          <w:u w:val="single"/>
        </w:rPr>
        <w:tab/>
      </w:r>
      <w:r/>
    </w:p>
    <w:p>
      <w:pPr>
        <w:ind w:firstLine="378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w:t>
      </w:r>
      <w:r/>
    </w:p>
    <w:p>
      <w:pPr>
        <w:spacing w:line="440" w:lineRule="exact"/>
        <w:rPr>
          <w:rFonts w:hint="eastAsia" w:ascii="黑体" w:hAnsi="黑体" w:eastAsia="黑体" w:cs="黑体"/>
          <w:color w:val="auto"/>
          <w:sz w:val="21"/>
          <w:szCs w:val="21"/>
          <w:highlight w:val="none"/>
        </w:rPr>
      </w:pPr>
      <w:r>
        <w:rPr>
          <w:rFonts w:hint="eastAsia" w:ascii="黑体" w:hAnsi="黑体" w:eastAsia="黑体" w:cs="黑体"/>
          <w:b/>
          <w:color w:val="auto"/>
          <w:sz w:val="21"/>
          <w:szCs w:val="21"/>
          <w:highlight w:val="none"/>
        </w:rPr>
        <w:br w:type="page" w:clear="all"/>
      </w:r>
      <w:r>
        <w:rPr>
          <w:rFonts w:hint="eastAsia" w:ascii="黑体" w:hAnsi="黑体" w:eastAsia="黑体" w:cs="黑体"/>
          <w:color w:val="auto"/>
          <w:sz w:val="21"/>
          <w:szCs w:val="21"/>
          <w:highlight w:val="none"/>
        </w:rPr>
        <w:t xml:space="preserve">附</w:t>
      </w:r>
      <w:bookmarkStart w:id="710" w:name="_Toc296944572"/>
      <w:r/>
      <w:bookmarkStart w:id="711" w:name="_Toc296891273"/>
      <w:r/>
      <w:bookmarkStart w:id="712" w:name="_Toc296346734"/>
      <w:r/>
      <w:bookmarkStart w:id="713" w:name="_Toc296891061"/>
      <w:r/>
      <w:bookmarkStart w:id="714" w:name="_Toc296347232"/>
      <w:r/>
      <w:bookmarkStart w:id="715" w:name="_Toc296503233"/>
      <w:r>
        <w:rPr>
          <w:rFonts w:hint="eastAsia" w:ascii="黑体" w:hAnsi="黑体" w:eastAsia="黑体" w:cs="黑体"/>
          <w:color w:val="auto"/>
          <w:sz w:val="21"/>
          <w:szCs w:val="21"/>
          <w:highlight w:val="none"/>
        </w:rPr>
        <w:t xml:space="preserve">件10:  </w:t>
      </w:r>
      <w:bookmarkEnd w:id="710"/>
      <w:r/>
      <w:bookmarkEnd w:id="711"/>
      <w:r/>
      <w:bookmarkEnd w:id="712"/>
      <w:r/>
      <w:bookmarkEnd w:id="713"/>
      <w:r/>
      <w:bookmarkEnd w:id="714"/>
      <w:r/>
      <w:bookmarkEnd w:id="715"/>
      <w:r/>
      <w:r/>
    </w:p>
    <w:p>
      <w:pPr>
        <w:jc w:val="center"/>
        <w:spacing w:before="120" w:after="120" w:line="440" w:lineRule="exac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支付担保</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single"/>
        </w:rPr>
        <w:t xml:space="preserve">    </w:t>
      </w:r>
      <w:r>
        <w:rPr>
          <w:rFonts w:hint="eastAsia" w:ascii="黑体" w:hAnsi="黑体" w:eastAsia="黑体" w:cs="黑体"/>
          <w:color w:val="auto"/>
          <w:sz w:val="21"/>
          <w:szCs w:val="21"/>
          <w:highlight w:val="none"/>
        </w:rPr>
        <w:t xml:space="preserve">（承包人）：</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鉴于你方作为承包人已经与</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（发包人名称）（以下称“发包人”）于</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日签订了</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（工程名称）《建设工程施工合同》（以下称“主合同”），应发包人的申请，我方愿就发包人履行主合同约定的工程款支付义务以保证的方式向你方提供如下担保：</w:t>
      </w:r>
      <w:r/>
    </w:p>
    <w:p>
      <w:pPr>
        <w:ind w:firstLine="420"/>
        <w:spacing w:line="360" w:lineRule="auto"/>
        <w:rPr>
          <w:rFonts w:hint="eastAsia" w:ascii="黑体" w:hAnsi="黑体" w:eastAsia="黑体" w:cs="黑体"/>
          <w:color w:val="auto"/>
          <w:sz w:val="21"/>
          <w:szCs w:val="21"/>
          <w:highlight w:val="none"/>
        </w:rPr>
        <w:outlineLvl w:val="0"/>
      </w:pPr>
      <w:r/>
      <w:bookmarkStart w:id="716" w:name="_Toc18940"/>
      <w:r>
        <w:rPr>
          <w:rFonts w:hint="eastAsia" w:ascii="黑体" w:hAnsi="黑体" w:eastAsia="黑体" w:cs="黑体"/>
          <w:color w:val="auto"/>
          <w:sz w:val="21"/>
          <w:szCs w:val="21"/>
          <w:highlight w:val="none"/>
        </w:rPr>
        <w:t xml:space="preserve">一、保证的范围及保证金额</w:t>
      </w:r>
      <w:bookmarkEnd w:id="716"/>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我方的保证范围是主合同约定的工程款。</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本保函所称主合同约定的工程款是指主合同约定的除工程质量保证金以外的合同价款。</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我方保证的金额是主合同约定的工程款的</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%，数额最高不超过人民币元（大写：</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w:t>
      </w:r>
      <w:r/>
    </w:p>
    <w:p>
      <w:pPr>
        <w:ind w:firstLine="420"/>
        <w:spacing w:line="360" w:lineRule="auto"/>
        <w:rPr>
          <w:rFonts w:hint="eastAsia" w:ascii="黑体" w:hAnsi="黑体" w:eastAsia="黑体" w:cs="黑体"/>
          <w:color w:val="auto"/>
          <w:sz w:val="21"/>
          <w:szCs w:val="21"/>
          <w:highlight w:val="none"/>
        </w:rPr>
        <w:outlineLvl w:val="0"/>
      </w:pPr>
      <w:r/>
      <w:bookmarkStart w:id="717" w:name="_Toc30614"/>
      <w:r>
        <w:rPr>
          <w:rFonts w:hint="eastAsia" w:ascii="黑体" w:hAnsi="黑体" w:eastAsia="黑体" w:cs="黑体"/>
          <w:color w:val="auto"/>
          <w:sz w:val="21"/>
          <w:szCs w:val="21"/>
          <w:highlight w:val="none"/>
        </w:rPr>
        <w:t xml:space="preserve">二、保证的方式及保证期间</w:t>
      </w:r>
      <w:bookmarkEnd w:id="717"/>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我方保证的方式为：连带责任保证。</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我方保证的期间为：自本合同生效之日起至主合同约定的工程款支付完毕之日后</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日内。</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你方与发包人协议变更工程款支付日期的，经我方书面同意后，保证期间按照变更后的支付日期做相应调整。</w:t>
      </w:r>
      <w:r/>
    </w:p>
    <w:p>
      <w:pPr>
        <w:ind w:firstLine="420"/>
        <w:spacing w:line="360" w:lineRule="auto"/>
        <w:rPr>
          <w:rFonts w:hint="eastAsia" w:ascii="黑体" w:hAnsi="黑体" w:eastAsia="黑体" w:cs="黑体"/>
          <w:color w:val="auto"/>
          <w:sz w:val="21"/>
          <w:szCs w:val="21"/>
          <w:highlight w:val="none"/>
        </w:rPr>
        <w:outlineLvl w:val="0"/>
      </w:pPr>
      <w:r/>
      <w:bookmarkStart w:id="718" w:name="_Toc14374"/>
      <w:r>
        <w:rPr>
          <w:rFonts w:hint="eastAsia" w:ascii="黑体" w:hAnsi="黑体" w:eastAsia="黑体" w:cs="黑体"/>
          <w:color w:val="auto"/>
          <w:sz w:val="21"/>
          <w:szCs w:val="21"/>
          <w:highlight w:val="none"/>
        </w:rPr>
        <w:t xml:space="preserve">三、承担保证责任的形式</w:t>
      </w:r>
      <w:bookmarkEnd w:id="718"/>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我方承担保证责任的形式是代为支付。发包人未按主合同约定向你方支付工程款的，由我方在保证金额内代为支付。</w:t>
      </w:r>
      <w:r/>
    </w:p>
    <w:p>
      <w:pPr>
        <w:ind w:firstLine="420"/>
        <w:spacing w:line="360" w:lineRule="auto"/>
        <w:rPr>
          <w:rFonts w:hint="eastAsia" w:ascii="黑体" w:hAnsi="黑体" w:eastAsia="黑体" w:cs="黑体"/>
          <w:color w:val="auto"/>
          <w:sz w:val="21"/>
          <w:szCs w:val="21"/>
          <w:highlight w:val="none"/>
        </w:rPr>
        <w:outlineLvl w:val="0"/>
      </w:pPr>
      <w:r/>
      <w:bookmarkStart w:id="719" w:name="_Toc655"/>
      <w:r>
        <w:rPr>
          <w:rFonts w:hint="eastAsia" w:ascii="黑体" w:hAnsi="黑体" w:eastAsia="黑体" w:cs="黑体"/>
          <w:color w:val="auto"/>
          <w:sz w:val="21"/>
          <w:szCs w:val="21"/>
          <w:highlight w:val="none"/>
        </w:rPr>
        <w:t xml:space="preserve">四、代偿的安排</w:t>
      </w:r>
      <w:bookmarkEnd w:id="719"/>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你方要求保证我方承担责任的，应向我方发出书面索赔通知及发包人未支付主合同约定工程款的证明材料。索赔通知应写明要求索赔的金额，支付款项应到达的账号。</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我方收到你方的书面索赔通知及相应的证明材料后７天内无条件支付。</w:t>
      </w:r>
      <w:r/>
    </w:p>
    <w:p>
      <w:pPr>
        <w:ind w:firstLine="420"/>
        <w:spacing w:line="360" w:lineRule="auto"/>
        <w:rPr>
          <w:rFonts w:hint="eastAsia" w:ascii="黑体" w:hAnsi="黑体" w:eastAsia="黑体" w:cs="黑体"/>
          <w:color w:val="auto"/>
          <w:sz w:val="21"/>
          <w:szCs w:val="21"/>
          <w:highlight w:val="none"/>
        </w:rPr>
        <w:outlineLvl w:val="0"/>
      </w:pPr>
      <w:r/>
      <w:bookmarkStart w:id="720" w:name="_Toc1651"/>
      <w:r>
        <w:rPr>
          <w:rFonts w:hint="eastAsia" w:ascii="黑体" w:hAnsi="黑体" w:eastAsia="黑体" w:cs="黑体"/>
          <w:color w:val="auto"/>
          <w:sz w:val="21"/>
          <w:szCs w:val="21"/>
          <w:highlight w:val="none"/>
        </w:rPr>
        <w:t xml:space="preserve">五、保证责任的解除</w:t>
      </w:r>
      <w:bookmarkEnd w:id="720"/>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在本保函承诺的保证期间内，你方未书面向我方主张保证责任的，自保证期间届满次日起，我方保证责任解除。</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发包人按主合同约定履行了工程款的全部支付义务的，自本保函承诺的保证期间届满次日起，我方保证责任解除。</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我方按照本保函向你方履行保证责任所支付金额达到本保函保证金额时，自我方向你方支付（支付款项从我方账户划出）之日起，保证责任即解除。</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 按照法律法规的规定或出现应解除我方保证责任的其他情形的，我方在本保函项下的保证责任亦解除。</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 我方解除保证责任后，你方应自我方保证责任解除之日起</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个工作日内，将本保函原件返还我方。</w:t>
      </w:r>
      <w:r/>
    </w:p>
    <w:p>
      <w:pPr>
        <w:ind w:firstLine="420"/>
        <w:spacing w:line="360" w:lineRule="auto"/>
        <w:rPr>
          <w:rFonts w:hint="eastAsia" w:ascii="黑体" w:hAnsi="黑体" w:eastAsia="黑体" w:cs="黑体"/>
          <w:color w:val="auto"/>
          <w:sz w:val="21"/>
          <w:szCs w:val="21"/>
          <w:highlight w:val="none"/>
        </w:rPr>
        <w:outlineLvl w:val="0"/>
      </w:pPr>
      <w:r/>
      <w:bookmarkStart w:id="721" w:name="_Toc31516"/>
      <w:r>
        <w:rPr>
          <w:rFonts w:hint="eastAsia" w:ascii="黑体" w:hAnsi="黑体" w:eastAsia="黑体" w:cs="黑体"/>
          <w:color w:val="auto"/>
          <w:sz w:val="21"/>
          <w:szCs w:val="21"/>
          <w:highlight w:val="none"/>
        </w:rPr>
        <w:t xml:space="preserve">六、免责条款</w:t>
      </w:r>
      <w:bookmarkEnd w:id="721"/>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 因你方违约致使发包人不能履行义务的，我方不承担保证责任。</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 依照法律法规的规定或你方与发包人的另行约定，免除发包人部分或全部义务的，我方亦免除其相应的保证责任。</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 因不可抗力造成发包人不能履行义务的，我方不承担保证责任。</w:t>
      </w:r>
      <w:r/>
    </w:p>
    <w:p>
      <w:pPr>
        <w:ind w:firstLine="420"/>
        <w:spacing w:line="360" w:lineRule="auto"/>
        <w:rPr>
          <w:rFonts w:hint="eastAsia" w:ascii="黑体" w:hAnsi="黑体" w:eastAsia="黑体" w:cs="黑体"/>
          <w:color w:val="auto"/>
          <w:sz w:val="21"/>
          <w:szCs w:val="21"/>
          <w:highlight w:val="none"/>
        </w:rPr>
        <w:outlineLvl w:val="0"/>
      </w:pPr>
      <w:r/>
      <w:bookmarkStart w:id="722" w:name="_Toc24341"/>
      <w:r>
        <w:rPr>
          <w:rFonts w:hint="eastAsia" w:ascii="黑体" w:hAnsi="黑体" w:eastAsia="黑体" w:cs="黑体"/>
          <w:color w:val="auto"/>
          <w:sz w:val="21"/>
          <w:szCs w:val="21"/>
          <w:highlight w:val="none"/>
        </w:rPr>
        <w:t xml:space="preserve">七、争议解决</w:t>
      </w:r>
      <w:bookmarkEnd w:id="722"/>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因本保函或本保函相关事项发生的纠纷，可由双方协商解决，协商不成的，按下列第</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种方式解决：</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（1）向</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仲裁委员会申请仲裁；</w:t>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（2）向</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人民法院起诉。</w:t>
      </w:r>
      <w:r/>
    </w:p>
    <w:p>
      <w:pPr>
        <w:ind w:firstLine="420"/>
        <w:spacing w:line="360" w:lineRule="auto"/>
        <w:rPr>
          <w:rFonts w:hint="eastAsia" w:ascii="黑体" w:hAnsi="黑体" w:eastAsia="黑体" w:cs="黑体"/>
          <w:color w:val="auto"/>
          <w:sz w:val="21"/>
          <w:szCs w:val="21"/>
          <w:highlight w:val="none"/>
        </w:rPr>
        <w:outlineLvl w:val="0"/>
      </w:pPr>
      <w:r/>
      <w:bookmarkStart w:id="723" w:name="_Toc25725"/>
      <w:r>
        <w:rPr>
          <w:rFonts w:hint="eastAsia" w:ascii="黑体" w:hAnsi="黑体" w:eastAsia="黑体" w:cs="黑体"/>
          <w:color w:val="auto"/>
          <w:sz w:val="21"/>
          <w:szCs w:val="21"/>
          <w:highlight w:val="none"/>
        </w:rPr>
        <w:t xml:space="preserve">八、保函的生效</w:t>
      </w:r>
      <w:bookmarkEnd w:id="723"/>
      <w:r/>
      <w:r/>
    </w:p>
    <w:p>
      <w:pPr>
        <w:ind w:firstLine="42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本保函自我方法定代表人（或其授权代理人）签字并加盖公章之日起生效。</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担保人：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（盖章）</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法定代表人或委托代理人：</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（签字）</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地    址：</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邮政编码：</w:t>
      </w:r>
      <w:r>
        <w:rPr>
          <w:rFonts w:hint="eastAsia" w:ascii="黑体" w:hAnsi="黑体" w:eastAsia="黑体" w:cs="黑体"/>
          <w:color w:val="auto"/>
          <w:sz w:val="21"/>
          <w:szCs w:val="21"/>
          <w:highlight w:val="none"/>
          <w:u w:val="single"/>
        </w:rPr>
        <w:t xml:space="preserve">                    /                    </w:t>
      </w:r>
      <w:r/>
    </w:p>
    <w:p>
      <w:pPr>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传    真：</w:t>
      </w:r>
      <w:r>
        <w:rPr>
          <w:rFonts w:hint="eastAsia" w:ascii="黑体" w:hAnsi="黑体" w:eastAsia="黑体" w:cs="黑体"/>
          <w:color w:val="auto"/>
          <w:sz w:val="21"/>
          <w:szCs w:val="21"/>
          <w:highlight w:val="none"/>
          <w:u w:val="single"/>
        </w:rPr>
        <w:t xml:space="preserve">                    /                    </w:t>
      </w:r>
      <w:r/>
    </w:p>
    <w:p>
      <w:pPr>
        <w:ind w:firstLine="2730"/>
        <w:spacing w:line="36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年</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月</w:t>
      </w:r>
      <w:r>
        <w:rPr>
          <w:rFonts w:hint="eastAsia" w:ascii="黑体" w:hAnsi="黑体" w:eastAsia="黑体" w:cs="黑体"/>
          <w:color w:val="auto"/>
          <w:sz w:val="21"/>
          <w:szCs w:val="21"/>
          <w:highlight w:val="none"/>
          <w:u w:val="single"/>
        </w:rPr>
        <w:t xml:space="preserve">   /   </w:t>
      </w:r>
      <w:r>
        <w:rPr>
          <w:rFonts w:hint="eastAsia" w:ascii="黑体" w:hAnsi="黑体" w:eastAsia="黑体" w:cs="黑体"/>
          <w:color w:val="auto"/>
          <w:sz w:val="21"/>
          <w:szCs w:val="21"/>
          <w:highlight w:val="none"/>
        </w:rPr>
        <w:t xml:space="preserve">日</w:t>
      </w:r>
      <w:r/>
    </w:p>
    <w:p>
      <w:pPr>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rPr>
          <w:rFonts w:hint="eastAsia" w:ascii="黑体" w:hAnsi="黑体" w:eastAsia="黑体" w:cs="黑体"/>
          <w:color w:val="auto"/>
          <w:sz w:val="21"/>
          <w:szCs w:val="21"/>
          <w:highlight w:val="none"/>
        </w:rPr>
        <w:t xml:space="preserve">附件11： </w:t>
      </w:r>
      <w:r/>
    </w:p>
    <w:p>
      <w:pPr>
        <w:ind w:firstLine="2835"/>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11-1：材料暂估价表</w:t>
      </w:r>
      <w:r/>
    </w:p>
    <w:tbl>
      <w:tblPr>
        <w:tblStyle w:val="1167"/>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Borders>
              <w:top w:val="none" w:color="000000" w:sz="4" w:space="0"/>
            </w:tcBorders>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993"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bl>
    <w:p>
      <w:pPr>
        <w:widowControl w:val="off"/>
        <w:rPr>
          <w:rFonts w:hint="eastAsia" w:ascii="黑体" w:hAnsi="黑体" w:eastAsia="黑体" w:cs="黑体"/>
          <w:vanish/>
          <w:color w:val="auto"/>
          <w:sz w:val="21"/>
          <w:szCs w:val="21"/>
          <w:highlight w:val="none"/>
        </w:rPr>
      </w:pPr>
      <w:r>
        <w:rPr>
          <w:rFonts w:hint="eastAsia" w:ascii="黑体" w:hAnsi="黑体" w:eastAsia="黑体" w:cs="黑体"/>
          <w:vanish/>
          <w:color w:val="auto"/>
          <w:sz w:val="21"/>
          <w:szCs w:val="21"/>
          <w:highlight w:val="none"/>
        </w:rPr>
      </w:r>
      <w:r/>
    </w:p>
    <w:tbl>
      <w:tblPr>
        <w:tblStyle w:val="1167"/>
        <w:tblpPr w:horzAnchor="margin" w:tblpXSpec="left" w:vertAnchor="page" w:tblpY="2071" w:leftFromText="180" w:topFromText="0" w:rightFromText="180" w:bottomFromText="0"/>
        <w:tblW w:w="932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49"/>
        <w:gridCol w:w="1984"/>
        <w:gridCol w:w="851"/>
        <w:gridCol w:w="774"/>
        <w:gridCol w:w="1352"/>
        <w:gridCol w:w="1418"/>
        <w:gridCol w:w="1701"/>
      </w:tblGrid>
      <w:tr>
        <w:trPr/>
        <w:tc>
          <w:tcPr>
            <w:tcBorders>
              <w:top w:val="single" w:color="auto" w:sz="12" w:space="0"/>
              <w:bottom w:val="single" w:color="auto" w:sz="6" w:space="0"/>
            </w:tcBorders>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名称</w:t>
            </w:r>
            <w:r/>
          </w:p>
        </w:tc>
        <w:tc>
          <w:tcPr>
            <w:tcBorders>
              <w:top w:val="single" w:color="auto" w:sz="12" w:space="0"/>
              <w:bottom w:val="single" w:color="auto" w:sz="6" w:space="0"/>
            </w:tcBorders>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单位</w:t>
            </w:r>
            <w:r/>
          </w:p>
        </w:tc>
        <w:tc>
          <w:tcPr>
            <w:tcBorders>
              <w:top w:val="single" w:color="auto" w:sz="12" w:space="0"/>
              <w:bottom w:val="single" w:color="auto" w:sz="6" w:space="0"/>
            </w:tcBorders>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数量</w:t>
            </w:r>
            <w:r/>
          </w:p>
        </w:tc>
        <w:tc>
          <w:tcPr>
            <w:tcBorders>
              <w:top w:val="single" w:color="auto" w:sz="12" w:space="0"/>
              <w:bottom w:val="single" w:color="auto" w:sz="6" w:space="0"/>
            </w:tcBorders>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单价（元）</w:t>
            </w:r>
            <w:r/>
          </w:p>
        </w:tc>
        <w:tc>
          <w:tcPr>
            <w:tcBorders>
              <w:top w:val="single" w:color="auto" w:sz="12" w:space="0"/>
              <w:bottom w:val="single" w:color="auto" w:sz="6" w:space="0"/>
            </w:tcBorders>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合价（元）</w:t>
            </w:r>
            <w:r/>
          </w:p>
        </w:tc>
        <w:tc>
          <w:tcPr>
            <w:tcBorders>
              <w:top w:val="single" w:color="auto" w:sz="12" w:space="0"/>
              <w:bottom w:val="single" w:color="auto" w:sz="6" w:space="0"/>
            </w:tcBorders>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备注</w:t>
            </w:r>
            <w:r/>
          </w:p>
        </w:tc>
      </w:tr>
      <w:tr>
        <w:trPr/>
        <w:tc>
          <w:tcPr>
            <w:tcBorders>
              <w:top w:val="single" w:color="auto" w:sz="6" w:space="0"/>
              <w:bottom w:val="single" w:color="auto" w:sz="6" w:space="0"/>
            </w:tcBorders>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Borders>
              <w:top w:val="none" w:color="000000" w:sz="4" w:space="0"/>
            </w:tcBorders>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124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85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77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352"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41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701"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bl>
    <w:p>
      <w:pPr>
        <w:jc w:val="center"/>
        <w:spacing w:before="156" w:after="156"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11-2：工程设备暂估价表</w:t>
      </w:r>
      <w:r/>
    </w:p>
    <w:p>
      <w:pPr>
        <w:jc w:val="center"/>
        <w:spacing w:before="156" w:after="156"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 11-3：专业工程暂估价表</w:t>
      </w:r>
      <w:r/>
    </w:p>
    <w:tbl>
      <w:tblPr>
        <w:tblStyle w:val="1167"/>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序号</w:t>
            </w:r>
            <w:r/>
          </w:p>
        </w:tc>
        <w:tc>
          <w:tcPr>
            <w:tcBorders>
              <w:top w:val="single" w:color="auto" w:sz="12" w:space="0"/>
              <w:bottom w:val="single" w:color="auto" w:sz="6"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工程内容</w:t>
            </w:r>
            <w:r/>
          </w:p>
        </w:tc>
        <w:tc>
          <w:tcPr>
            <w:tcBorders>
              <w:top w:val="single" w:color="auto" w:sz="12" w:space="0"/>
              <w:bottom w:val="single" w:color="auto" w:sz="6" w:space="0"/>
            </w:tcBorders>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single" w:color="auto" w:sz="6" w:space="0"/>
              <w:bottom w:val="single" w:color="auto" w:sz="6" w:space="0"/>
            </w:tcBorders>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Borders>
              <w:top w:val="none" w:color="000000" w:sz="4" w:space="0"/>
            </w:tcBorders>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Borders>
              <w:top w:val="none" w:color="000000" w:sz="4" w:space="0"/>
            </w:tcBorders>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Borders>
              <w:top w:val="none" w:color="000000" w:sz="4" w:space="0"/>
            </w:tcBorders>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tcW w:w="879"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984"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4678"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c>
          <w:tcPr>
            <w:tcW w:w="1276"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tc>
      </w:tr>
      <w:tr>
        <w:trPr/>
        <w:tc>
          <w:tcPr>
            <w:gridSpan w:val="4"/>
            <w:tcW w:w="8817" w:type="dxa"/>
            <w:vAlign w:val="top"/>
            <w:textDirection w:val="lrTb"/>
            <w:noWrap w:val="false"/>
          </w:tcPr>
          <w:p>
            <w:pPr>
              <w:pStyle w:val="1169"/>
              <w:ind w:right="72"/>
              <w:spacing w:line="440" w:lineRule="exact"/>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小计：</w:t>
            </w:r>
            <w:r/>
          </w:p>
        </w:tc>
      </w:tr>
    </w:tbl>
    <w:p>
      <w:pPr>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jc w:val="left"/>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rPr>
          <w:rFonts w:hint="eastAsia" w:ascii="黑体" w:hAnsi="黑体" w:eastAsia="黑体" w:cs="黑体"/>
          <w:color w:val="auto"/>
          <w:sz w:val="21"/>
          <w:szCs w:val="21"/>
          <w:highlight w:val="none"/>
        </w:rPr>
        <w:t xml:space="preserve">附件1</w:t>
      </w:r>
      <w:r>
        <w:rPr>
          <w:rFonts w:hint="eastAsia" w:ascii="黑体" w:hAnsi="黑体" w:eastAsia="黑体" w:cs="黑体"/>
          <w:color w:val="auto"/>
          <w:sz w:val="21"/>
          <w:szCs w:val="21"/>
          <w:highlight w:val="none"/>
          <w:lang w:val="en-US" w:eastAsia="zh-CN"/>
        </w:rPr>
        <w:t xml:space="preserve">2</w:t>
      </w:r>
      <w:r>
        <w:rPr>
          <w:rFonts w:hint="eastAsia" w:ascii="黑体" w:hAnsi="黑体" w:eastAsia="黑体" w:cs="黑体"/>
          <w:color w:val="auto"/>
          <w:sz w:val="21"/>
          <w:szCs w:val="21"/>
          <w:highlight w:val="none"/>
        </w:rPr>
        <w:t xml:space="preserve">：</w:t>
      </w:r>
      <w:r/>
    </w:p>
    <w:p>
      <w:pPr>
        <w:jc w:val="center"/>
        <w:spacing w:line="360" w:lineRule="auto"/>
        <w:rPr>
          <w:rFonts w:hint="eastAsia" w:ascii="黑体" w:hAnsi="黑体" w:eastAsia="黑体" w:cs="黑体"/>
          <w:b/>
          <w:color w:val="auto"/>
          <w:sz w:val="21"/>
          <w:szCs w:val="21"/>
          <w:highlight w:val="none"/>
        </w:rPr>
      </w:pPr>
      <w:r>
        <w:rPr>
          <w:rFonts w:hint="eastAsia" w:ascii="黑体" w:hAnsi="黑体" w:eastAsia="黑体" w:cs="黑体"/>
          <w:b/>
          <w:color w:val="auto"/>
          <w:sz w:val="21"/>
          <w:szCs w:val="21"/>
          <w:highlight w:val="none"/>
        </w:rPr>
        <w:t xml:space="preserve">廉洁从业承诺书</w:t>
      </w:r>
      <w:r/>
    </w:p>
    <w:p>
      <w:pPr>
        <w:jc w:val="both"/>
        <w:spacing w:line="360" w:lineRule="auto"/>
        <w:rPr>
          <w:rFonts w:hint="eastAsia" w:ascii="黑体" w:hAnsi="黑体" w:eastAsia="黑体" w:cs="黑体"/>
          <w:b/>
          <w:bCs/>
          <w:color w:val="auto"/>
          <w:sz w:val="21"/>
          <w:szCs w:val="21"/>
          <w:highlight w:val="none"/>
        </w:rPr>
      </w:pPr>
      <w:r>
        <w:rPr>
          <w:rFonts w:hint="eastAsia" w:ascii="黑体" w:hAnsi="黑体" w:eastAsia="黑体" w:cs="黑体"/>
          <w:color w:val="auto"/>
          <w:sz w:val="21"/>
          <w:szCs w:val="21"/>
          <w:highlight w:val="none"/>
        </w:rPr>
        <w:t xml:space="preserve">项目名称：</w:t>
      </w:r>
      <w:r>
        <w:rPr>
          <w:rFonts w:hint="eastAsia" w:ascii="黑体" w:hAnsi="黑体" w:eastAsia="黑体" w:cs="黑体"/>
          <w:color w:val="auto"/>
          <w:sz w:val="21"/>
          <w:szCs w:val="21"/>
          <w:highlight w:val="none"/>
          <w:u w:val="single"/>
          <w:lang w:eastAsia="zh-CN"/>
        </w:rPr>
        <w:t xml:space="preserve">徐州国防教育馆改造提升项目</w:t>
      </w:r>
      <w:r>
        <w:rPr>
          <w:rFonts w:hint="eastAsia" w:ascii="黑体" w:hAnsi="黑体" w:eastAsia="黑体" w:cs="黑体"/>
          <w:color w:val="auto"/>
          <w:sz w:val="21"/>
          <w:szCs w:val="21"/>
          <w:highlight w:val="none"/>
          <w:lang w:val="en-US" w:eastAsia="zh-CN"/>
        </w:rPr>
        <w:t xml:space="preserve"> </w:t>
      </w:r>
      <w:r>
        <w:rPr>
          <w:rFonts w:hint="eastAsia" w:ascii="黑体" w:hAnsi="黑体" w:eastAsia="黑体" w:cs="黑体"/>
          <w:color w:val="auto"/>
          <w:sz w:val="21"/>
          <w:szCs w:val="21"/>
          <w:highlight w:val="none"/>
        </w:rPr>
        <w:t xml:space="preserve">             </w:t>
      </w:r>
      <w:r/>
    </w:p>
    <w:tbl>
      <w:tblPr>
        <w:tblStyle w:val="116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961"/>
      </w:tblGrid>
      <w:tr>
        <w:trPr>
          <w:trHeight w:val="503"/>
        </w:trPr>
        <w:tc>
          <w:tcPr>
            <w:tcW w:w="4503" w:type="dxa"/>
            <w:vAlign w:val="center"/>
            <w:textDirection w:val="lrTb"/>
            <w:noWrap w:val="false"/>
          </w:tcPr>
          <w:p>
            <w:pPr>
              <w:jc w:val="both"/>
              <w:spacing w:line="240" w:lineRule="auto"/>
              <w:rPr>
                <w:rFonts w:hint="eastAsia" w:ascii="黑体" w:hAnsi="黑体" w:eastAsia="黑体" w:cs="黑体"/>
                <w:color w:val="auto"/>
                <w:sz w:val="21"/>
                <w:szCs w:val="21"/>
                <w:highlight w:val="none"/>
                <w:lang w:eastAsia="zh-CN"/>
              </w:rPr>
            </w:pPr>
            <w:r>
              <w:rPr>
                <w:rFonts w:hint="eastAsia" w:ascii="黑体" w:hAnsi="黑体" w:eastAsia="黑体" w:cs="黑体"/>
                <w:color w:val="auto"/>
                <w:sz w:val="21"/>
                <w:szCs w:val="21"/>
                <w:highlight w:val="none"/>
              </w:rPr>
              <w:t xml:space="preserve">发包人单位：</w:t>
            </w:r>
            <w:r>
              <w:rPr>
                <w:rFonts w:hint="eastAsia" w:ascii="黑体" w:hAnsi="黑体" w:eastAsia="黑体" w:cs="黑体"/>
                <w:color w:val="auto"/>
                <w:sz w:val="21"/>
                <w:szCs w:val="21"/>
                <w:highlight w:val="none"/>
                <w:lang w:val="en-US" w:eastAsia="zh-CN"/>
              </w:rPr>
              <w:t xml:space="preserve"> </w:t>
            </w:r>
            <w:r/>
          </w:p>
        </w:tc>
        <w:tc>
          <w:tcPr>
            <w:tcW w:w="4961" w:type="dxa"/>
            <w:vAlign w:val="center"/>
            <w:textDirection w:val="lrTb"/>
            <w:noWrap w:val="false"/>
          </w:tcPr>
          <w:p>
            <w:pPr>
              <w:jc w:val="both"/>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承包人单位：</w:t>
            </w:r>
            <w:r/>
          </w:p>
        </w:tc>
      </w:tr>
      <w:tr>
        <w:trPr>
          <w:trHeight w:val="425"/>
        </w:trPr>
        <w:tc>
          <w:tcPr>
            <w:gridSpan w:val="2"/>
            <w:tcW w:w="9464" w:type="dxa"/>
            <w:vAlign w:val="top"/>
            <w:textDirection w:val="lrTb"/>
            <w:noWrap w:val="false"/>
          </w:tcPr>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一、承诺内容：</w:t>
            </w:r>
            <w:r/>
          </w:p>
        </w:tc>
      </w:tr>
      <w:tr>
        <w:trPr/>
        <w:tc>
          <w:tcPr>
            <w:tcW w:w="4503" w:type="dxa"/>
            <w:vAlign w:val="top"/>
            <w:textDirection w:val="lrTb"/>
            <w:noWrap w:val="false"/>
          </w:tcPr>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发包人管理人员向承包人郑重承诺，保证严格遵守廉洁从业规定，坚决杜绝以下行为：</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（一）索要或接受承包人的礼金、有价证券和贵重物品，或在承包人报销应由本单位或个人支付的费用；</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（二）私下参加承包人安排的宴请；</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（三）参加承包人安排的旅游以及其他高消费娱乐活动；</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（四）利用职务上的便利向承包人推销材料、设备或者从事其他中介活动；</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（五）利用职务上的便利向承包人安插个人施工队伍或者违反规定为亲友参与该项目建设经商办企业提供便利条件；</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（六）在项目招标、质量检查、计量以及钱款支付等过程中，滥用职权，徇私舞弊；</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（七）其他违法违纪与违反廉洁从业规定的行为。</w:t>
            </w:r>
            <w:r/>
          </w:p>
        </w:tc>
        <w:tc>
          <w:tcPr>
            <w:tcW w:w="4961" w:type="dxa"/>
            <w:vAlign w:val="top"/>
            <w:textDirection w:val="lrTb"/>
            <w:noWrap w:val="false"/>
          </w:tcPr>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承包人向发包人郑重承诺，在项目建设中严格遵守廉洁从业规定，保证做到：</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（一）不以任何不正当竞争行为参与招投标及经营管理活动；</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（二）不以任何形式和借口向发包人管理人员赠送礼金、有价证券和贵重物品，不给发包人单位和个人报销应由其单位或个人支付的费用；</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（三）不以任何原因和借口私下宴请发包人有关人员；</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（四）不以任何原因和借口邀请发包人有关人员参与宴请、旅游以及其他高消费娱乐活动；</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（五）不以任何原因和借口接受发包人管理人员私自推销的材料和设备；</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（六）不以任何原因和借口接受发包人管理人员私自安插的施工队伍；</w:t>
            </w:r>
            <w:r/>
          </w:p>
          <w:p>
            <w:pPr>
              <w:ind w:firstLine="21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（七）不以其他任何非正常行为影响发包人人员公正履行公务。</w:t>
            </w:r>
            <w:r/>
          </w:p>
        </w:tc>
      </w:tr>
      <w:tr>
        <w:trPr>
          <w:trHeight w:val="551"/>
        </w:trPr>
        <w:tc>
          <w:tcPr>
            <w:gridSpan w:val="2"/>
            <w:tcW w:w="9464" w:type="dxa"/>
            <w:vAlign w:val="top"/>
            <w:textDirection w:val="lrTb"/>
            <w:noWrap w:val="false"/>
          </w:tcPr>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二、违约责任：</w:t>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发包人管理人员如违背上述承诺，经核实将接受组织处理、经济处罚、党纪政纪处分。构成违纪违法行为的，应承担法律责任。</w:t>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承包人如违背承诺，出现一次，愿意由发包人从工程款中扣除违约金为合同金额的1%，并以不良行为接受处理。发现两次扣除违约金为合同金额的1.2%，并按不良行为予以记录备案。发现三次取消施工单位施工资格，因其带来的经济损失后果自负。</w:t>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构成违纪违法行为的，应承担法律责任。</w:t>
            </w:r>
            <w:r/>
          </w:p>
          <w:p>
            <w:pPr>
              <w:ind w:firstLine="420"/>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因违反廉洁从业承诺给对方造成经济损失的，在核实损失事实后一个月内，按实际损失数额予以赔偿。</w:t>
            </w:r>
            <w:r/>
          </w:p>
        </w:tc>
      </w:tr>
      <w:tr>
        <w:trPr>
          <w:trHeight w:val="1334"/>
        </w:trPr>
        <w:tc>
          <w:tcPr>
            <w:gridSpan w:val="2"/>
            <w:tcW w:w="9464" w:type="dxa"/>
            <w:vAlign w:val="top"/>
            <w:textDirection w:val="lrTb"/>
            <w:noWrap w:val="false"/>
          </w:tcPr>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三、其他事项：</w:t>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1、本承诺书所述的发包人管理人员包括项目管理人员、建设监理以及项目审计人员。</w:t>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2、本承诺书与建设项目主体合同具有同等法律效力，双方签署后即生效。本承诺书一式拾份，发包人陆份，承包人肆份。</w:t>
            </w:r>
            <w:r/>
          </w:p>
        </w:tc>
      </w:tr>
      <w:tr>
        <w:trPr>
          <w:trHeight w:val="1225"/>
        </w:trPr>
        <w:tc>
          <w:tcPr>
            <w:gridSpan w:val="2"/>
            <w:tcW w:w="9464" w:type="dxa"/>
            <w:vAlign w:val="top"/>
            <w:textDirection w:val="lrTb"/>
            <w:noWrap w:val="false"/>
          </w:tcPr>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发包人（盖章）：                        承包人（盖章） ：</w:t>
            </w:r>
            <w:r/>
          </w:p>
          <w:p>
            <w:pPr>
              <w:ind w:firstLine="472"/>
              <w:spacing w:line="240" w:lineRule="auto"/>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法定代表人（签章）                     法定代表人（签章）</w:t>
            </w:r>
            <w:r/>
          </w:p>
          <w:p>
            <w:pPr>
              <w:keepLines/>
              <w:keepNext/>
              <w:spacing w:before="60" w:after="60" w:line="240" w:lineRule="auto"/>
              <w:rPr>
                <w:rFonts w:hint="eastAsia" w:ascii="黑体" w:hAnsi="黑体" w:eastAsia="黑体" w:cs="黑体"/>
                <w:b/>
                <w:bCs/>
                <w:color w:val="auto"/>
                <w:sz w:val="21"/>
                <w:szCs w:val="21"/>
                <w:highlight w:val="none"/>
              </w:rPr>
              <w:outlineLvl w:val="1"/>
            </w:pPr>
            <w:r>
              <w:rPr>
                <w:rFonts w:hint="eastAsia" w:ascii="黑体" w:hAnsi="黑体" w:eastAsia="黑体" w:cs="黑体"/>
                <w:b/>
                <w:bCs/>
                <w:color w:val="auto"/>
                <w:sz w:val="21"/>
                <w:szCs w:val="21"/>
                <w:highlight w:val="none"/>
              </w:rPr>
            </w:r>
            <w:r/>
          </w:p>
          <w:p>
            <w:pPr>
              <w:ind w:firstLine="420"/>
              <w:spacing w:line="240" w:lineRule="auto"/>
              <w:rPr>
                <w:rFonts w:hint="eastAsia" w:ascii="黑体" w:hAnsi="黑体" w:eastAsia="黑体" w:cs="黑体"/>
                <w:b/>
                <w:bCs/>
                <w:color w:val="auto"/>
                <w:sz w:val="21"/>
                <w:szCs w:val="21"/>
                <w:highlight w:val="none"/>
              </w:rPr>
            </w:pPr>
            <w:r>
              <w:rPr>
                <w:rFonts w:hint="eastAsia" w:ascii="黑体" w:hAnsi="黑体" w:eastAsia="黑体" w:cs="黑体"/>
                <w:color w:val="auto"/>
                <w:sz w:val="21"/>
                <w:szCs w:val="21"/>
                <w:highlight w:val="none"/>
              </w:rPr>
              <w:t xml:space="preserve">2026年  月  日                         2026年  月  日</w:t>
            </w:r>
            <w:r/>
          </w:p>
        </w:tc>
      </w:tr>
    </w:tbl>
    <w:p>
      <w:pPr>
        <w:jc w:val="left"/>
        <w:keepLines w:val="0"/>
        <w:keepNext w:val="0"/>
        <w:pageBreakBefore w:val="0"/>
        <w:spacing w:line="36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br w:type="page" w:clear="all"/>
      </w:r>
      <w:r>
        <w:rPr>
          <w:rFonts w:hint="eastAsia" w:ascii="黑体" w:hAnsi="黑体" w:eastAsia="黑体" w:cs="黑体"/>
          <w:color w:val="auto"/>
          <w:sz w:val="21"/>
          <w:szCs w:val="21"/>
          <w:highlight w:val="none"/>
        </w:rPr>
        <w:t xml:space="preserve">附件1</w:t>
      </w:r>
      <w:r>
        <w:rPr>
          <w:rFonts w:hint="eastAsia" w:ascii="黑体" w:hAnsi="黑体" w:eastAsia="黑体" w:cs="黑体"/>
          <w:color w:val="auto"/>
          <w:sz w:val="21"/>
          <w:szCs w:val="21"/>
          <w:highlight w:val="none"/>
          <w:lang w:val="en-US" w:eastAsia="zh-CN"/>
        </w:rPr>
        <w:t xml:space="preserve">3：</w:t>
      </w:r>
      <w:r/>
    </w:p>
    <w:p>
      <w:pPr>
        <w:jc w:val="center"/>
        <w:keepLines w:val="0"/>
        <w:keepNext w:val="0"/>
        <w:pageBreakBefore w:val="0"/>
        <w:spacing w:line="360" w:lineRule="auto"/>
        <w:widowControl w:val="off"/>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 xml:space="preserve">施工安全协议书</w:t>
      </w:r>
      <w:r/>
    </w:p>
    <w:p>
      <w:pPr>
        <w:keepLines w:val="0"/>
        <w:keepNext w:val="0"/>
        <w:pageBreakBefore w:val="0"/>
        <w:spacing w:line="240" w:lineRule="auto"/>
        <w:widowControl w:val="off"/>
        <w:rPr>
          <w:rFonts w:hint="eastAsia" w:ascii="黑体" w:hAnsi="黑体" w:eastAsia="黑体" w:cs="黑体"/>
          <w:color w:val="auto"/>
          <w:sz w:val="21"/>
          <w:szCs w:val="21"/>
          <w:highlight w:val="none"/>
          <w:u w:val="single"/>
          <w:lang w:eastAsia="zh-CN"/>
        </w:rPr>
      </w:pPr>
      <w:r>
        <w:rPr>
          <w:rFonts w:hint="eastAsia" w:ascii="黑体" w:hAnsi="黑体" w:eastAsia="黑体" w:cs="黑体"/>
          <w:color w:val="auto"/>
          <w:sz w:val="21"/>
          <w:szCs w:val="21"/>
          <w:highlight w:val="none"/>
        </w:rPr>
        <w:t xml:space="preserve">发包人:  </w:t>
      </w:r>
      <w:r>
        <w:rPr>
          <w:rFonts w:hint="eastAsia" w:ascii="黑体" w:hAnsi="黑体" w:eastAsia="黑体" w:cs="黑体"/>
          <w:color w:val="auto"/>
          <w:sz w:val="21"/>
          <w:szCs w:val="21"/>
          <w:highlight w:val="none"/>
          <w:u w:val="single"/>
          <w:lang w:eastAsia="zh-CN"/>
        </w:rPr>
        <w:t xml:space="preserve">淮海战役烈士纪念塔管理中心   </w:t>
      </w:r>
      <w:r/>
    </w:p>
    <w:p>
      <w:pPr>
        <w:keepLines w:val="0"/>
        <w:keepNext w:val="0"/>
        <w:pageBreakBefore w:val="0"/>
        <w:spacing w:line="240" w:lineRule="auto"/>
        <w:widowControl w:val="off"/>
        <w:rPr>
          <w:rFonts w:hint="eastAsia" w:ascii="黑体" w:hAnsi="黑体" w:eastAsia="黑体" w:cs="黑体"/>
          <w:color w:val="auto"/>
          <w:sz w:val="21"/>
          <w:szCs w:val="21"/>
          <w:highlight w:val="none"/>
          <w:u w:val="none"/>
          <w:lang w:eastAsia="zh-CN"/>
        </w:rPr>
      </w:pPr>
      <w:r>
        <w:rPr>
          <w:rFonts w:hint="eastAsia" w:ascii="黑体" w:hAnsi="黑体" w:eastAsia="黑体" w:cs="黑体"/>
          <w:color w:val="auto"/>
          <w:sz w:val="21"/>
          <w:szCs w:val="21"/>
          <w:highlight w:val="none"/>
          <w:u w:val="none"/>
          <w:lang w:eastAsia="zh-CN"/>
        </w:rPr>
        <w:t xml:space="preserve">承包人：</w:t>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工程名称：</w:t>
      </w:r>
      <w:r>
        <w:rPr>
          <w:rFonts w:hint="eastAsia" w:ascii="黑体" w:hAnsi="黑体" w:eastAsia="黑体" w:cs="黑体"/>
          <w:color w:val="auto"/>
          <w:sz w:val="21"/>
          <w:szCs w:val="21"/>
          <w:highlight w:val="none"/>
          <w:u w:val="single"/>
          <w:lang w:eastAsia="zh-CN"/>
        </w:rPr>
        <w:t xml:space="preserve">徐州国防教育馆改造提升项目</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为了切实加强施工现场安全生产管理，根据《中华人民共和国安全生产法》《中华人民共和国建筑法》《中华人民共和国民法典》《建设工程安全生产管理条例》及相关法律法规的规定，甲乙双方本着平等、自愿的原则，就发包人将</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rPr>
        <w:t xml:space="preserve">项目（以下简称工程）发包给承包人承建，特订立如下安全管理协议：</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一、发包人的权利、责任和义务：</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1.贯彻国家有关安全生产、文明施工等法律法规要求，对施工现场安全生产统一协调管理，督促施工单位落实安全生产保障措施。</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对承包人施工区域进行安全生产和文明施工监督检查，不得违章指挥、强令他人违章冒险作业，依照合同和项目管理办法对承包人不符合安全生产管理规定的行为进行处罚并追究相关法律责任，对不接受管理或严重违章、屡教不改的有权责令其停工或无条件退场。</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二、承包人的权利、责任和义务：</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1.贯彻落实国家有关安全生产、文明施工等法律法规要求，建立健全安全生产责任制和安全生产管理相关制度，强化消防、临时用电、绿色文明施工安全管理。</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2.服从发包人安全生产管理。 </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3.承包人必须遵守现场实名制管理相关规定，为施工作业人员投保工伤保险或安全生产责任保险。</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承包人应定期开展安全生产检查，对检查存在的安全隐患按照“五定”原则及时整改回复，消除各类安全隐患。在施工过程中发现重大事故隐患应立即停止作业并向发包人汇报，采取必要应急措施撤离现场，隐患排除后再施工。对不具备安全条件的部位不得冒险施工。因承包人原因造成生产安全事故、拖欠农民工工资上访等群体事件的由承包人承担事故责任和经济责任，如对发包人经济、声誉等造成影响，发包人将追究承包人的赔偿责任。</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5.不得安排未经安全生产教育培训合格和未持有效特种作业人员操作资格证书的特种作业人员上岗作业。</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6.承包人应确保进场的各类施工机械设备完好，安全装置齐全有效，经监理验收合格后方可使用。</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7.承包人应提供施工现场《生产安全事故应急救援预案》，为作业人员提供符合国家及行业标准的劳动安全防护用品。</w:t>
      </w:r>
      <w:r/>
    </w:p>
    <w:p>
      <w:pPr>
        <w:ind w:firstLine="420"/>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三、本协议与双方签定的合同时效相同。签订合同的同时，签订本协议。合同到期后，本协议同时终止。</w:t>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发包人：                                     承包人：                         </w:t>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经办人：                              </w:t>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r>
      <w:r/>
    </w:p>
    <w:p>
      <w:pPr>
        <w:keepLines w:val="0"/>
        <w:keepNext w:val="0"/>
        <w:pageBreakBefore w:val="0"/>
        <w:spacing w:line="240" w:lineRule="auto"/>
        <w:widowControl w:val="off"/>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年   月   日                                   年   月   日</w:t>
      </w:r>
      <w:r/>
    </w:p>
    <w:p>
      <w:pPr>
        <w:rPr>
          <w:color w:val="auto"/>
          <w:sz w:val="21"/>
          <w:szCs w:val="21"/>
          <w:highlight w:val="none"/>
        </w:rPr>
      </w:pPr>
      <w:r>
        <w:rPr>
          <w:color w:val="auto"/>
          <w:sz w:val="21"/>
          <w:szCs w:val="21"/>
          <w:highlight w:val="none"/>
        </w:rPr>
      </w:r>
      <w:r/>
    </w:p>
    <w:p>
      <w:pPr>
        <w:pStyle w:val="1182"/>
        <w:rPr>
          <w:rFonts w:hint="eastAsia"/>
          <w:color w:val="auto"/>
          <w:highlight w:val="none"/>
          <w:lang w:val="en-US" w:eastAsia="zh-CN"/>
        </w:rPr>
      </w:pPr>
      <w:r>
        <w:rPr>
          <w:rFonts w:hint="eastAsia"/>
          <w:color w:val="auto"/>
          <w:highlight w:val="none"/>
          <w:lang w:val="en-US" w:eastAsia="zh-CN"/>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Adobe 仿宋 Std R">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760"/>
      <w:jc w:val="left"/>
      <w:tabs>
        <w:tab w:val="right" w:pos="4153" w:leader="none"/>
        <w:tab w:val="left" w:pos="8306" w:leader="underscor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68275" cy="16256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68275" cy="16256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20</w:t>
                          </w:r>
                          <w:r>
                            <w:rPr>
                              <w:rFonts w:hint="default" w:ascii="Calibri" w:hAnsi="Calibri" w:eastAsia="宋体" w:cs="Times New Roman"/>
                              <w:sz w:val="21"/>
                              <w:szCs w:val="21"/>
                              <w:lang w:val="en-US" w:eastAsia="zh-CN" w:bidi="ar-SA"/>
                            </w:rPr>
                            <w:fldChar w:fldCharType="end"/>
                          </w:r>
                          <w:r/>
                        </w:p>
                      </w:txbxContent>
                    </wps:txbx>
                    <wps:bodyPr vert="horz" wrap="square" lIns="0" tIns="0" rIns="0" bIns="0" anchor="t" anchorCtr="0" upright="1"/>
                  </wps:wsp>
                </a:graphicData>
              </a:graphic>
            </wp:anchor>
          </w:drawing>
        </mc:Choice>
        <mc:Fallback>
          <w:pict>
            <v:shape id="shape 3" o:spid="_x0000_s3" o:spt="202" type="#_x0000_t202" style="position:absolute;z-index:251659264;o:allowoverlap:true;o:allowincell:true;mso-position-horizontal-relative:margin;mso-position-horizontal:right;mso-position-vertical-relative:text;margin-top:0.0pt;mso-position-vertical:absolute;width:13.2pt;height:12.8pt;mso-wrap-distance-left:9.0pt;mso-wrap-distance-top:0.0pt;mso-wrap-distance-right:9.0pt;mso-wrap-distance-bottom:0.0pt;v-text-anchor:top;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20</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default" w:ascii="Times New Roman" w:hAnsi="Times New Roman" w:eastAsia="宋体" w:cs="Times New Roman"/>
        <w:sz w:val="18"/>
        <w:lang w:val="en-US" w:eastAsia="zh-CN" w:bidi="ar-SA"/>
      </w:rPr>
      <w:framePr w:wrap="around" w:vAnchor="text" w:hAnchor="margin" w:xAlign="right" w:y="1"/>
    </w:pPr>
    <w:r>
      <w:rPr>
        <w:rFonts w:hint="default" w:ascii="Times New Roman" w:hAnsi="Times New Roman" w:eastAsia="宋体" w:cs="Times New Roman"/>
        <w:sz w:val="18"/>
        <w:lang w:val="en-US" w:eastAsia="zh-CN" w:bidi="ar-SA"/>
      </w:rPr>
      <w:fldChar w:fldCharType="begin"/>
    </w:r>
    <w:r>
      <w:rPr>
        <w:rFonts w:hint="default" w:ascii="Calibri" w:hAnsi="Calibri" w:eastAsia="宋体" w:cs="Times New Roman"/>
        <w:sz w:val="21"/>
        <w:szCs w:val="21"/>
        <w:lang w:val="en-US" w:eastAsia="zh-CN" w:bidi="ar-SA"/>
      </w:rPr>
      <w:instrText xml:space="preserve">PAGE  </w:instrText>
    </w:r>
    <w:r>
      <w:rPr>
        <w:rFonts w:hint="default" w:ascii="Times New Roman" w:hAnsi="Times New Roman" w:eastAsia="宋体" w:cs="Times New Roman"/>
        <w:sz w:val="18"/>
        <w:lang w:val="en-US" w:eastAsia="zh-CN" w:bidi="ar-SA"/>
      </w:rPr>
      <w:fldChar w:fldCharType="separate"/>
    </w:r>
    <w:r>
      <w:rPr>
        <w:rFonts w:hint="default" w:ascii="Calibri" w:hAnsi="Calibri" w:eastAsia="宋体" w:cs="Times New Roman"/>
        <w:sz w:val="21"/>
        <w:szCs w:val="21"/>
        <w:lang w:val="en-US" w:eastAsia="zh-CN" w:bidi="ar-SA"/>
      </w:rPr>
      <w:t xml:space="preserve">19</w:t>
    </w:r>
    <w:r>
      <w:rPr>
        <w:rFonts w:hint="default" w:ascii="Times New Roman" w:hAnsi="Times New Roman" w:eastAsia="宋体" w:cs="Times New Roman"/>
        <w:sz w:val="18"/>
        <w:lang w:val="en-US" w:eastAsia="zh-CN" w:bidi="ar-SA"/>
      </w:rPr>
      <w:fldChar w:fldCharType="end"/>
    </w:r>
    <w:r/>
  </w:p>
  <w:p>
    <w:pPr>
      <w:ind w:right="360"/>
      <w:jc w:val="left"/>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27</w:t>
                          </w:r>
                          <w:r>
                            <w:rPr>
                              <w:rFonts w:hint="default" w:ascii="Calibri" w:hAnsi="Calibri" w:eastAsia="宋体" w:cs="Times New Roman"/>
                              <w:sz w:val="21"/>
                              <w:szCs w:val="21"/>
                              <w:lang w:val="en-US" w:eastAsia="zh-CN" w:bidi="ar-SA"/>
                            </w:rPr>
                            <w:fldChar w:fldCharType="end"/>
                          </w:r>
                          <w:r/>
                        </w:p>
                      </w:txbxContent>
                    </wps:txbx>
                    <wps:bodyPr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27</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right" w:pos="4153" w:leader="none"/>
        <w:tab w:val="left" w:pos="8306" w:leader="underscore"/>
      </w:tabs>
      <w:rPr>
        <w:rFonts w:hint="default" w:ascii="隶书" w:hAnsi="Times New Roman" w:eastAsia="隶书" w:cs="Times New Roman"/>
        <w:b/>
        <w:i/>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64465" cy="16256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64465" cy="16256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56</w:t>
                          </w:r>
                          <w:r>
                            <w:rPr>
                              <w:rFonts w:hint="default" w:ascii="Calibri" w:hAnsi="Calibri" w:eastAsia="宋体" w:cs="Times New Roman"/>
                              <w:sz w:val="21"/>
                              <w:szCs w:val="21"/>
                              <w:lang w:val="en-US" w:eastAsia="zh-CN" w:bidi="ar-SA"/>
                            </w:rPr>
                            <w:fldChar w:fldCharType="end"/>
                          </w:r>
                          <w:r/>
                        </w:p>
                      </w:txbxContent>
                    </wps:txbx>
                    <wps:bodyPr vert="horz" wrap="square" lIns="0" tIns="0" rIns="0" bIns="0" anchor="t" anchorCtr="0" upright="1"/>
                  </wps:wsp>
                </a:graphicData>
              </a:graphic>
            </wp:anchor>
          </w:drawing>
        </mc:Choice>
        <mc:Fallback>
          <w:pict>
            <v:shape id="shape 5" o:spid="_x0000_s5" o:spt="202" type="#_x0000_t202" style="position:absolute;z-index:251661312;o:allowoverlap:true;o:allowincell:true;mso-position-horizontal-relative:margin;mso-position-horizontal:right;mso-position-vertical-relative:text;margin-top:0.0pt;mso-position-vertical:absolute;width:12.9pt;height:12.8pt;mso-wrap-distance-left:9.0pt;mso-wrap-distance-top:0.0pt;mso-wrap-distance-right:9.0pt;mso-wrap-distance-bottom:0.0pt;v-text-anchor:top;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56</w:t>
                    </w:r>
                    <w:r>
                      <w:rPr>
                        <w:rFonts w:hint="default" w:ascii="Calibri" w:hAnsi="Calibri" w:eastAsia="宋体" w:cs="Times New Roman"/>
                        <w:sz w:val="21"/>
                        <w:szCs w:val="21"/>
                        <w:lang w:val="en-US" w:eastAsia="zh-CN" w:bidi="ar-SA"/>
                      </w:rPr>
                      <w:fldChar w:fldCharType="end"/>
                    </w:r>
                    <w:r/>
                  </w:p>
                </w:txbxContent>
              </v:textbox>
            </v:shape>
          </w:pict>
        </mc:Fallback>
      </mc:AlternateContent>
    </w:r>
    <w:r/>
  </w:p>
  <w:p>
    <w:pPr>
      <w:jc w:val="both"/>
      <w:rPr>
        <w:rFonts w:hint="default" w:ascii="隶书" w:hAnsi="Times New Roman" w:eastAsia="隶书" w:cs="Times New Roman"/>
        <w:b/>
        <w:i/>
        <w:sz w:val="18"/>
        <w:lang w:val="en-US" w:eastAsia="zh-CN" w:bidi="ar-SA"/>
      </w:rPr>
    </w:pPr>
    <w:r>
      <w:rPr>
        <w:rFonts w:hint="default" w:ascii="隶书" w:hAnsi="Times New Roman" w:eastAsia="隶书" w:cs="Times New Roman"/>
        <w:b/>
        <w:i/>
        <w:sz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50</w:t>
                          </w:r>
                          <w:r>
                            <w:rPr>
                              <w:rFonts w:hint="default" w:ascii="Calibri" w:hAnsi="Calibri" w:eastAsia="宋体" w:cs="Times New Roman"/>
                              <w:sz w:val="21"/>
                              <w:szCs w:val="21"/>
                              <w:lang w:val="en-US" w:eastAsia="zh-CN" w:bidi="ar-SA"/>
                            </w:rPr>
                            <w:fldChar w:fldCharType="end"/>
                          </w:r>
                          <w:r/>
                        </w:p>
                      </w:txbxContent>
                    </wps:txbx>
                    <wps:bodyPr vert="horz" wrap="none" lIns="0" tIns="0" rIns="0" bIns="0" anchor="t" anchorCtr="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50</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50</w:t>
                          </w:r>
                          <w:r>
                            <w:rPr>
                              <w:rFonts w:hint="default" w:ascii="Calibri" w:hAnsi="Calibri" w:eastAsia="宋体" w:cs="Times New Roman"/>
                              <w:sz w:val="21"/>
                              <w:szCs w:val="21"/>
                              <w:lang w:val="en-US" w:eastAsia="zh-CN" w:bidi="ar-SA"/>
                            </w:rPr>
                            <w:fldChar w:fldCharType="end"/>
                          </w:r>
                          <w:r/>
                        </w:p>
                      </w:txbxContent>
                    </wps:txbx>
                    <wps:bodyPr vert="horz" wrap="none" lIns="0" tIns="0" rIns="0" bIns="0" anchor="t" anchorCtr="0" upright="1">
                      <a:spAutoFit/>
                    </wps:bodyPr>
                  </wps:wsp>
                </a:graphicData>
              </a:graphic>
            </wp:anchor>
          </w:drawing>
        </mc:Choice>
        <mc:Fallback>
          <w:pict>
            <v:shape id="shape 8" o:spid="_x0000_s8"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fldChar w:fldCharType="begin"/>
                    </w:r>
                    <w:r>
                      <w:rPr>
                        <w:rFonts w:hint="default" w:ascii="Calibri" w:hAnsi="Calibri" w:eastAsia="宋体" w:cs="Times New Roman"/>
                        <w:sz w:val="21"/>
                        <w:szCs w:val="21"/>
                        <w:lang w:val="en-US" w:eastAsia="zh-CN" w:bidi="ar-SA"/>
                      </w:rPr>
                      <w:instrText xml:space="preserve"> PAGE  \* MERGEFORMAT </w:instrText>
                    </w:r>
                    <w:r>
                      <w:rPr>
                        <w:rFonts w:hint="default" w:ascii="Calibri" w:hAnsi="Calibri" w:eastAsia="宋体" w:cs="Times New Roman"/>
                        <w:sz w:val="21"/>
                        <w:szCs w:val="21"/>
                        <w:lang w:val="en-US" w:eastAsia="zh-CN" w:bidi="ar-SA"/>
                      </w:rPr>
                      <w:fldChar w:fldCharType="separate"/>
                    </w:r>
                    <w:r>
                      <w:rPr>
                        <w:rFonts w:hint="default" w:ascii="Calibri" w:hAnsi="Calibri" w:eastAsia="宋体" w:cs="Times New Roman"/>
                        <w:sz w:val="21"/>
                        <w:szCs w:val="21"/>
                        <w:lang w:val="en-US" w:eastAsia="zh-CN" w:bidi="ar-SA"/>
                      </w:rPr>
                      <w:t xml:space="preserve">50</w:t>
                    </w:r>
                    <w:r>
                      <w:rPr>
                        <w:rFonts w:hint="default" w:ascii="Calibri" w:hAnsi="Calibri" w:eastAsia="宋体" w:cs="Times New Roman"/>
                        <w:sz w:val="21"/>
                        <w:szCs w:val="21"/>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-16510</wp:posOffset>
              </wp:positionH>
              <wp:positionV relativeFrom="paragraph">
                <wp:posOffset>-71755</wp:posOffset>
              </wp:positionV>
              <wp:extent cx="702945" cy="416560"/>
              <wp:effectExtent l="0" t="0" r="1905" b="2540"/>
              <wp:wrapSquare wrapText="bothSides"/>
              <wp:docPr id="1" name="图片 2" descr="中经国际(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中经国际(LOGO).jpg"/>
                      <pic:cNvPicPr>
                        <a:picLocks noChangeAspect="1"/>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b/>
        <w:sz w:val="22"/>
        <w:szCs w:val="22"/>
        <w:lang w:val="en-US" w:eastAsia="zh-CN" w:bidi="ar-SA"/>
      </w:rPr>
      <w:t xml:space="preserve">                                  </w:t>
    </w:r>
    <w:r>
      <w:rPr>
        <w:rFonts w:hint="default"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p>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-16510</wp:posOffset>
              </wp:positionH>
              <wp:positionV relativeFrom="paragraph">
                <wp:posOffset>-71755</wp:posOffset>
              </wp:positionV>
              <wp:extent cx="702945" cy="416560"/>
              <wp:effectExtent l="0" t="0" r="1905" b="2540"/>
              <wp:wrapSquare wrapText="bothSides"/>
              <wp:docPr id="2" name="图片 7" descr="中经国际(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中经国际(LOGO).jpg"/>
                      <pic:cNvPicPr>
                        <a:picLocks noChangeAspect="1"/>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b/>
        <w:sz w:val="22"/>
        <w:szCs w:val="22"/>
        <w:lang w:val="en-US" w:eastAsia="zh-CN" w:bidi="ar-SA"/>
      </w:rPr>
      <w:t xml:space="preserve">                                  </w:t>
    </w:r>
    <w:r>
      <w:rPr>
        <w:rFonts w:hint="eastAsia" w:ascii="Times New Roman" w:hAnsi="Times New Roman" w:cs="Times New Roman"/>
        <w:b/>
        <w:sz w:val="22"/>
        <w:szCs w:val="22"/>
        <w:lang w:val="en-US" w:eastAsia="zh-CN" w:bidi="ar-SA"/>
      </w:rPr>
      <w:t xml:space="preserve">   </w:t>
    </w:r>
    <w:r>
      <w:rPr>
        <w:rFonts w:hint="default"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p>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rPr>
        <w:rFonts w:hint="eastAsia" w:ascii="Adobe 仿宋 Std R" w:hAnsi="Adobe 仿宋 Std R" w:eastAsia="Adobe 仿宋 Std R" w:cs="Times New Roman"/>
        <w:b/>
        <w:spacing w:val="44"/>
        <w:sz w:val="32"/>
        <w:szCs w:val="32"/>
      </w:rPr>
    </w:pPr>
    <w:r>
      <w:rPr>
        <w:rFonts w:hint="eastAsia" w:ascii="Adobe 仿宋 Std R" w:hAnsi="Adobe 仿宋 Std R" w:eastAsia="Adobe 仿宋 Std R" w:cs="Times New Roman"/>
        <w:b/>
        <w:spacing w:val="44"/>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-16510</wp:posOffset>
              </wp:positionH>
              <wp:positionV relativeFrom="paragraph">
                <wp:posOffset>-71755</wp:posOffset>
              </wp:positionV>
              <wp:extent cx="702945" cy="416560"/>
              <wp:effectExtent l="0" t="0" r="1905" b="2540"/>
              <wp:wrapSquare wrapText="bothSides"/>
              <wp:docPr id="3" name="图片 40" descr="中经国际(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0" descr="中经国际(LOGO).jpg"/>
                      <pic:cNvPicPr>
                        <a:picLocks noChangeAspect="1"/>
                      </pic:cNvPicPr>
                      <pic:nvPr/>
                    </pic:nvPicPr>
                    <pic:blipFill>
                      <a:blip r:embed="rId1"/>
                      <a:stretch/>
                    </pic:blipFill>
                    <pic:spPr bwMode="auto">
                      <a:xfrm>
                        <a:off x="0" y="0"/>
                        <a:ext cx="702945" cy="416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margin;margin-left:-1.3pt;mso-position-horizontal:absolute;mso-position-vertical-relative:text;margin-top:-5.6pt;mso-position-vertical:absolute;width:55.3pt;height:32.8pt;mso-wrap-distance-left:9.0pt;mso-wrap-distance-top:0.0pt;mso-wrap-distance-right:9.0pt;mso-wrap-distance-bottom:0.0pt;" stroked="f">
              <v:path textboxrect="0,0,0,0"/>
              <w10:wrap type="square"/>
              <v:imagedata r:id="rId1" o:title=""/>
            </v:shape>
          </w:pict>
        </mc:Fallback>
      </mc:AlternateContent>
    </w:r>
    <w:r>
      <w:rPr>
        <w:rFonts w:hint="eastAsia" w:ascii="Adobe 仿宋 Std R" w:hAnsi="Adobe 仿宋 Std R" w:eastAsia="Adobe 仿宋 Std R" w:cs="Times New Roman"/>
        <w:b/>
        <w:spacing w:val="44"/>
        <w:sz w:val="24"/>
        <w:szCs w:val="24"/>
      </w:rPr>
      <w:t xml:space="preserve">中经国际招标集团有限公司</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b/>
        <w:sz w:val="22"/>
        <w:szCs w:val="22"/>
        <w:lang w:val="en-US" w:eastAsia="zh-CN" w:bidi="ar-SA"/>
      </w:rPr>
      <w:t xml:space="preserve">                                  </w:t>
    </w:r>
    <w:r>
      <w:rPr>
        <w:rFonts w:hint="eastAsia" w:ascii="Times New Roman" w:hAnsi="Times New Roman" w:cs="Times New Roman"/>
        <w:b/>
        <w:sz w:val="22"/>
        <w:szCs w:val="22"/>
        <w:lang w:val="en-US" w:eastAsia="zh-CN" w:bidi="ar-SA"/>
      </w:rPr>
      <w:t xml:space="preserve">   </w:t>
    </w:r>
    <w:r>
      <w:rPr>
        <w:rFonts w:hint="default" w:ascii="Times New Roman" w:hAnsi="Times New Roman" w:eastAsia="宋体" w:cs="Times New Roman"/>
        <w:b/>
        <w:sz w:val="22"/>
        <w:szCs w:val="22"/>
        <w:lang w:val="en-US" w:eastAsia="zh-CN" w:bidi="ar-SA"/>
      </w:rPr>
      <w:t xml:space="preserve">C</w:t>
    </w:r>
    <w:r>
      <w:rPr>
        <w:rFonts w:hint="eastAsia" w:ascii="Times New Roman" w:hAnsi="Times New Roman" w:eastAsia="宋体" w:cs="Times New Roman"/>
        <w:b/>
        <w:sz w:val="22"/>
        <w:szCs w:val="22"/>
        <w:lang w:val="en-US" w:eastAsia="zh-CN" w:bidi="ar-SA"/>
      </w:rPr>
      <w:t xml:space="preserve">hina Economic International Tendering Co .,LT  </w:t>
    </w:r>
    <w:r/>
  </w:p>
  <w:p>
    <w:pPr>
      <w:jc w:val="both"/>
      <w:tabs>
        <w:tab w:val="center" w:pos="7143" w:leader="none"/>
        <w:tab w:val="right" w:pos="14287" w:leader="none"/>
      </w:tabs>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3">
    <w:name w:val="Heading 1 Char"/>
    <w:basedOn w:val="1166"/>
    <w:link w:val="1163"/>
    <w:uiPriority w:val="9"/>
    <w:rPr>
      <w:rFonts w:ascii="Arial" w:hAnsi="Arial" w:eastAsia="Arial" w:cs="Arial"/>
      <w:sz w:val="40"/>
      <w:szCs w:val="40"/>
    </w:rPr>
  </w:style>
  <w:style w:type="paragraph" w:styleId="994">
    <w:name w:val="Heading 2"/>
    <w:basedOn w:val="1162"/>
    <w:next w:val="1162"/>
    <w:link w:val="995"/>
    <w:uiPriority w:val="9"/>
    <w:unhideWhenUsed/>
    <w:qFormat/>
    <w:pPr>
      <w:keepLines/>
      <w:keepNext/>
      <w:spacing w:before="360" w:after="200"/>
      <w:outlineLvl w:val="1"/>
    </w:pPr>
    <w:rPr>
      <w:rFonts w:ascii="Arial" w:hAnsi="Arial" w:eastAsia="Arial" w:cs="Arial"/>
      <w:sz w:val="34"/>
    </w:rPr>
  </w:style>
  <w:style w:type="character" w:styleId="995">
    <w:name w:val="Heading 2 Char"/>
    <w:basedOn w:val="1166"/>
    <w:link w:val="994"/>
    <w:uiPriority w:val="9"/>
    <w:rPr>
      <w:rFonts w:ascii="Arial" w:hAnsi="Arial" w:eastAsia="Arial" w:cs="Arial"/>
      <w:sz w:val="34"/>
    </w:rPr>
  </w:style>
  <w:style w:type="character" w:styleId="996">
    <w:name w:val="Heading 3 Char"/>
    <w:basedOn w:val="1166"/>
    <w:link w:val="1164"/>
    <w:uiPriority w:val="9"/>
    <w:rPr>
      <w:rFonts w:ascii="Arial" w:hAnsi="Arial" w:eastAsia="Arial" w:cs="Arial"/>
      <w:sz w:val="30"/>
      <w:szCs w:val="30"/>
    </w:rPr>
  </w:style>
  <w:style w:type="character" w:styleId="997">
    <w:name w:val="Heading 4 Char"/>
    <w:basedOn w:val="1166"/>
    <w:link w:val="1165"/>
    <w:uiPriority w:val="9"/>
    <w:rPr>
      <w:rFonts w:ascii="Arial" w:hAnsi="Arial" w:eastAsia="Arial" w:cs="Arial"/>
      <w:b/>
      <w:bCs/>
      <w:sz w:val="26"/>
      <w:szCs w:val="26"/>
    </w:rPr>
  </w:style>
  <w:style w:type="paragraph" w:styleId="998">
    <w:name w:val="Heading 5"/>
    <w:basedOn w:val="1162"/>
    <w:next w:val="1162"/>
    <w:link w:val="999"/>
    <w:uiPriority w:val="9"/>
    <w:unhideWhenUsed/>
    <w:qFormat/>
    <w:pPr>
      <w:keepLines/>
      <w:keepNext/>
      <w:spacing w:before="320" w:after="200"/>
      <w:outlineLvl w:val="4"/>
    </w:pPr>
    <w:rPr>
      <w:rFonts w:ascii="Arial" w:hAnsi="Arial" w:eastAsia="Arial" w:cs="Arial"/>
      <w:b/>
      <w:bCs/>
      <w:sz w:val="24"/>
      <w:szCs w:val="24"/>
    </w:rPr>
  </w:style>
  <w:style w:type="character" w:styleId="999">
    <w:name w:val="Heading 5 Char"/>
    <w:basedOn w:val="1166"/>
    <w:link w:val="998"/>
    <w:uiPriority w:val="9"/>
    <w:rPr>
      <w:rFonts w:ascii="Arial" w:hAnsi="Arial" w:eastAsia="Arial" w:cs="Arial"/>
      <w:b/>
      <w:bCs/>
      <w:sz w:val="24"/>
      <w:szCs w:val="24"/>
    </w:rPr>
  </w:style>
  <w:style w:type="paragraph" w:styleId="1000">
    <w:name w:val="Heading 6"/>
    <w:basedOn w:val="1162"/>
    <w:next w:val="1162"/>
    <w:link w:val="1001"/>
    <w:uiPriority w:val="9"/>
    <w:unhideWhenUsed/>
    <w:qFormat/>
    <w:pPr>
      <w:keepLines/>
      <w:keepNext/>
      <w:spacing w:before="320" w:after="200"/>
      <w:outlineLvl w:val="5"/>
    </w:pPr>
    <w:rPr>
      <w:rFonts w:ascii="Arial" w:hAnsi="Arial" w:eastAsia="Arial" w:cs="Arial"/>
      <w:b/>
      <w:bCs/>
      <w:sz w:val="22"/>
      <w:szCs w:val="22"/>
    </w:rPr>
  </w:style>
  <w:style w:type="character" w:styleId="1001">
    <w:name w:val="Heading 6 Char"/>
    <w:basedOn w:val="1166"/>
    <w:link w:val="1000"/>
    <w:uiPriority w:val="9"/>
    <w:rPr>
      <w:rFonts w:ascii="Arial" w:hAnsi="Arial" w:eastAsia="Arial" w:cs="Arial"/>
      <w:b/>
      <w:bCs/>
      <w:sz w:val="22"/>
      <w:szCs w:val="22"/>
    </w:rPr>
  </w:style>
  <w:style w:type="paragraph" w:styleId="1002">
    <w:name w:val="Heading 7"/>
    <w:basedOn w:val="1162"/>
    <w:next w:val="1162"/>
    <w:link w:val="1003"/>
    <w:uiPriority w:val="9"/>
    <w:unhideWhenUsed/>
    <w:qFormat/>
    <w:pPr>
      <w:keepLines/>
      <w:keepNext/>
      <w:spacing w:before="320" w:after="200"/>
      <w:outlineLvl w:val="6"/>
    </w:pPr>
    <w:rPr>
      <w:rFonts w:ascii="Arial" w:hAnsi="Arial" w:eastAsia="Arial" w:cs="Arial"/>
      <w:b/>
      <w:bCs/>
      <w:i/>
      <w:iCs/>
      <w:sz w:val="22"/>
      <w:szCs w:val="22"/>
    </w:rPr>
  </w:style>
  <w:style w:type="character" w:styleId="1003">
    <w:name w:val="Heading 7 Char"/>
    <w:basedOn w:val="1166"/>
    <w:link w:val="1002"/>
    <w:uiPriority w:val="9"/>
    <w:rPr>
      <w:rFonts w:ascii="Arial" w:hAnsi="Arial" w:eastAsia="Arial" w:cs="Arial"/>
      <w:b/>
      <w:bCs/>
      <w:i/>
      <w:iCs/>
      <w:sz w:val="22"/>
      <w:szCs w:val="22"/>
    </w:rPr>
  </w:style>
  <w:style w:type="paragraph" w:styleId="1004">
    <w:name w:val="Heading 8"/>
    <w:basedOn w:val="1162"/>
    <w:next w:val="1162"/>
    <w:link w:val="1005"/>
    <w:uiPriority w:val="9"/>
    <w:unhideWhenUsed/>
    <w:qFormat/>
    <w:pPr>
      <w:keepLines/>
      <w:keepNext/>
      <w:spacing w:before="320" w:after="200"/>
      <w:outlineLvl w:val="7"/>
    </w:pPr>
    <w:rPr>
      <w:rFonts w:ascii="Arial" w:hAnsi="Arial" w:eastAsia="Arial" w:cs="Arial"/>
      <w:i/>
      <w:iCs/>
      <w:sz w:val="22"/>
      <w:szCs w:val="22"/>
    </w:rPr>
  </w:style>
  <w:style w:type="character" w:styleId="1005">
    <w:name w:val="Heading 8 Char"/>
    <w:basedOn w:val="1166"/>
    <w:link w:val="1004"/>
    <w:uiPriority w:val="9"/>
    <w:rPr>
      <w:rFonts w:ascii="Arial" w:hAnsi="Arial" w:eastAsia="Arial" w:cs="Arial"/>
      <w:i/>
      <w:iCs/>
      <w:sz w:val="22"/>
      <w:szCs w:val="22"/>
    </w:rPr>
  </w:style>
  <w:style w:type="paragraph" w:styleId="1006">
    <w:name w:val="Heading 9"/>
    <w:basedOn w:val="1162"/>
    <w:next w:val="1162"/>
    <w:link w:val="1007"/>
    <w:uiPriority w:val="9"/>
    <w:unhideWhenUsed/>
    <w:qFormat/>
    <w:pPr>
      <w:keepLines/>
      <w:keepNext/>
      <w:spacing w:before="320" w:after="200"/>
      <w:outlineLvl w:val="8"/>
    </w:pPr>
    <w:rPr>
      <w:rFonts w:ascii="Arial" w:hAnsi="Arial" w:eastAsia="Arial" w:cs="Arial"/>
      <w:i/>
      <w:iCs/>
      <w:sz w:val="21"/>
      <w:szCs w:val="21"/>
    </w:rPr>
  </w:style>
  <w:style w:type="character" w:styleId="1007">
    <w:name w:val="Heading 9 Char"/>
    <w:basedOn w:val="1166"/>
    <w:link w:val="1006"/>
    <w:uiPriority w:val="9"/>
    <w:rPr>
      <w:rFonts w:ascii="Arial" w:hAnsi="Arial" w:eastAsia="Arial" w:cs="Arial"/>
      <w:i/>
      <w:iCs/>
      <w:sz w:val="21"/>
      <w:szCs w:val="21"/>
    </w:rPr>
  </w:style>
  <w:style w:type="paragraph" w:styleId="1008">
    <w:name w:val="List Paragraph"/>
    <w:basedOn w:val="1162"/>
    <w:uiPriority w:val="34"/>
    <w:qFormat/>
    <w:pPr>
      <w:contextualSpacing/>
      <w:ind w:left="720"/>
    </w:pPr>
  </w:style>
  <w:style w:type="paragraph" w:styleId="1009">
    <w:name w:val="No Spacing"/>
    <w:uiPriority w:val="1"/>
    <w:qFormat/>
    <w:pPr>
      <w:spacing w:before="0" w:after="0" w:line="240" w:lineRule="auto"/>
    </w:pPr>
  </w:style>
  <w:style w:type="character" w:styleId="1010">
    <w:name w:val="Title Char"/>
    <w:basedOn w:val="1166"/>
    <w:link w:val="1175"/>
    <w:uiPriority w:val="10"/>
    <w:rPr>
      <w:sz w:val="48"/>
      <w:szCs w:val="48"/>
    </w:rPr>
  </w:style>
  <w:style w:type="paragraph" w:styleId="1011">
    <w:name w:val="Subtitle"/>
    <w:basedOn w:val="1162"/>
    <w:next w:val="1162"/>
    <w:link w:val="1012"/>
    <w:uiPriority w:val="11"/>
    <w:qFormat/>
    <w:pPr>
      <w:spacing w:before="200" w:after="200"/>
    </w:pPr>
    <w:rPr>
      <w:sz w:val="24"/>
      <w:szCs w:val="24"/>
    </w:rPr>
  </w:style>
  <w:style w:type="character" w:styleId="1012">
    <w:name w:val="Subtitle Char"/>
    <w:basedOn w:val="1166"/>
    <w:link w:val="1011"/>
    <w:uiPriority w:val="11"/>
    <w:rPr>
      <w:sz w:val="24"/>
      <w:szCs w:val="24"/>
    </w:rPr>
  </w:style>
  <w:style w:type="paragraph" w:styleId="1013">
    <w:name w:val="Quote"/>
    <w:basedOn w:val="1162"/>
    <w:next w:val="1162"/>
    <w:link w:val="1014"/>
    <w:uiPriority w:val="29"/>
    <w:qFormat/>
    <w:pPr>
      <w:ind w:left="720" w:right="720"/>
    </w:pPr>
    <w:rPr>
      <w:i/>
    </w:rPr>
  </w:style>
  <w:style w:type="character" w:styleId="1014">
    <w:name w:val="Quote Char"/>
    <w:link w:val="1013"/>
    <w:uiPriority w:val="29"/>
    <w:rPr>
      <w:i/>
    </w:rPr>
  </w:style>
  <w:style w:type="paragraph" w:styleId="1015">
    <w:name w:val="Intense Quote"/>
    <w:basedOn w:val="1162"/>
    <w:next w:val="1162"/>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name w:val="Intense Quote Char"/>
    <w:link w:val="1015"/>
    <w:uiPriority w:val="30"/>
    <w:rPr>
      <w:i/>
    </w:rPr>
  </w:style>
  <w:style w:type="character" w:styleId="1017">
    <w:name w:val="Header Char"/>
    <w:basedOn w:val="1166"/>
    <w:link w:val="1172"/>
    <w:uiPriority w:val="99"/>
  </w:style>
  <w:style w:type="character" w:styleId="1018">
    <w:name w:val="Footer Char"/>
    <w:basedOn w:val="1166"/>
    <w:link w:val="1171"/>
    <w:uiPriority w:val="99"/>
  </w:style>
  <w:style w:type="paragraph" w:styleId="1019">
    <w:name w:val="Caption"/>
    <w:basedOn w:val="1162"/>
    <w:next w:val="1162"/>
    <w:uiPriority w:val="35"/>
    <w:semiHidden/>
    <w:unhideWhenUsed/>
    <w:qFormat/>
    <w:pPr>
      <w:spacing w:line="276" w:lineRule="auto"/>
    </w:pPr>
    <w:rPr>
      <w:b/>
      <w:bCs/>
      <w:color w:val="4f81bd" w:themeColor="accent1"/>
      <w:sz w:val="18"/>
      <w:szCs w:val="18"/>
    </w:rPr>
  </w:style>
  <w:style w:type="character" w:styleId="1020">
    <w:name w:val="Caption Char"/>
    <w:basedOn w:val="1019"/>
    <w:link w:val="1171"/>
    <w:uiPriority w:val="99"/>
  </w:style>
  <w:style w:type="table" w:styleId="1021">
    <w:name w:val="Table Grid Light"/>
    <w:basedOn w:val="11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2">
    <w:name w:val="Plain Table 1"/>
    <w:basedOn w:val="11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1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1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1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1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1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1 Light - Accent 1"/>
    <w:basedOn w:val="11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9">
    <w:name w:val="Grid Table 1 Light - Accent 2"/>
    <w:basedOn w:val="11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0">
    <w:name w:val="Grid Table 1 Light - Accent 3"/>
    <w:basedOn w:val="11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1">
    <w:name w:val="Grid Table 1 Light - Accent 4"/>
    <w:basedOn w:val="11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2">
    <w:name w:val="Grid Table 1 Light - Accent 5"/>
    <w:basedOn w:val="11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3">
    <w:name w:val="Grid Table 1 Light - Accent 6"/>
    <w:basedOn w:val="11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4">
    <w:name w:val="Grid Table 2"/>
    <w:basedOn w:val="11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5">
    <w:name w:val="Grid Table 2 - Accent 1"/>
    <w:basedOn w:val="11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6">
    <w:name w:val="Grid Table 2 - Accent 2"/>
    <w:basedOn w:val="11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7">
    <w:name w:val="Grid Table 2 - Accent 3"/>
    <w:basedOn w:val="11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8">
    <w:name w:val="Grid Table 2 - Accent 4"/>
    <w:basedOn w:val="11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9">
    <w:name w:val="Grid Table 2 - Accent 5"/>
    <w:basedOn w:val="11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0">
    <w:name w:val="Grid Table 2 - Accent 6"/>
    <w:basedOn w:val="11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1">
    <w:name w:val="Grid Table 3"/>
    <w:basedOn w:val="11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1"/>
    <w:basedOn w:val="11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2"/>
    <w:basedOn w:val="11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3"/>
    <w:basedOn w:val="11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4"/>
    <w:basedOn w:val="11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5"/>
    <w:basedOn w:val="11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6"/>
    <w:basedOn w:val="11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4"/>
    <w:basedOn w:val="11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name w:val="Grid Table 4 - Accent 1"/>
    <w:basedOn w:val="11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0">
    <w:name w:val="Grid Table 4 - Accent 2"/>
    <w:basedOn w:val="11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1">
    <w:name w:val="Grid Table 4 - Accent 3"/>
    <w:basedOn w:val="11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2">
    <w:name w:val="Grid Table 4 - Accent 4"/>
    <w:basedOn w:val="11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3">
    <w:name w:val="Grid Table 4 - Accent 5"/>
    <w:basedOn w:val="11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4">
    <w:name w:val="Grid Table 4 - Accent 6"/>
    <w:basedOn w:val="11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5">
    <w:name w:val="Grid Table 5 Dark"/>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6">
    <w:name w:val="Grid Table 5 Dark- Accent 1"/>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7">
    <w:name w:val="Grid Table 5 Dark - Accent 2"/>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8">
    <w:name w:val="Grid Table 5 Dark - Accent 3"/>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9">
    <w:name w:val="Grid Table 5 Dark- Accent 4"/>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0">
    <w:name w:val="Grid Table 5 Dark - Accent 5"/>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1">
    <w:name w:val="Grid Table 5 Dark - Accent 6"/>
    <w:basedOn w:val="11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2">
    <w:name w:val="Grid Table 6 Colorful"/>
    <w:basedOn w:val="11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3">
    <w:name w:val="Grid Table 6 Colorful - Accent 1"/>
    <w:basedOn w:val="11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4">
    <w:name w:val="Grid Table 6 Colorful - Accent 2"/>
    <w:basedOn w:val="11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5">
    <w:name w:val="Grid Table 6 Colorful - Accent 3"/>
    <w:basedOn w:val="11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6">
    <w:name w:val="Grid Table 6 Colorful - Accent 4"/>
    <w:basedOn w:val="11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7">
    <w:name w:val="Grid Table 6 Colorful - Accent 5"/>
    <w:basedOn w:val="11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8">
    <w:name w:val="Grid Table 6 Colorful - Accent 6"/>
    <w:basedOn w:val="11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9">
    <w:name w:val="Grid Table 7 Colorful"/>
    <w:basedOn w:val="11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0">
    <w:name w:val="Grid Table 7 Colorful - Accent 1"/>
    <w:basedOn w:val="11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1">
    <w:name w:val="Grid Table 7 Colorful - Accent 2"/>
    <w:basedOn w:val="11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2">
    <w:name w:val="Grid Table 7 Colorful - Accent 3"/>
    <w:basedOn w:val="11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3">
    <w:name w:val="Grid Table 7 Colorful - Accent 4"/>
    <w:basedOn w:val="11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4">
    <w:name w:val="Grid Table 7 Colorful - Accent 5"/>
    <w:basedOn w:val="11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5">
    <w:name w:val="Grid Table 7 Colorful - Accent 6"/>
    <w:basedOn w:val="11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6">
    <w:name w:val="List Table 1 Light"/>
    <w:basedOn w:val="11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name w:val="List Table 1 Light - Accent 1"/>
    <w:basedOn w:val="11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8">
    <w:name w:val="List Table 1 Light - Accent 2"/>
    <w:basedOn w:val="11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9">
    <w:name w:val="List Table 1 Light - Accent 3"/>
    <w:basedOn w:val="11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0">
    <w:name w:val="List Table 1 Light - Accent 4"/>
    <w:basedOn w:val="11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1">
    <w:name w:val="List Table 1 Light - Accent 5"/>
    <w:basedOn w:val="11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2">
    <w:name w:val="List Table 1 Light - Accent 6"/>
    <w:basedOn w:val="11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3">
    <w:name w:val="List Table 2"/>
    <w:basedOn w:val="11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4">
    <w:name w:val="List Table 2 - Accent 1"/>
    <w:basedOn w:val="11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5">
    <w:name w:val="List Table 2 - Accent 2"/>
    <w:basedOn w:val="11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6">
    <w:name w:val="List Table 2 - Accent 3"/>
    <w:basedOn w:val="11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7">
    <w:name w:val="List Table 2 - Accent 4"/>
    <w:basedOn w:val="11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8">
    <w:name w:val="List Table 2 - Accent 5"/>
    <w:basedOn w:val="11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9">
    <w:name w:val="List Table 2 - Accent 6"/>
    <w:basedOn w:val="11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0">
    <w:name w:val="List Table 3"/>
    <w:basedOn w:val="11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1">
    <w:name w:val="List Table 3 - Accent 1"/>
    <w:basedOn w:val="11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2">
    <w:name w:val="List Table 3 - Accent 2"/>
    <w:basedOn w:val="11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3">
    <w:name w:val="List Table 3 - Accent 3"/>
    <w:basedOn w:val="11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4">
    <w:name w:val="List Table 3 - Accent 4"/>
    <w:basedOn w:val="11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5">
    <w:name w:val="List Table 3 - Accent 5"/>
    <w:basedOn w:val="11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6">
    <w:name w:val="List Table 3 - Accent 6"/>
    <w:basedOn w:val="11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7">
    <w:name w:val="List Table 4"/>
    <w:basedOn w:val="11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8">
    <w:name w:val="List Table 4 - Accent 1"/>
    <w:basedOn w:val="11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9">
    <w:name w:val="List Table 4 - Accent 2"/>
    <w:basedOn w:val="11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0">
    <w:name w:val="List Table 4 - Accent 3"/>
    <w:basedOn w:val="11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1">
    <w:name w:val="List Table 4 - Accent 4"/>
    <w:basedOn w:val="11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2">
    <w:name w:val="List Table 4 - Accent 5"/>
    <w:basedOn w:val="11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3">
    <w:name w:val="List Table 4 - Accent 6"/>
    <w:basedOn w:val="11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4">
    <w:name w:val="List Table 5 Dark"/>
    <w:basedOn w:val="11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1"/>
    <w:basedOn w:val="11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2"/>
    <w:basedOn w:val="11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3"/>
    <w:basedOn w:val="11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4"/>
    <w:basedOn w:val="11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5"/>
    <w:basedOn w:val="11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6"/>
    <w:basedOn w:val="11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6 Colorful"/>
    <w:basedOn w:val="11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2">
    <w:name w:val="List Table 6 Colorful - Accent 1"/>
    <w:basedOn w:val="11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3">
    <w:name w:val="List Table 6 Colorful - Accent 2"/>
    <w:basedOn w:val="11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4">
    <w:name w:val="List Table 6 Colorful - Accent 3"/>
    <w:basedOn w:val="11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5">
    <w:name w:val="List Table 6 Colorful - Accent 4"/>
    <w:basedOn w:val="11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6">
    <w:name w:val="List Table 6 Colorful - Accent 5"/>
    <w:basedOn w:val="11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7">
    <w:name w:val="List Table 6 Colorful - Accent 6"/>
    <w:basedOn w:val="11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8">
    <w:name w:val="List Table 7 Colorful"/>
    <w:basedOn w:val="11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9">
    <w:name w:val="List Table 7 Colorful - Accent 1"/>
    <w:basedOn w:val="11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0">
    <w:name w:val="List Table 7 Colorful - Accent 2"/>
    <w:basedOn w:val="11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1">
    <w:name w:val="List Table 7 Colorful - Accent 3"/>
    <w:basedOn w:val="11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2">
    <w:name w:val="List Table 7 Colorful - Accent 4"/>
    <w:basedOn w:val="11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3">
    <w:name w:val="List Table 7 Colorful - Accent 5"/>
    <w:basedOn w:val="11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4">
    <w:name w:val="List Table 7 Colorful - Accent 6"/>
    <w:basedOn w:val="11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5">
    <w:name w:val="Lined - Accent"/>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6">
    <w:name w:val="Lined - Accent 1"/>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7">
    <w:name w:val="Lined - Accent 2"/>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8">
    <w:name w:val="Lined - Accent 3"/>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9">
    <w:name w:val="Lined - Accent 4"/>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0">
    <w:name w:val="Lined - Accent 5"/>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1">
    <w:name w:val="Lined - Accent 6"/>
    <w:basedOn w:val="11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2">
    <w:name w:val="Bordered &amp; Lined - Accent"/>
    <w:basedOn w:val="11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3">
    <w:name w:val="Bordered &amp; Lined - Accent 1"/>
    <w:basedOn w:val="11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4">
    <w:name w:val="Bordered &amp; Lined - Accent 2"/>
    <w:basedOn w:val="11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5">
    <w:name w:val="Bordered &amp; Lined - Accent 3"/>
    <w:basedOn w:val="11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6">
    <w:name w:val="Bordered &amp; Lined - Accent 4"/>
    <w:basedOn w:val="11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7">
    <w:name w:val="Bordered &amp; Lined - Accent 5"/>
    <w:basedOn w:val="11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8">
    <w:name w:val="Bordered &amp; Lined - Accent 6"/>
    <w:basedOn w:val="11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9">
    <w:name w:val="Bordered"/>
    <w:basedOn w:val="11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0">
    <w:name w:val="Bordered - Accent 1"/>
    <w:basedOn w:val="11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1">
    <w:name w:val="Bordered - Accent 2"/>
    <w:basedOn w:val="11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2">
    <w:name w:val="Bordered - Accent 3"/>
    <w:basedOn w:val="11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3">
    <w:name w:val="Bordered - Accent 4"/>
    <w:basedOn w:val="11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4">
    <w:name w:val="Bordered - Accent 5"/>
    <w:basedOn w:val="11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5">
    <w:name w:val="Bordered - Accent 6"/>
    <w:basedOn w:val="11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6">
    <w:name w:val="Hyperlink"/>
    <w:uiPriority w:val="99"/>
    <w:unhideWhenUsed/>
    <w:rPr>
      <w:color w:val="0000ff" w:themeColor="hyperlink"/>
      <w:u w:val="single"/>
    </w:rPr>
  </w:style>
  <w:style w:type="paragraph" w:styleId="1147">
    <w:name w:val="footnote text"/>
    <w:basedOn w:val="1162"/>
    <w:link w:val="1148"/>
    <w:uiPriority w:val="99"/>
    <w:semiHidden/>
    <w:unhideWhenUsed/>
    <w:pPr>
      <w:spacing w:after="40" w:line="240" w:lineRule="auto"/>
    </w:pPr>
    <w:rPr>
      <w:sz w:val="18"/>
    </w:rPr>
  </w:style>
  <w:style w:type="character" w:styleId="1148">
    <w:name w:val="Footnote Text Char"/>
    <w:link w:val="1147"/>
    <w:uiPriority w:val="99"/>
    <w:rPr>
      <w:sz w:val="18"/>
    </w:rPr>
  </w:style>
  <w:style w:type="character" w:styleId="1149">
    <w:name w:val="footnote reference"/>
    <w:basedOn w:val="1166"/>
    <w:uiPriority w:val="99"/>
    <w:unhideWhenUsed/>
    <w:rPr>
      <w:vertAlign w:val="superscript"/>
    </w:rPr>
  </w:style>
  <w:style w:type="paragraph" w:styleId="1150">
    <w:name w:val="endnote text"/>
    <w:basedOn w:val="1162"/>
    <w:link w:val="1151"/>
    <w:uiPriority w:val="99"/>
    <w:semiHidden/>
    <w:unhideWhenUsed/>
    <w:pPr>
      <w:spacing w:after="0" w:line="240" w:lineRule="auto"/>
    </w:pPr>
    <w:rPr>
      <w:sz w:val="20"/>
    </w:rPr>
  </w:style>
  <w:style w:type="character" w:styleId="1151">
    <w:name w:val="Endnote Text Char"/>
    <w:link w:val="1150"/>
    <w:uiPriority w:val="99"/>
    <w:rPr>
      <w:sz w:val="20"/>
    </w:rPr>
  </w:style>
  <w:style w:type="character" w:styleId="1152">
    <w:name w:val="endnote reference"/>
    <w:basedOn w:val="1166"/>
    <w:uiPriority w:val="99"/>
    <w:semiHidden/>
    <w:unhideWhenUsed/>
    <w:rPr>
      <w:vertAlign w:val="superscript"/>
    </w:rPr>
  </w:style>
  <w:style w:type="paragraph" w:styleId="1153">
    <w:name w:val="toc 3"/>
    <w:basedOn w:val="1162"/>
    <w:next w:val="1162"/>
    <w:uiPriority w:val="39"/>
    <w:unhideWhenUsed/>
    <w:pPr>
      <w:ind w:left="567" w:right="0" w:firstLine="0"/>
      <w:spacing w:after="57"/>
    </w:pPr>
  </w:style>
  <w:style w:type="paragraph" w:styleId="1154">
    <w:name w:val="toc 4"/>
    <w:basedOn w:val="1162"/>
    <w:next w:val="1162"/>
    <w:uiPriority w:val="39"/>
    <w:unhideWhenUsed/>
    <w:pPr>
      <w:ind w:left="850" w:right="0" w:firstLine="0"/>
      <w:spacing w:after="57"/>
    </w:pPr>
  </w:style>
  <w:style w:type="paragraph" w:styleId="1155">
    <w:name w:val="toc 5"/>
    <w:basedOn w:val="1162"/>
    <w:next w:val="1162"/>
    <w:uiPriority w:val="39"/>
    <w:unhideWhenUsed/>
    <w:pPr>
      <w:ind w:left="1134" w:right="0" w:firstLine="0"/>
      <w:spacing w:after="57"/>
    </w:pPr>
  </w:style>
  <w:style w:type="paragraph" w:styleId="1156">
    <w:name w:val="toc 6"/>
    <w:basedOn w:val="1162"/>
    <w:next w:val="1162"/>
    <w:uiPriority w:val="39"/>
    <w:unhideWhenUsed/>
    <w:pPr>
      <w:ind w:left="1417" w:right="0" w:firstLine="0"/>
      <w:spacing w:after="57"/>
    </w:pPr>
  </w:style>
  <w:style w:type="paragraph" w:styleId="1157">
    <w:name w:val="toc 7"/>
    <w:basedOn w:val="1162"/>
    <w:next w:val="1162"/>
    <w:uiPriority w:val="39"/>
    <w:unhideWhenUsed/>
    <w:pPr>
      <w:ind w:left="1701" w:right="0" w:firstLine="0"/>
      <w:spacing w:after="57"/>
    </w:pPr>
  </w:style>
  <w:style w:type="paragraph" w:styleId="1158">
    <w:name w:val="toc 8"/>
    <w:basedOn w:val="1162"/>
    <w:next w:val="1162"/>
    <w:uiPriority w:val="39"/>
    <w:unhideWhenUsed/>
    <w:pPr>
      <w:ind w:left="1984" w:right="0" w:firstLine="0"/>
      <w:spacing w:after="57"/>
    </w:pPr>
  </w:style>
  <w:style w:type="paragraph" w:styleId="1159">
    <w:name w:val="toc 9"/>
    <w:basedOn w:val="1162"/>
    <w:next w:val="1162"/>
    <w:uiPriority w:val="39"/>
    <w:unhideWhenUsed/>
    <w:pPr>
      <w:ind w:left="2268" w:right="0" w:firstLine="0"/>
      <w:spacing w:after="57"/>
    </w:pPr>
  </w:style>
  <w:style w:type="paragraph" w:styleId="1160">
    <w:name w:val="TOC Heading"/>
    <w:uiPriority w:val="39"/>
    <w:unhideWhenUsed/>
  </w:style>
  <w:style w:type="paragraph" w:styleId="1161">
    <w:name w:val="table of figures"/>
    <w:basedOn w:val="1162"/>
    <w:next w:val="1162"/>
    <w:uiPriority w:val="99"/>
    <w:unhideWhenUsed/>
    <w:pPr>
      <w:spacing w:after="0" w:afterAutospacing="0"/>
    </w:pPr>
  </w:style>
  <w:style w:type="paragraph" w:styleId="116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163">
    <w:name w:val="Heading 1"/>
    <w:basedOn w:val="1162"/>
    <w:next w:val="1162"/>
    <w:uiPriority w:val="0"/>
    <w:qFormat/>
    <w:pPr>
      <w:keepLines/>
      <w:keepNext/>
      <w:spacing w:line="360" w:lineRule="auto"/>
      <w:outlineLvl w:val="0"/>
    </w:pPr>
    <w:rPr>
      <w:rFonts w:eastAsia="黑体"/>
      <w:b/>
      <w:bCs/>
      <w:sz w:val="32"/>
      <w:szCs w:val="44"/>
    </w:rPr>
  </w:style>
  <w:style w:type="paragraph" w:styleId="1164">
    <w:name w:val="Heading 3"/>
    <w:basedOn w:val="1162"/>
    <w:next w:val="1162"/>
    <w:uiPriority w:val="0"/>
    <w:qFormat/>
    <w:pPr>
      <w:keepLines/>
      <w:keepNext/>
      <w:spacing w:line="360" w:lineRule="auto"/>
      <w:outlineLvl w:val="2"/>
    </w:pPr>
    <w:rPr>
      <w:rFonts w:ascii="Times New Roman" w:hAnsi="Times New Roman" w:eastAsia="黑体" w:cs="Times New Roman"/>
      <w:b/>
      <w:bCs/>
      <w:sz w:val="21"/>
      <w:szCs w:val="32"/>
    </w:rPr>
  </w:style>
  <w:style w:type="paragraph" w:styleId="1165">
    <w:name w:val="Heading 4"/>
    <w:basedOn w:val="1162"/>
    <w:next w:val="1162"/>
    <w:uiPriority w:val="0"/>
    <w:qFormat/>
    <w:pPr>
      <w:keepLines/>
      <w:keepNext/>
      <w:spacing w:line="360" w:lineRule="auto"/>
      <w:outlineLvl w:val="3"/>
    </w:pPr>
    <w:rPr>
      <w:rFonts w:ascii="Arial" w:hAnsi="Arial" w:cs="Times New Roman"/>
      <w:b/>
      <w:bCs/>
      <w:sz w:val="21"/>
      <w:szCs w:val="28"/>
    </w:rPr>
  </w:style>
  <w:style w:type="character" w:styleId="1166" w:default="1">
    <w:name w:val="Default Paragraph Font"/>
    <w:uiPriority w:val="0"/>
    <w:semiHidden/>
  </w:style>
  <w:style w:type="table" w:styleId="1167" w:default="1">
    <w:name w:val="Normal Table"/>
    <w:uiPriority w:val="0"/>
    <w:semiHidden/>
    <w:qFormat/>
    <w:tblPr>
      <w:tblCellMar>
        <w:left w:w="108" w:type="dxa"/>
        <w:top w:w="0" w:type="dxa"/>
        <w:right w:w="108" w:type="dxa"/>
        <w:bottom w:w="0" w:type="dxa"/>
      </w:tblCellMar>
    </w:tblPr>
  </w:style>
  <w:style w:type="paragraph" w:styleId="1168">
    <w:name w:val="annotation text"/>
    <w:basedOn w:val="1162"/>
    <w:uiPriority w:val="0"/>
    <w:qFormat/>
    <w:pPr>
      <w:jc w:val="left"/>
    </w:pPr>
  </w:style>
  <w:style w:type="paragraph" w:styleId="1169">
    <w:name w:val="Body Text"/>
    <w:basedOn w:val="1162"/>
    <w:uiPriority w:val="0"/>
    <w:qFormat/>
    <w:pPr>
      <w:ind w:left="72" w:right="30"/>
      <w:jc w:val="center"/>
      <w:spacing w:after="60" w:line="360" w:lineRule="atLeast"/>
    </w:pPr>
    <w:rPr>
      <w:rFonts w:ascii="Times New Roman" w:hAnsi="Times New Roman" w:cs="Times New Roman"/>
      <w:sz w:val="21"/>
      <w:szCs w:val="22"/>
    </w:rPr>
  </w:style>
  <w:style w:type="paragraph" w:styleId="1170">
    <w:name w:val="Block Text"/>
    <w:basedOn w:val="1162"/>
    <w:uiPriority w:val="0"/>
    <w:qFormat/>
    <w:pPr>
      <w:ind w:left="256" w:right="6" w:firstLine="624"/>
    </w:pPr>
    <w:rPr>
      <w:rFonts w:ascii="Times New Roman" w:hAnsi="Times New Roman" w:eastAsia="仿宋" w:cs="Times New Roman"/>
      <w:sz w:val="28"/>
      <w:szCs w:val="20"/>
    </w:rPr>
  </w:style>
  <w:style w:type="paragraph" w:styleId="1171">
    <w:name w:val="Footer"/>
    <w:basedOn w:val="1162"/>
    <w:uiPriority w:val="0"/>
    <w:qFormat/>
    <w:pPr>
      <w:jc w:val="left"/>
      <w:tabs>
        <w:tab w:val="center" w:pos="4153" w:leader="none"/>
        <w:tab w:val="right" w:pos="8306" w:leader="none"/>
      </w:tabs>
    </w:pPr>
    <w:rPr>
      <w:sz w:val="18"/>
    </w:rPr>
  </w:style>
  <w:style w:type="paragraph" w:styleId="1172">
    <w:name w:val="Header"/>
    <w:basedOn w:val="11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173">
    <w:name w:val="toc 1"/>
    <w:basedOn w:val="1162"/>
    <w:next w:val="1162"/>
    <w:uiPriority w:val="0"/>
    <w:qFormat/>
  </w:style>
  <w:style w:type="paragraph" w:styleId="1174">
    <w:name w:val="toc 2"/>
    <w:basedOn w:val="1162"/>
    <w:next w:val="1162"/>
    <w:uiPriority w:val="0"/>
    <w:qFormat/>
    <w:pPr>
      <w:ind w:left="420"/>
    </w:pPr>
  </w:style>
  <w:style w:type="paragraph" w:styleId="1175">
    <w:name w:val="Title"/>
    <w:basedOn w:val="1162"/>
    <w:next w:val="1162"/>
    <w:uiPriority w:val="10"/>
    <w:qFormat/>
    <w:pPr>
      <w:contextualSpacing/>
      <w:spacing w:before="300" w:after="200"/>
    </w:pPr>
    <w:rPr>
      <w:sz w:val="48"/>
      <w:szCs w:val="48"/>
    </w:rPr>
  </w:style>
  <w:style w:type="table" w:styleId="117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77">
    <w:name w:val="Strong"/>
    <w:basedOn w:val="1166"/>
    <w:uiPriority w:val="0"/>
    <w:qFormat/>
    <w:rPr>
      <w:b/>
    </w:rPr>
  </w:style>
  <w:style w:type="character" w:styleId="1178">
    <w:name w:val="page number"/>
    <w:basedOn w:val="1166"/>
    <w:uiPriority w:val="0"/>
    <w:qFormat/>
  </w:style>
  <w:style w:type="paragraph" w:styleId="1179" w:customStyle="1">
    <w:name w:val="标题 2112"/>
    <w:basedOn w:val="1162"/>
    <w:next w:val="1162"/>
    <w:uiPriority w:val="9"/>
    <w:unhideWhenUsed/>
    <w:qFormat/>
    <w:pPr>
      <w:keepLines/>
      <w:keepNext/>
      <w:spacing w:before="360" w:after="200"/>
      <w:outlineLvl w:val="1"/>
    </w:pPr>
    <w:rPr>
      <w:rFonts w:ascii="Arial" w:hAnsi="Arial" w:eastAsia="Arial" w:cs="Arial"/>
      <w:sz w:val="34"/>
    </w:rPr>
  </w:style>
  <w:style w:type="table" w:styleId="1180" w:customStyle="1">
    <w:name w:val="网格型111"/>
    <w:uiPriority w:val="0"/>
    <w:qFormat/>
    <w:rPr>
      <w:lang w:val="en-US" w:eastAsia="zh-CN" w:bidi="ar-SA"/>
    </w:rPr>
    <w:tblPr/>
  </w:style>
  <w:style w:type="paragraph" w:styleId="118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82" w:customStyle="1">
    <w:name w:val="正文文本缩进1"/>
    <w:basedOn w:val="1183"/>
    <w:next w:val="1189"/>
    <w:uiPriority w:val="0"/>
    <w:qFormat/>
    <w:pPr>
      <w:ind w:left="420"/>
      <w:spacing w:after="120"/>
    </w:pPr>
  </w:style>
  <w:style w:type="paragraph" w:styleId="1183" w:customStyle="1">
    <w:name w:val="正文1"/>
    <w:basedOn w:val="1184"/>
    <w:next w:val="1188"/>
    <w:uiPriority w:val="0"/>
    <w:qFormat/>
    <w:pPr>
      <w:jc w:val="both"/>
      <w:widowControl w:val="off"/>
    </w:pPr>
    <w:rPr>
      <w:rFonts w:hint="default" w:ascii="Calibri" w:hAnsi="Calibri" w:eastAsia="宋体" w:cs="Times New Roman"/>
      <w:sz w:val="21"/>
      <w:szCs w:val="24"/>
      <w:lang w:val="en-US" w:eastAsia="zh-CN" w:bidi="ar-SA"/>
    </w:rPr>
  </w:style>
  <w:style w:type="paragraph" w:styleId="1184" w:customStyle="1">
    <w:name w:val="正文11"/>
    <w:basedOn w:val="1162"/>
    <w:next w:val="1185"/>
    <w:uiPriority w:val="0"/>
    <w:qFormat/>
  </w:style>
  <w:style w:type="paragraph" w:styleId="1185" w:customStyle="1">
    <w:name w:val="目录 11"/>
    <w:basedOn w:val="1186"/>
    <w:next w:val="1184"/>
    <w:uiPriority w:val="0"/>
    <w:qFormat/>
    <w:rPr>
      <w:rFonts w:ascii="Times New Roman" w:hAnsi="Times New Roman" w:eastAsia="宋体" w:cs="Times New Roman"/>
    </w:rPr>
  </w:style>
  <w:style w:type="paragraph" w:styleId="1186" w:customStyle="1">
    <w:name w:val="正文12"/>
    <w:next w:val="1187"/>
    <w:uiPriority w:val="0"/>
    <w:qFormat/>
    <w:pPr>
      <w:jc w:val="both"/>
      <w:widowControl w:val="off"/>
    </w:pPr>
    <w:rPr>
      <w:rFonts w:hint="default" w:ascii="Calibri" w:hAnsi="Calibri" w:eastAsia="Calibri" w:cs="Times New Roman"/>
      <w:sz w:val="21"/>
      <w:szCs w:val="24"/>
      <w:lang w:val="en-US" w:eastAsia="zh-CN" w:bidi="ar-SA"/>
    </w:rPr>
  </w:style>
  <w:style w:type="paragraph" w:styleId="1187" w:customStyle="1">
    <w:name w:val="文本块11"/>
    <w:basedOn w:val="1186"/>
    <w:uiPriority w:val="0"/>
    <w:qFormat/>
    <w:pPr>
      <w:ind w:left="256" w:right="6" w:firstLine="624"/>
    </w:pPr>
    <w:rPr>
      <w:rFonts w:ascii="Arial" w:hAnsi="Arial" w:eastAsia="仿宋"/>
      <w:sz w:val="28"/>
    </w:rPr>
  </w:style>
  <w:style w:type="paragraph" w:styleId="1188" w:customStyle="1">
    <w:name w:val="正文文本1"/>
    <w:basedOn w:val="1183"/>
    <w:next w:val="1183"/>
    <w:uiPriority w:val="0"/>
    <w:qFormat/>
    <w:pPr>
      <w:spacing w:after="120"/>
    </w:pPr>
    <w:rPr>
      <w:lang w:val="en-US" w:eastAsia="en-US"/>
    </w:rPr>
  </w:style>
  <w:style w:type="paragraph" w:styleId="1189" w:customStyle="1">
    <w:name w:val="寄信人地址1"/>
    <w:basedOn w:val="1162"/>
    <w:uiPriority w:val="0"/>
    <w:qFormat/>
    <w:rPr>
      <w:rFonts w:ascii="Arial" w:hAnsi="Arial"/>
    </w:rPr>
  </w:style>
  <w:style w:type="paragraph" w:styleId="1190" w:customStyle="1">
    <w:name w:val="文本块1"/>
    <w:basedOn w:val="1191"/>
    <w:next w:val="1192"/>
    <w:uiPriority w:val="0"/>
    <w:qFormat/>
    <w:pPr>
      <w:ind w:left="256" w:right="6" w:firstLine="624"/>
    </w:pPr>
    <w:rPr>
      <w:rFonts w:eastAsia="仿宋_GB2312"/>
      <w:sz w:val="28"/>
    </w:rPr>
  </w:style>
  <w:style w:type="paragraph" w:styleId="1191" w:customStyle="1">
    <w:name w:val="正文111"/>
    <w:next w:val="11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标题 41"/>
    <w:basedOn w:val="1184"/>
    <w:next w:val="1184"/>
    <w:uiPriority w:val="0"/>
    <w:qFormat/>
    <w:pPr>
      <w:keepLines/>
      <w:keepNext/>
      <w:spacing w:line="360" w:lineRule="auto"/>
      <w:outlineLvl w:val="3"/>
    </w:pPr>
    <w:rPr>
      <w:rFonts w:ascii="Arial" w:hAnsi="Arial"/>
      <w:b/>
      <w:bCs/>
      <w:sz w:val="21"/>
      <w:szCs w:val="28"/>
    </w:rPr>
  </w:style>
  <w:style w:type="paragraph" w:styleId="1193" w:customStyle="1">
    <w:name w:val="正文112"/>
    <w:next w:val="11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正文首行缩进1"/>
    <w:basedOn w:val="1195"/>
    <w:next w:val="1196"/>
    <w:uiPriority w:val="0"/>
    <w:qFormat/>
    <w:pPr>
      <w:ind w:firstLine="420"/>
      <w:widowControl w:val="off"/>
    </w:pPr>
    <w:rPr>
      <w:rFonts w:ascii="Times New Roman" w:hAnsi="Times New Roman" w:eastAsia="宋体" w:cs="Times New Roman"/>
      <w:sz w:val="21"/>
    </w:rPr>
  </w:style>
  <w:style w:type="paragraph" w:styleId="1195" w:customStyle="1">
    <w:name w:val="正文文本11"/>
    <w:basedOn w:val="1186"/>
    <w:next w:val="1191"/>
    <w:uiPriority w:val="0"/>
    <w:qFormat/>
    <w:pPr>
      <w:spacing w:after="120"/>
    </w:pPr>
  </w:style>
  <w:style w:type="paragraph" w:styleId="1196" w:customStyle="1">
    <w:name w:val="正文首行缩进 211"/>
    <w:basedOn w:val="1197"/>
    <w:next w:val="1193"/>
    <w:uiPriority w:val="0"/>
    <w:qFormat/>
    <w:pPr>
      <w:ind w:left="0" w:firstLine="420"/>
      <w:spacing w:after="0" w:line="360" w:lineRule="auto"/>
    </w:pPr>
    <w:rPr>
      <w:rFonts w:ascii="宋体" w:hAnsi="宋体" w:eastAsia="宋体" w:cs="Times New Roman"/>
    </w:rPr>
  </w:style>
  <w:style w:type="paragraph" w:styleId="1197" w:customStyle="1">
    <w:name w:val="正文文本缩进11"/>
    <w:basedOn w:val="1184"/>
    <w:next w:val="1198"/>
    <w:uiPriority w:val="0"/>
    <w:qFormat/>
    <w:pPr>
      <w:ind w:left="420"/>
      <w:spacing w:after="120"/>
    </w:pPr>
    <w:rPr>
      <w:rFonts w:ascii="Calibri" w:hAnsi="Calibri"/>
    </w:rPr>
  </w:style>
  <w:style w:type="paragraph" w:styleId="1198" w:customStyle="1">
    <w:name w:val="寄信人地址11"/>
    <w:basedOn w:val="1162"/>
    <w:uiPriority w:val="0"/>
    <w:qFormat/>
    <w:rPr>
      <w:rFonts w:ascii="Arial" w:hAnsi="Arial" w:eastAsia="宋体" w:cs="Times New Roman"/>
    </w:rPr>
  </w:style>
  <w:style w:type="paragraph" w:styleId="1199" w:customStyle="1">
    <w:name w:val="脚注文本1"/>
    <w:basedOn w:val="1183"/>
    <w:next w:val="1200"/>
    <w:uiPriority w:val="0"/>
    <w:qFormat/>
    <w:rPr>
      <w:rFonts w:ascii="宋体" w:hAnsi="Times New Roman" w:eastAsia="Times New Roman" w:cs="Times New Roman"/>
      <w:sz w:val="18"/>
      <w:szCs w:val="18"/>
    </w:rPr>
  </w:style>
  <w:style w:type="paragraph" w:styleId="1200" w:customStyle="1">
    <w:name w:val="索引 51"/>
    <w:basedOn w:val="1183"/>
    <w:next w:val="1183"/>
    <w:uiPriority w:val="0"/>
    <w:qFormat/>
    <w:pPr>
      <w:ind w:left="798"/>
    </w:pPr>
    <w:rPr>
      <w:rFonts w:ascii="Calibri" w:hAnsi="Calibri" w:eastAsia="宋体" w:cs="Times New Roman"/>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2.pn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徐瑾茹</dc:creator>
  <cp:lastModifiedBy>王静</cp:lastModifiedBy>
  <cp:revision>5</cp:revision>
  <dcterms:created xsi:type="dcterms:W3CDTF">2026-05-23T08:44:00Z</dcterms:created>
  <dcterms:modified xsi:type="dcterms:W3CDTF">2026-10-09T08:26:44Z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eyJoZGlkIjoiYzY4ZGNiMDcwNDdmZGRiNTI4ZTkwNDkwMjIyNDUxMjEiLCJ1c2VySWQiOiI1MTE4MjU2MjcifQ==</vt:lpwstr>
  </property>
  <property fmtid="{D5CDD505-2E9C-101B-9397-08002B2CF9AE}" pid="4" name="ICV">
    <vt:lpwstr>B6A98A7561A0416C966A04F49E793D6D_13</vt:lpwstr>
  </property>
</Properties>
</file>