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6"/>
        <w:rPr>
          <w:color w:val="auto"/>
          <w:highlight w:val="none"/>
        </w:rPr>
      </w:pPr>
      <w:r>
        <w:rPr>
          <w:color w:val="auto"/>
          <w:highlight w:val="none"/>
        </w:rPr>
      </w:r>
      <w:r/>
    </w:p>
    <w:p>
      <w:pPr>
        <w:pStyle w:val="1106"/>
        <w:jc w:val="center"/>
        <w:spacing w:line="360" w:lineRule="auto"/>
        <w:widowControl w:val="off"/>
        <w:rPr>
          <w:rStyle w:val="1315"/>
          <w:rFonts w:hint="eastAsia" w:ascii="宋体" w:hAnsi="宋体" w:eastAsia="宋体" w:cs="宋体"/>
          <w:color w:val="auto"/>
          <w:sz w:val="110"/>
          <w:highlight w:val="none"/>
        </w:rPr>
      </w:pPr>
      <w:r>
        <w:rPr>
          <w:rFonts w:hint="eastAsia" w:ascii="宋体" w:hAnsi="宋体" w:eastAsia="宋体" w:cs="宋体"/>
          <w:color w:val="auto"/>
          <w:sz w:val="110"/>
          <w:highlight w:val="none"/>
        </w:rPr>
      </w:r>
      <w:r/>
    </w:p>
    <w:p>
      <w:pPr>
        <w:pStyle w:val="1106"/>
        <w:jc w:val="center"/>
        <w:spacing w:line="360" w:lineRule="auto"/>
        <w:widowControl w:val="off"/>
        <w:rPr>
          <w:rStyle w:val="1315"/>
          <w:rFonts w:hint="eastAsia" w:ascii="宋体" w:hAnsi="宋体" w:eastAsia="宋体" w:cs="宋体"/>
          <w:b/>
          <w:bCs/>
          <w:color w:val="auto"/>
          <w:sz w:val="72"/>
          <w:szCs w:val="72"/>
          <w:highlight w:val="none"/>
        </w:rPr>
      </w:pPr>
      <w:r>
        <w:rPr>
          <w:rStyle w:val="1315"/>
          <w:rFonts w:hint="eastAsia" w:ascii="宋体" w:hAnsi="宋体" w:eastAsia="宋体" w:cs="宋体"/>
          <w:b/>
          <w:bCs/>
          <w:color w:val="auto"/>
          <w:sz w:val="72"/>
          <w:szCs w:val="72"/>
          <w:highlight w:val="none"/>
        </w:rPr>
        <w:t xml:space="preserve">竞争性磋商文件</w:t>
      </w:r>
      <w:r/>
    </w:p>
    <w:p>
      <w:pPr>
        <w:pStyle w:val="1106"/>
        <w:jc w:val="left"/>
        <w:widowControl w:val="off"/>
        <w:rPr>
          <w:rStyle w:val="1315"/>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1106"/>
        <w:jc w:val="left"/>
        <w:widowControl w:val="off"/>
        <w:rPr>
          <w:rStyle w:val="1315"/>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1106"/>
        <w:ind w:firstLine="630"/>
        <w:jc w:val="left"/>
        <w:widowControl w:val="off"/>
        <w:rPr>
          <w:rStyle w:val="1315"/>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106"/>
        <w:ind w:left="2877" w:hanging="1600"/>
        <w:jc w:val="left"/>
        <w:spacing w:line="360" w:lineRule="auto"/>
        <w:widowControl w:val="off"/>
        <w:rPr>
          <w:rStyle w:val="1315"/>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106"/>
        <w:ind w:left="2877" w:hanging="1600"/>
        <w:jc w:val="left"/>
        <w:spacing w:line="360" w:lineRule="auto"/>
        <w:widowControl w:val="off"/>
        <w:rPr>
          <w:rStyle w:val="1315"/>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119"/>
        <w:rPr>
          <w:rFonts w:hint="eastAsia" w:ascii="宋体" w:hAnsi="宋体" w:eastAsia="宋体" w:cs="宋体"/>
        </w:rPr>
      </w:pPr>
      <w:r>
        <w:rPr>
          <w:rFonts w:hint="eastAsia" w:ascii="宋体" w:hAnsi="宋体" w:eastAsia="宋体" w:cs="宋体"/>
        </w:rPr>
      </w:r>
      <w:r/>
    </w:p>
    <w:p>
      <w:pPr>
        <w:pStyle w:val="1099"/>
        <w:rPr>
          <w:rFonts w:hint="eastAsia" w:ascii="宋体" w:hAnsi="宋体" w:eastAsia="宋体" w:cs="宋体"/>
        </w:rPr>
      </w:pPr>
      <w:r>
        <w:rPr>
          <w:rFonts w:hint="eastAsia" w:ascii="宋体" w:hAnsi="宋体" w:eastAsia="宋体" w:cs="宋体"/>
        </w:rPr>
      </w:r>
      <w:r/>
    </w:p>
    <w:p>
      <w:pPr>
        <w:pStyle w:val="1100"/>
        <w:rPr>
          <w:rFonts w:hint="eastAsia" w:ascii="宋体" w:hAnsi="宋体" w:eastAsia="宋体" w:cs="宋体"/>
        </w:rPr>
      </w:pPr>
      <w:r>
        <w:rPr>
          <w:rFonts w:hint="eastAsia" w:ascii="宋体" w:hAnsi="宋体" w:eastAsia="宋体" w:cs="宋体"/>
        </w:rPr>
      </w:r>
      <w:r/>
    </w:p>
    <w:p>
      <w:pPr>
        <w:pStyle w:val="1116"/>
        <w:rPr>
          <w:rFonts w:hint="eastAsia" w:ascii="宋体" w:hAnsi="宋体" w:eastAsia="宋体" w:cs="宋体"/>
        </w:rPr>
      </w:pPr>
      <w:r>
        <w:rPr>
          <w:rFonts w:hint="eastAsia" w:ascii="宋体" w:hAnsi="宋体" w:eastAsia="宋体" w:cs="宋体"/>
        </w:rPr>
      </w:r>
      <w:r/>
    </w:p>
    <w:p>
      <w:pPr>
        <w:pStyle w:val="1106"/>
        <w:ind w:left="2877" w:hanging="1600"/>
        <w:jc w:val="left"/>
        <w:spacing w:line="360" w:lineRule="auto"/>
        <w:widowControl w:val="off"/>
        <w:rPr>
          <w:rStyle w:val="1315"/>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106"/>
        <w:ind w:left="840" w:firstLine="420"/>
        <w:jc w:val="left"/>
        <w:spacing w:line="360" w:lineRule="auto"/>
        <w:widowControl w:val="off"/>
        <w:rPr>
          <w:rStyle w:val="1315"/>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pStyle w:val="1106"/>
        <w:ind w:left="0" w:firstLine="420"/>
        <w:jc w:val="left"/>
        <w:keepLines w:val="0"/>
        <w:keepNext w:val="0"/>
        <w:pageBreakBefore w:val="0"/>
        <w:spacing w:line="360" w:lineRule="auto"/>
        <w:widowControl w:val="off"/>
        <w:rPr>
          <w:rStyle w:val="1315"/>
          <w:rFonts w:hint="eastAsia" w:ascii="宋体" w:hAnsi="宋体" w:eastAsia="宋体" w:cs="宋体"/>
          <w:color w:val="auto"/>
          <w:sz w:val="32"/>
          <w:szCs w:val="22"/>
          <w:highlight w:val="none"/>
        </w:rPr>
        <w:outlineLvl w:val="9"/>
      </w:pPr>
      <w:r>
        <w:rPr>
          <w:rStyle w:val="1315"/>
          <w:rFonts w:hint="eastAsia" w:ascii="宋体" w:hAnsi="宋体" w:eastAsia="宋体" w:cs="宋体"/>
          <w:color w:val="auto"/>
          <w:sz w:val="32"/>
          <w:szCs w:val="22"/>
          <w:highlight w:val="none"/>
        </w:rPr>
        <w:t xml:space="preserve">项目名称：</w:t>
      </w:r>
      <w:bookmarkStart w:id="367" w:name="_GoBack"/>
      <w:r/>
      <w:bookmarkEnd w:id="367"/>
      <w:r>
        <w:rPr>
          <w:rStyle w:val="1315"/>
          <w:rFonts w:hint="eastAsia" w:ascii="宋体" w:hAnsi="宋体" w:cs="宋体"/>
          <w:color w:val="auto"/>
          <w:sz w:val="32"/>
          <w:szCs w:val="22"/>
          <w:highlight w:val="none"/>
          <w:lang w:eastAsia="zh-CN"/>
        </w:rPr>
        <w:t xml:space="preserve">新沂市马陵山镇东北片区管网提升工程</w:t>
      </w:r>
      <w:r/>
    </w:p>
    <w:p>
      <w:pPr>
        <w:pStyle w:val="1106"/>
        <w:ind w:left="0" w:firstLine="420"/>
        <w:jc w:val="left"/>
        <w:keepLines w:val="0"/>
        <w:keepNext w:val="0"/>
        <w:pageBreakBefore w:val="0"/>
        <w:spacing w:line="360" w:lineRule="auto"/>
        <w:widowControl w:val="off"/>
        <w:rPr>
          <w:rStyle w:val="1315"/>
          <w:rFonts w:hint="eastAsia" w:ascii="宋体" w:hAnsi="宋体" w:eastAsia="宋体" w:cs="宋体"/>
          <w:color w:val="auto"/>
          <w:sz w:val="32"/>
          <w:szCs w:val="22"/>
          <w:highlight w:val="none"/>
        </w:rPr>
        <w:outlineLvl w:val="9"/>
      </w:pPr>
      <w:r>
        <w:rPr>
          <w:rStyle w:val="1315"/>
          <w:rFonts w:hint="eastAsia" w:ascii="宋体" w:hAnsi="宋体" w:eastAsia="宋体" w:cs="宋体"/>
          <w:color w:val="auto"/>
          <w:sz w:val="32"/>
          <w:szCs w:val="22"/>
          <w:highlight w:val="none"/>
        </w:rPr>
        <w:t xml:space="preserve">项目编号：</w:t>
      </w:r>
      <w:r>
        <w:rPr>
          <w:rStyle w:val="1315"/>
          <w:rFonts w:hint="eastAsia" w:ascii="宋体" w:hAnsi="宋体" w:cs="宋体"/>
          <w:color w:val="auto"/>
          <w:sz w:val="32"/>
          <w:szCs w:val="22"/>
          <w:highlight w:val="none"/>
        </w:rPr>
        <w:t xml:space="preserve">JSZC-320381-JSJL-C2026-0003</w:t>
      </w:r>
      <w:r/>
    </w:p>
    <w:p>
      <w:pPr>
        <w:pStyle w:val="1106"/>
        <w:ind w:left="0" w:firstLine="420"/>
        <w:jc w:val="left"/>
        <w:keepLines w:val="0"/>
        <w:keepNext w:val="0"/>
        <w:pageBreakBefore w:val="0"/>
        <w:spacing w:line="360" w:lineRule="auto"/>
        <w:widowControl w:val="off"/>
        <w:rPr>
          <w:rStyle w:val="1315"/>
          <w:rFonts w:hint="eastAsia" w:ascii="宋体" w:hAnsi="宋体" w:eastAsia="宋体" w:cs="宋体"/>
          <w:color w:val="auto"/>
          <w:sz w:val="32"/>
          <w:szCs w:val="22"/>
          <w:highlight w:val="none"/>
        </w:rPr>
        <w:outlineLvl w:val="9"/>
      </w:pPr>
      <w:r>
        <w:rPr>
          <w:rStyle w:val="1315"/>
          <w:rFonts w:hint="eastAsia" w:ascii="宋体" w:hAnsi="宋体" w:eastAsia="宋体" w:cs="宋体"/>
          <w:color w:val="auto"/>
          <w:sz w:val="32"/>
          <w:szCs w:val="22"/>
          <w:highlight w:val="none"/>
        </w:rPr>
        <w:t xml:space="preserve">采 购 人：</w:t>
      </w:r>
      <w:r>
        <w:rPr>
          <w:rStyle w:val="1315"/>
          <w:rFonts w:hint="eastAsia" w:ascii="宋体" w:hAnsi="宋体" w:cs="宋体"/>
          <w:color w:val="auto"/>
          <w:sz w:val="32"/>
          <w:szCs w:val="22"/>
          <w:highlight w:val="none"/>
        </w:rPr>
        <w:t xml:space="preserve">新沂市住房和城乡建设局</w:t>
      </w:r>
      <w:r/>
    </w:p>
    <w:p>
      <w:pPr>
        <w:pStyle w:val="1106"/>
        <w:ind w:left="0" w:firstLine="420"/>
        <w:jc w:val="left"/>
        <w:keepLines w:val="0"/>
        <w:keepNext w:val="0"/>
        <w:pageBreakBefore w:val="0"/>
        <w:spacing w:line="360" w:lineRule="auto"/>
        <w:widowControl w:val="off"/>
        <w:rPr>
          <w:rStyle w:val="1315"/>
          <w:rFonts w:hint="eastAsia" w:ascii="宋体" w:hAnsi="宋体" w:eastAsia="宋体" w:cs="宋体"/>
          <w:color w:val="auto"/>
          <w:sz w:val="32"/>
          <w:szCs w:val="22"/>
          <w:highlight w:val="none"/>
          <w:lang w:val="en-US"/>
        </w:rPr>
        <w:outlineLvl w:val="9"/>
      </w:pPr>
      <w:r>
        <w:rPr>
          <w:rStyle w:val="1315"/>
          <w:rFonts w:hint="eastAsia" w:ascii="宋体" w:hAnsi="宋体" w:eastAsia="宋体" w:cs="宋体"/>
          <w:color w:val="auto"/>
          <w:sz w:val="32"/>
          <w:szCs w:val="22"/>
          <w:highlight w:val="none"/>
          <w:lang w:val="en-US"/>
        </w:rPr>
        <w:t xml:space="preserve">代理机构：江苏丛泰建设工程管理有限公司</w:t>
      </w:r>
      <w:r/>
    </w:p>
    <w:p>
      <w:pPr>
        <w:pStyle w:val="1106"/>
        <w:jc w:val="center"/>
        <w:widowControl w:val="off"/>
        <w:rPr>
          <w:rStyle w:val="1315"/>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106"/>
        <w:jc w:val="center"/>
        <w:widowControl w:val="off"/>
        <w:rPr>
          <w:rStyle w:val="1315"/>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106"/>
        <w:jc w:val="center"/>
        <w:widowControl w:val="off"/>
        <w:rPr>
          <w:rFonts w:ascii="宋体" w:hAnsi="宋体" w:eastAsia="宋体"/>
          <w:b/>
          <w:bCs/>
          <w:color w:val="auto"/>
          <w:highlight w:val="none"/>
          <w:lang w:val="zh-CN"/>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Style w:val="1315"/>
          <w:rFonts w:hint="eastAsia" w:ascii="宋体" w:hAnsi="宋体" w:eastAsia="宋体" w:cs="宋体"/>
          <w:color w:val="auto"/>
          <w:sz w:val="32"/>
          <w:highlight w:val="none"/>
        </w:rPr>
        <w:t xml:space="preserve">二〇二</w:t>
      </w:r>
      <w:r>
        <w:rPr>
          <w:rStyle w:val="1315"/>
          <w:rFonts w:hint="eastAsia" w:ascii="宋体" w:hAnsi="宋体" w:eastAsia="宋体" w:cs="宋体"/>
          <w:color w:val="auto"/>
          <w:sz w:val="32"/>
          <w:highlight w:val="none"/>
          <w:lang w:val="en-US"/>
        </w:rPr>
        <w:t xml:space="preserve">六</w:t>
      </w:r>
      <w:r>
        <w:rPr>
          <w:rStyle w:val="1315"/>
          <w:rFonts w:hint="eastAsia" w:ascii="宋体" w:hAnsi="宋体" w:eastAsia="宋体" w:cs="宋体"/>
          <w:color w:val="auto"/>
          <w:sz w:val="32"/>
          <w:highlight w:val="none"/>
        </w:rPr>
        <w:t xml:space="preserve">年</w:t>
      </w:r>
      <w:r>
        <w:rPr>
          <w:rStyle w:val="1315"/>
          <w:rFonts w:hint="eastAsia" w:ascii="宋体" w:hAnsi="宋体" w:cs="宋体"/>
          <w:color w:val="auto"/>
          <w:sz w:val="32"/>
          <w:highlight w:val="none"/>
          <w:lang w:val="en-US"/>
        </w:rPr>
        <w:t xml:space="preserve">十</w:t>
      </w:r>
      <w:r>
        <w:rPr>
          <w:rStyle w:val="1315"/>
          <w:rFonts w:hint="eastAsia" w:ascii="宋体" w:hAnsi="宋体" w:eastAsia="宋体" w:cs="宋体"/>
          <w:color w:val="auto"/>
          <w:sz w:val="32"/>
          <w:highlight w:val="none"/>
        </w:rPr>
        <w:t xml:space="preserve">月</w:t>
      </w:r>
      <w:r/>
    </w:p>
    <w:p>
      <w:pPr>
        <w:pStyle w:val="1106"/>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44"/>
          <w:szCs w:val="44"/>
          <w:highlight w:val="none"/>
        </w:rPr>
        <w:t xml:space="preserve">竞争性磋商文件</w:t>
      </w:r>
      <w:r/>
    </w:p>
    <w:p>
      <w:pPr>
        <w:pStyle w:val="1106"/>
        <w:jc w:val="center"/>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项目编号：</w:t>
      </w:r>
      <w:r>
        <w:rPr>
          <w:rFonts w:hint="eastAsia" w:ascii="宋体" w:hAnsi="宋体" w:cs="宋体"/>
          <w:b/>
          <w:bCs/>
          <w:color w:val="auto"/>
          <w:sz w:val="24"/>
          <w:szCs w:val="24"/>
          <w:highlight w:val="none"/>
          <w:lang w:eastAsia="zh-CN"/>
        </w:rPr>
        <w:t xml:space="preserve">JSZC-320381-JSJL-C2026-0003</w:t>
      </w:r>
      <w:r/>
    </w:p>
    <w:p>
      <w:pPr>
        <w:pStyle w:val="1106"/>
        <w:keepLines w:val="0"/>
        <w:keepNext w:val="0"/>
        <w:pageBreakBefore w:val="0"/>
        <w:spacing w:line="440" w:lineRule="exact"/>
        <w:widowControl w:val="off"/>
        <w:tabs>
          <w:tab w:val="left" w:pos="324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w:t>
      </w:r>
      <w:r/>
    </w:p>
    <w:p>
      <w:pPr>
        <w:pStyle w:val="1106"/>
        <w:ind w:firstLine="480"/>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u w:val="single"/>
          <w:lang w:eastAsia="zh-CN"/>
        </w:rPr>
        <w:t xml:space="preserve">江苏丛泰建设工程管理有限公司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新沂市马陵山镇东北片区管网提升工程</w:t>
      </w:r>
      <w:r>
        <w:rPr>
          <w:rFonts w:hint="eastAsia" w:ascii="宋体" w:hAnsi="宋体" w:eastAsia="宋体" w:cs="宋体"/>
          <w:color w:val="auto"/>
          <w:sz w:val="24"/>
          <w:szCs w:val="24"/>
          <w:highlight w:val="none"/>
        </w:rPr>
        <w:t xml:space="preserve">项目采取竞争性磋商采购方式进行采购，竞争性磋商文件（以下简称《磋商文件》）内容如下：</w:t>
      </w:r>
      <w:r/>
    </w:p>
    <w:p>
      <w:pPr>
        <w:pStyle w:val="1106"/>
        <w:ind w:left="497"/>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第一章 项目说明</w:t>
      </w:r>
      <w:r/>
    </w:p>
    <w:p>
      <w:pPr>
        <w:pStyle w:val="1106"/>
        <w:ind w:firstLine="480"/>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一、采购人：</w:t>
      </w:r>
      <w:r>
        <w:rPr>
          <w:rFonts w:hint="eastAsia" w:ascii="宋体" w:hAnsi="宋体" w:cs="宋体"/>
          <w:color w:val="auto"/>
          <w:sz w:val="24"/>
          <w:szCs w:val="24"/>
          <w:highlight w:val="none"/>
          <w:lang w:eastAsia="zh-CN"/>
        </w:rPr>
        <w:t xml:space="preserve">新沂市住房和城乡建设局</w:t>
      </w:r>
      <w:r/>
    </w:p>
    <w:p>
      <w:pPr>
        <w:pStyle w:val="1106"/>
        <w:ind w:firstLine="480"/>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新沂市马陵山镇东北片区管网提升工程</w:t>
      </w:r>
      <w:r/>
    </w:p>
    <w:p>
      <w:pPr>
        <w:pStyle w:val="1106"/>
        <w:ind w:firstLine="480"/>
        <w:jc w:val="left"/>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JSZC-320381-JSJL-C2026-0003</w:t>
      </w:r>
      <w:r>
        <w:rPr>
          <w:rFonts w:hint="eastAsia" w:ascii="宋体" w:hAnsi="宋体" w:cs="宋体"/>
          <w:color w:val="auto"/>
          <w:sz w:val="24"/>
          <w:szCs w:val="24"/>
          <w:highlight w:val="none"/>
          <w:lang w:val="en-US" w:eastAsia="zh-CN"/>
        </w:rPr>
        <w:t xml:space="preserve"> </w:t>
      </w:r>
      <w:r/>
    </w:p>
    <w:p>
      <w:pPr>
        <w:pStyle w:val="1106"/>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四、采购邀请：通过发布公告的方式邀请符合相应资格条件的供应商参与竞争性磋商采购活动。</w:t>
      </w:r>
      <w:r/>
    </w:p>
    <w:p>
      <w:pPr>
        <w:pStyle w:val="1106"/>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五、采购方式：本项目采用竞争性磋商采购方式。</w:t>
      </w:r>
      <w:r/>
    </w:p>
    <w:p>
      <w:pPr>
        <w:pStyle w:val="1300"/>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六、供应商资格条件：</w:t>
      </w:r>
      <w:r/>
    </w:p>
    <w:p>
      <w:pPr>
        <w:pStyle w:val="1300"/>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1.满足《中华人民共和国政府采购法》第二十二条规定；</w:t>
      </w:r>
      <w:r/>
    </w:p>
    <w:p>
      <w:pPr>
        <w:pStyle w:val="1300"/>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2.落实政府采购政策需满足的资格要求：</w:t>
      </w:r>
      <w:r>
        <w:rPr>
          <w:rFonts w:hint="eastAsia" w:ascii="宋体" w:hAnsi="宋体" w:eastAsia="宋体" w:cs="宋体"/>
          <w:b w:val="0"/>
          <w:bCs w:val="0"/>
          <w:color w:val="auto"/>
          <w:sz w:val="24"/>
          <w:szCs w:val="24"/>
          <w:highlight w:val="none"/>
        </w:rPr>
        <w:t xml:space="preserve">此项目属于专门面向中小微企业采购的项目，供应商应为中小微企业、监狱企业、残疾人福利性单位</w:t>
      </w:r>
      <w:r>
        <w:rPr>
          <w:rFonts w:hint="eastAsia" w:ascii="宋体" w:hAnsi="宋体" w:eastAsia="宋体" w:cs="宋体"/>
          <w:b w:val="0"/>
          <w:bCs w:val="0"/>
          <w:color w:val="auto"/>
          <w:sz w:val="24"/>
          <w:szCs w:val="24"/>
          <w:highlight w:val="none"/>
          <w:lang w:eastAsia="zh-CN"/>
        </w:rPr>
        <w:t xml:space="preserve">。</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3.本项目的特定资格要求：</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14:textFill>
            <w14:solidFill>
              <w14:schemeClr w14:val="tx1"/>
            </w14:solidFill>
          </w14:textFill>
        </w:rPr>
        <w:t xml:space="preserve">（1）</w:t>
      </w: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供应商具备市政公用工程施工总承包三级（含）以上资质（提供原件扫描件并加盖电子签章）；</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（2）供应商拟选派项目负责人须具备市政公用工程专业二级（含）以上注册建造师资格证书及具有有效的安全生产考核合格证B证(提供原件扫描件并加盖电子签章）；</w:t>
      </w:r>
      <w:r/>
    </w:p>
    <w:p>
      <w:pPr>
        <w:ind w:left="0" w:right="0" w:firstLine="480"/>
        <w:jc w:val="both"/>
        <w:keepLines w:val="0"/>
        <w:keepNext w:val="0"/>
        <w:spacing w:before="0" w:beforeAutospacing="0" w:after="0" w:afterAutospacing="0" w:line="440" w:lineRule="atLeast"/>
        <w:widowControl/>
        <w:rPr>
          <w:rFonts w:hint="eastAsia" w:ascii="宋体" w:hAnsi="宋体" w:cs="宋体"/>
          <w:b w:val="0"/>
          <w:bCs w:val="0"/>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（3）供应商须具备有效的安全生产许可证（提供原件扫描件并加盖电子签章）。</w:t>
      </w:r>
      <w:r/>
    </w:p>
    <w:p>
      <w:pPr>
        <w:pStyle w:val="1300"/>
        <w:ind w:firstLine="48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七、采购预算（采购项目预算金额）：见《磋商文件》附件2、《项目要求（采购需求）》。</w:t>
      </w:r>
      <w:r/>
    </w:p>
    <w:p>
      <w:pPr>
        <w:pStyle w:val="1106"/>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八、采购需求：见《磋商文件》附件2、《项目要求（采购需求）》</w:t>
      </w:r>
      <w:r/>
    </w:p>
    <w:p>
      <w:pPr>
        <w:pStyle w:val="1106"/>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九、合同条款：见《磋商文件》</w:t>
      </w:r>
      <w:r>
        <w:rPr>
          <w:rFonts w:hint="eastAsia" w:ascii="宋体" w:hAnsi="宋体" w:eastAsia="宋体" w:cs="宋体"/>
          <w:color w:val="auto"/>
          <w:sz w:val="24"/>
          <w:szCs w:val="24"/>
          <w:highlight w:val="none"/>
          <w:lang w:val="en-US" w:eastAsia="zh-CN" w:bidi="ar-SA"/>
        </w:rPr>
        <w:t xml:space="preserve">附件1</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、《合同条款》。</w:t>
      </w:r>
      <w:r/>
    </w:p>
    <w:p>
      <w:pPr>
        <w:pStyle w:val="1106"/>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十、报价要求</w:t>
      </w:r>
      <w:r/>
    </w:p>
    <w:p>
      <w:pPr>
        <w:pStyle w:val="1106"/>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u w:val="single"/>
          <w:lang w:eastAsia="zh-CN"/>
        </w:rPr>
        <w:t xml:space="preserve">新沂市住房和城乡建设局</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u w:val="single"/>
          <w:lang w:eastAsia="zh-CN"/>
        </w:rPr>
        <w:t xml:space="preserve">新沂市住房和城乡建设局</w:t>
      </w:r>
      <w:r>
        <w:rPr>
          <w:rFonts w:hint="eastAsia" w:ascii="宋体" w:hAnsi="宋体" w:eastAsia="宋体" w:cs="宋体"/>
          <w:color w:val="auto"/>
          <w:sz w:val="24"/>
          <w:szCs w:val="24"/>
          <w:highlight w:val="none"/>
        </w:rPr>
        <w:t xml:space="preserve">认为必要时可重新进行竞争性磋商采购或采取其它方式采购。</w:t>
      </w:r>
      <w:r/>
    </w:p>
    <w:p>
      <w:pPr>
        <w:pStyle w:val="1106"/>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pStyle w:val="1106"/>
        <w:ind w:right="-57"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106"/>
        <w:ind w:left="497"/>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磋商保证金</w:t>
      </w:r>
      <w:r/>
    </w:p>
    <w:p>
      <w:pPr>
        <w:pStyle w:val="1106"/>
        <w:ind w:firstLine="482"/>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十一、供应商提交磋商保证金</w:t>
      </w:r>
      <w:r/>
    </w:p>
    <w:p>
      <w:pPr>
        <w:pStyle w:val="1106"/>
        <w:ind w:firstLine="48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磋商保证金交纳数额和形式：不需交纳。</w:t>
      </w:r>
      <w:r/>
    </w:p>
    <w:p>
      <w:pPr>
        <w:pStyle w:val="1106"/>
        <w:ind w:left="497"/>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章 响应文件</w:t>
      </w:r>
      <w:r/>
    </w:p>
    <w:p>
      <w:pPr>
        <w:pStyle w:val="1106"/>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提交响应文件要求</w:t>
      </w:r>
      <w:r/>
    </w:p>
    <w:p>
      <w:pPr>
        <w:pStyle w:val="1106"/>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（一）本项目通过“苏采云”系统进行电子采购，即供应商响应文件从政府采购客户端工具制作并通过“苏采云”系统提交。</w:t>
      </w:r>
      <w:r/>
    </w:p>
    <w:p>
      <w:pPr>
        <w:pStyle w:val="1106"/>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440" w:lineRule="exact"/>
        <w:rPr>
          <w:rFonts w:hint="eastAsia" w:ascii="宋体" w:hAnsi="宋体" w:cs="宋体"/>
          <w:color w:val="auto"/>
          <w:sz w:val="24"/>
          <w:highlight w:val="none"/>
        </w:rPr>
      </w:pPr>
      <w:r>
        <w:rPr>
          <w:rFonts w:hint="eastAsia" w:ascii="宋体" w:hAnsi="宋体" w:eastAsia="宋体" w:cs="宋体"/>
          <w:bCs/>
          <w:color w:val="auto"/>
          <w:sz w:val="24"/>
          <w:szCs w:val="24"/>
          <w:highlight w:val="none"/>
        </w:rPr>
        <w:t xml:space="preserve">“CA数字证书”的获取：</w:t>
      </w: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w:t>
      </w:r>
      <w:r>
        <w:rPr>
          <w:rFonts w:hint="eastAsia" w:ascii="宋体" w:hAnsi="宋体" w:cs="宋体"/>
          <w:sz w:val="24"/>
          <w:highlight w:val="none"/>
        </w:rPr>
        <w:t xml:space="preserve">徐州政府采购网（网址：https://czj.xz.gov.cn/zfcg/index.html）--办事指南--供应商--供应商登录入口，点击“苏采云”进入系统</w:t>
      </w:r>
      <w:r>
        <w:rPr>
          <w:rFonts w:hint="eastAsia" w:ascii="宋体" w:hAnsi="宋体" w:cs="宋体"/>
          <w:color w:val="auto"/>
          <w:sz w:val="24"/>
          <w:highlight w:val="none"/>
        </w:rPr>
        <w:t xml:space="preserve">），按照要求通过互联网方式提交首次响应文件。</w:t>
      </w:r>
      <w:r/>
    </w:p>
    <w:p>
      <w:pPr>
        <w:pStyle w:val="1106"/>
        <w:ind w:firstLine="482"/>
        <w:keepLines w:val="0"/>
        <w:keepNext w:val="0"/>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“苏采云”系统使用要求：</w:t>
      </w:r>
      <w:r/>
    </w:p>
    <w:p>
      <w:pPr>
        <w:pStyle w:val="1106"/>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使用谷歌浏览器参与不见面开标及磋商环节。</w:t>
      </w:r>
      <w:r/>
    </w:p>
    <w:p>
      <w:pPr>
        <w:pStyle w:val="1106"/>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电脑需提前准备好麦克风、音响，摄像头，提前检查保证能够正常使用。</w:t>
      </w:r>
      <w:r/>
    </w:p>
    <w:p>
      <w:pPr>
        <w:pStyle w:val="1106"/>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操作系统至少win7以上，建议使用win10操作系统。</w:t>
      </w:r>
      <w:r/>
    </w:p>
    <w:p>
      <w:pPr>
        <w:pStyle w:val="1098"/>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（二）首次响应文件提交的截止时间：</w:t>
      </w:r>
      <w:r>
        <w:rPr>
          <w:rFonts w:hint="eastAsia" w:ascii="宋体" w:hAnsi="宋体" w:eastAsia="宋体" w:cs="宋体"/>
          <w:b/>
          <w:bCs/>
          <w:color w:val="auto"/>
          <w:sz w:val="24"/>
          <w:highlight w:val="none"/>
          <w:u w:val="single"/>
          <w:lang w:eastAsia="zh-CN"/>
        </w:rPr>
        <w:t xml:space="preserve">202</w:t>
      </w:r>
      <w:r>
        <w:rPr>
          <w:rFonts w:hint="eastAsia" w:ascii="宋体" w:hAnsi="宋体" w:cs="宋体"/>
          <w:b/>
          <w:bCs/>
          <w:color w:val="auto"/>
          <w:sz w:val="24"/>
          <w:highlight w:val="none"/>
          <w:u w:val="single"/>
          <w:lang w:val="en-US" w:eastAsia="zh-CN"/>
        </w:rPr>
        <w:t xml:space="preserve">6</w:t>
      </w:r>
      <w:r>
        <w:rPr>
          <w:rFonts w:hint="eastAsia" w:ascii="宋体" w:hAnsi="宋体" w:eastAsia="宋体" w:cs="宋体"/>
          <w:b/>
          <w:bCs/>
          <w:color w:val="auto"/>
          <w:sz w:val="24"/>
          <w:highlight w:val="none"/>
          <w:u w:val="single"/>
          <w:lang w:eastAsia="zh-CN"/>
        </w:rPr>
        <w:t xml:space="preserve">年</w:t>
      </w:r>
      <w:r>
        <w:rPr>
          <w:rFonts w:hint="eastAsia" w:ascii="宋体" w:hAnsi="宋体" w:cs="宋体"/>
          <w:b/>
          <w:bCs/>
          <w:color w:val="auto"/>
          <w:sz w:val="24"/>
          <w:highlight w:val="none"/>
          <w:u w:val="single"/>
          <w:lang w:val="en-US" w:eastAsia="zh-CN"/>
        </w:rPr>
        <w:t xml:space="preserve">11</w:t>
      </w:r>
      <w:r>
        <w:rPr>
          <w:rFonts w:hint="eastAsia" w:ascii="宋体" w:hAnsi="宋体" w:eastAsia="宋体" w:cs="宋体"/>
          <w:b/>
          <w:bCs/>
          <w:color w:val="auto"/>
          <w:sz w:val="24"/>
          <w:highlight w:val="none"/>
          <w:u w:val="single"/>
          <w:lang w:eastAsia="zh-CN"/>
        </w:rPr>
        <w:t xml:space="preserve">月</w:t>
      </w:r>
      <w:r>
        <w:rPr>
          <w:rFonts w:hint="eastAsia" w:ascii="宋体" w:hAnsi="宋体" w:cs="宋体"/>
          <w:b/>
          <w:bCs/>
          <w:color w:val="auto"/>
          <w:sz w:val="24"/>
          <w:highlight w:val="none"/>
          <w:u w:val="single"/>
          <w:lang w:val="en-US" w:eastAsia="zh-CN"/>
        </w:rPr>
        <w:t xml:space="preserve">2</w:t>
      </w:r>
      <w:r>
        <w:rPr>
          <w:rFonts w:hint="eastAsia" w:ascii="宋体" w:hAnsi="宋体" w:eastAsia="宋体" w:cs="宋体"/>
          <w:b/>
          <w:bCs/>
          <w:color w:val="auto"/>
          <w:sz w:val="24"/>
          <w:highlight w:val="none"/>
          <w:u w:val="single"/>
          <w:lang w:eastAsia="zh-CN"/>
        </w:rPr>
        <w:t xml:space="preserve">日</w:t>
      </w:r>
      <w:r>
        <w:rPr>
          <w:rFonts w:hint="eastAsia" w:ascii="宋体" w:hAnsi="宋体" w:cs="宋体"/>
          <w:b/>
          <w:bCs/>
          <w:color w:val="auto"/>
          <w:sz w:val="24"/>
          <w:highlight w:val="none"/>
          <w:u w:val="single"/>
          <w:lang w:val="en-US" w:eastAsia="zh-CN"/>
        </w:rPr>
        <w:t xml:space="preserve">09</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在截止时间后提交的首次响应文件为无效文件，将被拒收。</w:t>
      </w:r>
      <w:r/>
    </w:p>
    <w:p>
      <w:pPr>
        <w:pStyle w:val="1098"/>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（三）首次响应文件提交时间、地点：</w:t>
      </w:r>
      <w:r/>
    </w:p>
    <w:p>
      <w:pPr>
        <w:pStyle w:val="1098"/>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提交时间</w:t>
      </w:r>
      <w:r/>
    </w:p>
    <w:p>
      <w:pPr>
        <w:pStyle w:val="1098"/>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首次响应文件提交的截止时间</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u w:val="single"/>
          <w:lang w:eastAsia="zh-CN"/>
        </w:rPr>
        <w:t xml:space="preserve">202</w:t>
      </w:r>
      <w:r>
        <w:rPr>
          <w:rFonts w:hint="eastAsia" w:ascii="宋体" w:hAnsi="宋体" w:cs="宋体"/>
          <w:b/>
          <w:bCs/>
          <w:color w:val="auto"/>
          <w:sz w:val="24"/>
          <w:highlight w:val="none"/>
          <w:u w:val="single"/>
          <w:lang w:val="en-US" w:eastAsia="zh-CN"/>
        </w:rPr>
        <w:t xml:space="preserve">6</w:t>
      </w:r>
      <w:r>
        <w:rPr>
          <w:rFonts w:hint="eastAsia" w:ascii="宋体" w:hAnsi="宋体" w:eastAsia="宋体" w:cs="宋体"/>
          <w:b/>
          <w:bCs/>
          <w:color w:val="auto"/>
          <w:sz w:val="24"/>
          <w:highlight w:val="none"/>
          <w:u w:val="single"/>
          <w:lang w:eastAsia="zh-CN"/>
        </w:rPr>
        <w:t xml:space="preserve">年</w:t>
      </w:r>
      <w:r>
        <w:rPr>
          <w:rFonts w:hint="eastAsia" w:ascii="宋体" w:hAnsi="宋体" w:cs="宋体"/>
          <w:b/>
          <w:bCs/>
          <w:color w:val="auto"/>
          <w:sz w:val="24"/>
          <w:highlight w:val="none"/>
          <w:u w:val="single"/>
          <w:lang w:val="en-US" w:eastAsia="zh-CN"/>
        </w:rPr>
        <w:t xml:space="preserve">11</w:t>
      </w:r>
      <w:r>
        <w:rPr>
          <w:rFonts w:hint="eastAsia" w:ascii="宋体" w:hAnsi="宋体" w:eastAsia="宋体" w:cs="宋体"/>
          <w:b/>
          <w:bCs/>
          <w:color w:val="auto"/>
          <w:sz w:val="24"/>
          <w:highlight w:val="none"/>
          <w:u w:val="single"/>
          <w:lang w:eastAsia="zh-CN"/>
        </w:rPr>
        <w:t xml:space="preserve">月</w:t>
      </w:r>
      <w:r>
        <w:rPr>
          <w:rFonts w:hint="eastAsia" w:ascii="宋体" w:hAnsi="宋体" w:cs="宋体"/>
          <w:b/>
          <w:bCs/>
          <w:color w:val="auto"/>
          <w:sz w:val="24"/>
          <w:highlight w:val="none"/>
          <w:u w:val="single"/>
          <w:lang w:val="en-US" w:eastAsia="zh-CN"/>
        </w:rPr>
        <w:t xml:space="preserve">2</w:t>
      </w:r>
      <w:r>
        <w:rPr>
          <w:rFonts w:hint="eastAsia" w:ascii="宋体" w:hAnsi="宋体" w:eastAsia="宋体" w:cs="宋体"/>
          <w:b/>
          <w:bCs/>
          <w:color w:val="auto"/>
          <w:sz w:val="24"/>
          <w:highlight w:val="none"/>
          <w:u w:val="single"/>
          <w:lang w:eastAsia="zh-CN"/>
        </w:rPr>
        <w:t xml:space="preserve">日</w:t>
      </w:r>
      <w:r>
        <w:rPr>
          <w:rFonts w:hint="eastAsia" w:ascii="宋体" w:hAnsi="宋体" w:cs="宋体"/>
          <w:b/>
          <w:bCs/>
          <w:color w:val="auto"/>
          <w:sz w:val="24"/>
          <w:highlight w:val="none"/>
          <w:u w:val="single"/>
          <w:lang w:val="en-US" w:eastAsia="zh-CN"/>
        </w:rPr>
        <w:t xml:space="preserve">09</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rPr>
        <w:t xml:space="preserve">）前。</w:t>
      </w:r>
      <w:r/>
    </w:p>
    <w:p>
      <w:pPr>
        <w:pStyle w:val="1098"/>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提交地点：</w:t>
      </w:r>
      <w:r/>
    </w:p>
    <w:p>
      <w:pPr>
        <w:pStyle w:val="1098"/>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“苏采云”系统（网址：http://jszfcg.jsczt.cn/）“开标大厅”或进入徐州政府采购网（网址：https://czj.xz.gov.cn/zfcg/index.html）--办事指南--供应商--供应商登录入口，点击“苏采云”进入系统“开标大厅”。 </w:t>
      </w:r>
      <w:r/>
    </w:p>
    <w:p>
      <w:pPr>
        <w:pStyle w:val="1098"/>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）首次响应文件开启时间：</w:t>
      </w:r>
      <w:r>
        <w:rPr>
          <w:rFonts w:hint="eastAsia" w:ascii="宋体" w:hAnsi="宋体" w:eastAsia="宋体" w:cs="宋体"/>
          <w:b/>
          <w:bCs/>
          <w:color w:val="auto"/>
          <w:sz w:val="24"/>
          <w:highlight w:val="none"/>
          <w:u w:val="single"/>
          <w:lang w:eastAsia="zh-CN"/>
        </w:rPr>
        <w:t xml:space="preserve">202</w:t>
      </w:r>
      <w:r>
        <w:rPr>
          <w:rFonts w:hint="eastAsia" w:ascii="宋体" w:hAnsi="宋体" w:cs="宋体"/>
          <w:b/>
          <w:bCs/>
          <w:color w:val="auto"/>
          <w:sz w:val="24"/>
          <w:highlight w:val="none"/>
          <w:u w:val="single"/>
          <w:lang w:val="en-US" w:eastAsia="zh-CN"/>
        </w:rPr>
        <w:t xml:space="preserve">6</w:t>
      </w:r>
      <w:r>
        <w:rPr>
          <w:rFonts w:hint="eastAsia" w:ascii="宋体" w:hAnsi="宋体" w:eastAsia="宋体" w:cs="宋体"/>
          <w:b/>
          <w:bCs/>
          <w:color w:val="auto"/>
          <w:sz w:val="24"/>
          <w:highlight w:val="none"/>
          <w:u w:val="single"/>
          <w:lang w:eastAsia="zh-CN"/>
        </w:rPr>
        <w:t xml:space="preserve">年</w:t>
      </w:r>
      <w:r>
        <w:rPr>
          <w:rFonts w:hint="eastAsia" w:ascii="宋体" w:hAnsi="宋体" w:cs="宋体"/>
          <w:b/>
          <w:bCs/>
          <w:color w:val="auto"/>
          <w:sz w:val="24"/>
          <w:highlight w:val="none"/>
          <w:u w:val="single"/>
          <w:lang w:val="en-US" w:eastAsia="zh-CN"/>
        </w:rPr>
        <w:t xml:space="preserve">11</w:t>
      </w:r>
      <w:r>
        <w:rPr>
          <w:rFonts w:hint="eastAsia" w:ascii="宋体" w:hAnsi="宋体" w:eastAsia="宋体" w:cs="宋体"/>
          <w:b/>
          <w:bCs/>
          <w:color w:val="auto"/>
          <w:sz w:val="24"/>
          <w:highlight w:val="none"/>
          <w:u w:val="single"/>
          <w:lang w:eastAsia="zh-CN"/>
        </w:rPr>
        <w:t xml:space="preserve">月</w:t>
      </w:r>
      <w:r>
        <w:rPr>
          <w:rFonts w:hint="eastAsia" w:ascii="宋体" w:hAnsi="宋体" w:cs="宋体"/>
          <w:b/>
          <w:bCs/>
          <w:color w:val="auto"/>
          <w:sz w:val="24"/>
          <w:highlight w:val="none"/>
          <w:u w:val="single"/>
          <w:lang w:val="en-US" w:eastAsia="zh-CN"/>
        </w:rPr>
        <w:t xml:space="preserve">2</w:t>
      </w:r>
      <w:r>
        <w:rPr>
          <w:rFonts w:hint="eastAsia" w:ascii="宋体" w:hAnsi="宋体" w:eastAsia="宋体" w:cs="宋体"/>
          <w:b/>
          <w:bCs/>
          <w:color w:val="auto"/>
          <w:sz w:val="24"/>
          <w:highlight w:val="none"/>
          <w:u w:val="single"/>
          <w:lang w:eastAsia="zh-CN"/>
        </w:rPr>
        <w:t xml:space="preserve">日</w:t>
      </w:r>
      <w:r>
        <w:rPr>
          <w:rFonts w:hint="eastAsia" w:ascii="宋体" w:hAnsi="宋体" w:cs="宋体"/>
          <w:b/>
          <w:bCs/>
          <w:color w:val="auto"/>
          <w:sz w:val="24"/>
          <w:highlight w:val="none"/>
          <w:u w:val="single"/>
          <w:lang w:val="en-US" w:eastAsia="zh-CN"/>
        </w:rPr>
        <w:t xml:space="preserve">09</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rPr>
        <w:t xml:space="preserve">。</w:t>
      </w:r>
      <w:r/>
    </w:p>
    <w:p>
      <w:pPr>
        <w:pStyle w:val="1098"/>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）首次响应文件开启地点：</w:t>
      </w:r>
      <w:r/>
    </w:p>
    <w:p>
      <w:pPr>
        <w:pStyle w:val="1098"/>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“苏采云”系统（网址：http://jszfcg.jsczt.cn/）“开标大厅”或进入徐州政府采购网（网址：https://czj.xz.gov.cn/zfcg/index.html）--办事指南--供应商--供应商登录入口，点击“苏采云”进入系统“开标大厅”。</w:t>
      </w:r>
      <w:r/>
    </w:p>
    <w:p>
      <w:pPr>
        <w:pStyle w:val="1098"/>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auto"/>
          <w:sz w:val="24"/>
          <w:highlight w:val="none"/>
          <w:lang w:eastAsia="zh-CN"/>
        </w:rPr>
        <w:t xml:space="preserve">。</w:t>
      </w:r>
      <w:r/>
    </w:p>
    <w:p>
      <w:pPr>
        <w:pStyle w:val="1098"/>
        <w:ind w:firstLine="480"/>
        <w:jc w:val="left"/>
        <w:keepLines w:val="0"/>
        <w:keepNext w:val="0"/>
        <w:pageBreakBefore w:val="0"/>
        <w:spacing w:line="440" w:lineRule="exact"/>
        <w:shd w:val="clear" w:color="auto" w:fill="ffffff"/>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）不接受不按要求加盖</w:t>
      </w:r>
      <w:r>
        <w:rPr>
          <w:rFonts w:hint="eastAsia" w:ascii="宋体" w:hAnsi="宋体" w:cs="宋体"/>
          <w:color w:val="auto"/>
          <w:sz w:val="24"/>
          <w:highlight w:val="none"/>
          <w:lang w:eastAsia="zh-CN"/>
        </w:rPr>
        <w:t xml:space="preserve">电子签章</w:t>
      </w:r>
      <w:r>
        <w:rPr>
          <w:rFonts w:hint="eastAsia" w:ascii="宋体" w:hAnsi="宋体" w:eastAsia="宋体" w:cs="宋体"/>
          <w:color w:val="auto"/>
          <w:sz w:val="24"/>
          <w:highlight w:val="none"/>
        </w:rPr>
        <w:t xml:space="preserve">（电子签章）的首次响应文件。电子签章相关要求见“苏采云”系统。</w:t>
      </w:r>
      <w:r/>
    </w:p>
    <w:p>
      <w:pPr>
        <w:pStyle w:val="1098"/>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八</w:t>
      </w:r>
      <w:r>
        <w:rPr>
          <w:rFonts w:hint="eastAsia" w:ascii="宋体" w:hAnsi="宋体" w:eastAsia="宋体" w:cs="宋体"/>
          <w:bCs/>
          <w:color w:val="auto"/>
          <w:sz w:val="24"/>
          <w:highlight w:val="none"/>
        </w:rPr>
        <w:t xml:space="preserve">）首次响应文件解密：到达开启时间，</w:t>
      </w:r>
      <w:r>
        <w:rPr>
          <w:rFonts w:hint="eastAsia" w:ascii="宋体" w:hAnsi="宋体" w:eastAsia="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highlight w:val="none"/>
        </w:rPr>
        <w:t xml:space="preserve">开启时间后30分钟内</w:t>
      </w:r>
      <w:r>
        <w:rPr>
          <w:rFonts w:hint="eastAsia" w:ascii="宋体" w:hAnsi="宋体" w:eastAsia="宋体" w:cs="宋体"/>
          <w:color w:val="auto"/>
          <w:sz w:val="24"/>
          <w:highlight w:val="none"/>
        </w:rPr>
        <w:t xml:space="preserve">，通过“苏采云”系统（使用“CA数字证书”）解密。</w:t>
      </w:r>
      <w:r/>
    </w:p>
    <w:p>
      <w:pPr>
        <w:pStyle w:val="1098"/>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）采购文件（后缀名为“.kedt”）、供应商操作手册及政府采购客户端工具可通过“苏采云”系统（网址：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HYPERLINK "http://jszfcg.jsczt.cn/"</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）--已报名项目--报名详情页面内相应链接进行下载；</w:t>
      </w:r>
      <w:r>
        <w:rPr>
          <w:rFonts w:hint="eastAsia" w:ascii="宋体" w:hAnsi="宋体" w:cs="宋体"/>
          <w:bCs/>
          <w:sz w:val="24"/>
          <w:highlight w:val="none"/>
        </w:rPr>
        <w:t xml:space="preserve">供应商操作手册及政府采购客户端工具也可通过徐州政府采购网--办事指南--资料下载</w:t>
      </w:r>
      <w:r>
        <w:rPr>
          <w:rFonts w:hint="eastAsia" w:ascii="宋体" w:hAnsi="宋体" w:eastAsia="宋体" w:cs="宋体"/>
          <w:color w:val="auto"/>
          <w:sz w:val="24"/>
          <w:highlight w:val="none"/>
        </w:rPr>
        <w:t xml:space="preserve">，点击进入《江苏省政府采购管理交易系统（苏采云）供应商操作手册及政府采购客户端》，进行下载。</w:t>
      </w:r>
      <w:r/>
    </w:p>
    <w:p>
      <w:pPr>
        <w:pStyle w:val="1098"/>
        <w:ind w:left="0" w:firstLine="480"/>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十</w:t>
      </w:r>
      <w:r>
        <w:rPr>
          <w:rFonts w:hint="eastAsia" w:ascii="宋体" w:hAnsi="宋体" w:eastAsia="宋体" w:cs="宋体"/>
          <w:color w:val="auto"/>
          <w:sz w:val="24"/>
          <w:highlight w:val="none"/>
        </w:rPr>
        <w:t xml:space="preserve">）相关说明: 供应商在“苏采云”系统中提交首次响应文件的时间即为数据电文（响应文件，下同）的发送时间和接收时间。</w:t>
      </w:r>
      <w:r/>
    </w:p>
    <w:p>
      <w:pPr>
        <w:pStyle w:val="1098"/>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十三、响应文件编制要求</w:t>
      </w:r>
      <w:r/>
    </w:p>
    <w:p>
      <w:pPr>
        <w:pStyle w:val="1098"/>
        <w:ind w:firstLine="480"/>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请按照以下要求（包括但不限于以下要求）制作</w:t>
      </w:r>
      <w:r>
        <w:rPr>
          <w:rFonts w:hint="eastAsia" w:ascii="宋体" w:hAnsi="宋体" w:eastAsia="宋体" w:cs="宋体"/>
          <w:color w:val="auto"/>
          <w:sz w:val="24"/>
          <w:highlight w:val="none"/>
        </w:rPr>
        <w:t xml:space="preserve">：</w:t>
      </w:r>
      <w:r/>
    </w:p>
    <w:p>
      <w:pPr>
        <w:ind w:left="0" w:right="0" w:firstLine="425"/>
        <w:keepLines w:val="0"/>
        <w:keepNext w:val="0"/>
        <w:pageBreakBefore w:val="0"/>
        <w:spacing w:line="440" w:lineRule="exact"/>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24"/>
        </w:rPr>
        <w:t xml:space="preserve">（一）基本目录</w:t>
      </w:r>
      <w:r/>
    </w:p>
    <w:p>
      <w:pPr>
        <w:ind w:left="0" w:right="0" w:firstLine="480"/>
        <w:keepLines w:val="0"/>
        <w:keepNext w:val="0"/>
        <w:pageBreakBefore w:val="0"/>
        <w:spacing w:line="440" w:lineRule="exact"/>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1、《磋商报价表》（加盖电子签章，格式见《磋商文件》附件。政府采购客户端工具输入报价自动生成）；</w:t>
      </w:r>
      <w:r/>
    </w:p>
    <w:p>
      <w:pPr>
        <w:ind w:left="0" w:right="0" w:firstLine="482"/>
        <w:keepLines w:val="0"/>
        <w:keepNext w:val="0"/>
        <w:pageBreakBefore w:val="0"/>
        <w:spacing w:line="440" w:lineRule="exact"/>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2、供应商认为需要提供的其他资料的扫描件（如有）。</w:t>
      </w:r>
      <w:r/>
    </w:p>
    <w:p>
      <w:pPr>
        <w:ind w:left="0" w:right="0" w:firstLine="241"/>
        <w:keepLines w:val="0"/>
        <w:keepNext w:val="0"/>
        <w:pageBreakBefore w:val="0"/>
        <w:spacing w:line="440" w:lineRule="exact"/>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24"/>
        </w:rPr>
        <w:t xml:space="preserve">（二）资格条件</w:t>
      </w:r>
      <w:r/>
    </w:p>
    <w:p>
      <w:pPr>
        <w:ind w:firstLine="482"/>
        <w:jc w:val="left"/>
        <w:keepLines w:val="0"/>
        <w:keepNext w:val="0"/>
        <w:pageBreakBefore w:val="0"/>
        <w:spacing w:line="440" w:lineRule="exact"/>
        <w:widowControl/>
        <w:rPr>
          <w:rFonts w:ascii="宋体" w:hAnsi="宋体"/>
          <w:bCs/>
          <w:color w:val="auto"/>
          <w:sz w:val="24"/>
          <w:szCs w:val="20"/>
          <w:highlight w:val="none"/>
        </w:rPr>
        <w:outlineLvl w:val="9"/>
      </w:pPr>
      <w:r>
        <w:rPr>
          <w:rFonts w:hint="eastAsia" w:ascii="宋体" w:hAnsi="宋体"/>
          <w:b/>
          <w:bCs w:val="0"/>
          <w:color w:val="auto"/>
          <w:sz w:val="24"/>
          <w:szCs w:val="20"/>
          <w:highlight w:val="none"/>
          <w:lang w:val="en-US" w:eastAsia="zh-CN"/>
        </w:rPr>
        <w:t xml:space="preserve">1.满足《中华人民共和国政府采购法》第二十二条规定：</w:t>
      </w:r>
      <w:r/>
    </w:p>
    <w:p>
      <w:pPr>
        <w:ind w:firstLine="482"/>
        <w:jc w:val="left"/>
        <w:keepLines w:val="0"/>
        <w:keepNext w:val="0"/>
        <w:pageBreakBefore w:val="0"/>
        <w:spacing w:line="440" w:lineRule="exact"/>
        <w:widowControl/>
        <w:rPr>
          <w:rFonts w:ascii="宋体" w:hAnsi="宋体"/>
          <w:bCs/>
          <w:color w:val="auto"/>
          <w:sz w:val="24"/>
          <w:szCs w:val="20"/>
          <w:highlight w:val="none"/>
        </w:rPr>
        <w:outlineLvl w:val="9"/>
      </w:pPr>
      <w:r>
        <w:rPr>
          <w:rFonts w:hint="eastAsia" w:ascii="宋体" w:hAnsi="宋体"/>
          <w:bCs/>
          <w:color w:val="auto"/>
          <w:sz w:val="24"/>
          <w:szCs w:val="20"/>
          <w:highlight w:val="none"/>
          <w:lang w:eastAsia="zh-CN"/>
        </w:rPr>
        <w:t xml:space="preserve">（</w:t>
      </w:r>
      <w:r>
        <w:rPr>
          <w:rFonts w:hint="eastAsia" w:ascii="宋体" w:hAnsi="宋体"/>
          <w:bCs/>
          <w:color w:val="auto"/>
          <w:sz w:val="24"/>
          <w:szCs w:val="20"/>
          <w:highlight w:val="none"/>
          <w:lang w:val="en-US" w:eastAsia="zh-CN"/>
        </w:rPr>
        <w:t xml:space="preserve">1</w:t>
      </w:r>
      <w:r>
        <w:rPr>
          <w:rFonts w:hint="eastAsia" w:ascii="宋体" w:hAnsi="宋体"/>
          <w:bCs/>
          <w:color w:val="auto"/>
          <w:sz w:val="24"/>
          <w:szCs w:val="20"/>
          <w:highlight w:val="none"/>
          <w:lang w:eastAsia="zh-CN"/>
        </w:rPr>
        <w:t xml:space="preserve">）</w:t>
      </w:r>
      <w:r>
        <w:rPr>
          <w:rFonts w:hint="eastAsia" w:ascii="宋体" w:hAnsi="宋体" w:eastAsia="宋体" w:cs="宋体"/>
          <w:b w:val="0"/>
          <w:bCs w:val="0"/>
          <w:color w:val="auto"/>
          <w:sz w:val="24"/>
          <w:szCs w:val="24"/>
          <w:highlight w:val="none"/>
          <w:lang w:val="en-US" w:eastAsia="zh-CN" w:bidi="ar-SA"/>
        </w:rPr>
        <w:t xml:space="preserve">具有独立承担民事责任的能力，提供</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合法有效的法人的营业执照(或事业单位法人证书)或其他组织应提供合法证明文件的原件扫描件(加盖电子签章)</w:t>
      </w:r>
      <w:r>
        <w:rPr>
          <w:rFonts w:hint="eastAsia" w:ascii="宋体" w:hAnsi="宋体"/>
          <w:b/>
          <w:color w:val="auto"/>
          <w:sz w:val="24"/>
          <w:szCs w:val="20"/>
          <w:highlight w:val="none"/>
        </w:rPr>
        <w:t xml:space="preserve">。</w:t>
      </w:r>
      <w:r/>
    </w:p>
    <w:p>
      <w:pPr>
        <w:ind w:firstLine="482"/>
        <w:jc w:val="left"/>
        <w:keepLines w:val="0"/>
        <w:keepNext w:val="0"/>
        <w:pageBreakBefore w:val="0"/>
        <w:spacing w:line="440" w:lineRule="exact"/>
        <w:widowControl/>
        <w:rPr>
          <w:rFonts w:hint="eastAsia" w:ascii="宋体" w:hAnsi="宋体" w:eastAsia="宋体"/>
          <w:b w:val="0"/>
          <w:bCs/>
          <w:color w:val="auto"/>
          <w:sz w:val="24"/>
          <w:szCs w:val="20"/>
          <w:highlight w:val="none"/>
          <w:lang w:eastAsia="zh-CN"/>
        </w:rPr>
        <w:outlineLvl w:val="9"/>
      </w:pPr>
      <w:r>
        <w:rPr>
          <w:rFonts w:hint="eastAsia" w:ascii="宋体" w:hAnsi="宋体" w:eastAsia="宋体" w:cs="宋体"/>
          <w:color w:val="auto"/>
          <w:sz w:val="24"/>
          <w:szCs w:val="24"/>
          <w:highlight w:val="none"/>
        </w:rPr>
        <w:t xml:space="preserve">（2）财务状况报告，至少提供：即提供供应商的本项目开标时间前6个月内的资产负债表原件的扫描件1份；供应商的本项目开标时间前6个月内任何1月（不含开标当月）利润表月报表原件的扫描件1份</w:t>
      </w:r>
      <w:r>
        <w:rPr>
          <w:rFonts w:hint="eastAsia" w:ascii="宋体" w:hAnsi="宋体" w:cs="宋体"/>
          <w:color w:val="auto"/>
          <w:sz w:val="24"/>
          <w:szCs w:val="24"/>
          <w:highlight w:val="none"/>
          <w:lang w:eastAsia="zh-CN"/>
        </w:rPr>
        <w:t xml:space="preserve">。</w:t>
      </w:r>
      <w:r/>
    </w:p>
    <w:p>
      <w:pPr>
        <w:ind w:firstLine="482"/>
        <w:jc w:val="left"/>
        <w:keepLines w:val="0"/>
        <w:keepNext w:val="0"/>
        <w:pageBreakBefore w:val="0"/>
        <w:spacing w:line="440" w:lineRule="exact"/>
        <w:widowControl/>
        <w:rPr>
          <w:rFonts w:ascii="宋体" w:hAnsi="宋体"/>
          <w:b w:val="0"/>
          <w:bCs/>
          <w:color w:val="auto"/>
          <w:sz w:val="24"/>
          <w:szCs w:val="20"/>
          <w:highlight w:val="none"/>
        </w:rPr>
        <w:outlineLvl w:val="9"/>
      </w:pPr>
      <w:r>
        <w:rPr>
          <w:rFonts w:hint="eastAsia" w:ascii="宋体" w:hAnsi="宋体" w:eastAsia="宋体" w:cs="宋体"/>
          <w:color w:val="auto"/>
          <w:sz w:val="24"/>
          <w:szCs w:val="24"/>
          <w:highlight w:val="none"/>
        </w:rPr>
        <w:t xml:space="preserve">（3）</w:t>
      </w:r>
      <w:r>
        <w:rPr>
          <w:rFonts w:ascii="宋体" w:hAnsi="宋体"/>
          <w:bCs/>
          <w:color w:val="auto"/>
          <w:sz w:val="24"/>
          <w:szCs w:val="20"/>
          <w:highlight w:val="none"/>
        </w:rPr>
        <w:t xml:space="preserve">有依法缴纳税收和社会保障资金的良好记录，提供</w:t>
      </w:r>
      <w:r>
        <w:rPr>
          <w:rFonts w:hint="eastAsia" w:ascii="宋体" w:hAnsi="宋体"/>
          <w:b w:val="0"/>
          <w:bCs/>
          <w:color w:val="auto"/>
          <w:sz w:val="24"/>
          <w:szCs w:val="20"/>
          <w:highlight w:val="none"/>
        </w:rPr>
        <w:t xml:space="preserve">供应商的提交首次响应文件时间前6个月内任何1月（不含“首次响应文件提交的截止时间”当月）的依法缴纳税收和社会保障资金的相关材料扫描件；或依法免税或不需要缴纳社会保障资金的供应商应提供相应其依法免税或不需要缴纳社会保障资金的证明文件扫描件</w:t>
      </w:r>
      <w:r>
        <w:rPr>
          <w:rFonts w:ascii="宋体" w:hAnsi="宋体"/>
          <w:b w:val="0"/>
          <w:bCs/>
          <w:color w:val="auto"/>
          <w:sz w:val="24"/>
          <w:szCs w:val="20"/>
          <w:highlight w:val="none"/>
        </w:rPr>
        <w:t xml:space="preserve">。</w:t>
      </w:r>
      <w:r/>
    </w:p>
    <w:p>
      <w:pPr>
        <w:ind w:firstLine="482"/>
        <w:jc w:val="left"/>
        <w:keepLines w:val="0"/>
        <w:keepNext w:val="0"/>
        <w:pageBreakBefore w:val="0"/>
        <w:spacing w:line="440" w:lineRule="exact"/>
        <w:widowControl/>
        <w:rPr>
          <w:rFonts w:ascii="宋体" w:hAnsi="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）具备履行合同所必需的设备和专业技术能力的证明材料，提供具备履行合同所必需的设备和专业技术能力的书面声明</w:t>
      </w:r>
      <w:r>
        <w:rPr>
          <w:rFonts w:hint="eastAsia" w:ascii="宋体" w:hAnsi="宋体"/>
          <w:b w:val="0"/>
          <w:bCs/>
          <w:color w:val="auto"/>
          <w:sz w:val="24"/>
          <w:szCs w:val="24"/>
          <w:highlight w:val="none"/>
        </w:rPr>
        <w:t xml:space="preserve">（加盖电子签章，格式见《磋商文件》附件）。</w:t>
      </w:r>
      <w:r/>
    </w:p>
    <w:p>
      <w:pPr>
        <w:ind w:firstLine="482"/>
        <w:jc w:val="left"/>
        <w:keepLines w:val="0"/>
        <w:keepNext w:val="0"/>
        <w:pageBreakBefore w:val="0"/>
        <w:spacing w:line="440" w:lineRule="exact"/>
        <w:widowControl/>
        <w:rPr>
          <w:rFonts w:hint="eastAsia" w:ascii="宋体" w:hAnsi="宋体"/>
          <w:b w:val="0"/>
          <w:bCs/>
          <w:color w:val="auto"/>
          <w:sz w:val="24"/>
          <w:szCs w:val="20"/>
          <w:highlight w:val="none"/>
        </w:rPr>
        <w:outlineLvl w:val="9"/>
      </w:pP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w:t>
      </w:r>
      <w:r>
        <w:rPr>
          <w:rFonts w:hint="eastAsia" w:ascii="宋体" w:hAnsi="宋体"/>
          <w:b w:val="0"/>
          <w:bCs/>
          <w:color w:val="auto"/>
          <w:sz w:val="24"/>
          <w:szCs w:val="20"/>
          <w:highlight w:val="none"/>
        </w:rPr>
        <w:t xml:space="preserve">供应商参加政府采购活动前</w:t>
      </w:r>
      <w:r>
        <w:rPr>
          <w:rFonts w:ascii="宋体" w:hAnsi="宋体"/>
          <w:b w:val="0"/>
          <w:bCs/>
          <w:color w:val="auto"/>
          <w:sz w:val="24"/>
          <w:szCs w:val="20"/>
          <w:highlight w:val="none"/>
        </w:rPr>
        <w:t xml:space="preserve">三</w:t>
      </w:r>
      <w:r>
        <w:rPr>
          <w:rFonts w:hint="eastAsia" w:ascii="宋体" w:hAnsi="宋体"/>
          <w:b w:val="0"/>
          <w:bCs/>
          <w:color w:val="auto"/>
          <w:sz w:val="24"/>
          <w:szCs w:val="20"/>
          <w:highlight w:val="none"/>
        </w:rPr>
        <w:t xml:space="preserve">年内在经营活动中没有重大违法记录的书面声明（加盖电子签章，格式见《磋商文件》附件）。</w:t>
      </w:r>
      <w:r/>
    </w:p>
    <w:p>
      <w:pPr>
        <w:pStyle w:val="1300"/>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2.落实政府采购政策需满足的资格要求：</w:t>
      </w:r>
      <w:r>
        <w:rPr>
          <w:rFonts w:hint="eastAsia" w:ascii="宋体" w:hAnsi="宋体" w:eastAsia="宋体" w:cs="宋体"/>
          <w:b w:val="0"/>
          <w:bCs w:val="0"/>
          <w:color w:val="auto"/>
          <w:sz w:val="24"/>
          <w:szCs w:val="24"/>
          <w:highlight w:val="none"/>
          <w:lang w:val="en-US" w:eastAsia="zh-CN"/>
        </w:rPr>
        <w:t xml:space="preserve">此项目属于专门面向中小微企业采购的项目，供应商应为中小微企业、监狱企业、残疾人福利性单位</w:t>
      </w:r>
      <w:r>
        <w:rPr>
          <w:rFonts w:hint="eastAsia" w:ascii="宋体" w:hAnsi="宋体" w:eastAsia="宋体" w:cs="宋体"/>
          <w:b w:val="0"/>
          <w:bCs w:val="0"/>
          <w:color w:val="auto"/>
          <w:sz w:val="24"/>
          <w:szCs w:val="24"/>
          <w:highlight w:val="none"/>
          <w:lang w:eastAsia="zh-CN"/>
        </w:rPr>
        <w:t xml:space="preserve">。</w:t>
      </w:r>
      <w:r/>
    </w:p>
    <w:p>
      <w:pPr>
        <w:ind w:left="0" w:right="-334" w:firstLine="482"/>
        <w:keepLines w:val="0"/>
        <w:keepNext w:val="0"/>
        <w:pageBreakBefore w:val="0"/>
        <w:spacing w:line="440" w:lineRule="exact"/>
        <w:widowControl/>
        <w:rPr>
          <w:b w:val="0"/>
          <w:bCs/>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000000"/>
          <w:sz w:val="24"/>
        </w:rPr>
        <w:t xml:space="preserve">提供《中小企业声明函》（加盖电子签章，填写完整。格式见《磋商文件》附件）。《中小企业声明函》</w:t>
      </w:r>
      <w:r>
        <w:rPr>
          <w:rFonts w:hint="eastAsia" w:ascii="宋体" w:hAnsi="宋体" w:eastAsia="宋体" w:cs="宋体"/>
          <w:b w:val="0"/>
          <w:bCs/>
          <w:color w:val="000000"/>
          <w:sz w:val="24"/>
        </w:rPr>
        <w:t xml:space="preserve"> 查询渠道用微信搜索“中小企业规模类型自测小程序”</w:t>
      </w:r>
      <w:r>
        <w:rPr>
          <w:rFonts w:ascii="宋体" w:hAnsi="宋体" w:eastAsia="宋体" w:cs="宋体"/>
          <w:b w:val="0"/>
          <w:bCs/>
          <w:color w:val="000000"/>
          <w:sz w:val="24"/>
        </w:rPr>
        <w:t xml:space="preserve">；</w:t>
      </w:r>
      <w:r/>
    </w:p>
    <w:p>
      <w:pPr>
        <w:ind w:left="0" w:right="-334" w:firstLine="360"/>
        <w:keepLines w:val="0"/>
        <w:keepNext w:val="0"/>
        <w:pageBreakBefore w:val="0"/>
        <w:spacing w:line="440" w:lineRule="exac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t xml:space="preserve">注：</w:t>
      </w:r>
      <w:r/>
    </w:p>
    <w:p>
      <w:pPr>
        <w:ind w:left="0" w:right="-334" w:firstLine="360"/>
        <w:keepLines w:val="0"/>
        <w:keepNext w:val="0"/>
        <w:pageBreakBefore w:val="0"/>
        <w:spacing w:line="440" w:lineRule="exac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lang w:eastAsia="zh-CN"/>
        </w:rPr>
        <w:t xml:space="preserve">（</w:t>
      </w:r>
      <w:r>
        <w:rPr>
          <w:rFonts w:hint="eastAsia" w:ascii="宋体" w:hAnsi="宋体" w:cs="宋体"/>
          <w:b w:val="0"/>
          <w:bCs/>
          <w:color w:val="000000"/>
          <w:sz w:val="24"/>
          <w:lang w:val="en-US" w:eastAsia="zh-CN"/>
        </w:rPr>
        <w:t xml:space="preserve">1</w:t>
      </w:r>
      <w:r>
        <w:rPr>
          <w:rFonts w:hint="eastAsia" w:ascii="宋体" w:hAnsi="宋体" w:cs="宋体"/>
          <w:b w:val="0"/>
          <w:bCs/>
          <w:color w:val="000000"/>
          <w:sz w:val="24"/>
          <w:lang w:eastAsia="zh-CN"/>
        </w:rPr>
        <w:t xml:space="preserve">）</w:t>
      </w:r>
      <w:r>
        <w:rPr>
          <w:rFonts w:hint="eastAsia" w:ascii="宋体" w:hAnsi="宋体" w:eastAsia="宋体" w:cs="宋体"/>
          <w:b w:val="0"/>
          <w:bCs/>
          <w:color w:val="000000"/>
          <w:sz w:val="24"/>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left="0" w:right="-334" w:firstLine="360"/>
        <w:keepLines w:val="0"/>
        <w:keepNext w:val="0"/>
        <w:pageBreakBefore w:val="0"/>
        <w:spacing w:line="440" w:lineRule="exac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lang w:eastAsia="zh-CN"/>
        </w:rPr>
        <w:t xml:space="preserve">（</w:t>
      </w:r>
      <w:r>
        <w:rPr>
          <w:rFonts w:hint="eastAsia" w:ascii="宋体" w:hAnsi="宋体" w:cs="宋体"/>
          <w:b w:val="0"/>
          <w:bCs/>
          <w:color w:val="000000"/>
          <w:sz w:val="24"/>
          <w:lang w:val="en-US" w:eastAsia="zh-CN"/>
        </w:rPr>
        <w:t xml:space="preserve">2</w:t>
      </w:r>
      <w:r>
        <w:rPr>
          <w:rFonts w:hint="eastAsia" w:ascii="宋体" w:hAnsi="宋体" w:cs="宋体"/>
          <w:b w:val="0"/>
          <w:bCs/>
          <w:color w:val="000000"/>
          <w:sz w:val="24"/>
          <w:lang w:eastAsia="zh-CN"/>
        </w:rPr>
        <w:t xml:space="preserve">）</w:t>
      </w:r>
      <w:r>
        <w:rPr>
          <w:rFonts w:hint="eastAsia" w:ascii="宋体" w:hAnsi="宋体" w:cs="宋体"/>
          <w:b w:val="0"/>
          <w:bCs/>
          <w:color w:val="000000"/>
          <w:sz w:val="24"/>
          <w:lang w:val="en-US" w:eastAsia="zh-CN"/>
        </w:rPr>
        <w:t xml:space="preserve">供应商</w:t>
      </w:r>
      <w:r>
        <w:rPr>
          <w:rFonts w:hint="eastAsia" w:ascii="宋体" w:hAnsi="宋体" w:eastAsia="宋体" w:cs="宋体"/>
          <w:b w:val="0"/>
          <w:bCs/>
          <w:color w:val="000000"/>
          <w:sz w:val="24"/>
        </w:rPr>
        <w:t xml:space="preserve">为残疾人福利性单位的，视同小微企业，提供《残疾人福利性单位声明函》（加盖电子签章，格式见《磋商文件》附件））。具体以《关于促进残疾人就业政府采购政策的通知》（财库〔2017〕141号）的规定为准。</w:t>
      </w:r>
      <w:r/>
    </w:p>
    <w:p>
      <w:pPr>
        <w:ind w:left="0" w:right="-334" w:firstLine="360"/>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lang w:eastAsia="zh-CN"/>
        </w:rPr>
        <w:t xml:space="preserve">（</w:t>
      </w:r>
      <w:r>
        <w:rPr>
          <w:rFonts w:hint="eastAsia" w:ascii="宋体" w:hAnsi="宋体" w:cs="宋体"/>
          <w:b w:val="0"/>
          <w:bCs/>
          <w:color w:val="000000"/>
          <w:sz w:val="24"/>
          <w:lang w:val="en-US" w:eastAsia="zh-CN"/>
        </w:rPr>
        <w:t xml:space="preserve">3</w:t>
      </w:r>
      <w:r>
        <w:rPr>
          <w:rFonts w:hint="eastAsia" w:ascii="宋体" w:hAnsi="宋体" w:cs="宋体"/>
          <w:b w:val="0"/>
          <w:bCs/>
          <w:color w:val="000000"/>
          <w:sz w:val="24"/>
          <w:lang w:eastAsia="zh-CN"/>
        </w:rPr>
        <w:t xml:space="preserve">）</w:t>
      </w:r>
      <w:r>
        <w:rPr>
          <w:rFonts w:hint="eastAsia" w:ascii="宋体" w:hAnsi="宋体" w:cs="宋体"/>
          <w:b w:val="0"/>
          <w:bCs/>
          <w:color w:val="000000"/>
          <w:sz w:val="24"/>
          <w:lang w:val="en-US" w:eastAsia="zh-CN"/>
        </w:rPr>
        <w:t xml:space="preserve">供应商</w:t>
      </w:r>
      <w:r>
        <w:rPr>
          <w:rFonts w:hint="eastAsia" w:ascii="宋体" w:hAnsi="宋体" w:eastAsia="宋体" w:cs="宋体"/>
          <w:b w:val="0"/>
          <w:bCs/>
          <w:color w:val="000000"/>
          <w:sz w:val="24"/>
        </w:rPr>
        <w:t xml:space="preserve">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rPr>
        <w:t xml:space="preserve">3.本项目的特定资格要求：</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14:textFill>
            <w14:solidFill>
              <w14:schemeClr w14:val="tx1"/>
            </w14:solidFill>
          </w14:textFill>
        </w:rPr>
        <w:t xml:space="preserve">（1）</w:t>
      </w: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供应商具备市政公用工程施工总承包三级（含）以上资质（提供原件扫描件并加盖电子签章）；</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（2）供应商拟选派项目负责人须具备市政公用工程专业二级（含）以上注册建造师资格证书及具有有效的安全生产考核合格证B证(提供原件扫描件并加盖电子签章）；</w:t>
      </w:r>
      <w:r/>
    </w:p>
    <w:p>
      <w:pPr>
        <w:ind w:left="0" w:right="0" w:firstLine="480"/>
        <w:jc w:val="both"/>
        <w:keepLines w:val="0"/>
        <w:keepNext w:val="0"/>
        <w:spacing w:before="0" w:beforeAutospacing="0" w:after="0" w:afterAutospacing="0" w:line="440" w:lineRule="atLeast"/>
        <w:widowControl/>
        <w:rPr>
          <w:rFonts w:hint="eastAsia" w:ascii="宋体" w:hAnsi="宋体" w:cs="宋体"/>
          <w:b w:val="0"/>
          <w:bCs w:val="0"/>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（3）供应商须具备有效的安全生产许可证（提供原件扫描件并加盖电子签章）。</w:t>
      </w:r>
      <w:r/>
    </w:p>
    <w:p>
      <w:pPr>
        <w:numPr>
          <w:ilvl w:val="0"/>
          <w:numId w:val="2"/>
        </w:numPr>
        <w:ind w:left="0" w:right="0" w:firstLine="0"/>
        <w:keepLines w:val="0"/>
        <w:keepNext w:val="0"/>
        <w:pageBreakBefore w:val="0"/>
        <w:spacing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符合条件（必须提供，否则响应无效）</w:t>
      </w:r>
      <w:r/>
    </w:p>
    <w:p>
      <w:pPr>
        <w:ind w:left="0" w:right="-334" w:firstLine="482"/>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1</w:t>
      </w:r>
      <w:r>
        <w:rPr>
          <w:rFonts w:ascii="宋体" w:hAnsi="宋体" w:eastAsia="宋体" w:cs="宋体"/>
          <w:b/>
          <w:color w:val="000000"/>
          <w:sz w:val="24"/>
        </w:rPr>
        <w:t xml:space="preserve">.《磋商报价表》（加盖电子签章，格式见《磋商文件》附件）；</w:t>
      </w:r>
      <w:r/>
    </w:p>
    <w:p>
      <w:pPr>
        <w:pStyle w:val="1053"/>
        <w:numPr>
          <w:ilvl w:val="0"/>
          <w:numId w:val="0"/>
        </w:numPr>
        <w:ind w:right="30" w:firstLine="482"/>
        <w:jc w:val="both"/>
        <w:keepLines w:val="0"/>
        <w:keepNext w:val="0"/>
        <w:pageBreakBefore w:val="0"/>
        <w:spacing w:after="0" w:line="440" w:lineRule="exact"/>
      </w:pP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.《分项价格表》（加盖电子签章，格式见《磋商文件》附件）；</w:t>
      </w:r>
      <w:r/>
    </w:p>
    <w:p>
      <w:pPr>
        <w:ind w:left="0" w:right="-334" w:firstLine="482"/>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.《承诺书》（加盖电子签章，格式见《磋商文件》附件）；</w:t>
      </w:r>
      <w:r/>
    </w:p>
    <w:p>
      <w:pPr>
        <w:ind w:left="0" w:right="-334" w:firstLine="482"/>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4</w:t>
      </w:r>
      <w:r>
        <w:rPr>
          <w:rFonts w:ascii="宋体" w:hAnsi="宋体" w:eastAsia="宋体" w:cs="宋体"/>
          <w:b/>
          <w:color w:val="000000"/>
          <w:sz w:val="24"/>
        </w:rPr>
        <w:t xml:space="preserve">.《授权委托书》（加盖电子签章，格式见《磋商文件》附件）；</w:t>
      </w:r>
      <w:r/>
    </w:p>
    <w:p>
      <w:pPr>
        <w:ind w:left="0" w:right="-334" w:firstLine="482"/>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5.《偏离表》（加盖电子签章，格式见《磋商文件》附件）；</w:t>
      </w:r>
      <w:r/>
    </w:p>
    <w:p>
      <w:pPr>
        <w:ind w:left="0" w:right="0" w:firstLine="0"/>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（四）综合评审评分项</w:t>
      </w:r>
      <w:r/>
    </w:p>
    <w:p>
      <w:pPr>
        <w:ind w:left="0" w:right="0" w:firstLine="48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1、技术部分</w:t>
      </w:r>
      <w:r/>
    </w:p>
    <w:p>
      <w:pPr>
        <w:ind w:left="0" w:right="-334" w:firstLine="36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1.1《施工方案》（要求见《磋商文件》附件2、《项目要求（采购需求）》及附件1、《评分细则》）；</w:t>
      </w:r>
      <w:r/>
    </w:p>
    <w:p>
      <w:pPr>
        <w:ind w:left="0" w:right="0" w:firstLine="48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2、商务部分</w:t>
      </w:r>
      <w:r/>
    </w:p>
    <w:p>
      <w:pPr>
        <w:ind w:left="0" w:right="0" w:firstLine="48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2.1供应商业绩（要求见《磋商文件》附件1、《评分细则》）；</w:t>
      </w:r>
      <w:r/>
    </w:p>
    <w:p>
      <w:pPr>
        <w:ind w:left="0" w:right="0" w:firstLine="482"/>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2.2评分细则中评分得分需提供的相关证明文件原件扫描件或供应商认为需要提供的其他资料扫描件。</w:t>
      </w:r>
      <w:r/>
    </w:p>
    <w:p>
      <w:pPr>
        <w:pStyle w:val="1098"/>
        <w:keepLines w:val="0"/>
        <w:keepNext w:val="0"/>
        <w:pageBreakBefore w:val="0"/>
        <w:spacing w:line="44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（五）价格折扣文件格式</w:t>
      </w:r>
      <w:r/>
    </w:p>
    <w:p>
      <w:pPr>
        <w:pStyle w:val="1106"/>
        <w:ind w:firstLine="480"/>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1、企业报价折扣证明：无</w:t>
      </w:r>
      <w:r/>
    </w:p>
    <w:p>
      <w:pPr>
        <w:pStyle w:val="1106"/>
        <w:ind w:firstLine="480"/>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本项目属于专门面向中小企业采购的项目，评审时不再执行价格评审优惠政策。</w:t>
      </w:r>
      <w:r/>
    </w:p>
    <w:p>
      <w:pPr>
        <w:pStyle w:val="1098"/>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（六）提交的首次响应文件的密封、签署、盖章要求：</w:t>
      </w:r>
      <w:r/>
    </w:p>
    <w:p>
      <w:pPr>
        <w:pStyle w:val="1098"/>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密封（加密）要求：</w:t>
      </w:r>
      <w:r/>
    </w:p>
    <w:p>
      <w:pPr>
        <w:pStyle w:val="1098"/>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98"/>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签署要求：见《磋商文件》第九章附件中相关格式要求。</w:t>
      </w:r>
      <w:r/>
    </w:p>
    <w:p>
      <w:pPr>
        <w:pStyle w:val="1098"/>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1098"/>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特别提醒：竞争性磋商文件中如需“被授权代表签字或盖章”，供应商可打印成文档，签字或盖章后再扫描上传，最后再电子签章。</w:t>
      </w:r>
      <w:r/>
    </w:p>
    <w:p>
      <w:pPr>
        <w:pStyle w:val="1098"/>
        <w:ind w:firstLine="482"/>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（七）通过“苏采云”系统提交政府采购客户端工具导出加密的响应文件（后缀名为zip）。响应文件不得超过</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50M！ </w:t>
      </w:r>
      <w:r/>
    </w:p>
    <w:p>
      <w:pPr>
        <w:pStyle w:val="1098"/>
        <w:ind w:firstLine="497"/>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pStyle w:val="1098"/>
        <w:numPr>
          <w:ilvl w:val="0"/>
          <w:numId w:val="3"/>
        </w:numPr>
        <w:ind w:firstLine="497"/>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供应商应当按照《磋商文件》的要求编制响应文件，并对其提交的响应文件的真实性、合法性承担法律责任。</w:t>
      </w:r>
      <w:r/>
    </w:p>
    <w:p>
      <w:pPr>
        <w:ind w:firstLine="480"/>
        <w:keepLines w:val="0"/>
        <w:keepNext w:val="0"/>
        <w:pageBreakBefore w:val="0"/>
        <w:spacing w:line="440" w:lineRule="exact"/>
        <w:widowControl/>
        <w:rPr>
          <w:rFonts w:hint="eastAsia" w:ascii="宋体" w:hAnsi="宋体" w:eastAsia="宋体" w:cs="宋体"/>
          <w:color w:val="auto"/>
          <w:sz w:val="24"/>
          <w:highlight w:val="none"/>
        </w:rPr>
        <w:outlineLvl w:val="2"/>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采购人索取成交供应商的响应文件，须在双方签订政府采购合同后，由</w:t>
      </w:r>
      <w:r>
        <w:rPr>
          <w:rFonts w:hint="eastAsia" w:ascii="宋体" w:hAnsi="宋体" w:eastAsia="宋体" w:cs="宋体"/>
          <w:color w:val="auto"/>
          <w:sz w:val="24"/>
          <w:highlight w:val="none"/>
          <w:lang w:val="en-US" w:eastAsia="zh-CN"/>
        </w:rPr>
        <w:t xml:space="preserve">采购代理机构</w:t>
      </w:r>
      <w:r>
        <w:rPr>
          <w:rFonts w:hint="eastAsia" w:ascii="宋体" w:hAnsi="宋体" w:eastAsia="宋体" w:cs="宋体"/>
          <w:color w:val="auto"/>
          <w:sz w:val="24"/>
          <w:highlight w:val="none"/>
        </w:rPr>
        <w:t xml:space="preserve">提供给采购人。</w:t>
      </w:r>
      <w:r/>
    </w:p>
    <w:p>
      <w:pPr>
        <w:pStyle w:val="1098"/>
        <w:ind w:firstLine="478"/>
        <w:jc w:val="center"/>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第四章 磋商相关说明</w:t>
      </w:r>
      <w:r/>
    </w:p>
    <w:p>
      <w:pPr>
        <w:keepLines w:val="0"/>
        <w:keepNext w:val="0"/>
        <w:pageBreakBefore w:val="0"/>
        <w:spacing w:line="440" w:lineRule="exact"/>
        <w:rPr>
          <w:rFonts w:hint="eastAsia" w:ascii="宋体" w:hAnsi="宋体" w:eastAsia="宋体" w:cs="宋体"/>
          <w:b/>
          <w:bCs/>
          <w:color w:val="auto"/>
          <w:sz w:val="24"/>
          <w:highlight w:val="none"/>
          <w:lang w:eastAsia="zh-CN"/>
        </w:rPr>
        <w:outlineLvl w:val="9"/>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磋商程序</w:t>
      </w:r>
      <w:r/>
    </w:p>
    <w:p>
      <w:pPr>
        <w:pStyle w:val="1098"/>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磋商要求</w:t>
      </w:r>
      <w:r/>
    </w:p>
    <w:p>
      <w:pPr>
        <w:pStyle w:val="1098"/>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被邀请参与磋商的供应商需按本竞争性磋商文件要求的截止时间、方式（地点）提交首次响应文件，同时派人</w:t>
      </w:r>
      <w:r>
        <w:rPr>
          <w:rFonts w:hint="eastAsia" w:ascii="宋体" w:hAnsi="宋体" w:eastAsia="宋体" w:cs="宋体"/>
          <w:color w:val="auto"/>
          <w:sz w:val="24"/>
          <w:highlight w:val="none"/>
          <w:lang w:val="en-US" w:eastAsia="zh-CN"/>
        </w:rPr>
        <w:t xml:space="preserve">通过“苏采云”系统在“开标大厅”等待</w:t>
      </w:r>
      <w:r>
        <w:rPr>
          <w:rFonts w:hint="eastAsia" w:ascii="宋体" w:hAnsi="宋体" w:eastAsia="宋体" w:cs="宋体"/>
          <w:color w:val="auto"/>
          <w:sz w:val="24"/>
          <w:highlight w:val="none"/>
        </w:rPr>
        <w:t xml:space="preserve">磋商。</w:t>
      </w:r>
      <w:r/>
    </w:p>
    <w:p>
      <w:pPr>
        <w:pStyle w:val="1098"/>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供应商可</w:t>
      </w:r>
      <w:r>
        <w:rPr>
          <w:rFonts w:hint="eastAsia" w:ascii="宋体" w:hAnsi="宋体" w:eastAsia="宋体" w:cs="宋体"/>
          <w:color w:val="auto"/>
          <w:sz w:val="24"/>
          <w:highlight w:val="none"/>
          <w:lang w:val="en-US" w:eastAsia="zh-CN"/>
        </w:rPr>
        <w:t xml:space="preserve">通过</w:t>
      </w:r>
      <w:r>
        <w:rPr>
          <w:rFonts w:hint="eastAsia" w:ascii="宋体" w:hAnsi="宋体" w:eastAsia="宋体" w:cs="宋体"/>
          <w:color w:val="auto"/>
          <w:sz w:val="24"/>
          <w:highlight w:val="none"/>
        </w:rPr>
        <w:t xml:space="preserve">CA数字证书，在首次响应文件开启时间后，使用CA数字证书</w:t>
      </w:r>
      <w:r>
        <w:rPr>
          <w:rFonts w:hint="eastAsia" w:ascii="宋体" w:hAnsi="宋体" w:eastAsia="宋体" w:cs="宋体"/>
          <w:color w:val="auto"/>
          <w:sz w:val="24"/>
          <w:highlight w:val="none"/>
          <w:lang w:val="en-US" w:eastAsia="zh-CN"/>
        </w:rPr>
        <w:t xml:space="preserve">在规定时间内</w:t>
      </w:r>
      <w:r>
        <w:rPr>
          <w:rFonts w:hint="eastAsia" w:ascii="宋体" w:hAnsi="宋体" w:eastAsia="宋体" w:cs="宋体"/>
          <w:color w:val="auto"/>
          <w:sz w:val="24"/>
          <w:highlight w:val="none"/>
        </w:rPr>
        <w:t xml:space="preserve">解密各自响应文件。</w:t>
      </w:r>
      <w:r/>
    </w:p>
    <w:p>
      <w:pPr>
        <w:pStyle w:val="1098"/>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供应商授权的磋商人员需携带授权委托书原件及身份证原件，经磋商小组核查后参与磋商活动。</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4、磋商顺序按照电子标书解密先后时间进行，解密时间相同的，不分先后顺序。</w:t>
      </w:r>
      <w:r/>
    </w:p>
    <w:p>
      <w:pPr>
        <w:pStyle w:val="1098"/>
        <w:ind w:firstLine="497"/>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5、磋商方式：</w:t>
      </w:r>
      <w:r>
        <w:rPr>
          <w:rFonts w:hint="eastAsia" w:ascii="宋体" w:hAnsi="宋体" w:eastAsia="宋体" w:cs="宋体"/>
          <w:b/>
          <w:bCs/>
          <w:color w:val="auto"/>
          <w:sz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（所有邀请等待时间2分钟，2分钟内所邀请供应商无响应，视同放弃磋商的权利，由解密顺序下一家进行磋商，不再后补）</w:t>
      </w:r>
      <w:r/>
    </w:p>
    <w:p>
      <w:pPr>
        <w:pStyle w:val="1102"/>
        <w:ind w:firstLine="482"/>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供应商的授权代表或法定代表人须全程守候在“苏采云”系统开标大厅，并确保视频设备正常使用。授权代表或法定代表人须携带授权委托书原件及身份证原件，经磋商小组核查后参与磋商活动。</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6.未在规定时间内进行答疑澄清的，视同放弃澄清。</w:t>
      </w:r>
      <w:r/>
    </w:p>
    <w:p>
      <w:pPr>
        <w:pStyle w:val="1098"/>
        <w:ind w:firstLine="497"/>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7.未在规定时间内进行报价的，视为响应无效。</w:t>
      </w:r>
      <w:r/>
    </w:p>
    <w:p>
      <w:pPr>
        <w:pStyle w:val="1098"/>
        <w:ind w:firstLine="480"/>
        <w:keepLines w:val="0"/>
        <w:keepNext w:val="0"/>
        <w:pageBreakBefore w:val="0"/>
        <w:spacing w:line="440" w:lineRule="exact"/>
        <w:widowControl w:val="off"/>
        <w:rPr>
          <w:rFonts w:hint="eastAsia" w:ascii="宋体" w:hAnsi="宋体" w:eastAsia="宋体" w:cs="宋体"/>
          <w:b/>
          <w:bCs/>
          <w:color w:val="ff0000"/>
          <w:sz w:val="24"/>
          <w:highlight w:val="none"/>
          <w:lang w:val="en-US" w:eastAsia="zh-CN"/>
        </w:rPr>
      </w:pPr>
      <w:r>
        <w:rPr>
          <w:rFonts w:hint="eastAsia" w:ascii="宋体" w:hAnsi="宋体" w:eastAsia="宋体" w:cs="宋体"/>
          <w:b/>
          <w:bCs/>
          <w:color w:val="auto"/>
          <w:sz w:val="24"/>
          <w:highlight w:val="none"/>
          <w:lang w:val="en-US" w:eastAsia="zh-CN"/>
        </w:rPr>
        <w:t xml:space="preserve">注：各供应商在未进行第二次报价前，请不要离开开标系统，随时接受评标委员会提出的二次报价，因供应商未能及时二次报价而引起的废标及损失，由供应商负责。</w:t>
      </w:r>
      <w:r/>
    </w:p>
    <w:p>
      <w:pPr>
        <w:pStyle w:val="1098"/>
        <w:ind w:firstLine="497"/>
        <w:keepLines w:val="0"/>
        <w:keepNext w:val="0"/>
        <w:pageBreakBefore w:val="0"/>
        <w:spacing w:line="44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8.被邀请参与磋商的供应商如未按上述磋商要求执行，视同放弃磋商的权利。</w:t>
      </w:r>
      <w:r/>
    </w:p>
    <w:p>
      <w:pPr>
        <w:pStyle w:val="1098"/>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9.本项目无效标书判定（磋商文件的实质性要求）</w:t>
      </w:r>
      <w:r/>
    </w:p>
    <w:p>
      <w:pPr>
        <w:pStyle w:val="1098"/>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9.1</w:t>
      </w:r>
      <w:r>
        <w:rPr>
          <w:rFonts w:hint="eastAsia" w:ascii="宋体" w:hAnsi="宋体" w:eastAsia="宋体" w:cs="宋体"/>
          <w:color w:val="auto"/>
          <w:sz w:val="24"/>
          <w:highlight w:val="none"/>
        </w:rPr>
        <w:t xml:space="preserve">供应商资格条件不符合国家有关规定或磋商文件要求的；</w:t>
      </w:r>
      <w:r/>
    </w:p>
    <w:p>
      <w:pPr>
        <w:pStyle w:val="1098"/>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9.2</w:t>
      </w:r>
      <w:r>
        <w:rPr>
          <w:rFonts w:hint="eastAsia" w:ascii="宋体" w:hAnsi="宋体" w:eastAsia="宋体" w:cs="宋体"/>
          <w:color w:val="auto"/>
          <w:sz w:val="24"/>
          <w:highlight w:val="none"/>
        </w:rPr>
        <w:t xml:space="preserve">响应报价低于成本或者高于磋商文件设定的最高限价的；</w:t>
      </w:r>
      <w:r/>
    </w:p>
    <w:p>
      <w:pPr>
        <w:pStyle w:val="1098"/>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9.3</w:t>
      </w:r>
      <w:r>
        <w:rPr>
          <w:rFonts w:hint="eastAsia" w:ascii="宋体" w:hAnsi="宋体" w:eastAsia="宋体" w:cs="宋体"/>
          <w:color w:val="auto"/>
          <w:sz w:val="24"/>
          <w:highlight w:val="none"/>
        </w:rPr>
        <w:t xml:space="preserve">响应文件载明的</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项目完成期限超过磋商文件规定的期限的； </w:t>
      </w:r>
      <w:r/>
    </w:p>
    <w:p>
      <w:pPr>
        <w:pStyle w:val="1098"/>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9.4</w:t>
      </w:r>
      <w:r>
        <w:rPr>
          <w:rFonts w:hint="eastAsia" w:ascii="宋体" w:hAnsi="宋体" w:eastAsia="宋体" w:cs="宋体"/>
          <w:color w:val="auto"/>
          <w:sz w:val="24"/>
          <w:highlight w:val="none"/>
        </w:rPr>
        <w:t xml:space="preserve">明显不符合技术规范、技术标准的要求的； </w:t>
      </w:r>
      <w:r/>
    </w:p>
    <w:p>
      <w:pPr>
        <w:pStyle w:val="1098"/>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9.5</w:t>
      </w:r>
      <w:r>
        <w:rPr>
          <w:rFonts w:hint="eastAsia" w:ascii="宋体" w:hAnsi="宋体" w:eastAsia="宋体" w:cs="宋体"/>
          <w:color w:val="auto"/>
          <w:sz w:val="24"/>
          <w:highlight w:val="none"/>
        </w:rPr>
        <w:t xml:space="preserve">响应文件提出了不能满足磋商文件要求或采购人不能接受的工程验收、计量、价款结算和支付办法的； </w:t>
      </w:r>
      <w:r/>
    </w:p>
    <w:p>
      <w:pPr>
        <w:pStyle w:val="1098"/>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9.6</w:t>
      </w:r>
      <w:r>
        <w:rPr>
          <w:rFonts w:hint="eastAsia" w:ascii="宋体" w:hAnsi="宋体" w:eastAsia="宋体" w:cs="宋体"/>
          <w:color w:val="auto"/>
          <w:sz w:val="24"/>
          <w:highlight w:val="none"/>
        </w:rPr>
        <w:t xml:space="preserve">不同供应商的响应文件以及响应文件制作过程出现了评标委员会认为不应当雷同的情况的； </w:t>
      </w:r>
      <w:r/>
    </w:p>
    <w:p>
      <w:pPr>
        <w:pStyle w:val="1098"/>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9.7</w:t>
      </w:r>
      <w:r>
        <w:rPr>
          <w:rFonts w:hint="eastAsia" w:ascii="宋体" w:hAnsi="宋体" w:eastAsia="宋体" w:cs="宋体"/>
          <w:color w:val="auto"/>
          <w:sz w:val="24"/>
          <w:highlight w:val="none"/>
        </w:rPr>
        <w:t xml:space="preserve">以他人的名义投标、串通投标、以行贿手段谋取成交或者以其他弄虚作假方式投标的。</w:t>
      </w:r>
      <w:r/>
    </w:p>
    <w:p>
      <w:pPr>
        <w:pStyle w:val="1098"/>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9.8</w:t>
      </w:r>
      <w:r>
        <w:rPr>
          <w:rFonts w:hint="eastAsia" w:ascii="宋体" w:hAnsi="宋体" w:eastAsia="宋体" w:cs="宋体"/>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 (二) 查询及使用供应商信用记录</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1.由采购人查询信用信息。</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2.查询渠道包括：</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(1)“信用中国”网（www.creditchina.gov.cn）；</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 中国政府采购网（www.ccgp.gov.cn）；</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 “诚信江苏”网（www.jiangsu.gov.cn/jsxy/index.htm）</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和或“信用江苏”网（http://credit.jiangsu.gov.cn/）；</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(4)“诚信徐州”网（ http://www.xuzhoucredit.gov.cn）。</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和或“信用徐州”网（www.xuzhoucredit.gov.cn/）。</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3.截止时点（查询环节）：首次响应文件开启后资格审查结束前。</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4.信用信息查询记录和证据留存的具体方式：</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网页截屏打印，与其他采购文件一并保存。</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5.信用信息的使用规则：</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十五、评审程序</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磋商小组在阅读完所有磋商供应商的响应文件后，集中与单一供应商代表分别就技术参数等技术问题及价格和售后服务等内容进行磋商。</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olor w:val="auto"/>
          <w:sz w:val="24"/>
          <w:highlight w:val="none"/>
          <w:lang w:val="en-US" w:eastAsia="zh-CN"/>
        </w:rPr>
        <w:t xml:space="preserve">即“苏采云”系统开标大厅中</w:t>
      </w:r>
      <w:r>
        <w:rPr>
          <w:rFonts w:hint="eastAsia" w:ascii="宋体" w:hAnsi="宋体" w:eastAsia="宋体" w:cs="宋体"/>
          <w:color w:val="auto"/>
          <w:sz w:val="24"/>
          <w:highlight w:val="none"/>
          <w:lang w:val="en-US" w:eastAsia="zh-CN"/>
        </w:rPr>
        <w:t xml:space="preserve">）进行不少于两次的报价，首轮报价不公开，本项目二次报价为最后报价。</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宋体" w:hAnsi="宋体" w:eastAsia="宋体" w:cs="宋体"/>
          <w:b/>
          <w:bCs/>
          <w:color w:val="auto"/>
          <w:sz w:val="24"/>
          <w:highlight w:val="none"/>
          <w:lang w:val="en-US" w:eastAsia="zh-CN"/>
        </w:rPr>
        <w:t xml:space="preserve">施工</w:t>
      </w:r>
      <w:r>
        <w:rPr>
          <w:rFonts w:hint="eastAsia" w:ascii="宋体" w:hAnsi="宋体" w:cs="宋体"/>
          <w:b/>
          <w:bCs/>
          <w:color w:val="auto"/>
          <w:sz w:val="24"/>
          <w:highlight w:val="none"/>
          <w:lang w:val="en-US" w:eastAsia="zh-CN"/>
        </w:rPr>
        <w:t xml:space="preserve">方案</w:t>
      </w:r>
      <w:r>
        <w:rPr>
          <w:rFonts w:hint="eastAsia" w:ascii="宋体" w:hAnsi="宋体" w:eastAsia="宋体" w:cs="宋体"/>
          <w:color w:val="auto"/>
          <w:sz w:val="24"/>
          <w:highlight w:val="none"/>
          <w:lang w:val="en-US" w:eastAsia="zh-CN"/>
        </w:rPr>
        <w:t xml:space="preserve">（得分）顺序推荐。</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098"/>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实施政府采购异常低价审查的有关要求：</w:t>
      </w:r>
      <w:r/>
    </w:p>
    <w:p>
      <w:pPr>
        <w:pStyle w:val="1098"/>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（一）评审过程中出现下列情形之一的，磋商小组应当启动异常低价投标（响应）审查程序：</w:t>
      </w:r>
      <w:r/>
    </w:p>
    <w:p>
      <w:pPr>
        <w:pStyle w:val="1098"/>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1．投标（响应）报价低于采购项目预算50%的，即投标（响应）报价＜采购项目预算×50%；</w:t>
      </w:r>
      <w:r/>
    </w:p>
    <w:p>
      <w:pPr>
        <w:pStyle w:val="1098"/>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2．投标（响应）报价低于采购项目最高限价45％的，即投标（响应）报价＜采购项目最高限价×45%；</w:t>
      </w:r>
      <w:r/>
    </w:p>
    <w:p>
      <w:pPr>
        <w:pStyle w:val="1098"/>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3．磋商小组认定的供应商报价过低、有可能影响产品质量或者不能诚信履约的其他情形。</w:t>
      </w:r>
      <w:r/>
    </w:p>
    <w:p>
      <w:pPr>
        <w:pStyle w:val="1098"/>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二）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pStyle w:val="1098"/>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三）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十六、评审方法和评审标准</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1、评审方法：综合评分法</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2、评审标准：详见《磋商文件》附件1、《评分细则》</w:t>
      </w:r>
      <w:r/>
    </w:p>
    <w:p>
      <w:pPr>
        <w:pStyle w:val="1098"/>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b w:val="0"/>
          <w:bCs w:val="0"/>
          <w:color w:val="auto"/>
          <w:sz w:val="24"/>
          <w:highlight w:val="none"/>
          <w:lang w:val="en-US" w:eastAsia="zh-CN"/>
        </w:rPr>
        <w:t xml:space="preserve">十七、磋</w:t>
      </w:r>
      <w:r>
        <w:rPr>
          <w:rFonts w:hint="eastAsia" w:ascii="宋体" w:hAnsi="宋体" w:eastAsia="宋体" w:cs="宋体"/>
          <w:color w:val="auto"/>
          <w:sz w:val="24"/>
          <w:highlight w:val="none"/>
          <w:lang w:val="en-US" w:eastAsia="zh-CN"/>
        </w:rPr>
        <w:t xml:space="preserve">商过程中可能实质性变动的内容：在磋商过程中，磋商小组可以根据《磋商文件》和磋商情况实质性变动采购需求中的技术、服务要求以及合同草案条款。</w:t>
      </w:r>
      <w:r/>
    </w:p>
    <w:p>
      <w:pPr>
        <w:ind w:left="-2" w:right="29"/>
        <w:jc w:val="center"/>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lang w:val="en-US" w:eastAsia="zh-CN" w:bidi="ar-SA"/>
        </w:rPr>
        <w:t xml:space="preserve">第五章 确定成交供应商及合同签订等</w:t>
      </w:r>
      <w:r/>
    </w:p>
    <w:p>
      <w:pPr>
        <w:ind w:left="2" w:right="29"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采购人与成交供应商应当在成交通知书发出之日起30日内</w:t>
      </w:r>
      <w:r>
        <w:rPr>
          <w:rFonts w:hint="eastAsia" w:ascii="宋体" w:hAnsi="宋体" w:eastAsia="宋体" w:cs="宋体"/>
          <w:color w:val="auto"/>
          <w:sz w:val="24"/>
          <w:highlight w:val="none"/>
        </w:rPr>
        <w:t xml:space="preserve">，按照《磋商文件》确定的合同文本以及采购标的、规格型号、采购金额、采购数量、技术和服务要求等事项签订政府采购合同。</w:t>
      </w:r>
      <w:r/>
    </w:p>
    <w:p>
      <w:pPr>
        <w:ind w:firstLine="480"/>
        <w:jc w:val="left"/>
        <w:keepLines w:val="0"/>
        <w:keepNext w:val="0"/>
        <w:pageBreakBefore w:val="0"/>
        <w:spacing w:line="440" w:lineRule="exact"/>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二十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、成交供应商在收到成交通知书时，须向</w:t>
      </w:r>
      <w:r>
        <w:rPr>
          <w:rFonts w:hint="eastAsia" w:ascii="宋体" w:hAnsi="宋体" w:cs="宋体"/>
          <w:color w:val="auto"/>
          <w:sz w:val="24"/>
          <w:highlight w:val="none"/>
          <w:u w:val="single"/>
          <w:lang w:eastAsia="zh-CN"/>
        </w:rPr>
        <w:t xml:space="preserve">江苏丛泰建设工程管理有限公司</w:t>
      </w:r>
      <w:r>
        <w:rPr>
          <w:rFonts w:hint="eastAsia" w:ascii="宋体" w:hAnsi="宋体" w:eastAsia="宋体" w:cs="宋体"/>
          <w:color w:val="auto"/>
          <w:sz w:val="24"/>
          <w:highlight w:val="none"/>
        </w:rPr>
        <w:t xml:space="preserve">提交《磋商报价表》（首次响应文件）和《分项价格表》（首次响应文件）的数据文件（WORD格式）。</w:t>
      </w:r>
      <w:r/>
    </w:p>
    <w:p>
      <w:pPr>
        <w:ind w:firstLine="480"/>
        <w:jc w:val="left"/>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供应商应对响应文件的合法性、真实性负责。</w:t>
      </w:r>
      <w:r>
        <w:rPr>
          <w:rFonts w:hint="eastAsia" w:ascii="宋体" w:hAnsi="宋体" w:eastAsia="宋体" w:cs="宋体"/>
          <w:b/>
          <w:bCs/>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ind w:left="-2" w:right="29"/>
        <w:jc w:val="center"/>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第六章 磋商文件的澄清或者修改</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、《磋商文件》的澄清或者修改</w:t>
      </w:r>
      <w:r/>
    </w:p>
    <w:p>
      <w:pPr>
        <w:ind w:firstLine="480"/>
        <w:jc w:val="left"/>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2" w:right="29"/>
        <w:jc w:val="center"/>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第七章 询问和质疑</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、询问和质疑</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2、质疑和投诉按《政府采购质疑和投诉办法》执行。</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3、供应商对同一采购程序环节的质疑应在质疑期内一次性提出。</w:t>
      </w:r>
      <w:r/>
    </w:p>
    <w:p>
      <w:pPr>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质疑接收人：</w:t>
      </w:r>
      <w:r>
        <w:rPr>
          <w:rFonts w:hint="eastAsia" w:ascii="宋体" w:hAnsi="宋体" w:cs="宋体"/>
          <w:color w:val="auto"/>
          <w:sz w:val="24"/>
          <w:highlight w:val="none"/>
          <w:lang w:val="en-US" w:eastAsia="zh-CN"/>
        </w:rPr>
        <w:t xml:space="preserve">陈猛</w:t>
      </w:r>
      <w:r>
        <w:rPr>
          <w:rFonts w:hint="eastAsia" w:ascii="宋体" w:hAnsi="宋体" w:eastAsia="宋体" w:cs="宋体"/>
          <w:color w:val="auto"/>
          <w:sz w:val="24"/>
          <w:highlight w:val="none"/>
        </w:rPr>
        <w:t xml:space="preserve">       联系电话：</w:t>
      </w:r>
      <w:r>
        <w:rPr>
          <w:rFonts w:hint="eastAsia" w:ascii="宋体" w:hAnsi="宋体" w:cs="宋体"/>
          <w:color w:val="auto"/>
          <w:sz w:val="24"/>
          <w:highlight w:val="none"/>
          <w:lang w:val="en-US" w:eastAsia="zh-CN"/>
        </w:rPr>
        <w:t xml:space="preserve">0516-69905151</w:t>
      </w:r>
      <w:r/>
    </w:p>
    <w:p>
      <w:pPr>
        <w:ind w:firstLine="480"/>
        <w:keepLines w:val="0"/>
        <w:keepNext w:val="0"/>
        <w:pageBreakBefore w:val="0"/>
        <w:spacing w:line="440" w:lineRule="exact"/>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新沂市新华路建委综合楼</w:t>
      </w:r>
      <w:r/>
    </w:p>
    <w:p>
      <w:pPr>
        <w:ind w:firstLine="480"/>
        <w:jc w:val="left"/>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五</w:t>
      </w:r>
      <w:r>
        <w:rPr>
          <w:rFonts w:ascii="宋体" w:hAnsi="宋体"/>
          <w:color w:val="auto"/>
          <w:sz w:val="24"/>
          <w:szCs w:val="24"/>
          <w:highlight w:val="none"/>
        </w:rPr>
        <w:t xml:space="preserve">、成交供应商领取成交通知书时，</w:t>
      </w:r>
      <w:r>
        <w:rPr>
          <w:rFonts w:hint="eastAsia" w:ascii="宋体" w:hAnsi="宋体"/>
          <w:color w:val="auto"/>
          <w:sz w:val="24"/>
          <w:szCs w:val="24"/>
          <w:highlight w:val="none"/>
        </w:rPr>
        <w:t xml:space="preserve">提供纸质版响应文件一正</w:t>
      </w: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rPr>
        <w:t xml:space="preserve">副及电子响应文件（U</w:t>
      </w:r>
      <w:r>
        <w:rPr>
          <w:rFonts w:ascii="宋体" w:hAnsi="宋体"/>
          <w:color w:val="auto"/>
          <w:sz w:val="24"/>
          <w:szCs w:val="24"/>
          <w:highlight w:val="none"/>
        </w:rPr>
        <w:t xml:space="preserve">盘）</w:t>
      </w:r>
      <w:r>
        <w:rPr>
          <w:rFonts w:hint="eastAsia" w:ascii="宋体" w:hAnsi="宋体"/>
          <w:color w:val="auto"/>
          <w:sz w:val="24"/>
          <w:szCs w:val="24"/>
          <w:highlight w:val="none"/>
        </w:rPr>
        <w:t xml:space="preserve">。</w:t>
      </w:r>
      <w:r/>
    </w:p>
    <w:p>
      <w:pPr>
        <w:ind w:firstLine="480"/>
        <w:jc w:val="left"/>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六</w:t>
      </w:r>
      <w:r>
        <w:rPr>
          <w:rFonts w:ascii="宋体" w:hAnsi="宋体"/>
          <w:color w:val="auto"/>
          <w:sz w:val="24"/>
          <w:szCs w:val="24"/>
          <w:highlight w:val="none"/>
        </w:rPr>
        <w:t xml:space="preserve">、成交结果在徐州政府采购网上公布。</w:t>
      </w:r>
      <w:r/>
    </w:p>
    <w:p>
      <w:pPr>
        <w:ind w:left="-2" w:right="29"/>
        <w:jc w:val="center"/>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第八章 其他</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1、代理服务费由采购人向采购代理机构支付，收取标准见附件。</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2、成交结果在徐州政府采购网https://czj.xz.gov.cn/zfcg/index.html上公布。</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3、采购人：</w:t>
      </w:r>
      <w:r>
        <w:rPr>
          <w:rFonts w:hint="eastAsia" w:ascii="宋体" w:hAnsi="宋体" w:cs="宋体"/>
          <w:color w:val="auto"/>
          <w:sz w:val="24"/>
          <w:highlight w:val="none"/>
          <w:lang w:eastAsia="zh-CN"/>
        </w:rPr>
        <w:t xml:space="preserve">新沂市住房和城乡建设局</w:t>
      </w:r>
      <w:r/>
    </w:p>
    <w:p>
      <w:pPr>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江苏省徐州市新沂市市府路37号</w:t>
      </w:r>
      <w:r>
        <w:rPr>
          <w:rFonts w:hint="eastAsia" w:ascii="宋体" w:hAnsi="宋体" w:cs="宋体"/>
          <w:color w:val="auto"/>
          <w:sz w:val="24"/>
          <w:highlight w:val="none"/>
          <w:lang w:val="en-US" w:eastAsia="zh-CN"/>
        </w:rPr>
        <w:t xml:space="preserve"> </w:t>
      </w:r>
      <w:r/>
    </w:p>
    <w:p>
      <w:pPr>
        <w:ind w:firstLine="480"/>
        <w:keepLines w:val="0"/>
        <w:keepNext w:val="0"/>
        <w:pageBreakBefore w:val="0"/>
        <w:spacing w:line="440" w:lineRule="exact"/>
        <w:rPr>
          <w:rFonts w:hint="eastAsia" w:ascii="宋体" w:hAnsi="宋体" w:cs="宋体"/>
          <w:color w:val="0000ff"/>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张超   </w:t>
      </w:r>
      <w:r>
        <w:rPr>
          <w:rFonts w:hint="eastAsia" w:ascii="宋体" w:hAnsi="宋体" w:eastAsia="宋体" w:cs="宋体"/>
          <w:color w:val="auto"/>
          <w:sz w:val="24"/>
          <w:highlight w:val="none"/>
          <w:lang w:val="en-US" w:eastAsia="zh-CN"/>
        </w:rPr>
        <w:t xml:space="preserve">   联系电话：</w:t>
      </w:r>
      <w:r>
        <w:rPr>
          <w:rFonts w:hint="eastAsia" w:ascii="宋体" w:hAnsi="宋体" w:cs="宋体"/>
          <w:sz w:val="24"/>
          <w:lang w:eastAsia="zh-CN"/>
        </w:rPr>
        <w:t xml:space="preserve">19552149551</w:t>
      </w:r>
      <w:r>
        <w:rPr>
          <w:rFonts w:hint="eastAsia" w:ascii="宋体" w:hAnsi="宋体" w:cs="宋体"/>
          <w:color w:val="auto"/>
          <w:sz w:val="24"/>
          <w:highlight w:val="none"/>
          <w:lang w:val="en-US" w:eastAsia="zh-CN"/>
        </w:rPr>
        <w:t xml:space="preserve">    </w:t>
      </w:r>
      <w:r>
        <w:rPr>
          <w:rFonts w:hint="eastAsia" w:ascii="宋体" w:hAnsi="宋体" w:cs="宋体"/>
          <w:color w:val="0000ff"/>
          <w:sz w:val="24"/>
          <w:highlight w:val="none"/>
          <w:lang w:val="en-US" w:eastAsia="zh-CN"/>
        </w:rPr>
        <w:t xml:space="preserve"> </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4、采购代理公司：</w:t>
      </w:r>
      <w:r>
        <w:rPr>
          <w:rFonts w:hint="eastAsia" w:ascii="宋体" w:hAnsi="宋体" w:cs="宋体"/>
          <w:color w:val="auto"/>
          <w:sz w:val="24"/>
          <w:highlight w:val="none"/>
          <w:lang w:eastAsia="zh-CN"/>
        </w:rPr>
        <w:t xml:space="preserve">江苏丛泰建设工程管理有限公司</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新沂市新华路建委综合楼</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陈猛</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电  话：</w:t>
      </w:r>
      <w:r>
        <w:rPr>
          <w:rFonts w:hint="eastAsia" w:ascii="宋体" w:hAnsi="宋体" w:cs="宋体"/>
          <w:color w:val="auto"/>
          <w:sz w:val="24"/>
          <w:highlight w:val="none"/>
          <w:lang w:eastAsia="zh-CN"/>
        </w:rPr>
        <w:t xml:space="preserve">0516-69905151</w:t>
      </w:r>
      <w:r/>
    </w:p>
    <w:p>
      <w:pPr>
        <w:pStyle w:val="1057"/>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w:t>
      </w: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章 附件</w:t>
      </w:r>
      <w:r/>
    </w:p>
    <w:p>
      <w:pPr>
        <w:jc w:val="center"/>
        <w:keepLines w:val="0"/>
        <w:keepNext w:val="0"/>
        <w:pageBreakBefore w:val="0"/>
        <w:spacing w:before="240" w:after="240" w:line="240" w:lineRule="auto"/>
        <w:widowControl/>
        <w:rPr>
          <w:rFonts w:ascii="宋体" w:hAnsi="宋体" w:cs="宋体"/>
          <w:color w:val="000000"/>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24"/>
        </w:rPr>
        <w:t xml:space="preserve">（本章提供响应文件中的部分文件格式，不应被理解为包含了响应文件所需的全部资料）</w:t>
      </w:r>
      <w:r/>
    </w:p>
    <w:p>
      <w:pPr>
        <w:pStyle w:val="1106"/>
        <w:ind w:firstLine="472"/>
        <w:spacing w:line="360" w:lineRule="auto"/>
        <w:widowControl/>
        <w:rPr>
          <w:rFonts w:hint="eastAsia" w:ascii="宋体" w:hAnsi="宋体" w:cs="宋体"/>
          <w:b/>
          <w:sz w:val="24"/>
          <w:highlight w:val="none"/>
        </w:rPr>
      </w:pPr>
      <w:r>
        <w:rPr>
          <w:rFonts w:hint="eastAsia" w:ascii="宋体" w:hAnsi="宋体" w:cs="宋体"/>
          <w:b/>
          <w:sz w:val="24"/>
          <w:highlight w:val="none"/>
        </w:rPr>
        <w:t xml:space="preserve">附件：附后</w:t>
      </w:r>
      <w:r/>
    </w:p>
    <w:p>
      <w:pPr>
        <w:pStyle w:val="1106"/>
        <w:ind w:firstLine="480"/>
        <w:spacing w:line="360" w:lineRule="auto"/>
        <w:rPr>
          <w:rFonts w:hint="eastAsia" w:ascii="宋体" w:hAnsi="宋体" w:cs="宋体"/>
          <w:sz w:val="24"/>
          <w:highlight w:val="none"/>
        </w:rPr>
      </w:pPr>
      <w:r>
        <w:rPr>
          <w:rFonts w:hint="eastAsia" w:ascii="宋体" w:hAnsi="宋体" w:cs="宋体"/>
          <w:sz w:val="24"/>
          <w:highlight w:val="none"/>
        </w:rPr>
        <w:t xml:space="preserve">1、《评分细则》</w:t>
      </w:r>
      <w:r/>
    </w:p>
    <w:p>
      <w:pPr>
        <w:pStyle w:val="1106"/>
        <w:ind w:firstLine="480"/>
        <w:spacing w:line="360" w:lineRule="auto"/>
        <w:rPr>
          <w:rFonts w:hint="eastAsia" w:ascii="宋体" w:hAnsi="宋体" w:cs="宋体"/>
          <w:sz w:val="24"/>
          <w:highlight w:val="none"/>
        </w:rPr>
      </w:pPr>
      <w:r>
        <w:rPr>
          <w:rFonts w:hint="eastAsia" w:ascii="宋体" w:hAnsi="宋体" w:cs="宋体"/>
          <w:sz w:val="24"/>
          <w:highlight w:val="none"/>
        </w:rPr>
        <w:t xml:space="preserve">2、《项目要求（采购需求）》</w:t>
      </w:r>
      <w:r/>
    </w:p>
    <w:p>
      <w:pPr>
        <w:pStyle w:val="1106"/>
        <w:ind w:firstLine="480"/>
        <w:spacing w:line="360" w:lineRule="auto"/>
        <w:rPr>
          <w:rFonts w:hint="eastAsia" w:ascii="宋体" w:hAnsi="宋体" w:cs="宋体"/>
          <w:sz w:val="24"/>
          <w:highlight w:val="none"/>
        </w:rPr>
      </w:pPr>
      <w:r>
        <w:rPr>
          <w:rFonts w:hint="eastAsia" w:ascii="宋体" w:hAnsi="宋体" w:cs="宋体"/>
          <w:sz w:val="24"/>
          <w:highlight w:val="none"/>
        </w:rPr>
        <w:t xml:space="preserve">3、《磋商报价表》</w:t>
      </w:r>
      <w:r/>
    </w:p>
    <w:p>
      <w:pPr>
        <w:pStyle w:val="1106"/>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《分项价格表》</w:t>
      </w:r>
      <w:r/>
    </w:p>
    <w:p>
      <w:pPr>
        <w:pStyle w:val="1106"/>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、《偏离表》</w:t>
      </w:r>
      <w:r/>
    </w:p>
    <w:p>
      <w:pPr>
        <w:pStyle w:val="1106"/>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、《承诺书》</w:t>
      </w:r>
      <w:r/>
    </w:p>
    <w:p>
      <w:pPr>
        <w:pStyle w:val="1106"/>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、《授权委托书》</w:t>
      </w:r>
      <w:r/>
    </w:p>
    <w:p>
      <w:pPr>
        <w:pStyle w:val="1106"/>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、《供应商参加政府采购活动前3年内在经营活动中没有重大违法记录的书面声明》</w:t>
      </w:r>
      <w:r/>
    </w:p>
    <w:p>
      <w:pPr>
        <w:pStyle w:val="1106"/>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 《具备履行合同所必需的设备和专业技术能力的书面声明》</w:t>
      </w:r>
      <w:r/>
    </w:p>
    <w:p>
      <w:pPr>
        <w:pStyle w:val="1106"/>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、《中小企业声明函》</w:t>
      </w:r>
      <w:r/>
    </w:p>
    <w:p>
      <w:pPr>
        <w:pStyle w:val="1106"/>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、《残疾人福利性单位声明函》</w:t>
      </w:r>
      <w:r/>
    </w:p>
    <w:p>
      <w:pPr>
        <w:pStyle w:val="1106"/>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、《合同草案条款》</w:t>
      </w:r>
      <w:r/>
    </w:p>
    <w:p>
      <w:pPr>
        <w:pStyle w:val="1106"/>
        <w:ind w:firstLine="480"/>
        <w:spacing w:line="360" w:lineRule="auto"/>
        <w:rPr>
          <w:rFonts w:hint="eastAsia" w:ascii="宋体" w:hAnsi="宋体" w:cs="宋体"/>
          <w:sz w:val="24"/>
          <w:highlight w:val="none"/>
        </w:rPr>
      </w:pPr>
      <w:r>
        <w:rPr>
          <w:rFonts w:hint="eastAsia" w:ascii="宋体" w:hAnsi="宋体" w:cs="宋体"/>
          <w:sz w:val="24"/>
          <w:highlight w:val="none"/>
        </w:rPr>
        <w:t xml:space="preserve">13、《代理服务收费标准》</w:t>
      </w:r>
      <w:r/>
    </w:p>
    <w:p>
      <w:pPr>
        <w:pStyle w:val="107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2"/>
        <w:rPr>
          <w:rFonts w:hint="eastAsia"/>
        </w:rPr>
      </w:pPr>
      <w:r>
        <w:rPr>
          <w:rFonts w:hint="eastAsia"/>
        </w:rPr>
      </w:r>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clear="all"/>
      </w:r>
      <w:r/>
    </w:p>
    <w:p>
      <w:pPr>
        <w:pStyle w:val="1110"/>
        <w:numPr>
          <w:ilvl w:val="0"/>
          <w:numId w:val="4"/>
        </w:numPr>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评分细则</w:t>
      </w:r>
      <w:r/>
    </w:p>
    <w:tbl>
      <w:tblPr>
        <w:tblStyle w:val="1052"/>
        <w:tblW w:w="96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570"/>
        <w:gridCol w:w="6662"/>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1300"/>
              <w:jc w:val="center"/>
              <w:spacing w:line="240" w:lineRule="auto"/>
              <w:rPr>
                <w:color w:val="auto"/>
                <w:sz w:val="24"/>
                <w:szCs w:val="24"/>
                <w:highlight w:val="none"/>
              </w:rPr>
            </w:pPr>
            <w:r>
              <w:rPr>
                <w:rFonts w:hint="eastAsia"/>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300"/>
              <w:jc w:val="center"/>
              <w:spacing w:line="240" w:lineRule="auto"/>
              <w:rPr>
                <w:color w:val="auto"/>
                <w:sz w:val="24"/>
                <w:szCs w:val="24"/>
                <w:highlight w:val="none"/>
              </w:rPr>
            </w:pPr>
            <w:r>
              <w:rPr>
                <w:rFonts w:hint="eastAsia"/>
                <w:color w:val="auto"/>
                <w:sz w:val="24"/>
                <w:szCs w:val="24"/>
                <w:highlight w:val="none"/>
              </w:rPr>
              <w:t xml:space="preserve">评分细则</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1300"/>
              <w:jc w:val="center"/>
              <w:spacing w:line="240" w:lineRule="auto"/>
              <w:rPr>
                <w:color w:val="auto"/>
                <w:sz w:val="24"/>
                <w:szCs w:val="24"/>
                <w:highlight w:val="none"/>
              </w:rPr>
            </w:pPr>
            <w:r>
              <w:rPr>
                <w:rFonts w:hint="eastAsia"/>
                <w:color w:val="auto"/>
                <w:sz w:val="24"/>
                <w:szCs w:val="24"/>
                <w:highlight w:val="none"/>
              </w:rPr>
              <w:t xml:space="preserve">价格部分</w:t>
            </w:r>
            <w:r/>
          </w:p>
          <w:p>
            <w:pPr>
              <w:pStyle w:val="1300"/>
              <w:jc w:val="center"/>
              <w:spacing w:line="240" w:lineRule="auto"/>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1</w:t>
            </w:r>
            <w:r>
              <w:rPr>
                <w:rFonts w:hint="eastAsia"/>
                <w:color w:val="auto"/>
                <w:sz w:val="24"/>
                <w:szCs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300"/>
              <w:jc w:val="center"/>
              <w:spacing w:line="240" w:lineRule="auto"/>
              <w:rPr>
                <w:color w:val="auto"/>
                <w:sz w:val="24"/>
                <w:szCs w:val="24"/>
                <w:highlight w:val="none"/>
              </w:rPr>
            </w:pPr>
            <w:r>
              <w:rPr>
                <w:rFonts w:hint="eastAsia"/>
                <w:color w:val="auto"/>
                <w:sz w:val="24"/>
                <w:szCs w:val="24"/>
                <w:highlight w:val="none"/>
              </w:rPr>
              <w:t xml:space="preserve">价格</w:t>
            </w:r>
            <w:r/>
          </w:p>
          <w:p>
            <w:pPr>
              <w:pStyle w:val="1300"/>
              <w:jc w:val="center"/>
              <w:spacing w:line="240" w:lineRule="auto"/>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1</w:t>
            </w:r>
            <w:r>
              <w:rPr>
                <w:rFonts w:hint="eastAsia"/>
                <w:color w:val="auto"/>
                <w:sz w:val="24"/>
                <w:szCs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106"/>
              <w:jc w:val="both"/>
              <w:spacing w:line="24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pStyle w:val="1106"/>
              <w:jc w:val="both"/>
              <w:spacing w:line="240" w:lineRule="auto"/>
              <w:rPr>
                <w:b w:val="0"/>
                <w:bCs w:val="0"/>
                <w:sz w:val="24"/>
                <w:szCs w:val="24"/>
                <w:highlight w:val="none"/>
              </w:rPr>
            </w:pPr>
            <w:r>
              <w:rPr>
                <w:rFonts w:hint="eastAsia" w:ascii="宋体" w:hAnsi="宋体" w:eastAsia="宋体" w:cs="Times New Roman"/>
                <w:sz w:val="24"/>
                <w:szCs w:val="24"/>
                <w:highlight w:val="none"/>
                <w:lang w:val="en-US" w:eastAsia="zh-CN" w:bidi="ar-SA"/>
              </w:rPr>
              <w:t xml:space="preserve">磋商报价得分=（磋商基准价/最后磋商报价）×</w:t>
            </w:r>
            <w:r>
              <w:rPr>
                <w:rFonts w:hint="eastAsia" w:ascii="宋体" w:hAnsi="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0</w:t>
            </w:r>
            <w:r/>
          </w:p>
        </w:tc>
      </w:tr>
      <w:tr>
        <w:trPr>
          <w:jc w:val="center"/>
          <w:trHeight w:val="90"/>
        </w:trPr>
        <w:tc>
          <w:tcPr>
            <w:tcBorders>
              <w:top w:val="single" w:color="000000" w:sz="4" w:space="0"/>
              <w:left w:val="single" w:color="000000" w:sz="4" w:space="0"/>
              <w:right w:val="single" w:color="000000" w:sz="4" w:space="0"/>
            </w:tcBorders>
            <w:tcW w:w="1402" w:type="dxa"/>
            <w:vAlign w:val="center"/>
            <w:vMerge w:val="restart"/>
            <w:textDirection w:val="lrTb"/>
            <w:noWrap w:val="false"/>
          </w:tcPr>
          <w:p>
            <w:pPr>
              <w:pStyle w:val="1300"/>
              <w:jc w:val="center"/>
              <w:spacing w:line="240" w:lineRule="auto"/>
              <w:rPr>
                <w:color w:val="auto"/>
                <w:sz w:val="24"/>
                <w:szCs w:val="24"/>
                <w:highlight w:val="none"/>
              </w:rPr>
            </w:pPr>
            <w:r>
              <w:rPr>
                <w:rFonts w:hint="eastAsia"/>
                <w:color w:val="auto"/>
                <w:sz w:val="24"/>
                <w:szCs w:val="24"/>
                <w:highlight w:val="none"/>
              </w:rPr>
              <w:t xml:space="preserve">商务部分（</w:t>
            </w:r>
            <w:r>
              <w:rPr>
                <w:rFonts w:hint="eastAsia"/>
                <w:color w:val="auto"/>
                <w:sz w:val="24"/>
                <w:szCs w:val="24"/>
                <w:highlight w:val="none"/>
                <w:lang w:val="en-US" w:eastAsia="zh-CN"/>
              </w:rPr>
              <w:t xml:space="preserve">8</w:t>
            </w:r>
            <w:r>
              <w:rPr>
                <w:rFonts w:hint="eastAsia"/>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300"/>
              <w:jc w:val="center"/>
              <w:spacing w:line="240" w:lineRule="auto"/>
              <w:rPr>
                <w:color w:val="auto"/>
                <w:sz w:val="24"/>
                <w:szCs w:val="24"/>
                <w:highlight w:val="none"/>
              </w:rPr>
            </w:pPr>
            <w:r>
              <w:rPr>
                <w:rFonts w:hint="eastAsia"/>
                <w:color w:val="auto"/>
                <w:sz w:val="24"/>
                <w:szCs w:val="24"/>
                <w:highlight w:val="none"/>
              </w:rPr>
              <w:t xml:space="preserve">业绩</w:t>
            </w:r>
            <w:r/>
          </w:p>
          <w:p>
            <w:pPr>
              <w:pStyle w:val="1300"/>
              <w:jc w:val="center"/>
              <w:spacing w:line="240" w:lineRule="auto"/>
              <w:rPr>
                <w:rFonts w:hint="eastAsia"/>
                <w:color w:val="auto"/>
                <w:sz w:val="24"/>
                <w:szCs w:val="24"/>
                <w:highlight w:val="none"/>
              </w:rPr>
            </w:pPr>
            <w:r>
              <w:rPr>
                <w:rFonts w:hint="eastAsia"/>
                <w:color w:val="auto"/>
                <w:sz w:val="24"/>
                <w:szCs w:val="24"/>
                <w:highlight w:val="none"/>
              </w:rPr>
              <w:t xml:space="preserve">（4分）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jc w:val="both"/>
              <w:spacing w:line="240" w:lineRule="auto"/>
              <w:rPr>
                <w:rFonts w:ascii="宋体" w:hAnsi="宋体" w:cs="宋体"/>
                <w:b w:val="0"/>
                <w:bCs w:val="0"/>
                <w:color w:val="auto"/>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none"/>
              </w:rPr>
              <w:t xml:space="preserve">供应商自20</w:t>
            </w:r>
            <w:r>
              <w:rPr>
                <w:rFonts w:hint="eastAsia" w:ascii="宋体" w:hAnsi="宋体" w:cs="宋体"/>
                <w:color w:val="auto"/>
                <w:sz w:val="24"/>
                <w:szCs w:val="20"/>
                <w:highlight w:val="none"/>
              </w:rPr>
              <w:t xml:space="preserve">2</w:t>
            </w:r>
            <w:r>
              <w:rPr>
                <w:rFonts w:hint="eastAsia" w:ascii="宋体" w:hAnsi="宋体" w:cs="宋体"/>
                <w:color w:val="auto"/>
                <w:sz w:val="24"/>
                <w:szCs w:val="20"/>
                <w:highlight w:val="none"/>
                <w:lang w:val="en-US" w:eastAsia="zh-CN"/>
              </w:rPr>
              <w:t xml:space="preserve">3</w:t>
            </w:r>
            <w:r>
              <w:rPr>
                <w:rFonts w:ascii="宋体" w:hAnsi="宋体" w:cs="宋体"/>
                <w:color w:val="auto"/>
                <w:sz w:val="24"/>
                <w:szCs w:val="20"/>
                <w:highlight w:val="none"/>
              </w:rPr>
              <w:t xml:space="preserve">年</w:t>
            </w:r>
            <w:r>
              <w:rPr>
                <w:rFonts w:hint="eastAsia" w:ascii="宋体" w:hAnsi="宋体" w:cs="宋体"/>
                <w:color w:val="auto"/>
                <w:sz w:val="24"/>
                <w:szCs w:val="20"/>
                <w:highlight w:val="none"/>
                <w:lang w:val="en-US" w:eastAsia="zh-CN"/>
              </w:rPr>
              <w:t xml:space="preserve">10</w:t>
            </w:r>
            <w:r>
              <w:rPr>
                <w:rFonts w:ascii="宋体" w:hAnsi="宋体" w:cs="宋体"/>
                <w:color w:val="auto"/>
                <w:sz w:val="24"/>
                <w:szCs w:val="20"/>
                <w:highlight w:val="none"/>
              </w:rPr>
              <w:t xml:space="preserve">月1日（含）以来承担过类似工程</w:t>
            </w:r>
            <w:r>
              <w:rPr>
                <w:rFonts w:hint="eastAsia" w:ascii="宋体" w:hAnsi="宋体" w:cs="宋体"/>
                <w:color w:val="auto"/>
                <w:sz w:val="24"/>
                <w:szCs w:val="20"/>
                <w:highlight w:val="none"/>
              </w:rPr>
              <w:t xml:space="preserve">，</w:t>
            </w:r>
            <w:r>
              <w:rPr>
                <w:rFonts w:ascii="宋体" w:hAnsi="宋体" w:cs="宋体"/>
                <w:color w:val="auto"/>
                <w:sz w:val="24"/>
                <w:szCs w:val="20"/>
                <w:highlight w:val="none"/>
              </w:rPr>
              <w:t xml:space="preserve">以中标通知书、施工合同及竣工验收合格证明书为准，三者必须同时具备，时间</w:t>
            </w:r>
            <w:r>
              <w:rPr>
                <w:rFonts w:ascii="宋体" w:hAnsi="宋体" w:cs="宋体"/>
                <w:b w:val="0"/>
                <w:bCs w:val="0"/>
                <w:color w:val="auto"/>
                <w:sz w:val="24"/>
                <w:szCs w:val="20"/>
                <w:highlight w:val="none"/>
              </w:rPr>
              <w:t xml:space="preserve">以竣工验收时间为准，每有一项得</w:t>
            </w:r>
            <w:r>
              <w:rPr>
                <w:rFonts w:hint="eastAsia" w:ascii="宋体" w:hAnsi="宋体" w:cs="宋体"/>
                <w:b w:val="0"/>
                <w:bCs w:val="0"/>
                <w:color w:val="auto"/>
                <w:sz w:val="24"/>
                <w:szCs w:val="20"/>
                <w:highlight w:val="none"/>
                <w:lang w:val="en-US" w:eastAsia="zh-CN"/>
              </w:rPr>
              <w:t xml:space="preserve">2</w:t>
            </w:r>
            <w:r>
              <w:rPr>
                <w:rFonts w:ascii="宋体" w:hAnsi="宋体" w:cs="宋体"/>
                <w:b w:val="0"/>
                <w:bCs w:val="0"/>
                <w:color w:val="auto"/>
                <w:sz w:val="24"/>
                <w:szCs w:val="20"/>
                <w:highlight w:val="none"/>
              </w:rPr>
              <w:t xml:space="preserve">分，最高得</w:t>
            </w:r>
            <w:r>
              <w:rPr>
                <w:rFonts w:hint="eastAsia" w:ascii="宋体" w:hAnsi="宋体" w:cs="宋体"/>
                <w:b w:val="0"/>
                <w:bCs w:val="0"/>
                <w:color w:val="auto"/>
                <w:sz w:val="24"/>
                <w:szCs w:val="20"/>
                <w:highlight w:val="none"/>
                <w:lang w:val="en-US" w:eastAsia="zh-CN"/>
              </w:rPr>
              <w:t xml:space="preserve">4</w:t>
            </w:r>
            <w:r>
              <w:rPr>
                <w:rFonts w:ascii="宋体" w:hAnsi="宋体" w:cs="宋体"/>
                <w:b w:val="0"/>
                <w:bCs w:val="0"/>
                <w:color w:val="auto"/>
                <w:sz w:val="24"/>
                <w:szCs w:val="20"/>
                <w:highlight w:val="none"/>
              </w:rPr>
              <w:t xml:space="preserve">分，最低得0分。</w:t>
            </w:r>
            <w:r/>
          </w:p>
          <w:p>
            <w:pPr>
              <w:jc w:val="both"/>
              <w:spacing w:line="240" w:lineRule="auto"/>
              <w:rPr>
                <w:rFonts w:hint="eastAsia" w:ascii="宋体" w:hAnsi="宋体" w:eastAsia="宋体" w:cs="宋体"/>
                <w:b/>
                <w:bCs/>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0"/>
                <w:highlight w:val="none"/>
              </w:rPr>
              <w:t xml:space="preserve">注：</w:t>
            </w:r>
            <w:r>
              <w:rPr>
                <w:rFonts w:ascii="宋体" w:hAnsi="宋体" w:cs="宋体"/>
                <w:b/>
                <w:bCs/>
                <w:color w:val="auto"/>
                <w:sz w:val="24"/>
                <w:szCs w:val="20"/>
                <w:highlight w:val="none"/>
              </w:rPr>
              <w:t xml:space="preserve">提供证明材料</w:t>
            </w:r>
            <w:r>
              <w:rPr>
                <w:rFonts w:hint="eastAsia" w:ascii="宋体" w:hAnsi="宋体" w:cs="宋体"/>
                <w:b/>
                <w:bCs/>
                <w:color w:val="auto"/>
                <w:sz w:val="24"/>
                <w:szCs w:val="20"/>
                <w:highlight w:val="none"/>
              </w:rPr>
              <w:t xml:space="preserve">原件</w:t>
            </w:r>
            <w:r>
              <w:rPr>
                <w:rFonts w:ascii="宋体" w:hAnsi="宋体" w:cs="宋体"/>
                <w:b/>
                <w:bCs/>
                <w:color w:val="auto"/>
                <w:sz w:val="24"/>
                <w:szCs w:val="20"/>
                <w:highlight w:val="none"/>
              </w:rPr>
              <w:t xml:space="preserve">扫描件加盖电子签章</w:t>
            </w:r>
            <w:r>
              <w:rPr>
                <w:rFonts w:ascii="宋体" w:hAnsi="宋体" w:cs="宋体"/>
                <w:color w:val="auto"/>
                <w:sz w:val="24"/>
                <w:szCs w:val="20"/>
                <w:highlight w:val="none"/>
              </w:rPr>
              <w:t xml:space="preserve">。</w:t>
            </w:r>
            <w:r/>
          </w:p>
        </w:tc>
      </w:tr>
      <w:tr>
        <w:trPr>
          <w:jc w:val="center"/>
          <w:trHeight w:val="1539"/>
        </w:trPr>
        <w:tc>
          <w:tcPr>
            <w:tcBorders>
              <w:left w:val="single" w:color="000000" w:sz="4" w:space="0"/>
              <w:bottom w:val="single" w:color="000000" w:sz="4" w:space="0"/>
              <w:right w:val="single" w:color="000000" w:sz="4" w:space="0"/>
            </w:tcBorders>
            <w:tcW w:w="1402" w:type="dxa"/>
            <w:vAlign w:val="center"/>
            <w:vMerge w:val="continue"/>
            <w:textDirection w:val="lrTb"/>
            <w:noWrap w:val="false"/>
          </w:tcPr>
          <w:p>
            <w:pPr>
              <w:pStyle w:val="1300"/>
              <w:jc w:val="center"/>
              <w:spacing w:line="24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099"/>
              <w:jc w:val="center"/>
              <w:spacing w:line="240" w:lineRule="auto"/>
              <w:rPr>
                <w:rFonts w:hint="eastAsia" w:ascii="宋体" w:hAnsi="宋体" w:eastAsia="宋体"/>
                <w:sz w:val="24"/>
                <w:szCs w:val="24"/>
                <w:highlight w:val="none"/>
                <w:lang w:val="en-US" w:eastAsia="zh-CN"/>
              </w:rPr>
            </w:pPr>
            <w:r>
              <w:rPr>
                <w:rFonts w:hint="eastAsia" w:ascii="宋体" w:hAnsi="宋体"/>
                <w:sz w:val="24"/>
                <w:szCs w:val="24"/>
                <w:highlight w:val="none"/>
              </w:rPr>
              <w:t xml:space="preserve">企业</w:t>
            </w:r>
            <w:r>
              <w:rPr>
                <w:rFonts w:hint="eastAsia" w:ascii="宋体" w:hAnsi="宋体"/>
                <w:sz w:val="24"/>
                <w:szCs w:val="24"/>
                <w:highlight w:val="none"/>
                <w:lang w:val="en-US" w:eastAsia="zh-CN"/>
              </w:rPr>
              <w:t xml:space="preserve">资信</w:t>
            </w:r>
            <w:r/>
          </w:p>
          <w:p>
            <w:pPr>
              <w:pStyle w:val="1099"/>
              <w:jc w:val="center"/>
              <w:spacing w:line="240" w:lineRule="auto"/>
              <w:rPr>
                <w:color w:val="auto"/>
                <w:sz w:val="24"/>
                <w:szCs w:val="24"/>
                <w:highlight w:val="none"/>
              </w:rPr>
            </w:pPr>
            <w:r>
              <w:rPr>
                <w:rFonts w:hint="eastAsia" w:ascii="宋体" w:hAnsi="宋体"/>
                <w:sz w:val="24"/>
                <w:szCs w:val="24"/>
                <w:highlight w:val="none"/>
              </w:rPr>
              <w:t xml:space="preserve">（4分）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099"/>
              <w:jc w:val="both"/>
              <w:spacing w:line="240" w:lineRule="auto"/>
              <w:rPr>
                <w:rFonts w:hint="eastAsia"/>
                <w:sz w:val="24"/>
                <w:szCs w:val="24"/>
                <w:highlight w:val="none"/>
              </w:rPr>
            </w:pPr>
            <w:r>
              <w:rPr>
                <w:rFonts w:hint="eastAsia"/>
                <w:sz w:val="24"/>
                <w:szCs w:val="24"/>
                <w:highlight w:val="none"/>
              </w:rPr>
              <w:t xml:space="preserve">供应商具有有效期内的企业认证体系</w:t>
            </w:r>
            <w:r>
              <w:rPr>
                <w:rFonts w:hint="eastAsia"/>
                <w:sz w:val="24"/>
                <w:szCs w:val="24"/>
                <w:highlight w:val="none"/>
                <w:lang w:val="en-US" w:eastAsia="zh-CN"/>
              </w:rPr>
              <w:t xml:space="preserve">证书</w:t>
            </w:r>
            <w:r>
              <w:rPr>
                <w:rFonts w:hint="eastAsia"/>
                <w:sz w:val="24"/>
                <w:szCs w:val="24"/>
                <w:highlight w:val="none"/>
              </w:rPr>
              <w:t xml:space="preserve">，即质量管理体系认证证书、环境管理体系认证证书、职业健康安全管理体系认证证书。全部提供得4分，提供两个得2分，提供一个得1分，未提供的不得分。</w:t>
            </w:r>
            <w:r/>
          </w:p>
          <w:p>
            <w:pPr>
              <w:pStyle w:val="1111"/>
              <w:ind w:left="0" w:firstLine="0"/>
              <w:jc w:val="both"/>
              <w:spacing w:line="240" w:lineRule="auto"/>
              <w:rPr>
                <w:sz w:val="24"/>
                <w:szCs w:val="24"/>
                <w:highlight w:val="none"/>
              </w:rPr>
            </w:pPr>
            <w:r>
              <w:rPr>
                <w:rFonts w:hint="eastAsia" w:ascii="宋体" w:hAnsi="宋体" w:eastAsia="宋体" w:cs="宋体"/>
                <w:b/>
                <w:bCs/>
                <w:color w:val="auto"/>
                <w:sz w:val="24"/>
                <w:szCs w:val="20"/>
                <w:highlight w:val="none"/>
              </w:rPr>
              <w:t xml:space="preserve">注：提供证书扫描件并加盖电子签章。</w:t>
            </w:r>
            <w:r/>
          </w:p>
        </w:tc>
      </w:tr>
      <w:tr>
        <w:trPr>
          <w:jc w:val="center"/>
          <w:trHeight w:val="1047"/>
        </w:trPr>
        <w:tc>
          <w:tcPr>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pStyle w:val="1300"/>
              <w:jc w:val="both"/>
              <w:spacing w:line="240" w:lineRule="auto"/>
              <w:rPr>
                <w:color w:val="auto"/>
                <w:sz w:val="24"/>
                <w:szCs w:val="24"/>
                <w:highlight w:val="none"/>
              </w:rPr>
            </w:pPr>
            <w:r>
              <w:rPr>
                <w:rFonts w:hint="eastAsia"/>
                <w:color w:val="auto"/>
                <w:sz w:val="24"/>
                <w:szCs w:val="24"/>
                <w:highlight w:val="none"/>
                <w:lang w:val="en-US" w:eastAsia="zh-CN"/>
              </w:rPr>
              <w:t xml:space="preserve">技术部分</w:t>
            </w:r>
            <w:r>
              <w:rPr>
                <w:rFonts w:hint="eastAsia"/>
                <w:color w:val="auto"/>
                <w:sz w:val="24"/>
                <w:szCs w:val="24"/>
                <w:highlight w:val="none"/>
              </w:rPr>
              <w:t xml:space="preserve">(</w:t>
            </w:r>
            <w:r>
              <w:rPr>
                <w:rFonts w:hint="eastAsia"/>
                <w:color w:val="auto"/>
                <w:sz w:val="24"/>
                <w:szCs w:val="24"/>
                <w:highlight w:val="none"/>
                <w:lang w:val="en-US" w:eastAsia="zh-CN"/>
              </w:rPr>
              <w:t xml:space="preserve">82</w:t>
            </w:r>
            <w:r>
              <w:rPr>
                <w:rFonts w:hint="eastAsia"/>
                <w:color w:val="auto"/>
                <w:sz w:val="24"/>
                <w:szCs w:val="24"/>
                <w:highlight w:val="none"/>
              </w:rPr>
              <w:t xml:space="preserve">分)</w:t>
            </w:r>
            <w:r/>
          </w:p>
          <w:p>
            <w:pPr>
              <w:pStyle w:val="1300"/>
              <w:ind w:firstLine="240"/>
              <w:jc w:val="both"/>
              <w:spacing w:line="24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570" w:type="dxa"/>
            <w:vAlign w:val="center"/>
            <w:textDirection w:val="lrTb"/>
            <w:noWrap w:val="false"/>
          </w:tcPr>
          <w:p>
            <w:pPr>
              <w:pStyle w:val="1300"/>
              <w:jc w:val="both"/>
              <w:spacing w:line="240" w:lineRule="auto"/>
              <w:rPr>
                <w:color w:val="auto"/>
                <w:sz w:val="24"/>
                <w:szCs w:val="24"/>
                <w:highlight w:val="none"/>
              </w:rPr>
            </w:pPr>
            <w:r>
              <w:rPr>
                <w:rFonts w:hint="eastAsia" w:hAnsi="宋体" w:cs="宋体"/>
                <w:sz w:val="24"/>
                <w:szCs w:val="24"/>
                <w:highlight w:val="none"/>
              </w:rPr>
              <w:t xml:space="preserve">总体施工方案</w:t>
            </w:r>
            <w:r>
              <w:rPr>
                <w:rFonts w:hint="eastAsia" w:hAnsi="宋体" w:cs="仿宋"/>
                <w:sz w:val="24"/>
                <w:szCs w:val="24"/>
                <w:highlight w:val="none"/>
              </w:rPr>
              <w:t xml:space="preserve">（1</w:t>
            </w:r>
            <w:r>
              <w:rPr>
                <w:rFonts w:hint="eastAsia" w:cs="仿宋"/>
                <w:sz w:val="24"/>
                <w:szCs w:val="24"/>
                <w:highlight w:val="none"/>
                <w:lang w:val="en-US" w:eastAsia="zh-CN"/>
              </w:rPr>
              <w:t xml:space="preserve">2</w:t>
            </w:r>
            <w:r>
              <w:rPr>
                <w:rFonts w:hint="eastAsia" w:hAnsi="宋体" w:cs="仿宋"/>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6662" w:type="dxa"/>
            <w:vAlign w:val="center"/>
            <w:textDirection w:val="lrTb"/>
            <w:noWrap w:val="false"/>
          </w:tcPr>
          <w:p>
            <w:pPr>
              <w:pStyle w:val="1099"/>
              <w:spacing w:line="240" w:lineRule="auto"/>
              <w:rPr>
                <w:rFonts w:hint="eastAsia"/>
                <w:sz w:val="24"/>
                <w:szCs w:val="24"/>
                <w:highlight w:val="none"/>
              </w:rPr>
            </w:pPr>
            <w:r>
              <w:rPr>
                <w:rFonts w:hint="eastAsia"/>
                <w:sz w:val="24"/>
                <w:szCs w:val="24"/>
                <w:highlight w:val="none"/>
              </w:rPr>
              <w:t xml:space="preserve">根据供应商提供的工程总体概述、针对重点部分施工方案及施工工艺方法等方面进行总体评价。</w:t>
            </w:r>
            <w:r/>
          </w:p>
          <w:p>
            <w:pPr>
              <w:pStyle w:val="1099"/>
              <w:spacing w:line="240" w:lineRule="auto"/>
              <w:rPr>
                <w:rFonts w:hint="eastAsia"/>
                <w:sz w:val="24"/>
                <w:szCs w:val="24"/>
                <w:highlight w:val="none"/>
              </w:rPr>
            </w:pPr>
            <w:r>
              <w:rPr>
                <w:rFonts w:hint="eastAsia"/>
                <w:sz w:val="24"/>
                <w:szCs w:val="24"/>
                <w:highlight w:val="none"/>
              </w:rPr>
              <w:t xml:space="preserve">（1）以上内容不存在瑕疵：12分；</w:t>
            </w:r>
            <w:r/>
          </w:p>
          <w:p>
            <w:pPr>
              <w:pStyle w:val="1099"/>
              <w:spacing w:line="240" w:lineRule="auto"/>
              <w:rPr>
                <w:rFonts w:hint="eastAsia"/>
                <w:sz w:val="24"/>
                <w:szCs w:val="24"/>
                <w:highlight w:val="none"/>
              </w:rPr>
            </w:pPr>
            <w:r>
              <w:rPr>
                <w:rFonts w:hint="eastAsia"/>
                <w:sz w:val="24"/>
                <w:szCs w:val="24"/>
                <w:highlight w:val="none"/>
              </w:rPr>
              <w:t xml:space="preserve">（2）以上内容存在1处瑕疵：10分；</w:t>
            </w:r>
            <w:r/>
          </w:p>
          <w:p>
            <w:pPr>
              <w:pStyle w:val="1099"/>
              <w:spacing w:line="240" w:lineRule="auto"/>
              <w:rPr>
                <w:rFonts w:hint="eastAsia"/>
                <w:sz w:val="24"/>
                <w:szCs w:val="24"/>
                <w:highlight w:val="none"/>
              </w:rPr>
            </w:pPr>
            <w:r>
              <w:rPr>
                <w:rFonts w:hint="eastAsia"/>
                <w:sz w:val="24"/>
                <w:szCs w:val="24"/>
                <w:highlight w:val="none"/>
              </w:rPr>
              <w:t xml:space="preserve">（3）以上内容存在2处瑕疵：8分；</w:t>
            </w:r>
            <w:r/>
          </w:p>
          <w:p>
            <w:pPr>
              <w:pStyle w:val="1099"/>
              <w:spacing w:line="240" w:lineRule="auto"/>
              <w:rPr>
                <w:rFonts w:hint="eastAsia"/>
                <w:sz w:val="24"/>
                <w:szCs w:val="24"/>
                <w:highlight w:val="none"/>
              </w:rPr>
            </w:pPr>
            <w:r>
              <w:rPr>
                <w:rFonts w:hint="eastAsia"/>
                <w:sz w:val="24"/>
                <w:szCs w:val="24"/>
                <w:highlight w:val="none"/>
              </w:rPr>
              <w:t xml:space="preserve">（4）以上内容存在3处瑕疵：6分；</w:t>
            </w:r>
            <w:r/>
          </w:p>
          <w:p>
            <w:pPr>
              <w:pStyle w:val="1099"/>
              <w:spacing w:line="240" w:lineRule="auto"/>
              <w:rPr>
                <w:rFonts w:hint="eastAsia"/>
                <w:sz w:val="24"/>
                <w:szCs w:val="24"/>
                <w:highlight w:val="none"/>
              </w:rPr>
            </w:pPr>
            <w:r>
              <w:rPr>
                <w:rFonts w:hint="eastAsia"/>
                <w:sz w:val="24"/>
                <w:szCs w:val="24"/>
                <w:highlight w:val="none"/>
              </w:rPr>
              <w:t xml:space="preserve">（5）以上内容存在4处瑕疵：4分；</w:t>
            </w:r>
            <w:r/>
          </w:p>
          <w:p>
            <w:pPr>
              <w:pStyle w:val="1099"/>
              <w:spacing w:line="240" w:lineRule="auto"/>
              <w:rPr>
                <w:rFonts w:hint="eastAsia"/>
                <w:sz w:val="24"/>
                <w:szCs w:val="24"/>
                <w:highlight w:val="none"/>
              </w:rPr>
            </w:pPr>
            <w:r>
              <w:rPr>
                <w:rFonts w:hint="eastAsia"/>
                <w:sz w:val="24"/>
                <w:szCs w:val="24"/>
                <w:highlight w:val="none"/>
              </w:rPr>
              <w:t xml:space="preserve">（6）以上内容存在5处瑕疵：2分；</w:t>
            </w:r>
            <w:r/>
          </w:p>
          <w:p>
            <w:pPr>
              <w:pStyle w:val="1099"/>
              <w:spacing w:line="240" w:lineRule="auto"/>
              <w:rPr>
                <w:rFonts w:hint="eastAsia"/>
                <w:sz w:val="24"/>
                <w:szCs w:val="24"/>
                <w:highlight w:val="none"/>
              </w:rPr>
            </w:pPr>
            <w:r>
              <w:rPr>
                <w:rFonts w:hint="eastAsia"/>
                <w:sz w:val="24"/>
                <w:szCs w:val="24"/>
                <w:highlight w:val="none"/>
              </w:rPr>
              <w:t xml:space="preserve">（7）未提供方案或不满足施工要求或内容存在6处及以上瑕疵:0分。</w:t>
            </w:r>
            <w:r/>
          </w:p>
          <w:p>
            <w:pPr>
              <w:pStyle w:val="1099"/>
              <w:spacing w:line="240" w:lineRule="auto"/>
              <w:rPr>
                <w:sz w:val="24"/>
                <w:szCs w:val="24"/>
                <w:highlight w:val="none"/>
              </w:rPr>
            </w:pPr>
            <w:r>
              <w:rPr>
                <w:rFonts w:hint="eastAsia"/>
                <w:sz w:val="24"/>
                <w:szCs w:val="24"/>
                <w:highlight w:val="none"/>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41"/>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099"/>
              <w:spacing w:line="240" w:lineRule="auto"/>
              <w:rPr>
                <w:rFonts w:ascii="宋体" w:hAnsi="宋体" w:cs="宋体"/>
                <w:sz w:val="24"/>
                <w:szCs w:val="24"/>
                <w:highlight w:val="none"/>
              </w:rPr>
            </w:pPr>
            <w:r>
              <w:rPr>
                <w:rFonts w:hint="eastAsia" w:ascii="宋体" w:hAnsi="宋体" w:cs="宋体"/>
                <w:sz w:val="24"/>
                <w:szCs w:val="24"/>
                <w:highlight w:val="none"/>
              </w:rPr>
              <w:t xml:space="preserve">施工进度计划及保证措施</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分）</w:t>
            </w:r>
            <w:r/>
          </w:p>
          <w:p>
            <w:pPr>
              <w:pStyle w:val="1099"/>
              <w:ind w:firstLine="240"/>
              <w:spacing w:line="24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pStyle w:val="1099"/>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根据供应商提供的针对本项目工程特点、工程进度计划安排、计划开工竣工日期、关键工作计划及工期保证措施等方面进行总体评价。</w:t>
            </w:r>
            <w:r/>
          </w:p>
          <w:p>
            <w:pPr>
              <w:pStyle w:val="1099"/>
              <w:spacing w:line="240" w:lineRule="auto"/>
              <w:rPr>
                <w:rFonts w:hint="eastAsia"/>
                <w:sz w:val="24"/>
                <w:szCs w:val="24"/>
                <w:highlight w:val="none"/>
              </w:rPr>
            </w:pPr>
            <w:r>
              <w:rPr>
                <w:rFonts w:hint="eastAsia"/>
                <w:sz w:val="24"/>
                <w:szCs w:val="24"/>
                <w:highlight w:val="none"/>
              </w:rPr>
              <w:t xml:space="preserve">（1）以上内容不存在瑕疵：12分；</w:t>
            </w:r>
            <w:r/>
          </w:p>
          <w:p>
            <w:pPr>
              <w:pStyle w:val="1099"/>
              <w:spacing w:line="240" w:lineRule="auto"/>
              <w:rPr>
                <w:rFonts w:hint="eastAsia"/>
                <w:sz w:val="24"/>
                <w:szCs w:val="24"/>
                <w:highlight w:val="none"/>
              </w:rPr>
            </w:pPr>
            <w:r>
              <w:rPr>
                <w:rFonts w:hint="eastAsia"/>
                <w:sz w:val="24"/>
                <w:szCs w:val="24"/>
                <w:highlight w:val="none"/>
              </w:rPr>
              <w:t xml:space="preserve">（2）以上内容存在1处瑕疵：10分；</w:t>
            </w:r>
            <w:r/>
          </w:p>
          <w:p>
            <w:pPr>
              <w:pStyle w:val="1099"/>
              <w:spacing w:line="240" w:lineRule="auto"/>
              <w:rPr>
                <w:rFonts w:hint="eastAsia"/>
                <w:sz w:val="24"/>
                <w:szCs w:val="24"/>
                <w:highlight w:val="none"/>
              </w:rPr>
            </w:pPr>
            <w:r>
              <w:rPr>
                <w:rFonts w:hint="eastAsia"/>
                <w:sz w:val="24"/>
                <w:szCs w:val="24"/>
                <w:highlight w:val="none"/>
              </w:rPr>
              <w:t xml:space="preserve">（3）以上内容存在2处瑕疵：8分；</w:t>
            </w:r>
            <w:r/>
          </w:p>
          <w:p>
            <w:pPr>
              <w:pStyle w:val="1099"/>
              <w:spacing w:line="240" w:lineRule="auto"/>
              <w:rPr>
                <w:rFonts w:hint="eastAsia"/>
                <w:sz w:val="24"/>
                <w:szCs w:val="24"/>
                <w:highlight w:val="none"/>
              </w:rPr>
            </w:pPr>
            <w:r>
              <w:rPr>
                <w:rFonts w:hint="eastAsia"/>
                <w:sz w:val="24"/>
                <w:szCs w:val="24"/>
                <w:highlight w:val="none"/>
              </w:rPr>
              <w:t xml:space="preserve">（4）以上内容存在3处瑕疵：6分；</w:t>
            </w:r>
            <w:r/>
          </w:p>
          <w:p>
            <w:pPr>
              <w:pStyle w:val="1099"/>
              <w:spacing w:line="240" w:lineRule="auto"/>
              <w:rPr>
                <w:rFonts w:hint="eastAsia"/>
                <w:sz w:val="24"/>
                <w:szCs w:val="24"/>
                <w:highlight w:val="none"/>
              </w:rPr>
            </w:pPr>
            <w:r>
              <w:rPr>
                <w:rFonts w:hint="eastAsia"/>
                <w:sz w:val="24"/>
                <w:szCs w:val="24"/>
                <w:highlight w:val="none"/>
              </w:rPr>
              <w:t xml:space="preserve">（5）以上内容存在4处瑕疵：4分；</w:t>
            </w:r>
            <w:r/>
          </w:p>
          <w:p>
            <w:pPr>
              <w:pStyle w:val="1099"/>
              <w:spacing w:line="240" w:lineRule="auto"/>
              <w:rPr>
                <w:rFonts w:hint="eastAsia"/>
                <w:sz w:val="24"/>
                <w:szCs w:val="24"/>
                <w:highlight w:val="none"/>
              </w:rPr>
            </w:pPr>
            <w:r>
              <w:rPr>
                <w:rFonts w:hint="eastAsia"/>
                <w:sz w:val="24"/>
                <w:szCs w:val="24"/>
                <w:highlight w:val="none"/>
              </w:rPr>
              <w:t xml:space="preserve">（6）以上内容存在5处瑕疵：2分；</w:t>
            </w:r>
            <w:r/>
          </w:p>
          <w:p>
            <w:pPr>
              <w:pStyle w:val="1099"/>
              <w:spacing w:line="240" w:lineRule="auto"/>
              <w:rPr>
                <w:rFonts w:hint="eastAsia"/>
                <w:sz w:val="24"/>
                <w:szCs w:val="24"/>
                <w:highlight w:val="none"/>
              </w:rPr>
            </w:pPr>
            <w:r>
              <w:rPr>
                <w:rFonts w:hint="eastAsia"/>
                <w:sz w:val="24"/>
                <w:szCs w:val="24"/>
                <w:highlight w:val="none"/>
              </w:rPr>
              <w:t xml:space="preserve">（7）未提供方案或不满足施工要求或内容存在6处及以上瑕疵:0分。</w:t>
            </w:r>
            <w:r/>
          </w:p>
          <w:p>
            <w:pPr>
              <w:pStyle w:val="1099"/>
              <w:spacing w:line="240" w:lineRule="auto"/>
              <w:rPr>
                <w:rFonts w:ascii="宋体" w:hAnsi="宋体" w:cs="宋体"/>
                <w:sz w:val="24"/>
                <w:szCs w:val="24"/>
                <w:highlight w:val="none"/>
              </w:rPr>
            </w:pPr>
            <w:r>
              <w:rPr>
                <w:rFonts w:hint="eastAsia"/>
                <w:sz w:val="24"/>
                <w:szCs w:val="24"/>
                <w:highlight w:val="none"/>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spacing w:line="240" w:lineRule="auto"/>
              <w:rPr>
                <w:rFonts w:ascii="宋体" w:hAnsi="宋体" w:cs="宋体"/>
                <w:sz w:val="24"/>
                <w:szCs w:val="24"/>
                <w:highlight w:val="none"/>
              </w:rPr>
            </w:pPr>
            <w:r>
              <w:rPr>
                <w:rFonts w:hint="eastAsia" w:ascii="宋体" w:hAnsi="宋体" w:cs="宋体"/>
                <w:sz w:val="24"/>
                <w:szCs w:val="24"/>
                <w:highlight w:val="none"/>
              </w:rPr>
              <w:t xml:space="preserve">施工质量保证（</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根据供应商提供的施工质量保证措施，对施工质量管理规划及目标、施工质量保证措施及突发情况预防方式等方面进行总体评价。</w:t>
            </w:r>
            <w:r/>
          </w:p>
          <w:p>
            <w:pPr>
              <w:pStyle w:val="1099"/>
              <w:spacing w:line="240" w:lineRule="auto"/>
              <w:rPr>
                <w:rFonts w:hint="eastAsia"/>
                <w:sz w:val="24"/>
                <w:szCs w:val="24"/>
                <w:highlight w:val="none"/>
              </w:rPr>
            </w:pPr>
            <w:r>
              <w:rPr>
                <w:rFonts w:hint="eastAsia"/>
                <w:sz w:val="24"/>
                <w:szCs w:val="24"/>
                <w:highlight w:val="none"/>
              </w:rPr>
              <w:t xml:space="preserve">（1）以上内容不存在瑕疵：12分；</w:t>
            </w:r>
            <w:r/>
          </w:p>
          <w:p>
            <w:pPr>
              <w:pStyle w:val="1099"/>
              <w:spacing w:line="240" w:lineRule="auto"/>
              <w:rPr>
                <w:rFonts w:hint="eastAsia"/>
                <w:sz w:val="24"/>
                <w:szCs w:val="24"/>
                <w:highlight w:val="none"/>
              </w:rPr>
            </w:pPr>
            <w:r>
              <w:rPr>
                <w:rFonts w:hint="eastAsia"/>
                <w:sz w:val="24"/>
                <w:szCs w:val="24"/>
                <w:highlight w:val="none"/>
              </w:rPr>
              <w:t xml:space="preserve">（2）以上内容存在1处瑕疵：10分；</w:t>
            </w:r>
            <w:r/>
          </w:p>
          <w:p>
            <w:pPr>
              <w:pStyle w:val="1099"/>
              <w:spacing w:line="240" w:lineRule="auto"/>
              <w:rPr>
                <w:rFonts w:hint="eastAsia"/>
                <w:sz w:val="24"/>
                <w:szCs w:val="24"/>
                <w:highlight w:val="none"/>
              </w:rPr>
            </w:pPr>
            <w:r>
              <w:rPr>
                <w:rFonts w:hint="eastAsia"/>
                <w:sz w:val="24"/>
                <w:szCs w:val="24"/>
                <w:highlight w:val="none"/>
              </w:rPr>
              <w:t xml:space="preserve">（3）以上内容存在2处瑕疵：8分；</w:t>
            </w:r>
            <w:r/>
          </w:p>
          <w:p>
            <w:pPr>
              <w:pStyle w:val="1099"/>
              <w:spacing w:line="240" w:lineRule="auto"/>
              <w:rPr>
                <w:rFonts w:hint="eastAsia"/>
                <w:sz w:val="24"/>
                <w:szCs w:val="24"/>
                <w:highlight w:val="none"/>
              </w:rPr>
            </w:pPr>
            <w:r>
              <w:rPr>
                <w:rFonts w:hint="eastAsia"/>
                <w:sz w:val="24"/>
                <w:szCs w:val="24"/>
                <w:highlight w:val="none"/>
              </w:rPr>
              <w:t xml:space="preserve">（4）以上内容存在3处瑕疵：6分；</w:t>
            </w:r>
            <w:r/>
          </w:p>
          <w:p>
            <w:pPr>
              <w:pStyle w:val="1099"/>
              <w:spacing w:line="240" w:lineRule="auto"/>
              <w:rPr>
                <w:rFonts w:hint="eastAsia"/>
                <w:sz w:val="24"/>
                <w:szCs w:val="24"/>
                <w:highlight w:val="none"/>
              </w:rPr>
            </w:pPr>
            <w:r>
              <w:rPr>
                <w:rFonts w:hint="eastAsia"/>
                <w:sz w:val="24"/>
                <w:szCs w:val="24"/>
                <w:highlight w:val="none"/>
              </w:rPr>
              <w:t xml:space="preserve">（5）以上内容存在4处瑕疵：4分；</w:t>
            </w:r>
            <w:r/>
          </w:p>
          <w:p>
            <w:pPr>
              <w:pStyle w:val="1099"/>
              <w:spacing w:line="240" w:lineRule="auto"/>
              <w:rPr>
                <w:rFonts w:hint="eastAsia"/>
                <w:sz w:val="24"/>
                <w:szCs w:val="24"/>
                <w:highlight w:val="none"/>
              </w:rPr>
            </w:pPr>
            <w:r>
              <w:rPr>
                <w:rFonts w:hint="eastAsia"/>
                <w:sz w:val="24"/>
                <w:szCs w:val="24"/>
                <w:highlight w:val="none"/>
              </w:rPr>
              <w:t xml:space="preserve">（6）以上内容存在5处瑕疵：2分；</w:t>
            </w:r>
            <w:r/>
          </w:p>
          <w:p>
            <w:pPr>
              <w:pStyle w:val="1099"/>
              <w:spacing w:line="240" w:lineRule="auto"/>
              <w:rPr>
                <w:rFonts w:hint="eastAsia"/>
                <w:sz w:val="24"/>
                <w:szCs w:val="24"/>
                <w:highlight w:val="none"/>
              </w:rPr>
            </w:pPr>
            <w:r>
              <w:rPr>
                <w:rFonts w:hint="eastAsia"/>
                <w:sz w:val="24"/>
                <w:szCs w:val="24"/>
                <w:highlight w:val="none"/>
              </w:rPr>
              <w:t xml:space="preserve">（7）未提供方案或不满足施工要求或内容存在6处及以上瑕疵:0分。</w:t>
            </w:r>
            <w:r/>
          </w:p>
          <w:p>
            <w:pPr>
              <w:spacing w:line="240" w:lineRule="auto"/>
              <w:rPr>
                <w:rFonts w:ascii="宋体" w:hAnsi="宋体" w:cs="宋体"/>
                <w:sz w:val="24"/>
                <w:szCs w:val="24"/>
                <w:highlight w:val="none"/>
              </w:rPr>
            </w:pPr>
            <w:r>
              <w:rPr>
                <w:rFonts w:hint="eastAsia"/>
                <w:sz w:val="24"/>
                <w:szCs w:val="24"/>
                <w:highlight w:val="none"/>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10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项目管理班子人员配备、素质及管理经验</w:t>
            </w:r>
            <w:r/>
          </w:p>
          <w:p>
            <w:pPr>
              <w:pStyle w:val="1106"/>
              <w:jc w:val="center"/>
              <w:rPr>
                <w:rFonts w:hint="eastAsia" w:ascii="宋体" w:hAnsi="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spacing w:line="240" w:lineRule="auto"/>
              <w:rPr>
                <w:rFonts w:hint="eastAsia" w:ascii="宋体" w:hAnsi="宋体" w:cs="宋体"/>
                <w:sz w:val="24"/>
                <w:szCs w:val="24"/>
                <w:highlight w:val="none"/>
              </w:rPr>
            </w:pPr>
            <w:r>
              <w:rPr>
                <w:rFonts w:hint="eastAsia" w:ascii="宋体" w:hAnsi="宋体" w:cs="宋体"/>
                <w:sz w:val="24"/>
                <w:szCs w:val="24"/>
                <w:highlight w:val="none"/>
              </w:rPr>
              <w:t xml:space="preserve">根据供应商提供的项目管理班子人员配备、素质及管理经验等方面进行总体评价。</w:t>
            </w:r>
            <w:r/>
          </w:p>
          <w:p>
            <w:pPr>
              <w:pStyle w:val="1099"/>
              <w:spacing w:line="240" w:lineRule="auto"/>
              <w:rPr>
                <w:rFonts w:hint="eastAsia"/>
                <w:sz w:val="24"/>
                <w:szCs w:val="24"/>
                <w:highlight w:val="none"/>
              </w:rPr>
            </w:pPr>
            <w:r>
              <w:rPr>
                <w:rFonts w:hint="eastAsia"/>
                <w:sz w:val="24"/>
                <w:szCs w:val="24"/>
                <w:highlight w:val="none"/>
              </w:rPr>
              <w:t xml:space="preserve">（1）以上内容不存在瑕疵：12分；</w:t>
            </w:r>
            <w:r/>
          </w:p>
          <w:p>
            <w:pPr>
              <w:pStyle w:val="1099"/>
              <w:spacing w:line="240" w:lineRule="auto"/>
              <w:rPr>
                <w:rFonts w:hint="eastAsia"/>
                <w:sz w:val="24"/>
                <w:szCs w:val="24"/>
                <w:highlight w:val="none"/>
              </w:rPr>
            </w:pPr>
            <w:r>
              <w:rPr>
                <w:rFonts w:hint="eastAsia"/>
                <w:sz w:val="24"/>
                <w:szCs w:val="24"/>
                <w:highlight w:val="none"/>
              </w:rPr>
              <w:t xml:space="preserve">（2）以上内容存在1处瑕疵：10分；</w:t>
            </w:r>
            <w:r/>
          </w:p>
          <w:p>
            <w:pPr>
              <w:pStyle w:val="1099"/>
              <w:spacing w:line="240" w:lineRule="auto"/>
              <w:rPr>
                <w:rFonts w:hint="eastAsia"/>
                <w:sz w:val="24"/>
                <w:szCs w:val="24"/>
                <w:highlight w:val="none"/>
              </w:rPr>
            </w:pPr>
            <w:r>
              <w:rPr>
                <w:rFonts w:hint="eastAsia"/>
                <w:sz w:val="24"/>
                <w:szCs w:val="24"/>
                <w:highlight w:val="none"/>
              </w:rPr>
              <w:t xml:space="preserve">（3）以上内容存在2处瑕疵：8分；</w:t>
            </w:r>
            <w:r/>
          </w:p>
          <w:p>
            <w:pPr>
              <w:pStyle w:val="1099"/>
              <w:spacing w:line="240" w:lineRule="auto"/>
              <w:rPr>
                <w:rFonts w:hint="eastAsia"/>
                <w:sz w:val="24"/>
                <w:szCs w:val="24"/>
                <w:highlight w:val="none"/>
              </w:rPr>
            </w:pPr>
            <w:r>
              <w:rPr>
                <w:rFonts w:hint="eastAsia"/>
                <w:sz w:val="24"/>
                <w:szCs w:val="24"/>
                <w:highlight w:val="none"/>
              </w:rPr>
              <w:t xml:space="preserve">（4）以上内容存在3处瑕疵：6分；</w:t>
            </w:r>
            <w:r/>
          </w:p>
          <w:p>
            <w:pPr>
              <w:pStyle w:val="1099"/>
              <w:spacing w:line="240" w:lineRule="auto"/>
              <w:rPr>
                <w:rFonts w:hint="eastAsia"/>
                <w:sz w:val="24"/>
                <w:szCs w:val="24"/>
                <w:highlight w:val="none"/>
              </w:rPr>
            </w:pPr>
            <w:r>
              <w:rPr>
                <w:rFonts w:hint="eastAsia"/>
                <w:sz w:val="24"/>
                <w:szCs w:val="24"/>
                <w:highlight w:val="none"/>
              </w:rPr>
              <w:t xml:space="preserve">（5）以上内容存在4处瑕疵：4分；</w:t>
            </w:r>
            <w:r/>
          </w:p>
          <w:p>
            <w:pPr>
              <w:pStyle w:val="1099"/>
              <w:spacing w:line="240" w:lineRule="auto"/>
              <w:rPr>
                <w:rFonts w:hint="eastAsia"/>
                <w:sz w:val="24"/>
                <w:szCs w:val="24"/>
                <w:highlight w:val="none"/>
              </w:rPr>
            </w:pPr>
            <w:r>
              <w:rPr>
                <w:rFonts w:hint="eastAsia"/>
                <w:sz w:val="24"/>
                <w:szCs w:val="24"/>
                <w:highlight w:val="none"/>
              </w:rPr>
              <w:t xml:space="preserve">（6）以上内容存在5处瑕疵：2分；</w:t>
            </w:r>
            <w:r/>
          </w:p>
          <w:p>
            <w:pPr>
              <w:pStyle w:val="1099"/>
              <w:spacing w:line="240" w:lineRule="auto"/>
              <w:rPr>
                <w:rFonts w:hint="eastAsia"/>
                <w:sz w:val="24"/>
                <w:szCs w:val="24"/>
                <w:highlight w:val="none"/>
              </w:rPr>
            </w:pPr>
            <w:r>
              <w:rPr>
                <w:rFonts w:hint="eastAsia"/>
                <w:sz w:val="24"/>
                <w:szCs w:val="24"/>
                <w:highlight w:val="none"/>
              </w:rPr>
              <w:t xml:space="preserve">（7）未提供方案或不满足施工要求或内容存在6处及以上瑕疵:0分。</w:t>
            </w:r>
            <w:r/>
          </w:p>
          <w:p>
            <w:pPr>
              <w:spacing w:line="240" w:lineRule="auto"/>
              <w:rPr>
                <w:rFonts w:hint="eastAsia" w:ascii="宋体" w:hAnsi="宋体" w:cs="宋体"/>
                <w:sz w:val="24"/>
                <w:szCs w:val="24"/>
                <w:highlight w:val="none"/>
              </w:rPr>
            </w:pPr>
            <w:r>
              <w:rPr>
                <w:rFonts w:hint="eastAsia"/>
                <w:sz w:val="24"/>
                <w:szCs w:val="24"/>
                <w:highlight w:val="none"/>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10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关键施工技术、工艺及工程项目实施的重点、难点和解决方案</w:t>
            </w:r>
            <w:r/>
          </w:p>
          <w:p>
            <w:pPr>
              <w:pStyle w:val="1106"/>
              <w:jc w:val="center"/>
              <w:rPr>
                <w:rFonts w:hint="eastAsia" w:ascii="宋体" w:hAnsi="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根据供应商提供的关键施工技术、工艺及工程项目实施的重点、难点和解决方案等方面进行总体评价。</w:t>
            </w:r>
            <w:r/>
          </w:p>
          <w:p>
            <w:pPr>
              <w:pStyle w:val="1099"/>
              <w:spacing w:line="240" w:lineRule="auto"/>
              <w:rPr>
                <w:rFonts w:hint="eastAsia"/>
                <w:sz w:val="24"/>
                <w:szCs w:val="24"/>
                <w:highlight w:val="none"/>
              </w:rPr>
            </w:pPr>
            <w:r>
              <w:rPr>
                <w:rFonts w:hint="eastAsia"/>
                <w:sz w:val="24"/>
                <w:szCs w:val="24"/>
                <w:highlight w:val="none"/>
              </w:rPr>
              <w:t xml:space="preserve">（1）以上内容不存在瑕疵：12分；</w:t>
            </w:r>
            <w:r/>
          </w:p>
          <w:p>
            <w:pPr>
              <w:pStyle w:val="1099"/>
              <w:spacing w:line="240" w:lineRule="auto"/>
              <w:rPr>
                <w:rFonts w:hint="eastAsia"/>
                <w:sz w:val="24"/>
                <w:szCs w:val="24"/>
                <w:highlight w:val="none"/>
              </w:rPr>
            </w:pPr>
            <w:r>
              <w:rPr>
                <w:rFonts w:hint="eastAsia"/>
                <w:sz w:val="24"/>
                <w:szCs w:val="24"/>
                <w:highlight w:val="none"/>
              </w:rPr>
              <w:t xml:space="preserve">（2）以上内容存在1处瑕疵：10分；</w:t>
            </w:r>
            <w:r/>
          </w:p>
          <w:p>
            <w:pPr>
              <w:pStyle w:val="1099"/>
              <w:spacing w:line="240" w:lineRule="auto"/>
              <w:rPr>
                <w:rFonts w:hint="eastAsia"/>
                <w:sz w:val="24"/>
                <w:szCs w:val="24"/>
                <w:highlight w:val="none"/>
              </w:rPr>
            </w:pPr>
            <w:r>
              <w:rPr>
                <w:rFonts w:hint="eastAsia"/>
                <w:sz w:val="24"/>
                <w:szCs w:val="24"/>
                <w:highlight w:val="none"/>
              </w:rPr>
              <w:t xml:space="preserve">（3）以上内容存在2处瑕疵：8分；</w:t>
            </w:r>
            <w:r/>
          </w:p>
          <w:p>
            <w:pPr>
              <w:pStyle w:val="1099"/>
              <w:spacing w:line="240" w:lineRule="auto"/>
              <w:rPr>
                <w:rFonts w:hint="eastAsia"/>
                <w:sz w:val="24"/>
                <w:szCs w:val="24"/>
                <w:highlight w:val="none"/>
              </w:rPr>
            </w:pPr>
            <w:r>
              <w:rPr>
                <w:rFonts w:hint="eastAsia"/>
                <w:sz w:val="24"/>
                <w:szCs w:val="24"/>
                <w:highlight w:val="none"/>
              </w:rPr>
              <w:t xml:space="preserve">（4）以上内容存在3处瑕疵：6分；</w:t>
            </w:r>
            <w:r/>
          </w:p>
          <w:p>
            <w:pPr>
              <w:pStyle w:val="1099"/>
              <w:spacing w:line="240" w:lineRule="auto"/>
              <w:rPr>
                <w:rFonts w:hint="eastAsia"/>
                <w:sz w:val="24"/>
                <w:szCs w:val="24"/>
                <w:highlight w:val="none"/>
              </w:rPr>
            </w:pPr>
            <w:r>
              <w:rPr>
                <w:rFonts w:hint="eastAsia"/>
                <w:sz w:val="24"/>
                <w:szCs w:val="24"/>
                <w:highlight w:val="none"/>
              </w:rPr>
              <w:t xml:space="preserve">（5）以上内容存在4处瑕疵：4分；</w:t>
            </w:r>
            <w:r/>
          </w:p>
          <w:p>
            <w:pPr>
              <w:pStyle w:val="1099"/>
              <w:spacing w:line="240" w:lineRule="auto"/>
              <w:rPr>
                <w:rFonts w:hint="eastAsia"/>
                <w:sz w:val="24"/>
                <w:szCs w:val="24"/>
                <w:highlight w:val="none"/>
              </w:rPr>
            </w:pPr>
            <w:r>
              <w:rPr>
                <w:rFonts w:hint="eastAsia"/>
                <w:sz w:val="24"/>
                <w:szCs w:val="24"/>
                <w:highlight w:val="none"/>
              </w:rPr>
              <w:t xml:space="preserve">（6）以上内容存在5处瑕疵：2分；</w:t>
            </w:r>
            <w:r/>
          </w:p>
          <w:p>
            <w:pPr>
              <w:pStyle w:val="1099"/>
              <w:spacing w:line="240" w:lineRule="auto"/>
              <w:rPr>
                <w:rFonts w:hint="eastAsia"/>
                <w:sz w:val="24"/>
                <w:szCs w:val="24"/>
                <w:highlight w:val="none"/>
              </w:rPr>
            </w:pPr>
            <w:r>
              <w:rPr>
                <w:rFonts w:hint="eastAsia"/>
                <w:sz w:val="24"/>
                <w:szCs w:val="24"/>
                <w:highlight w:val="none"/>
              </w:rPr>
              <w:t xml:space="preserve">（7）未提供方案或不满足施工要求或内容存在6处及以上瑕疵:0分。</w:t>
            </w:r>
            <w:r/>
          </w:p>
          <w:p>
            <w:pPr>
              <w:spacing w:line="240" w:lineRule="auto"/>
              <w:rPr>
                <w:rFonts w:hint="eastAsia" w:ascii="宋体" w:hAnsi="宋体" w:cs="宋体"/>
                <w:sz w:val="24"/>
                <w:szCs w:val="24"/>
                <w:highlight w:val="none"/>
              </w:rPr>
            </w:pPr>
            <w:r>
              <w:rPr>
                <w:rFonts w:hint="eastAsia"/>
                <w:sz w:val="24"/>
                <w:szCs w:val="24"/>
                <w:highlight w:val="none"/>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1099"/>
              <w:spacing w:line="240" w:lineRule="auto"/>
              <w:rPr>
                <w:rFonts w:hint="eastAsia" w:ascii="宋体" w:hAnsi="宋体"/>
                <w:sz w:val="24"/>
                <w:szCs w:val="24"/>
                <w:highlight w:val="none"/>
              </w:rPr>
            </w:pPr>
            <w:r>
              <w:rPr>
                <w:rFonts w:hint="eastAsia" w:ascii="宋体" w:hAnsi="宋体"/>
                <w:sz w:val="24"/>
                <w:szCs w:val="24"/>
                <w:highlight w:val="none"/>
              </w:rPr>
              <w:t xml:space="preserve">安全文明施工方案（12分）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根据供应商提供的安全文明施工方案中安全生产管理措施、文明施工管理措施、环境保护措施等方面进行总体评价。</w:t>
            </w:r>
            <w:r/>
          </w:p>
          <w:p>
            <w:pPr>
              <w:pStyle w:val="1099"/>
              <w:spacing w:line="240" w:lineRule="auto"/>
              <w:rPr>
                <w:rFonts w:hint="eastAsia"/>
                <w:sz w:val="24"/>
                <w:szCs w:val="24"/>
                <w:highlight w:val="none"/>
              </w:rPr>
            </w:pPr>
            <w:r>
              <w:rPr>
                <w:rFonts w:hint="eastAsia"/>
                <w:sz w:val="24"/>
                <w:szCs w:val="24"/>
                <w:highlight w:val="none"/>
              </w:rPr>
              <w:t xml:space="preserve">（1）以上内容不存在瑕疵：12分；</w:t>
            </w:r>
            <w:r/>
          </w:p>
          <w:p>
            <w:pPr>
              <w:pStyle w:val="1099"/>
              <w:spacing w:line="240" w:lineRule="auto"/>
              <w:rPr>
                <w:rFonts w:hint="eastAsia"/>
                <w:sz w:val="24"/>
                <w:szCs w:val="24"/>
                <w:highlight w:val="none"/>
              </w:rPr>
            </w:pPr>
            <w:r>
              <w:rPr>
                <w:rFonts w:hint="eastAsia"/>
                <w:sz w:val="24"/>
                <w:szCs w:val="24"/>
                <w:highlight w:val="none"/>
              </w:rPr>
              <w:t xml:space="preserve">（2）以上内容存在1处瑕疵：10分；</w:t>
            </w:r>
            <w:r/>
          </w:p>
          <w:p>
            <w:pPr>
              <w:pStyle w:val="1099"/>
              <w:spacing w:line="240" w:lineRule="auto"/>
              <w:rPr>
                <w:rFonts w:hint="eastAsia"/>
                <w:sz w:val="24"/>
                <w:szCs w:val="24"/>
                <w:highlight w:val="none"/>
              </w:rPr>
            </w:pPr>
            <w:r>
              <w:rPr>
                <w:rFonts w:hint="eastAsia"/>
                <w:sz w:val="24"/>
                <w:szCs w:val="24"/>
                <w:highlight w:val="none"/>
              </w:rPr>
              <w:t xml:space="preserve">（3）以上内容存在2处瑕疵：8分；</w:t>
            </w:r>
            <w:r/>
          </w:p>
          <w:p>
            <w:pPr>
              <w:pStyle w:val="1099"/>
              <w:spacing w:line="240" w:lineRule="auto"/>
              <w:rPr>
                <w:rFonts w:hint="eastAsia"/>
                <w:sz w:val="24"/>
                <w:szCs w:val="24"/>
                <w:highlight w:val="none"/>
              </w:rPr>
            </w:pPr>
            <w:r>
              <w:rPr>
                <w:rFonts w:hint="eastAsia"/>
                <w:sz w:val="24"/>
                <w:szCs w:val="24"/>
                <w:highlight w:val="none"/>
              </w:rPr>
              <w:t xml:space="preserve">（4）以上内容存在3处瑕疵：6分；</w:t>
            </w:r>
            <w:r/>
          </w:p>
          <w:p>
            <w:pPr>
              <w:pStyle w:val="1099"/>
              <w:spacing w:line="240" w:lineRule="auto"/>
              <w:rPr>
                <w:rFonts w:hint="eastAsia"/>
                <w:sz w:val="24"/>
                <w:szCs w:val="24"/>
                <w:highlight w:val="none"/>
              </w:rPr>
            </w:pPr>
            <w:r>
              <w:rPr>
                <w:rFonts w:hint="eastAsia"/>
                <w:sz w:val="24"/>
                <w:szCs w:val="24"/>
                <w:highlight w:val="none"/>
              </w:rPr>
              <w:t xml:space="preserve">（5）以上内容存在4处瑕疵：4分；</w:t>
            </w:r>
            <w:r/>
          </w:p>
          <w:p>
            <w:pPr>
              <w:pStyle w:val="1099"/>
              <w:spacing w:line="240" w:lineRule="auto"/>
              <w:rPr>
                <w:rFonts w:hint="eastAsia"/>
                <w:sz w:val="24"/>
                <w:szCs w:val="24"/>
                <w:highlight w:val="none"/>
              </w:rPr>
            </w:pPr>
            <w:r>
              <w:rPr>
                <w:rFonts w:hint="eastAsia"/>
                <w:sz w:val="24"/>
                <w:szCs w:val="24"/>
                <w:highlight w:val="none"/>
              </w:rPr>
              <w:t xml:space="preserve">（6）以上内容存在5处瑕疵：2分；</w:t>
            </w:r>
            <w:r/>
          </w:p>
          <w:p>
            <w:pPr>
              <w:pStyle w:val="1099"/>
              <w:spacing w:line="240" w:lineRule="auto"/>
              <w:rPr>
                <w:rFonts w:hint="eastAsia"/>
                <w:sz w:val="24"/>
                <w:szCs w:val="24"/>
                <w:highlight w:val="none"/>
              </w:rPr>
            </w:pPr>
            <w:r>
              <w:rPr>
                <w:rFonts w:hint="eastAsia"/>
                <w:sz w:val="24"/>
                <w:szCs w:val="24"/>
                <w:highlight w:val="none"/>
              </w:rPr>
              <w:t xml:space="preserve">（7）未提供方案或不满足施工要求或内容存在6处及以上瑕疵:0分。</w:t>
            </w:r>
            <w:r/>
          </w:p>
          <w:p>
            <w:pPr>
              <w:spacing w:line="240" w:lineRule="auto"/>
              <w:rPr>
                <w:rFonts w:hint="eastAsia" w:ascii="宋体" w:hAnsi="宋体" w:cs="宋体"/>
                <w:sz w:val="24"/>
                <w:szCs w:val="24"/>
                <w:highlight w:val="none"/>
                <w:lang w:val="en-US" w:eastAsia="zh-CN"/>
              </w:rPr>
            </w:pPr>
            <w:r>
              <w:rPr>
                <w:rFonts w:hint="eastAsia"/>
                <w:sz w:val="24"/>
                <w:szCs w:val="24"/>
                <w:highlight w:val="none"/>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left"/>
              <w:spacing w:line="240" w:lineRule="auto"/>
              <w:widowControl/>
              <w:rPr>
                <w:rFonts w:hint="eastAsia" w:ascii="宋体"/>
                <w:sz w:val="24"/>
                <w:szCs w:val="24"/>
                <w:highlight w:val="none"/>
              </w:rPr>
            </w:pPr>
            <w:r>
              <w:rPr>
                <w:rFonts w:hint="eastAsia" w:ascii="宋体"/>
                <w:sz w:val="24"/>
                <w:szCs w:val="24"/>
                <w:highlight w:val="none"/>
              </w:rPr>
              <w:t xml:space="preserve">后期维保方案及措施</w:t>
            </w:r>
            <w:r/>
          </w:p>
          <w:p>
            <w:pPr>
              <w:pStyle w:val="1063"/>
              <w:ind w:left="0" w:right="6" w:firstLine="0"/>
              <w:rPr>
                <w:rFonts w:ascii="宋体" w:hAnsi="宋体"/>
                <w:sz w:val="24"/>
                <w:szCs w:val="24"/>
                <w:highlight w:val="none"/>
              </w:rPr>
            </w:pPr>
            <w:r>
              <w:rPr>
                <w:rFonts w:hint="eastAsia" w:ascii="宋体"/>
                <w:sz w:val="24"/>
                <w:szCs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spacing w:line="320" w:lineRule="exact"/>
              <w:widowControl/>
              <w:rPr>
                <w:rFonts w:hint="eastAsia" w:hAnsi="宋体"/>
                <w:color w:val="auto"/>
                <w:sz w:val="24"/>
                <w:szCs w:val="24"/>
                <w:highlight w:val="none"/>
              </w:rPr>
            </w:pPr>
            <w:r>
              <w:rPr>
                <w:rFonts w:hint="eastAsia" w:hAnsi="宋体"/>
                <w:color w:val="auto"/>
                <w:sz w:val="24"/>
                <w:szCs w:val="24"/>
                <w:highlight w:val="none"/>
              </w:rPr>
              <w:t xml:space="preserve">根据供应商提供的后期维保方案及措施等方面进行总体评价。</w:t>
            </w:r>
            <w:r/>
          </w:p>
          <w:p>
            <w:pPr>
              <w:spacing w:line="320" w:lineRule="exact"/>
              <w:widowControl/>
              <w:rPr>
                <w:rFonts w:hint="eastAsia" w:ascii="宋体" w:hAnsi="宋体"/>
                <w:sz w:val="24"/>
                <w:szCs w:val="24"/>
                <w:highlight w:val="none"/>
              </w:rPr>
            </w:pPr>
            <w:r>
              <w:rPr>
                <w:rFonts w:hint="eastAsia" w:ascii="宋体" w:hAnsi="宋体"/>
                <w:sz w:val="24"/>
                <w:szCs w:val="24"/>
                <w:highlight w:val="none"/>
              </w:rPr>
              <w:t xml:space="preserve">（1）以上内容不存在瑕疵:10分；</w:t>
            </w:r>
            <w:r/>
          </w:p>
          <w:p>
            <w:pPr>
              <w:spacing w:line="320" w:lineRule="exact"/>
              <w:widowControl/>
              <w:rPr>
                <w:rFonts w:hint="eastAsia" w:ascii="宋体" w:hAnsi="宋体"/>
                <w:sz w:val="24"/>
                <w:szCs w:val="24"/>
                <w:highlight w:val="none"/>
              </w:rPr>
            </w:pPr>
            <w:r>
              <w:rPr>
                <w:rFonts w:hint="eastAsia" w:ascii="宋体" w:hAnsi="宋体"/>
                <w:sz w:val="24"/>
                <w:szCs w:val="24"/>
                <w:highlight w:val="none"/>
              </w:rPr>
              <w:t xml:space="preserve">（2）以上内容存在1处瑕疵:8分；</w:t>
            </w:r>
            <w:r/>
          </w:p>
          <w:p>
            <w:pPr>
              <w:spacing w:line="320" w:lineRule="exact"/>
              <w:widowControl/>
              <w:rPr>
                <w:rFonts w:hint="eastAsia" w:ascii="宋体" w:hAnsi="宋体"/>
                <w:sz w:val="24"/>
                <w:szCs w:val="24"/>
                <w:highlight w:val="none"/>
              </w:rPr>
            </w:pPr>
            <w:r>
              <w:rPr>
                <w:rFonts w:hint="eastAsia" w:ascii="宋体" w:hAnsi="宋体"/>
                <w:sz w:val="24"/>
                <w:szCs w:val="24"/>
                <w:highlight w:val="none"/>
              </w:rPr>
              <w:t xml:space="preserve">（3）以上内容存在2处瑕疵：6分；</w:t>
            </w:r>
            <w:r/>
          </w:p>
          <w:p>
            <w:pPr>
              <w:spacing w:line="320" w:lineRule="exact"/>
              <w:widowControl/>
              <w:rPr>
                <w:rFonts w:hint="eastAsia" w:ascii="宋体" w:hAnsi="宋体"/>
                <w:sz w:val="24"/>
                <w:szCs w:val="24"/>
                <w:highlight w:val="none"/>
              </w:rPr>
            </w:pPr>
            <w:r>
              <w:rPr>
                <w:rFonts w:hint="eastAsia" w:ascii="宋体" w:hAnsi="宋体"/>
                <w:sz w:val="24"/>
                <w:szCs w:val="24"/>
                <w:highlight w:val="none"/>
              </w:rPr>
              <w:t xml:space="preserve">（4）以上内容存在3处瑕疵：4分；</w:t>
            </w:r>
            <w:r/>
          </w:p>
          <w:p>
            <w:pPr>
              <w:spacing w:line="320" w:lineRule="exact"/>
              <w:widowControl/>
              <w:rPr>
                <w:rFonts w:hint="eastAsia" w:ascii="宋体" w:hAnsi="宋体"/>
                <w:sz w:val="24"/>
                <w:szCs w:val="24"/>
                <w:highlight w:val="none"/>
              </w:rPr>
            </w:pPr>
            <w:r>
              <w:rPr>
                <w:rFonts w:hint="eastAsia" w:ascii="宋体" w:hAnsi="宋体"/>
                <w:sz w:val="24"/>
                <w:szCs w:val="24"/>
                <w:highlight w:val="none"/>
              </w:rPr>
              <w:t xml:space="preserve">（5）以上内容存在4处瑕疵：2分；</w:t>
            </w:r>
            <w:r/>
          </w:p>
          <w:p>
            <w:pPr>
              <w:spacing w:line="320" w:lineRule="exact"/>
              <w:widowControl/>
              <w:rPr>
                <w:rFonts w:hint="eastAsia" w:ascii="宋体" w:hAnsi="宋体"/>
                <w:sz w:val="24"/>
                <w:szCs w:val="24"/>
                <w:highlight w:val="none"/>
              </w:rPr>
            </w:pPr>
            <w:r>
              <w:rPr>
                <w:rFonts w:hint="eastAsia" w:ascii="宋体" w:hAnsi="宋体"/>
                <w:sz w:val="24"/>
                <w:szCs w:val="24"/>
                <w:highlight w:val="none"/>
              </w:rPr>
              <w:t xml:space="preserve">（6）未提供方案或不满足施工要求或内容存在5处及以上瑕疵:0分。</w:t>
            </w:r>
            <w:r/>
          </w:p>
          <w:p>
            <w:pPr>
              <w:spacing w:line="320" w:lineRule="exact"/>
              <w:widowControl/>
              <w:rPr>
                <w:rFonts w:ascii="宋体" w:hAnsi="宋体"/>
                <w:sz w:val="24"/>
                <w:szCs w:val="24"/>
                <w:highlight w:val="none"/>
              </w:rPr>
            </w:pPr>
            <w:r>
              <w:rPr>
                <w:rFonts w:hint="eastAsia" w:ascii="宋体" w:hAnsi="宋体"/>
                <w:sz w:val="24"/>
                <w:szCs w:val="24"/>
                <w:highlight w:val="none"/>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1121"/>
        <w:rPr>
          <w:rFonts w:hint="eastAsia" w:ascii="宋体" w:hAnsi="宋体" w:eastAsia="宋体" w:cs="宋体"/>
          <w:color w:val="auto"/>
          <w:sz w:val="24"/>
          <w:szCs w:val="22"/>
        </w:rPr>
      </w:pPr>
      <w:r>
        <w:rPr>
          <w:rFonts w:hint="eastAsia" w:ascii="宋体" w:hAnsi="宋体" w:eastAsia="宋体" w:cs="宋体"/>
          <w:color w:val="auto"/>
          <w:sz w:val="24"/>
          <w:szCs w:val="22"/>
        </w:rPr>
        <w:t xml:space="preserve">本章说明：本项目采用综合评分法。</w:t>
      </w:r>
      <w:r/>
    </w:p>
    <w:p>
      <w:pPr>
        <w:pStyle w:val="1063"/>
        <w:ind w:left="0" w:firstLine="0"/>
        <w:rPr>
          <w:rFonts w:hint="eastAsia" w:ascii="宋体" w:hAnsi="宋体" w:eastAsia="宋体" w:cs="宋体"/>
          <w:color w:val="auto"/>
          <w:sz w:val="24"/>
          <w:szCs w:val="22"/>
        </w:rPr>
        <w:sectPr>
          <w:headerReference w:type="default" r:id="rId9"/>
          <w:footerReference w:type="default" r:id="rId17"/>
          <w:footnotePr/>
          <w:endnotePr/>
          <w:type w:val="nextPage"/>
          <w:pgSz w:w="11907" w:h="16839" w:orient="portrait"/>
          <w:pgMar w:top="1440" w:right="1800" w:bottom="1440" w:left="1800" w:header="1286" w:footer="996" w:gutter="0"/>
          <w:pgNumType w:start="1"/>
          <w:cols w:num="1" w:sep="0" w:space="720" w:equalWidth="1"/>
          <w:docGrid w:linePitch="360"/>
        </w:sectPr>
      </w:pPr>
      <w:r>
        <w:rPr>
          <w:rFonts w:hint="eastAsia" w:ascii="宋体" w:hAnsi="宋体" w:eastAsia="宋体" w:cs="宋体"/>
          <w:color w:val="auto"/>
          <w:sz w:val="24"/>
          <w:szCs w:val="22"/>
        </w:rPr>
        <w:t xml:space="preserve">（供应商技术部分得分取所有评委的平均值，保留小数点后二位）</w:t>
      </w:r>
      <w:r/>
    </w:p>
    <w:p>
      <w:pPr>
        <w:pStyle w:val="1106"/>
        <w:numPr>
          <w:ilvl w:val="0"/>
          <w:numId w:val="0"/>
        </w:numPr>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val="en-US" w:eastAsia="zh-CN"/>
        </w:rPr>
        <w:t xml:space="preserve">2、项目要求（采购需求）</w:t>
      </w:r>
      <w:r/>
    </w:p>
    <w:p>
      <w:pPr>
        <w:pStyle w:val="1114"/>
        <w:keepLines w:val="0"/>
        <w:keepNext w:val="0"/>
        <w:pageBreakBefore w:val="0"/>
        <w:spacing w:line="440" w:lineRule="exact"/>
        <w:rPr>
          <w:rFonts w:ascii="宋体" w:hAnsi="宋体"/>
          <w:b/>
          <w:color w:val="000000"/>
          <w:sz w:val="24"/>
          <w:highlight w:val="none"/>
        </w:rPr>
        <w:outlineLvl w:val="9"/>
      </w:pPr>
      <w:r>
        <w:rPr>
          <w:rFonts w:ascii="宋体" w:hAnsi="宋体"/>
          <w:b/>
          <w:color w:val="000000"/>
          <w:sz w:val="24"/>
          <w:highlight w:val="none"/>
        </w:rPr>
        <w:t xml:space="preserve">一、采购预算</w:t>
      </w:r>
      <w:r/>
    </w:p>
    <w:p>
      <w:pPr>
        <w:pStyle w:val="1114"/>
        <w:ind w:firstLine="480"/>
        <w:keepLines w:val="0"/>
        <w:keepNext w:val="0"/>
        <w:pageBreakBefore w:val="0"/>
        <w:spacing w:line="440" w:lineRule="exact"/>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本项目不接受超过总价</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cs="Times New Roman"/>
          <w:b w:val="0"/>
          <w:bCs w:val="0"/>
          <w:color w:val="auto"/>
          <w:sz w:val="24"/>
          <w:szCs w:val="24"/>
          <w:highlight w:val="none"/>
          <w:u w:val="single"/>
          <w:lang w:val="en-US" w:eastAsia="zh-CN" w:bidi="ar-SA"/>
        </w:rPr>
        <w:t xml:space="preserve">378</w:t>
      </w:r>
      <w:r>
        <w:rPr>
          <w:rFonts w:hint="eastAsia" w:ascii="宋体" w:hAnsi="宋体" w:cs="Times New Roman"/>
          <w:b w:val="0"/>
          <w:bCs w:val="0"/>
          <w:color w:val="auto"/>
          <w:sz w:val="24"/>
          <w:szCs w:val="24"/>
          <w:highlight w:val="none"/>
          <w:u w:val="none"/>
          <w:lang w:val="en-US" w:eastAsia="zh-CN" w:bidi="ar-SA"/>
        </w:rPr>
        <w:t xml:space="preserve">万</w:t>
      </w:r>
      <w:r>
        <w:rPr>
          <w:rFonts w:hint="eastAsia" w:ascii="宋体" w:hAnsi="宋体" w:eastAsia="宋体" w:cs="Times New Roman"/>
          <w:b w:val="0"/>
          <w:bCs w:val="0"/>
          <w:color w:val="000000"/>
          <w:sz w:val="24"/>
          <w:szCs w:val="24"/>
          <w:highlight w:val="none"/>
          <w:u w:val="none"/>
          <w:lang w:val="en-US" w:eastAsia="zh-CN" w:bidi="ar-SA"/>
        </w:rPr>
        <w:t xml:space="preserve">元</w:t>
      </w:r>
      <w:r>
        <w:rPr>
          <w:rFonts w:hint="eastAsia" w:ascii="宋体" w:hAnsi="宋体" w:eastAsia="宋体" w:cs="Times New Roman"/>
          <w:color w:val="000000"/>
          <w:sz w:val="24"/>
          <w:szCs w:val="24"/>
          <w:highlight w:val="none"/>
          <w:lang w:val="en-US" w:eastAsia="zh-CN" w:bidi="ar-SA"/>
        </w:rPr>
        <w:t xml:space="preserve">人民币（最高限价）的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1114"/>
        <w:keepLines w:val="0"/>
        <w:keepNext w:val="0"/>
        <w:pageBreakBefore w:val="0"/>
        <w:spacing w:line="440" w:lineRule="exact"/>
        <w:rPr>
          <w:rFonts w:ascii="宋体" w:hAnsi="宋体"/>
          <w:b/>
          <w:color w:val="000000"/>
          <w:sz w:val="24"/>
          <w:highlight w:val="none"/>
        </w:rPr>
        <w:outlineLvl w:val="9"/>
      </w:pPr>
      <w:r>
        <w:rPr>
          <w:rFonts w:ascii="宋体" w:hAnsi="宋体"/>
          <w:b/>
          <w:color w:val="000000"/>
          <w:sz w:val="24"/>
          <w:highlight w:val="none"/>
        </w:rPr>
        <w:t xml:space="preserve">二、项目概况：</w:t>
      </w:r>
      <w:r/>
    </w:p>
    <w:p>
      <w:pPr>
        <w:pStyle w:val="1114"/>
        <w:ind w:firstLine="480"/>
        <w:keepLines w:val="0"/>
        <w:keepNext w:val="0"/>
        <w:pageBreakBefore w:val="0"/>
        <w:spacing w:line="440" w:lineRule="exact"/>
        <w:rPr>
          <w:rFonts w:ascii="宋体" w:hAnsi="宋体"/>
          <w:color w:val="000000"/>
          <w:sz w:val="24"/>
          <w:highlight w:val="none"/>
        </w:rPr>
        <w:outlineLvl w:val="9"/>
      </w:pPr>
      <w:r>
        <w:rPr>
          <w:rFonts w:ascii="宋体" w:hAnsi="宋体"/>
          <w:bCs/>
          <w:color w:val="000000"/>
          <w:sz w:val="24"/>
          <w:highlight w:val="none"/>
        </w:rPr>
        <w:t xml:space="preserve">1、项目名称：</w:t>
      </w:r>
      <w:r>
        <w:rPr>
          <w:rFonts w:hint="eastAsia" w:ascii="宋体" w:hAnsi="宋体"/>
          <w:bCs/>
          <w:color w:val="000000"/>
          <w:sz w:val="24"/>
          <w:highlight w:val="none"/>
          <w:lang w:eastAsia="zh-CN"/>
        </w:rPr>
        <w:t xml:space="preserve">新沂市马陵山镇东北片区管网提升工程</w:t>
      </w:r>
      <w:r/>
    </w:p>
    <w:p>
      <w:pPr>
        <w:pStyle w:val="1300"/>
        <w:ind w:firstLine="480"/>
        <w:keepLines w:val="0"/>
        <w:keepNext w:val="0"/>
        <w:pageBreakBefore w:val="0"/>
        <w:spacing w:line="440" w:lineRule="exact"/>
        <w:rPr>
          <w:rFonts w:hAnsi="宋体"/>
          <w:color w:val="000000"/>
          <w:highlight w:val="none"/>
        </w:rPr>
        <w:outlineLvl w:val="9"/>
      </w:pPr>
      <w:r>
        <w:rPr>
          <w:rFonts w:hAnsi="宋体"/>
          <w:color w:val="000000"/>
          <w:highlight w:val="none"/>
        </w:rPr>
        <w:t xml:space="preserve">2、本项目主要内容：</w:t>
      </w:r>
      <w:r>
        <w:rPr>
          <w:rFonts w:hint="eastAsia" w:hAnsi="宋体"/>
          <w:color w:val="000000"/>
          <w:highlight w:val="none"/>
        </w:rPr>
        <w:t xml:space="preserve">为切实改善马陵山镇区人居环境，提升生活污水治理覆盖率，</w:t>
      </w:r>
      <w:r>
        <w:rPr>
          <w:rFonts w:hint="eastAsia"/>
          <w:color w:val="000000"/>
          <w:highlight w:val="none"/>
          <w:lang w:eastAsia="zh-CN"/>
        </w:rPr>
        <w:t xml:space="preserve">新沂市马陵山镇东北片区管网提升工程</w:t>
      </w:r>
      <w:r>
        <w:rPr>
          <w:rFonts w:hint="eastAsia" w:hAnsi="宋体"/>
          <w:color w:val="000000"/>
          <w:highlight w:val="none"/>
        </w:rPr>
        <w:t xml:space="preserve">，重点解决外水进入、检查井缺失、管道淤堵等突出问题</w:t>
      </w:r>
      <w:r>
        <w:rPr>
          <w:rFonts w:hint="eastAsia"/>
          <w:color w:val="000000"/>
          <w:highlight w:val="none"/>
          <w:lang w:eastAsia="zh-CN"/>
        </w:rPr>
        <w:t xml:space="preserve">，详见工程量清单所含全部内容</w:t>
      </w:r>
      <w:r>
        <w:rPr>
          <w:rFonts w:hAnsi="宋体"/>
          <w:color w:val="auto"/>
          <w:highlight w:val="none"/>
        </w:rPr>
        <w:t xml:space="preserve">。</w:t>
      </w:r>
      <w:r/>
    </w:p>
    <w:p>
      <w:pPr>
        <w:pStyle w:val="1300"/>
        <w:keepLines w:val="0"/>
        <w:keepNext w:val="0"/>
        <w:pageBreakBefore w:val="0"/>
        <w:spacing w:line="440" w:lineRule="exact"/>
        <w:rPr>
          <w:rFonts w:hint="default" w:hAnsi="宋体" w:eastAsia="宋体"/>
          <w:color w:val="000000"/>
          <w:highlight w:val="none"/>
          <w:lang w:val="en-US" w:eastAsia="zh-CN"/>
        </w:rPr>
        <w:outlineLvl w:val="9"/>
      </w:pPr>
      <w:r>
        <w:rPr>
          <w:rFonts w:hint="eastAsia" w:hAnsi="宋体"/>
          <w:color w:val="000000"/>
          <w:highlight w:val="none"/>
          <w:lang w:val="en-US" w:eastAsia="zh-CN"/>
        </w:rPr>
        <w:t xml:space="preserve">    3、工程地点：新沂市马陵山镇</w:t>
      </w:r>
      <w:r/>
    </w:p>
    <w:p>
      <w:pPr>
        <w:pStyle w:val="1300"/>
        <w:ind w:firstLine="480"/>
        <w:keepLines w:val="0"/>
        <w:keepNext w:val="0"/>
        <w:pageBreakBefore w:val="0"/>
        <w:spacing w:line="440" w:lineRule="exact"/>
        <w:rPr>
          <w:rFonts w:hAnsi="宋体"/>
          <w:bCs/>
          <w:color w:val="000000"/>
          <w:highlight w:val="none"/>
        </w:rPr>
        <w:outlineLvl w:val="9"/>
      </w:pPr>
      <w:r>
        <w:rPr>
          <w:rFonts w:hint="eastAsia" w:hAnsi="宋体"/>
          <w:color w:val="000000"/>
          <w:highlight w:val="none"/>
          <w:lang w:val="en-US" w:eastAsia="zh-CN"/>
        </w:rPr>
        <w:t xml:space="preserve">4</w:t>
      </w:r>
      <w:r>
        <w:rPr>
          <w:rFonts w:hAnsi="宋体"/>
          <w:color w:val="000000"/>
          <w:highlight w:val="none"/>
        </w:rPr>
        <w:t xml:space="preserve">、工 期：</w:t>
      </w:r>
      <w:r>
        <w:rPr>
          <w:rFonts w:hint="eastAsia" w:ascii="宋体" w:hAnsi="宋体" w:eastAsia="宋体" w:cs="Times New Roman"/>
          <w:color w:val="000000"/>
          <w:sz w:val="24"/>
          <w:szCs w:val="24"/>
          <w:highlight w:val="none"/>
          <w:u w:val="single"/>
          <w:lang w:val="en-US" w:eastAsia="zh-CN" w:bidi="ar-SA"/>
        </w:rPr>
        <w:t xml:space="preserve"> </w:t>
      </w:r>
      <w:r>
        <w:rPr>
          <w:rFonts w:hint="eastAsia" w:cs="Times New Roman"/>
          <w:color w:val="000000"/>
          <w:sz w:val="24"/>
          <w:szCs w:val="24"/>
          <w:highlight w:val="none"/>
          <w:u w:val="single"/>
          <w:lang w:val="en-US" w:eastAsia="zh-CN" w:bidi="ar-SA"/>
        </w:rPr>
        <w:t xml:space="preserve">90 </w:t>
      </w:r>
      <w:r>
        <w:rPr>
          <w:rFonts w:hint="eastAsia" w:ascii="宋体" w:hAnsi="宋体" w:eastAsia="宋体" w:cs="Times New Roman"/>
          <w:color w:val="000000"/>
          <w:sz w:val="24"/>
          <w:szCs w:val="24"/>
          <w:highlight w:val="none"/>
          <w:lang w:val="en-US" w:eastAsia="zh-CN" w:bidi="ar-SA"/>
        </w:rPr>
        <w:t xml:space="preserve">日历天</w:t>
      </w:r>
      <w:r>
        <w:rPr>
          <w:rFonts w:hAnsi="宋体"/>
          <w:color w:val="000000"/>
          <w:highlight w:val="none"/>
        </w:rPr>
        <w:t xml:space="preserve">。</w:t>
      </w:r>
      <w:r>
        <w:rPr>
          <w:rFonts w:hAnsi="宋体"/>
          <w:bCs/>
          <w:color w:val="000000"/>
          <w:highlight w:val="none"/>
        </w:rPr>
        <w:t xml:space="preserve">    </w:t>
      </w:r>
      <w:r/>
    </w:p>
    <w:p>
      <w:pPr>
        <w:pStyle w:val="1114"/>
        <w:ind w:firstLine="480"/>
        <w:keepLines w:val="0"/>
        <w:keepNext w:val="0"/>
        <w:pageBreakBefore w:val="0"/>
        <w:spacing w:line="440" w:lineRule="exact"/>
        <w:rPr>
          <w:rFonts w:hint="eastAsia" w:ascii="宋体" w:hAnsi="宋体" w:eastAsia="宋体"/>
          <w:color w:val="000000"/>
          <w:sz w:val="24"/>
          <w:highlight w:val="none"/>
          <w:lang w:val="en-US" w:eastAsia="zh-CN"/>
        </w:rPr>
        <w:outlineLvl w:val="9"/>
      </w:pP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质量标准：合格</w:t>
      </w:r>
      <w:r>
        <w:rPr>
          <w:rFonts w:hint="eastAsia" w:ascii="宋体" w:hAnsi="宋体" w:eastAsia="宋体"/>
          <w:color w:val="000000"/>
          <w:sz w:val="24"/>
          <w:highlight w:val="none"/>
          <w:lang w:eastAsia="zh-CN"/>
        </w:rPr>
        <w:t xml:space="preserve">。</w:t>
      </w:r>
      <w:r>
        <w:rPr>
          <w:rFonts w:hint="eastAsia" w:ascii="宋体" w:hAnsi="宋体" w:eastAsia="宋体" w:cs="宋体"/>
          <w:color w:val="000000"/>
          <w:sz w:val="24"/>
          <w:highlight w:val="none"/>
        </w:rPr>
        <w:t xml:space="preserve">符合相关规范及采购人要求。</w:t>
      </w:r>
      <w:r/>
    </w:p>
    <w:p>
      <w:pPr>
        <w:pStyle w:val="1114"/>
        <w:ind w:firstLine="480"/>
        <w:keepLines w:val="0"/>
        <w:keepNext w:val="0"/>
        <w:pageBreakBefore w:val="0"/>
        <w:spacing w:line="440" w:lineRule="exact"/>
        <w:rPr>
          <w:rFonts w:ascii="宋体" w:hAnsi="宋体"/>
          <w:color w:val="000000"/>
          <w:sz w:val="24"/>
          <w:highlight w:val="none"/>
        </w:rPr>
        <w:outlineLvl w:val="9"/>
      </w:pPr>
      <w:r>
        <w:rPr>
          <w:rFonts w:hint="eastAsia" w:ascii="宋体" w:hAnsi="宋体"/>
          <w:color w:val="000000"/>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ascii="宋体" w:hAnsi="宋体"/>
          <w:color w:val="000000"/>
          <w:sz w:val="24"/>
          <w:highlight w:val="none"/>
        </w:rPr>
        <w:t xml:space="preserve">。</w:t>
      </w:r>
      <w:r/>
    </w:p>
    <w:p>
      <w:pPr>
        <w:pStyle w:val="1114"/>
        <w:ind w:firstLine="480"/>
        <w:keepLines w:val="0"/>
        <w:keepNext w:val="0"/>
        <w:pageBreakBefore w:val="0"/>
        <w:spacing w:line="440" w:lineRule="exact"/>
        <w:rPr>
          <w:rFonts w:ascii="宋体" w:hAnsi="宋体"/>
          <w:color w:val="000000"/>
          <w:sz w:val="24"/>
          <w:highlight w:val="none"/>
        </w:rPr>
        <w:outlineLvl w:val="9"/>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、承包方式：包工包料。</w:t>
      </w:r>
      <w:r/>
    </w:p>
    <w:p>
      <w:pPr>
        <w:ind w:right="0"/>
        <w:jc w:val="both"/>
        <w:keepLines w:val="0"/>
        <w:keepNext w:val="0"/>
        <w:pageBreakBefore w:val="0"/>
        <w:spacing w:after="0" w:line="440" w:lineRule="exact"/>
        <w:rPr>
          <w:rFonts w:hint="eastAsia" w:ascii="宋体" w:hAnsi="宋体" w:eastAsia="宋体" w:cs="宋体"/>
          <w:b/>
          <w:bCs/>
          <w:color w:val="auto"/>
          <w:sz w:val="24"/>
          <w:szCs w:val="16"/>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16"/>
          <w:highlight w:val="none"/>
          <w:lang w:val="en-US" w:eastAsia="zh-CN"/>
        </w:rPr>
        <w:t xml:space="preserve">三、报价要求</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1、响应报价内容</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1.1响应报价应包括磋商文件中所确定的招标范围内工程量清单中所含施工图项目的全部内容，以及为完成上述内容所需的全部费用，其根据为供应商提交的已标价的工程量清单及附表。</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1.2供应商应按采购人提供的工程量清单填报价格。填写的项目编码、项目名称、项目特征、计量单位、工程量必须与采购人提供的一致。</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1.3实行工程量清单招标的工程建设项目，量的风险由发包人承担，价的风险在约定风险范围内的，由承包人承担，风险范围以外的按合同约定。</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1.6 施工组织设计所描述的技术措施所发生的费用，视为已体现在供应商报价的非实体性消耗所发生的费用中。</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1.7 供应商如勘察现场，供应商在现场勘察活动中须服从采购人指挥，不得因任何原因使采购人及其人员蒙受损失。供应商在现场勘察中所发生的人员伤亡、财产损失自行负责。</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1.9由供应商负责办理相关建设、城管、市政、安全、环保等部门的手续，施工供应商在响应报价时应考虑这样因素，费用包含在报价中，采购人不接受供应商关于此类费用的任何诉讼或索赔。</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1.10垃圾外运，运距及运输方式供应商自行考虑。</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2、报价方式</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2.2材料风险约定：</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2.2.1对于法律、法规、规章或有关政策出台导致工程税金、规费等发生变化的，应按照有关规定执行。</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3、报价的计价方法</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4、报价编制依据及要求：</w:t>
      </w:r>
      <w:r/>
    </w:p>
    <w:p>
      <w:pPr>
        <w:pStyle w:val="1291"/>
        <w:ind w:right="0" w:firstLine="480"/>
        <w:keepLines w:val="0"/>
        <w:keepNext w:val="0"/>
        <w:pageBreakBefore w:val="0"/>
        <w:spacing w:before="0" w:beforeAutospacing="0" w:after="0" w:afterAutospacing="0" w:line="440" w:lineRule="exact"/>
        <w:widowControl/>
        <w:rPr>
          <w:rFonts w:hint="default"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详见工程量清单。</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5、低于成本报价</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在评标过程中，磋商小组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投标文件应作无效投标文件处理。</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评标委员会全体成员三分之二以上认为该供应商不能合理说明或者不能提供相关证明材料的，认定该供应商以低于成本报价，其投标文件应作无效投标文件处理。持有异议的评标委员会成员可以书面方式阐述其不同意见和理由，拒绝签字且不陈述其不同意见和理由的，视为同意。</w:t>
      </w:r>
      <w:r/>
    </w:p>
    <w:p>
      <w:pPr>
        <w:pStyle w:val="1291"/>
        <w:ind w:right="0" w:firstLine="482"/>
        <w:keepLines w:val="0"/>
        <w:keepNext w:val="0"/>
        <w:pageBreakBefore w:val="0"/>
        <w:spacing w:before="0" w:beforeAutospacing="0" w:after="0" w:afterAutospacing="0" w:line="440" w:lineRule="exact"/>
        <w:widowControl/>
        <w:rPr>
          <w:rFonts w:hint="eastAsia" w:cs="宋体"/>
          <w:b/>
          <w:bCs/>
          <w:color w:val="auto"/>
          <w:sz w:val="24"/>
          <w:szCs w:val="24"/>
          <w:highlight w:val="none"/>
          <w:lang w:val="en-US" w:eastAsia="zh-CN"/>
        </w:rPr>
        <w:outlineLvl w:val="9"/>
        <w:suppressLineNumbers w:val="0"/>
      </w:pPr>
      <w:r>
        <w:rPr>
          <w:rFonts w:hint="eastAsia" w:cs="宋体"/>
          <w:b/>
          <w:bCs/>
          <w:color w:val="auto"/>
          <w:sz w:val="24"/>
          <w:szCs w:val="24"/>
          <w:highlight w:val="none"/>
          <w:lang w:val="en-US" w:eastAsia="zh-CN"/>
        </w:rPr>
        <w:t xml:space="preserve">四、项目实施要求</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1、供应商报价时需考虑完成本项目内容所涉及的人工费、材料费、机械费、税费、验收等相关的一切费用。</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4、承包人对工程建设期间扬尘治理工作负主体责任。应制定施工现场扬尘污染防治专项方案，按照承包工程范围做好扬尘污染防治措施的落实。</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5、质量要求标准：合格，通过相关部门验收。</w:t>
      </w:r>
      <w:r/>
    </w:p>
    <w:p>
      <w:pPr>
        <w:pStyle w:val="1291"/>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291"/>
        <w:ind w:right="0" w:firstLine="482"/>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bCs/>
          <w:color w:val="auto"/>
          <w:sz w:val="24"/>
          <w:szCs w:val="24"/>
          <w:highlight w:val="none"/>
          <w:lang w:val="en-US" w:eastAsia="zh-CN"/>
        </w:rPr>
        <w:t xml:space="preserve">五、其他要求：见磋商文件《拟签订的合同文本》。</w:t>
      </w:r>
      <w:r/>
    </w:p>
    <w:p>
      <w:pPr>
        <w:pStyle w:val="1106"/>
        <w:ind w:firstLine="2692"/>
        <w:pageBreakBefore/>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rPr>
        <w:t xml:space="preserve">3、磋商</w:t>
      </w:r>
      <w:r>
        <w:rPr>
          <w:rFonts w:hint="eastAsia" w:ascii="宋体" w:hAnsi="宋体" w:eastAsia="宋体" w:cs="宋体"/>
          <w:b/>
          <w:bCs/>
          <w:color w:val="auto"/>
          <w:sz w:val="36"/>
          <w:highlight w:val="none"/>
        </w:rPr>
        <w:t xml:space="preserve">报价表</w:t>
      </w:r>
      <w:r/>
    </w:p>
    <w:p>
      <w:pPr>
        <w:pStyle w:val="1106"/>
        <w:jc w:val="left"/>
        <w:keepLines w:val="0"/>
        <w:keepNext w:val="0"/>
        <w:pageBreakBefore w:val="0"/>
        <w:spacing w:line="240" w:lineRule="auto"/>
        <w:widowControl w:val="off"/>
        <w:rPr>
          <w:rStyle w:val="1315"/>
          <w:rFonts w:ascii="宋体" w:hAnsi="宋体"/>
          <w:color w:val="auto"/>
          <w:sz w:val="24"/>
          <w:highlight w:val="none"/>
        </w:rPr>
        <w:outlineLvl w:val="9"/>
      </w:pPr>
      <w:r>
        <w:rPr>
          <w:rFonts w:ascii="宋体" w:hAnsi="宋体"/>
          <w:color w:val="auto"/>
          <w:sz w:val="24"/>
          <w:highlight w:val="none"/>
        </w:rPr>
      </w:r>
      <w:r/>
    </w:p>
    <w:p>
      <w:pPr>
        <w:pStyle w:val="1106"/>
        <w:ind w:left="1200" w:hanging="120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Style w:val="1315"/>
          <w:rFonts w:ascii="宋体" w:hAnsi="宋体"/>
          <w:color w:val="auto"/>
          <w:sz w:val="24"/>
          <w:highlight w:val="none"/>
        </w:rPr>
        <w:t xml:space="preserve">项目名称：</w:t>
      </w:r>
      <w:r>
        <w:rPr>
          <w:rStyle w:val="1315"/>
          <w:rFonts w:hint="eastAsia" w:ascii="宋体" w:hAnsi="宋体"/>
          <w:color w:val="auto"/>
          <w:sz w:val="24"/>
          <w:highlight w:val="none"/>
        </w:rPr>
        <w:t xml:space="preserve">新沂市马陵山镇东北片区管网提升工程</w:t>
      </w:r>
      <w:r/>
    </w:p>
    <w:p>
      <w:pPr>
        <w:pStyle w:val="1106"/>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JSZC-320381-JSJL-C2026-0003</w:t>
      </w:r>
      <w:r/>
    </w:p>
    <w:p>
      <w:pPr>
        <w:pStyle w:val="1106"/>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110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1052"/>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23"/>
        <w:gridCol w:w="1980"/>
        <w:gridCol w:w="1903"/>
        <w:gridCol w:w="1458"/>
        <w:gridCol w:w="1458"/>
      </w:tblGrid>
      <w:tr>
        <w:trPr>
          <w:jc w:val="center"/>
          <w:trHeight w:val="1107"/>
        </w:trPr>
        <w:tc>
          <w:tcPr>
            <w:tcW w:w="1723" w:type="dxa"/>
            <w:vAlign w:val="center"/>
            <w:textDirection w:val="lrTb"/>
            <w:noWrap w:val="false"/>
          </w:tcPr>
          <w:p>
            <w:pPr>
              <w:pStyle w:val="1106"/>
              <w:jc w:val="center"/>
              <w:widowControl w:val="off"/>
              <w:rPr>
                <w:rStyle w:val="1315"/>
                <w:rFonts w:hint="eastAsia" w:ascii="宋体" w:hAnsi="宋体" w:eastAsia="宋体" w:cs="宋体"/>
                <w:color w:val="auto"/>
                <w:sz w:val="24"/>
                <w:highlight w:val="none"/>
              </w:rPr>
            </w:pPr>
            <w:r>
              <w:rPr>
                <w:rStyle w:val="1315"/>
                <w:rFonts w:hint="eastAsia" w:ascii="宋体" w:hAnsi="宋体" w:eastAsia="宋体" w:cs="宋体"/>
                <w:color w:val="auto"/>
                <w:sz w:val="24"/>
                <w:highlight w:val="none"/>
              </w:rPr>
              <w:t xml:space="preserve">项目名称</w:t>
            </w:r>
            <w:r/>
          </w:p>
        </w:tc>
        <w:tc>
          <w:tcPr>
            <w:tcW w:w="1980" w:type="dxa"/>
            <w:vAlign w:val="center"/>
            <w:textDirection w:val="lrTb"/>
            <w:noWrap w:val="false"/>
          </w:tcPr>
          <w:p>
            <w:pPr>
              <w:pStyle w:val="1106"/>
              <w:jc w:val="center"/>
              <w:widowControl w:val="off"/>
              <w:rPr>
                <w:rStyle w:val="1315"/>
                <w:rFonts w:hint="eastAsia" w:ascii="宋体" w:hAnsi="宋体" w:eastAsia="宋体" w:cs="宋体"/>
                <w:color w:val="auto"/>
                <w:sz w:val="24"/>
                <w:highlight w:val="none"/>
              </w:rPr>
            </w:pPr>
            <w:r>
              <w:rPr>
                <w:rStyle w:val="1315"/>
                <w:rFonts w:hint="eastAsia" w:ascii="宋体" w:hAnsi="宋体" w:eastAsia="宋体" w:cs="宋体"/>
                <w:color w:val="auto"/>
                <w:sz w:val="24"/>
                <w:highlight w:val="none"/>
              </w:rPr>
              <w:t xml:space="preserve">项目内容</w:t>
            </w:r>
            <w:r/>
          </w:p>
        </w:tc>
        <w:tc>
          <w:tcPr>
            <w:tcW w:w="1903" w:type="dxa"/>
            <w:vAlign w:val="center"/>
            <w:textDirection w:val="lrTb"/>
            <w:noWrap w:val="false"/>
          </w:tcPr>
          <w:p>
            <w:pPr>
              <w:pStyle w:val="1106"/>
              <w:jc w:val="center"/>
              <w:widowControl w:val="off"/>
              <w:rPr>
                <w:rStyle w:val="1315"/>
                <w:rFonts w:hint="eastAsia" w:ascii="宋体" w:hAnsi="宋体" w:eastAsia="宋体" w:cs="宋体"/>
                <w:color w:val="auto"/>
                <w:sz w:val="24"/>
                <w:highlight w:val="none"/>
              </w:rPr>
            </w:pPr>
            <w:r>
              <w:rPr>
                <w:rStyle w:val="1315"/>
                <w:rFonts w:hint="eastAsia" w:ascii="宋体" w:hAnsi="宋体" w:eastAsia="宋体" w:cs="宋体"/>
                <w:color w:val="auto"/>
                <w:sz w:val="24"/>
                <w:highlight w:val="none"/>
                <w:lang w:val="en-US" w:eastAsia="zh-CN"/>
              </w:rPr>
              <w:t xml:space="preserve">总价</w:t>
            </w:r>
            <w:r>
              <w:rPr>
                <w:rStyle w:val="1315"/>
                <w:rFonts w:hint="eastAsia" w:ascii="宋体" w:hAnsi="宋体" w:eastAsia="宋体" w:cs="宋体"/>
                <w:color w:val="auto"/>
                <w:sz w:val="24"/>
                <w:highlight w:val="none"/>
              </w:rPr>
              <w:t xml:space="preserve">（小写）</w:t>
            </w:r>
            <w:r/>
          </w:p>
        </w:tc>
        <w:tc>
          <w:tcPr>
            <w:tcW w:w="1458" w:type="dxa"/>
            <w:vAlign w:val="center"/>
            <w:textDirection w:val="lrTb"/>
            <w:noWrap w:val="false"/>
          </w:tcPr>
          <w:p>
            <w:pPr>
              <w:pStyle w:val="1106"/>
              <w:jc w:val="center"/>
              <w:widowControl w:val="off"/>
              <w:rPr>
                <w:rStyle w:val="1315"/>
                <w:rFonts w:hint="eastAsia" w:ascii="宋体" w:hAnsi="宋体" w:eastAsia="宋体" w:cs="宋体"/>
                <w:color w:val="auto"/>
                <w:sz w:val="24"/>
                <w:highlight w:val="none"/>
                <w:lang w:val="en-US" w:eastAsia="zh-CN"/>
              </w:rPr>
            </w:pPr>
            <w:r>
              <w:rPr>
                <w:rStyle w:val="1315"/>
                <w:rFonts w:hint="eastAsia" w:ascii="宋体" w:hAnsi="宋体" w:eastAsia="宋体" w:cs="宋体"/>
                <w:color w:val="auto"/>
                <w:sz w:val="24"/>
                <w:highlight w:val="none"/>
                <w:lang w:val="en-US" w:eastAsia="zh-CN"/>
              </w:rPr>
              <w:t xml:space="preserve">工期（日历天）</w:t>
            </w:r>
            <w:r/>
          </w:p>
        </w:tc>
        <w:tc>
          <w:tcPr>
            <w:tcW w:w="1458" w:type="dxa"/>
            <w:vAlign w:val="center"/>
            <w:textDirection w:val="lrTb"/>
            <w:noWrap w:val="false"/>
          </w:tcPr>
          <w:p>
            <w:pPr>
              <w:pStyle w:val="1106"/>
              <w:jc w:val="center"/>
              <w:widowControl w:val="off"/>
              <w:rPr>
                <w:rStyle w:val="1315"/>
                <w:rFonts w:hint="default" w:ascii="宋体" w:hAnsi="宋体" w:eastAsia="宋体" w:cs="宋体"/>
                <w:color w:val="auto"/>
                <w:sz w:val="24"/>
                <w:highlight w:val="none"/>
                <w:lang w:val="en-US" w:eastAsia="zh-CN"/>
              </w:rPr>
            </w:pPr>
            <w:r>
              <w:rPr>
                <w:rStyle w:val="1315"/>
                <w:rFonts w:hint="eastAsia" w:ascii="宋体" w:hAnsi="宋体" w:cs="宋体"/>
                <w:color w:val="auto"/>
                <w:sz w:val="24"/>
                <w:highlight w:val="none"/>
                <w:lang w:val="en-US" w:eastAsia="zh-CN"/>
              </w:rPr>
              <w:t xml:space="preserve">备注</w:t>
            </w:r>
            <w:r/>
          </w:p>
        </w:tc>
      </w:tr>
      <w:tr>
        <w:trPr>
          <w:jc w:val="center"/>
          <w:trHeight w:val="1096"/>
        </w:trPr>
        <w:tc>
          <w:tcPr>
            <w:tcW w:w="1723" w:type="dxa"/>
            <w:vAlign w:val="center"/>
            <w:textDirection w:val="lrTb"/>
            <w:noWrap w:val="false"/>
          </w:tcPr>
          <w:p>
            <w:pPr>
              <w:pStyle w:val="1106"/>
              <w:jc w:val="center"/>
              <w:widowControl w:val="off"/>
              <w:rPr>
                <w:rStyle w:val="1315"/>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新沂市马陵山镇东北片区管网提升工程</w:t>
            </w:r>
            <w:r/>
          </w:p>
        </w:tc>
        <w:tc>
          <w:tcPr>
            <w:tcW w:w="1980" w:type="dxa"/>
            <w:vAlign w:val="center"/>
            <w:textDirection w:val="lrTb"/>
            <w:noWrap w:val="false"/>
          </w:tcPr>
          <w:p>
            <w:pPr>
              <w:pStyle w:val="1106"/>
              <w:jc w:val="center"/>
              <w:widowControl w:val="off"/>
              <w:rPr>
                <w:rStyle w:val="1315"/>
                <w:rFonts w:hint="eastAsia" w:ascii="宋体" w:hAnsi="宋体" w:eastAsia="宋体" w:cs="宋体"/>
                <w:color w:val="auto"/>
                <w:sz w:val="24"/>
                <w:highlight w:val="none"/>
              </w:rPr>
            </w:pPr>
            <w:r>
              <w:rPr>
                <w:rStyle w:val="1315"/>
                <w:rFonts w:hint="eastAsia" w:ascii="宋体" w:hAnsi="宋体" w:eastAsia="宋体" w:cs="宋体"/>
                <w:color w:val="auto"/>
                <w:sz w:val="24"/>
                <w:highlight w:val="none"/>
              </w:rPr>
              <w:t xml:space="preserve">详见响应文件</w:t>
            </w:r>
            <w:r/>
          </w:p>
        </w:tc>
        <w:tc>
          <w:tcPr>
            <w:tcW w:w="1903" w:type="dxa"/>
            <w:vAlign w:val="center"/>
            <w:textDirection w:val="lrTb"/>
            <w:noWrap w:val="false"/>
          </w:tcPr>
          <w:p>
            <w:pPr>
              <w:pStyle w:val="1106"/>
              <w:jc w:val="center"/>
              <w:widowControl w:val="off"/>
              <w:rPr>
                <w:rStyle w:val="1315"/>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58" w:type="dxa"/>
            <w:vAlign w:val="center"/>
            <w:textDirection w:val="lrTb"/>
            <w:noWrap w:val="false"/>
          </w:tcPr>
          <w:p>
            <w:pPr>
              <w:pStyle w:val="1106"/>
              <w:jc w:val="center"/>
              <w:widowControl w:val="off"/>
              <w:rPr>
                <w:rStyle w:val="1315"/>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58" w:type="dxa"/>
            <w:vAlign w:val="center"/>
            <w:vMerge w:val="restart"/>
            <w:textDirection w:val="lrTb"/>
            <w:noWrap w:val="false"/>
          </w:tcPr>
          <w:p>
            <w:pPr>
              <w:pStyle w:val="1106"/>
              <w:jc w:val="left"/>
              <w:widowControl w:val="off"/>
              <w:tabs>
                <w:tab w:val="left" w:pos="552" w:leader="none"/>
              </w:tabs>
              <w:rPr>
                <w:rStyle w:val="1315"/>
                <w:rFonts w:hint="eastAsia" w:ascii="宋体" w:hAnsi="宋体" w:eastAsia="宋体" w:cs="宋体"/>
                <w:color w:val="auto"/>
                <w:sz w:val="24"/>
                <w:highlight w:val="none"/>
              </w:rPr>
            </w:pPr>
            <w:r>
              <w:rPr>
                <w:rFonts w:ascii="宋体" w:hAnsi="宋体"/>
                <w:sz w:val="24"/>
              </w:rPr>
              <w:t xml:space="preserve">报价为《已标价的工程量清单》的总价。</w:t>
            </w:r>
            <w:r/>
          </w:p>
        </w:tc>
      </w:tr>
      <w:tr>
        <w:trPr>
          <w:jc w:val="center"/>
          <w:trHeight w:val="1333"/>
        </w:trPr>
        <w:tc>
          <w:tcPr>
            <w:tcW w:w="1723" w:type="dxa"/>
            <w:vAlign w:val="center"/>
            <w:textDirection w:val="lrTb"/>
            <w:noWrap w:val="false"/>
          </w:tcPr>
          <w:p>
            <w:pPr>
              <w:pStyle w:val="1106"/>
              <w:jc w:val="center"/>
              <w:widowControl w:val="off"/>
              <w:rPr>
                <w:rStyle w:val="1315"/>
                <w:rFonts w:hint="eastAsia" w:ascii="宋体" w:hAnsi="宋体" w:eastAsia="宋体" w:cs="宋体"/>
                <w:color w:val="auto"/>
                <w:sz w:val="24"/>
                <w:highlight w:val="none"/>
              </w:rPr>
            </w:pPr>
            <w:r>
              <w:rPr>
                <w:rStyle w:val="1315"/>
                <w:rFonts w:hint="eastAsia" w:ascii="宋体" w:hAnsi="宋体" w:eastAsia="宋体" w:cs="宋体"/>
                <w:color w:val="auto"/>
                <w:sz w:val="24"/>
                <w:highlight w:val="none"/>
              </w:rPr>
              <w:t xml:space="preserve">总价（大写）：</w:t>
            </w:r>
            <w:r/>
          </w:p>
        </w:tc>
        <w:tc>
          <w:tcPr>
            <w:gridSpan w:val="3"/>
            <w:tcW w:w="5341" w:type="dxa"/>
            <w:vAlign w:val="center"/>
            <w:textDirection w:val="lrTb"/>
            <w:noWrap w:val="false"/>
          </w:tcPr>
          <w:p>
            <w:pPr>
              <w:pStyle w:val="1106"/>
              <w:jc w:val="center"/>
              <w:widowControl w:val="off"/>
              <w:rPr>
                <w:rStyle w:val="1315"/>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58" w:type="dxa"/>
            <w:vAlign w:val="center"/>
            <w:vMerge w:val="continue"/>
            <w:textDirection w:val="lrTb"/>
            <w:noWrap w:val="false"/>
          </w:tcPr>
          <w:p>
            <w:pPr>
              <w:pStyle w:val="1106"/>
              <w:jc w:val="center"/>
              <w:widowControl w:val="off"/>
              <w:rPr>
                <w:rStyle w:val="1315"/>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1063"/>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供应商承诺：本报价（总价）为供应商本企业提供的服务。</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1、报价应包括磋商文件所确定的招标范围内工程量清单所含的全部内容，以及为完成上述内容所需的全部费用。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1106"/>
        <w:numPr>
          <w:ilvl w:val="0"/>
          <w:numId w:val="0"/>
        </w:numPr>
        <w:jc w:val="center"/>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pStyle w:val="1106"/>
        <w:numPr>
          <w:ilvl w:val="0"/>
          <w:numId w:val="0"/>
        </w:numPr>
        <w:jc w:val="center"/>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t xml:space="preserve">4、分项价格表</w:t>
      </w:r>
      <w:r/>
    </w:p>
    <w:p>
      <w:pPr>
        <w:pStyle w:val="1106"/>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10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06"/>
        <w:numPr>
          <w:ilvl w:val="0"/>
          <w:numId w:val="0"/>
        </w:numPr>
        <w:jc w:val="center"/>
        <w:rPr>
          <w:rFonts w:ascii="宋体" w:hAnsi="宋体" w:eastAsia="宋体"/>
          <w:b/>
          <w:bCs/>
          <w:color w:val="000000"/>
          <w:sz w:val="36"/>
          <w:highlight w:val="none"/>
          <w:lang w:val="en-US" w:eastAsia="zh-CN"/>
        </w:rPr>
        <w:outlineLvl w:val="9"/>
      </w:pPr>
      <w:r/>
      <w:bookmarkStart w:id="0" w:name="_Toc11807"/>
      <w:r/>
      <w:bookmarkStart w:id="1" w:name="_Toc14702"/>
      <w:r/>
      <w:bookmarkStart w:id="2" w:name="_Toc8229"/>
      <w:r/>
      <w:bookmarkStart w:id="3" w:name="_Toc15200"/>
      <w:r/>
      <w:bookmarkStart w:id="4" w:name="_Toc21846"/>
      <w:r/>
      <w:bookmarkStart w:id="5" w:name="_Toc17740"/>
      <w:r/>
      <w:bookmarkStart w:id="6" w:name="_Toc17268"/>
      <w:r/>
      <w:bookmarkStart w:id="7" w:name="_Toc4459"/>
      <w:r/>
      <w:bookmarkStart w:id="8" w:name="_Toc18018"/>
      <w:r/>
      <w:bookmarkStart w:id="9" w:name="_Toc5428"/>
      <w:r/>
      <w:bookmarkStart w:id="10" w:name="_Toc9978"/>
      <w:r/>
      <w:bookmarkStart w:id="11" w:name="_Toc9798"/>
      <w:r/>
      <w:bookmarkStart w:id="12" w:name="_Toc31923"/>
      <w:r/>
      <w:bookmarkStart w:id="13" w:name="_Toc7930"/>
      <w:r/>
      <w:bookmarkStart w:id="14" w:name="_Toc16805"/>
      <w:r>
        <w:rPr>
          <w:rFonts w:ascii="宋体" w:hAnsi="宋体" w:eastAsia="宋体"/>
          <w:b/>
          <w:bCs/>
          <w:color w:val="000000"/>
          <w:sz w:val="36"/>
          <w:highlight w:val="none"/>
          <w:lang w:val="en-US" w:eastAsia="zh-CN"/>
        </w:rPr>
        <w:t xml:space="preserve">（具有标价的工程量清单）</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r/>
    </w:p>
    <w:p>
      <w:pPr>
        <w:pStyle w:val="1106"/>
        <w:jc w:val="center"/>
        <w:rPr>
          <w:rFonts w:ascii="宋体" w:hAnsi="宋体" w:eastAsia="宋体"/>
          <w:b/>
          <w:bCs/>
          <w:sz w:val="24"/>
          <w:highlight w:val="none"/>
        </w:rPr>
      </w:pPr>
      <w:r>
        <w:rPr>
          <w:rFonts w:ascii="宋体" w:hAnsi="宋体" w:eastAsia="宋体"/>
          <w:b/>
          <w:bCs/>
          <w:sz w:val="24"/>
          <w:highlight w:val="none"/>
        </w:rPr>
      </w:r>
      <w:r/>
    </w:p>
    <w:p>
      <w:pPr>
        <w:pStyle w:val="1106"/>
        <w:rPr>
          <w:rFonts w:ascii="宋体" w:hAnsi="宋体" w:eastAsia="宋体"/>
          <w:sz w:val="24"/>
          <w:highlight w:val="none"/>
        </w:rPr>
      </w:pPr>
      <w:r>
        <w:rPr>
          <w:rFonts w:ascii="宋体" w:hAnsi="宋体" w:eastAsia="宋体"/>
          <w:sz w:val="24"/>
          <w:highlight w:val="none"/>
        </w:rPr>
      </w:r>
      <w:r/>
    </w:p>
    <w:p>
      <w:pPr>
        <w:pStyle w:val="1106"/>
        <w:ind w:firstLine="3360"/>
        <w:rPr>
          <w:rFonts w:ascii="宋体" w:hAnsi="宋体" w:eastAsia="宋体"/>
          <w:sz w:val="24"/>
          <w:highlight w:val="none"/>
        </w:rPr>
      </w:pPr>
      <w:r>
        <w:rPr>
          <w:rFonts w:ascii="宋体" w:hAnsi="宋体" w:eastAsia="宋体"/>
          <w:sz w:val="24"/>
          <w:highlight w:val="none"/>
        </w:rPr>
        <w:t xml:space="preserve">本次为首次报价</w:t>
      </w:r>
      <w:r/>
    </w:p>
    <w:p>
      <w:pPr>
        <w:pStyle w:val="1126"/>
        <w:numPr>
          <w:ilvl w:val="0"/>
          <w:numId w:val="0"/>
        </w:numPr>
        <w:ind w:right="6"/>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126"/>
        <w:numPr>
          <w:ilvl w:val="0"/>
          <w:numId w:val="0"/>
        </w:numPr>
        <w:ind w:right="6"/>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126"/>
        <w:numPr>
          <w:ilvl w:val="0"/>
          <w:numId w:val="0"/>
        </w:numPr>
        <w:ind w:right="6"/>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126"/>
        <w:numPr>
          <w:ilvl w:val="0"/>
          <w:numId w:val="0"/>
        </w:numPr>
        <w:ind w:right="6"/>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106"/>
        <w:ind w:firstLine="480"/>
        <w:keepLines w:val="0"/>
        <w:keepNext w:val="0"/>
        <w:pageBreakBefore w:val="0"/>
        <w:spacing w:line="360" w:lineRule="auto"/>
        <w:widowControl w:val="off"/>
        <w:rPr>
          <w:rFonts w:ascii="宋体" w:hAnsi="宋体" w:eastAsia="宋体"/>
          <w:sz w:val="24"/>
          <w:highlight w:val="none"/>
          <w:shd w:val="clear" w:color="auto" w:fill="auto"/>
        </w:rPr>
        <w:outlineLvl w:val="9"/>
      </w:pPr>
      <w:r>
        <w:rPr>
          <w:rFonts w:ascii="宋体" w:hAnsi="宋体" w:eastAsia="宋体"/>
          <w:sz w:val="24"/>
          <w:highlight w:val="none"/>
          <w:shd w:val="clear" w:color="auto" w:fill="auto"/>
        </w:rPr>
        <w:t xml:space="preserve">注：1</w:t>
      </w:r>
      <w:r>
        <w:rPr>
          <w:rFonts w:ascii="宋体" w:hAnsi="宋体" w:eastAsia="宋体"/>
          <w:sz w:val="24"/>
          <w:highlight w:val="none"/>
          <w:shd w:val="clear" w:color="auto" w:fill="auto"/>
          <w:lang w:eastAsia="zh-CN"/>
        </w:rPr>
        <w:t xml:space="preserve">、</w:t>
      </w:r>
      <w:r>
        <w:rPr>
          <w:rFonts w:ascii="宋体" w:hAnsi="宋体" w:eastAsia="宋体"/>
          <w:sz w:val="24"/>
          <w:highlight w:val="none"/>
          <w:shd w:val="clear" w:color="auto" w:fill="auto"/>
        </w:rPr>
        <w:t xml:space="preserve">如果不提供详细分项报价将视为没有实质性响应。</w:t>
      </w:r>
      <w:r/>
    </w:p>
    <w:p>
      <w:pPr>
        <w:pStyle w:val="1106"/>
        <w:ind w:firstLine="480"/>
        <w:keepLines w:val="0"/>
        <w:keepNext w:val="0"/>
        <w:pageBreakBefore w:val="0"/>
        <w:spacing w:line="360" w:lineRule="auto"/>
        <w:widowControl w:val="off"/>
        <w:rPr>
          <w:rFonts w:ascii="宋体" w:hAnsi="宋体" w:eastAsia="宋体" w:cs="Times New Roman"/>
          <w:sz w:val="24"/>
          <w:szCs w:val="22"/>
          <w:highlight w:val="none"/>
          <w:shd w:val="clear" w:color="auto" w:fill="auto"/>
        </w:rPr>
        <w:outlineLvl w:val="9"/>
      </w:pPr>
      <w:r/>
      <w:bookmarkStart w:id="15" w:name="_Toc21335"/>
      <w:r/>
      <w:bookmarkStart w:id="16" w:name="_Toc4638"/>
      <w:r/>
      <w:bookmarkStart w:id="17" w:name="_Toc22349"/>
      <w:r/>
      <w:bookmarkStart w:id="18" w:name="_Toc12346"/>
      <w:r/>
      <w:bookmarkStart w:id="19" w:name="_Toc12044"/>
      <w:r/>
      <w:bookmarkStart w:id="20" w:name="_Toc24246"/>
      <w:r/>
      <w:bookmarkStart w:id="21" w:name="_Toc27557"/>
      <w:r/>
      <w:bookmarkStart w:id="22" w:name="_Toc32562"/>
      <w:r/>
      <w:bookmarkStart w:id="23" w:name="_Toc5726"/>
      <w:r>
        <w:rPr>
          <w:rFonts w:hint="eastAsia" w:ascii="宋体" w:hAnsi="宋体" w:eastAsia="宋体" w:cs="Times New Roman"/>
          <w:sz w:val="24"/>
          <w:szCs w:val="22"/>
          <w:highlight w:val="none"/>
          <w:shd w:val="clear" w:color="auto" w:fill="auto"/>
          <w:lang w:val="en-US" w:eastAsia="zh-CN"/>
        </w:rPr>
        <w:t xml:space="preserve">2</w:t>
      </w:r>
      <w:r>
        <w:rPr>
          <w:rFonts w:ascii="宋体" w:hAnsi="宋体" w:eastAsia="宋体" w:cs="Times New Roman"/>
          <w:sz w:val="24"/>
          <w:szCs w:val="22"/>
          <w:highlight w:val="none"/>
          <w:shd w:val="clear" w:color="auto" w:fill="auto"/>
          <w:lang w:val="en-US" w:eastAsia="zh-CN"/>
        </w:rPr>
        <w:t xml:space="preserve">、</w:t>
      </w:r>
      <w:r>
        <w:rPr>
          <w:rFonts w:ascii="宋体" w:hAnsi="宋体" w:eastAsia="宋体" w:cs="Times New Roman"/>
          <w:sz w:val="24"/>
          <w:szCs w:val="22"/>
          <w:highlight w:val="none"/>
          <w:shd w:val="clear" w:color="auto" w:fill="auto"/>
        </w:rPr>
        <w:t xml:space="preserve">供应商对以上数据的真实性负责。</w:t>
      </w:r>
      <w:bookmarkEnd w:id="15"/>
      <w:r/>
      <w:bookmarkEnd w:id="16"/>
      <w:r/>
      <w:bookmarkEnd w:id="17"/>
      <w:r/>
      <w:bookmarkEnd w:id="18"/>
      <w:r/>
      <w:bookmarkEnd w:id="19"/>
      <w:r/>
      <w:bookmarkEnd w:id="20"/>
      <w:r/>
      <w:bookmarkEnd w:id="21"/>
      <w:r/>
      <w:bookmarkEnd w:id="22"/>
      <w:r/>
      <w:bookmarkEnd w:id="23"/>
      <w:r/>
      <w:r/>
    </w:p>
    <w:p>
      <w:pPr>
        <w:pStyle w:val="1106"/>
        <w:ind w:firstLine="482"/>
        <w:keepLines w:val="0"/>
        <w:keepNext w:val="0"/>
        <w:pageBreakBefore w:val="0"/>
        <w:spacing w:line="360" w:lineRule="auto"/>
        <w:widowControl w:val="off"/>
        <w:rPr>
          <w:rFonts w:ascii="宋体" w:hAnsi="宋体" w:eastAsia="宋体"/>
          <w:b/>
          <w:i w:val="0"/>
          <w:iCs/>
          <w:sz w:val="24"/>
          <w:highlight w:val="none"/>
          <w:u w:val="none"/>
          <w:shd w:val="clear" w:color="auto" w:fill="auto"/>
        </w:rPr>
        <w:outlineLvl w:val="9"/>
      </w:pPr>
      <w:r>
        <w:rPr>
          <w:rFonts w:ascii="宋体" w:hAnsi="宋体" w:eastAsia="宋体"/>
          <w:b/>
          <w:i w:val="0"/>
          <w:iCs/>
          <w:sz w:val="24"/>
          <w:highlight w:val="none"/>
          <w:u w:val="none"/>
          <w:shd w:val="clear" w:color="auto" w:fill="auto"/>
        </w:rPr>
        <w:t xml:space="preserve">采购人或采购代理机构有权将以上内容进行公示。</w:t>
      </w:r>
      <w:r/>
    </w:p>
    <w:p>
      <w:pPr>
        <w:pStyle w:val="1106"/>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color w:val="auto"/>
          <w:highlight w:val="none"/>
        </w:rPr>
      </w:r>
      <w:r/>
    </w:p>
    <w:p>
      <w:pPr>
        <w:jc w:val="center"/>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5</w:t>
      </w:r>
      <w:r>
        <w:rPr>
          <w:rFonts w:hint="eastAsia" w:ascii="宋体" w:hAnsi="宋体" w:eastAsia="宋体" w:cs="宋体"/>
          <w:b/>
          <w:bCs/>
          <w:color w:val="auto"/>
          <w:sz w:val="36"/>
          <w:highlight w:val="none"/>
        </w:rPr>
        <w:t xml:space="preserve">、偏离表</w:t>
      </w:r>
      <w:r/>
    </w:p>
    <w:p>
      <w:pPr>
        <w:pStyle w:val="1106"/>
        <w:ind w:left="1200" w:hanging="1200"/>
        <w:jc w:val="left"/>
        <w:spacing w:line="400" w:lineRule="exact"/>
        <w:widowControl w:val="off"/>
        <w:rPr>
          <w:rStyle w:val="1315"/>
          <w:rFonts w:ascii="宋体" w:hAnsi="宋体"/>
          <w:color w:val="auto"/>
          <w:sz w:val="24"/>
          <w:highlight w:val="none"/>
        </w:rPr>
      </w:pPr>
      <w:r>
        <w:rPr>
          <w:rStyle w:val="1315"/>
          <w:rFonts w:ascii="宋体" w:hAnsi="宋体"/>
          <w:color w:val="auto"/>
          <w:sz w:val="24"/>
          <w:highlight w:val="none"/>
        </w:rPr>
        <w:t xml:space="preserve">项目名称：</w:t>
      </w:r>
      <w:r>
        <w:rPr>
          <w:rStyle w:val="1315"/>
          <w:rFonts w:hint="eastAsia" w:ascii="宋体" w:hAnsi="宋体"/>
          <w:color w:val="auto"/>
          <w:sz w:val="24"/>
          <w:highlight w:val="none"/>
        </w:rPr>
        <w:t xml:space="preserve">新沂市马陵山镇东北片区管网提升工程</w:t>
      </w:r>
      <w:r/>
    </w:p>
    <w:p>
      <w:pPr>
        <w:pStyle w:val="1106"/>
        <w:jc w:val="left"/>
        <w:spacing w:line="400" w:lineRule="exact"/>
        <w:widowControl w:val="off"/>
        <w:rPr>
          <w:rStyle w:val="1315"/>
          <w:rFonts w:ascii="宋体" w:hAnsi="宋体"/>
          <w:color w:val="auto"/>
          <w:sz w:val="24"/>
          <w:highlight w:val="none"/>
        </w:rPr>
      </w:pPr>
      <w:r>
        <w:rPr>
          <w:rStyle w:val="1315"/>
          <w:rFonts w:ascii="宋体" w:hAnsi="宋体"/>
          <w:color w:val="auto"/>
          <w:sz w:val="24"/>
          <w:highlight w:val="none"/>
        </w:rPr>
        <w:t xml:space="preserve">项目编号：</w:t>
      </w:r>
      <w:r>
        <w:rPr>
          <w:rStyle w:val="1315"/>
          <w:rFonts w:hint="eastAsia" w:ascii="宋体" w:hAnsi="宋体"/>
          <w:color w:val="auto"/>
          <w:sz w:val="24"/>
          <w:highlight w:val="none"/>
        </w:rPr>
        <w:t xml:space="preserve">JSZC-320381-JSJL-C2026-0003</w:t>
      </w:r>
      <w:r/>
    </w:p>
    <w:tbl>
      <w:tblPr>
        <w:tblStyle w:val="1052"/>
        <w:tblW w:w="84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26"/>
        <w:gridCol w:w="980"/>
        <w:gridCol w:w="3577"/>
        <w:gridCol w:w="1477"/>
        <w:gridCol w:w="1200"/>
        <w:gridCol w:w="625"/>
      </w:tblGrid>
      <w:tr>
        <w:trPr>
          <w:jc w:val="center"/>
          <w:trHeight w:val="414"/>
        </w:trPr>
        <w:tc>
          <w:tcPr>
            <w:tcBorders>
              <w:top w:val="single" w:color="000000" w:sz="6" w:space="0"/>
              <w:left w:val="single" w:color="000000" w:sz="6" w:space="0"/>
              <w:bottom w:val="single" w:color="000000" w:sz="6" w:space="0"/>
              <w:right w:val="single" w:color="000000" w:sz="6" w:space="0"/>
            </w:tcBorders>
            <w:tcW w:w="626" w:type="dxa"/>
            <w:vAlign w:val="center"/>
            <w:textDirection w:val="lrTb"/>
            <w:noWrap w:val="false"/>
          </w:tcPr>
          <w:p>
            <w:pPr>
              <w:jc w:val="center"/>
              <w:rPr>
                <w:rStyle w:val="1315"/>
                <w:rFonts w:ascii="宋体" w:hAnsi="宋体"/>
                <w:caps/>
                <w:color w:val="auto"/>
                <w:sz w:val="24"/>
                <w:highlight w:val="none"/>
              </w:rPr>
            </w:pPr>
            <w:r>
              <w:rPr>
                <w:rFonts w:hint="eastAsia" w:ascii="宋体" w:hAnsi="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jc w:val="center"/>
              <w:rPr>
                <w:rStyle w:val="1315"/>
                <w:rFonts w:ascii="宋体" w:hAnsi="宋体"/>
                <w:caps/>
                <w:color w:val="auto"/>
                <w:sz w:val="24"/>
                <w:highlight w:val="none"/>
              </w:rPr>
            </w:pPr>
            <w:r>
              <w:rPr>
                <w:rFonts w:hint="eastAsia" w:ascii="宋体" w:hAnsi="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3577" w:type="dxa"/>
            <w:vAlign w:val="center"/>
            <w:textDirection w:val="lrTb"/>
            <w:noWrap w:val="false"/>
          </w:tcPr>
          <w:p>
            <w:pPr>
              <w:jc w:val="center"/>
              <w:rPr>
                <w:rStyle w:val="1315"/>
                <w:rFonts w:ascii="宋体" w:hAnsi="宋体"/>
                <w:caps/>
                <w:color w:val="auto"/>
                <w:sz w:val="24"/>
                <w:highlight w:val="none"/>
              </w:rPr>
            </w:pPr>
            <w:r>
              <w:rPr>
                <w:rFonts w:hint="eastAsia" w:ascii="宋体" w:hAnsi="宋体" w:cs="宋体"/>
                <w:color w:val="auto"/>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77" w:type="dxa"/>
            <w:vAlign w:val="center"/>
            <w:textDirection w:val="lrTb"/>
            <w:noWrap w:val="false"/>
          </w:tcPr>
          <w:p>
            <w:pPr>
              <w:jc w:val="center"/>
              <w:rPr>
                <w:rStyle w:val="1315"/>
                <w:rFonts w:ascii="宋体" w:hAnsi="宋体"/>
                <w:caps/>
                <w:color w:val="auto"/>
                <w:sz w:val="24"/>
                <w:highlight w:val="none"/>
              </w:rPr>
            </w:pPr>
            <w:r>
              <w:rPr>
                <w:rFonts w:hint="eastAsia" w:ascii="宋体" w:hAnsi="宋体" w:cs="宋体"/>
                <w:color w:val="auto"/>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00" w:type="dxa"/>
            <w:vAlign w:val="center"/>
            <w:textDirection w:val="lrTb"/>
            <w:noWrap w:val="false"/>
          </w:tcPr>
          <w:p>
            <w:pPr>
              <w:rPr>
                <w:rStyle w:val="1315"/>
                <w:rFonts w:ascii="宋体" w:hAnsi="宋体"/>
                <w:caps/>
                <w:color w:val="auto"/>
                <w:sz w:val="24"/>
                <w:highlight w:val="none"/>
              </w:rPr>
            </w:pPr>
            <w:r>
              <w:rPr>
                <w:rFonts w:hint="eastAsia" w:ascii="宋体" w:hAnsi="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jc w:val="center"/>
              <w:rPr>
                <w:rStyle w:val="1315"/>
                <w:rFonts w:ascii="宋体" w:hAnsi="宋体"/>
                <w:caps/>
                <w:color w:val="auto"/>
                <w:sz w:val="24"/>
                <w:highlight w:val="none"/>
              </w:rPr>
            </w:pPr>
            <w:r>
              <w:rPr>
                <w:rFonts w:hint="eastAsia" w:ascii="宋体" w:hAnsi="宋体" w:cs="宋体"/>
                <w:caps/>
                <w:color w:val="auto"/>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vAlign w:val="center"/>
            <w:textDirection w:val="lrTb"/>
            <w:noWrap w:val="false"/>
          </w:tcPr>
          <w:p>
            <w:pPr>
              <w:pStyle w:val="1106"/>
              <w:jc w:val="center"/>
              <w:spacing w:line="400" w:lineRule="exact"/>
              <w:widowControl w:val="off"/>
              <w:rPr>
                <w:rStyle w:val="1315"/>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pStyle w:val="1106"/>
              <w:jc w:val="center"/>
              <w:spacing w:line="400" w:lineRule="exact"/>
              <w:widowControl w:val="off"/>
              <w:rPr>
                <w:rStyle w:val="1315"/>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vAlign w:val="center"/>
            <w:textDirection w:val="lrTb"/>
            <w:noWrap w:val="false"/>
          </w:tcPr>
          <w:p>
            <w:pPr>
              <w:pStyle w:val="1106"/>
              <w:jc w:val="center"/>
              <w:spacing w:line="400" w:lineRule="exact"/>
              <w:widowControl w:val="off"/>
              <w:rPr>
                <w:rStyle w:val="1315"/>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vAlign w:val="center"/>
            <w:textDirection w:val="lrTb"/>
            <w:noWrap w:val="false"/>
          </w:tcPr>
          <w:p>
            <w:pPr>
              <w:pStyle w:val="1106"/>
              <w:jc w:val="center"/>
              <w:spacing w:line="400" w:lineRule="exact"/>
              <w:widowControl w:val="off"/>
              <w:rPr>
                <w:rStyle w:val="1315"/>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vAlign w:val="center"/>
            <w:textDirection w:val="lrTb"/>
            <w:noWrap w:val="false"/>
          </w:tcPr>
          <w:p>
            <w:pPr>
              <w:pStyle w:val="1106"/>
              <w:jc w:val="center"/>
              <w:spacing w:line="400" w:lineRule="exact"/>
              <w:widowControl w:val="off"/>
              <w:rPr>
                <w:rStyle w:val="1315"/>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pStyle w:val="1106"/>
              <w:jc w:val="center"/>
              <w:spacing w:line="400" w:lineRule="exact"/>
              <w:widowControl w:val="off"/>
              <w:rPr>
                <w:rStyle w:val="1315"/>
                <w:rFonts w:ascii="宋体" w:hAnsi="宋体"/>
                <w:caps/>
                <w:color w:val="auto"/>
                <w:sz w:val="24"/>
                <w:highlight w:val="none"/>
              </w:rPr>
            </w:pPr>
            <w:r>
              <w:rPr>
                <w:rFonts w:ascii="宋体" w:hAnsi="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tc>
      </w:tr>
    </w:tbl>
    <w:p>
      <w:pPr>
        <w:pStyle w:val="1106"/>
        <w:jc w:val="left"/>
        <w:spacing w:line="400" w:lineRule="exact"/>
        <w:widowControl w:val="off"/>
        <w:rPr>
          <w:rStyle w:val="1315"/>
          <w:rFonts w:ascii="宋体" w:hAnsi="宋体"/>
          <w:color w:val="auto"/>
          <w:sz w:val="24"/>
          <w:highlight w:val="none"/>
          <w:u w:val="single"/>
        </w:rPr>
      </w:pPr>
      <w:r>
        <w:rPr>
          <w:rStyle w:val="1315"/>
          <w:rFonts w:ascii="宋体" w:hAnsi="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106"/>
        <w:jc w:val="left"/>
        <w:spacing w:line="400" w:lineRule="exact"/>
        <w:widowControl w:val="off"/>
        <w:rPr>
          <w:rStyle w:val="1315"/>
          <w:rFonts w:ascii="宋体" w:hAnsi="宋体"/>
          <w:color w:val="auto"/>
          <w:sz w:val="24"/>
          <w:highlight w:val="none"/>
        </w:rPr>
      </w:pPr>
      <w:r>
        <w:rPr>
          <w:rFonts w:ascii="宋体" w:hAnsi="宋体"/>
          <w:color w:val="auto"/>
          <w:sz w:val="24"/>
          <w:highlight w:val="none"/>
        </w:rPr>
      </w:r>
      <w:r/>
    </w:p>
    <w:p>
      <w:pPr>
        <w:pStyle w:val="1106"/>
        <w:ind w:firstLine="3960"/>
        <w:jc w:val="left"/>
        <w:spacing w:line="400" w:lineRule="exact"/>
        <w:widowControl w:val="off"/>
        <w:rPr>
          <w:rStyle w:val="1315"/>
          <w:rFonts w:ascii="宋体" w:hAnsi="宋体"/>
          <w:color w:val="auto"/>
          <w:sz w:val="24"/>
          <w:highlight w:val="none"/>
        </w:rPr>
      </w:pPr>
      <w:r>
        <w:rPr>
          <w:rStyle w:val="1315"/>
          <w:rFonts w:ascii="宋体" w:hAnsi="宋体"/>
          <w:color w:val="auto"/>
          <w:sz w:val="24"/>
          <w:highlight w:val="none"/>
        </w:rPr>
        <w:t xml:space="preserve">供应商（</w:t>
      </w:r>
      <w:r>
        <w:rPr>
          <w:rStyle w:val="1315"/>
          <w:rFonts w:hint="eastAsia" w:ascii="宋体" w:hAnsi="宋体"/>
          <w:color w:val="auto"/>
          <w:sz w:val="24"/>
          <w:szCs w:val="24"/>
          <w:highlight w:val="none"/>
        </w:rPr>
        <w:t xml:space="preserve">电子签章</w:t>
      </w:r>
      <w:r>
        <w:rPr>
          <w:rStyle w:val="1315"/>
          <w:rFonts w:ascii="宋体" w:hAnsi="宋体"/>
          <w:color w:val="auto"/>
          <w:sz w:val="24"/>
          <w:highlight w:val="none"/>
        </w:rPr>
        <w:t xml:space="preserve">）：</w:t>
      </w:r>
      <w:r/>
    </w:p>
    <w:p>
      <w:pPr>
        <w:pStyle w:val="1106"/>
        <w:ind w:firstLine="3960"/>
        <w:jc w:val="left"/>
        <w:spacing w:line="400" w:lineRule="exact"/>
        <w:widowControl w:val="off"/>
        <w:rPr>
          <w:rStyle w:val="1315"/>
          <w:rFonts w:ascii="宋体" w:hAnsi="宋体"/>
          <w:color w:val="auto"/>
          <w:sz w:val="24"/>
          <w:highlight w:val="none"/>
        </w:rPr>
      </w:pPr>
      <w:r>
        <w:rPr>
          <w:rStyle w:val="1315"/>
          <w:rFonts w:ascii="宋体" w:hAnsi="宋体"/>
          <w:color w:val="auto"/>
          <w:sz w:val="24"/>
          <w:highlight w:val="none"/>
        </w:rPr>
        <w:t xml:space="preserve">法定代表人或授权代表（签字或盖章）：  </w:t>
      </w:r>
      <w:r/>
    </w:p>
    <w:p>
      <w:pPr>
        <w:pStyle w:val="1106"/>
        <w:ind w:firstLine="3960"/>
        <w:jc w:val="left"/>
        <w:spacing w:line="400" w:lineRule="exact"/>
        <w:widowControl w:val="off"/>
        <w:rPr>
          <w:rStyle w:val="1315"/>
          <w:rFonts w:hint="eastAsia" w:ascii="宋体" w:hAnsi="宋体"/>
          <w:color w:val="auto"/>
          <w:sz w:val="24"/>
          <w:szCs w:val="22"/>
          <w:highlight w:val="none"/>
          <w:lang w:val="en-US" w:eastAsia="zh-CN"/>
        </w:rPr>
      </w:pPr>
      <w:r>
        <w:rPr>
          <w:rStyle w:val="1315"/>
          <w:rFonts w:hint="eastAsia" w:ascii="宋体" w:hAnsi="宋体"/>
          <w:color w:val="auto"/>
          <w:sz w:val="24"/>
          <w:szCs w:val="22"/>
          <w:highlight w:val="none"/>
        </w:rPr>
        <w:t xml:space="preserve">日期：</w:t>
      </w:r>
      <w:r/>
    </w:p>
    <w:p>
      <w:pPr>
        <w:ind w:right="29"/>
        <w:jc w:val="center"/>
        <w:spacing w:line="360" w:lineRule="auto"/>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1053"/>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1096"/>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1113"/>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1105"/>
        <w:numPr>
          <w:ilvl w:val="0"/>
          <w:numId w:val="0"/>
        </w:numPr>
        <w:rPr>
          <w:rFonts w:hint="eastAsia"/>
          <w:lang w:val="en-US" w:eastAsia="zh-CN"/>
        </w:rPr>
      </w:pPr>
      <w:r>
        <w:rPr>
          <w:rFonts w:hint="eastAsia"/>
          <w:lang w:val="en-US" w:eastAsia="zh-CN"/>
        </w:rPr>
      </w:r>
      <w:r/>
    </w:p>
    <w:p>
      <w:pPr>
        <w:pStyle w:val="1106"/>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1119"/>
        <w:rPr>
          <w:rFonts w:hint="eastAsia"/>
          <w:lang w:val="en-US" w:eastAsia="zh-CN"/>
        </w:rPr>
      </w:pPr>
      <w:r>
        <w:rPr>
          <w:rFonts w:hint="eastAsia"/>
          <w:lang w:val="en-US" w:eastAsia="zh-CN"/>
        </w:rPr>
      </w:r>
      <w:r/>
    </w:p>
    <w:p>
      <w:pPr>
        <w:pStyle w:val="1106"/>
        <w:jc w:val="center"/>
        <w:spacing w:line="360" w:lineRule="auto"/>
        <w:rPr>
          <w:rFonts w:hint="eastAsia" w:ascii="宋体" w:hAnsi="宋体" w:cs="宋体"/>
          <w:b/>
          <w:sz w:val="24"/>
          <w:highlight w:val="none"/>
        </w:rPr>
      </w:pPr>
      <w:r>
        <w:rPr>
          <w:rStyle w:val="1292"/>
          <w:rFonts w:hint="eastAsia" w:ascii="宋体" w:hAnsi="宋体" w:cs="宋体"/>
          <w:sz w:val="24"/>
          <w:szCs w:val="24"/>
          <w:highlight w:val="none"/>
          <w:lang w:val="en-US" w:eastAsia="zh-CN"/>
        </w:rPr>
        <w:t xml:space="preserve">6</w:t>
      </w:r>
      <w:r>
        <w:rPr>
          <w:rStyle w:val="1292"/>
          <w:rFonts w:hint="eastAsia" w:ascii="宋体" w:hAnsi="宋体" w:cs="宋体"/>
          <w:sz w:val="24"/>
          <w:szCs w:val="24"/>
          <w:highlight w:val="none"/>
        </w:rPr>
        <w:t xml:space="preserve">、承诺书</w:t>
      </w:r>
      <w:r/>
    </w:p>
    <w:p>
      <w:pPr>
        <w:pStyle w:val="1106"/>
        <w:ind w:firstLine="472"/>
        <w:widowControl/>
        <w:rPr>
          <w:rFonts w:hint="eastAsia" w:ascii="宋体" w:hAnsi="宋体" w:eastAsia="宋体" w:cs="宋体"/>
          <w:sz w:val="24"/>
          <w:highlight w:val="none"/>
          <w:lang w:eastAsia="zh-CN"/>
        </w:rPr>
      </w:pPr>
      <w:r>
        <w:rPr>
          <w:rFonts w:hint="eastAsia" w:ascii="宋体" w:hAnsi="宋体" w:cs="宋体"/>
          <w:sz w:val="24"/>
          <w:highlight w:val="none"/>
        </w:rPr>
        <w:t xml:space="preserve">致：</w:t>
      </w:r>
      <w:r>
        <w:rPr>
          <w:rFonts w:hint="eastAsia" w:ascii="宋体" w:hAnsi="宋体" w:cs="宋体"/>
          <w:sz w:val="24"/>
          <w:highlight w:val="none"/>
          <w:lang w:eastAsia="zh-CN"/>
        </w:rPr>
        <w:t xml:space="preserve">江苏丛泰建设工程管理有限公司</w:t>
      </w:r>
      <w:r/>
    </w:p>
    <w:p>
      <w:pPr>
        <w:pStyle w:val="1106"/>
        <w:ind w:firstLine="472"/>
        <w:widowControl/>
        <w:rPr>
          <w:rFonts w:hint="eastAsia" w:ascii="宋体" w:hAnsi="宋体" w:cs="宋体"/>
          <w:sz w:val="24"/>
          <w:highlight w:val="none"/>
        </w:rPr>
      </w:pPr>
      <w:r>
        <w:rPr>
          <w:rFonts w:hint="eastAsia" w:ascii="宋体" w:hAnsi="宋体" w:cs="宋体"/>
          <w:sz w:val="24"/>
          <w:highlight w:val="none"/>
        </w:rPr>
      </w:r>
      <w:r/>
    </w:p>
    <w:p>
      <w:pPr>
        <w:pStyle w:val="1106"/>
        <w:ind w:firstLine="472"/>
        <w:widowControl/>
        <w:rPr>
          <w:rFonts w:hint="eastAsia" w:ascii="宋体" w:hAnsi="宋体" w:cs="宋体"/>
          <w:sz w:val="24"/>
          <w:highlight w:val="none"/>
        </w:rPr>
      </w:pPr>
      <w:r>
        <w:rPr>
          <w:rFonts w:hint="eastAsia" w:ascii="宋体" w:hAnsi="宋体" w:cs="宋体"/>
          <w:sz w:val="24"/>
          <w:highlight w:val="none"/>
        </w:rPr>
        <w:t xml:space="preserve">根据贵方</w:t>
      </w:r>
      <w:r>
        <w:rPr>
          <w:rFonts w:hint="eastAsia" w:ascii="宋体" w:hAnsi="宋体" w:cs="宋体"/>
          <w:sz w:val="24"/>
          <w:highlight w:val="none"/>
          <w:lang w:eastAsia="zh-CN"/>
        </w:rPr>
        <w:t xml:space="preserve">新沂市马陵山镇东北片区管网提升工程</w:t>
      </w:r>
      <w:r>
        <w:rPr>
          <w:rFonts w:hint="eastAsia" w:ascii="宋体" w:hAnsi="宋体" w:cs="宋体"/>
          <w:sz w:val="24"/>
          <w:highlight w:val="none"/>
        </w:rPr>
        <w:t xml:space="preserve">《竞争性磋商文件》（项目编号：</w:t>
      </w:r>
      <w:r>
        <w:rPr>
          <w:rFonts w:hint="eastAsia" w:ascii="宋体" w:hAnsi="宋体" w:cs="宋体"/>
          <w:sz w:val="24"/>
          <w:highlight w:val="none"/>
          <w:lang w:eastAsia="zh-CN"/>
        </w:rPr>
        <w:t xml:space="preserve">JSZC-320381-JSJL-C2026-0003</w:t>
      </w:r>
      <w:r>
        <w:rPr>
          <w:rFonts w:hint="eastAsia" w:ascii="宋体" w:hAnsi="宋体" w:cs="宋体"/>
          <w:sz w:val="24"/>
          <w:highlight w:val="none"/>
        </w:rPr>
        <w:t xml:space="preserve">）要求，本供应商正式提交以下首次响应文件。</w:t>
      </w:r>
      <w:r/>
    </w:p>
    <w:p>
      <w:pPr>
        <w:pStyle w:val="1106"/>
        <w:numPr>
          <w:ilvl w:val="0"/>
          <w:numId w:val="0"/>
        </w:numPr>
        <w:ind w:firstLine="480"/>
        <w:widowControl/>
        <w:rPr>
          <w:rFonts w:hint="eastAsia" w:ascii="宋体" w:hAnsi="宋体" w:cs="宋体"/>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w: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2" name="直接连接符 2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1" o:spid="_x0000_s11" style="position:absolute;left:0;text-align:left;z-index:251670528;mso-wrap-distance-left:9.0pt;mso-wrap-distance-top:0.0pt;mso-wrap-distance-right:9.0pt;mso-wrap-distance-bottom:0.0pt;flip:y;visibility:visible;" from="147.0pt,1.3pt" to="147.1pt,2.6pt" filled="f" strokecolor="#000000"/>
            </w:pict>
          </mc:Fallback>
        </mc:AlternateContent>
      </w:r>
      <w:r>
        <w:rPr>
          <w:rFonts w:hint="eastAsia" w:ascii="宋体" w:hAnsi="宋体" w:cs="宋体"/>
          <w:sz w:val="24"/>
          <w:highlight w:val="none"/>
        </w:rPr>
        <w:t xml:space="preserve">承诺书；</w:t>
      </w:r>
      <w:r/>
    </w:p>
    <w:p>
      <w:pPr>
        <w:pStyle w:val="1106"/>
        <w:ind w:firstLine="472"/>
        <w:widowControl/>
        <w:rPr>
          <w:rFonts w:hint="eastAsia" w:ascii="宋体" w:hAnsi="宋体" w:cs="宋体"/>
          <w:highlight w:val="none"/>
        </w:rPr>
      </w:pPr>
      <w:r/>
      <w:bookmarkStart w:id="24" w:name="_Toc24561"/>
      <w:r/>
      <w:bookmarkStart w:id="25" w:name="_Toc27591"/>
      <w:r/>
      <w:bookmarkStart w:id="26" w:name="_Toc16644"/>
      <w:r/>
      <w:bookmarkStart w:id="27" w:name="_Toc18272"/>
      <w:r/>
      <w:bookmarkStart w:id="28" w:name="_Toc18142"/>
      <w:r/>
      <w:bookmarkStart w:id="29" w:name="_Toc29810"/>
      <w:r/>
      <w:bookmarkStart w:id="30" w:name="_Toc30031"/>
      <w:r/>
      <w:bookmarkStart w:id="31" w:name="_Toc4915"/>
      <w:r/>
      <w:bookmarkStart w:id="32" w:name="_Toc20543"/>
      <w:r>
        <w:rPr>
          <w:rFonts w:hint="eastAsia" w:ascii="宋体" w:hAnsi="宋体" w:cs="宋体"/>
          <w:sz w:val="24"/>
          <w:highlight w:val="none"/>
        </w:rPr>
        <w:t xml:space="preserve">（2）磋商报价表；</w:t>
      </w:r>
      <w:bookmarkEnd w:id="24"/>
      <w:r/>
      <w:bookmarkEnd w:id="25"/>
      <w:r/>
      <w:bookmarkEnd w:id="26"/>
      <w:r/>
      <w:bookmarkEnd w:id="27"/>
      <w:r/>
      <w:bookmarkEnd w:id="28"/>
      <w:r/>
      <w:bookmarkEnd w:id="29"/>
      <w:r/>
      <w:bookmarkEnd w:id="30"/>
      <w:r/>
      <w:bookmarkEnd w:id="31"/>
      <w:r/>
      <w:bookmarkEnd w:id="32"/>
      <w:r/>
      <w:r/>
    </w:p>
    <w:p>
      <w:pPr>
        <w:pStyle w:val="1106"/>
        <w:ind w:firstLine="472"/>
        <w:widowControl/>
        <w:rPr>
          <w:rFonts w:hint="eastAsia" w:ascii="宋体" w:hAnsi="宋体" w:cs="宋体"/>
          <w:sz w:val="24"/>
          <w:highlight w:val="none"/>
        </w:rPr>
      </w:pPr>
      <w:r/>
      <w:bookmarkStart w:id="33" w:name="_Toc26005"/>
      <w:r/>
      <w:bookmarkStart w:id="34" w:name="_Toc14011"/>
      <w:r/>
      <w:bookmarkStart w:id="35" w:name="_Toc5934"/>
      <w:r/>
      <w:bookmarkStart w:id="36" w:name="_Toc28954"/>
      <w:r/>
      <w:bookmarkStart w:id="37" w:name="_Toc27728"/>
      <w:r/>
      <w:bookmarkStart w:id="38" w:name="_Toc20397"/>
      <w:r/>
      <w:bookmarkStart w:id="39" w:name="_Toc15322"/>
      <w:r/>
      <w:bookmarkStart w:id="40" w:name="_Toc8339"/>
      <w:r/>
      <w:bookmarkStart w:id="41" w:name="_Toc27515"/>
      <w:r>
        <w:rPr>
          <w:rFonts w:hint="eastAsia" w:ascii="宋体" w:hAnsi="宋体" w:cs="宋体"/>
          <w:sz w:val="24"/>
          <w:highlight w:val="none"/>
        </w:rPr>
        <w:t xml:space="preserve">（3）偏离表；</w:t>
      </w:r>
      <w:bookmarkEnd w:id="33"/>
      <w:r/>
      <w:bookmarkEnd w:id="34"/>
      <w:r/>
      <w:bookmarkEnd w:id="35"/>
      <w:r/>
      <w:bookmarkEnd w:id="36"/>
      <w:r/>
      <w:bookmarkEnd w:id="37"/>
      <w:r/>
      <w:bookmarkEnd w:id="38"/>
      <w:r/>
      <w:bookmarkEnd w:id="39"/>
      <w:r/>
      <w:bookmarkEnd w:id="40"/>
      <w:r/>
      <w:bookmarkEnd w:id="41"/>
      <w:r/>
      <w:r/>
    </w:p>
    <w:p>
      <w:pPr>
        <w:pStyle w:val="1106"/>
        <w:ind w:firstLine="472"/>
        <w:widowControl/>
        <w:rPr>
          <w:rFonts w:hint="eastAsia" w:ascii="宋体" w:hAnsi="宋体" w:cs="宋体"/>
          <w:sz w:val="24"/>
          <w:highlight w:val="none"/>
        </w:rPr>
      </w:pPr>
      <w:r/>
      <w:bookmarkStart w:id="42" w:name="_Toc1135"/>
      <w:r/>
      <w:bookmarkStart w:id="43" w:name="_Toc30830"/>
      <w:r/>
      <w:bookmarkStart w:id="44" w:name="_Toc10380"/>
      <w:r/>
      <w:bookmarkStart w:id="45" w:name="_Toc28220"/>
      <w:r/>
      <w:bookmarkStart w:id="46" w:name="_Toc26904"/>
      <w:r/>
      <w:bookmarkStart w:id="47" w:name="_Toc28413"/>
      <w:r/>
      <w:bookmarkStart w:id="48" w:name="_Toc24893"/>
      <w:r/>
      <w:bookmarkStart w:id="49" w:name="_Toc2652"/>
      <w:r/>
      <w:bookmarkStart w:id="50" w:name="_Toc22961"/>
      <w:r>
        <w:rPr>
          <w:rFonts w:hint="eastAsia" w:ascii="宋体" w:hAnsi="宋体" w:cs="宋体"/>
          <w:sz w:val="24"/>
          <w:highlight w:val="none"/>
        </w:rPr>
        <w:t xml:space="preserve">（4）磋商文件要求提供的其他响应文件。</w:t>
      </w:r>
      <w:bookmarkEnd w:id="42"/>
      <w:r/>
      <w:bookmarkEnd w:id="43"/>
      <w:r/>
      <w:bookmarkEnd w:id="44"/>
      <w:r/>
      <w:bookmarkEnd w:id="45"/>
      <w:r/>
      <w:bookmarkEnd w:id="46"/>
      <w:r/>
      <w:bookmarkEnd w:id="47"/>
      <w:r/>
      <w:bookmarkEnd w:id="48"/>
      <w:r/>
      <w:bookmarkEnd w:id="49"/>
      <w:r/>
      <w:bookmarkEnd w:id="50"/>
      <w:r/>
      <w:r/>
    </w:p>
    <w:p>
      <w:pPr>
        <w:pStyle w:val="1106"/>
        <w:ind w:firstLine="472"/>
        <w:widowControl/>
        <w:rPr>
          <w:rFonts w:hint="eastAsia" w:ascii="宋体" w:hAnsi="宋体" w:cs="宋体"/>
          <w:sz w:val="24"/>
          <w:highlight w:val="none"/>
        </w:rPr>
      </w:pPr>
      <w:r>
        <w:rPr>
          <w:rFonts w:hint="eastAsia" w:ascii="宋体" w:hAnsi="宋体" w:cs="宋体"/>
          <w:sz w:val="24"/>
          <w:highlight w:val="none"/>
        </w:rPr>
        <w:t xml:space="preserve">我单位符合《中华人民共和国政府采购法》第二十二条的规定，符合本项目供应商资格要求。</w:t>
      </w:r>
      <w:r/>
    </w:p>
    <w:p>
      <w:pPr>
        <w:pStyle w:val="1106"/>
        <w:ind w:firstLine="472"/>
        <w:widowControl/>
        <w:rPr>
          <w:rFonts w:hint="eastAsia" w:ascii="宋体" w:hAnsi="宋体" w:cs="宋体"/>
          <w:sz w:val="24"/>
          <w:highlight w:val="none"/>
        </w:rPr>
      </w:pPr>
      <w:r>
        <w:rPr>
          <w:rFonts w:hint="eastAsia" w:ascii="宋体" w:hAnsi="宋体" w:cs="宋体"/>
          <w:sz w:val="24"/>
          <w:highlight w:val="none"/>
        </w:rPr>
        <w:t xml:space="preserve">我单位按照磋商文件的要求编制响应文件，并对其提交的响应文件的真实性、合法性承担法律责任。</w:t>
      </w:r>
      <w:r/>
    </w:p>
    <w:p>
      <w:pPr>
        <w:pStyle w:val="1106"/>
        <w:ind w:firstLine="472"/>
        <w:widowControl/>
        <w:rPr>
          <w:rFonts w:hint="eastAsia" w:ascii="宋体" w:hAnsi="宋体" w:cs="宋体"/>
          <w:sz w:val="24"/>
          <w:highlight w:val="none"/>
        </w:rPr>
      </w:pPr>
      <w:r>
        <w:rPr>
          <w:rFonts w:hint="eastAsia" w:ascii="宋体" w:hAnsi="宋体" w:cs="宋体"/>
          <w:sz w:val="24"/>
          <w:highlight w:val="none"/>
        </w:rPr>
        <w:t xml:space="preserve">供应商兹宣布同意如下: </w:t>
      </w:r>
      <w:r/>
    </w:p>
    <w:p>
      <w:pPr>
        <w:pStyle w:val="1106"/>
        <w:ind w:firstLine="472"/>
        <w:widowControl/>
        <w:rPr>
          <w:rFonts w:hint="eastAsia" w:ascii="宋体" w:hAnsi="宋体" w:cs="宋体"/>
          <w:sz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3" name="直接连接符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2" o:spid="_x0000_s12" style="position:absolute;left:0;text-align:left;z-index:251671552;mso-wrap-distance-left:9.0pt;mso-wrap-distance-top:0.0pt;mso-wrap-distance-right:9.0pt;mso-wrap-distance-bottom:0.0pt;visibility:visible;" from="246.8pt,23.4pt" to="246.8pt,23.4pt" filled="f" strokecolor="#000000"/>
            </w:pict>
          </mc:Fallback>
        </mc:AlternateConten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4" name="直接连接符 2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3" o:spid="_x0000_s13" style="position:absolute;left:0;text-align:left;z-index:251672576;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highlight w:val="none"/>
        </w:rPr>
        <w:t xml:space="preserve">一、完全承担根据《竞争性磋商文件》规定完成合同的责任和义务（如有偏离，将全部填写在偏离表中）。</w:t>
      </w:r>
      <w:r/>
    </w:p>
    <w:p>
      <w:pPr>
        <w:pStyle w:val="1106"/>
        <w:ind w:firstLine="472"/>
        <w:widowControl/>
        <w:rPr>
          <w:rFonts w:hint="eastAsia" w:ascii="宋体" w:hAnsi="宋体" w:cs="宋体"/>
          <w:sz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4" o:spid="_x0000_s14" style="position:absolute;left:0;text-align:left;z-index:251673600;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2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5" o:spid="_x0000_s15" style="position:absolute;left:0;text-align:left;z-index:251674624;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highlight w:val="none"/>
        </w:rPr>
        <w:t xml:space="preserve">二、保证所提供的响应文件及所有材料的真实、合法、有效，并对其负责。</w:t>
      </w:r>
      <w:r/>
    </w:p>
    <w:p>
      <w:pPr>
        <w:pStyle w:val="1106"/>
        <w:ind w:firstLine="472"/>
        <w:widowControl/>
        <w:rPr>
          <w:rFonts w:hint="eastAsia" w:ascii="宋体" w:hAnsi="宋体" w:cs="宋体"/>
          <w:sz w:val="24"/>
          <w:highlight w:val="none"/>
        </w:rPr>
      </w:pPr>
      <w:r>
        <w:rPr>
          <w:rFonts w:hint="eastAsia" w:ascii="宋体" w:hAnsi="宋体" w:cs="宋体"/>
          <w:sz w:val="24"/>
          <w:highlight w:val="none"/>
        </w:rPr>
        <w:t xml:space="preserve">三、已详细审核竞争性磋商文件（含竞争性磋商文件的澄清或者修改），本供应商完全理解并同意放弃对这方面不明及误解的权利。</w:t>
      </w:r>
      <w:r/>
    </w:p>
    <w:p>
      <w:pPr>
        <w:pStyle w:val="1106"/>
        <w:ind w:firstLine="472"/>
        <w:widowControl/>
        <w:rPr>
          <w:rFonts w:hint="eastAsia" w:ascii="宋体" w:hAnsi="宋体" w:cs="宋体"/>
          <w:sz w:val="24"/>
          <w:highlight w:val="none"/>
        </w:rPr>
      </w:pPr>
      <w:r>
        <w:rPr>
          <w:rFonts w:hint="eastAsia" w:ascii="宋体" w:hAnsi="宋体" w:cs="宋体"/>
          <w:sz w:val="24"/>
          <w:highlight w:val="none"/>
        </w:rPr>
        <w:t xml:space="preserve">四、所供服务保证符合国家有关产品质量、性能和安全标准，无权利瑕疵。</w:t>
      </w:r>
      <w:r/>
    </w:p>
    <w:p>
      <w:pPr>
        <w:pStyle w:val="1106"/>
        <w:ind w:firstLine="472"/>
        <w:widowControl/>
        <w:rPr>
          <w:rFonts w:hint="eastAsia" w:ascii="宋体" w:hAnsi="宋体" w:cs="宋体"/>
          <w:sz w:val="24"/>
          <w:highlight w:val="none"/>
        </w:rPr>
      </w:pPr>
      <w:r>
        <w:rPr>
          <w:rFonts w:hint="eastAsia" w:ascii="宋体" w:hAnsi="宋体" w:cs="宋体"/>
          <w:sz w:val="24"/>
          <w:highlight w:val="none"/>
        </w:rPr>
        <w:t xml:space="preserve">五、</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有效期为45日。</w:t>
      </w:r>
      <w:r/>
    </w:p>
    <w:p>
      <w:pPr>
        <w:pStyle w:val="1106"/>
        <w:ind w:firstLine="472"/>
        <w:widowControl/>
        <w:rPr>
          <w:rFonts w:hint="eastAsia" w:ascii="宋体" w:hAnsi="宋体" w:cs="宋体"/>
          <w:sz w:val="24"/>
          <w:highlight w:val="none"/>
        </w:rPr>
      </w:pPr>
      <w:r>
        <w:rPr>
          <w:rFonts w:hint="eastAsia" w:ascii="宋体" w:hAnsi="宋体" w:cs="宋体"/>
          <w:sz w:val="24"/>
          <w:highlight w:val="none"/>
          <w:lang w:val="en-US" w:eastAsia="zh-CN"/>
        </w:rPr>
        <w:t xml:space="preserve">六</w:t>
      </w:r>
      <w:r>
        <w:rPr>
          <w:rFonts w:hint="eastAsia" w:ascii="宋体" w:hAnsi="宋体" w:cs="宋体"/>
          <w:sz w:val="24"/>
          <w:highlight w:val="none"/>
        </w:rPr>
        <w:t xml:space="preserve">、同意向贵方提供贵方可能要求的与本次磋商采购有关的任何证据或资料。</w:t>
      </w:r>
      <w:r/>
    </w:p>
    <w:p>
      <w:pPr>
        <w:pStyle w:val="1106"/>
        <w:ind w:firstLine="472"/>
        <w:widowControl/>
        <w:rPr>
          <w:rFonts w:hint="eastAsia" w:ascii="宋体" w:hAnsi="宋体" w:cs="宋体"/>
          <w:sz w:val="24"/>
          <w:highlight w:val="none"/>
        </w:rPr>
      </w:pPr>
      <w:r>
        <w:rPr>
          <w:rFonts w:hint="eastAsia" w:ascii="宋体" w:hAnsi="宋体" w:cs="宋体"/>
          <w:sz w:val="24"/>
          <w:highlight w:val="none"/>
          <w:lang w:val="en-US" w:eastAsia="zh-CN"/>
        </w:rPr>
        <w:t xml:space="preserve">七</w:t>
      </w:r>
      <w:r>
        <w:rPr>
          <w:rFonts w:hint="eastAsia" w:ascii="宋体" w:hAnsi="宋体" w:cs="宋体"/>
          <w:sz w:val="24"/>
          <w:highlight w:val="none"/>
        </w:rPr>
        <w:t xml:space="preserve">、完全理解贵方不一定要接受最低的报价或收到的任何报价。</w:t>
      </w:r>
      <w:r/>
    </w:p>
    <w:p>
      <w:pPr>
        <w:pStyle w:val="1106"/>
        <w:ind w:firstLine="472"/>
        <w:widowControl/>
        <w:rPr>
          <w:rFonts w:hint="eastAsia" w:ascii="宋体" w:hAnsi="宋体" w:cs="宋体"/>
          <w:sz w:val="24"/>
          <w:highlight w:val="none"/>
        </w:rPr>
      </w:pPr>
      <w:r>
        <w:rPr>
          <w:rFonts w:hint="eastAsia" w:ascii="宋体" w:hAnsi="宋体" w:cs="宋体"/>
          <w:sz w:val="24"/>
          <w:highlight w:val="none"/>
          <w:lang w:val="en-US" w:eastAsia="zh-CN"/>
        </w:rPr>
        <w:t xml:space="preserve">八</w:t>
      </w:r>
      <w:r>
        <w:rPr>
          <w:rFonts w:hint="eastAsia" w:ascii="宋体" w:hAnsi="宋体" w:cs="宋体"/>
          <w:sz w:val="24"/>
          <w:highlight w:val="none"/>
        </w:rPr>
        <w:t xml:space="preserve">、</w:t>
      </w:r>
      <w:r>
        <w:rPr>
          <w:rFonts w:hint="eastAsia" w:ascii="宋体" w:hAnsi="宋体" w:cs="宋体"/>
          <w:sz w:val="24"/>
          <w:highlight w:val="none"/>
          <w:lang w:eastAsia="zh-CN"/>
        </w:rPr>
        <w:t xml:space="preserve">江苏丛泰建设工程管理有限公司</w:t>
      </w:r>
      <w:r>
        <w:rPr>
          <w:rFonts w:hint="eastAsia" w:ascii="宋体" w:hAnsi="宋体" w:cs="宋体"/>
          <w:sz w:val="24"/>
          <w:highlight w:val="none"/>
        </w:rPr>
        <w:t xml:space="preserve">有权将我单位本项目的《磋商报价表》予以公示，公示的方式由</w:t>
      </w:r>
      <w:r>
        <w:rPr>
          <w:rFonts w:hint="eastAsia" w:ascii="宋体" w:hAnsi="宋体" w:cs="宋体"/>
          <w:sz w:val="24"/>
          <w:highlight w:val="none"/>
          <w:lang w:eastAsia="zh-CN"/>
        </w:rPr>
        <w:t xml:space="preserve">江苏丛泰建设工程管理有限公司</w:t>
      </w:r>
      <w:r>
        <w:rPr>
          <w:rFonts w:hint="eastAsia" w:ascii="宋体" w:hAnsi="宋体" w:cs="宋体"/>
          <w:sz w:val="24"/>
          <w:highlight w:val="none"/>
        </w:rPr>
        <w:t xml:space="preserve">确定。</w:t>
      </w:r>
      <w:r/>
    </w:p>
    <w:p>
      <w:pPr>
        <w:pStyle w:val="1106"/>
        <w:ind w:firstLine="472"/>
        <w:rPr>
          <w:rFonts w:hint="eastAsia" w:ascii="宋体" w:hAnsi="宋体" w:cs="宋体"/>
          <w:sz w:val="24"/>
          <w:highlight w:val="none"/>
        </w:rPr>
      </w:pPr>
      <w:r>
        <w:rPr>
          <w:rFonts w:hint="eastAsia" w:ascii="宋体" w:hAnsi="宋体" w:cs="宋体"/>
          <w:sz w:val="24"/>
          <w:highlight w:val="none"/>
          <w:lang w:val="en-US" w:eastAsia="zh-CN"/>
        </w:rPr>
        <w:t xml:space="preserve">九</w:t>
      </w:r>
      <w:r>
        <w:rPr>
          <w:rFonts w:hint="eastAsia" w:ascii="宋体" w:hAnsi="宋体" w:cs="宋体"/>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06"/>
        <w:ind w:firstLine="472"/>
        <w:rPr>
          <w:rFonts w:hint="eastAsia" w:ascii="宋体" w:hAnsi="宋体" w:cs="宋体"/>
          <w:sz w:val="24"/>
          <w:highlight w:val="none"/>
        </w:rPr>
      </w:pPr>
      <w:r>
        <w:rPr>
          <w:rFonts w:hint="eastAsia" w:ascii="宋体" w:hAnsi="宋体" w:cs="宋体"/>
          <w:sz w:val="24"/>
          <w:highlight w:val="none"/>
        </w:rPr>
      </w:r>
      <w:r/>
    </w:p>
    <w:p>
      <w:pPr>
        <w:pStyle w:val="1106"/>
        <w:widowControl/>
        <w:rPr>
          <w:rFonts w:hint="eastAsia" w:ascii="宋体" w:hAnsi="宋体" w:cs="宋体"/>
          <w:sz w:val="24"/>
          <w:highlight w:val="none"/>
        </w:rPr>
      </w:pPr>
      <w:r>
        <w:rPr>
          <w:rFonts w:hint="eastAsia" w:ascii="宋体" w:hAnsi="宋体" w:cs="宋体"/>
          <w:sz w:val="24"/>
          <w:highlight w:val="none"/>
        </w:rPr>
      </w:r>
      <w:r/>
    </w:p>
    <w:p>
      <w:pPr>
        <w:pStyle w:val="1112"/>
        <w:rPr>
          <w:rFonts w:hint="eastAsia" w:ascii="宋体" w:hAnsi="宋体" w:cs="宋体"/>
          <w:sz w:val="24"/>
          <w:highlight w:val="none"/>
        </w:rPr>
      </w:pPr>
      <w:r>
        <w:rPr>
          <w:rFonts w:hint="eastAsia" w:ascii="宋体" w:hAnsi="宋体" w:cs="宋体"/>
          <w:sz w:val="24"/>
          <w:highlight w:val="none"/>
        </w:rPr>
      </w:r>
      <w:r/>
    </w:p>
    <w:p>
      <w:pPr>
        <w:pStyle w:val="1106"/>
        <w:ind w:firstLine="472"/>
        <w:widowControl/>
        <w:rPr>
          <w:rFonts w:hint="eastAsia" w:ascii="宋体" w:hAnsi="宋体" w:cs="宋体"/>
          <w:sz w:val="24"/>
          <w:highlight w:val="none"/>
        </w:rPr>
      </w:pPr>
      <w:r>
        <w:rPr>
          <w:rFonts w:hint="eastAsia" w:ascii="宋体" w:hAnsi="宋体" w:cs="宋体"/>
          <w:sz w:val="24"/>
          <w:highlight w:val="none"/>
        </w:rPr>
        <w:t xml:space="preserve">供应商（电子签章）：</w:t>
      </w:r>
      <w:r/>
    </w:p>
    <w:p>
      <w:pPr>
        <w:pStyle w:val="1106"/>
        <w:ind w:firstLine="472"/>
        <w:widowControl/>
        <w:rPr>
          <w:rFonts w:hint="eastAsia" w:ascii="宋体" w:hAnsi="宋体" w:cs="宋体"/>
          <w:sz w:val="24"/>
          <w:highlight w:val="none"/>
        </w:rPr>
      </w:pPr>
      <w:r>
        <w:rPr>
          <w:rFonts w:hint="eastAsia" w:ascii="宋体" w:hAnsi="宋体" w:cs="宋体"/>
          <w:sz w:val="24"/>
          <w:highlight w:val="none"/>
        </w:rPr>
        <w:t xml:space="preserve">              </w:t>
      </w:r>
      <w:r/>
    </w:p>
    <w:p>
      <w:pPr>
        <w:pStyle w:val="1106"/>
        <w:ind w:firstLine="472"/>
        <w:widowControl/>
        <w:rPr>
          <w:rFonts w:hint="eastAsia" w:ascii="宋体" w:hAnsi="宋体" w:cs="宋体"/>
          <w:sz w:val="24"/>
          <w:highlight w:val="none"/>
        </w:rPr>
      </w:pPr>
      <w:r>
        <w:rPr>
          <w:rFonts w:hint="eastAsia" w:ascii="宋体" w:hAnsi="宋体" w:cs="宋体"/>
          <w:sz w:val="24"/>
          <w:highlight w:val="none"/>
        </w:rPr>
        <w:t xml:space="preserve">法定代表人或授权代表（签字或盖章）：  </w:t>
      </w:r>
      <w:r/>
    </w:p>
    <w:p>
      <w:pPr>
        <w:pStyle w:val="1106"/>
        <w:ind w:firstLine="472"/>
        <w:widowControl/>
        <w:rPr>
          <w:rFonts w:hint="eastAsia" w:ascii="宋体" w:hAnsi="宋体" w:cs="宋体"/>
          <w:sz w:val="24"/>
          <w:highlight w:val="none"/>
        </w:rPr>
      </w:pPr>
      <w:r>
        <w:rPr>
          <w:rFonts w:hint="eastAsia" w:ascii="宋体" w:hAnsi="宋体" w:cs="宋体"/>
          <w:sz w:val="24"/>
          <w:highlight w:val="none"/>
        </w:rPr>
        <w:t xml:space="preserve">              </w:t>
      </w:r>
      <w:r/>
    </w:p>
    <w:p>
      <w:pPr>
        <w:pStyle w:val="1106"/>
        <w:ind w:firstLine="472"/>
        <w:widowControl/>
        <w:rPr>
          <w:rFonts w:hint="eastAsia" w:ascii="宋体" w:hAnsi="宋体" w:cs="宋体"/>
          <w:sz w:val="24"/>
          <w:highlight w:val="none"/>
        </w:rPr>
      </w:pPr>
      <w:r>
        <w:rPr>
          <w:rFonts w:hint="eastAsia" w:ascii="宋体" w:hAnsi="宋体" w:cs="宋体"/>
          <w:sz w:val="24"/>
          <w:highlight w:val="none"/>
        </w:rPr>
        <w:t xml:space="preserve">联系电话：</w:t>
      </w:r>
      <w:r/>
    </w:p>
    <w:p>
      <w:pPr>
        <w:pStyle w:val="1106"/>
        <w:ind w:firstLine="472"/>
        <w:widowControl/>
        <w:rPr>
          <w:rFonts w:hint="eastAsia" w:ascii="宋体" w:hAnsi="宋体" w:cs="宋体"/>
          <w:sz w:val="24"/>
          <w:highlight w:val="none"/>
        </w:rPr>
      </w:pPr>
      <w:r>
        <w:rPr>
          <w:rFonts w:hint="eastAsia" w:ascii="宋体" w:hAnsi="宋体" w:cs="宋体"/>
          <w:sz w:val="24"/>
          <w:highlight w:val="none"/>
        </w:rPr>
        <w:t xml:space="preserve">              </w:t>
      </w:r>
      <w:r/>
    </w:p>
    <w:p>
      <w:pPr>
        <w:pStyle w:val="1106"/>
        <w:ind w:firstLine="472"/>
        <w:widowControl/>
        <w:rPr>
          <w:rFonts w:hint="eastAsia" w:ascii="宋体" w:hAnsi="宋体" w:cs="宋体"/>
          <w:highlight w:val="none"/>
        </w:rPr>
      </w:pPr>
      <w:r>
        <w:rPr>
          <w:rFonts w:hint="eastAsia" w:ascii="宋体" w:hAnsi="宋体" w:cs="宋体"/>
          <w:sz w:val="24"/>
          <w:highlight w:val="none"/>
        </w:rPr>
        <w:t xml:space="preserve">日期：</w:t>
      </w:r>
      <w:r/>
    </w:p>
    <w:p>
      <w:pPr>
        <w:pStyle w:val="1115"/>
        <w:jc w:val="center"/>
        <w:keepLines w:val="0"/>
        <w:keepNext w:val="0"/>
        <w:widowControl w:val="off"/>
        <w:rPr>
          <w:rStyle w:val="1315"/>
          <w:rFonts w:ascii="宋体" w:hAnsi="宋体"/>
          <w:color w:val="auto"/>
          <w:sz w:val="28"/>
          <w:highlight w:val="none"/>
        </w:rPr>
      </w:pPr>
      <w:r/>
      <w:bookmarkStart w:id="51" w:name="_Toc20703"/>
      <w:r/>
      <w:bookmarkStart w:id="52" w:name="_Toc31803"/>
      <w:r/>
      <w:bookmarkStart w:id="53" w:name="_Toc13867"/>
      <w:r/>
      <w:bookmarkStart w:id="54" w:name="_Toc3776"/>
      <w:r/>
      <w:bookmarkStart w:id="55" w:name="_Toc15508"/>
      <w:r/>
      <w:bookmarkStart w:id="56" w:name="_Toc20926"/>
      <w:r/>
      <w:bookmarkStart w:id="57" w:name="_Toc23619"/>
      <w:r>
        <w:rPr>
          <w:rStyle w:val="1315"/>
          <w:rFonts w:hint="eastAsia" w:ascii="宋体" w:hAnsi="宋体"/>
          <w:color w:val="auto"/>
          <w:sz w:val="28"/>
          <w:highlight w:val="none"/>
          <w:lang w:val="en-US"/>
        </w:rPr>
        <w:t xml:space="preserve">7</w:t>
      </w:r>
      <w:r>
        <w:rPr>
          <w:rStyle w:val="1315"/>
          <w:rFonts w:ascii="宋体" w:hAnsi="宋体"/>
          <w:color w:val="auto"/>
          <w:sz w:val="28"/>
          <w:highlight w:val="none"/>
        </w:rPr>
        <w:t xml:space="preserve">、授权委托书</w:t>
      </w:r>
      <w:bookmarkEnd w:id="51"/>
      <w:r/>
      <w:bookmarkEnd w:id="52"/>
      <w:r/>
      <w:bookmarkEnd w:id="53"/>
      <w:r/>
      <w:bookmarkEnd w:id="54"/>
      <w:r/>
      <w:bookmarkEnd w:id="55"/>
      <w:r/>
      <w:bookmarkEnd w:id="56"/>
      <w:r/>
      <w:bookmarkEnd w:id="57"/>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t xml:space="preserve">委托人（全称）：</w:t>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t xml:space="preserve">地  址：</w:t>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t xml:space="preserve">法定代表人：               </w:t>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t xml:space="preserve">法人营业执照注册号（统一社会信用代码）：</w:t>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t xml:space="preserve">受托人：                  先生（女士）  </w:t>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lang w:val="en-US" w:eastAsia="zh-CN"/>
        </w:rPr>
        <w:t xml:space="preserve">               </w:t>
      </w:r>
      <w:r>
        <w:rPr>
          <w:rFonts w:hint="eastAsia" w:ascii="仿宋" w:hAnsi="仿宋" w:eastAsia="仿宋" w:cs="仿宋"/>
          <w:b/>
          <w:bCs/>
          <w:sz w:val="24"/>
          <w:highlight w:val="none"/>
          <w:lang w:val="en-US" w:eastAsia="zh-CN"/>
        </w:rPr>
        <w:t xml:space="preserve">（注：此处应为手机号码，并保持畅通）</w:t>
      </w:r>
      <w:r>
        <w:rPr>
          <w:rFonts w:hint="eastAsia" w:ascii="宋体" w:hAnsi="宋体" w:cs="宋体"/>
          <w:sz w:val="24"/>
          <w:highlight w:val="none"/>
        </w:rPr>
        <w:t xml:space="preserve">                     </w:t>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t xml:space="preserve">身份证号：</w:t>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t xml:space="preserve">兹委托（           ）全权代表我企业（公司）参与</w:t>
      </w:r>
      <w:r>
        <w:rPr>
          <w:rFonts w:hint="eastAsia" w:ascii="宋体" w:hAnsi="宋体" w:cs="宋体"/>
          <w:sz w:val="24"/>
          <w:highlight w:val="none"/>
          <w:lang w:eastAsia="zh-CN"/>
        </w:rPr>
        <w:t xml:space="preserve">新沂市马陵山镇东北片区管网提升工程</w:t>
      </w:r>
      <w:r>
        <w:rPr>
          <w:rFonts w:hint="eastAsia" w:ascii="宋体" w:hAnsi="宋体" w:cs="宋体"/>
          <w:sz w:val="24"/>
          <w:highlight w:val="none"/>
        </w:rPr>
        <w:t xml:space="preserve">[项目编号：      ]的磋商活动。（           ）以我单位名义所为的行为及签署的文件，我单位均予以认可。有关法律责任均由我单位承担。（           ）无转委托权。</w:t>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t xml:space="preserve">委托期限自     年   月  日起至    年   月   日止。</w:t>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t xml:space="preserve">委托人（电子签章）：</w:t>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t xml:space="preserve">法定代表人（签字或盖章）：</w:t>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pStyle w:val="1106"/>
        <w:spacing w:line="400" w:lineRule="exact"/>
        <w:rPr>
          <w:rFonts w:hint="eastAsia" w:ascii="宋体" w:hAnsi="宋体" w:cs="宋体"/>
          <w:sz w:val="24"/>
          <w:highlight w:val="none"/>
        </w:rPr>
      </w:pPr>
      <w:r>
        <w:rPr>
          <w:rFonts w:hint="eastAsia" w:ascii="宋体" w:hAnsi="宋体" w:cs="宋体"/>
          <w:sz w:val="24"/>
          <w:highlight w:val="none"/>
        </w:rPr>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t xml:space="preserve">受托人（签字或盖章）：</w:t>
      </w:r>
      <w:r/>
    </w:p>
    <w:p>
      <w:pPr>
        <w:pStyle w:val="1106"/>
        <w:spacing w:line="400" w:lineRule="exact"/>
        <w:rPr>
          <w:rFonts w:hint="eastAsia" w:ascii="宋体" w:hAnsi="宋体" w:cs="宋体"/>
          <w:sz w:val="24"/>
          <w:highlight w:val="none"/>
        </w:rPr>
      </w:pPr>
      <w:r>
        <w:rPr>
          <w:rFonts w:hint="eastAsia" w:ascii="宋体" w:hAnsi="宋体" w:cs="宋体"/>
          <w:sz w:val="24"/>
          <w:highlight w:val="none"/>
        </w:rPr>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1106"/>
        <w:ind w:firstLine="472"/>
        <w:spacing w:line="400" w:lineRule="exact"/>
        <w:rPr>
          <w:rFonts w:hint="eastAsia" w:ascii="宋体" w:hAnsi="宋体" w:cs="宋体"/>
          <w:sz w:val="24"/>
          <w:highlight w:val="none"/>
        </w:rPr>
      </w:pPr>
      <w:r>
        <w:rPr>
          <w:rFonts w:hint="eastAsia" w:ascii="宋体" w:hAnsi="宋体" w:cs="宋体"/>
          <w:sz w:val="24"/>
          <w:highlight w:val="none"/>
        </w:rPr>
        <w:t xml:space="preserve">(受托人身份证正反面附后)</w:t>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115"/>
        <w:jc w:val="center"/>
        <w:keepLines w:val="0"/>
        <w:keepNext w:val="0"/>
        <w:spacing w:before="0" w:after="0" w:line="360" w:lineRule="auto"/>
        <w:widowControl w:val="off"/>
        <w:rPr>
          <w:rStyle w:val="1315"/>
          <w:rFonts w:ascii="宋体" w:hAnsi="宋体"/>
          <w:color w:val="auto"/>
          <w:sz w:val="28"/>
          <w:highlight w:val="none"/>
        </w:rPr>
      </w:pPr>
      <w:r/>
      <w:bookmarkStart w:id="58" w:name="_Toc2778"/>
      <w:r/>
      <w:bookmarkStart w:id="59" w:name="_Toc14736"/>
      <w:r/>
      <w:bookmarkStart w:id="60" w:name="_Toc19074"/>
      <w:r/>
      <w:bookmarkStart w:id="61" w:name="_Toc9856"/>
      <w:r/>
      <w:bookmarkStart w:id="62" w:name="_Toc17851"/>
      <w:r>
        <w:rPr>
          <w:rStyle w:val="1315"/>
          <w:rFonts w:hint="eastAsia" w:ascii="宋体" w:hAnsi="宋体"/>
          <w:color w:val="auto"/>
          <w:sz w:val="28"/>
          <w:highlight w:val="none"/>
          <w:lang w:val="en-US"/>
        </w:rPr>
        <w:t xml:space="preserve">8</w:t>
      </w:r>
      <w:r>
        <w:rPr>
          <w:rStyle w:val="1315"/>
          <w:rFonts w:ascii="宋体" w:hAnsi="宋体"/>
          <w:color w:val="auto"/>
          <w:sz w:val="28"/>
          <w:highlight w:val="none"/>
        </w:rPr>
        <w:t xml:space="preserve">、供应商参加政府采购活动前三年内在经营活动中</w:t>
      </w:r>
      <w:bookmarkStart w:id="63" w:name="_Toc16176"/>
      <w:r>
        <w:rPr>
          <w:rStyle w:val="1315"/>
          <w:rFonts w:ascii="宋体" w:hAnsi="宋体"/>
          <w:color w:val="auto"/>
          <w:sz w:val="28"/>
          <w:highlight w:val="none"/>
        </w:rPr>
        <w:t xml:space="preserve">没有重大违法记录的书面声明</w:t>
      </w:r>
      <w:bookmarkEnd w:id="58"/>
      <w:r/>
      <w:bookmarkEnd w:id="59"/>
      <w:r/>
      <w:bookmarkEnd w:id="60"/>
      <w:r/>
      <w:bookmarkEnd w:id="61"/>
      <w:r/>
      <w:bookmarkEnd w:id="62"/>
      <w:r/>
      <w:bookmarkEnd w:id="63"/>
      <w:r/>
      <w:r/>
    </w:p>
    <w:p>
      <w:pPr>
        <w:pStyle w:val="1106"/>
        <w:jc w:val="left"/>
        <w:spacing w:line="360" w:lineRule="auto"/>
        <w:widowControl w:val="off"/>
        <w:rPr>
          <w:rStyle w:val="1315"/>
          <w:rFonts w:ascii="宋体" w:hAnsi="宋体"/>
          <w:color w:val="auto"/>
          <w:sz w:val="24"/>
          <w:highlight w:val="none"/>
        </w:rPr>
      </w:pPr>
      <w:r>
        <w:rPr>
          <w:rFonts w:ascii="宋体" w:hAnsi="宋体"/>
          <w:color w:val="auto"/>
          <w:sz w:val="24"/>
          <w:highlight w:val="none"/>
        </w:rPr>
      </w:r>
      <w:r/>
    </w:p>
    <w:p>
      <w:pPr>
        <w:pStyle w:val="1106"/>
        <w:ind w:firstLine="480"/>
        <w:jc w:val="left"/>
        <w:spacing w:line="480" w:lineRule="auto"/>
        <w:widowControl w:val="off"/>
        <w:rPr>
          <w:rStyle w:val="1315"/>
          <w:rFonts w:ascii="宋体" w:hAnsi="宋体"/>
          <w:color w:val="auto"/>
          <w:sz w:val="24"/>
          <w:highlight w:val="none"/>
        </w:rPr>
      </w:pPr>
      <w:r>
        <w:rPr>
          <w:rStyle w:val="1315"/>
          <w:rFonts w:ascii="宋体" w:hAnsi="宋体"/>
          <w:color w:val="auto"/>
          <w:sz w:val="24"/>
          <w:highlight w:val="none"/>
        </w:rPr>
        <w:t xml:space="preserve">我单位在参加</w:t>
      </w:r>
      <w:r>
        <w:rPr>
          <w:rStyle w:val="1315"/>
          <w:rFonts w:ascii="宋体" w:hAnsi="宋体"/>
          <w:color w:val="auto"/>
          <w:sz w:val="24"/>
          <w:highlight w:val="none"/>
          <w:u w:val="single"/>
        </w:rPr>
        <w:t xml:space="preserve"> </w:t>
      </w:r>
      <w:r>
        <w:rPr>
          <w:rStyle w:val="1315"/>
          <w:rFonts w:hint="eastAsia" w:ascii="宋体" w:hAnsi="宋体"/>
          <w:color w:val="auto"/>
          <w:sz w:val="24"/>
          <w:highlight w:val="none"/>
          <w:u w:val="single"/>
        </w:rPr>
        <w:t xml:space="preserve">新沂市马陵山镇东北片区管网提升工程</w:t>
      </w:r>
      <w:r>
        <w:rPr>
          <w:rStyle w:val="1315"/>
          <w:rFonts w:ascii="宋体" w:hAnsi="宋体"/>
          <w:color w:val="auto"/>
          <w:sz w:val="24"/>
          <w:highlight w:val="none"/>
          <w:u w:val="single"/>
        </w:rPr>
        <w:t xml:space="preserve"> </w:t>
      </w:r>
      <w:r>
        <w:rPr>
          <w:rStyle w:val="1315"/>
          <w:rFonts w:ascii="宋体" w:hAnsi="宋体"/>
          <w:color w:val="auto"/>
          <w:sz w:val="24"/>
          <w:highlight w:val="none"/>
        </w:rPr>
        <w:t xml:space="preserve">[项目编号：</w:t>
      </w:r>
      <w:r>
        <w:rPr>
          <w:rStyle w:val="1315"/>
          <w:rFonts w:hint="eastAsia" w:ascii="宋体" w:hAnsi="宋体"/>
          <w:color w:val="auto"/>
          <w:sz w:val="24"/>
          <w:highlight w:val="none"/>
        </w:rPr>
        <w:t xml:space="preserve">JSZC-320381-JSJL-C2026-0003</w:t>
      </w:r>
      <w:r>
        <w:rPr>
          <w:rStyle w:val="1315"/>
          <w:rFonts w:ascii="宋体" w:hAnsi="宋体"/>
          <w:color w:val="auto"/>
          <w:sz w:val="24"/>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1106"/>
        <w:ind w:firstLine="480"/>
        <w:jc w:val="left"/>
        <w:keepLines w:val="0"/>
        <w:keepNext w:val="0"/>
        <w:pageBreakBefore w:val="0"/>
        <w:spacing w:line="480" w:lineRule="auto"/>
        <w:widowControl w:val="off"/>
        <w:rPr>
          <w:rStyle w:val="1315"/>
          <w:rFonts w:ascii="宋体" w:hAnsi="宋体"/>
          <w:color w:val="auto"/>
          <w:sz w:val="24"/>
          <w:highlight w:val="none"/>
        </w:rPr>
        <w:outlineLvl w:val="9"/>
      </w:pPr>
      <w:r>
        <w:rPr>
          <w:rStyle w:val="1315"/>
          <w:rFonts w:ascii="宋体" w:hAnsi="宋体"/>
          <w:color w:val="auto"/>
          <w:sz w:val="24"/>
          <w:highlight w:val="none"/>
        </w:rPr>
        <w:t xml:space="preserve">我单位对上述声明的真实性负责。如有虚假，将依法承担相应责任。</w:t>
      </w:r>
      <w:r/>
    </w:p>
    <w:p>
      <w:pPr>
        <w:pStyle w:val="1106"/>
        <w:jc w:val="left"/>
        <w:spacing w:line="360" w:lineRule="auto"/>
        <w:widowControl w:val="off"/>
        <w:rPr>
          <w:rStyle w:val="1315"/>
          <w:rFonts w:ascii="宋体" w:hAnsi="宋体"/>
          <w:color w:val="auto"/>
          <w:sz w:val="24"/>
          <w:highlight w:val="none"/>
        </w:rPr>
      </w:pPr>
      <w:r>
        <w:rPr>
          <w:rFonts w:ascii="宋体" w:hAnsi="宋体"/>
          <w:color w:val="auto"/>
          <w:sz w:val="24"/>
          <w:highlight w:val="none"/>
        </w:rPr>
      </w:r>
      <w:r/>
    </w:p>
    <w:p>
      <w:pPr>
        <w:pStyle w:val="1106"/>
        <w:jc w:val="left"/>
        <w:spacing w:line="360" w:lineRule="auto"/>
        <w:widowControl w:val="off"/>
        <w:rPr>
          <w:rStyle w:val="1315"/>
          <w:rFonts w:ascii="宋体" w:hAnsi="宋体"/>
          <w:color w:val="auto"/>
          <w:sz w:val="24"/>
          <w:highlight w:val="none"/>
        </w:rPr>
      </w:pPr>
      <w:r>
        <w:rPr>
          <w:rFonts w:ascii="宋体" w:hAnsi="宋体"/>
          <w:color w:val="auto"/>
          <w:sz w:val="24"/>
          <w:highlight w:val="none"/>
        </w:rPr>
      </w:r>
      <w:r/>
    </w:p>
    <w:p>
      <w:pPr>
        <w:pStyle w:val="1106"/>
        <w:jc w:val="left"/>
        <w:spacing w:line="360" w:lineRule="auto"/>
        <w:widowControl w:val="off"/>
        <w:rPr>
          <w:rStyle w:val="1315"/>
          <w:rFonts w:ascii="宋体" w:hAnsi="宋体"/>
          <w:color w:val="auto"/>
          <w:sz w:val="24"/>
          <w:highlight w:val="none"/>
        </w:rPr>
      </w:pPr>
      <w:r>
        <w:rPr>
          <w:rStyle w:val="1315"/>
          <w:rFonts w:ascii="宋体" w:hAnsi="宋体"/>
          <w:color w:val="auto"/>
          <w:sz w:val="24"/>
          <w:highlight w:val="none"/>
        </w:rPr>
        <w:t xml:space="preserve">                           供应商（</w:t>
      </w:r>
      <w:r>
        <w:rPr>
          <w:rStyle w:val="1315"/>
          <w:rFonts w:hint="eastAsia" w:ascii="宋体" w:hAnsi="宋体"/>
          <w:color w:val="auto"/>
          <w:sz w:val="24"/>
          <w:szCs w:val="24"/>
          <w:highlight w:val="none"/>
        </w:rPr>
        <w:t xml:space="preserve">电子签章</w:t>
      </w:r>
      <w:r>
        <w:rPr>
          <w:rStyle w:val="1315"/>
          <w:rFonts w:ascii="宋体" w:hAnsi="宋体"/>
          <w:color w:val="auto"/>
          <w:sz w:val="24"/>
          <w:highlight w:val="none"/>
        </w:rPr>
        <w:t xml:space="preserve">）：</w:t>
      </w:r>
      <w:r/>
    </w:p>
    <w:p>
      <w:pPr>
        <w:pStyle w:val="1106"/>
        <w:jc w:val="left"/>
        <w:spacing w:line="360" w:lineRule="auto"/>
        <w:widowControl w:val="off"/>
        <w:rPr>
          <w:rStyle w:val="1315"/>
          <w:rFonts w:ascii="宋体" w:hAnsi="宋体"/>
          <w:color w:val="auto"/>
          <w:sz w:val="24"/>
          <w:highlight w:val="none"/>
        </w:rPr>
      </w:pPr>
      <w:r>
        <w:rPr>
          <w:rStyle w:val="1315"/>
          <w:rFonts w:ascii="宋体" w:hAnsi="宋体"/>
          <w:color w:val="auto"/>
          <w:sz w:val="24"/>
          <w:highlight w:val="none"/>
        </w:rPr>
        <w:t xml:space="preserve">                           </w:t>
      </w:r>
      <w:r>
        <w:rPr>
          <w:rFonts w:ascii="宋体" w:hAnsi="宋体"/>
          <w:color w:val="auto"/>
          <w:sz w:val="24"/>
          <w:szCs w:val="24"/>
          <w:highlight w:val="none"/>
        </w:rPr>
        <w:t xml:space="preserve">法定代表人或授权代表</w:t>
      </w:r>
      <w:r>
        <w:rPr>
          <w:rStyle w:val="1315"/>
          <w:rFonts w:ascii="宋体" w:hAnsi="宋体"/>
          <w:color w:val="auto"/>
          <w:sz w:val="24"/>
          <w:highlight w:val="none"/>
        </w:rPr>
        <w:t xml:space="preserve">（签字或盖章）：  </w:t>
      </w:r>
      <w:r/>
    </w:p>
    <w:p>
      <w:pPr>
        <w:pStyle w:val="1106"/>
        <w:jc w:val="left"/>
        <w:spacing w:line="360" w:lineRule="auto"/>
        <w:widowControl w:val="off"/>
        <w:rPr>
          <w:rFonts w:ascii="宋体" w:hAnsi="宋体"/>
          <w:color w:val="auto"/>
          <w:sz w:val="24"/>
          <w:highlight w:val="none"/>
        </w:rPr>
      </w:pPr>
      <w:r>
        <w:rPr>
          <w:rStyle w:val="1315"/>
          <w:rFonts w:ascii="宋体" w:hAnsi="宋体"/>
          <w:color w:val="auto"/>
          <w:sz w:val="24"/>
          <w:highlight w:val="none"/>
        </w:rPr>
        <w:t xml:space="preserve">                           日期： </w:t>
      </w:r>
      <w:r/>
    </w:p>
    <w:p>
      <w:pPr>
        <w:pStyle w:val="1291"/>
        <w:spacing w:before="0" w:beforeAutospacing="0" w:after="0" w:afterAutospacing="0" w:line="360" w:lineRule="auto"/>
        <w:widowControl w:val="off"/>
        <w:rPr>
          <w:rFonts w:hint="eastAsia" w:ascii="宋体" w:hAnsi="宋体" w:cs="宋体"/>
          <w:sz w:val="18"/>
          <w:szCs w:val="18"/>
          <w:highlight w:val="none"/>
        </w:rPr>
      </w:pPr>
      <w:r>
        <w:rPr>
          <w:rFonts w:hint="eastAsia" w:ascii="宋体" w:hAnsi="宋体" w:cs="宋体"/>
          <w:sz w:val="18"/>
          <w:szCs w:val="18"/>
          <w:highlight w:val="none"/>
        </w:rPr>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053"/>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096"/>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113"/>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105"/>
        <w:numPr>
          <w:ilvl w:val="0"/>
          <w:numId w:val="0"/>
        </w:numPr>
        <w:rPr>
          <w:rFonts w:hint="eastAsia"/>
          <w:lang w:val="en-US" w:eastAsia="zh-CN"/>
        </w:rPr>
      </w:pPr>
      <w:r>
        <w:rPr>
          <w:rFonts w:hint="eastAsia"/>
          <w:lang w:val="en-US" w:eastAsia="zh-CN"/>
        </w:rPr>
      </w:r>
      <w:r/>
    </w:p>
    <w:p>
      <w:pPr>
        <w:pStyle w:val="1106"/>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107"/>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109"/>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109"/>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109"/>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1115"/>
        <w:jc w:val="center"/>
        <w:keepLines w:val="0"/>
        <w:keepNext w:val="0"/>
        <w:spacing w:before="0" w:after="0" w:line="360" w:lineRule="auto"/>
        <w:widowControl w:val="off"/>
        <w:rPr>
          <w:rStyle w:val="1315"/>
          <w:rFonts w:hint="eastAsia" w:ascii="宋体" w:hAnsi="宋体" w:eastAsia="宋体" w:cs="Times New Roman"/>
          <w:color w:val="auto"/>
          <w:sz w:val="28"/>
          <w:szCs w:val="22"/>
          <w:highlight w:val="none"/>
          <w:lang w:val="en-US"/>
        </w:rPr>
      </w:pPr>
      <w:r>
        <w:rPr>
          <w:rStyle w:val="1315"/>
          <w:rFonts w:hint="eastAsia" w:ascii="宋体" w:hAnsi="宋体" w:eastAsia="宋体" w:cs="Times New Roman"/>
          <w:color w:val="auto"/>
          <w:sz w:val="28"/>
          <w:szCs w:val="22"/>
          <w:highlight w:val="none"/>
          <w:lang w:val="en-US" w:eastAsia="zh-CN"/>
        </w:rPr>
        <w:t xml:space="preserve">9、具备履行合同所必需的设备和专业技术能力的书面声明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keepLines w:val="0"/>
        <w:keepNext w:val="0"/>
        <w:pageBreakBefore w:val="0"/>
        <w:spacing w:before="0" w:after="0" w:line="240" w:lineRule="auto"/>
        <w:widowControl/>
        <w:rPr>
          <w:rFonts w:hint="eastAsia" w:eastAsia="宋体"/>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新沂市马陵山镇东北片区管网提升工程</w:t>
      </w:r>
      <w:r/>
    </w:p>
    <w:p>
      <w:pPr>
        <w:ind w:left="0" w:right="0" w:firstLine="482"/>
        <w:jc w:val="both"/>
        <w:keepLines w:val="0"/>
        <w:keepNext w:val="0"/>
        <w:pageBreakBefore w:val="0"/>
        <w:spacing w:before="0" w:after="0" w:line="240" w:lineRule="auto"/>
        <w:widowControl/>
        <w:rPr>
          <w:rFonts w:hint="eastAsia" w:eastAsia="宋体"/>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JSZC-320381-JSJL-C2026-0003</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2"/>
        <w:jc w:val="both"/>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供应商郑重声明：供应商具备履行合同（项目名称：</w:t>
      </w:r>
      <w:r>
        <w:rPr>
          <w:rFonts w:hint="eastAsia" w:ascii="宋体" w:hAnsi="宋体" w:cs="宋体"/>
          <w:color w:val="000000"/>
          <w:sz w:val="24"/>
          <w:lang w:eastAsia="zh-CN"/>
        </w:rPr>
        <w:t xml:space="preserve">新沂市马陵山镇东北片区管网提升工程</w:t>
      </w:r>
      <w:r>
        <w:rPr>
          <w:rFonts w:ascii="宋体" w:hAnsi="宋体" w:eastAsia="宋体" w:cs="宋体"/>
          <w:color w:val="000000"/>
          <w:sz w:val="24"/>
        </w:rPr>
        <w:t xml:space="preserve">，项目编号：</w:t>
      </w:r>
      <w:r>
        <w:rPr>
          <w:rStyle w:val="1315"/>
          <w:rFonts w:hint="eastAsia" w:ascii="宋体" w:hAnsi="宋体"/>
          <w:color w:val="auto"/>
          <w:sz w:val="24"/>
          <w:highlight w:val="none"/>
        </w:rPr>
        <w:t xml:space="preserve">JSZC-320381-JSJL-C2026-0003</w:t>
      </w:r>
      <w:r>
        <w:rPr>
          <w:rFonts w:ascii="宋体" w:hAnsi="宋体" w:eastAsia="宋体" w:cs="宋体"/>
          <w:color w:val="000000"/>
          <w:sz w:val="24"/>
        </w:rPr>
        <w:t xml:space="preserve">）所必需的设备和专业技术能力</w:t>
      </w:r>
      <w:r>
        <w:rPr>
          <w:rFonts w:hint="eastAsia" w:ascii="宋体" w:hAnsi="宋体" w:cs="宋体"/>
          <w:color w:val="000000"/>
          <w:sz w:val="24"/>
          <w:lang w:eastAsia="zh-CN"/>
        </w:rPr>
        <w:t xml:space="preserve">。</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特此声明。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供应商对上述声明的真实性负责。如有虚假，将依法承担相应责任。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1106"/>
        <w:jc w:val="left"/>
        <w:spacing w:line="360" w:lineRule="auto"/>
        <w:widowControl w:val="off"/>
        <w:rPr>
          <w:rStyle w:val="1315"/>
          <w:rFonts w:hint="eastAsia" w:ascii="宋体" w:hAnsi="宋体"/>
          <w:color w:val="auto"/>
          <w:sz w:val="24"/>
          <w:szCs w:val="22"/>
          <w:highlight w:val="none"/>
          <w:lang w:val="en-US"/>
        </w:rPr>
      </w:pPr>
      <w:r>
        <w:rPr>
          <w:rStyle w:val="1315"/>
          <w:rFonts w:ascii="宋体" w:hAnsi="宋体"/>
          <w:color w:val="auto"/>
          <w:sz w:val="24"/>
          <w:highlight w:val="none"/>
        </w:rPr>
        <w:t xml:space="preserve"> </w:t>
      </w:r>
      <w:r>
        <w:rPr>
          <w:rStyle w:val="1315"/>
          <w:rFonts w:hint="eastAsia" w:ascii="宋体" w:hAnsi="宋体"/>
          <w:color w:val="auto"/>
          <w:sz w:val="24"/>
          <w:highlight w:val="none"/>
          <w:lang w:val="en-US"/>
        </w:rPr>
        <w:t xml:space="preserve">                          </w:t>
      </w:r>
      <w:r/>
    </w:p>
    <w:p>
      <w:pPr>
        <w:pStyle w:val="1106"/>
        <w:ind w:firstLine="3360"/>
        <w:jc w:val="left"/>
        <w:spacing w:line="360" w:lineRule="auto"/>
        <w:widowControl w:val="off"/>
        <w:rPr>
          <w:rStyle w:val="1315"/>
          <w:rFonts w:ascii="宋体" w:hAnsi="宋体"/>
          <w:color w:val="auto"/>
          <w:sz w:val="24"/>
          <w:szCs w:val="22"/>
          <w:highlight w:val="none"/>
        </w:rPr>
      </w:pPr>
      <w:r>
        <w:rPr>
          <w:rStyle w:val="1315"/>
          <w:rFonts w:ascii="宋体" w:hAnsi="宋体"/>
          <w:color w:val="auto"/>
          <w:sz w:val="24"/>
          <w:szCs w:val="22"/>
          <w:highlight w:val="none"/>
        </w:rPr>
        <w:t xml:space="preserve">供应商（</w:t>
      </w:r>
      <w:r>
        <w:rPr>
          <w:rStyle w:val="1315"/>
          <w:rFonts w:hint="eastAsia" w:ascii="宋体" w:hAnsi="宋体"/>
          <w:color w:val="auto"/>
          <w:sz w:val="24"/>
          <w:szCs w:val="22"/>
          <w:highlight w:val="none"/>
        </w:rPr>
        <w:t xml:space="preserve">电子签章</w:t>
      </w:r>
      <w:r>
        <w:rPr>
          <w:rStyle w:val="1315"/>
          <w:rFonts w:ascii="宋体" w:hAnsi="宋体"/>
          <w:color w:val="auto"/>
          <w:sz w:val="24"/>
          <w:szCs w:val="22"/>
          <w:highlight w:val="none"/>
        </w:rPr>
        <w:t xml:space="preserve">）：</w:t>
      </w:r>
      <w:r/>
    </w:p>
    <w:p>
      <w:pPr>
        <w:pStyle w:val="1106"/>
        <w:jc w:val="left"/>
        <w:spacing w:line="360" w:lineRule="auto"/>
        <w:widowControl w:val="off"/>
        <w:rPr>
          <w:rStyle w:val="1315"/>
          <w:rFonts w:ascii="宋体" w:hAnsi="宋体"/>
          <w:color w:val="auto"/>
          <w:sz w:val="24"/>
          <w:szCs w:val="22"/>
          <w:highlight w:val="none"/>
        </w:rPr>
      </w:pPr>
      <w:r>
        <w:rPr>
          <w:rStyle w:val="1315"/>
          <w:rFonts w:ascii="宋体" w:hAnsi="宋体"/>
          <w:color w:val="auto"/>
          <w:sz w:val="24"/>
          <w:szCs w:val="22"/>
          <w:highlight w:val="none"/>
        </w:rPr>
        <w:t xml:space="preserve">                           </w:t>
      </w:r>
      <w:r>
        <w:rPr>
          <w:rStyle w:val="1315"/>
          <w:rFonts w:hint="eastAsia" w:ascii="宋体" w:hAnsi="宋体"/>
          <w:color w:val="auto"/>
          <w:sz w:val="24"/>
          <w:szCs w:val="22"/>
          <w:highlight w:val="none"/>
          <w:lang w:val="en-US"/>
        </w:rPr>
        <w:t xml:space="preserve"> </w:t>
      </w:r>
      <w:r>
        <w:rPr>
          <w:rStyle w:val="1315"/>
          <w:rFonts w:ascii="宋体" w:hAnsi="宋体"/>
          <w:color w:val="auto"/>
          <w:sz w:val="24"/>
          <w:szCs w:val="22"/>
          <w:highlight w:val="none"/>
        </w:rPr>
        <w:t xml:space="preserve">法定代表人或授权代表（签字或盖章）：  </w:t>
      </w:r>
      <w:r/>
    </w:p>
    <w:p>
      <w:pPr>
        <w:pStyle w:val="1106"/>
        <w:jc w:val="left"/>
        <w:spacing w:line="360" w:lineRule="auto"/>
        <w:widowControl w:val="off"/>
        <w:rPr>
          <w:rFonts w:ascii="宋体" w:hAnsi="宋体"/>
          <w:color w:val="auto"/>
          <w:sz w:val="24"/>
          <w:highlight w:val="none"/>
        </w:rPr>
      </w:pPr>
      <w:r>
        <w:rPr>
          <w:rStyle w:val="1315"/>
          <w:rFonts w:ascii="宋体" w:hAnsi="宋体"/>
          <w:color w:val="auto"/>
          <w:sz w:val="24"/>
          <w:highlight w:val="none"/>
        </w:rPr>
        <w:t xml:space="preserve">                           </w:t>
      </w:r>
      <w:r>
        <w:rPr>
          <w:rStyle w:val="1315"/>
          <w:rFonts w:hint="eastAsia" w:ascii="宋体" w:hAnsi="宋体"/>
          <w:color w:val="auto"/>
          <w:sz w:val="24"/>
          <w:highlight w:val="none"/>
          <w:lang w:val="en-US"/>
        </w:rPr>
        <w:t xml:space="preserve"> </w:t>
      </w:r>
      <w:r>
        <w:rPr>
          <w:rStyle w:val="1315"/>
          <w:rFonts w:ascii="宋体" w:hAnsi="宋体"/>
          <w:color w:val="auto"/>
          <w:sz w:val="24"/>
          <w:highlight w:val="none"/>
        </w:rPr>
        <w:t xml:space="preserve">日期： </w:t>
      </w:r>
      <w:r/>
    </w:p>
    <w:p>
      <w:pPr>
        <w:pStyle w:val="1053"/>
        <w:rPr>
          <w:rFonts w:ascii="宋体" w:hAnsi="宋体" w:eastAsia="宋体" w:cs="宋体"/>
          <w:color w:val="000000"/>
          <w:sz w:val="24"/>
        </w:rPr>
      </w:pPr>
      <w:r>
        <w:rPr>
          <w:rFonts w:ascii="宋体" w:hAnsi="宋体" w:eastAsia="宋体" w:cs="宋体"/>
          <w:color w:val="000000"/>
          <w:sz w:val="24"/>
        </w:rPr>
      </w:r>
      <w:r/>
    </w:p>
    <w:p>
      <w:pPr>
        <w:pStyle w:val="1096"/>
        <w:rPr>
          <w:rFonts w:ascii="宋体" w:hAnsi="宋体" w:eastAsia="宋体" w:cs="宋体"/>
          <w:color w:val="000000"/>
          <w:sz w:val="24"/>
        </w:rPr>
      </w:pPr>
      <w:r>
        <w:rPr>
          <w:rFonts w:ascii="宋体" w:hAnsi="宋体" w:eastAsia="宋体" w:cs="宋体"/>
          <w:color w:val="000000"/>
          <w:sz w:val="24"/>
        </w:rPr>
      </w:r>
      <w:r/>
    </w:p>
    <w:p>
      <w:pPr>
        <w:pStyle w:val="1113"/>
        <w:rPr>
          <w:rFonts w:ascii="宋体" w:hAnsi="宋体" w:eastAsia="宋体" w:cs="宋体"/>
          <w:color w:val="000000"/>
          <w:sz w:val="24"/>
        </w:rPr>
      </w:pPr>
      <w:r>
        <w:rPr>
          <w:rFonts w:ascii="宋体" w:hAnsi="宋体" w:eastAsia="宋体" w:cs="宋体"/>
          <w:color w:val="000000"/>
          <w:sz w:val="24"/>
        </w:rPr>
      </w:r>
      <w:r/>
    </w:p>
    <w:p>
      <w:pPr>
        <w:pStyle w:val="1105"/>
        <w:numPr>
          <w:ilvl w:val="0"/>
          <w:numId w:val="0"/>
        </w:numPr>
      </w:pPr>
      <w:r/>
      <w:r/>
    </w:p>
    <w:p>
      <w:pPr>
        <w:pStyle w:val="1106"/>
        <w:rPr>
          <w:rFonts w:ascii="宋体" w:hAnsi="宋体" w:eastAsia="宋体" w:cs="宋体"/>
          <w:color w:val="000000"/>
          <w:sz w:val="24"/>
        </w:rPr>
      </w:pPr>
      <w:r>
        <w:rPr>
          <w:rFonts w:ascii="宋体" w:hAnsi="宋体" w:eastAsia="宋体" w:cs="宋体"/>
          <w:color w:val="000000"/>
          <w:sz w:val="24"/>
        </w:rPr>
      </w:r>
      <w:r/>
    </w:p>
    <w:p>
      <w:pPr>
        <w:pStyle w:val="1107"/>
        <w:rPr>
          <w:rFonts w:ascii="宋体" w:hAnsi="宋体" w:eastAsia="宋体" w:cs="宋体"/>
          <w:color w:val="000000"/>
          <w:sz w:val="24"/>
        </w:rPr>
      </w:pPr>
      <w:r>
        <w:rPr>
          <w:rFonts w:ascii="宋体" w:hAnsi="宋体" w:eastAsia="宋体" w:cs="宋体"/>
          <w:color w:val="000000"/>
          <w:sz w:val="24"/>
        </w:rPr>
      </w:r>
      <w:r/>
    </w:p>
    <w:p>
      <w:pPr>
        <w:pStyle w:val="1109"/>
        <w:rPr>
          <w:rFonts w:ascii="宋体" w:hAnsi="宋体" w:eastAsia="宋体" w:cs="宋体"/>
          <w:color w:val="000000"/>
          <w:sz w:val="24"/>
        </w:rPr>
      </w:pPr>
      <w:r>
        <w:rPr>
          <w:rFonts w:ascii="宋体" w:hAnsi="宋体" w:eastAsia="宋体" w:cs="宋体"/>
          <w:color w:val="000000"/>
          <w:sz w:val="24"/>
        </w:rPr>
      </w:r>
      <w:r/>
    </w:p>
    <w:p>
      <w:pPr>
        <w:pStyle w:val="1109"/>
        <w:rPr>
          <w:rFonts w:ascii="宋体" w:hAnsi="宋体" w:eastAsia="宋体" w:cs="宋体"/>
          <w:color w:val="000000"/>
          <w:sz w:val="24"/>
        </w:rPr>
      </w:pPr>
      <w:r>
        <w:rPr>
          <w:rFonts w:ascii="宋体" w:hAnsi="宋体" w:eastAsia="宋体" w:cs="宋体"/>
          <w:color w:val="000000"/>
          <w:sz w:val="24"/>
        </w:rPr>
      </w:r>
      <w:r/>
    </w:p>
    <w:p>
      <w:pPr>
        <w:pStyle w:val="1109"/>
        <w:rPr>
          <w:rFonts w:ascii="宋体" w:hAnsi="宋体" w:eastAsia="宋体" w:cs="宋体"/>
          <w:color w:val="000000"/>
          <w:sz w:val="24"/>
        </w:rPr>
      </w:pPr>
      <w:r>
        <w:rPr>
          <w:rFonts w:ascii="宋体" w:hAnsi="宋体" w:eastAsia="宋体" w:cs="宋体"/>
          <w:color w:val="000000"/>
          <w:sz w:val="24"/>
        </w:rPr>
      </w:r>
      <w:r/>
    </w:p>
    <w:p>
      <w:pPr>
        <w:pStyle w:val="1109"/>
        <w:rPr>
          <w:rFonts w:ascii="宋体" w:hAnsi="宋体" w:eastAsia="宋体" w:cs="宋体"/>
          <w:color w:val="000000"/>
          <w:sz w:val="24"/>
        </w:rPr>
      </w:pPr>
      <w:r>
        <w:rPr>
          <w:rFonts w:ascii="宋体" w:hAnsi="宋体" w:eastAsia="宋体" w:cs="宋体"/>
          <w:color w:val="000000"/>
          <w:sz w:val="24"/>
        </w:rPr>
      </w:r>
      <w:r/>
    </w:p>
    <w:p>
      <w:pPr>
        <w:pStyle w:val="1109"/>
        <w:rPr>
          <w:rFonts w:ascii="宋体" w:hAnsi="宋体" w:eastAsia="宋体" w:cs="宋体"/>
          <w:color w:val="000000"/>
          <w:sz w:val="24"/>
        </w:rPr>
      </w:pPr>
      <w:r>
        <w:rPr>
          <w:rFonts w:ascii="宋体" w:hAnsi="宋体" w:eastAsia="宋体" w:cs="宋体"/>
          <w:color w:val="000000"/>
          <w:sz w:val="24"/>
        </w:rPr>
      </w:r>
      <w:r/>
    </w:p>
    <w:p>
      <w:pPr>
        <w:pStyle w:val="1109"/>
        <w:rPr>
          <w:rFonts w:ascii="宋体" w:hAnsi="宋体" w:eastAsia="宋体" w:cs="宋体"/>
          <w:color w:val="000000"/>
          <w:sz w:val="24"/>
        </w:rPr>
      </w:pPr>
      <w:r>
        <w:rPr>
          <w:rFonts w:ascii="宋体" w:hAnsi="宋体" w:eastAsia="宋体" w:cs="宋体"/>
          <w:color w:val="000000"/>
          <w:sz w:val="24"/>
        </w:rPr>
      </w:r>
      <w:r/>
    </w:p>
    <w:p>
      <w:pPr>
        <w:pStyle w:val="1109"/>
        <w:rPr>
          <w:rFonts w:ascii="宋体" w:hAnsi="宋体" w:eastAsia="宋体" w:cs="宋体"/>
          <w:color w:val="000000"/>
          <w:sz w:val="24"/>
        </w:rPr>
      </w:pPr>
      <w:r>
        <w:rPr>
          <w:rFonts w:ascii="宋体" w:hAnsi="宋体" w:eastAsia="宋体" w:cs="宋体"/>
          <w:color w:val="000000"/>
          <w:sz w:val="24"/>
        </w:rPr>
      </w:r>
      <w:r/>
    </w:p>
    <w:p>
      <w:pPr>
        <w:pStyle w:val="1115"/>
        <w:jc w:val="center"/>
        <w:keepLines w:val="0"/>
        <w:keepNext w:val="0"/>
        <w:widowControl w:val="off"/>
        <w:rPr>
          <w:rStyle w:val="1315"/>
          <w:rFonts w:ascii="宋体" w:hAnsi="宋体"/>
          <w:color w:val="auto"/>
          <w:sz w:val="28"/>
          <w:highlight w:val="none"/>
        </w:rPr>
      </w:pPr>
      <w:r/>
      <w:bookmarkStart w:id="64" w:name="_Toc10999"/>
      <w:r/>
      <w:bookmarkStart w:id="65" w:name="_Toc10690"/>
      <w:r/>
      <w:bookmarkStart w:id="66" w:name="_Toc5701"/>
      <w:r/>
      <w:bookmarkStart w:id="67" w:name="_Toc21289"/>
      <w:r/>
      <w:bookmarkStart w:id="68" w:name="_Toc8138"/>
      <w:r>
        <w:rPr>
          <w:rStyle w:val="1315"/>
          <w:rFonts w:hint="eastAsia" w:ascii="宋体" w:hAnsi="宋体"/>
          <w:color w:val="auto"/>
          <w:sz w:val="28"/>
          <w:highlight w:val="none"/>
          <w:lang w:val="en-US"/>
        </w:rPr>
        <w:t xml:space="preserve">10</w:t>
      </w:r>
      <w:r>
        <w:rPr>
          <w:rStyle w:val="1315"/>
          <w:rFonts w:ascii="宋体" w:hAnsi="宋体"/>
          <w:color w:val="auto"/>
          <w:sz w:val="28"/>
          <w:highlight w:val="none"/>
        </w:rPr>
        <w:t xml:space="preserve">、中小企业声明函</w:t>
      </w:r>
      <w:bookmarkEnd w:id="64"/>
      <w:r/>
      <w:bookmarkEnd w:id="65"/>
      <w:r/>
      <w:bookmarkEnd w:id="66"/>
      <w:r/>
      <w:bookmarkEnd w:id="67"/>
      <w:r/>
      <w:bookmarkEnd w:id="68"/>
      <w:r/>
      <w:r/>
    </w:p>
    <w:p>
      <w:pPr>
        <w:pStyle w:val="1106"/>
        <w:ind w:firstLine="480"/>
        <w:spacing w:before="292"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新沂市马陵山镇东北片区管网提升工程</w:t>
      </w:r>
      <w:r/>
    </w:p>
    <w:p>
      <w:pPr>
        <w:pStyle w:val="1106"/>
        <w:ind w:firstLine="480"/>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JSZC-320381-JSJL-C2026-0003</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cs="宋体"/>
          <w:sz w:val="24"/>
          <w:szCs w:val="24"/>
          <w:highlight w:val="none"/>
          <w:u w:val="single"/>
          <w:lang w:eastAsia="zh-CN"/>
        </w:rPr>
        <w:t xml:space="preserve">新沂市住房和城乡建设局</w:t>
      </w:r>
      <w:r>
        <w:rPr>
          <w:rFonts w:hint="eastAsia" w:ascii="宋体" w:hAnsi="宋体" w:cs="宋体"/>
          <w:sz w:val="24"/>
          <w:szCs w:val="24"/>
          <w:highlight w:val="none"/>
        </w:rPr>
        <w:t xml:space="preserve">的</w:t>
      </w:r>
      <w:r>
        <w:rPr>
          <w:rFonts w:hint="eastAsia" w:ascii="宋体" w:hAnsi="宋体" w:cs="宋体"/>
          <w:sz w:val="24"/>
          <w:highlight w:val="none"/>
          <w:u w:val="single"/>
          <w:lang w:eastAsia="zh-CN"/>
        </w:rPr>
        <w:t xml:space="preserve">新沂市马陵山镇东北片区管网提升工程</w:t>
      </w:r>
      <w:r>
        <w:rPr>
          <w:rFonts w:hint="eastAsia" w:ascii="宋体" w:hAnsi="宋体" w:cs="宋体"/>
          <w:sz w:val="24"/>
          <w:szCs w:val="24"/>
          <w:highlight w:val="none"/>
        </w:rPr>
        <w:t xml:space="preserve">（项目名称）采购活动，工程的施工单位全部为符合政策要求的中小企业。相关企业（含联合体中的中小企业、签订分包意向协议的中小企业）的具体情况如下：</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lang w:val="en-US" w:eastAsia="zh-CN"/>
        </w:rPr>
        <w:t xml:space="preserve"> </w:t>
      </w:r>
      <w:r>
        <w:rPr>
          <w:rFonts w:hint="eastAsia" w:ascii="宋体" w:hAnsi="宋体" w:cs="宋体"/>
          <w:sz w:val="24"/>
          <w:highlight w:val="none"/>
          <w:u w:val="single"/>
          <w:lang w:eastAsia="zh-CN"/>
        </w:rPr>
        <w:t xml:space="preserve">新沂市马陵山镇东北片区管网提升工程</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 ，属于</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建筑业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承建（承接）企业为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 ，属于</w:t>
      </w:r>
      <w:r>
        <w:rPr>
          <w:rFonts w:hint="eastAsia" w:ascii="宋体" w:hAnsi="宋体" w:cs="宋体"/>
          <w:sz w:val="24"/>
          <w:szCs w:val="24"/>
          <w:highlight w:val="none"/>
          <w:u w:val="single"/>
        </w:rPr>
        <w:t xml:space="preserve">（中型企业、 小型企业、微型企业）</w:t>
      </w:r>
      <w:r>
        <w:rPr>
          <w:rFonts w:hint="eastAsia" w:ascii="宋体" w:hAnsi="宋体" w:cs="宋体"/>
          <w:sz w:val="24"/>
          <w:szCs w:val="24"/>
          <w:highlight w:val="none"/>
        </w:rPr>
        <w:t xml:space="preserve">；</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 </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 </w:t>
      </w:r>
      <w:r/>
    </w:p>
    <w:p>
      <w:pPr>
        <w:ind w:left="600"/>
        <w:spacing w:line="588"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384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企业名称（电子签章）： </w:t>
      </w:r>
      <w:r/>
    </w:p>
    <w:p>
      <w:pPr>
        <w:ind w:firstLine="384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日 期： </w:t>
      </w:r>
      <w:r/>
    </w:p>
    <w:p>
      <w:pPr>
        <w:ind w:left="600"/>
        <w:spacing w:line="588" w:lineRule="exact"/>
        <w:rPr>
          <w:rFonts w:hint="eastAsia" w:ascii="宋体" w:hAnsi="宋体" w:cs="宋体"/>
          <w:sz w:val="24"/>
          <w:highlight w:val="none"/>
        </w:rPr>
      </w:pPr>
      <w:r>
        <w:rPr>
          <w:rFonts w:hint="eastAsia" w:ascii="宋体" w:hAnsi="宋体" w:cs="宋体"/>
          <w:sz w:val="24"/>
          <w:highlight w:val="none"/>
        </w:rPr>
      </w:r>
      <w:r/>
    </w:p>
    <w:p>
      <w:pPr>
        <w:pStyle w:val="105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91"/>
        <w:spacing w:before="0" w:beforeAutospacing="0" w:after="0" w:afterAutospacing="0" w:line="360" w:lineRule="auto"/>
        <w:widowControl w:val="off"/>
        <w:rPr>
          <w:rFonts w:hint="eastAsia" w:ascii="宋体" w:hAnsi="宋体" w:cs="宋体"/>
          <w:sz w:val="18"/>
          <w:szCs w:val="18"/>
          <w:highlight w:val="none"/>
        </w:rPr>
      </w:pPr>
      <w:r>
        <w:rPr>
          <w:rFonts w:hint="eastAsia" w:ascii="宋体" w:hAnsi="宋体" w:cs="宋体"/>
          <w:sz w:val="18"/>
          <w:szCs w:val="18"/>
          <w:highlight w:val="none"/>
        </w:rPr>
        <w:t xml:space="preserve">①：从业人员、营业收入、资产总额填报上一年度数据，无上一年度数据的新成立企业可不填报。</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color w:val="auto"/>
          <w:sz w:val="24"/>
          <w:highlight w:val="none"/>
        </w:rPr>
      </w:pPr>
      <w:r>
        <w:rPr>
          <w:rFonts w:hint="eastAsia" w:ascii="宋体" w:hAnsi="宋体" w:cs="宋体"/>
          <w:b/>
          <w:bCs/>
          <w:color w:val="auto"/>
          <w:sz w:val="36"/>
          <w:szCs w:val="36"/>
          <w:highlight w:val="none"/>
          <w:lang w:val="en-US" w:eastAsia="zh-CN"/>
        </w:rPr>
        <mc:AlternateContent>
          <mc:Choice Requires="wpg">
            <w:drawing>
              <wp:anchor xmlns:wp="http://schemas.openxmlformats.org/drawingml/2006/wordprocessingDrawing" xmlns:wp14="http://schemas.microsoft.com/office/word/2010/wordprocessingDrawing" distT="0" distB="0" distL="114935" distR="114935" simplePos="0" relativeHeight="251685888" behindDoc="1" locked="0" layoutInCell="1" allowOverlap="1">
                <wp:simplePos x="0" y="0"/>
                <wp:positionH relativeFrom="column">
                  <wp:posOffset>1410335</wp:posOffset>
                </wp:positionH>
                <wp:positionV relativeFrom="paragraph">
                  <wp:posOffset>551180</wp:posOffset>
                </wp:positionV>
                <wp:extent cx="2459990" cy="5322570"/>
                <wp:effectExtent l="0" t="0" r="16510" b="11430"/>
                <wp:wrapNone/>
                <wp:docPr id="17"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0" descr="微信图片_20240806121821"/>
                        <pic:cNvPicPr>
                          <a:picLocks noChangeAspect="1"/>
                        </pic:cNvPicPr>
                        <pic:nvPr/>
                      </pic:nvPicPr>
                      <pic:blipFill>
                        <a:blip r:embed="rId30"/>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5888;o:allowoverlap:true;o:allowincell:true;mso-position-horizontal-relative:text;margin-left:111.0pt;mso-position-horizontal:absolute;mso-position-vertical-relative:text;margin-top:43.4pt;mso-position-vertical:absolute;width:193.7pt;height:419.1pt;mso-wrap-distance-left:9.0pt;mso-wrap-distance-top:0.0pt;mso-wrap-distance-right:9.0pt;mso-wrap-distance-bottom:0.0pt;" stroked="false">
                <v:path textboxrect="0,0,0,0"/>
                <v:imagedata r:id="rId30" o:title=""/>
              </v:shape>
            </w:pict>
          </mc:Fallback>
        </mc:AlternateContent>
      </w:r>
      <w:r>
        <w:rPr>
          <w:rFonts w:hint="eastAsia" w:ascii="宋体" w:hAnsi="宋体" w:cs="宋体"/>
          <w:color w:val="auto"/>
          <w:sz w:val="24"/>
          <w:highlight w:val="none"/>
        </w:rPr>
        <w:t xml:space="preserve">“中小企业声明</w:t>
      </w:r>
      <w:r>
        <w:rPr>
          <w:rFonts w:hint="eastAsia" w:ascii="宋体" w:hAnsi="宋体" w:cs="宋体"/>
          <w:color w:val="auto"/>
          <w:sz w:val="24"/>
          <w:highlight w:val="none"/>
          <w:lang w:val="en-US" w:eastAsia="zh-CN"/>
        </w:rPr>
        <w:t xml:space="preserve">函</w:t>
      </w:r>
      <w:r>
        <w:rPr>
          <w:rFonts w:hint="eastAsia" w:ascii="宋体" w:hAnsi="宋体" w:cs="宋体"/>
          <w:color w:val="auto"/>
          <w:sz w:val="24"/>
          <w:highlight w:val="none"/>
        </w:rPr>
        <w:t xml:space="preserve">” 查询渠道用微信搜索“中小企业规模类型自测小程序”。看下列截图。</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rPr>
          <w:rStyle w:val="1315"/>
          <w:rFonts w:ascii="宋体" w:hAnsi="宋体" w:eastAsia="宋体" w:cs="Times New Roman"/>
          <w:b/>
          <w:bCs/>
          <w:color w:val="auto"/>
          <w:sz w:val="28"/>
          <w:szCs w:val="32"/>
          <w:highlight w:val="none"/>
        </w:rPr>
      </w:pPr>
      <w:r>
        <w:rPr>
          <w:rFonts w:hint="eastAsia" w:ascii="宋体" w:hAnsi="宋体" w:cs="宋体"/>
          <w:b/>
          <w:bCs/>
          <w:color w:val="auto"/>
          <w:sz w:val="36"/>
          <w:szCs w:val="36"/>
          <w:highlight w:val="none"/>
          <w:lang w:val="en-US" w:eastAsia="zh-CN"/>
        </w:rPr>
        <w:br w:type="page" w:clear="all"/>
      </w:r>
      <w:bookmarkStart w:id="69" w:name="_Toc21730"/>
      <w:r/>
      <w:bookmarkStart w:id="70" w:name="_Toc2270"/>
      <w:r/>
      <w:bookmarkStart w:id="71" w:name="_Toc7986"/>
      <w:r/>
      <w:bookmarkStart w:id="72" w:name="_Toc27519"/>
      <w:r>
        <w:rPr>
          <w:rStyle w:val="1315"/>
          <w:rFonts w:hint="eastAsia" w:ascii="宋体" w:hAnsi="宋体" w:cs="Times New Roman"/>
          <w:b/>
          <w:bCs/>
          <w:color w:val="auto"/>
          <w:sz w:val="28"/>
          <w:szCs w:val="32"/>
          <w:highlight w:val="none"/>
          <w:lang w:val="en-US"/>
        </w:rPr>
        <w:t xml:space="preserve">11、</w:t>
      </w:r>
      <w:r>
        <w:rPr>
          <w:rStyle w:val="1315"/>
          <w:rFonts w:ascii="宋体" w:hAnsi="宋体" w:eastAsia="宋体" w:cs="Times New Roman"/>
          <w:b/>
          <w:bCs/>
          <w:color w:val="auto"/>
          <w:sz w:val="28"/>
          <w:szCs w:val="32"/>
          <w:highlight w:val="none"/>
        </w:rPr>
        <w:t xml:space="preserve">残疾人福利性单位声明函</w:t>
      </w:r>
      <w:bookmarkEnd w:id="69"/>
      <w:r/>
      <w:bookmarkEnd w:id="70"/>
      <w:r/>
      <w:bookmarkEnd w:id="71"/>
      <w:r/>
      <w:bookmarkEnd w:id="72"/>
      <w:r/>
      <w:r/>
    </w:p>
    <w:p>
      <w:pPr>
        <w:pStyle w:val="1119"/>
        <w:numPr>
          <w:ilvl w:val="0"/>
          <w:numId w:val="0"/>
        </w:numPr>
        <w:ind w:left="840"/>
        <w:jc w:val="center"/>
        <w:rPr>
          <w:rFonts w:ascii="宋体" w:hAnsi="宋体" w:eastAsia="宋体" w:cs="宋体"/>
          <w:b/>
          <w:color w:val="000000"/>
          <w:sz w:val="24"/>
        </w:rPr>
      </w:pPr>
      <w:r>
        <w:rPr>
          <w:rFonts w:ascii="宋体" w:hAnsi="宋体" w:eastAsia="宋体" w:cs="宋体"/>
          <w:b/>
          <w:color w:val="000000"/>
          <w:sz w:val="24"/>
        </w:rPr>
        <w:t xml:space="preserve">（注：</w:t>
      </w:r>
      <w:r>
        <w:rPr>
          <w:rFonts w:ascii="宋体" w:hAnsi="宋体"/>
          <w:b/>
          <w:bCs/>
          <w:color w:val="auto"/>
          <w:sz w:val="24"/>
        </w:rPr>
        <w:t xml:space="preserve">如供应商不属于残疾人福利性单位，不需提供此声明函</w:t>
      </w:r>
      <w:r>
        <w:rPr>
          <w:rFonts w:ascii="宋体" w:hAnsi="宋体" w:eastAsia="宋体" w:cs="宋体"/>
          <w:b/>
          <w:color w:val="000000"/>
          <w:sz w:val="24"/>
        </w:rPr>
        <w:t xml:space="preserve">）</w:t>
      </w:r>
      <w:r/>
    </w:p>
    <w:p>
      <w:pPr>
        <w:pStyle w:val="1122"/>
      </w:pPr>
      <w:r/>
      <w:r/>
    </w:p>
    <w:p>
      <w:pPr>
        <w:pStyle w:val="1106"/>
        <w:jc w:val="left"/>
        <w:spacing w:line="360" w:lineRule="auto"/>
        <w:widowControl w:val="off"/>
        <w:rPr>
          <w:rStyle w:val="1315"/>
          <w:rFonts w:ascii="宋体" w:hAnsi="宋体"/>
          <w:color w:val="auto"/>
          <w:sz w:val="24"/>
          <w:highlight w:val="none"/>
        </w:rPr>
      </w:pPr>
      <w:r>
        <w:rPr>
          <w:rStyle w:val="1315"/>
          <w:rFonts w:ascii="宋体" w:hAnsi="宋体"/>
          <w:color w:val="auto"/>
          <w:sz w:val="24"/>
          <w:highlight w:val="none"/>
        </w:rPr>
        <w:t xml:space="preserve">项目名称：</w:t>
      </w:r>
      <w:r>
        <w:rPr>
          <w:rStyle w:val="1315"/>
          <w:rFonts w:hint="eastAsia" w:ascii="宋体" w:hAnsi="宋体"/>
          <w:color w:val="auto"/>
          <w:sz w:val="24"/>
          <w:highlight w:val="none"/>
        </w:rPr>
        <w:t xml:space="preserve">新沂市马陵山镇东北片区管网提升工程</w:t>
      </w:r>
      <w:r/>
    </w:p>
    <w:p>
      <w:pPr>
        <w:pStyle w:val="1106"/>
        <w:jc w:val="left"/>
        <w:spacing w:line="360" w:lineRule="auto"/>
        <w:widowControl w:val="off"/>
        <w:rPr>
          <w:rStyle w:val="1315"/>
          <w:rFonts w:ascii="宋体" w:hAnsi="宋体"/>
          <w:color w:val="auto"/>
          <w:sz w:val="24"/>
          <w:highlight w:val="none"/>
        </w:rPr>
      </w:pPr>
      <w:r>
        <w:rPr>
          <w:rStyle w:val="1315"/>
          <w:rFonts w:ascii="宋体" w:hAnsi="宋体"/>
          <w:color w:val="auto"/>
          <w:sz w:val="24"/>
          <w:highlight w:val="none"/>
        </w:rPr>
        <w:t xml:space="preserve">项目编号：</w:t>
      </w:r>
      <w:r>
        <w:rPr>
          <w:rStyle w:val="1315"/>
          <w:rFonts w:hint="eastAsia" w:ascii="宋体" w:hAnsi="宋体"/>
          <w:color w:val="auto"/>
          <w:sz w:val="24"/>
          <w:highlight w:val="none"/>
        </w:rPr>
        <w:t xml:space="preserve">JSZC-320381-JSJL-C2026-0003</w:t>
      </w:r>
      <w:r/>
    </w:p>
    <w:p>
      <w:pPr>
        <w:pStyle w:val="1106"/>
        <w:ind w:firstLine="504"/>
        <w:jc w:val="left"/>
        <w:spacing w:line="360" w:lineRule="auto"/>
        <w:widowControl w:val="off"/>
        <w:rPr>
          <w:rStyle w:val="1315"/>
          <w:rFonts w:ascii="宋体" w:hAnsi="宋体"/>
          <w:color w:val="auto"/>
          <w:spacing w:val="6"/>
          <w:sz w:val="24"/>
          <w:highlight w:val="none"/>
        </w:rPr>
      </w:pPr>
      <w:r>
        <w:rPr>
          <w:rStyle w:val="1315"/>
          <w:rFonts w:ascii="宋体" w:hAnsi="宋体"/>
          <w:color w:val="auto"/>
          <w:spacing w:val="6"/>
          <w:sz w:val="24"/>
          <w:highlight w:val="none"/>
        </w:rPr>
        <w:t xml:space="preserve">本单位郑重声明，根据《财政部民政部中国残疾人联合会关于促进残疾人就业政府采购政策的通知》（财库</w:t>
      </w:r>
      <w:r>
        <w:rPr>
          <w:rStyle w:val="1315"/>
          <w:rFonts w:ascii="宋体" w:hAnsi="宋体"/>
          <w:color w:val="auto"/>
          <w:sz w:val="24"/>
          <w:highlight w:val="none"/>
        </w:rPr>
        <w:t xml:space="preserve">〔2017〕141</w:t>
      </w:r>
      <w:r>
        <w:rPr>
          <w:rStyle w:val="1315"/>
          <w:rFonts w:ascii="宋体" w:hAnsi="宋体"/>
          <w:color w:val="auto"/>
          <w:spacing w:val="6"/>
          <w:sz w:val="24"/>
          <w:highlight w:val="none"/>
        </w:rPr>
        <w:t xml:space="preserve">号）的规定，本单位为符合条件的残疾人福利性单位，且本单位参加</w:t>
      </w:r>
      <w:r>
        <w:rPr>
          <w:rStyle w:val="1315"/>
          <w:rFonts w:ascii="宋体" w:hAnsi="宋体"/>
          <w:color w:val="auto"/>
          <w:sz w:val="24"/>
          <w:highlight w:val="none"/>
        </w:rPr>
        <w:t xml:space="preserve">______</w:t>
      </w:r>
      <w:r>
        <w:rPr>
          <w:rStyle w:val="1315"/>
          <w:rFonts w:ascii="宋体" w:hAnsi="宋体"/>
          <w:color w:val="auto"/>
          <w:spacing w:val="6"/>
          <w:sz w:val="24"/>
          <w:highlight w:val="none"/>
        </w:rPr>
        <w:t xml:space="preserve">单位的</w:t>
      </w:r>
      <w:r>
        <w:rPr>
          <w:rStyle w:val="1315"/>
          <w:rFonts w:ascii="宋体" w:hAnsi="宋体"/>
          <w:color w:val="auto"/>
          <w:sz w:val="24"/>
          <w:highlight w:val="none"/>
        </w:rPr>
        <w:t xml:space="preserve">______</w:t>
      </w:r>
      <w:r>
        <w:rPr>
          <w:rStyle w:val="1315"/>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106"/>
        <w:ind w:firstLine="504"/>
        <w:jc w:val="left"/>
        <w:spacing w:line="360" w:lineRule="auto"/>
        <w:widowControl w:val="off"/>
        <w:rPr>
          <w:rStyle w:val="1315"/>
          <w:rFonts w:ascii="宋体" w:hAnsi="宋体"/>
          <w:color w:val="auto"/>
          <w:spacing w:val="6"/>
          <w:sz w:val="24"/>
          <w:highlight w:val="none"/>
        </w:rPr>
      </w:pPr>
      <w:r>
        <w:rPr>
          <w:rStyle w:val="1315"/>
          <w:rFonts w:ascii="宋体" w:hAnsi="宋体"/>
          <w:color w:val="auto"/>
          <w:spacing w:val="6"/>
          <w:sz w:val="24"/>
          <w:highlight w:val="none"/>
        </w:rPr>
        <w:t xml:space="preserve">本单位对上述声明的真实性负责。如有虚假，将依法承担相应责任。</w:t>
      </w:r>
      <w:r/>
    </w:p>
    <w:p>
      <w:pPr>
        <w:pStyle w:val="1106"/>
        <w:ind w:firstLine="504"/>
        <w:jc w:val="left"/>
        <w:spacing w:line="360" w:lineRule="auto"/>
        <w:widowControl w:val="off"/>
        <w:rPr>
          <w:rStyle w:val="1315"/>
          <w:rFonts w:ascii="宋体" w:hAnsi="宋体"/>
          <w:color w:val="auto"/>
          <w:spacing w:val="6"/>
          <w:sz w:val="24"/>
          <w:highlight w:val="none"/>
        </w:rPr>
      </w:pPr>
      <w:r>
        <w:rPr>
          <w:rFonts w:ascii="宋体" w:hAnsi="宋体"/>
          <w:color w:val="auto"/>
          <w:spacing w:val="6"/>
          <w:sz w:val="24"/>
          <w:highlight w:val="none"/>
        </w:rPr>
      </w:r>
      <w:r/>
    </w:p>
    <w:p>
      <w:pPr>
        <w:pStyle w:val="1106"/>
        <w:ind w:firstLine="480"/>
        <w:jc w:val="left"/>
        <w:spacing w:line="360" w:lineRule="auto"/>
        <w:widowControl w:val="off"/>
        <w:rPr>
          <w:rStyle w:val="1315"/>
          <w:rFonts w:ascii="宋体" w:hAnsi="宋体" w:cs="Times New Roman"/>
          <w:color w:val="auto"/>
          <w:sz w:val="24"/>
          <w:szCs w:val="22"/>
          <w:highlight w:val="none"/>
        </w:rPr>
      </w:pPr>
      <w:r>
        <w:rPr>
          <w:rFonts w:ascii="宋体" w:hAnsi="宋体" w:cs="Times New Roman"/>
          <w:color w:val="auto"/>
          <w:sz w:val="24"/>
          <w:szCs w:val="22"/>
          <w:highlight w:val="none"/>
        </w:rPr>
      </w:r>
      <w:r/>
    </w:p>
    <w:p>
      <w:pPr>
        <w:pStyle w:val="1106"/>
        <w:ind w:firstLine="3600"/>
        <w:jc w:val="left"/>
        <w:spacing w:line="360" w:lineRule="auto"/>
        <w:widowControl w:val="off"/>
        <w:rPr>
          <w:rStyle w:val="1315"/>
          <w:rFonts w:ascii="宋体" w:hAnsi="宋体" w:cs="Times New Roman"/>
          <w:color w:val="auto"/>
          <w:sz w:val="24"/>
          <w:szCs w:val="22"/>
          <w:highlight w:val="none"/>
        </w:rPr>
      </w:pPr>
      <w:r>
        <w:rPr>
          <w:rStyle w:val="1315"/>
          <w:rFonts w:ascii="宋体" w:hAnsi="宋体" w:cs="Times New Roman"/>
          <w:color w:val="auto"/>
          <w:sz w:val="24"/>
          <w:szCs w:val="22"/>
          <w:highlight w:val="none"/>
        </w:rPr>
        <w:t xml:space="preserve">供应商：（</w:t>
      </w:r>
      <w:r>
        <w:rPr>
          <w:rStyle w:val="1315"/>
          <w:rFonts w:hint="eastAsia" w:ascii="宋体" w:hAnsi="宋体" w:cs="Times New Roman"/>
          <w:color w:val="auto"/>
          <w:sz w:val="24"/>
          <w:szCs w:val="22"/>
          <w:highlight w:val="none"/>
        </w:rPr>
        <w:t xml:space="preserve">电子签章</w:t>
      </w:r>
      <w:r>
        <w:rPr>
          <w:rStyle w:val="1315"/>
          <w:rFonts w:ascii="宋体" w:hAnsi="宋体" w:cs="Times New Roman"/>
          <w:color w:val="auto"/>
          <w:sz w:val="24"/>
          <w:szCs w:val="22"/>
          <w:highlight w:val="none"/>
        </w:rPr>
        <w:t xml:space="preserve">）</w:t>
      </w:r>
      <w:r/>
    </w:p>
    <w:p>
      <w:pPr>
        <w:pStyle w:val="1106"/>
        <w:ind w:firstLine="3600"/>
        <w:jc w:val="left"/>
        <w:spacing w:line="360" w:lineRule="auto"/>
        <w:widowControl w:val="off"/>
        <w:rPr>
          <w:rStyle w:val="1315"/>
          <w:rFonts w:ascii="宋体" w:hAnsi="宋体" w:cs="Times New Roman"/>
          <w:color w:val="auto"/>
          <w:sz w:val="24"/>
          <w:szCs w:val="22"/>
          <w:highlight w:val="none"/>
        </w:rPr>
      </w:pPr>
      <w:r>
        <w:rPr>
          <w:rStyle w:val="1315"/>
          <w:rFonts w:ascii="宋体" w:hAnsi="宋体" w:cs="Times New Roman"/>
          <w:color w:val="auto"/>
          <w:sz w:val="24"/>
          <w:szCs w:val="22"/>
          <w:highlight w:val="none"/>
        </w:rPr>
        <w:t xml:space="preserve">法定代表人或授权代表：（签字或盖章） </w:t>
      </w:r>
      <w:r/>
    </w:p>
    <w:p>
      <w:pPr>
        <w:pStyle w:val="1106"/>
        <w:ind w:firstLine="3600"/>
        <w:jc w:val="left"/>
        <w:spacing w:line="360" w:lineRule="auto"/>
        <w:widowControl w:val="off"/>
        <w:rPr>
          <w:rStyle w:val="1315"/>
          <w:rFonts w:ascii="宋体" w:hAnsi="宋体" w:cs="Times New Roman"/>
          <w:color w:val="auto"/>
          <w:sz w:val="24"/>
          <w:szCs w:val="22"/>
          <w:highlight w:val="none"/>
        </w:rPr>
      </w:pPr>
      <w:r>
        <w:rPr>
          <w:rStyle w:val="1315"/>
          <w:rFonts w:ascii="宋体" w:hAnsi="宋体" w:cs="Times New Roman"/>
          <w:color w:val="auto"/>
          <w:sz w:val="24"/>
          <w:szCs w:val="22"/>
          <w:highlight w:val="none"/>
        </w:rPr>
        <w:t xml:space="preserve">日期：  </w:t>
      </w:r>
      <w:r/>
    </w:p>
    <w:p>
      <w:pPr>
        <w:pStyle w:val="1106"/>
        <w:jc w:val="center"/>
        <w:widowControl w:val="off"/>
        <w:rPr>
          <w:rStyle w:val="1315"/>
          <w:rFonts w:ascii="宋体" w:hAnsi="宋体"/>
          <w:color w:val="auto"/>
          <w:sz w:val="24"/>
          <w:szCs w:val="24"/>
          <w:highlight w:val="none"/>
        </w:rPr>
        <w:sectPr>
          <w:headerReference w:type="default" r:id="rId10"/>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24"/>
          <w:szCs w:val="24"/>
          <w:highlight w:val="none"/>
        </w:rPr>
      </w:r>
      <w:r/>
    </w:p>
    <w:p>
      <w:pPr>
        <w:ind w:right="29"/>
        <w:jc w:val="center"/>
        <w:spacing w:line="360" w:lineRule="auto"/>
        <w:rPr>
          <w:rFonts w:hint="eastAsia" w:ascii="宋体" w:hAnsi="宋体" w:eastAsia="宋体" w:cs="宋体"/>
          <w:color w:val="auto"/>
          <w:sz w:val="24"/>
          <w:szCs w:val="24"/>
          <w:highlight w:val="none"/>
        </w:rPr>
      </w:pPr>
      <w:r>
        <w:rPr>
          <w:rFonts w:hint="eastAsia" w:ascii="宋体" w:hAnsi="宋体" w:cs="宋体"/>
          <w:b/>
          <w:color w:val="auto"/>
          <w:sz w:val="36"/>
          <w:highlight w:val="none"/>
          <w:lang w:val="en-US" w:eastAsia="zh-CN"/>
        </w:rPr>
        <w:t xml:space="preserve">12</w:t>
      </w:r>
      <w:r>
        <w:rPr>
          <w:rFonts w:hint="eastAsia" w:ascii="宋体" w:hAnsi="宋体" w:eastAsia="宋体" w:cs="宋体"/>
          <w:b/>
          <w:color w:val="auto"/>
          <w:sz w:val="36"/>
          <w:highlight w:val="none"/>
        </w:rPr>
        <w:t xml:space="preserve">、</w:t>
      </w:r>
      <w:r>
        <w:rPr>
          <w:rFonts w:hint="eastAsia" w:ascii="宋体" w:hAnsi="宋体" w:eastAsia="宋体" w:cs="宋体"/>
          <w:b/>
          <w:color w:val="auto"/>
          <w:sz w:val="36"/>
          <w:highlight w:val="none"/>
          <w:lang w:eastAsia="zh-CN"/>
        </w:rPr>
        <w:t xml:space="preserve">合同草案条款</w:t>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拟签订的合同文本</w:t>
      </w:r>
      <w:r/>
    </w:p>
    <w:p>
      <w:pPr>
        <w:pStyle w:val="1131"/>
        <w:jc w:val="center"/>
        <w:spacing w:after="312" w:line="520" w:lineRule="exact"/>
        <w:rPr>
          <w:rFonts w:hAnsi="宋体" w:cs="宋体"/>
          <w:b/>
          <w:color w:val="auto"/>
          <w:sz w:val="32"/>
          <w:szCs w:val="32"/>
          <w:highlight w:val="none"/>
        </w:rPr>
      </w:pPr>
      <w:r>
        <w:rPr>
          <w:rFonts w:hAnsi="宋体" w:cs="宋体"/>
          <w:b/>
          <w:color w:val="auto"/>
          <w:sz w:val="32"/>
          <w:szCs w:val="32"/>
          <w:highlight w:val="none"/>
        </w:rPr>
      </w:r>
      <w:r/>
    </w:p>
    <w:p>
      <w:pPr>
        <w:pStyle w:val="1106"/>
        <w:jc w:val="center"/>
        <w:rPr>
          <w:rFonts w:ascii="宋体" w:hAnsi="宋体"/>
          <w:b/>
          <w:color w:val="auto"/>
          <w:sz w:val="52"/>
          <w:szCs w:val="52"/>
          <w:highlight w:val="none"/>
        </w:rPr>
      </w:pPr>
      <w:r>
        <w:rPr>
          <w:rFonts w:ascii="宋体" w:hAnsi="宋体" w:eastAsia="宋体" w:cs="宋体"/>
          <w:b/>
          <w:color w:val="auto"/>
          <w:sz w:val="72"/>
          <w:szCs w:val="52"/>
          <w:highlight w:val="none"/>
        </w:rPr>
        <w:t xml:space="preserve">建设工程施工合同</w:t>
      </w:r>
      <w:r>
        <w:rPr>
          <w:rFonts w:ascii="宋体" w:hAnsi="宋体" w:eastAsia="宋体" w:cs="宋体"/>
          <w:b/>
          <w:color w:val="auto"/>
          <w:sz w:val="52"/>
          <w:szCs w:val="52"/>
          <w:highlight w:val="none"/>
        </w:rPr>
        <w:br/>
      </w:r>
      <w:r>
        <w:rPr>
          <w:rFonts w:ascii="宋体" w:hAnsi="宋体" w:eastAsia="宋体" w:cs="宋体"/>
          <w:b/>
          <w:color w:val="auto"/>
          <w:sz w:val="52"/>
          <w:szCs w:val="52"/>
          <w:highlight w:val="none"/>
        </w:rPr>
        <w:t xml:space="preserve">（示范文本）</w:t>
      </w:r>
      <w:r/>
    </w:p>
    <w:p>
      <w:pPr>
        <w:pStyle w:val="1106"/>
        <w:jc w:val="center"/>
        <w:rPr>
          <w:rFonts w:ascii="宋体" w:hAnsi="宋体"/>
          <w:bCs/>
          <w:color w:val="auto"/>
          <w:sz w:val="32"/>
          <w:szCs w:val="32"/>
          <w:highlight w:val="none"/>
        </w:rPr>
      </w:pPr>
      <w:r>
        <w:rPr>
          <w:rFonts w:ascii="宋体" w:hAnsi="宋体" w:eastAsia="宋体" w:cs="宋体"/>
          <w:bCs/>
          <w:color w:val="auto"/>
          <w:sz w:val="32"/>
          <w:szCs w:val="32"/>
          <w:highlight w:val="none"/>
        </w:rPr>
        <w:t xml:space="preserve">（GF—2017—0201）</w:t>
      </w:r>
      <w:r/>
    </w:p>
    <w:p>
      <w:pPr>
        <w:pStyle w:val="1307"/>
        <w:ind w:firstLine="643"/>
        <w:rPr>
          <w:rFonts w:ascii="宋体" w:hAnsi="宋体" w:cs="宋体"/>
          <w:b/>
          <w:color w:val="auto"/>
          <w:sz w:val="32"/>
          <w:szCs w:val="32"/>
          <w:highlight w:val="none"/>
        </w:rPr>
      </w:pPr>
      <w:r>
        <w:rPr>
          <w:rFonts w:ascii="宋体" w:hAnsi="宋体" w:cs="宋体"/>
          <w:b/>
          <w:color w:val="auto"/>
          <w:sz w:val="32"/>
          <w:szCs w:val="32"/>
          <w:highlight w:val="none"/>
        </w:rPr>
      </w:r>
      <w:r/>
    </w:p>
    <w:p>
      <w:pPr>
        <w:pStyle w:val="1307"/>
        <w:jc w:val="center"/>
        <w:rPr>
          <w:rFonts w:ascii="宋体" w:hAnsi="宋体" w:cs="宋体"/>
          <w:b/>
          <w:color w:val="auto"/>
          <w:sz w:val="52"/>
          <w:szCs w:val="52"/>
          <w:highlight w:val="none"/>
        </w:rPr>
        <w:sectPr>
          <w:headerReference w:type="default" r:id="rId11"/>
          <w:footerReference w:type="default" r:id="rId19"/>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b/>
          <w:color w:val="auto"/>
          <w:sz w:val="52"/>
          <w:szCs w:val="52"/>
          <w:highlight w:val="none"/>
        </w:rPr>
      </w:r>
      <w:r/>
    </w:p>
    <w:p>
      <w:pPr>
        <w:pStyle w:val="1043"/>
        <w:jc w:val="center"/>
        <w:rPr>
          <w:b/>
          <w:bCs/>
          <w:color w:val="auto"/>
          <w:highlight w:val="none"/>
        </w:rPr>
      </w:pPr>
      <w:r/>
      <w:bookmarkStart w:id="73" w:name="_Toc2049"/>
      <w:r/>
      <w:bookmarkStart w:id="74" w:name="_Toc358569763"/>
      <w:r>
        <w:rPr>
          <w:b/>
          <w:bCs/>
          <w:color w:val="auto"/>
          <w:highlight w:val="none"/>
        </w:rPr>
        <w:t xml:space="preserve">第一部分 协议书</w:t>
      </w:r>
      <w:bookmarkEnd w:id="73"/>
      <w:r/>
      <w:r/>
    </w:p>
    <w:p>
      <w:pPr>
        <w:ind w:left="0" w:right="0" w:firstLine="0"/>
        <w:keepLines w:val="0"/>
        <w:keepNext w:val="0"/>
        <w:pageBreakBefore w:val="0"/>
        <w:spacing w:after="0" w:line="44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发包人（全称）：</w:t>
      </w:r>
      <w:r>
        <w:rPr>
          <w:rFonts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承包人（全称）：</w:t>
      </w:r>
      <w:r>
        <w:rPr>
          <w:rFonts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新沂市马陵山镇东北片区管网提升工程</w:t>
      </w:r>
      <w:r>
        <w:rPr>
          <w:rFonts w:hint="eastAsia" w:ascii="宋体" w:hAnsi="宋体" w:eastAsia="宋体" w:cs="宋体"/>
          <w:color w:val="auto"/>
          <w:sz w:val="24"/>
          <w:szCs w:val="24"/>
          <w:highlight w:val="none"/>
        </w:rPr>
        <w:t xml:space="preserve">施工及有关事项协商一致，共同达成如下协议：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一、工程概况</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1.工程名称：</w:t>
      </w:r>
      <w:r>
        <w:rPr>
          <w:rFonts w:hint="eastAsia" w:ascii="宋体" w:hAnsi="宋体" w:cs="宋体"/>
          <w:color w:val="auto"/>
          <w:sz w:val="24"/>
          <w:highlight w:val="none"/>
          <w:u w:val="single"/>
          <w:lang w:eastAsia="zh-CN"/>
        </w:rPr>
        <w:t xml:space="preserve">新沂市马陵山镇东北片区管网提升工程。</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2.工程地点：</w:t>
      </w:r>
      <w:r>
        <w:rPr>
          <w:rFonts w:hint="eastAsia" w:ascii="宋体" w:hAnsi="宋体" w:cs="宋体"/>
          <w:color w:val="auto"/>
          <w:sz w:val="24"/>
          <w:szCs w:val="24"/>
          <w:highlight w:val="none"/>
          <w:u w:val="single"/>
          <w:lang w:val="en-US" w:eastAsia="zh-CN"/>
        </w:rPr>
        <w:t xml:space="preserve">新沂市。</w:t>
      </w:r>
      <w:r/>
    </w:p>
    <w:p>
      <w:pPr>
        <w:ind w:left="0" w:right="0" w:firstLine="588"/>
        <w:keepLines w:val="0"/>
        <w:keepNext w:val="0"/>
        <w:pageBreakBefore w:val="0"/>
        <w:spacing w:after="0" w:line="440" w:lineRule="exact"/>
        <w:widowControl/>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3.工程立项批准文号：</w:t>
      </w:r>
      <w:r>
        <w:rPr>
          <w:rFonts w:hint="eastAsia" w:ascii="宋体" w:hAnsi="宋体" w:cs="宋体"/>
          <w:color w:val="auto"/>
          <w:sz w:val="24"/>
          <w:szCs w:val="24"/>
          <w:highlight w:val="none"/>
          <w:u w:val="single"/>
          <w:lang w:val="en-US" w:eastAsia="zh-CN"/>
        </w:rPr>
        <w:t xml:space="preserve">/。</w:t>
      </w:r>
      <w:r/>
    </w:p>
    <w:p>
      <w:pPr>
        <w:ind w:left="0" w:right="0" w:firstLine="588"/>
        <w:keepLines w:val="0"/>
        <w:keepNext w:val="0"/>
        <w:pageBreakBefore w:val="0"/>
        <w:spacing w:after="0" w:line="440" w:lineRule="exact"/>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.资金来源：</w:t>
      </w:r>
      <w:r>
        <w:rPr>
          <w:rFonts w:hint="eastAsia" w:ascii="宋体" w:hAnsi="宋体" w:cs="宋体"/>
          <w:color w:val="auto"/>
          <w:sz w:val="24"/>
          <w:szCs w:val="24"/>
          <w:highlight w:val="none"/>
          <w:lang w:val="en-US" w:eastAsia="zh-CN"/>
        </w:rPr>
        <w:t xml:space="preserve">财政。</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.工程内容：</w:t>
      </w:r>
      <w:r>
        <w:rPr>
          <w:rFonts w:hint="eastAsia" w:ascii="宋体" w:hAnsi="宋体" w:cs="宋体"/>
          <w:color w:val="auto"/>
          <w:sz w:val="24"/>
          <w:highlight w:val="none"/>
          <w:lang w:eastAsia="zh-CN"/>
        </w:rPr>
        <w:t xml:space="preserve">新沂市马陵山镇东北片区管网提升工程，</w:t>
      </w:r>
      <w:r>
        <w:rPr>
          <w:rFonts w:hint="eastAsia" w:ascii="宋体" w:hAnsi="宋体" w:cs="宋体"/>
          <w:color w:val="auto"/>
          <w:sz w:val="24"/>
          <w:highlight w:val="none"/>
        </w:rPr>
        <w:t xml:space="preserve">具体详见工程量清单</w:t>
      </w:r>
      <w:r>
        <w:rPr>
          <w:rFonts w:hint="eastAsia" w:ascii="宋体" w:hAnsi="宋体" w:cs="宋体"/>
          <w:color w:val="auto"/>
          <w:sz w:val="24"/>
          <w:highlight w:val="none"/>
          <w:lang w:val="en-US" w:eastAsia="zh-CN"/>
        </w:rPr>
        <w:t xml:space="preserve">及图纸所包含的全部内容。</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详见工程量清单及</w:t>
      </w:r>
      <w:r>
        <w:rPr>
          <w:rFonts w:hint="eastAsia" w:ascii="宋体" w:hAnsi="宋体" w:cs="宋体"/>
          <w:color w:val="auto"/>
          <w:sz w:val="24"/>
          <w:szCs w:val="24"/>
          <w:highlight w:val="none"/>
          <w:u w:val="single"/>
          <w:lang w:val="en-US" w:eastAsia="zh-CN"/>
        </w:rPr>
        <w:t xml:space="preserve">图纸</w:t>
      </w:r>
      <w:r>
        <w:rPr>
          <w:rFonts w:hint="eastAsia" w:ascii="宋体" w:hAnsi="宋体" w:eastAsia="宋体" w:cs="宋体"/>
          <w:color w:val="auto"/>
          <w:sz w:val="24"/>
          <w:szCs w:val="24"/>
          <w:highlight w:val="none"/>
          <w:u w:val="single"/>
        </w:rPr>
        <w:t xml:space="preserve">所</w:t>
      </w:r>
      <w:r>
        <w:rPr>
          <w:rFonts w:hint="eastAsia" w:ascii="宋体" w:hAnsi="宋体" w:cs="宋体"/>
          <w:color w:val="auto"/>
          <w:sz w:val="24"/>
          <w:szCs w:val="24"/>
          <w:highlight w:val="none"/>
          <w:u w:val="single"/>
          <w:lang w:val="en-US" w:eastAsia="zh-CN"/>
        </w:rPr>
        <w:t xml:space="preserve">包</w:t>
      </w:r>
      <w:r>
        <w:rPr>
          <w:rFonts w:hint="eastAsia" w:ascii="宋体" w:hAnsi="宋体" w:eastAsia="宋体" w:cs="宋体"/>
          <w:color w:val="auto"/>
          <w:sz w:val="24"/>
          <w:szCs w:val="24"/>
          <w:highlight w:val="none"/>
          <w:u w:val="single"/>
        </w:rPr>
        <w:t xml:space="preserve">含项目</w:t>
      </w:r>
      <w:r>
        <w:rPr>
          <w:rFonts w:hint="eastAsia" w:ascii="宋体" w:hAnsi="宋体" w:eastAsia="宋体" w:cs="宋体"/>
          <w:color w:val="auto"/>
          <w:sz w:val="24"/>
          <w:szCs w:val="24"/>
          <w:highlight w:val="none"/>
          <w:u w:val="single"/>
          <w:lang w:val="en-US" w:eastAsia="zh-CN"/>
        </w:rPr>
        <w:t xml:space="preserve">全部</w:t>
      </w:r>
      <w:r>
        <w:rPr>
          <w:rFonts w:hint="eastAsia" w:ascii="宋体" w:hAnsi="宋体" w:eastAsia="宋体" w:cs="宋体"/>
          <w:color w:val="auto"/>
          <w:sz w:val="24"/>
          <w:szCs w:val="24"/>
          <w:highlight w:val="none"/>
          <w:u w:val="single"/>
        </w:rPr>
        <w:t xml:space="preserve">内容</w:t>
      </w:r>
      <w:r>
        <w:rPr>
          <w:rFonts w:hint="eastAsia" w:ascii="宋体" w:hAnsi="宋体" w:eastAsia="宋体" w:cs="宋体"/>
          <w:color w:val="auto"/>
          <w:sz w:val="24"/>
          <w:szCs w:val="24"/>
          <w:highlight w:val="none"/>
          <w:u w:val="single"/>
          <w:lang w:eastAsia="zh-CN"/>
        </w:rPr>
        <w:t xml:space="preserve">。</w:t>
      </w:r>
      <w:r/>
    </w:p>
    <w:p>
      <w:pPr>
        <w:ind w:left="0" w:right="0" w:firstLine="588"/>
        <w:keepLines w:val="0"/>
        <w:keepNext w:val="0"/>
        <w:pageBreakBefore w:val="0"/>
        <w:spacing w:after="0" w:line="44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承包方式：</w:t>
      </w:r>
      <w:r>
        <w:rPr>
          <w:rFonts w:hint="eastAsia" w:ascii="宋体" w:hAnsi="宋体" w:eastAsia="宋体" w:cs="宋体"/>
          <w:color w:val="auto"/>
          <w:sz w:val="24"/>
          <w:szCs w:val="24"/>
          <w:highlight w:val="none"/>
          <w:u w:val="single"/>
        </w:rPr>
        <w:t xml:space="preserve">包工包料。</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二、合同工期</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三、质量标准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质量要求标准：</w:t>
      </w:r>
      <w:r>
        <w:rPr>
          <w:rFonts w:hint="eastAsia" w:ascii="宋体" w:hAnsi="宋体" w:eastAsia="宋体" w:cs="宋体"/>
          <w:color w:val="auto"/>
          <w:sz w:val="24"/>
          <w:szCs w:val="24"/>
          <w:highlight w:val="none"/>
          <w:u w:val="single"/>
        </w:rPr>
        <w:t xml:space="preserve">合格（符合国家标准及行业要求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四、签约合同价与合同价格形式</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五、项目</w:t>
      </w:r>
      <w:r>
        <w:rPr>
          <w:rFonts w:hint="eastAsia" w:ascii="宋体" w:hAnsi="宋体" w:eastAsia="宋体" w:cs="宋体"/>
          <w:color w:val="auto"/>
          <w:sz w:val="24"/>
          <w:szCs w:val="24"/>
          <w:highlight w:val="none"/>
          <w:lang w:val="en-US" w:eastAsia="zh-CN"/>
        </w:rPr>
        <w:t xml:space="preserve">经理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承包人项目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六、合同文件构成</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本协议书与下列文件一起构成合同文件：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（1）中标通知书（如果有）；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（2）投标函及其附录（如果有）；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（3）专用合同条款及其附件；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（4）通用合同条款；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（5）技术标准和要求；</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（6）图纸；</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（7）已标价工程量清单或预算书；</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（8）其他合同文件。</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除专用合同条款另有约定外，组成本合同的文件及优先解释顺序与本合同第二部分《通用条款》第1.5款赋予的规定一致。</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七、承诺</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八、词语含义</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本协议书中词语含义与第二部分通用合同条款中赋予的含义相同。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九、签订时间</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十、签订地点</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本合同在</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十一、补充协议</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十二、合同生效</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双方签字、盖章后</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生效。</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十三、合同份数</w:t>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本合同一式</w:t>
      </w:r>
      <w:r>
        <w:rPr>
          <w:rFonts w:hint="eastAsia" w:ascii="宋体" w:hAnsi="宋体" w:cs="宋体"/>
          <w:color w:val="auto"/>
          <w:sz w:val="24"/>
          <w:szCs w:val="24"/>
          <w:highlight w:val="none"/>
          <w:u w:val="single"/>
          <w:lang w:val="en-US" w:eastAsia="zh-CN"/>
        </w:rPr>
        <w:t xml:space="preserve">陆</w:t>
      </w:r>
      <w:r>
        <w:rPr>
          <w:rFonts w:hint="eastAsia" w:ascii="宋体" w:hAnsi="宋体" w:eastAsia="宋体" w:cs="宋体"/>
          <w:color w:val="auto"/>
          <w:sz w:val="24"/>
          <w:szCs w:val="24"/>
          <w:highlight w:val="none"/>
        </w:rPr>
        <w:t xml:space="preserve">份，均具有同等法律效力，发包人执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四 </w:t>
      </w:r>
      <w:r>
        <w:rPr>
          <w:rFonts w:hint="eastAsia" w:ascii="宋体" w:hAnsi="宋体" w:eastAsia="宋体" w:cs="宋体"/>
          <w:color w:val="auto"/>
          <w:sz w:val="24"/>
          <w:szCs w:val="24"/>
          <w:highlight w:val="none"/>
        </w:rPr>
        <w:t xml:space="preserve">份，承包人执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二 </w:t>
      </w:r>
      <w:r>
        <w:rPr>
          <w:rFonts w:hint="eastAsia" w:ascii="宋体" w:hAnsi="宋体" w:eastAsia="宋体" w:cs="宋体"/>
          <w:color w:val="auto"/>
          <w:sz w:val="24"/>
          <w:szCs w:val="24"/>
          <w:highlight w:val="none"/>
        </w:rPr>
        <w:t xml:space="preserve">份。</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13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1"/>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组织机构代码：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地址：</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邮政编码：</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法定代表人：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委托代理人：</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电话：</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传真：</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电子信箱：</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开户银行：</w:t>
      </w:r>
      <w:r/>
    </w:p>
    <w:p>
      <w:pPr>
        <w:ind w:left="0" w:right="0" w:firstLine="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账号：</w:t>
      </w:r>
      <w:r/>
    </w:p>
    <w:p>
      <w:pPr>
        <w:ind w:right="-36"/>
        <w:keepLines w:val="0"/>
        <w:keepNext w:val="0"/>
        <w:pageBreakBefore w:val="0"/>
        <w:spacing w:after="0"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both"/>
        <w:keepLines w:val="0"/>
        <w:keepNext w:val="0"/>
        <w:pageBreakBefore w:val="0"/>
        <w:spacing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1043"/>
        <w:jc w:val="center"/>
        <w:rPr>
          <w:rFonts w:hint="eastAsia"/>
          <w:b/>
          <w:bCs/>
          <w:color w:val="auto"/>
          <w:highlight w:val="none"/>
        </w:rPr>
      </w:pPr>
      <w:r/>
      <w:bookmarkStart w:id="75" w:name="_Toc75"/>
      <w:r>
        <w:rPr>
          <w:rFonts w:hint="eastAsia"/>
          <w:b/>
          <w:bCs/>
          <w:color w:val="auto"/>
          <w:highlight w:val="none"/>
        </w:rPr>
        <w:t xml:space="preserve">第二部分</w:t>
      </w:r>
      <w:r>
        <w:rPr>
          <w:rFonts w:hint="eastAsia"/>
          <w:b/>
          <w:bCs/>
          <w:color w:val="auto"/>
          <w:highlight w:val="none"/>
          <w:lang w:val="en-US" w:eastAsia="zh-CN"/>
        </w:rPr>
        <w:t xml:space="preserve"> </w:t>
      </w:r>
      <w:r>
        <w:rPr>
          <w:rFonts w:hint="eastAsia"/>
          <w:b/>
          <w:bCs/>
          <w:color w:val="auto"/>
          <w:highlight w:val="none"/>
        </w:rPr>
        <w:t xml:space="preserve">通用合同条款</w:t>
      </w:r>
      <w:bookmarkEnd w:id="75"/>
      <w:r/>
      <w:r/>
    </w:p>
    <w:p>
      <w:pPr>
        <w:ind w:left="0" w:right="0" w:firstLine="440"/>
        <w:keepLines w:val="0"/>
        <w:keepNext w:val="0"/>
        <w:pageBreakBefore w:val="0"/>
        <w:spacing w:after="0" w:line="36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采用《建设工程施工合同（示范文本）》（GF—2017—0201）。</w:t>
      </w:r>
      <w:r/>
    </w:p>
    <w:p>
      <w:pPr>
        <w:ind w:left="0" w:right="0" w:firstLine="0"/>
        <w:jc w:val="center"/>
        <w:keepLines w:val="0"/>
        <w:keepNext w:val="0"/>
        <w:pageBreakBefore w:val="0"/>
        <w:spacing w:after="0" w:line="360" w:lineRule="auto"/>
        <w:widowControl/>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此部分在正式签订合同时应不加修改的、完整的装订在合同中</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1043"/>
        <w:jc w:val="center"/>
        <w:rPr>
          <w:b/>
          <w:bCs/>
          <w:color w:val="auto"/>
          <w:highlight w:val="none"/>
        </w:rPr>
      </w:pPr>
      <w:r/>
      <w:bookmarkStart w:id="76" w:name="_Toc15325"/>
      <w:r>
        <w:rPr>
          <w:b/>
          <w:bCs/>
          <w:color w:val="auto"/>
          <w:highlight w:val="none"/>
        </w:rPr>
        <w:t xml:space="preserve">第三部分 专用合同条款</w:t>
      </w:r>
      <w:bookmarkEnd w:id="76"/>
      <w:r/>
      <w:r/>
    </w:p>
    <w:p>
      <w:pPr>
        <w:ind w:left="0" w:right="0" w:firstLine="482"/>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1、一般约定</w:t>
      </w:r>
      <w:r/>
    </w:p>
    <w:p>
      <w:pPr>
        <w:ind w:left="0" w:right="0" w:firstLine="482"/>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1.1 词语定义</w:t>
      </w:r>
      <w:r/>
    </w:p>
    <w:p>
      <w:pPr>
        <w:ind w:left="0" w:right="0" w:firstLine="482"/>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1.1.1合同</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其他合同文件包括：</w:t>
      </w:r>
      <w:r>
        <w:rPr>
          <w:rFonts w:hint="eastAsia" w:ascii="宋体" w:hAnsi="宋体" w:eastAsia="宋体" w:cs="宋体"/>
          <w:color w:val="auto"/>
          <w:sz w:val="24"/>
          <w:szCs w:val="24"/>
          <w:highlight w:val="none"/>
          <w:u w:val="single"/>
        </w:rPr>
        <w:t xml:space="preserve">合同履行过程中经双方授权代表共同签字认可的对合同有影响的会议纪要、签证及设计变更等相关书面资料。</w:t>
      </w:r>
      <w:r/>
    </w:p>
    <w:p>
      <w:pPr>
        <w:ind w:left="0" w:right="0" w:firstLine="482"/>
        <w:keepLines w:val="0"/>
        <w:keepNext w:val="0"/>
        <w:pageBreakBefore w:val="0"/>
        <w:spacing w:after="0" w:line="324"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1.1.2合同当事人及其他相关方</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监理人：</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设计人：</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3 工程和设备</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作为施工现场组成部分的其他场所包括：</w:t>
      </w:r>
      <w:r>
        <w:rPr>
          <w:rFonts w:hint="eastAsia" w:ascii="宋体" w:hAnsi="宋体" w:eastAsia="宋体" w:cs="宋体"/>
          <w:color w:val="auto"/>
          <w:sz w:val="24"/>
          <w:szCs w:val="24"/>
          <w:highlight w:val="none"/>
          <w:u w:val="single"/>
        </w:rPr>
        <w:t xml:space="preserve">现场临时办公及施工场地</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永久占地包括：</w:t>
      </w:r>
      <w:r>
        <w:rPr>
          <w:rFonts w:hint="eastAsia" w:ascii="宋体" w:hAnsi="宋体" w:eastAsia="宋体" w:cs="宋体"/>
          <w:color w:val="auto"/>
          <w:sz w:val="24"/>
          <w:szCs w:val="24"/>
          <w:highlight w:val="none"/>
          <w:u w:val="single"/>
        </w:rPr>
        <w:t xml:space="preserve">规划用地范围内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临时占地包括：</w:t>
      </w:r>
      <w:r>
        <w:rPr>
          <w:rFonts w:hint="eastAsia" w:ascii="宋体" w:hAnsi="宋体" w:eastAsia="宋体" w:cs="宋体"/>
          <w:color w:val="auto"/>
          <w:sz w:val="24"/>
          <w:szCs w:val="24"/>
          <w:highlight w:val="none"/>
          <w:u w:val="single"/>
        </w:rPr>
        <w:t xml:space="preserve">双方在合同履行过程中确定</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法律 </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rPr>
        <w:t xml:space="preserve"> 现行国家及江苏省、徐州市的有关标准及其他适用于本工程的技术标准、规范等。</w:t>
      </w:r>
      <w:r/>
    </w:p>
    <w:p>
      <w:pPr>
        <w:ind w:left="0" w:right="0" w:firstLine="482"/>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标准和规范</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适用于工程的标准规范包括：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现行国家及江苏省、徐州市的有关标准及其他适用于本工程的技术标准、规范等。</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符合有关行业主管部门及发包人的要求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82"/>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 合同文件的优先顺序</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.1合同文件组成及优先顺序为：</w:t>
      </w:r>
      <w:r/>
    </w:p>
    <w:p>
      <w:pPr>
        <w:numPr>
          <w:ilvl w:val="0"/>
          <w:numId w:val="5"/>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合同专用条款及补充协议书；</w:t>
      </w:r>
      <w:r/>
    </w:p>
    <w:p>
      <w:pPr>
        <w:numPr>
          <w:ilvl w:val="0"/>
          <w:numId w:val="5"/>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中标通知书；</w:t>
      </w:r>
      <w:r/>
    </w:p>
    <w:p>
      <w:pPr>
        <w:numPr>
          <w:ilvl w:val="0"/>
          <w:numId w:val="5"/>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招标文件；</w:t>
      </w:r>
      <w:r/>
    </w:p>
    <w:p>
      <w:pPr>
        <w:numPr>
          <w:ilvl w:val="0"/>
          <w:numId w:val="5"/>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投标书及其附件；</w:t>
      </w:r>
      <w:r/>
    </w:p>
    <w:p>
      <w:pPr>
        <w:numPr>
          <w:ilvl w:val="0"/>
          <w:numId w:val="5"/>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通用合同条款；</w:t>
      </w:r>
      <w:r/>
    </w:p>
    <w:p>
      <w:pPr>
        <w:numPr>
          <w:ilvl w:val="0"/>
          <w:numId w:val="5"/>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技术标准和要求；</w:t>
      </w:r>
      <w:r/>
    </w:p>
    <w:p>
      <w:pPr>
        <w:numPr>
          <w:ilvl w:val="0"/>
          <w:numId w:val="5"/>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图纸；</w:t>
      </w:r>
      <w:r/>
    </w:p>
    <w:p>
      <w:pPr>
        <w:numPr>
          <w:ilvl w:val="0"/>
          <w:numId w:val="5"/>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预算书；</w:t>
      </w:r>
      <w:r/>
    </w:p>
    <w:p>
      <w:pPr>
        <w:numPr>
          <w:ilvl w:val="0"/>
          <w:numId w:val="5"/>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已标价工程量清单；</w:t>
      </w:r>
      <w:r/>
    </w:p>
    <w:p>
      <w:pPr>
        <w:numPr>
          <w:ilvl w:val="0"/>
          <w:numId w:val="5"/>
        </w:num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其他合同文件。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双方有关工程的洽商、变更、会议纪要、双方来往函件(施工过程中的)等书面协议或文件视为本合同的组成部分，对同一事项叙述不一致的，以日期靠后的为准。</w:t>
      </w:r>
      <w:r/>
    </w:p>
    <w:p>
      <w:pPr>
        <w:ind w:left="0" w:right="0" w:firstLine="482"/>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 图纸和承包人文件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图纸</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开工前5天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承包人文件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需要由承包人提供的文件，包括：</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①本合同第二部分通用合同条款7.1和7.2编制施工组织设计、施工措施计划、施工方案报监理人审核和发包人确认；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②应由承包人办理的许可和批准的办理结果书面报送监理人审核和发包人确认、留存；</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③拟制施工人员名册（动态），并与为其办理工伤保险的有效证明一起报送监理人审核和发包人确认；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⑤特殊工种作业人员资格证明报送监理人审核和发包人确认；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⑦工程质量管理体系及措施文件、质量检查制度、质量控制文件，报送监理人审核和发包人确认；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⑧工程安全管理体系及措施文件、安全检查制度、安全控制文件，报送监理人审核和发包人确认；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⑨发包人管理需要的其他文件。</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⑩上述文件如发包人因管理需增加时，承包人有义务按发包人提出的形式、格式、数量、时间等要求提供。</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合同签订后7日内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纸质版肆套，电子版一套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纸质版、电子版</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应在监理人收到承包人文件后7天内审查完毕</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现场图纸准备</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执行通用合同条款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1.7联络</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1.10 交通运输</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1.10.1 出入现场的权利</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场内交通</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以现场实际施工条件为准。</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1.10.</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超大件和超重件的运输</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 </w:t>
      </w:r>
      <w:r>
        <w:rPr>
          <w:rFonts w:hint="eastAsia" w:ascii="宋体" w:hAnsi="宋体" w:eastAsia="宋体" w:cs="宋体"/>
          <w:color w:val="auto"/>
          <w:sz w:val="24"/>
          <w:szCs w:val="24"/>
          <w:highlight w:val="none"/>
        </w:rPr>
        <w:t xml:space="preserve">承担。</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1.11 知识产权</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1.13工程量清单错误的修正</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执行“合同价格、计量与支付”相关条款。 </w:t>
      </w:r>
      <w:r/>
    </w:p>
    <w:p>
      <w:pPr>
        <w:ind w:left="0" w:right="0" w:firstLine="482"/>
        <w:keepLines w:val="0"/>
        <w:keepNext w:val="0"/>
        <w:pageBreakBefore w:val="0"/>
        <w:spacing w:after="0" w:line="324" w:lineRule="auto"/>
        <w:widowControl/>
        <w:rPr>
          <w:rFonts w:hint="eastAsia" w:ascii="宋体" w:hAnsi="宋体" w:eastAsia="宋体" w:cs="宋体"/>
          <w:b/>
          <w:bCs/>
          <w:color w:val="auto"/>
          <w:sz w:val="24"/>
          <w:szCs w:val="24"/>
          <w:highlight w:val="none"/>
        </w:rPr>
        <w:outlineLvl w:val="9"/>
      </w:pPr>
      <w:r/>
      <w:bookmarkStart w:id="77" w:name="_Toc351203634"/>
      <w:r>
        <w:rPr>
          <w:rFonts w:hint="eastAsia" w:ascii="宋体" w:hAnsi="宋体" w:eastAsia="宋体" w:cs="宋体"/>
          <w:b/>
          <w:bCs/>
          <w:color w:val="auto"/>
          <w:sz w:val="24"/>
          <w:szCs w:val="24"/>
          <w:highlight w:val="none"/>
        </w:rPr>
        <w:t xml:space="preserve">2</w:t>
      </w:r>
      <w:bookmarkStart w:id="78" w:name="_Toc292559362"/>
      <w:r/>
      <w:bookmarkStart w:id="79" w:name="_Toc296346658"/>
      <w:r/>
      <w:bookmarkStart w:id="80" w:name="_Toc292559867"/>
      <w:r/>
      <w:bookmarkStart w:id="81" w:name="_Toc297120457"/>
      <w:r/>
      <w:bookmarkStart w:id="82" w:name="_Toc296503157"/>
      <w:r/>
      <w:bookmarkStart w:id="83" w:name="_Toc296944496"/>
      <w:r/>
      <w:bookmarkStart w:id="84" w:name="_Toc296891197"/>
      <w:r/>
      <w:bookmarkStart w:id="85" w:name="_Toc296890985"/>
      <w:r/>
      <w:bookmarkStart w:id="86" w:name="_Toc296347156"/>
      <w:r/>
      <w:bookmarkStart w:id="87" w:name="_Toc297048343"/>
      <w:r>
        <w:rPr>
          <w:rFonts w:hint="eastAsia" w:ascii="宋体" w:hAnsi="宋体" w:eastAsia="宋体" w:cs="宋体"/>
          <w:b/>
          <w:bCs/>
          <w:color w:val="auto"/>
          <w:sz w:val="24"/>
          <w:szCs w:val="24"/>
          <w:highlight w:val="none"/>
        </w:rPr>
        <w:t xml:space="preserve">.发包人</w:t>
      </w:r>
      <w:bookmarkEnd w:id="77"/>
      <w:r/>
      <w:bookmarkEnd w:id="78"/>
      <w:r/>
      <w:bookmarkEnd w:id="79"/>
      <w:r/>
      <w:bookmarkEnd w:id="80"/>
      <w:r/>
      <w:bookmarkEnd w:id="81"/>
      <w:r/>
      <w:bookmarkEnd w:id="82"/>
      <w:r/>
      <w:bookmarkEnd w:id="83"/>
      <w:r/>
      <w:bookmarkEnd w:id="84"/>
      <w:r/>
      <w:bookmarkEnd w:id="85"/>
      <w:r/>
      <w:bookmarkEnd w:id="86"/>
      <w:r/>
      <w:bookmarkEnd w:id="87"/>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发包人代表</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发包人代表：</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bCs/>
          <w:color w:val="auto"/>
          <w:sz w:val="24"/>
          <w:szCs w:val="24"/>
          <w:highlight w:val="none"/>
          <w:u w:val="single"/>
        </w:rPr>
        <w:outlineLvl w:val="9"/>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bCs/>
          <w:color w:val="auto"/>
          <w:sz w:val="24"/>
          <w:szCs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①检查和督促承包人和监理人执行合同；</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②检查和督促监理工程师行使职权；</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③协调施工现场各方面的关系；</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④协调工程质量、进度和安全文明等施工中出现的问题；</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⑤责令监理工程师查封、扣押施工现场发现不符合质量要求的建筑材料、建筑构配件和设备；</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⑥审核工程进度报表，参与审核工程进度款的支付；</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⑦监督和检查确认承包人主要施工管理人员施工现场在岗/出勤情况及监理人主要监理人员施工现场在岗/出勤情况；</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⑧对承包人、监理人提交文件的签证；</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⑨组织工程竣工验收；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⑩发包人授权的其他事项。</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需要取得发包人批准才能行使的职权：</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outlineLvl w:val="9"/>
      </w:pPr>
      <w:r>
        <w:rPr>
          <w:rFonts w:hint="eastAsia" w:ascii="宋体" w:hAnsi="宋体" w:eastAsia="宋体" w:cs="宋体"/>
          <w:color w:val="auto"/>
          <w:sz w:val="24"/>
          <w:szCs w:val="24"/>
          <w:highlight w:val="none"/>
          <w:u w:val="single"/>
          <w:lang w:val="en-US"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2.4施工现场、施工条件和基础资料的提供</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2.4.1提供施工现场</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开工通知</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中载明的开工日期7天前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2.4.2提供施工条件</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图纸会审和设计交底时间： 开工前一周内完成 。 </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施工期间的周边关系及第三方干扰等由承包人负责协调，所需费用含在投标报价内。</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2.4.3 提供基础资料</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2.5资金来源证明及支付担保</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3. 承包人</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3.1 承包人的一般义务</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w:t>
      </w:r>
      <w:r>
        <w:rPr>
          <w:rFonts w:hint="eastAsia" w:ascii="宋体" w:hAnsi="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u w:val="single"/>
        </w:rPr>
        <w:t xml:space="preserve">套</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工程竣工验收合格之日起28日内完成移交，若逾期提交，发包人有权暂停支付工程款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立卷、装订成册的纸质文档和电子文档</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承包人应履行的其他义务：</w:t>
      </w:r>
      <w:r>
        <w:rPr>
          <w:rFonts w:hint="eastAsia" w:ascii="宋体" w:hAnsi="宋体" w:eastAsia="宋体" w:cs="宋体"/>
          <w:color w:val="auto"/>
          <w:sz w:val="24"/>
          <w:szCs w:val="24"/>
          <w:highlight w:val="non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2）承包人作为一名有经验的承包方，应预见施工中与其他专业施工单位发生的配合工作，并自主将相关配合费用综合考虑在投标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5）向发包人提供的办公和生活房屋及设施的要求：发包人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监理人</w:t>
      </w:r>
      <w:r>
        <w:rPr>
          <w:rFonts w:hint="eastAsia" w:ascii="宋体" w:hAnsi="宋体" w:eastAsia="宋体" w:cs="宋体"/>
          <w:color w:val="auto"/>
          <w:sz w:val="24"/>
          <w:szCs w:val="24"/>
          <w:highlight w:val="none"/>
          <w:u w:val="single"/>
        </w:rPr>
        <w:t xml:space="preserve">驻施工现场管理人员必要的办公用房及设施由承包人负责免费提供。</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7）承包人综合考虑本项目全线封闭施工，且考虑可能存在的半幅道路施工，因此可能增加的费用综合考虑在投标报价内，结算时不再增加于此相关的费用。</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8）已完工程成品保护的特殊要求及费用承担：由承包人负责承担。</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9）施工场地清洁卫生和要求：应按建设行政主管部门和相关部门的规定办理，所需费用由承包人负担。</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12）承包人必须对工程现场施工人员全部实行实名制考勤管理，签订劳动合同，设立工资存储专户，按照工程进度和工人实名制登记信息，按月足额由银行代发工资。</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13）承包人应按发包人的指令，完成发包人要求的对工程内容的任何增加和删减；费用按相关条款执行。</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15）承包人投标前自行踏勘现场，充分了解现在实际情况，根据现在实际情况展开施工，不得以现场场区不满足施工布局、已完施工的建筑物存在施工缺陷等问题拒绝施工或要求增加费用。 </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16）检测机构检测费用不单独列项，</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应综合考虑在企业管理费中，结算时不再调整。招标人如需增加抽检，检测合格费用由招标人支付；检测不合格，视为</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违约，检测费、整改至合格的费用由</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支付，且需要支付相关分项工程5%的违约金。</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3.2项目经理</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3.2.1项目经理：</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承包人对项目经理的授权范围如下：</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1.领导、决策，调集企业所属各单位、各部门为项目进行全面服务和控制。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3.负责组织编制与审批工程总体进度计划及其修订与调整；</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4.负责组织编制与审批质量保证计划及其修订与调整；</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5.负责组织编制与审批主要物资供应与采购计划及其修订与调整；</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6.负责组织编制与审批工程分包计划及其修订与调整；</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7.组织工程成本的分析、预测及控制，对项目资金管理与财务运作负责；</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 注册建造师为本单位人员，且资格审查合格后不再更换。中标后，项目经理必须在现场组织施工，每周至少在现场 5 日，每日不少于 8 小时，切实发挥作用，未经</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书面同意，不得离开现场，否则按次处罚，2000 元/次，累计 5 次发包人有权单方面终止合同，并由承包人承担一切相应后果 。施工组织设计中现场管理机构的其它人员必须按期到位，否则应向发包人支付违约金1000元/日·人</w:t>
      </w:r>
      <w:r>
        <w:rPr>
          <w:rFonts w:hint="eastAsia" w:ascii="宋体" w:hAnsi="宋体" w:eastAsia="宋体" w:cs="宋体"/>
          <w:color w:val="auto"/>
          <w:sz w:val="24"/>
          <w:szCs w:val="24"/>
          <w:highlight w:val="none"/>
          <w:u w:val="single"/>
          <w:lang w:eastAsia="zh-CN"/>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承包人承担叁万元的违约金，责令限期提交劳动合同并补缴社会保险</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承包人擅自更换项目经理的违约责任：</w:t>
      </w:r>
      <w:r>
        <w:rPr>
          <w:rFonts w:hint="eastAsia" w:ascii="宋体" w:hAnsi="宋体" w:eastAsia="宋体" w:cs="宋体"/>
          <w:color w:val="auto"/>
          <w:sz w:val="24"/>
          <w:szCs w:val="24"/>
          <w:highlight w:val="none"/>
          <w:u w:val="single"/>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、监理方、建设主管部门同时认可、办理相应手续后方可更换</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承包人无正当理由拒绝更换项目经理的违约责任：</w:t>
      </w:r>
      <w:r>
        <w:rPr>
          <w:rFonts w:hint="eastAsia" w:ascii="宋体" w:hAnsi="宋体" w:eastAsia="宋体" w:cs="宋体"/>
          <w:color w:val="auto"/>
          <w:sz w:val="24"/>
          <w:szCs w:val="24"/>
          <w:highlight w:val="none"/>
          <w:u w:val="single"/>
        </w:rPr>
        <w:t xml:space="preserve">发包人有权要求承包人承担壹拾万元的违约金，并有权解除合同并责令承包人退场，由此产生的一切损失及后果由承包人承担。</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3.3承包人人员</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3.3.1承包人提交项目管理机构及施工现场管理人员安排报告的期限：</w:t>
      </w:r>
      <w:r>
        <w:rPr>
          <w:rFonts w:hint="eastAsia" w:ascii="宋体" w:hAnsi="宋体" w:eastAsia="宋体" w:cs="宋体"/>
          <w:color w:val="auto"/>
          <w:sz w:val="24"/>
          <w:szCs w:val="24"/>
          <w:highlight w:val="none"/>
          <w:u w:val="single"/>
        </w:rPr>
        <w:t xml:space="preserve">合同签订后7天内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承包人无正当理由拒绝撤换主要施工管理人员的违约责任</w:t>
      </w:r>
      <w:r>
        <w:rPr>
          <w:rFonts w:hint="eastAsia" w:ascii="宋体" w:hAnsi="宋体" w:eastAsia="宋体" w:cs="宋体"/>
          <w:color w:val="auto"/>
          <w:sz w:val="24"/>
          <w:szCs w:val="24"/>
          <w:highlight w:val="none"/>
          <w:u w:val="single"/>
        </w:rPr>
        <w:t xml:space="preserve">：发包人有权要求承包人承担叁万元的违约金，并有权解除合同并责令承包人退场，由此产生的一切损失及后果由承包人承担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承包人主要施工管理人员离开施工现场的批准要求：</w:t>
      </w:r>
      <w:r>
        <w:rPr>
          <w:rFonts w:hint="eastAsia" w:ascii="宋体" w:hAnsi="宋体" w:eastAsia="宋体" w:cs="宋体"/>
          <w:color w:val="auto"/>
          <w:sz w:val="24"/>
          <w:szCs w:val="24"/>
          <w:highlight w:val="none"/>
          <w:u w:val="single"/>
        </w:rPr>
        <w:t xml:space="preserve">由总监理工程师批准，发包人认可后方可离开</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承包人擅自更换主要施工管理人员的违约责任：</w:t>
      </w:r>
      <w:r>
        <w:rPr>
          <w:rFonts w:hint="eastAsia" w:ascii="宋体" w:hAnsi="宋体" w:eastAsia="宋体" w:cs="宋体"/>
          <w:color w:val="auto"/>
          <w:sz w:val="24"/>
          <w:szCs w:val="24"/>
          <w:highlight w:val="none"/>
          <w:u w:val="single"/>
        </w:rPr>
        <w:t xml:space="preserve">发包人有权要求承包人承担壹万元的违约金，并有权解除合同并责令承包人退场，由此产生的一切损失及后果由承包人承担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承包人承担壹万元/次的违约金，承包人承担及因上述违约给发包人造成的全部损失</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bookmarkStart w:id="88" w:name="_Toc292559869"/>
      <w:r/>
      <w:bookmarkStart w:id="89" w:name="_Toc296347158"/>
      <w:r/>
      <w:bookmarkStart w:id="90" w:name="_Toc296890987"/>
      <w:r/>
      <w:bookmarkStart w:id="91" w:name="_Toc297048345"/>
      <w:r/>
      <w:bookmarkStart w:id="92" w:name="_Toc297216151"/>
      <w:r/>
      <w:bookmarkStart w:id="93" w:name="_Toc300934945"/>
      <w:r/>
      <w:bookmarkStart w:id="94" w:name="_Toc292559364"/>
      <w:r/>
      <w:bookmarkStart w:id="95" w:name="_Toc296346660"/>
      <w:r/>
      <w:bookmarkStart w:id="96" w:name="_Toc304295523"/>
      <w:r/>
      <w:bookmarkStart w:id="97" w:name="_Toc297123492"/>
      <w:r/>
      <w:bookmarkStart w:id="98" w:name="_Toc312677988"/>
      <w:r/>
      <w:bookmarkStart w:id="99" w:name="_Toc296503159"/>
      <w:r/>
      <w:bookmarkStart w:id="100" w:name="_Toc296891199"/>
      <w:r/>
      <w:bookmarkStart w:id="101" w:name="_Toc297120459"/>
      <w:r/>
      <w:bookmarkStart w:id="102" w:name="_Toc296944498"/>
      <w:r/>
      <w:bookmarkStart w:id="103" w:name="_Toc303539102"/>
      <w:r>
        <w:rPr>
          <w:rFonts w:hint="eastAsia" w:ascii="宋体" w:hAnsi="宋体" w:eastAsia="宋体" w:cs="宋体"/>
          <w:color w:val="auto"/>
          <w:sz w:val="24"/>
          <w:szCs w:val="24"/>
          <w:highlight w:val="none"/>
        </w:rPr>
        <w:t xml:space="preserve">.5分包</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bookmarkStart w:id="104" w:name="_Toc292559365"/>
      <w:r/>
      <w:bookmarkStart w:id="105" w:name="_Toc296891200"/>
      <w:r/>
      <w:bookmarkStart w:id="106" w:name="_Toc297048346"/>
      <w:r/>
      <w:bookmarkStart w:id="107" w:name="_Toc300934946"/>
      <w:r/>
      <w:bookmarkStart w:id="108" w:name="_Toc303539103"/>
      <w:r/>
      <w:bookmarkStart w:id="109" w:name="_Toc296944499"/>
      <w:r/>
      <w:bookmarkStart w:id="110" w:name="_Toc296347159"/>
      <w:r/>
      <w:bookmarkStart w:id="111" w:name="_Toc297216152"/>
      <w:r/>
      <w:bookmarkStart w:id="112" w:name="_Toc297120460"/>
      <w:r/>
      <w:bookmarkStart w:id="113" w:name="_Toc296503160"/>
      <w:r/>
      <w:bookmarkStart w:id="114" w:name="_Toc304295524"/>
      <w:r/>
      <w:bookmarkStart w:id="115" w:name="_Toc292559870"/>
      <w:r/>
      <w:bookmarkStart w:id="116" w:name="_Toc296346661"/>
      <w:r/>
      <w:bookmarkStart w:id="117" w:name="_Toc296890988"/>
      <w:r/>
      <w:bookmarkStart w:id="118" w:name="_Toc297123493"/>
      <w:r/>
      <w:bookmarkStart w:id="119" w:name="_Toc312677989"/>
      <w:r/>
      <w:bookmarkStart w:id="120" w:name="_Toc318581158"/>
      <w:r>
        <w:rPr>
          <w:rFonts w:hint="eastAsia" w:ascii="宋体" w:hAnsi="宋体" w:eastAsia="宋体" w:cs="宋体"/>
          <w:color w:val="auto"/>
          <w:sz w:val="24"/>
          <w:szCs w:val="24"/>
          <w:highlight w:val="none"/>
        </w:rPr>
        <w:t xml:space="preserve">.5.1分包的一般约定</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本工程禁止违法分包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主体结构、关键性工作的范围：</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rPr>
        <w:t xml:space="preserve">。</w:t>
      </w:r>
      <w:bookmarkEnd w:id="119"/>
      <w:r/>
      <w:bookmarkEnd w:id="120"/>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bookmarkStart w:id="121" w:name="_Toc318581159"/>
      <w:r/>
      <w:bookmarkStart w:id="122" w:name="_Toc312677990"/>
      <w:r>
        <w:rPr>
          <w:rFonts w:hint="eastAsia" w:ascii="宋体" w:hAnsi="宋体" w:eastAsia="宋体" w:cs="宋体"/>
          <w:color w:val="auto"/>
          <w:sz w:val="24"/>
          <w:szCs w:val="24"/>
          <w:highlight w:val="none"/>
        </w:rPr>
        <w:t xml:space="preserve">.5.2分包的确定</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执行国家相关法律、法规规定</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除通用合同条款的约定外，分包还应遵循以下约定：</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(2)承包人应保障分包工作不得再次分包。</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分包合同价款</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121"/>
      <w:r/>
      <w:bookmarkEnd w:id="122"/>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3.6工程照管与成品、半成品保护</w:t>
      </w:r>
      <w:r/>
    </w:p>
    <w:p>
      <w:pPr>
        <w:ind w:left="0" w:right="0" w:firstLine="480"/>
        <w:jc w:val="left"/>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outlineLvl w:val="9"/>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b w:val="0"/>
          <w:bCs/>
          <w:color w:val="auto"/>
          <w:sz w:val="24"/>
          <w:szCs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3.7履约担保</w:t>
      </w:r>
      <w:r/>
    </w:p>
    <w:p>
      <w:pPr>
        <w:ind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承包人提供履约担保的形式、金额及期限：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履约保证金的返还</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single"/>
          <w:lang w:val="en-US" w:eastAsia="zh-CN"/>
        </w:rPr>
        <w:t xml:space="preserve"> / 。</w:t>
      </w:r>
      <w:r/>
    </w:p>
    <w:p>
      <w:pPr>
        <w:ind w:left="0" w:right="0" w:firstLine="482"/>
        <w:jc w:val="both"/>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123" w:name="_Toc351203636"/>
      <w:r>
        <w:rPr>
          <w:rFonts w:hint="eastAsia" w:ascii="宋体" w:hAnsi="宋体" w:eastAsia="宋体" w:cs="宋体"/>
          <w:b/>
          <w:bCs/>
          <w:color w:val="auto"/>
          <w:sz w:val="24"/>
          <w:szCs w:val="24"/>
          <w:highlight w:val="none"/>
        </w:rPr>
        <w:t xml:space="preserve">4</w:t>
      </w:r>
      <w:bookmarkStart w:id="124" w:name="_Toc297120462"/>
      <w:r/>
      <w:bookmarkStart w:id="125" w:name="_Toc296890990"/>
      <w:r/>
      <w:bookmarkStart w:id="126" w:name="_Toc296891202"/>
      <w:r/>
      <w:bookmarkStart w:id="127" w:name="_Toc296944501"/>
      <w:r/>
      <w:bookmarkStart w:id="128" w:name="_Toc297048348"/>
      <w:r/>
      <w:bookmarkStart w:id="129" w:name="_Toc296347161"/>
      <w:r/>
      <w:bookmarkStart w:id="130" w:name="_Toc296503162"/>
      <w:r/>
      <w:bookmarkStart w:id="131" w:name="_Toc292559366"/>
      <w:r/>
      <w:bookmarkStart w:id="132" w:name="_Toc296346663"/>
      <w:r/>
      <w:bookmarkStart w:id="133" w:name="_Toc292559871"/>
      <w:r/>
      <w:bookmarkStart w:id="134" w:name="_Toc267251413"/>
      <w:r>
        <w:rPr>
          <w:rFonts w:hint="eastAsia" w:ascii="宋体" w:hAnsi="宋体" w:eastAsia="宋体" w:cs="宋体"/>
          <w:b/>
          <w:bCs/>
          <w:color w:val="auto"/>
          <w:sz w:val="24"/>
          <w:szCs w:val="24"/>
          <w:highlight w:val="none"/>
        </w:rPr>
        <w:t xml:space="preserve">.监</w:t>
      </w:r>
      <w:bookmarkEnd w:id="124"/>
      <w:r/>
      <w:bookmarkEnd w:id="125"/>
      <w:r/>
      <w:bookmarkEnd w:id="126"/>
      <w:r/>
      <w:bookmarkEnd w:id="127"/>
      <w:r/>
      <w:bookmarkEnd w:id="128"/>
      <w:r/>
      <w:bookmarkEnd w:id="129"/>
      <w:r/>
      <w:bookmarkEnd w:id="130"/>
      <w:r/>
      <w:bookmarkEnd w:id="131"/>
      <w:r/>
      <w:bookmarkEnd w:id="132"/>
      <w:r/>
      <w:bookmarkEnd w:id="133"/>
      <w:r/>
      <w:bookmarkEnd w:id="134"/>
      <w:r>
        <w:rPr>
          <w:rFonts w:hint="eastAsia" w:ascii="宋体" w:hAnsi="宋体" w:eastAsia="宋体" w:cs="宋体"/>
          <w:b/>
          <w:bCs/>
          <w:color w:val="auto"/>
          <w:sz w:val="24"/>
          <w:szCs w:val="24"/>
          <w:highlight w:val="none"/>
        </w:rPr>
        <w:t xml:space="preserve">理人</w:t>
      </w:r>
      <w:bookmarkEnd w:id="123"/>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4.1监理人的一般规定</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4.2监理人员</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总监理工程师：</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总监理工程师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详见本工程监理合同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商定或确定</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numPr>
          <w:ilvl w:val="0"/>
          <w:numId w:val="6"/>
        </w:num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cs="宋体"/>
          <w:color w:val="auto"/>
          <w:sz w:val="24"/>
          <w:szCs w:val="24"/>
          <w:highlight w:val="none"/>
          <w:u w:val="single"/>
          <w:lang w:eastAsia="zh-CN"/>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135" w:name="_Toc351203637"/>
      <w:r>
        <w:rPr>
          <w:rFonts w:hint="eastAsia" w:ascii="宋体" w:hAnsi="宋体" w:eastAsia="宋体" w:cs="宋体"/>
          <w:b/>
          <w:bCs/>
          <w:color w:val="auto"/>
          <w:sz w:val="24"/>
          <w:szCs w:val="24"/>
          <w:highlight w:val="none"/>
        </w:rPr>
        <w:t xml:space="preserve">5.工程质量</w:t>
      </w:r>
      <w:bookmarkEnd w:id="135"/>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5.1质量要求</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5.1.1特殊质量标准和要求：</w:t>
      </w:r>
      <w:r>
        <w:rPr>
          <w:rFonts w:hint="eastAsia" w:ascii="宋体" w:hAnsi="宋体" w:eastAsia="宋体" w:cs="宋体"/>
          <w:bCs/>
          <w:color w:val="auto"/>
          <w:sz w:val="24"/>
          <w:szCs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327"/>
        <w:ind w:left="0" w:right="0" w:firstLine="480"/>
        <w:keepLines w:val="0"/>
        <w:keepNext w:val="0"/>
        <w:pageBreakBefore w:val="0"/>
        <w:spacing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1327"/>
        <w:ind w:left="0" w:right="0" w:firstLine="480"/>
        <w:keepLines w:val="0"/>
        <w:keepNext w:val="0"/>
        <w:pageBreakBefore w:val="0"/>
        <w:spacing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②现场钢筋成形场地必须硬化，避免钢筋污染。</w:t>
      </w:r>
      <w:r/>
    </w:p>
    <w:p>
      <w:pPr>
        <w:pStyle w:val="1062"/>
        <w:ind w:left="0" w:right="0" w:firstLine="480"/>
        <w:keepLines w:val="0"/>
        <w:keepNext w:val="0"/>
        <w:pageBreakBefore w:val="0"/>
        <w:spacing w:after="0" w:line="324"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u w:val="singl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rPr>
          <w:rFonts w:hint="eastAsia" w:ascii="宋体" w:hAnsi="宋体" w:eastAsia="宋体" w:cs="宋体"/>
          <w:color w:val="auto"/>
          <w:sz w:val="24"/>
          <w:szCs w:val="24"/>
          <w:highlight w:val="none"/>
          <w:u w:val="single"/>
          <w:lang w:eastAsia="zh-CN"/>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按相关文件执行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隐蔽工程检查</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隐蔽工程覆盖前的检查：未经监理工程师、</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代表批准，工程的任何部位都不能覆盖，当任何部分的隐蔽工程或基础已经具备检验条件时，承包人应及时通知监理工程师、承包人代表。监理工程师、</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代表在接到承包人通知 24 小时后没有批复，承包人可以覆盖这部分工程或基础。</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承包人提前通知监理人隐蔽工程检查的期限的约定：</w:t>
      </w:r>
      <w:r>
        <w:rPr>
          <w:rFonts w:hint="eastAsia" w:ascii="宋体" w:hAnsi="宋体" w:eastAsia="宋体" w:cs="宋体"/>
          <w:color w:val="auto"/>
          <w:sz w:val="24"/>
          <w:szCs w:val="24"/>
          <w:highlight w:val="none"/>
          <w:u w:val="single"/>
        </w:rPr>
        <w:t xml:space="preserve">共同检查前48小时书面通知监理人</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小时提交书面延期要求。</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6. 安全文明施工与环境保护</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6.1安全文明施工</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6.1.1项目安全生产的达标目标及相应事项的约定：</w:t>
      </w:r>
      <w:r>
        <w:rPr>
          <w:rFonts w:hint="eastAsia" w:ascii="宋体" w:hAnsi="宋体" w:eastAsia="宋体" w:cs="宋体"/>
          <w:color w:val="auto"/>
          <w:sz w:val="24"/>
          <w:szCs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w:t>
      </w:r>
      <w:r>
        <w:rPr>
          <w:rFonts w:hint="eastAsia" w:ascii="宋体" w:hAnsi="宋体" w:eastAsia="宋体" w:cs="宋体"/>
          <w:color w:val="auto"/>
          <w:sz w:val="24"/>
          <w:szCs w:val="24"/>
          <w:highlight w:val="none"/>
          <w:u w:val="single"/>
        </w:rPr>
        <w:t xml:space="preserve">人员配置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扬尘治理按徐建价2018年1号文执行，2号文计取。承包人须按规范要求做好扬尘污染防治措施，全部费用均包含在内；</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6.1.4关于治安保卫的特别约定：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承包人编制，开工前5日内报监理。</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6.1.5文明施工</w:t>
      </w:r>
      <w:r/>
    </w:p>
    <w:p>
      <w:pPr>
        <w:pStyle w:val="1099"/>
        <w:ind w:firstLine="440"/>
        <w:keepLines w:val="0"/>
        <w:keepNext w:val="0"/>
        <w:pageBreakBefore w:val="0"/>
        <w:spacing w:after="200" w:line="324" w:lineRule="auto"/>
        <w:rPr>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color w:val="auto"/>
          <w:sz w:val="24"/>
          <w:szCs w:val="24"/>
          <w:highlight w:val="none"/>
        </w:rPr>
        <w:t xml:space="preserve">合同当事人对文明施工的要求：</w:t>
      </w:r>
      <w:r>
        <w:rPr>
          <w:rFonts w:ascii="Arial" w:hAnsi="Arial" w:eastAsia="Arial"/>
          <w:color w:val="auto"/>
          <w:sz w:val="24"/>
          <w:szCs w:val="24"/>
          <w:highlight w:val="none"/>
          <w:u w:val="single"/>
        </w:rPr>
        <w:t xml:space="preserve">符合徐州市有关部门规定的标准化施工现场要求，同时应满足市政、市容等相关主管部门的有关规定</w:t>
      </w:r>
      <w:r>
        <w:rPr>
          <w:rFonts w:ascii="Arial" w:hAnsi="Arial" w:eastAsia="Arial"/>
          <w:color w:val="auto"/>
          <w:sz w:val="24"/>
          <w:szCs w:val="24"/>
          <w:highlight w:val="none"/>
        </w:rPr>
        <w:t xml:space="preserve">。</w:t>
      </w:r>
      <w:r/>
    </w:p>
    <w:p>
      <w:pPr>
        <w:pStyle w:val="1099"/>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①承包人按当地有关主管部门的规定办理相关手续，并承担相应费用，同时以书面形式通知发包人，承担施工过程中因自身原因造成的罚款</w:t>
      </w:r>
      <w:r>
        <w:rPr>
          <w:rFonts w:ascii="Arial" w:hAnsi="Arial" w:eastAsia="Arial"/>
          <w:b w:val="0"/>
          <w:bCs/>
          <w:color w:val="auto"/>
          <w:sz w:val="24"/>
          <w:szCs w:val="24"/>
          <w:highlight w:val="none"/>
        </w:rPr>
        <w:t xml:space="preserve">。</w:t>
      </w:r>
      <w:r/>
    </w:p>
    <w:p>
      <w:pPr>
        <w:pStyle w:val="1099"/>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②承包人应遵守环境保护、和清洁卫生方面的法律、法规、规定以及发包人《建设工程安全文明施工管理办法》的规定，所发生的费用由承包人承担</w:t>
      </w:r>
      <w:r>
        <w:rPr>
          <w:rFonts w:ascii="Arial" w:hAnsi="Arial" w:eastAsia="Arial"/>
          <w:b w:val="0"/>
          <w:bCs/>
          <w:color w:val="auto"/>
          <w:sz w:val="24"/>
          <w:szCs w:val="24"/>
          <w:highlight w:val="none"/>
        </w:rPr>
        <w:t xml:space="preserve">。</w:t>
      </w:r>
      <w:r/>
    </w:p>
    <w:p>
      <w:pPr>
        <w:pStyle w:val="1099"/>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③承包人对施工现场的各种粉尘、废水、废气、固体废物和振动、噪声等采取必要的控制措施，及时进行处理并承担相关费用</w:t>
      </w:r>
      <w:r>
        <w:rPr>
          <w:rFonts w:ascii="Arial" w:hAnsi="Arial" w:eastAsia="Arial"/>
          <w:b w:val="0"/>
          <w:bCs/>
          <w:color w:val="auto"/>
          <w:sz w:val="24"/>
          <w:szCs w:val="24"/>
          <w:highlight w:val="none"/>
        </w:rPr>
        <w:t xml:space="preserve">。</w:t>
      </w:r>
      <w:r/>
    </w:p>
    <w:p>
      <w:pPr>
        <w:pStyle w:val="1099"/>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w:t>
      </w:r>
      <w:r>
        <w:rPr>
          <w:rFonts w:ascii="宋体" w:hAnsi="宋体"/>
          <w:b w:val="0"/>
          <w:bCs/>
          <w:color w:val="auto"/>
          <w:sz w:val="24"/>
          <w:szCs w:val="24"/>
          <w:highlight w:val="none"/>
          <w:u w:val="single"/>
        </w:rPr>
        <w:t xml:space="preserve">除</w:t>
      </w:r>
      <w:r>
        <w:rPr>
          <w:rFonts w:ascii="Arial" w:hAnsi="Arial" w:eastAsia="Arial"/>
          <w:b w:val="0"/>
          <w:bCs/>
          <w:color w:val="auto"/>
          <w:sz w:val="24"/>
          <w:szCs w:val="24"/>
          <w:highlight w:val="none"/>
        </w:rPr>
        <w:t xml:space="preserve">。</w:t>
      </w:r>
      <w:r/>
    </w:p>
    <w:p>
      <w:pPr>
        <w:pStyle w:val="1099"/>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w:t>
      </w:r>
      <w:r>
        <w:rPr>
          <w:rFonts w:ascii="宋体" w:hAnsi="宋体"/>
          <w:b w:val="0"/>
          <w:bCs/>
          <w:color w:val="auto"/>
          <w:sz w:val="24"/>
          <w:szCs w:val="24"/>
          <w:highlight w:val="none"/>
          <w:u w:val="single"/>
        </w:rPr>
        <w:t xml:space="preserve">除</w:t>
      </w:r>
      <w:r>
        <w:rPr>
          <w:rFonts w:ascii="Arial" w:hAnsi="Arial" w:eastAsia="Arial"/>
          <w:b w:val="0"/>
          <w:bCs/>
          <w:color w:val="auto"/>
          <w:sz w:val="24"/>
          <w:szCs w:val="24"/>
          <w:highlight w:val="none"/>
        </w:rPr>
        <w:t xml:space="preserve">。</w:t>
      </w:r>
      <w:r/>
    </w:p>
    <w:p>
      <w:pPr>
        <w:pStyle w:val="1099"/>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⑥现场施工及管理人员均需挂牌进场，否则，发包人有权对承包人处以 50元∕人·次的违约金</w:t>
      </w:r>
      <w:r>
        <w:rPr>
          <w:rFonts w:ascii="Arial" w:hAnsi="Arial" w:eastAsia="Arial"/>
          <w:b w:val="0"/>
          <w:bCs/>
          <w:color w:val="auto"/>
          <w:sz w:val="24"/>
          <w:szCs w:val="24"/>
          <w:highlight w:val="none"/>
        </w:rPr>
        <w:t xml:space="preserve">。</w:t>
      </w:r>
      <w:r/>
    </w:p>
    <w:p>
      <w:pPr>
        <w:pStyle w:val="1099"/>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2018 年大气污染防治攻坚行动方案》、徐城管发【2018】55 号文</w:t>
      </w:r>
      <w:r>
        <w:rPr>
          <w:rFonts w:hint="eastAsia" w:ascii="Arial" w:hAnsi="Arial"/>
          <w:b w:val="0"/>
          <w:bCs/>
          <w:color w:val="auto"/>
          <w:sz w:val="24"/>
          <w:szCs w:val="24"/>
          <w:highlight w:val="none"/>
          <w:u w:val="single"/>
        </w:rPr>
        <w:t xml:space="preserve">、“《关于印发&lt;徐州市建设工程扬尘（噪声）智慧监管系统建设实施意见（试行）&gt;的通知》（徐污防攻坚指办〔2023〕26号）”</w:t>
      </w:r>
      <w:r>
        <w:rPr>
          <w:rFonts w:ascii="Arial" w:hAnsi="Arial" w:eastAsia="Arial"/>
          <w:b w:val="0"/>
          <w:bCs/>
          <w:color w:val="auto"/>
          <w:sz w:val="24"/>
          <w:szCs w:val="24"/>
          <w:highlight w:val="none"/>
          <w:u w:val="single"/>
        </w:rPr>
        <w:t xml:space="preserve">的规定。</w:t>
      </w:r>
      <w:r>
        <w:rPr>
          <w:rFonts w:hint="eastAsia" w:ascii="Arial" w:hAnsi="Arial" w:eastAsia="宋体"/>
          <w:b w:val="0"/>
          <w:bCs/>
          <w:color w:val="auto"/>
          <w:sz w:val="24"/>
          <w:szCs w:val="24"/>
          <w:highlight w:val="none"/>
          <w:u w:val="single"/>
          <w:lang w:val="en-US" w:eastAsia="zh-CN"/>
        </w:rPr>
        <w:t xml:space="preserve">供应商</w:t>
      </w:r>
      <w:r>
        <w:rPr>
          <w:rFonts w:ascii="Arial" w:hAnsi="Arial" w:eastAsia="Arial"/>
          <w:b w:val="0"/>
          <w:bCs/>
          <w:color w:val="auto"/>
          <w:sz w:val="24"/>
          <w:szCs w:val="24"/>
          <w:highlight w:val="none"/>
          <w:u w:val="single"/>
        </w:rPr>
        <w:t xml:space="preserve">的扬尘防控环保要求必须符合严格按《徐建价 2018年1号》文执行，扬尘污染防治费按江苏省住房和城乡建设厅公告（2018）24号文执行计取。该费用已经包含在投标报价当中， 结算不再增加此项费用</w:t>
      </w:r>
      <w:r>
        <w:rPr>
          <w:rFonts w:ascii="Arial" w:hAnsi="Arial" w:eastAsia="Arial"/>
          <w:b w:val="0"/>
          <w:bCs/>
          <w:color w:val="auto"/>
          <w:sz w:val="24"/>
          <w:szCs w:val="24"/>
          <w:highlight w:val="none"/>
        </w:rPr>
        <w:t xml:space="preserve">。</w:t>
      </w:r>
      <w:r/>
    </w:p>
    <w:p>
      <w:pPr>
        <w:pStyle w:val="1099"/>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按照《徐州市市区扬</w:t>
      </w:r>
      <w:r>
        <w:rPr>
          <w:rFonts w:ascii="Arial" w:hAnsi="Arial" w:eastAsia="Arial"/>
          <w:b w:val="0"/>
          <w:bCs/>
          <w:color w:val="auto"/>
          <w:sz w:val="24"/>
          <w:szCs w:val="24"/>
          <w:highlight w:val="none"/>
          <w:u w:val="single"/>
        </w:rPr>
        <w:t xml:space="preserve">尘污染防治办法》的要求，开工前 7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ascii="Arial" w:hAnsi="Arial" w:eastAsia="Arial"/>
          <w:b w:val="0"/>
          <w:bCs/>
          <w:color w:val="auto"/>
          <w:sz w:val="24"/>
          <w:szCs w:val="24"/>
          <w:highlight w:val="none"/>
        </w:rPr>
        <w:t xml:space="preserve">。</w:t>
      </w:r>
      <w:r/>
    </w:p>
    <w:p>
      <w:pPr>
        <w:pStyle w:val="1099"/>
        <w:ind w:firstLine="440"/>
        <w:keepLines w:val="0"/>
        <w:keepNext w:val="0"/>
        <w:pageBreakBefore w:val="0"/>
        <w:spacing w:after="200" w:line="324" w:lineRule="auto"/>
        <w:rPr>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Arial" w:hAnsi="Arial" w:eastAsia="Arial"/>
          <w:b w:val="0"/>
          <w:bCs/>
          <w:color w:val="auto"/>
          <w:sz w:val="24"/>
          <w:szCs w:val="24"/>
          <w:highlight w:val="none"/>
          <w:u w:val="single"/>
        </w:rPr>
        <w:t xml:space="preserve">⑧因扬尘治理、环境保护等情况未到达标准，而导致</w:t>
      </w:r>
      <w:r>
        <w:rPr>
          <w:rFonts w:ascii="宋体" w:hAnsi="宋体"/>
          <w:b w:val="0"/>
          <w:bCs/>
          <w:color w:val="auto"/>
          <w:sz w:val="24"/>
          <w:szCs w:val="24"/>
          <w:highlight w:val="none"/>
          <w:u w:val="single"/>
        </w:rPr>
        <w:t xml:space="preserve">发包方</w:t>
      </w:r>
      <w:r>
        <w:rPr>
          <w:rFonts w:ascii="Arial" w:hAnsi="Arial" w:eastAsia="Arial"/>
          <w:b w:val="0"/>
          <w:bCs/>
          <w:color w:val="auto"/>
          <w:sz w:val="24"/>
          <w:szCs w:val="24"/>
          <w:highlight w:val="none"/>
          <w:u w:val="single"/>
        </w:rPr>
        <w:t xml:space="preserve">被处罚，</w:t>
      </w:r>
      <w:r>
        <w:rPr>
          <w:rFonts w:ascii="宋体" w:hAnsi="宋体"/>
          <w:b w:val="0"/>
          <w:bCs/>
          <w:color w:val="auto"/>
          <w:sz w:val="24"/>
          <w:szCs w:val="24"/>
          <w:highlight w:val="none"/>
          <w:u w:val="single"/>
        </w:rPr>
        <w:t xml:space="preserve">发包方</w:t>
      </w:r>
      <w:r>
        <w:rPr>
          <w:rFonts w:ascii="Arial" w:hAnsi="Arial" w:eastAsia="Arial"/>
          <w:b w:val="0"/>
          <w:bCs/>
          <w:color w:val="auto"/>
          <w:sz w:val="24"/>
          <w:szCs w:val="24"/>
          <w:highlight w:val="none"/>
          <w:u w:val="single"/>
        </w:rPr>
        <w:t xml:space="preserve">将处罚金额从</w:t>
      </w:r>
      <w:r>
        <w:rPr>
          <w:rFonts w:ascii="宋体" w:hAnsi="宋体"/>
          <w:b w:val="0"/>
          <w:bCs/>
          <w:color w:val="auto"/>
          <w:sz w:val="24"/>
          <w:szCs w:val="24"/>
          <w:highlight w:val="none"/>
          <w:u w:val="single"/>
        </w:rPr>
        <w:t xml:space="preserve">承包方</w:t>
      </w:r>
      <w:r>
        <w:rPr>
          <w:rFonts w:ascii="Arial" w:hAnsi="Arial" w:eastAsia="Arial"/>
          <w:b w:val="0"/>
          <w:bCs/>
          <w:color w:val="auto"/>
          <w:sz w:val="24"/>
          <w:szCs w:val="24"/>
          <w:highlight w:val="none"/>
          <w:u w:val="single"/>
        </w:rPr>
        <w:t xml:space="preserve">工程款中扣除</w:t>
      </w:r>
      <w:r>
        <w:rPr>
          <w:rFonts w:ascii="Arial" w:hAnsi="Arial" w:eastAsia="Arial"/>
          <w:b w:val="0"/>
          <w:bCs/>
          <w:color w:val="auto"/>
          <w:sz w:val="24"/>
          <w:szCs w:val="24"/>
          <w:highlight w:val="none"/>
        </w:rPr>
        <w:t xml:space="preserve">。</w:t>
      </w:r>
      <w:r/>
    </w:p>
    <w:p>
      <w:pPr>
        <w:ind w:left="0" w:right="0" w:firstLine="480"/>
        <w:jc w:val="left"/>
        <w:keepLines w:val="0"/>
        <w:keepNext w:val="0"/>
        <w:pageBreakBefore w:val="0"/>
        <w:spacing w:after="0" w:line="324" w:lineRule="auto"/>
        <w:widowControl/>
        <w:rPr>
          <w:rFonts w:ascii="Arial" w:hAnsi="Arial" w:eastAsia="Arial"/>
          <w:b w:val="0"/>
          <w:bCs/>
          <w:color w:val="auto"/>
          <w:sz w:val="24"/>
          <w:szCs w:val="24"/>
          <w:highlight w:val="none"/>
        </w:rPr>
        <w:outlineLvl w:val="9"/>
      </w:pPr>
      <w:r>
        <w:rPr>
          <w:rFonts w:ascii="Arial" w:hAnsi="Arial" w:eastAsia="Arial"/>
          <w:b w:val="0"/>
          <w:bCs/>
          <w:color w:val="auto"/>
          <w:sz w:val="24"/>
          <w:szCs w:val="24"/>
          <w:highlight w:val="none"/>
          <w:u w:val="single"/>
        </w:rPr>
        <w:t xml:space="preserve">⑨文明施工相关法律、标准和规范的其他要求</w:t>
      </w:r>
      <w:r>
        <w:rPr>
          <w:rFonts w:ascii="Arial" w:hAnsi="Arial" w:eastAsia="Arial"/>
          <w:b w:val="0"/>
          <w:bCs/>
          <w:color w:val="auto"/>
          <w:sz w:val="24"/>
          <w:szCs w:val="24"/>
          <w:highlight w:val="none"/>
        </w:rPr>
        <w:t xml:space="preserve">。</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6.1.6关于安全文明施工费支付比例和支付期限的约定：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7. 工期和进度</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7.1 施工组织设计</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7.1.2 施工组织设计的提交和修改</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施工组织设计和总进度计划应于施工前7天提交发包人及监理工程师审批， 总进度计划应满足招标文件和合同对工期</w:t>
      </w:r>
      <w:r>
        <w:rPr>
          <w:rFonts w:hint="eastAsia" w:ascii="宋体" w:hAnsi="宋体" w:eastAsia="宋体" w:cs="宋体"/>
          <w:color w:val="auto"/>
          <w:sz w:val="24"/>
          <w:szCs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发包人和监理人在收到详细的施工组织设计后确认或提出修改意见的期限：收到后7日内 。</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7.2 施工进度计划</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施工进度计划的修订</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收到后3日内。</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7.3 开工</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7.3.1 开工准备</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合同签订后、接到监理方的书面开工指令7日内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开工报告批准日期之前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7.3.2开工通知</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7.4 测量放线</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7.5 工期延误</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rPr>
        <w:t xml:space="preserve">除不可抗力和</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原因造成的工期延误外，工期不得顺延。非</w:t>
      </w:r>
      <w:r>
        <w:rPr>
          <w:rFonts w:hint="eastAsia" w:ascii="宋体" w:hAnsi="宋体" w:eastAsia="宋体" w:cs="宋体"/>
          <w:color w:val="auto"/>
          <w:sz w:val="24"/>
          <w:szCs w:val="24"/>
          <w:highlight w:val="none"/>
        </w:rPr>
        <w:t xml:space="preserve">承包人</w:t>
      </w:r>
      <w:r>
        <w:rPr>
          <w:rFonts w:hint="eastAsia" w:ascii="宋体" w:hAnsi="宋体" w:eastAsia="宋体" w:cs="宋体"/>
          <w:b w:val="0"/>
          <w:bCs/>
          <w:color w:val="auto"/>
          <w:sz w:val="24"/>
          <w:szCs w:val="24"/>
          <w:highlight w:val="none"/>
        </w:rPr>
        <w:t xml:space="preserve">原因造成的工期延误，经</w:t>
      </w: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rPr>
        <w:t xml:space="preserve">确认后，工期顺延。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7.5.1 因发包人原因导致工期延误</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执行通用条款。</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7.5.2 因承包人原因导致工期延误</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每延误一天，由承包人向发包人按合同价款的</w:t>
      </w:r>
      <w:r>
        <w:rPr>
          <w:rFonts w:hint="eastAsia" w:ascii="宋体" w:hAnsi="宋体" w:eastAsia="宋体" w:cs="宋体"/>
          <w:color w:val="auto"/>
          <w:sz w:val="24"/>
          <w:szCs w:val="24"/>
          <w:highlight w:val="none"/>
          <w:u w:val="single"/>
          <w:lang w:val="en-US" w:eastAsia="zh-CN"/>
        </w:rPr>
        <w:t xml:space="preserve">百分之一</w:t>
      </w:r>
      <w:r>
        <w:rPr>
          <w:rFonts w:hint="eastAsia" w:ascii="宋体" w:hAnsi="宋体" w:eastAsia="宋体" w:cs="宋体"/>
          <w:color w:val="auto"/>
          <w:sz w:val="24"/>
          <w:szCs w:val="24"/>
          <w:highlight w:val="none"/>
          <w:u w:val="single"/>
        </w:rPr>
        <w:t xml:space="preserve">/天支付违约金。</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rPr>
        <w:t xml:space="preserve">总额不超过合同价款的</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7.6 不利物质条件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7.7异常恶劣的气候条件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发包人和承包人同意以下情形视为异常恶劣的气候条件：</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异常恶劣的气候条件的认定标准，以政府有关部门的规定为准。</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提前竣工的奖励</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提前竣工的奖励：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8. 材料与设备</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材料与工程设备的保管与使用</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.1发包人供应的材料设备的保管费用的承担：</w:t>
      </w:r>
      <w:r>
        <w:rPr>
          <w:rFonts w:hint="eastAsia" w:ascii="宋体" w:hAnsi="宋体" w:eastAsia="宋体" w:cs="宋体"/>
          <w:color w:val="auto"/>
          <w:sz w:val="24"/>
          <w:szCs w:val="24"/>
          <w:highlight w:val="none"/>
          <w:u w:val="single"/>
        </w:rPr>
        <w:t xml:space="preserve">承包人承担。</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样品</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.1样品的报送与封存</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施工设备和临时设施</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承包人提供的施工设备和临时设施</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由承包人自行承担</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9. 试验与检验</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9.1试验设备与试验人员</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9.1.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试验设备</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现场工艺试验 </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承包人根据相关法律、标准和规范及按照监理人指示进行试验并承担检测费用。</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10. 变更</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10.1 变更的范围</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执行通用条款。</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u w:val="single"/>
          <w:lang w:val="en-US" w:eastAsia="en-US"/>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lang w:val="en-US" w:eastAsia="en-US"/>
        </w:rPr>
        <w:t xml:space="preserve">承包人根据发包人书面确认的变更文件予以变更。变更文件中须明确原做法、变更后做法及工艺、材料名称、规格、品牌、尺寸等，标注要清晰 。</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变更估价</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变更估价原则</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关于变更估价的约定: </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1.1设计变更引起新增工程量清单项目，其相应综合单价按本招标文件规定的招标控制价计价编制办法计算，再乘以中标价与招标控制价相比的浮动比率后作为综合单价进行结算。以上变更及工程量签证，必须由发、承包双方、现场监理工程师共同确认。</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.1.2工程量增减，其相应综合单价执行投标报价的综合单价，但不得高于定额价的综合单价。</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.1.3清单项目中特征描述不全的工序，如图纸已明确或已指明引用的规范、图集等或是常规工艺必须的工序，应包括在报价中。</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以上10.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.1.1、10.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.1.2条以外原因引起的价款调整按照以下方法处理：</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（1）有类似单价的，参照类似单价；</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（2）没有类似单价的，按照变更发生前一个月的《徐州工程造价信息》中相应的材料价格和相应的定额计价，同时按照中标价与招标控制价的整体下浮比率下浮；</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徐州工程造价信息》中没有相应材料价格的，双方比价采购或者由招标人经招标确定价格后，计入相应的定额计价，但该部分材料价格不再参与下浮，其余部分按照中标价与招标控制价的整体下浮比率下浮。</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.1.5因分部分项工程量清单漏项、数量调整或非承包人原因的工程变更，造成施工组织设计或施工方案变更，引起措施项目发生变化时，在结算按照以下规定调整：</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（1）总价措施措施费仍按投标时费率进行调整（其中安全文明增加费及按质论价费的费率按实调整）。</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单价措施（排水、降水、脚手架、围堰、便桥、封底混凝土、便道、围挡）的措施费按照单价措施项目清单投标单价，结算按实调整（除由设计变更引起的单价措施工程量调整外，结算工程量不得超过投标清单工程量）。</w:t>
      </w:r>
      <w:r/>
    </w:p>
    <w:p>
      <w:pPr>
        <w:ind w:left="0" w:right="0" w:firstLine="480"/>
        <w:jc w:val="left"/>
        <w:keepLines w:val="0"/>
        <w:keepNext w:val="0"/>
        <w:pageBreakBefore w:val="0"/>
        <w:spacing w:after="0" w:line="324" w:lineRule="auto"/>
        <w:widowControl/>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bookmarkStart w:id="136" w:name="_Toc296503197"/>
      <w:r/>
      <w:bookmarkStart w:id="137" w:name="_Toc296347196"/>
      <w:r/>
      <w:bookmarkStart w:id="138" w:name="_Toc292559907"/>
      <w:r/>
      <w:bookmarkStart w:id="139" w:name="_Toc300934993"/>
      <w:r/>
      <w:bookmarkStart w:id="140" w:name="_Toc303539150"/>
      <w:r/>
      <w:bookmarkStart w:id="141" w:name="_Toc292559402"/>
      <w:r/>
      <w:bookmarkStart w:id="142" w:name="_Toc296346698"/>
      <w:r/>
      <w:bookmarkStart w:id="143" w:name="_Toc297048383"/>
      <w:r/>
      <w:bookmarkStart w:id="144" w:name="_Toc296891237"/>
      <w:r/>
      <w:bookmarkStart w:id="145" w:name="_Toc296891025"/>
      <w:r/>
      <w:bookmarkStart w:id="146" w:name="_Toc297216203"/>
      <w:r/>
      <w:bookmarkStart w:id="147" w:name="_Toc297123544"/>
      <w:r/>
      <w:bookmarkStart w:id="148" w:name="_Toc296944536"/>
      <w:r/>
      <w:bookmarkStart w:id="149" w:name="_Toc297120497"/>
      <w:r/>
      <w:bookmarkStart w:id="150" w:name="_Toc312677503"/>
      <w:r/>
      <w:bookmarkStart w:id="151" w:name="_Toc312678029"/>
      <w:r/>
      <w:bookmarkStart w:id="152" w:name="_Toc304295570"/>
      <w:r>
        <w:rPr>
          <w:rFonts w:hint="eastAsia" w:ascii="宋体" w:hAnsi="宋体" w:eastAsia="宋体" w:cs="宋体"/>
          <w:color w:val="auto"/>
          <w:sz w:val="24"/>
          <w:szCs w:val="24"/>
          <w:highlight w:val="none"/>
        </w:rPr>
        <w:t xml:space="preserve">0.5承</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Start w:id="153" w:name="_Toc296347202"/>
      <w:r/>
      <w:bookmarkStart w:id="154" w:name="_Toc300934994"/>
      <w:r/>
      <w:bookmarkStart w:id="155" w:name="_Toc296346704"/>
      <w:r/>
      <w:bookmarkStart w:id="156" w:name="_Toc303539151"/>
      <w:r/>
      <w:bookmarkStart w:id="157" w:name="_Toc296891243"/>
      <w:r/>
      <w:bookmarkStart w:id="158" w:name="_Toc297123545"/>
      <w:r/>
      <w:bookmarkStart w:id="159" w:name="_Toc297216204"/>
      <w:r/>
      <w:bookmarkStart w:id="160" w:name="_Toc292559913"/>
      <w:r/>
      <w:bookmarkStart w:id="161" w:name="_Toc296944542"/>
      <w:r/>
      <w:bookmarkStart w:id="162" w:name="_Toc297120503"/>
      <w:r/>
      <w:bookmarkStart w:id="163" w:name="_Toc297048389"/>
      <w:r/>
      <w:bookmarkStart w:id="164" w:name="_Toc292559408"/>
      <w:r/>
      <w:bookmarkStart w:id="165" w:name="_Toc296503203"/>
      <w:r/>
      <w:bookmarkStart w:id="166" w:name="_Toc296891031"/>
      <w:r>
        <w:rPr>
          <w:rFonts w:hint="eastAsia" w:ascii="宋体" w:hAnsi="宋体" w:eastAsia="宋体" w:cs="宋体"/>
          <w:color w:val="auto"/>
          <w:sz w:val="24"/>
          <w:szCs w:val="24"/>
          <w:highlight w:val="none"/>
        </w:rPr>
        <w:t xml:space="preserve">包人的合理化建议</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实施前14日内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实施前7日内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w:t>
      </w:r>
      <w:bookmarkStart w:id="167" w:name="_Toc296347203"/>
      <w:r/>
      <w:bookmarkStart w:id="168" w:name="_Toc292559914"/>
      <w:r/>
      <w:bookmarkStart w:id="169" w:name="_Toc296891244"/>
      <w:r/>
      <w:bookmarkStart w:id="170" w:name="_Toc300934995"/>
      <w:r/>
      <w:bookmarkStart w:id="171" w:name="_Toc296944543"/>
      <w:r/>
      <w:bookmarkStart w:id="172" w:name="_Toc297216205"/>
      <w:r/>
      <w:bookmarkStart w:id="173" w:name="_Toc296346705"/>
      <w:r/>
      <w:bookmarkStart w:id="174" w:name="_Toc296891032"/>
      <w:r/>
      <w:bookmarkStart w:id="175" w:name="_Toc297120504"/>
      <w:r/>
      <w:bookmarkStart w:id="176" w:name="_Toc297048390"/>
      <w:r/>
      <w:bookmarkStart w:id="177" w:name="_Toc312678030"/>
      <w:r/>
      <w:bookmarkStart w:id="178" w:name="_Toc297123546"/>
      <w:r/>
      <w:bookmarkStart w:id="179" w:name="_Toc296503204"/>
      <w:r/>
      <w:bookmarkStart w:id="180" w:name="_Toc292559409"/>
      <w:r/>
      <w:bookmarkStart w:id="181" w:name="_Toc312677504"/>
      <w:r/>
      <w:bookmarkStart w:id="182" w:name="_Toc304295571"/>
      <w:r/>
      <w:bookmarkStart w:id="183" w:name="_Toc303539152"/>
      <w:r/>
      <w:bookmarkStart w:id="184" w:name="_Toc318581175"/>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185" w:name="_Toc351203643"/>
      <w:r>
        <w:rPr>
          <w:rFonts w:hint="eastAsia" w:ascii="宋体" w:hAnsi="宋体" w:eastAsia="宋体" w:cs="宋体"/>
          <w:b/>
          <w:bCs/>
          <w:color w:val="auto"/>
          <w:sz w:val="24"/>
          <w:szCs w:val="24"/>
          <w:highlight w:val="none"/>
        </w:rPr>
        <w:t xml:space="preserve">11.价格调整</w:t>
      </w:r>
      <w:bookmarkEnd w:id="185"/>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bookmarkStart w:id="186" w:name="_Toc312678039"/>
      <w:r/>
      <w:bookmarkStart w:id="187" w:name="_Toc296346702"/>
      <w:r/>
      <w:bookmarkStart w:id="188" w:name="_Toc296891029"/>
      <w:r/>
      <w:bookmarkStart w:id="189" w:name="_Toc296503201"/>
      <w:r/>
      <w:bookmarkStart w:id="190" w:name="_Toc303539157"/>
      <w:r/>
      <w:bookmarkStart w:id="191" w:name="_Toc292559911"/>
      <w:r/>
      <w:bookmarkStart w:id="192" w:name="_Toc297123550"/>
      <w:r/>
      <w:bookmarkStart w:id="193" w:name="_Toc300935000"/>
      <w:r/>
      <w:bookmarkStart w:id="194" w:name="_Toc292559406"/>
      <w:r/>
      <w:bookmarkStart w:id="195" w:name="_Toc297048387"/>
      <w:r/>
      <w:bookmarkStart w:id="196" w:name="_Toc304295577"/>
      <w:r/>
      <w:bookmarkStart w:id="197" w:name="_Toc297120501"/>
      <w:r/>
      <w:bookmarkStart w:id="198" w:name="_Toc296944540"/>
      <w:r/>
      <w:bookmarkStart w:id="199" w:name="_Toc296347200"/>
      <w:r/>
      <w:bookmarkStart w:id="200" w:name="_Toc296891241"/>
      <w:r/>
      <w:bookmarkStart w:id="201" w:name="_Toc297216209"/>
      <w:r>
        <w:rPr>
          <w:rFonts w:hint="eastAsia" w:ascii="宋体" w:hAnsi="宋体" w:eastAsia="宋体" w:cs="宋体"/>
          <w:color w:val="auto"/>
          <w:sz w:val="24"/>
          <w:szCs w:val="24"/>
          <w:highlight w:val="none"/>
        </w:rPr>
        <w:t xml:space="preserve">11.1市场价格波动引起的调整</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
    </w:p>
    <w:p>
      <w:pPr>
        <w:pStyle w:val="1062"/>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b/>
          <w:color w:val="auto"/>
          <w:sz w:val="24"/>
          <w:szCs w:val="24"/>
          <w:highlight w:val="none"/>
          <w:u w:val="single"/>
        </w:rPr>
        <w:t xml:space="preserve">承包人在投标时应已充分考虑到施工期间各类建材的市场风险，并计入总报价，合同履行期间不予调整</w:t>
      </w:r>
      <w:r>
        <w:rPr>
          <w:rFonts w:hint="eastAsia" w:ascii="宋体" w:hAnsi="宋体" w:eastAsia="宋体" w:cs="宋体"/>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种方式对合同价格进行调整：</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第1种方式：采用价格指数进行价格调整。</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第2种方式：采用造价信息进行价格调整。</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专用合同条款：</w:t>
      </w:r>
      <w:r>
        <w:rPr>
          <w:rFonts w:hint="eastAsia" w:ascii="宋体" w:hAnsi="宋体" w:eastAsia="宋体" w:cs="宋体"/>
          <w:color w:val="auto"/>
          <w:sz w:val="24"/>
          <w:szCs w:val="24"/>
          <w:highlight w:val="none"/>
          <w:u w:val="single"/>
        </w:rPr>
        <w:t xml:space="preserve">（1）承包人投标报价中材料单价低于基准单价：施工期间材料单价涨幅以基准单价为基础超过5%，或材料单价跌幅以投标报价为基础超过5%时，其超过部分按实调整。</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（2）承包人投标报价中材料单价高于基准单价：施工期间材料单价跌幅以基准单价为基础超过5%，或材料单价涨幅以投标报价为基础超过5%时，其超过部分按实调整。</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（3）承包人投标报价中材料单价等于基准单价：施工期间材料单价涨、跌幅均以基准单价为基础，涨幅超过5%和跌幅超过5%，其超过部分按实调整。</w:t>
      </w:r>
      <w:r/>
    </w:p>
    <w:p>
      <w:pPr>
        <w:ind w:left="0" w:right="0" w:firstLine="480"/>
        <w:jc w:val="left"/>
        <w:keepLines w:val="0"/>
        <w:keepNext w:val="0"/>
        <w:pageBreakBefore w:val="0"/>
        <w:spacing w:after="0" w:line="324" w:lineRule="auto"/>
        <w:rPr>
          <w:rFonts w:hint="eastAsia" w:ascii="宋体" w:hAnsi="宋体" w:eastAsia="宋体" w:cs="宋体"/>
          <w:b w:val="0"/>
          <w:bCs w:val="0"/>
          <w:color w:val="auto"/>
          <w:sz w:val="24"/>
          <w:szCs w:val="24"/>
          <w:highlight w:val="none"/>
          <w:u w:val="single"/>
        </w:rPr>
        <w:outlineLvl w:val="9"/>
      </w:pPr>
      <w:r>
        <w:rPr>
          <w:rFonts w:hint="eastAsia" w:ascii="宋体" w:hAnsi="宋体" w:eastAsia="宋体" w:cs="宋体"/>
          <w:b w:val="0"/>
          <w:bCs w:val="0"/>
          <w:color w:val="auto"/>
          <w:sz w:val="24"/>
          <w:szCs w:val="24"/>
          <w:highlight w:val="none"/>
        </w:rPr>
        <w:t xml:space="preserve">第3种方式：其他价格调整方式：</w:t>
      </w:r>
      <w:r>
        <w:rPr>
          <w:rFonts w:hint="eastAsia" w:ascii="宋体" w:hAnsi="宋体" w:eastAsia="宋体" w:cs="宋体"/>
          <w:b w:val="0"/>
          <w:bCs w:val="0"/>
          <w:color w:val="auto"/>
          <w:sz w:val="24"/>
          <w:szCs w:val="24"/>
          <w:highlight w:val="none"/>
          <w:u w:val="single"/>
        </w:rPr>
        <w:t xml:space="preserve">本工程工期较短，市场价格波动不调整。</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12.合同价格、计量与支付</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bookmarkStart w:id="202" w:name="_Toc292559411"/>
      <w:r/>
      <w:bookmarkStart w:id="203" w:name="_Toc292559916"/>
      <w:r/>
      <w:bookmarkStart w:id="204" w:name="_Toc267251461"/>
      <w:r/>
      <w:bookmarkStart w:id="205" w:name="_Toc297120506"/>
      <w:r/>
      <w:bookmarkStart w:id="206" w:name="_Toc297048392"/>
      <w:r/>
      <w:bookmarkStart w:id="207" w:name="_Toc296503206"/>
      <w:r/>
      <w:bookmarkStart w:id="208" w:name="_Toc296891034"/>
      <w:r/>
      <w:bookmarkStart w:id="209" w:name="_Toc296347205"/>
      <w:r/>
      <w:bookmarkStart w:id="210" w:name="_Toc296346707"/>
      <w:r/>
      <w:bookmarkStart w:id="211" w:name="_Toc296891246"/>
      <w:r/>
      <w:bookmarkStart w:id="212" w:name="_Toc296944545"/>
      <w:r/>
      <w:bookmarkStart w:id="213" w:name="_Toc303539160"/>
      <w:r/>
      <w:bookmarkStart w:id="214" w:name="_Toc300935003"/>
      <w:r/>
      <w:bookmarkStart w:id="215" w:name="_Toc297216212"/>
      <w:r/>
      <w:bookmarkStart w:id="216" w:name="_Toc312678041"/>
      <w:r/>
      <w:bookmarkStart w:id="217" w:name="_Toc304295580"/>
      <w:r/>
      <w:bookmarkStart w:id="218" w:name="_Toc297123553"/>
      <w:r>
        <w:rPr>
          <w:rFonts w:hint="eastAsia" w:ascii="宋体" w:hAnsi="宋体" w:eastAsia="宋体" w:cs="宋体"/>
          <w:color w:val="auto"/>
          <w:sz w:val="24"/>
          <w:szCs w:val="24"/>
          <w:highlight w:val="none"/>
        </w:rPr>
        <w:t xml:space="preserve">12.1合</w:t>
      </w:r>
      <w:bookmarkEnd w:id="202"/>
      <w:r/>
      <w:bookmarkEnd w:id="203"/>
      <w:r/>
      <w:bookmarkEnd w:id="204"/>
      <w:r>
        <w:rPr>
          <w:rFonts w:hint="eastAsia" w:ascii="宋体" w:hAnsi="宋体" w:eastAsia="宋体" w:cs="宋体"/>
          <w:color w:val="auto"/>
          <w:sz w:val="24"/>
          <w:szCs w:val="24"/>
          <w:highlight w:val="none"/>
        </w:rPr>
        <w:t xml:space="preserve">同价</w:t>
      </w:r>
      <w:bookmarkEnd w:id="205"/>
      <w:r/>
      <w:bookmarkEnd w:id="206"/>
      <w:r/>
      <w:bookmarkEnd w:id="207"/>
      <w:r/>
      <w:bookmarkEnd w:id="208"/>
      <w:r/>
      <w:bookmarkEnd w:id="209"/>
      <w:r/>
      <w:bookmarkEnd w:id="210"/>
      <w:r/>
      <w:bookmarkEnd w:id="211"/>
      <w:r/>
      <w:bookmarkEnd w:id="212"/>
      <w:r>
        <w:rPr>
          <w:rFonts w:hint="eastAsia" w:ascii="宋体" w:hAnsi="宋体" w:eastAsia="宋体" w:cs="宋体"/>
          <w:color w:val="auto"/>
          <w:sz w:val="24"/>
          <w:szCs w:val="24"/>
          <w:highlight w:val="none"/>
        </w:rPr>
        <w:t xml:space="preserve">格形式</w:t>
      </w:r>
      <w:bookmarkEnd w:id="213"/>
      <w:r/>
      <w:bookmarkEnd w:id="214"/>
      <w:r/>
      <w:bookmarkEnd w:id="215"/>
      <w:r/>
      <w:bookmarkEnd w:id="216"/>
      <w:r/>
      <w:bookmarkEnd w:id="217"/>
      <w:r/>
      <w:bookmarkEnd w:id="218"/>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1、单价合同。</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综合单价包含的风险范围：</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rPr>
        <w:t xml:space="preserve">1）</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应充分考虑可能出现的反季节种植，并视为已体现在投标报价中,结算时不予调整。</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rPr>
        <w:t xml:space="preserve">2）开工后，根据现场实际施工条件，招标人可能会安排中标人分段施工，</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需考虑时间间隔对自身产生的影响并视为已体现在投标报价中。</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）本工程工期紧、任务重，</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4</w:t>
      </w:r>
      <w:r>
        <w:rPr>
          <w:rFonts w:hint="eastAsia" w:ascii="宋体" w:hAnsi="宋体" w:eastAsia="宋体" w:cs="宋体"/>
          <w:bCs/>
          <w:color w:val="auto"/>
          <w:sz w:val="24"/>
          <w:szCs w:val="24"/>
          <w:highlight w:val="none"/>
          <w:u w:val="single"/>
        </w:rPr>
        <w:t xml:space="preserve">）地方关系、施工涉及的交通协调费</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自行考虑，就此项招标人不支付任何费用。</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）中标人的施工组织设计施工前，必须报监理、业主审批，进行再深化后执行。</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应自主考虑在投标报价中，结算时不作调整。</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勘查现场后必须在施工组织设计中体现：1、</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保正有序、和谐施工，力保不发生人身伤害等恶性事件；2、现场分段施工的措施方案，临设搭设转移等措施项目费用；3、保护已有建筑、管网、线路等措施；4、控制现场扬尘、施工围挡等文明施工措施，</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必须</w:t>
      </w:r>
      <w:r>
        <w:rPr>
          <w:rFonts w:hint="eastAsia" w:ascii="宋体" w:hAnsi="宋体" w:eastAsia="宋体" w:cs="宋体"/>
          <w:bCs/>
          <w:color w:val="auto"/>
          <w:sz w:val="24"/>
          <w:szCs w:val="24"/>
          <w:highlight w:val="none"/>
          <w:u w:val="single"/>
          <w:lang w:val="en-US" w:eastAsia="zh-CN"/>
        </w:rPr>
        <w:t xml:space="preserve">严格按照</w:t>
      </w:r>
      <w:r>
        <w:rPr>
          <w:rFonts w:hint="eastAsia" w:ascii="宋体" w:hAnsi="宋体" w:eastAsia="宋体" w:cs="宋体"/>
          <w:bCs/>
          <w:color w:val="auto"/>
          <w:sz w:val="24"/>
          <w:szCs w:val="24"/>
          <w:highlight w:val="none"/>
          <w:u w:val="single"/>
        </w:rPr>
        <w:t xml:space="preserve">《市政府关于印发徐州市2017-2018年秋冬季大气污染防治强化管控方案的通知》（徐政发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2017</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53号）、《关于印发徐州市市区工地扬尘污染管理规范的通知》（徐空气提升办﹝2018﹞11号）和《徐州市2018年大气污染防治攻坚行动方案》、徐城管发</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2018</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55号文</w:t>
      </w:r>
      <w:r>
        <w:rPr>
          <w:rFonts w:hint="eastAsia" w:ascii="宋体" w:hAnsi="宋体" w:eastAsia="宋体" w:cs="宋体"/>
          <w:bCs/>
          <w:color w:val="auto"/>
          <w:sz w:val="24"/>
          <w:szCs w:val="24"/>
          <w:highlight w:val="none"/>
          <w:u w:val="single"/>
          <w:lang w:eastAsia="zh-CN"/>
        </w:rPr>
        <w:t xml:space="preserve">、《关于印发&lt;徐州市建设工程扬尘（噪声）智慧监管系统建设实施意见（试行）&gt;的通知》（徐污防攻坚指办〔2023〕26号）、《关于进一步加强市区建设工地扬尘污染防治的通知》(徐住建发(2023)62号)</w:t>
      </w:r>
      <w:r>
        <w:rPr>
          <w:rFonts w:hint="eastAsia" w:ascii="宋体" w:hAnsi="宋体" w:eastAsia="宋体" w:cs="宋体"/>
          <w:bCs/>
          <w:color w:val="auto"/>
          <w:sz w:val="24"/>
          <w:szCs w:val="24"/>
          <w:highlight w:val="none"/>
          <w:u w:val="single"/>
        </w:rPr>
        <w:t xml:space="preserve">的规定。扬尘治理按徐建价2018年1号文执行、2号文计取。承包人须按规范要求做好扬尘污染防治措施，全部费用均包含在内。</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8</w:t>
      </w:r>
      <w:r>
        <w:rPr>
          <w:rFonts w:hint="eastAsia" w:ascii="宋体" w:hAnsi="宋体" w:eastAsia="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）清单项目中特征描述不全的工序，如图纸已明确或已指明引用的规范、图集等或是常规工艺必须的工序，应包括在报价中。</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lang w:val="en-US" w:eastAsia="zh-CN"/>
        </w:rPr>
        <w:outlineLvl w:val="9"/>
      </w:pPr>
      <w:r>
        <w:rPr>
          <w:rFonts w:hint="eastAsia" w:ascii="宋体" w:hAnsi="宋体" w:eastAsia="宋体" w:cs="宋体"/>
          <w:bCs/>
          <w:color w:val="auto"/>
          <w:sz w:val="24"/>
          <w:szCs w:val="24"/>
          <w:highlight w:val="none"/>
          <w:u w:val="single"/>
          <w:lang w:val="en-US" w:eastAsia="zh-CN"/>
        </w:rPr>
        <w:t xml:space="preserve">10）承包人必须对工程现场施工人员全部实行实名制考勤管理，签订劳动合同，设立工资存储专用账户，按照工程进度和工人实名制登记信息，按月足额由银行代发工资。</w:t>
      </w:r>
      <w:r/>
    </w:p>
    <w:p>
      <w:pPr>
        <w:ind w:left="0" w:right="0" w:firstLine="480"/>
        <w:jc w:val="left"/>
        <w:keepLines w:val="0"/>
        <w:keepNext w:val="0"/>
        <w:pageBreakBefore w:val="0"/>
        <w:spacing w:after="0" w:line="324" w:lineRule="auto"/>
        <w:rPr>
          <w:rFonts w:hint="eastAsia" w:ascii="宋体" w:hAnsi="宋体" w:eastAsia="宋体" w:cs="宋体"/>
          <w:bCs/>
          <w:color w:val="auto"/>
          <w:sz w:val="24"/>
          <w:szCs w:val="24"/>
          <w:highlight w:val="none"/>
          <w:u w:val="single"/>
          <w:lang w:eastAsia="zh-CN"/>
        </w:rPr>
        <w:outlineLvl w:val="9"/>
      </w:pPr>
      <w:r>
        <w:rPr>
          <w:rFonts w:hint="eastAsia" w:ascii="宋体" w:hAnsi="宋体" w:eastAsia="宋体" w:cs="宋体"/>
          <w:bCs/>
          <w:color w:val="auto"/>
          <w:sz w:val="24"/>
          <w:szCs w:val="24"/>
          <w:highlight w:val="none"/>
          <w:u w:val="single"/>
          <w:lang w:val="en-US" w:eastAsia="zh-CN"/>
        </w:rPr>
        <w:t xml:space="preserve">11</w:t>
      </w:r>
      <w:r>
        <w:rPr>
          <w:rFonts w:hint="eastAsia" w:ascii="宋体" w:hAnsi="宋体" w:eastAsia="宋体" w:cs="宋体"/>
          <w:bCs/>
          <w:color w:val="auto"/>
          <w:sz w:val="24"/>
          <w:szCs w:val="24"/>
          <w:highlight w:val="none"/>
          <w:u w:val="single"/>
        </w:rPr>
        <w:t xml:space="preserve">）±5%以内的可调材料价格风险以及除可调材料以外其他材料的全部风险。</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u w:val="single"/>
          <w:lang w:val="en-US" w:eastAsia="zh-CN"/>
        </w:rPr>
        <w:t xml:space="preserve">12</w:t>
      </w:r>
      <w:r>
        <w:rPr>
          <w:rFonts w:hint="eastAsia" w:ascii="宋体" w:hAnsi="宋体" w:eastAsia="宋体" w:cs="宋体"/>
          <w:bCs/>
          <w:color w:val="auto"/>
          <w:sz w:val="24"/>
          <w:szCs w:val="24"/>
          <w:highlight w:val="none"/>
          <w:u w:val="single"/>
        </w:rPr>
        <w:t xml:space="preserve">）其他招标文件已指明的内容。</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2、总价合同。</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bookmarkStart w:id="219" w:name="_Toc297216213"/>
      <w:r/>
      <w:bookmarkStart w:id="220" w:name="_Toc300935004"/>
      <w:r/>
      <w:bookmarkStart w:id="221" w:name="_Toc304295581"/>
      <w:r/>
      <w:bookmarkStart w:id="222" w:name="_Toc303539161"/>
      <w:r/>
      <w:bookmarkStart w:id="223" w:name="_Toc297123554"/>
      <w:r/>
      <w:bookmarkStart w:id="224" w:name="_Toc312678042"/>
      <w:r/>
      <w:bookmarkStart w:id="225" w:name="_Toc297120507"/>
      <w:r/>
      <w:bookmarkStart w:id="226" w:name="_Toc292559917"/>
      <w:r/>
      <w:bookmarkStart w:id="227" w:name="_Toc296891035"/>
      <w:r/>
      <w:bookmarkStart w:id="228" w:name="_Toc296346708"/>
      <w:r/>
      <w:bookmarkStart w:id="229" w:name="_Toc296891247"/>
      <w:r/>
      <w:bookmarkStart w:id="230" w:name="_Toc296944546"/>
      <w:r/>
      <w:bookmarkStart w:id="231" w:name="_Toc296503207"/>
      <w:r/>
      <w:bookmarkStart w:id="232" w:name="_Toc297048393"/>
      <w:r/>
      <w:bookmarkStart w:id="233" w:name="_Toc296347206"/>
      <w:r/>
      <w:bookmarkStart w:id="234" w:name="_Toc292559412"/>
      <w:r>
        <w:rPr>
          <w:rFonts w:hint="eastAsia" w:ascii="宋体" w:hAnsi="宋体" w:eastAsia="宋体" w:cs="宋体"/>
          <w:color w:val="auto"/>
          <w:sz w:val="24"/>
          <w:szCs w:val="24"/>
          <w:highlight w:val="none"/>
        </w:rPr>
        <w:t xml:space="preserve">12.2预付款</w:t>
      </w:r>
      <w:bookmarkEnd w:id="219"/>
      <w:r/>
      <w:bookmarkEnd w:id="220"/>
      <w:r/>
      <w:bookmarkEnd w:id="221"/>
      <w:r/>
      <w:bookmarkEnd w:id="222"/>
      <w:r/>
      <w:bookmarkEnd w:id="223"/>
      <w:r/>
      <w:bookmarkEnd w:id="224"/>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12.2.1预付款的支付</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lang w:val="en-US" w:eastAsia="zh-CN"/>
        </w:rPr>
        <w:t xml:space="preserve"> 详见12.4.1 付款周期 </w:t>
      </w:r>
      <w:r>
        <w:rPr>
          <w:rFonts w:hint="eastAsia" w:ascii="宋体" w:hAnsi="宋体" w:eastAsia="宋体" w:cs="宋体"/>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 详见12.4.1 付款周期 </w:t>
      </w:r>
      <w:r>
        <w:rPr>
          <w:rFonts w:hint="eastAsia" w:ascii="宋体" w:hAnsi="宋体" w:eastAsia="宋体" w:cs="宋体"/>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不扣回</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转为工程进度款</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12.2.2预付款担保</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225"/>
      <w:r/>
      <w:bookmarkEnd w:id="226"/>
      <w:r/>
      <w:bookmarkEnd w:id="227"/>
      <w:r/>
      <w:bookmarkEnd w:id="228"/>
      <w:r/>
      <w:bookmarkEnd w:id="229"/>
      <w:r/>
      <w:bookmarkEnd w:id="230"/>
      <w:r/>
      <w:bookmarkEnd w:id="231"/>
      <w:r/>
      <w:bookmarkEnd w:id="232"/>
      <w:r/>
      <w:bookmarkEnd w:id="233"/>
      <w:r/>
      <w:bookmarkEnd w:id="234"/>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12.3计量</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12.3.1计量原则</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工程量计算规则：执行现</w:t>
      </w:r>
      <w:r>
        <w:rPr>
          <w:rFonts w:hint="eastAsia" w:ascii="宋体" w:hAnsi="宋体" w:eastAsia="宋体" w:cs="宋体"/>
          <w:color w:val="auto"/>
          <w:sz w:val="24"/>
          <w:szCs w:val="24"/>
          <w:highlight w:val="none"/>
          <w:u w:val="single"/>
        </w:rPr>
        <w:t xml:space="preserve">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2020〕115号等有关文件规定及招标人提供的工程量清单。</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12.3.2计量周期</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按月进行，每月的 25日前提交本月已完工程量报告及相关形象进度资料。如承包人未按时报送工程量，影响工程款支付的，由承包人自行负责。</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12.3.3单价合同的计量</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12.3.4总价合同的计量</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12.3.6其他价格形式合同的计量</w:t>
      </w:r>
      <w:r/>
    </w:p>
    <w:p>
      <w:pPr>
        <w:ind w:left="0" w:right="0" w:firstLine="480"/>
        <w:jc w:val="left"/>
        <w:keepLines w:val="0"/>
        <w:keepNext w:val="0"/>
        <w:pageBreakBefore w:val="0"/>
        <w:spacing w:after="0"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line="440" w:lineRule="exact"/>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12.4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工程进度款支付</w:t>
      </w:r>
      <w:r/>
    </w:p>
    <w:p>
      <w:pPr>
        <w:ind w:left="0" w:right="0" w:firstLine="480"/>
        <w:jc w:val="left"/>
        <w:keepLines w:val="0"/>
        <w:keepNext w:val="0"/>
        <w:pageBreakBefore w:val="0"/>
        <w:spacing w:line="440" w:lineRule="exact"/>
        <w:rPr>
          <w:rFonts w:hint="eastAsia" w:ascii="宋体" w:hAnsi="宋体" w:eastAsia="宋体" w:cs="宋体"/>
          <w:color w:val="auto"/>
          <w:sz w:val="24"/>
          <w:szCs w:val="24"/>
          <w:highlight w:val="none"/>
        </w:rPr>
        <w:outlineLvl w:val="9"/>
      </w:pPr>
      <w:r/>
      <w:bookmarkStart w:id="235" w:name="_Toc297120511"/>
      <w:r/>
      <w:bookmarkStart w:id="236" w:name="_Toc300935006"/>
      <w:r/>
      <w:bookmarkStart w:id="237" w:name="_Toc296944550"/>
      <w:r/>
      <w:bookmarkStart w:id="238" w:name="_Toc303539163"/>
      <w:r/>
      <w:bookmarkStart w:id="239" w:name="_Toc297048397"/>
      <w:r/>
      <w:bookmarkStart w:id="240" w:name="_Toc297123556"/>
      <w:r/>
      <w:bookmarkStart w:id="241" w:name="_Toc296891039"/>
      <w:r/>
      <w:bookmarkStart w:id="242" w:name="_Toc292559416"/>
      <w:r/>
      <w:bookmarkStart w:id="243" w:name="_Toc292559921"/>
      <w:r/>
      <w:bookmarkStart w:id="244" w:name="_Toc296347210"/>
      <w:r/>
      <w:bookmarkStart w:id="245" w:name="_Toc297216215"/>
      <w:r/>
      <w:bookmarkStart w:id="246" w:name="_Toc296891251"/>
      <w:r/>
      <w:bookmarkStart w:id="247" w:name="_Toc296346712"/>
      <w:r/>
      <w:bookmarkStart w:id="248" w:name="_Toc296503211"/>
      <w:r>
        <w:rPr>
          <w:rFonts w:hint="eastAsia" w:ascii="宋体" w:hAnsi="宋体" w:eastAsia="宋体" w:cs="宋体"/>
          <w:color w:val="auto"/>
          <w:sz w:val="24"/>
          <w:szCs w:val="24"/>
          <w:highlight w:val="none"/>
        </w:rPr>
        <w:t xml:space="preserve">12.4.1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付款周期</w:t>
      </w:r>
      <w:r/>
    </w:p>
    <w:p>
      <w:pPr>
        <w:pStyle w:val="1106"/>
        <w:ind w:right="0" w:firstLine="480"/>
        <w:keepLines w:val="0"/>
        <w:keepNext w:val="0"/>
        <w:pageBreakBefore w:val="0"/>
        <w:spacing w:line="440" w:lineRule="exact"/>
        <w:widowControl w:val="off"/>
        <w:tabs>
          <w:tab w:val="left" w:pos="294"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关于付款周期的约定：</w:t>
      </w:r>
      <w:r/>
    </w:p>
    <w:p>
      <w:pPr>
        <w:ind w:left="0" w:right="0" w:firstLine="420"/>
        <w:jc w:val="both"/>
        <w:keepLines w:val="0"/>
        <w:keepNext w:val="0"/>
        <w:pageBreakBefore w:val="0"/>
        <w:spacing w:before="0" w:line="440" w:lineRule="exact"/>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1、工程竣工验收合格后付至合同价款的80%;在工程价款结算未完成前，承包人应根据施工合同价款的3%提供质保金保函;完整规范的竣工结算资料报送招标人并完成竣工结算审核后付至审定价的100%。</w:t>
      </w:r>
      <w:r/>
    </w:p>
    <w:p>
      <w:pPr>
        <w:ind w:left="0" w:right="0" w:firstLine="420"/>
        <w:jc w:val="both"/>
        <w:keepLines w:val="0"/>
        <w:keepNext w:val="0"/>
        <w:pageBreakBefore w:val="0"/>
        <w:spacing w:before="0" w:line="440" w:lineRule="exact"/>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2、乙方应在甲方付款前向甲方开具等额的增值税专用发票，甲方见票付款。</w:t>
      </w:r>
      <w:r/>
    </w:p>
    <w:p>
      <w:pPr>
        <w:ind w:left="0" w:right="0" w:firstLine="420"/>
        <w:jc w:val="both"/>
        <w:keepLines w:val="0"/>
        <w:keepNext w:val="0"/>
        <w:pageBreakBefore w:val="0"/>
        <w:spacing w:before="0" w:line="440" w:lineRule="exact"/>
        <w:rPr>
          <w:rFonts w:hint="eastAsia" w:asciiTheme="minorEastAsia" w:hAnsiTheme="minorEastAsia" w:eastAsiaTheme="minorEastAsia" w:cstheme="minorEastAsia"/>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left="0" w:right="0" w:firstLine="480"/>
        <w:jc w:val="left"/>
        <w:keepLines w:val="0"/>
        <w:keepNext w:val="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12.4.2进度付款申请单的编制</w:t>
      </w:r>
      <w:r/>
    </w:p>
    <w:p>
      <w:pPr>
        <w:ind w:left="0" w:right="0" w:firstLine="480"/>
        <w:jc w:val="left"/>
        <w:keepLines w:val="0"/>
        <w:keepNext w:val="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hint="eastAsia" w:ascii="宋体" w:hAnsi="宋体" w:eastAsia="宋体" w:cs="宋体"/>
          <w:color w:val="auto"/>
          <w:sz w:val="24"/>
          <w:szCs w:val="24"/>
          <w:highlight w:val="none"/>
        </w:rPr>
        <w:t xml:space="preserve">2.4.3进度付款申请单的提交</w:t>
      </w:r>
      <w:r/>
    </w:p>
    <w:p>
      <w:pPr>
        <w:ind w:left="0" w:right="0" w:firstLine="480"/>
        <w:jc w:val="left"/>
        <w:keepLines w:val="0"/>
        <w:keepNext w:val="0"/>
        <w:pageBreakBefore w:val="0"/>
        <w:spacing w:after="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440" w:lineRule="exac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12.4.4进度款审核和支付</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b w:val="0"/>
          <w:bCs w:val="0"/>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支付分解表的编制</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249" w:name="_Toc292559424"/>
      <w:r/>
      <w:bookmarkStart w:id="250" w:name="_Toc296503219"/>
      <w:r/>
      <w:bookmarkStart w:id="251" w:name="_Toc296347218"/>
      <w:r/>
      <w:bookmarkStart w:id="252" w:name="_Toc303539172"/>
      <w:r/>
      <w:bookmarkStart w:id="253" w:name="_Toc296346720"/>
      <w:r/>
      <w:bookmarkStart w:id="254" w:name="_Toc297216223"/>
      <w:r/>
      <w:bookmarkStart w:id="255" w:name="_Toc297048405"/>
      <w:r/>
      <w:bookmarkStart w:id="256" w:name="_Toc304295593"/>
      <w:r/>
      <w:bookmarkStart w:id="257" w:name="_Toc292559929"/>
      <w:r/>
      <w:bookmarkStart w:id="258" w:name="_Toc351203645"/>
      <w:r/>
      <w:bookmarkStart w:id="259" w:name="_Toc300935015"/>
      <w:r/>
      <w:bookmarkStart w:id="260" w:name="_Toc297120519"/>
      <w:r/>
      <w:bookmarkStart w:id="261" w:name="_Toc296891259"/>
      <w:r/>
      <w:bookmarkStart w:id="262" w:name="_Toc296944558"/>
      <w:r/>
      <w:bookmarkStart w:id="263" w:name="_Toc297123564"/>
      <w:r/>
      <w:bookmarkStart w:id="264" w:name="_Toc312678053"/>
      <w:r/>
      <w:bookmarkStart w:id="265" w:name="_Toc296891047"/>
      <w:r>
        <w:rPr>
          <w:rFonts w:hint="eastAsia" w:ascii="宋体" w:hAnsi="宋体" w:eastAsia="宋体" w:cs="宋体"/>
          <w:b/>
          <w:bCs/>
          <w:color w:val="auto"/>
          <w:sz w:val="24"/>
          <w:szCs w:val="24"/>
          <w:highlight w:val="none"/>
        </w:rPr>
        <w:t xml:space="preserve">13.验收和工程试车</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13.1分部分项工程验收</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小时提交书面延期要求。</w:t>
      </w:r>
      <w:r/>
    </w:p>
    <w:p>
      <w:pPr>
        <w:ind w:left="0" w:right="0" w:firstLine="480"/>
        <w:jc w:val="left"/>
        <w:keepLines w:val="0"/>
        <w:keepNext w:val="0"/>
        <w:pageBreakBefore w:val="0"/>
        <w:spacing w:after="0" w:line="324"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bookmarkStart w:id="266" w:name="_Toc296346724"/>
      <w:r/>
      <w:bookmarkStart w:id="267" w:name="_Toc297048409"/>
      <w:r/>
      <w:bookmarkStart w:id="268" w:name="_Toc296944562"/>
      <w:r/>
      <w:bookmarkStart w:id="269" w:name="_Toc296891263"/>
      <w:r/>
      <w:bookmarkStart w:id="270" w:name="_Toc296503223"/>
      <w:r/>
      <w:bookmarkStart w:id="271" w:name="_Toc297120523"/>
      <w:r/>
      <w:bookmarkStart w:id="272" w:name="_Toc297216224"/>
      <w:r/>
      <w:bookmarkStart w:id="273" w:name="_Toc304295596"/>
      <w:r/>
      <w:bookmarkStart w:id="274" w:name="_Toc296347222"/>
      <w:r/>
      <w:bookmarkStart w:id="275" w:name="_Toc292559933"/>
      <w:r/>
      <w:bookmarkStart w:id="276" w:name="_Toc297123565"/>
      <w:r/>
      <w:bookmarkStart w:id="277" w:name="_Toc312678056"/>
      <w:r/>
      <w:bookmarkStart w:id="278" w:name="_Toc292559428"/>
      <w:r/>
      <w:bookmarkStart w:id="279" w:name="_Toc303539173"/>
      <w:r/>
      <w:bookmarkStart w:id="280" w:name="_Toc300935016"/>
      <w:r/>
      <w:bookmarkStart w:id="281" w:name="_Toc296891051"/>
      <w:r/>
      <w:bookmarkStart w:id="282" w:name="_Toc267251473"/>
      <w:r/>
      <w:bookmarkStart w:id="283" w:name="_Toc267251471"/>
      <w:r/>
      <w:bookmarkStart w:id="284" w:name="_Toc267251474"/>
      <w:r/>
      <w:bookmarkStart w:id="285" w:name="_Toc267251475"/>
      <w:r/>
      <w:bookmarkStart w:id="286" w:name="_Toc267251472"/>
      <w:r/>
      <w:bookmarkStart w:id="287" w:name="_Toc267251476"/>
      <w:r/>
      <w:bookmarkStart w:id="288" w:name="_Toc267251470"/>
      <w:r>
        <w:rPr>
          <w:rFonts w:hint="eastAsia" w:ascii="宋体" w:hAnsi="宋体" w:eastAsia="宋体" w:cs="宋体"/>
          <w:color w:val="auto"/>
          <w:sz w:val="24"/>
          <w:szCs w:val="24"/>
          <w:highlight w:val="none"/>
        </w:rPr>
        <w:t xml:space="preserve">13.2竣工验收</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bookmarkStart w:id="289" w:name="_Toc280868704"/>
      <w:r/>
      <w:bookmarkStart w:id="290" w:name="_Toc280868705"/>
      <w:r/>
      <w:bookmarkStart w:id="291" w:name="_Toc280868706"/>
      <w:r/>
      <w:bookmarkStart w:id="292" w:name="_Toc280868707"/>
      <w:r/>
      <w:bookmarkStart w:id="293" w:name="_Toc280868708"/>
      <w:r/>
      <w:bookmarkStart w:id="294" w:name="_Toc280868709"/>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竣工验收程序</w:t>
      </w:r>
      <w:bookmarkEnd w:id="289"/>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290"/>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移交、接收全部与部分工程</w:t>
      </w:r>
      <w:bookmarkEnd w:id="291"/>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bookmarkEnd w:id="292"/>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b w:val="0"/>
          <w:bCs w:val="0"/>
          <w:color w:val="auto"/>
          <w:sz w:val="24"/>
          <w:szCs w:val="24"/>
          <w:highlight w:val="none"/>
          <w:u w:val="single"/>
          <w:lang w:val="en-US" w:eastAsia="zh-CN"/>
        </w:rPr>
        <w:t xml:space="preserve"> 每延迟一天承包人应向发包人支付合同价的百分之一的违约金 </w:t>
      </w:r>
      <w:r>
        <w:rPr>
          <w:rFonts w:hint="eastAsia" w:ascii="宋体" w:hAnsi="宋体" w:eastAsia="宋体" w:cs="宋体"/>
          <w:b w:val="0"/>
          <w:bCs w:val="0"/>
          <w:color w:val="auto"/>
          <w:sz w:val="24"/>
          <w:szCs w:val="24"/>
          <w:highlight w:val="none"/>
          <w:u w:val="single"/>
        </w:rPr>
        <w:t xml:space="preserve">。</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13.3工程试车</w:t>
      </w:r>
      <w:bookmarkEnd w:id="293"/>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13.3.1试车程序</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承担；</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承担。</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13.3.3投料试车</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13.6竣工退场</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13.6.1竣工退场</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竣工验收合格后7日内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295" w:name="_Toc351203646"/>
      <w:r>
        <w:rPr>
          <w:rFonts w:hint="eastAsia" w:ascii="宋体" w:hAnsi="宋体" w:eastAsia="宋体" w:cs="宋体"/>
          <w:b/>
          <w:bCs/>
          <w:color w:val="auto"/>
          <w:sz w:val="24"/>
          <w:szCs w:val="24"/>
          <w:highlight w:val="none"/>
        </w:rPr>
        <w:t xml:space="preserve">14.竣工结算</w:t>
      </w:r>
      <w:bookmarkEnd w:id="295"/>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14.1竣工结算申请</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工程竣工验收报告及竣工资料经发包人认可后28天内。</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工程验收合格证书、工程移交单、工程竣工图（施工、设计、监理等单位签字盖章）、工程结算书（含现场签证）、接收甲供材料数量一览表并附相关凭证（含供货单位、</w:t>
      </w:r>
      <w:r>
        <w:rPr>
          <w:rFonts w:hint="eastAsia" w:ascii="宋体" w:hAnsi="宋体" w:eastAsia="宋体" w:cs="宋体"/>
          <w:color w:val="auto"/>
          <w:sz w:val="24"/>
          <w:szCs w:val="24"/>
          <w:highlight w:val="none"/>
          <w:u w:val="single"/>
          <w:lang w:val="en-US" w:eastAsia="zh-CN"/>
        </w:rPr>
        <w:t xml:space="preserve">发包人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承包人</w:t>
      </w:r>
      <w:r>
        <w:rPr>
          <w:rFonts w:hint="eastAsia" w:ascii="宋体" w:hAnsi="宋体" w:eastAsia="宋体" w:cs="宋体"/>
          <w:color w:val="auto"/>
          <w:sz w:val="24"/>
          <w:szCs w:val="24"/>
          <w:highlight w:val="none"/>
          <w:u w:val="single"/>
        </w:rPr>
        <w:t xml:space="preserve">、监理单位签字盖章）、工程中标通知书（复印件）、工程投标书及其附件和其它报财政评审需要的资料，一式肆份。</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14.2竣工结算审核</w:t>
      </w:r>
      <w:r/>
    </w:p>
    <w:p>
      <w:pPr>
        <w:ind w:left="0" w:right="0" w:firstLine="480"/>
        <w:keepLines w:val="0"/>
        <w:keepNext w:val="0"/>
        <w:pageBreakBefore w:val="0"/>
        <w:spacing w:after="0" w:line="324"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发包人自接到承包人递交的完整真实的结算资料28天内按照合同约定的合同价款及合同价款调整办法及调整因素，进行工程竣工结算。承包人在上述时间内应积极配合发包人及审计部门的审核，若承包人不配合，或双方存在争议的，审计时间相应顺延。</w:t>
      </w:r>
      <w:r>
        <w:rPr>
          <w:rFonts w:hint="eastAsia" w:ascii="宋体" w:hAnsi="宋体" w:eastAsia="宋体" w:cs="宋体"/>
          <w:bCs/>
          <w:color w:val="auto"/>
          <w:sz w:val="24"/>
          <w:szCs w:val="24"/>
          <w:highlight w:val="none"/>
          <w:u w:val="single"/>
        </w:rPr>
        <w:t xml:space="preserve">承包人的竣工结算送审报告应客观且符合实际</w:t>
      </w:r>
      <w:r>
        <w:rPr>
          <w:rFonts w:hint="eastAsia" w:ascii="宋体" w:hAnsi="宋体" w:eastAsia="宋体" w:cs="宋体"/>
          <w:bCs/>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在终审结束后28日内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14.4最终结清</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14.4.1最终结清申请单</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一式陆份</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验收合格后28内</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14.4.2最终结清证书和支付</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b w:val="0"/>
          <w:bCs w:val="0"/>
          <w:color w:val="auto"/>
          <w:sz w:val="24"/>
          <w:szCs w:val="24"/>
          <w:highlight w:val="none"/>
          <w:u w:val="single"/>
          <w:lang w:val="en-US" w:eastAsia="zh-CN"/>
        </w:rPr>
        <w:t xml:space="preserve"> 收到承包人提交的最终结清申请单后15日内。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b w:val="0"/>
          <w:bCs w:val="0"/>
          <w:color w:val="auto"/>
          <w:sz w:val="24"/>
          <w:szCs w:val="24"/>
          <w:highlight w:val="none"/>
          <w:u w:val="single"/>
          <w:lang w:val="en-US" w:eastAsia="zh-CN"/>
        </w:rPr>
        <w:t xml:space="preserve"> 最终结清申请单的审批结束后15个工作日内</w:t>
      </w:r>
      <w:r>
        <w:rPr>
          <w:rFonts w:hint="eastAsia" w:ascii="宋体" w:hAnsi="宋体" w:eastAsia="宋体" w:cs="宋体"/>
          <w:b w:val="0"/>
          <w:bCs w:val="0"/>
          <w:color w:val="auto"/>
          <w:sz w:val="24"/>
          <w:szCs w:val="24"/>
          <w:highlight w:val="none"/>
          <w:u w:val="single"/>
        </w:rPr>
        <w:t xml:space="preserve">。</w:t>
      </w:r>
      <w:bookmarkEnd w:id="282"/>
      <w:r/>
      <w:bookmarkEnd w:id="283"/>
      <w:r/>
      <w:bookmarkEnd w:id="284"/>
      <w:r/>
      <w:bookmarkEnd w:id="285"/>
      <w:r/>
      <w:bookmarkEnd w:id="286"/>
      <w:r/>
      <w:bookmarkEnd w:id="287"/>
      <w:r/>
      <w:bookmarkEnd w:id="288"/>
      <w:r/>
      <w:bookmarkEnd w:id="294"/>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296" w:name="_Toc351203647"/>
      <w:r/>
      <w:bookmarkStart w:id="297" w:name="_Toc267251483"/>
      <w:r/>
      <w:bookmarkStart w:id="298" w:name="_Toc267251482"/>
      <w:r/>
      <w:bookmarkStart w:id="299" w:name="_Toc267251484"/>
      <w:r/>
      <w:bookmarkStart w:id="300" w:name="_Toc267251485"/>
      <w:r/>
      <w:bookmarkStart w:id="301" w:name="_Toc267251490"/>
      <w:r/>
      <w:bookmarkStart w:id="302" w:name="_Toc267251488"/>
      <w:r/>
      <w:bookmarkStart w:id="303" w:name="_Toc267251486"/>
      <w:r/>
      <w:bookmarkStart w:id="304" w:name="_Toc267251489"/>
      <w:r/>
      <w:bookmarkStart w:id="305" w:name="_Toc267251491"/>
      <w:r/>
      <w:bookmarkStart w:id="306" w:name="_Toc267251498"/>
      <w:r/>
      <w:bookmarkStart w:id="307" w:name="_Toc267251494"/>
      <w:r/>
      <w:bookmarkStart w:id="308" w:name="_Toc267251502"/>
      <w:r/>
      <w:bookmarkStart w:id="309" w:name="_Toc267251503"/>
      <w:r/>
      <w:bookmarkStart w:id="310" w:name="_Toc267251496"/>
      <w:r/>
      <w:bookmarkStart w:id="311" w:name="_Toc267251497"/>
      <w:r/>
      <w:bookmarkStart w:id="312" w:name="_Toc267251492"/>
      <w:r/>
      <w:bookmarkStart w:id="313" w:name="_Toc267251499"/>
      <w:r/>
      <w:bookmarkStart w:id="314" w:name="_Toc267251501"/>
      <w:r/>
      <w:bookmarkStart w:id="315" w:name="_Toc267251495"/>
      <w:r/>
      <w:bookmarkStart w:id="316" w:name="_Toc267251493"/>
      <w:r/>
      <w:bookmarkStart w:id="317" w:name="_Toc267251506"/>
      <w:r/>
      <w:bookmarkStart w:id="318" w:name="_Toc267251504"/>
      <w:r/>
      <w:bookmarkStart w:id="319" w:name="_Toc267251507"/>
      <w:r/>
      <w:bookmarkStart w:id="320" w:name="_Toc267251508"/>
      <w:r/>
      <w:bookmarkStart w:id="321" w:name="_Toc267251515"/>
      <w:r/>
      <w:bookmarkStart w:id="322" w:name="_Toc267251510"/>
      <w:r/>
      <w:bookmarkStart w:id="323" w:name="_Toc267251509"/>
      <w:r/>
      <w:bookmarkStart w:id="324" w:name="_Toc267251511"/>
      <w:r/>
      <w:bookmarkStart w:id="325" w:name="_Toc267251514"/>
      <w:r/>
      <w:bookmarkStart w:id="326" w:name="_Toc267251513"/>
      <w:r>
        <w:rPr>
          <w:rFonts w:hint="eastAsia" w:ascii="宋体" w:hAnsi="宋体" w:eastAsia="宋体" w:cs="宋体"/>
          <w:b/>
          <w:bCs/>
          <w:color w:val="auto"/>
          <w:sz w:val="24"/>
          <w:szCs w:val="24"/>
          <w:highlight w:val="none"/>
        </w:rPr>
        <w:t xml:space="preserve">15.缺陷责任期与保修</w:t>
      </w:r>
      <w:bookmarkEnd w:id="296"/>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缺陷责任期</w:t>
      </w:r>
      <w:bookmarkEnd w:id="297"/>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整体工程竣工验收合格之日起24个月</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质量保证金</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扣留</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.1承包人提供质量保证金的方式</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种方式：</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的工程款；</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bookmarkEnd w:id="298"/>
      <w:r/>
      <w:bookmarkEnd w:id="299"/>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保修</w:t>
      </w:r>
      <w:bookmarkEnd w:id="300"/>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.1保修责任</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修复通知</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301"/>
      <w:r/>
      <w:bookmarkEnd w:id="302"/>
      <w:r/>
      <w:bookmarkEnd w:id="303"/>
      <w:r/>
      <w:bookmarkEnd w:id="304"/>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327" w:name="_Toc351203648"/>
      <w:r/>
      <w:bookmarkStart w:id="328" w:name="_Toc280868717"/>
      <w:r/>
      <w:bookmarkStart w:id="329" w:name="_Toc280868718"/>
      <w:r>
        <w:rPr>
          <w:rFonts w:hint="eastAsia" w:ascii="宋体" w:hAnsi="宋体" w:eastAsia="宋体" w:cs="宋体"/>
          <w:b/>
          <w:bCs/>
          <w:color w:val="auto"/>
          <w:sz w:val="24"/>
          <w:szCs w:val="24"/>
          <w:highlight w:val="none"/>
        </w:rPr>
        <w:t xml:space="preserve">16.违约</w:t>
      </w:r>
      <w:bookmarkEnd w:id="327"/>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16.1发包人违约</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16.1.1发包人违约的情形</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16.1.2发包人违约的责任</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发包人违约责任的承担方式和计算方法：</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（7）其他：</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16.1.3因发包人违约解除合同</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28</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16.2承包人违约</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16.2.1承包人违约的情形</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16.2.2承包人违约的责任</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由承包人承担全部费用并承担相关法律责任</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16.2.3因承包人违约解除合同</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bookmarkStart w:id="330" w:name="_Toc351203649"/>
      <w:r>
        <w:rPr>
          <w:rFonts w:hint="eastAsia" w:ascii="宋体" w:hAnsi="宋体" w:eastAsia="宋体" w:cs="宋体"/>
          <w:b/>
          <w:bCs/>
          <w:color w:val="auto"/>
          <w:sz w:val="24"/>
          <w:szCs w:val="24"/>
          <w:highlight w:val="none"/>
        </w:rPr>
        <w:t xml:space="preserve">17.不可抗力</w:t>
      </w:r>
      <w:bookmarkEnd w:id="328"/>
      <w:r/>
      <w:bookmarkEnd w:id="330"/>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17.1不可抗力的确认</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因不可抗力解除合同</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天内完成款项的支付。</w:t>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331" w:name="_Toc351203650"/>
      <w:r>
        <w:rPr>
          <w:rFonts w:hint="eastAsia" w:ascii="宋体" w:hAnsi="宋体" w:eastAsia="宋体" w:cs="宋体"/>
          <w:b/>
          <w:bCs/>
          <w:color w:val="auto"/>
          <w:sz w:val="24"/>
          <w:szCs w:val="24"/>
          <w:highlight w:val="none"/>
        </w:rPr>
        <w:t xml:space="preserve">18.保险</w:t>
      </w:r>
      <w:bookmarkEnd w:id="329"/>
      <w:r/>
      <w:bookmarkEnd w:id="331"/>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18.1工程保险</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承包人应为其施工现场的全部人员办理意外伤害保险并支付保险费，包括其员工及为履行合同聘请的第三方的人员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其他保险</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通知义务</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332" w:name="_Toc351203651"/>
      <w:r>
        <w:rPr>
          <w:rFonts w:hint="eastAsia" w:ascii="宋体" w:hAnsi="宋体" w:eastAsia="宋体" w:cs="宋体"/>
          <w:b/>
          <w:bCs/>
          <w:color w:val="auto"/>
          <w:sz w:val="24"/>
          <w:szCs w:val="24"/>
          <w:highlight w:val="none"/>
        </w:rPr>
        <w:t xml:space="preserve">20.争议解决</w:t>
      </w:r>
      <w:bookmarkEnd w:id="317"/>
      <w:r/>
      <w:bookmarkEnd w:id="318"/>
      <w:r/>
      <w:bookmarkEnd w:id="332"/>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争</w:t>
      </w:r>
      <w:bookmarkEnd w:id="319"/>
      <w:r>
        <w:rPr>
          <w:rFonts w:hint="eastAsia" w:ascii="宋体" w:hAnsi="宋体" w:eastAsia="宋体" w:cs="宋体"/>
          <w:color w:val="auto"/>
          <w:sz w:val="24"/>
          <w:szCs w:val="24"/>
          <w:highlight w:val="none"/>
        </w:rPr>
        <w:t xml:space="preserve">议评审</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.1争议评审小组的确定</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.2争议评审小组的决定</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仲裁或诉讼</w:t>
      </w:r>
      <w:bookmarkEnd w:id="320"/>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种方式解决：</w:t>
      </w:r>
      <w:r/>
    </w:p>
    <w:p>
      <w:pPr>
        <w:ind w:left="0" w:right="0" w:firstLine="480"/>
        <w:jc w:val="left"/>
        <w:keepLines w:val="0"/>
        <w:keepNext w:val="0"/>
        <w:pageBreakBefore w:val="0"/>
        <w:spacing w:after="0"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（1）向仲裁委员会申请仲裁；</w:t>
      </w:r>
      <w:r/>
    </w:p>
    <w:p>
      <w:pPr>
        <w:ind w:left="0" w:right="0" w:firstLine="480"/>
        <w:keepLines w:val="0"/>
        <w:keepNext w:val="0"/>
        <w:pageBreakBefore w:val="0"/>
        <w:spacing w:after="0" w:line="324"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工程所在地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人民法院起诉。</w:t>
      </w:r>
      <w:bookmarkEnd w:id="321"/>
      <w:r/>
      <w:bookmarkEnd w:id="322"/>
      <w:r/>
      <w:bookmarkEnd w:id="323"/>
      <w:r/>
      <w:bookmarkEnd w:id="324"/>
      <w:r/>
      <w:bookmarkEnd w:id="325"/>
      <w:r/>
      <w:bookmarkEnd w:id="326"/>
      <w:r/>
      <w:r/>
    </w:p>
    <w:p>
      <w:pPr>
        <w:ind w:left="0" w:right="0" w:firstLine="482"/>
        <w:jc w:val="both"/>
        <w:keepLines w:val="0"/>
        <w:keepNext w:val="0"/>
        <w:pageBreakBefore w:val="0"/>
        <w:spacing w:after="0" w:line="324"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.补充条款：</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不在施工范围内的各种原有设施设备及建（构）筑物。如因施工造成损坏，由</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rPr>
        <w:t xml:space="preserve">负责修复。</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应实行农民工劳动用工实名制管理，与招用的农民工书面约定或者通过依法制定的规章制度规定工资支付标准、支付时间、支付方式等内容；</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应当按照有关规定开设农民工工资专用账户，专项用于支付该项目农民工工资，工程完工未拖欠农民工工资的，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公示30日后，方可申请办理注销手续；</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已按约定足额支付工程款后，因</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的拖欠行为未能支付其相关人员工资时,</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又被建设行政主管部门依据《保障农民工工资支付条例》责令先行垫付并实际支付款项之日起，</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有权在其任一期剩余工程款或履约保证金中据实予以扣除；若无法扣除或不足以扣除的，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应在</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实际垫付之日起—日内据实予以返还。否则，</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有权依法追偿。</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若发生上述垫付行为，无论</w:t>
      </w:r>
      <w:r>
        <w:rPr>
          <w:rFonts w:hint="eastAsia" w:ascii="宋体" w:hAnsi="宋体" w:eastAsia="宋体" w:cs="宋体"/>
          <w:b w:val="0"/>
          <w:bCs/>
          <w:color w:val="auto"/>
          <w:sz w:val="24"/>
          <w:szCs w:val="24"/>
          <w:highlight w:val="none"/>
          <w:u w:val="single"/>
          <w:lang w:val="en-US" w:eastAsia="zh-CN"/>
        </w:rPr>
        <w:t xml:space="preserve">发包人</w:t>
      </w:r>
      <w:r>
        <w:rPr>
          <w:rFonts w:hint="eastAsia" w:ascii="宋体" w:hAnsi="宋体" w:eastAsia="宋体" w:cs="宋体"/>
          <w:b w:val="0"/>
          <w:bCs/>
          <w:color w:val="auto"/>
          <w:sz w:val="24"/>
          <w:szCs w:val="24"/>
          <w:highlight w:val="none"/>
          <w:u w:val="single"/>
          <w:lang w:eastAsia="zh-CN"/>
        </w:rPr>
        <w:t xml:space="preserve">从剩余工程款或履约保证金中扣除或依法追偿的,</w:t>
      </w:r>
      <w:r>
        <w:rPr>
          <w:rFonts w:hint="eastAsia" w:ascii="宋体" w:hAnsi="宋体" w:eastAsia="宋体" w:cs="宋体"/>
          <w:b w:val="0"/>
          <w:bCs/>
          <w:color w:val="auto"/>
          <w:sz w:val="24"/>
          <w:szCs w:val="24"/>
          <w:highlight w:val="none"/>
          <w:u w:val="single"/>
          <w:lang w:val="en-US" w:eastAsia="zh-CN"/>
        </w:rPr>
        <w:t xml:space="preserve">承包人</w:t>
      </w:r>
      <w:r>
        <w:rPr>
          <w:rFonts w:hint="eastAsia" w:ascii="宋体" w:hAnsi="宋体" w:eastAsia="宋体" w:cs="宋体"/>
          <w:b w:val="0"/>
          <w:bCs/>
          <w:color w:val="auto"/>
          <w:sz w:val="24"/>
          <w:szCs w:val="24"/>
          <w:highlight w:val="none"/>
          <w:u w:val="single"/>
          <w:lang w:eastAsia="zh-CN"/>
        </w:rPr>
        <w:t xml:space="preserve">均自愿按合同总金额的</w:t>
      </w:r>
      <w:r>
        <w:rPr>
          <w:rFonts w:hint="eastAsia" w:ascii="宋体" w:hAnsi="宋体" w:eastAsia="宋体" w:cs="宋体"/>
          <w:b w:val="0"/>
          <w:bCs/>
          <w:color w:val="auto"/>
          <w:sz w:val="24"/>
          <w:szCs w:val="24"/>
          <w:highlight w:val="none"/>
          <w:u w:val="single"/>
          <w:lang w:val="en-US" w:eastAsia="zh-CN"/>
        </w:rPr>
        <w:t xml:space="preserve">30%向发包人支付违约金。</w:t>
      </w:r>
      <w:r>
        <w:rPr>
          <w:rFonts w:hint="eastAsia" w:ascii="宋体" w:hAnsi="宋体" w:eastAsia="宋体" w:cs="宋体"/>
          <w:b w:val="0"/>
          <w:bCs/>
          <w:color w:val="auto"/>
          <w:sz w:val="24"/>
          <w:szCs w:val="24"/>
          <w:highlight w:val="none"/>
          <w:u w:val="single"/>
        </w:rPr>
        <w:t xml:space="preserve">对施工企业予以不良行为记录，并在市建设局网上公布。</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承包人人要对周围环境及各种影响施工的不利因素有充分了解和应对准备，施工期间要自行化解因施工对周围楼房产生影响所造成的矛盾，并做好群众解释工作。因以上矛盾造成的误工，工期不予顺延。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4）承包方自行办理环保、交管、市政、渣土等部门的相关手续，费用按相关规定执行。</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5）承包方</w:t>
      </w:r>
      <w:r>
        <w:rPr>
          <w:rFonts w:hint="eastAsia" w:ascii="宋体" w:hAnsi="宋体" w:eastAsia="宋体" w:cs="宋体"/>
          <w:b w:val="0"/>
          <w:bCs/>
          <w:color w:val="auto"/>
          <w:sz w:val="24"/>
          <w:szCs w:val="24"/>
          <w:highlight w:val="none"/>
          <w:u w:val="single"/>
          <w:lang w:val="en-US" w:eastAsia="zh-CN"/>
        </w:rPr>
        <w:t xml:space="preserve">采购的工程材料和设备</w:t>
      </w:r>
      <w:r>
        <w:rPr>
          <w:rFonts w:hint="eastAsia" w:ascii="宋体" w:hAnsi="宋体" w:eastAsia="宋体" w:cs="宋体"/>
          <w:b w:val="0"/>
          <w:bCs/>
          <w:color w:val="auto"/>
          <w:sz w:val="24"/>
          <w:szCs w:val="24"/>
          <w:highlight w:val="none"/>
          <w:u w:val="single"/>
        </w:rPr>
        <w:t xml:space="preserve">，采购前报发包方确认，进场时须提供产品合格证、质量保证书、检测报告等材料进场报验相关资料，验收合格后方可安装。检测或验收不合格，货物无条件退场，由此造成的损失自负。</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7</w:t>
      </w:r>
      <w:r>
        <w:rPr>
          <w:rFonts w:hint="eastAsia" w:ascii="宋体" w:hAnsi="宋体" w:eastAsia="宋体" w:cs="宋体"/>
          <w:b w:val="0"/>
          <w:bCs/>
          <w:color w:val="auto"/>
          <w:sz w:val="24"/>
          <w:szCs w:val="24"/>
          <w:highlight w:val="none"/>
          <w:u w:val="single"/>
        </w:rPr>
        <w:t xml:space="preserve">）承包人不得虚报工程量和冒算，工程审减额若超过送审额的7%以上（不含7%），超出部分按审减额5%给予处罚。工程结算审计费用皆由承包人承担。</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rPr>
        <w:t xml:space="preserve">（8</w:t>
      </w:r>
      <w:r>
        <w:rPr>
          <w:rFonts w:hint="eastAsia" w:ascii="宋体" w:hAnsi="宋体" w:eastAsia="宋体" w:cs="宋体"/>
          <w:b w:val="0"/>
          <w:bCs/>
          <w:color w:val="auto"/>
          <w:sz w:val="24"/>
          <w:szCs w:val="24"/>
          <w:highlight w:val="none"/>
          <w:u w:val="single"/>
        </w:rPr>
        <w:t xml:space="preserve">）承包人不按发包人要求参加施工期间各种会议的，每人次扣款500元，迟到的每人次扣款300元。</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rPr>
        <w:t xml:space="preserve">（9）</w:t>
      </w:r>
      <w:r>
        <w:rPr>
          <w:rFonts w:hint="eastAsia" w:ascii="宋体" w:hAnsi="宋体" w:eastAsia="宋体" w:cs="宋体"/>
          <w:b w:val="0"/>
          <w:bCs/>
          <w:color w:val="auto"/>
          <w:sz w:val="24"/>
          <w:szCs w:val="24"/>
          <w:highlight w:val="none"/>
          <w:u w:val="single"/>
        </w:rPr>
        <w:t xml:space="preserve">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rPr>
        <w:t xml:space="preserve">(a)宴请或以其它方式提供消费的，按5,000元/次 。</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rPr>
        <w:t xml:space="preserve">(b)所送礼品、现金、有价证券等，价值在5,000元以下的，按50,000元/次 。</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rPr>
        <w:t xml:space="preserve">(c)所送礼品、现金、有价证券等，价值在5,000元以上的，按标段总造价的5%/次 。</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rPr>
        <w:t xml:space="preserve">（10）</w:t>
      </w:r>
      <w:r>
        <w:rPr>
          <w:rFonts w:hint="eastAsia" w:ascii="宋体" w:hAnsi="宋体" w:eastAsia="宋体" w:cs="宋体"/>
          <w:b w:val="0"/>
          <w:bCs/>
          <w:color w:val="auto"/>
          <w:sz w:val="24"/>
          <w:szCs w:val="24"/>
          <w:highlight w:val="none"/>
          <w:u w:val="single"/>
        </w:rPr>
        <w:t xml:space="preserve">农忙季节不得停工。</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rPr>
        <w:t xml:space="preserve">（11）</w:t>
      </w:r>
      <w:r>
        <w:rPr>
          <w:rFonts w:hint="eastAsia" w:ascii="宋体" w:hAnsi="宋体" w:eastAsia="宋体" w:cs="宋体"/>
          <w:b w:val="0"/>
          <w:bCs/>
          <w:color w:val="auto"/>
          <w:sz w:val="24"/>
          <w:szCs w:val="24"/>
          <w:highlight w:val="none"/>
          <w:u w:val="single"/>
        </w:rPr>
        <w:t xml:space="preserve">合同备案时，社会保障费由承包人缴付。</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rPr>
        <w:t xml:space="preserve">（12）</w:t>
      </w:r>
      <w:r>
        <w:rPr>
          <w:rFonts w:hint="eastAsia" w:ascii="宋体" w:hAnsi="宋体" w:eastAsia="宋体" w:cs="宋体"/>
          <w:b w:val="0"/>
          <w:bCs/>
          <w:color w:val="auto"/>
          <w:sz w:val="24"/>
          <w:szCs w:val="24"/>
          <w:highlight w:val="none"/>
          <w:u w:val="single"/>
        </w:rPr>
        <w:t xml:space="preserve">施工过程中，承包人无条件配合发包人处理周围相关事宜。</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eastAsia="宋体" w:cs="宋体"/>
          <w:b w:val="0"/>
          <w:bCs/>
          <w:color w:val="auto"/>
          <w:sz w:val="24"/>
          <w:szCs w:val="24"/>
          <w:highlight w:val="none"/>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施工期间，承包人不得辱骂、殴打、威胁发包人、监理人及跟踪审计人员，如若发生将支付发包人1万元/次的违约金，停止支付工程款，并追究其法律责任，直至承包人向发包人保证此类事件不再发生。</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19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保修期内因承包人原因造成的工程质量问题给发包人、业主或他人造成财产损失和人身伤害的，由承包人承担一切责任。</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本合同履行期间，承包人与第三方产生的债权、债务均由承包人自行解决，与发包人无关。</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24</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25</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在施工过程中必须配合发包方工期要求并按发包方指令时限完成。</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26</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27</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28</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地方关系、道路施工涉及的交通协调费</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自行考虑，就此项招标人不支付任何费用。</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29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中标后至施工前间隔期对可能对中标人产生的影响请</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在投标报价时自行考虑。</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30</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作为一个有经验的承包商，施工时自行采取措施避免干扰周围居民的生活，杜绝人身安全事故等，如因与周围居民发生冲突，导致工程停工，所有停工损失及其需增加的费用</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应自主考虑在投标报价中，结算时不作调整。</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31</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作为一名有经验的承包商，应预见施工中与综合管线等其他专业施工单位发生的配合工作，请</w:t>
      </w:r>
      <w:r>
        <w:rPr>
          <w:rFonts w:hint="eastAsia" w:ascii="宋体" w:hAnsi="宋体" w:cs="宋体"/>
          <w:b w:val="0"/>
          <w:bCs/>
          <w:color w:val="auto"/>
          <w:sz w:val="24"/>
          <w:szCs w:val="24"/>
          <w:highlight w:val="none"/>
          <w:u w:val="single"/>
          <w:lang w:val="en-US" w:eastAsia="zh-CN"/>
        </w:rPr>
        <w:t xml:space="preserve">供应商</w:t>
      </w:r>
      <w:r>
        <w:rPr>
          <w:rFonts w:hint="eastAsia" w:ascii="宋体" w:hAnsi="宋体" w:eastAsia="宋体" w:cs="宋体"/>
          <w:b w:val="0"/>
          <w:bCs/>
          <w:color w:val="auto"/>
          <w:sz w:val="24"/>
          <w:szCs w:val="24"/>
          <w:highlight w:val="none"/>
          <w:u w:val="single"/>
        </w:rPr>
        <w:t xml:space="preserve">自主考虑相关配合费用在本工程投标报价中，招标人不再另行支付，今后按工作需要根据招标人指示处理。</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32</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因承包人自身原因，对同一分项工程连续验收项目达二次验收不合格,发包人将对承包人给予每次壹万元违约金处罚,直至解除本合同。</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33</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对于承包人多次违约，严重影响工程进度和工程质量的，发包方享有单方解除权，解除与承包方的合同，由此产生的所有损失由承包方承担。</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34</w:t>
      </w:r>
      <w:r>
        <w:rPr>
          <w:rFonts w:hint="eastAsia" w:ascii="宋体" w:hAnsi="宋体" w:eastAsia="宋体" w:cs="宋体"/>
          <w:b w:val="0"/>
          <w:bCs/>
          <w:color w:val="auto"/>
          <w:sz w:val="24"/>
          <w:szCs w:val="24"/>
          <w:highlight w:val="none"/>
          <w:u w:val="single"/>
          <w:lang w:eastAsia="zh-CN"/>
        </w:rPr>
        <w:t xml:space="preserve">）承包人</w:t>
      </w:r>
      <w:r>
        <w:rPr>
          <w:rFonts w:hint="eastAsia" w:ascii="宋体" w:hAnsi="宋体" w:eastAsia="宋体" w:cs="宋体"/>
          <w:b w:val="0"/>
          <w:bCs/>
          <w:color w:val="auto"/>
          <w:sz w:val="24"/>
          <w:szCs w:val="24"/>
          <w:highlight w:val="none"/>
          <w:u w:val="single"/>
          <w:lang w:val="en-US" w:eastAsia="zh-CN"/>
        </w:rPr>
        <w:t xml:space="preserve">承诺本工程免费质保期为   年。</w:t>
      </w:r>
      <w:r>
        <w:rPr>
          <w:rFonts w:hint="eastAsia" w:ascii="宋体" w:hAnsi="宋体" w:eastAsia="宋体" w:cs="宋体"/>
          <w:b w:val="0"/>
          <w:bCs/>
          <w:color w:val="auto"/>
          <w:sz w:val="24"/>
          <w:szCs w:val="24"/>
          <w:highlight w:val="none"/>
          <w:u w:val="single"/>
          <w:lang w:eastAsia="zh-CN"/>
        </w:rPr>
        <w:t xml:space="preserve">在缺陷责任期及保修期内，如未按时到场维修或经过两次（含两次）以上维修，仍未能解决问题或承包人未按要求维修，发包人有权另行委托第三方进行维修，因此而产生的费用将从承包人</w:t>
      </w:r>
      <w:r>
        <w:rPr>
          <w:rFonts w:hint="eastAsia" w:ascii="宋体" w:hAnsi="宋体" w:cs="宋体"/>
          <w:b w:val="0"/>
          <w:bCs/>
          <w:color w:val="auto"/>
          <w:sz w:val="24"/>
          <w:szCs w:val="24"/>
          <w:highlight w:val="none"/>
          <w:u w:val="single"/>
          <w:lang w:val="en-US" w:eastAsia="zh-CN"/>
        </w:rPr>
        <w:t xml:space="preserve">履约</w:t>
      </w:r>
      <w:r>
        <w:rPr>
          <w:rFonts w:hint="eastAsia" w:ascii="宋体" w:hAnsi="宋体" w:eastAsia="宋体" w:cs="宋体"/>
          <w:b w:val="0"/>
          <w:bCs/>
          <w:color w:val="auto"/>
          <w:sz w:val="24"/>
          <w:szCs w:val="24"/>
          <w:highlight w:val="none"/>
          <w:u w:val="single"/>
          <w:lang w:eastAsia="zh-CN"/>
        </w:rPr>
        <w:t xml:space="preserve">保证金中双倍扣除，超支部分由承包人承担。缺陷责任期及保修期内因工程质量问题给发包人、业主或他人造成财产损失和人身伤害的，由承包人承担一切责任。</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bidi="ar-SA"/>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bidi="ar-SA"/>
        </w:rPr>
        <w:t xml:space="preserve">（36）除本合同另有约定外，承包人存在其他违约行为的，应按签约合同价格的10%向发包人承担违约责任。</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bidi="ar-SA"/>
        </w:rPr>
        <w:t xml:space="preserve">（37）承包人因违约需支付的违约金或赔偿损失的，发包人有权从任何一期应付款项中予以扣除。</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val="en-US" w:eastAsia="zh-CN" w:bidi="ar-SA"/>
        </w:rPr>
        <w:t xml:space="preserve">（38）因承包人违约的，发包人向承包人主张权利所产生的费用包括但不限于诉讼费、保全费、保单费、律师费差旅费等亦由承包人承担。</w:t>
      </w:r>
      <w:r/>
    </w:p>
    <w:p>
      <w:pPr>
        <w:ind w:left="0" w:right="0" w:firstLine="480"/>
        <w:keepLines w:val="0"/>
        <w:keepNext w:val="0"/>
        <w:pageBreakBefore w:val="0"/>
        <w:spacing w:after="0" w:line="324" w:lineRule="auto"/>
        <w:widowControl/>
        <w:rPr>
          <w:rFonts w:hint="eastAsia" w:ascii="宋体" w:hAnsi="宋体" w:eastAsia="宋体" w:cs="宋体"/>
          <w:b w:val="0"/>
          <w:bCs/>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lang w:val="en-US" w:eastAsia="zh-CN"/>
        </w:rPr>
        <w:t xml:space="preserve">39</w:t>
      </w:r>
      <w:r>
        <w:rPr>
          <w:rFonts w:hint="eastAsia" w:ascii="宋体" w:hAnsi="宋体" w:eastAsia="宋体" w:cs="宋体"/>
          <w:b w:val="0"/>
          <w:bCs/>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（以下无正文）</w:t>
      </w:r>
      <w:r/>
    </w:p>
    <w:p>
      <w:pPr>
        <w:pStyle w:val="1130"/>
        <w:jc w:val="both"/>
        <w:keepLines w:val="0"/>
        <w:keepNext w:val="0"/>
        <w:pageBreakBefore w:val="0"/>
        <w:spacing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131"/>
        <w:keepLines w:val="0"/>
        <w:keepNext w:val="0"/>
        <w:pageBreakBefore w:val="0"/>
        <w:spacing w:line="32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发包人：(公章)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承包人：(公章)</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法定代表人：（签字）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法定代表人：（签字）</w:t>
      </w:r>
      <w:r/>
    </w:p>
    <w:p>
      <w:pPr>
        <w:ind w:left="0" w:right="0" w:firstLine="480"/>
        <w:keepLines w:val="0"/>
        <w:keepNext w:val="0"/>
        <w:pageBreakBefore w:val="0"/>
        <w:spacing w:after="0" w:line="324"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keepLines w:val="0"/>
        <w:keepNext w:val="0"/>
        <w:pageBreakBefore w:val="0"/>
        <w:spacing w:line="324" w:lineRule="auto"/>
        <w:rPr>
          <w:color w:val="auto"/>
          <w:sz w:val="24"/>
          <w:szCs w:val="24"/>
          <w:highlight w:val="none"/>
        </w:rPr>
        <w:sectPr>
          <w:footnotePr/>
          <w:endnotePr/>
          <w:type w:val="nextPage"/>
          <w:pgSz w:w="11907" w:h="16840" w:orient="portrait"/>
          <w:pgMar w:top="1417" w:right="1701" w:bottom="1417" w:left="1701" w:header="851" w:footer="851" w:gutter="0"/>
          <w:cols w:num="1" w:sep="0" w:space="720" w:equalWidth="1"/>
          <w:docGrid w:linePitch="360"/>
        </w:sectPr>
        <w:outlineLvl w:val="9"/>
      </w:pPr>
      <w:r>
        <w:rPr>
          <w:color w:val="auto"/>
          <w:sz w:val="24"/>
          <w:szCs w:val="24"/>
          <w:highlight w:val="none"/>
        </w:rPr>
      </w:r>
      <w:r/>
    </w:p>
    <w:p>
      <w:pPr>
        <w:spacing w:before="156" w:after="156" w:line="440" w:lineRule="exact"/>
        <w:rPr>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spacing w:before="156" w:after="156" w:line="440" w:lineRule="exact"/>
        <w:rPr>
          <w:color w:val="auto"/>
          <w:sz w:val="21"/>
          <w:szCs w:val="21"/>
          <w:highlight w:val="none"/>
        </w:rPr>
      </w:pPr>
      <w:r>
        <w:rPr>
          <w:rFonts w:hint="eastAsia" w:ascii="宋体" w:hAnsi="宋体" w:eastAsia="宋体" w:cs="宋体"/>
          <w:color w:val="auto"/>
          <w:sz w:val="21"/>
          <w:szCs w:val="21"/>
          <w:highlight w:val="none"/>
        </w:rPr>
        <w:t xml:space="preserve">承包人承揽工程项目一览表</w:t>
      </w:r>
      <w:r/>
    </w:p>
    <w:tbl>
      <w:tblPr>
        <w:tblStyle w:val="1052"/>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结构形式</w:t>
            </w:r>
            <w:r/>
          </w:p>
        </w:tc>
        <w:tc>
          <w:tcPr>
            <w:tcBorders>
              <w:top w:val="single" w:color="auto" w:sz="12" w:space="0"/>
              <w:bottom w:val="single" w:color="auto" w:sz="6"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层数</w:t>
            </w:r>
            <w:r/>
          </w:p>
        </w:tc>
        <w:tc>
          <w:tcPr>
            <w:tcBorders>
              <w:top w:val="single" w:color="auto" w:sz="12" w:space="0"/>
              <w:bottom w:val="single" w:color="auto" w:sz="6"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Borders>
              <w:top w:val="none" w:color="000000" w:sz="4" w:space="0"/>
            </w:tcBorders>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trHeight w:val="567"/>
        </w:trPr>
        <w:tc>
          <w:tcPr>
            <w:tcW w:w="127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843"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41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56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212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bl>
    <w:p>
      <w:pPr>
        <w:spacing w:line="440" w:lineRule="exact"/>
        <w:rPr>
          <w:b/>
          <w:color w:val="auto"/>
          <w:sz w:val="21"/>
          <w:szCs w:val="21"/>
          <w:highlight w:val="none"/>
        </w:rPr>
        <w:sectPr>
          <w:headerReference w:type="default" r:id="rId12"/>
          <w:footerReference w:type="default" r:id="rId20"/>
          <w:footerReference w:type="first" r:id="rId21"/>
          <w:footnotePr/>
          <w:endnotePr/>
          <w:type w:val="nextPage"/>
          <w:pgSz w:w="16838" w:h="11906" w:orient="landscape"/>
          <w:pgMar w:top="1554" w:right="1418" w:bottom="1531" w:left="1418" w:header="851" w:footer="992" w:gutter="0"/>
          <w:cols w:num="1" w:sep="0" w:space="720" w:equalWidth="1"/>
          <w:docGrid w:linePitch="360"/>
          <w:titlePg/>
        </w:sectPr>
      </w:pPr>
      <w:r>
        <w:rPr>
          <w:b/>
          <w:color w:val="auto"/>
          <w:sz w:val="21"/>
          <w:szCs w:val="21"/>
          <w:highlight w:val="none"/>
        </w:rPr>
      </w:r>
      <w:r/>
    </w:p>
    <w:p>
      <w:pPr>
        <w:spacing w:line="440" w:lineRule="exact"/>
        <w:rPr>
          <w:color w:val="auto"/>
          <w:sz w:val="21"/>
          <w:szCs w:val="21"/>
          <w:highlight w:val="none"/>
        </w:rPr>
      </w:pPr>
      <w:r>
        <w:rPr>
          <w:rFonts w:hint="eastAsia" w:ascii="宋体" w:hAnsi="宋体" w:eastAsia="宋体" w:cs="宋体"/>
          <w:color w:val="auto"/>
          <w:sz w:val="21"/>
          <w:szCs w:val="21"/>
          <w:highlight w:val="none"/>
        </w:rPr>
        <w:t xml:space="preserve">附</w:t>
      </w:r>
      <w:bookmarkStart w:id="333" w:name="_Toc296347224"/>
      <w:r/>
      <w:bookmarkStart w:id="334" w:name="_Toc296346726"/>
      <w:r/>
      <w:bookmarkStart w:id="335" w:name="_Toc296503225"/>
      <w:r/>
      <w:bookmarkStart w:id="336" w:name="_Toc267261692"/>
      <w:r/>
      <w:bookmarkStart w:id="337" w:name="_Toc296891265"/>
      <w:r/>
      <w:bookmarkStart w:id="338" w:name="_Toc296944564"/>
      <w:r/>
      <w:bookmarkStart w:id="339" w:name="_Toc296891053"/>
      <w:r>
        <w:rPr>
          <w:rFonts w:hint="eastAsia" w:ascii="宋体" w:hAnsi="宋体" w:eastAsia="宋体" w:cs="宋体"/>
          <w:color w:val="auto"/>
          <w:sz w:val="21"/>
          <w:szCs w:val="21"/>
          <w:highlight w:val="none"/>
        </w:rPr>
        <w:t xml:space="preserve">件2：</w:t>
      </w:r>
      <w:bookmarkEnd w:id="333"/>
      <w:r/>
      <w:bookmarkEnd w:id="334"/>
      <w:r/>
      <w:bookmarkEnd w:id="335"/>
      <w:r/>
      <w:bookmarkEnd w:id="336"/>
      <w:r/>
      <w:bookmarkEnd w:id="337"/>
      <w:r/>
      <w:bookmarkEnd w:id="338"/>
      <w:r/>
      <w:bookmarkEnd w:id="339"/>
      <w:r/>
      <w:r/>
    </w:p>
    <w:p>
      <w:pPr>
        <w:jc w:val="center"/>
        <w:spacing w:before="156" w:after="156" w:line="440" w:lineRule="exact"/>
        <w:rPr>
          <w:color w:val="auto"/>
          <w:sz w:val="21"/>
          <w:szCs w:val="21"/>
          <w:highlight w:val="none"/>
        </w:rPr>
      </w:pPr>
      <w:r>
        <w:rPr>
          <w:rFonts w:hint="eastAsia" w:ascii="宋体" w:hAnsi="宋体" w:eastAsia="宋体" w:cs="宋体"/>
          <w:color w:val="auto"/>
          <w:sz w:val="21"/>
          <w:szCs w:val="21"/>
          <w:highlight w:val="none"/>
        </w:rPr>
        <w:t xml:space="preserve">发包人供应材料设备一览表</w:t>
      </w:r>
      <w:r/>
    </w:p>
    <w:tbl>
      <w:tblPr>
        <w:tblStyle w:val="1052"/>
        <w:tblW w:w="10702"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  材料、</w:t>
            </w:r>
            <w:r/>
          </w:p>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单位</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单价（元）</w:t>
            </w:r>
            <w:r/>
          </w:p>
        </w:tc>
        <w:tc>
          <w:tcPr>
            <w:tcBorders>
              <w:top w:val="single" w:color="auto" w:sz="12" w:space="0"/>
              <w:bottom w:val="single" w:color="auto" w:sz="6"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hint="eastAsia" w:ascii="宋体" w:hAnsi="宋体" w:cs="宋体"/>
                <w:color w:val="auto"/>
                <w:sz w:val="24"/>
                <w:szCs w:val="21"/>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single" w:color="auto" w:sz="6" w:space="0"/>
              <w:bottom w:val="single" w:color="auto" w:sz="6"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Borders>
              <w:top w:val="none" w:color="000000" w:sz="4" w:space="0"/>
            </w:tcBorders>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276"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18"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40"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044"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851"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1487"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c>
          <w:tcPr>
            <w:tcW w:w="992" w:type="dxa"/>
            <w:vAlign w:val="center"/>
            <w:textDirection w:val="lrTb"/>
            <w:noWrap w:val="false"/>
          </w:tcPr>
          <w:p>
            <w:pPr>
              <w:ind w:right="72"/>
              <w:jc w:val="both"/>
              <w:keepNext/>
              <w:spacing w:after="120" w:line="440" w:lineRule="exact"/>
              <w:widowControl w:val="off"/>
              <w:rPr>
                <w:rFonts w:ascii="宋体" w:hAnsi="宋体" w:cs="宋体"/>
                <w:color w:val="auto"/>
                <w:sz w:val="24"/>
                <w:szCs w:val="21"/>
                <w:highlight w:val="none"/>
              </w:rPr>
            </w:pPr>
            <w:r>
              <w:rPr>
                <w:rFonts w:ascii="宋体" w:hAnsi="宋体" w:cs="宋体"/>
                <w:color w:val="auto"/>
                <w:sz w:val="24"/>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567"/>
        </w:trPr>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276"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18" w:type="dxa"/>
            <w:vAlign w:val="center"/>
            <w:textDirection w:val="lrTb"/>
            <w:noWrap w:val="false"/>
          </w:tcPr>
          <w:p>
            <w:pPr>
              <w:jc w:val="center"/>
              <w:rPr>
                <w:color w:val="auto"/>
                <w:sz w:val="21"/>
                <w:szCs w:val="21"/>
                <w:highlight w:val="none"/>
              </w:rPr>
            </w:pPr>
            <w:r>
              <w:rPr>
                <w:color w:val="auto"/>
                <w:sz w:val="21"/>
                <w:szCs w:val="21"/>
                <w:highlight w:val="none"/>
              </w:rPr>
            </w:r>
            <w:r/>
          </w:p>
        </w:tc>
        <w:tc>
          <w:tcPr>
            <w:tcW w:w="940"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044"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c>
          <w:tcPr>
            <w:tcW w:w="851" w:type="dxa"/>
            <w:vAlign w:val="center"/>
            <w:textDirection w:val="lrTb"/>
            <w:noWrap w:val="false"/>
          </w:tcPr>
          <w:p>
            <w:pPr>
              <w:jc w:val="center"/>
              <w:rPr>
                <w:color w:val="auto"/>
                <w:sz w:val="21"/>
                <w:szCs w:val="21"/>
                <w:highlight w:val="none"/>
              </w:rPr>
            </w:pPr>
            <w:r>
              <w:rPr>
                <w:color w:val="auto"/>
                <w:sz w:val="21"/>
                <w:szCs w:val="21"/>
                <w:highlight w:val="none"/>
              </w:rPr>
            </w:r>
            <w:r/>
          </w:p>
        </w:tc>
        <w:tc>
          <w:tcPr>
            <w:tcW w:w="1487" w:type="dxa"/>
            <w:vAlign w:val="center"/>
            <w:textDirection w:val="lrTb"/>
            <w:noWrap w:val="false"/>
          </w:tcPr>
          <w:p>
            <w:pPr>
              <w:jc w:val="center"/>
              <w:rPr>
                <w:color w:val="auto"/>
                <w:sz w:val="21"/>
                <w:szCs w:val="21"/>
                <w:highlight w:val="none"/>
              </w:rPr>
            </w:pPr>
            <w:r>
              <w:rPr>
                <w:color w:val="auto"/>
                <w:sz w:val="21"/>
                <w:szCs w:val="21"/>
                <w:highlight w:val="none"/>
              </w:rPr>
            </w:r>
            <w:r/>
          </w:p>
        </w:tc>
        <w:tc>
          <w:tcPr>
            <w:tcW w:w="992" w:type="dxa"/>
            <w:vAlign w:val="center"/>
            <w:textDirection w:val="lrTb"/>
            <w:noWrap w:val="false"/>
          </w:tcPr>
          <w:p>
            <w:pPr>
              <w:jc w:val="center"/>
              <w:rPr>
                <w:color w:val="auto"/>
                <w:sz w:val="21"/>
                <w:szCs w:val="21"/>
                <w:highlight w:val="none"/>
              </w:rPr>
            </w:pPr>
            <w:r>
              <w:rPr>
                <w:color w:val="auto"/>
                <w:sz w:val="21"/>
                <w:szCs w:val="21"/>
                <w:highlight w:val="none"/>
              </w:rPr>
            </w:r>
            <w:r/>
          </w:p>
        </w:tc>
      </w:tr>
    </w:tbl>
    <w:p>
      <w:pPr>
        <w:spacing w:line="440" w:lineRule="exact"/>
        <w:rPr>
          <w:color w:val="auto"/>
          <w:sz w:val="21"/>
          <w:szCs w:val="21"/>
          <w:highlight w:val="none"/>
        </w:rPr>
      </w:pPr>
      <w:r>
        <w:rPr>
          <w:color w:val="auto"/>
          <w:sz w:val="21"/>
          <w:szCs w:val="21"/>
          <w:highlight w:val="none"/>
        </w:rPr>
      </w:r>
      <w:r/>
    </w:p>
    <w:p>
      <w:pPr>
        <w:spacing w:line="440" w:lineRule="exact"/>
        <w:rPr>
          <w:color w:val="auto"/>
          <w:sz w:val="21"/>
          <w:szCs w:val="21"/>
          <w:highlight w:val="none"/>
        </w:rPr>
      </w:pPr>
      <w:r>
        <w:rPr>
          <w:color w:val="auto"/>
          <w:sz w:val="21"/>
          <w:szCs w:val="21"/>
          <w:highlight w:val="none"/>
        </w:rPr>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附</w:t>
      </w:r>
      <w:bookmarkStart w:id="340" w:name="_Toc296891054"/>
      <w:r/>
      <w:bookmarkStart w:id="341" w:name="_Toc296944565"/>
      <w:r/>
      <w:bookmarkStart w:id="342" w:name="_Toc296346727"/>
      <w:r/>
      <w:bookmarkStart w:id="343" w:name="_Toc296891266"/>
      <w:r/>
      <w:bookmarkStart w:id="344" w:name="_Toc267261693"/>
      <w:r/>
      <w:bookmarkStart w:id="345" w:name="_Toc296347225"/>
      <w:r/>
      <w:bookmarkStart w:id="346" w:name="_Toc296503226"/>
      <w:r>
        <w:rPr>
          <w:rFonts w:hint="eastAsia" w:ascii="宋体" w:hAnsi="宋体" w:eastAsia="宋体" w:cs="宋体"/>
          <w:color w:val="auto"/>
          <w:sz w:val="21"/>
          <w:szCs w:val="21"/>
          <w:highlight w:val="none"/>
        </w:rPr>
        <w:t xml:space="preserve">件3：</w:t>
      </w:r>
      <w:bookmarkEnd w:id="340"/>
      <w:r/>
      <w:bookmarkEnd w:id="341"/>
      <w:r/>
      <w:bookmarkEnd w:id="342"/>
      <w:r/>
      <w:bookmarkEnd w:id="343"/>
      <w:r/>
      <w:bookmarkEnd w:id="344"/>
      <w:r/>
      <w:bookmarkEnd w:id="345"/>
      <w:r/>
      <w:bookmarkEnd w:id="346"/>
      <w:r/>
      <w:r/>
    </w:p>
    <w:p>
      <w:pPr>
        <w:jc w:val="center"/>
        <w:spacing w:before="156" w:after="156" w:line="400" w:lineRule="exact"/>
        <w:rPr>
          <w:color w:val="auto"/>
          <w:sz w:val="21"/>
          <w:szCs w:val="21"/>
          <w:highlight w:val="none"/>
        </w:rPr>
      </w:pPr>
      <w:r>
        <w:rPr>
          <w:rFonts w:hint="eastAsia" w:ascii="宋体" w:hAnsi="宋体" w:eastAsia="宋体" w:cs="宋体"/>
          <w:color w:val="auto"/>
          <w:sz w:val="21"/>
          <w:szCs w:val="21"/>
          <w:highlight w:val="none"/>
        </w:rPr>
        <w:t xml:space="preserve">工程质量保修书</w:t>
      </w:r>
      <w:r/>
    </w:p>
    <w:p>
      <w:pPr>
        <w:ind w:firstLine="400"/>
        <w:spacing w:line="400" w:lineRule="exact"/>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 xml:space="preserve">发包人（全称）：</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承包人（全称）：</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发包人和承包人根据《中华人民共和国建筑法》和《建设工程质量管理条例》，经协商一致就</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签订工程质量保修书。</w:t>
      </w:r>
      <w:r/>
    </w:p>
    <w:p>
      <w:pPr>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　　一、工程质量保修范围和内容</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u w:val="single"/>
        </w:rPr>
        <w:t xml:space="preserve">施工图设计及变更范围内全部内容</w:t>
      </w:r>
      <w:r>
        <w:rPr>
          <w:rFonts w:hint="eastAsia" w:ascii="宋体" w:hAnsi="宋体" w:eastAsia="宋体" w:cs="宋体"/>
          <w:color w:val="auto"/>
          <w:sz w:val="21"/>
          <w:szCs w:val="21"/>
          <w:highlight w:val="none"/>
        </w:rPr>
        <w:t xml:space="preserve">。</w:t>
      </w:r>
      <w:r/>
    </w:p>
    <w:p>
      <w:pPr>
        <w:spacing w:line="400" w:lineRule="exact"/>
        <w:rPr>
          <w:color w:val="auto"/>
          <w:sz w:val="21"/>
          <w:szCs w:val="21"/>
          <w:highlight w:val="none"/>
        </w:rPr>
        <w:outlineLvl w:val="0"/>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二、质量保修期</w:t>
      </w:r>
      <w:r/>
    </w:p>
    <w:p>
      <w:pPr>
        <w:ind w:firstLine="400"/>
        <w:spacing w:line="400" w:lineRule="exact"/>
        <w:rPr>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4．电气管线、给排水管道、设备安装工程为</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个采暖期、供冷期；</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7．其他项目保修期限约定如下：质量保修期</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rPr>
        <w:t xml:space="preserve">年。</w:t>
      </w:r>
      <w:r/>
    </w:p>
    <w:p>
      <w:pPr>
        <w:ind w:firstLine="400"/>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三、缺陷责任期</w:t>
      </w:r>
      <w:r/>
    </w:p>
    <w:p>
      <w:pPr>
        <w:ind w:firstLine="400"/>
        <w:spacing w:line="400" w:lineRule="exact"/>
        <w:rPr>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四、质量保修责任</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发生一切费用由承包方承担。</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4．质量保修完成后，由发包人组织验收。</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5.工程保修服务承诺</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1）建立回访制，进行定期、不定期回访，每年内工程回访不少于两次，认真听取建设单位意见，并形成回访记录。</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2）建立维修工程专班专人负责制，由公司工程部、技术部派人负责。</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3）在质保期内承包人做到：</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A、免费提供所需的工作人员和材料进行维修。针对现场破坏程度，制定相关处理方案，得到业主同意后，对工程进行维护修复工作。</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B、负责对工程进行日常一般性的定期维修保养，同时提供日夜24小时应答的紧急维修服务。</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4）工程保修原则及质量回访计划</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A、工程保修原则</w:t>
      </w:r>
      <w:r/>
    </w:p>
    <w:p>
      <w:pPr>
        <w:spacing w:line="400" w:lineRule="exact"/>
        <w:rPr>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\o\ac(○,1)</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在保修期间，承包人将本着“向发包人负责，让用户满意”的态度，以有效的制度及措施，以优质迅速的维修质量维护承包人利益。</w:t>
      </w:r>
      <w:r/>
    </w:p>
    <w:p>
      <w:pPr>
        <w:spacing w:line="400" w:lineRule="exact"/>
        <w:rPr>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\o\ac(○,2)</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由承包人原因造成的任何损伤和损坏，承包人将对所有缺陷的进行无偿检修，并承担由此造成的发包人的损失。</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B、工程保修回访计划</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color w:val="auto"/>
          <w:sz w:val="21"/>
          <w:szCs w:val="21"/>
          <w:highlight w:val="none"/>
        </w:rPr>
        <w:outlineLvl w:val="0"/>
      </w:pPr>
      <w:r>
        <w:rPr>
          <w:rFonts w:hint="eastAsia" w:ascii="宋体" w:hAnsi="宋体" w:eastAsia="宋体" w:cs="宋体"/>
          <w:color w:val="auto"/>
          <w:sz w:val="21"/>
          <w:szCs w:val="21"/>
          <w:highlight w:val="none"/>
        </w:rPr>
        <w:t xml:space="preserve">　　五、保修费用</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　　保修费用由造成质量缺陷的责任方承担。</w:t>
      </w:r>
      <w:r/>
    </w:p>
    <w:p>
      <w:pPr>
        <w:ind w:firstLine="402"/>
        <w:spacing w:line="400" w:lineRule="exact"/>
        <w:rPr>
          <w:color w:val="auto"/>
          <w:sz w:val="21"/>
          <w:szCs w:val="21"/>
          <w:highlight w:val="none"/>
        </w:rPr>
      </w:pPr>
      <w:r>
        <w:rPr>
          <w:rFonts w:hint="eastAsia" w:ascii="宋体" w:hAnsi="宋体" w:eastAsia="宋体" w:cs="宋体"/>
          <w:b/>
          <w:color w:val="auto"/>
          <w:sz w:val="21"/>
          <w:szCs w:val="21"/>
          <w:highlight w:val="none"/>
        </w:rPr>
        <w:t xml:space="preserve">六</w:t>
      </w: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380"/>
        <w:spacing w:line="400" w:lineRule="exact"/>
        <w:rPr>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发包人(公章)：承包人(公章)：</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地址：</w:t>
      </w:r>
      <w:r>
        <w:rPr>
          <w:rStyle w:val="1083"/>
          <w:rFonts w:hint="eastAsia" w:ascii="宋体" w:hAnsi="宋体" w:eastAsia="宋体" w:cs="宋体"/>
          <w:color w:val="auto"/>
          <w:highlight w:val="none"/>
        </w:rPr>
        <w:t xml:space="preserve">地址：</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法定代表人(签字)：法定代表人(签字)：</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委托代理人(签字)：委托代理人(签字)：</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电话：</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传真：</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传真：</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开户银行：</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账号：</w:t>
      </w:r>
      <w:r/>
    </w:p>
    <w:p>
      <w:pPr>
        <w:spacing w:line="400" w:lineRule="exact"/>
        <w:rPr>
          <w:color w:val="auto"/>
          <w:sz w:val="21"/>
          <w:szCs w:val="21"/>
          <w:highlight w:val="non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邮政编码：</w:t>
      </w:r>
      <w:bookmarkEnd w:id="74"/>
      <w:r/>
      <w:r/>
    </w:p>
    <w:p>
      <w:pPr>
        <w:ind w:left="4382" w:hanging="3882"/>
        <w:spacing w:line="360" w:lineRule="auto"/>
        <w:rPr>
          <w:rFonts w:ascii="宋体" w:hAnsi="宋体" w:cs="宋体"/>
          <w:color w:val="auto"/>
          <w:highlight w:val="none"/>
          <w:u w:val="single"/>
        </w:rPr>
      </w:pPr>
      <w:r>
        <w:rPr>
          <w:rFonts w:ascii="宋体" w:hAnsi="宋体" w:cs="宋体"/>
          <w:color w:val="auto"/>
          <w:highlight w:val="none"/>
          <w:u w:val="single"/>
        </w:rPr>
      </w:r>
      <w:r/>
    </w:p>
    <w:p>
      <w:pPr>
        <w:ind w:firstLine="600"/>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600"/>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rPr>
          <w:color w:val="auto"/>
          <w:highlight w:val="none"/>
        </w:rPr>
      </w:pPr>
      <w:r>
        <w:rPr>
          <w:color w:val="auto"/>
          <w:highlight w:val="none"/>
        </w:rPr>
      </w:r>
      <w:r/>
    </w:p>
    <w:p>
      <w:pPr>
        <w:ind w:firstLine="600"/>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ind w:firstLine="600"/>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附件4：</w:t>
      </w:r>
      <w:r/>
    </w:p>
    <w:p>
      <w:pPr>
        <w:ind w:firstLine="600"/>
        <w:jc w:val="center"/>
        <w:spacing w:before="120" w:after="120"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主要建设工程文件目录</w:t>
      </w:r>
      <w:r/>
    </w:p>
    <w:tbl>
      <w:tblPr>
        <w:tblStyle w:val="1052"/>
        <w:tblW w:w="903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质量</w:t>
            </w:r>
            <w:r/>
          </w:p>
        </w:tc>
        <w:tc>
          <w:tcPr>
            <w:tcBorders>
              <w:top w:val="single" w:color="auto" w:sz="12" w:space="0"/>
              <w:bottom w:val="single" w:color="auto" w:sz="6" w:space="0"/>
            </w:tcBorders>
            <w:tcW w:w="1450" w:type="dxa"/>
            <w:vAlign w:val="top"/>
            <w:textDirection w:val="lrTb"/>
            <w:noWrap w:val="false"/>
          </w:tcPr>
          <w:p>
            <w:pPr>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spacing w:line="440" w:lineRule="exact"/>
              <w:rPr>
                <w:rFonts w:ascii="宋体" w:hAnsi="宋体" w:cs="宋体"/>
                <w:color w:val="auto"/>
                <w:sz w:val="28"/>
                <w:szCs w:val="30"/>
                <w:highlight w:val="none"/>
              </w:rPr>
            </w:pPr>
            <w:r>
              <w:rPr>
                <w:rFonts w:hint="eastAsia" w:ascii="宋体" w:hAnsi="宋体" w:cs="宋体"/>
                <w:color w:val="auto"/>
                <w:sz w:val="28"/>
                <w:szCs w:val="30"/>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Borders>
              <w:top w:val="none" w:color="000000" w:sz="4" w:space="0"/>
            </w:tcBorders>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76"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243"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667"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95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76"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243"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667"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rPr>
          <w:rFonts w:ascii="宋体" w:hAnsi="宋体" w:cs="宋体"/>
          <w:color w:val="auto"/>
          <w:sz w:val="30"/>
          <w:szCs w:val="30"/>
          <w:highlight w:val="none"/>
        </w:rPr>
        <w:sectPr>
          <w:headerReference w:type="default" r:id="rId13"/>
          <w:footerReference w:type="default" r:id="rId22"/>
          <w:footerReference w:type="first" r:id="rId23"/>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347" w:name="_Toc296503227"/>
      <w:r/>
      <w:bookmarkStart w:id="348" w:name="_Toc267261698"/>
      <w:r/>
      <w:bookmarkStart w:id="349" w:name="_Toc296891055"/>
      <w:r/>
      <w:bookmarkStart w:id="350" w:name="_Toc296347226"/>
      <w:r/>
      <w:bookmarkStart w:id="351" w:name="_Toc296891267"/>
      <w:r/>
      <w:bookmarkStart w:id="352" w:name="_Toc296346728"/>
      <w:r/>
      <w:bookmarkStart w:id="353" w:name="_Toc296944566"/>
      <w:r>
        <w:rPr>
          <w:rFonts w:hint="eastAsia" w:ascii="宋体" w:hAnsi="宋体" w:eastAsia="宋体" w:cs="宋体"/>
          <w:color w:val="auto"/>
          <w:sz w:val="30"/>
          <w:szCs w:val="30"/>
          <w:highlight w:val="none"/>
        </w:rPr>
        <w:t xml:space="preserve">件5：</w:t>
      </w:r>
      <w:bookmarkEnd w:id="347"/>
      <w:r/>
      <w:bookmarkEnd w:id="348"/>
      <w:r/>
      <w:bookmarkEnd w:id="349"/>
      <w:r/>
      <w:bookmarkEnd w:id="350"/>
      <w:r/>
      <w:bookmarkEnd w:id="351"/>
      <w:r/>
      <w:bookmarkEnd w:id="352"/>
      <w:r/>
      <w:bookmarkEnd w:id="353"/>
      <w:r/>
      <w:r/>
    </w:p>
    <w:p>
      <w:pPr>
        <w:ind w:firstLine="600"/>
        <w:jc w:val="center"/>
        <w:spacing w:before="120" w:after="120"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承包人用于本工程施工的机械设备表</w:t>
      </w:r>
      <w:r/>
    </w:p>
    <w:tbl>
      <w:tblPr>
        <w:tblStyle w:val="1052"/>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single" w:color="auto" w:sz="6" w:space="0"/>
              <w:bottom w:val="single" w:color="auto" w:sz="6" w:space="0"/>
            </w:tcBorders>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Borders>
              <w:top w:val="none" w:color="000000" w:sz="4" w:space="0"/>
            </w:tcBorders>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r>
        <w:trPr>
          <w:jc w:val="center"/>
          <w:trHeight w:val="567"/>
        </w:trPr>
        <w:tc>
          <w:tcPr>
            <w:tcW w:w="1162"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1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5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58"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8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48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1020"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c>
          <w:tcPr>
            <w:tcW w:w="921" w:type="dxa"/>
            <w:vAlign w:val="top"/>
            <w:textDirection w:val="lrTb"/>
            <w:noWrap w:val="false"/>
          </w:tcPr>
          <w:p>
            <w:pPr>
              <w:ind w:firstLine="600"/>
              <w:rPr>
                <w:rFonts w:ascii="宋体" w:hAnsi="宋体" w:cs="宋体"/>
                <w:color w:val="auto"/>
                <w:sz w:val="30"/>
                <w:szCs w:val="30"/>
                <w:highlight w:val="none"/>
              </w:rPr>
            </w:pPr>
            <w:r>
              <w:rPr>
                <w:rFonts w:ascii="宋体" w:hAnsi="宋体" w:cs="宋体"/>
                <w:color w:val="auto"/>
                <w:sz w:val="30"/>
                <w:szCs w:val="30"/>
                <w:highlight w:val="none"/>
              </w:rPr>
            </w:r>
            <w:r/>
          </w:p>
        </w:tc>
      </w:tr>
    </w:tbl>
    <w:p>
      <w:pPr>
        <w:spacing w:line="440" w:lineRule="exact"/>
        <w:rPr>
          <w:rFonts w:ascii="宋体" w:hAnsi="宋体" w:cs="宋体"/>
          <w:color w:val="auto"/>
          <w:sz w:val="30"/>
          <w:szCs w:val="30"/>
          <w:highlight w:val="none"/>
        </w:rPr>
        <w:sectPr>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354" w:name="_Toc296347227"/>
      <w:r/>
      <w:bookmarkStart w:id="355" w:name="_Toc296891268"/>
      <w:r/>
      <w:bookmarkStart w:id="356" w:name="_Toc296891056"/>
      <w:r/>
      <w:bookmarkStart w:id="357" w:name="_Toc296346729"/>
      <w:r/>
      <w:bookmarkStart w:id="358" w:name="_Toc267261699"/>
      <w:r/>
      <w:bookmarkStart w:id="359" w:name="_Toc296944567"/>
      <w:r/>
      <w:bookmarkStart w:id="360" w:name="_Toc296503228"/>
      <w:r>
        <w:rPr>
          <w:rFonts w:hint="eastAsia" w:ascii="宋体" w:hAnsi="宋体" w:eastAsia="宋体" w:cs="宋体"/>
          <w:color w:val="auto"/>
          <w:sz w:val="30"/>
          <w:szCs w:val="30"/>
          <w:highlight w:val="none"/>
        </w:rPr>
        <w:t xml:space="preserve">件6：</w:t>
      </w:r>
      <w:bookmarkEnd w:id="354"/>
      <w:r/>
      <w:bookmarkEnd w:id="355"/>
      <w:r/>
      <w:bookmarkEnd w:id="356"/>
      <w:r/>
      <w:bookmarkEnd w:id="357"/>
      <w:r/>
      <w:bookmarkEnd w:id="358"/>
      <w:r/>
      <w:bookmarkEnd w:id="359"/>
      <w:r/>
      <w:bookmarkEnd w:id="360"/>
      <w:r/>
      <w:r/>
    </w:p>
    <w:p>
      <w:pPr>
        <w:ind w:firstLine="600"/>
        <w:jc w:val="center"/>
        <w:spacing w:before="120" w:after="120"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承包人主要施工管理人员表</w:t>
      </w:r>
      <w:r/>
    </w:p>
    <w:tbl>
      <w:tblPr>
        <w:tblStyle w:val="1052"/>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项目副经理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技术负责人</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造价管理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质量管理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材料管理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计划管理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安全管理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bl>
    <w:p>
      <w:pPr>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（此表格</w:t>
      </w:r>
      <w:r>
        <w:rPr>
          <w:rFonts w:hint="eastAsia" w:ascii="宋体" w:hAnsi="宋体" w:cs="宋体"/>
          <w:color w:val="auto"/>
          <w:sz w:val="30"/>
          <w:szCs w:val="30"/>
          <w:highlight w:val="none"/>
          <w:lang w:val="en-US" w:eastAsia="zh-CN"/>
        </w:rPr>
        <w:t xml:space="preserve">供应商</w:t>
      </w:r>
      <w:r>
        <w:rPr>
          <w:rFonts w:hint="eastAsia" w:ascii="宋体" w:hAnsi="宋体" w:eastAsia="宋体" w:cs="宋体"/>
          <w:color w:val="auto"/>
          <w:sz w:val="30"/>
          <w:szCs w:val="30"/>
          <w:highlight w:val="none"/>
        </w:rPr>
        <w:t xml:space="preserve">在招投标阶段无需填写，在合同备案时填写完整）</w:t>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sectPr>
          <w:footnotePr/>
          <w:endnotePr/>
          <w:type w:val="nextPage"/>
          <w:pgSz w:w="11906" w:h="16838" w:orient="portrait"/>
          <w:pgMar w:top="1417" w:right="850" w:bottom="1417" w:left="1134" w:header="851" w:footer="992" w:gutter="0"/>
          <w:cols w:num="1" w:sep="0" w:space="720" w:equalWidth="1"/>
          <w:docGrid w:linePitch="360"/>
          <w:titlePg/>
        </w:sectPr>
      </w:pPr>
      <w:r>
        <w:rPr>
          <w:rFonts w:ascii="宋体" w:hAnsi="宋体" w:cs="宋体"/>
          <w:color w:val="auto"/>
          <w:sz w:val="30"/>
          <w:szCs w:val="30"/>
          <w:highlight w:val="none"/>
        </w:rPr>
      </w:r>
      <w:r/>
    </w:p>
    <w:p>
      <w:pPr>
        <w:spacing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附</w:t>
      </w:r>
      <w:bookmarkStart w:id="361" w:name="_Toc296503229"/>
      <w:r/>
      <w:bookmarkStart w:id="362" w:name="_Toc296347228"/>
      <w:r/>
      <w:bookmarkStart w:id="363" w:name="_Toc296346730"/>
      <w:r/>
      <w:bookmarkStart w:id="364" w:name="_Toc296891057"/>
      <w:r/>
      <w:bookmarkStart w:id="365" w:name="_Toc296944568"/>
      <w:r/>
      <w:bookmarkStart w:id="366" w:name="_Toc296891269"/>
      <w:r>
        <w:rPr>
          <w:rFonts w:hint="eastAsia" w:ascii="宋体" w:hAnsi="宋体" w:eastAsia="宋体" w:cs="宋体"/>
          <w:color w:val="auto"/>
          <w:sz w:val="30"/>
          <w:szCs w:val="30"/>
          <w:highlight w:val="none"/>
        </w:rPr>
        <w:t xml:space="preserve">件7：</w:t>
      </w:r>
      <w:bookmarkEnd w:id="361"/>
      <w:r/>
      <w:bookmarkEnd w:id="362"/>
      <w:r/>
      <w:bookmarkEnd w:id="363"/>
      <w:r/>
      <w:bookmarkEnd w:id="364"/>
      <w:r/>
      <w:bookmarkEnd w:id="365"/>
      <w:r/>
      <w:bookmarkEnd w:id="366"/>
      <w:r/>
      <w:r/>
    </w:p>
    <w:p>
      <w:pPr>
        <w:ind w:firstLine="600"/>
        <w:jc w:val="center"/>
        <w:spacing w:before="120" w:after="120" w:line="440" w:lineRule="exact"/>
        <w:rPr>
          <w:rFonts w:ascii="宋体" w:hAnsi="宋体" w:cs="宋体"/>
          <w:color w:val="auto"/>
          <w:sz w:val="30"/>
          <w:szCs w:val="30"/>
          <w:highlight w:val="none"/>
        </w:rPr>
      </w:pPr>
      <w:r>
        <w:rPr>
          <w:rFonts w:hint="eastAsia" w:ascii="宋体" w:hAnsi="宋体" w:eastAsia="宋体" w:cs="宋体"/>
          <w:color w:val="auto"/>
          <w:sz w:val="30"/>
          <w:szCs w:val="30"/>
          <w:highlight w:val="none"/>
        </w:rPr>
        <w:t xml:space="preserve">分包人主要施工管理人员表</w:t>
      </w:r>
      <w:r/>
    </w:p>
    <w:tbl>
      <w:tblPr>
        <w:tblStyle w:val="1052"/>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项目主管</w:t>
            </w:r>
            <w:r/>
          </w:p>
        </w:tc>
        <w:tc>
          <w:tcPr>
            <w:tcBorders>
              <w:top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top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项目副经理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技术负责人</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造价管理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质量管理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材料管理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施工管理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安全管理</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top w:val="single" w:color="auto" w:sz="6" w:space="0"/>
            </w:tcBorders>
            <w:tcW w:w="1871" w:type="dxa"/>
            <w:vAlign w:val="center"/>
            <w:vMerge w:val="restart"/>
            <w:textDirection w:val="lrTb"/>
            <w:noWrap w:val="false"/>
          </w:tcPr>
          <w:p>
            <w:pPr>
              <w:ind w:left="63" w:right="63"/>
              <w:jc w:val="both"/>
              <w:keepNext/>
              <w:spacing w:line="440" w:lineRule="exact"/>
              <w:widowControl w:val="off"/>
              <w:rPr>
                <w:rFonts w:ascii="宋体" w:hAnsi="宋体" w:cs="宋体"/>
                <w:color w:val="auto"/>
                <w:sz w:val="28"/>
                <w:szCs w:val="30"/>
                <w:highlight w:val="none"/>
              </w:rPr>
            </w:pPr>
            <w:r>
              <w:rPr>
                <w:rFonts w:hint="eastAsia" w:ascii="宋体" w:hAnsi="宋体" w:cs="宋体"/>
                <w:color w:val="auto"/>
                <w:sz w:val="28"/>
                <w:szCs w:val="30"/>
                <w:highlight w:val="none"/>
              </w:rPr>
              <w:t xml:space="preserve">其他人员</w:t>
            </w:r>
            <w:r/>
          </w:p>
        </w:tc>
        <w:tc>
          <w:tcPr>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none" w:color="000000" w:sz="4"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r>
        <w:trPr>
          <w:jc w:val="center"/>
        </w:trPr>
        <w:tc>
          <w:tcPr>
            <w:tcBorders>
              <w:bottom w:val="single" w:color="auto" w:sz="12" w:space="0"/>
            </w:tcBorders>
            <w:tcW w:w="1871" w:type="dxa"/>
            <w:vAlign w:val="center"/>
            <w:vMerge w:val="continue"/>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single" w:color="auto" w:sz="12" w:space="0"/>
            </w:tcBorders>
            <w:tcW w:w="1418" w:type="dxa"/>
            <w:vAlign w:val="center"/>
            <w:textDirection w:val="lrTb"/>
            <w:noWrap w:val="false"/>
          </w:tcPr>
          <w:p>
            <w:pPr>
              <w:ind w:left="63" w:right="63" w:firstLine="56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single" w:color="auto" w:sz="12"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single" w:color="auto" w:sz="12" w:space="0"/>
            </w:tcBorders>
            <w:tcW w:w="1134"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c>
          <w:tcPr>
            <w:tcBorders>
              <w:bottom w:val="single" w:color="auto" w:sz="12" w:space="0"/>
            </w:tcBorders>
            <w:tcW w:w="4252" w:type="dxa"/>
            <w:vAlign w:val="center"/>
            <w:textDirection w:val="lrTb"/>
            <w:noWrap w:val="false"/>
          </w:tcPr>
          <w:p>
            <w:pPr>
              <w:ind w:left="63" w:right="63" w:firstLine="600"/>
              <w:jc w:val="both"/>
              <w:keepNext/>
              <w:spacing w:line="440" w:lineRule="exact"/>
              <w:widowControl w:val="off"/>
              <w:rPr>
                <w:rFonts w:ascii="宋体" w:hAnsi="宋体" w:cs="宋体"/>
                <w:color w:val="auto"/>
                <w:sz w:val="28"/>
                <w:szCs w:val="30"/>
                <w:highlight w:val="none"/>
              </w:rPr>
            </w:pPr>
            <w:r>
              <w:rPr>
                <w:rFonts w:ascii="宋体" w:hAnsi="宋体" w:cs="宋体"/>
                <w:color w:val="auto"/>
                <w:sz w:val="28"/>
                <w:szCs w:val="30"/>
                <w:highlight w:val="none"/>
              </w:rPr>
            </w:r>
            <w:r/>
          </w:p>
        </w:tc>
      </w:tr>
    </w:tbl>
    <w:p>
      <w:pPr>
        <w:pStyle w:val="1131"/>
        <w:jc w:val="center"/>
        <w:spacing w:after="312" w:line="520" w:lineRule="exact"/>
        <w:rPr>
          <w:rFonts w:hAnsi="宋体"/>
          <w:color w:val="auto"/>
          <w:highlight w:val="none"/>
        </w:rPr>
        <w:sectPr>
          <w:headerReference w:type="default" r:id="rId14"/>
          <w:footerReference w:type="default" r:id="rId24"/>
          <w:footerReference w:type="first" r:id="rId25"/>
          <w:footnotePr/>
          <w:endnotePr/>
          <w:type w:val="nextPage"/>
          <w:pgSz w:w="11906" w:h="16838" w:orient="portrait"/>
          <w:pgMar w:top="1134" w:right="1797" w:bottom="1134" w:left="1797" w:header="851" w:footer="992" w:gutter="0"/>
          <w:cols w:num="1" w:sep="0" w:space="720" w:equalWidth="1"/>
          <w:docGrid w:linePitch="360"/>
          <w:titlePg/>
        </w:sectPr>
      </w:pPr>
      <w:r>
        <w:rPr>
          <w:rFonts w:hAnsi="宋体"/>
          <w:color w:val="auto"/>
          <w:highlight w:val="none"/>
        </w:rPr>
      </w:r>
      <w:r/>
    </w:p>
    <w:p>
      <w:pPr>
        <w:jc w:val="center"/>
        <w:spacing w:line="380" w:lineRule="exact"/>
        <w:widowControl/>
        <w:rPr>
          <w:rFonts w:hint="eastAsia" w:ascii="宋体" w:hAnsi="宋体" w:cs="宋体"/>
          <w:b/>
          <w:color w:val="auto"/>
          <w:sz w:val="28"/>
          <w:szCs w:val="28"/>
        </w:rPr>
      </w:pPr>
      <w:r>
        <w:rPr>
          <w:rFonts w:hint="eastAsia" w:ascii="宋体" w:hAnsi="宋体" w:cs="宋体"/>
          <w:b/>
          <w:color w:val="auto"/>
          <w:sz w:val="36"/>
          <w:szCs w:val="36"/>
          <w:highlight w:val="none"/>
          <w:lang w:val="en-US" w:eastAsia="zh-CN"/>
        </w:rPr>
        <w:t xml:space="preserve">13、</w:t>
      </w:r>
      <w:r>
        <w:rPr>
          <w:rFonts w:hint="eastAsia" w:ascii="宋体" w:hAnsi="宋体" w:cs="宋体"/>
          <w:b/>
          <w:bCs/>
          <w:color w:val="auto"/>
          <w:sz w:val="36"/>
          <w:szCs w:val="36"/>
          <w:lang w:val="en-US" w:eastAsia="zh-CN"/>
        </w:rPr>
        <w:t xml:space="preserve">代理服务收费标准</w:t>
      </w:r>
      <w:r/>
    </w:p>
    <w:p>
      <w:pPr>
        <w:spacing w:line="360" w:lineRule="exact"/>
        <w:widowControl/>
        <w:rPr>
          <w:rFonts w:hint="eastAsia" w:ascii="宋体" w:hAnsi="宋体" w:cs="宋体"/>
          <w:color w:val="auto"/>
          <w:sz w:val="24"/>
        </w:rPr>
      </w:pPr>
      <w:r>
        <w:rPr>
          <w:rFonts w:hint="eastAsia" w:ascii="宋体" w:hAnsi="宋体" w:cs="宋体"/>
          <w:color w:val="auto"/>
          <w:sz w:val="24"/>
        </w:rPr>
      </w:r>
      <w:r/>
    </w:p>
    <w:tbl>
      <w:tblPr>
        <w:tblStyle w:val="1052"/>
        <w:tblW w:w="95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left="0" w:right="0" w:firstLine="42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说明：</w:t>
      </w:r>
      <w:r/>
    </w:p>
    <w:p>
      <w:pPr>
        <w:ind w:left="0" w:right="0" w:firstLine="42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1.按上表计算的收费为代理服务全过程的收费金额。各社会代理机构不再收取采购文件制作售卖费用。</w:t>
      </w:r>
      <w:r/>
    </w:p>
    <w:p>
      <w:pPr>
        <w:ind w:left="0" w:right="0" w:firstLine="42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2.代理服务费按差额定率累进法计算。</w:t>
      </w:r>
      <w:r/>
    </w:p>
    <w:p>
      <w:pPr>
        <w:ind w:left="0" w:right="0" w:firstLine="42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3.代理服务费基准金额（按差额定率累进法计算的）=中标金额（按差额定率累进法计算的） * 费率（%）</w:t>
      </w:r>
      <w:r/>
    </w:p>
    <w:p>
      <w:pPr>
        <w:ind w:left="0" w:right="0" w:firstLine="42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4.代理服务费应收取金额=代理服务费基准金额（按差额定率累进法计算的）的合计数。</w:t>
      </w:r>
      <w:r/>
    </w:p>
    <w:p>
      <w:pPr>
        <w:ind w:left="0" w:right="0" w:firstLine="42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5.定点类等无金额或事先不能计算出价格总额的项目，按中标（成交）金额100万元计算服务费。</w:t>
      </w:r>
      <w:r/>
    </w:p>
    <w:p>
      <w:pPr>
        <w:ind w:left="0" w:right="0" w:firstLine="420"/>
        <w:jc w:val="both"/>
        <w:spacing w:before="0" w:after="0"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6.有分包（分标段）项目按总项目中标（成交）金额收费。</w:t>
      </w:r>
      <w:r/>
    </w:p>
    <w:p>
      <w:pPr>
        <w:ind w:left="0" w:right="0" w:firstLine="420"/>
        <w:jc w:val="both"/>
        <w:spacing w:before="0" w:after="0" w:line="85" w:lineRule="atLeast"/>
        <w:rPr>
          <w:rFonts w:hint="eastAsia" w:ascii="宋体" w:hAnsi="宋体" w:eastAsia="宋体" w:cs="宋体"/>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7.以上价格为协会指导价，双方可根据项目难易程度和优质优价原则协商确定</w:t>
      </w:r>
      <w:r>
        <w:rPr>
          <w:rFonts w:hint="eastAsia" w:ascii="宋体" w:hAnsi="宋体" w:eastAsia="宋体" w:cs="宋体"/>
          <w:color w:val="000000"/>
          <w:sz w:val="28"/>
          <w:szCs w:val="28"/>
          <w:lang w:val="en-US" w:eastAsia="zh-CN" w:bidi="ar-SA"/>
        </w:rPr>
        <w:t xml:space="preserve">。</w:t>
      </w:r>
      <w:r/>
    </w:p>
    <w:p>
      <w:pPr>
        <w:pStyle w:val="1053"/>
        <w:rPr>
          <w:rFonts w:hint="eastAsia"/>
        </w:rPr>
      </w:pPr>
      <w:r>
        <w:rPr>
          <w:rFonts w:hint="eastAsia"/>
        </w:rPr>
      </w:r>
      <w:r/>
    </w:p>
    <w:sectPr>
      <w:headerReference w:type="default" r:id="rId15"/>
      <w:headerReference w:type="first" r:id="rId16"/>
      <w:footerReference w:type="default" r:id="rId26"/>
      <w:footerReference w:type="first" r:id="rId27"/>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libri Light">
    <w:panose1 w:val="020F0302020204030204"/>
  </w:font>
  <w:font w:name="Cambria">
    <w:panose1 w:val="02040503050406030204"/>
  </w:font>
  <w:font w:name="楷体_GB2312">
    <w:panose1 w:val="02010609060101010101"/>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039"/>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899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9"/>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879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9"/>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7186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eastAsia="仿宋_GB2312"/>
        <w:sz w:val="24"/>
        <w:szCs w:val="18"/>
      </w:rPr>
    </w:pPr>
    <w:r>
      <w:rPr>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margin">
                <wp:align>center</wp:align>
              </wp:positionH>
              <wp:positionV relativeFrom="paragraph">
                <wp:posOffset>0</wp:posOffset>
              </wp:positionV>
              <wp:extent cx="114300" cy="147320"/>
              <wp:effectExtent l="0" t="0" r="0" b="0"/>
              <wp:wrapNone/>
              <wp:docPr id="4" name="任意多边形 15"/>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731968;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14300" cy="147320"/>
              <wp:effectExtent l="0" t="0" r="0" b="0"/>
              <wp:wrapNone/>
              <wp:docPr id="5" name="任意多边形 14"/>
              <wp:cNvGraphicFramePr/>
              <a:graphic xmlns:a="http://schemas.openxmlformats.org/drawingml/2006/main">
                <a:graphicData uri="http://schemas.microsoft.com/office/word/2010/wordprocessingShape">
                  <wps:wsp>
                    <wps:cNvPr id="0" name=""/>
                    <wps:cNvSpPr/>
                    <wps:spPr bwMode="auto">
                      <a:xfrm>
                        <a:off x="0" y="0"/>
                        <a:ext cx="114300" cy="14732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4" o:spid="_x0000_s4" style="position:absolute;z-index:251732992;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任意多边形 1028"/>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5" o:spid="_x0000_s5" style="position:absolute;z-index:2517299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任意多边形 1027"/>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6" o:spid="_x0000_s6" style="position:absolute;z-index:2517309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任意多边形 19"/>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miter/>
                      </a:ln>
                    </wps:spPr>
                    <wps:bodyPr rot="0">
                      <a:prstTxWarp prst="textNoShape">
                        <a:avLst/>
                      </a:prstTxWarp>
                      <a:noAutofit/>
                    </wps:bodyPr>
                  </wps:wsp>
                </a:graphicData>
              </a:graphic>
            </wp:anchor>
          </w:drawing>
        </mc:Choice>
        <mc:Fallback>
          <w:pict>
            <v:shape id="shape 7" o:spid="_x0000_s7" style="position:absolute;z-index:2517278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任意多边形 18"/>
              <wp:cNvGraphicFramePr/>
              <a:graphic xmlns:a="http://schemas.openxmlformats.org/drawingml/2006/main">
                <a:graphicData uri="http://schemas.microsoft.com/office/word/2010/wordprocessingShape">
                  <wps:wsp>
                    <wps:cNvPr id="0" name=""/>
                    <wps:cNvSpPr/>
                    <wps:spPr bwMode="auto">
                      <a:xfrm>
                        <a:off x="0" y="0"/>
                        <a:ext cx="1828800" cy="1828800"/>
                      </a:xfrm>
                      <a:custGeom>
                        <a:avLst/>
                        <a:gdLst/>
                        <a:ahLst/>
                        <a:cxnLst/>
                        <a:rect l="0" t="0" r="r" b="b"/>
                        <a:pathLst>
                          <a:path w="100000" h="100000" fill="norm" stroke="1" extrusionOk="0">
                            <a:moveTo>
                              <a:pt x="0" y="0"/>
                            </a:moveTo>
                            <a:lnTo>
                              <a:pt x="0" y="100000"/>
                            </a:lnTo>
                            <a:lnTo>
                              <a:pt x="100000" y="100000"/>
                            </a:lnTo>
                            <a:lnTo>
                              <a:pt x="100000" y="0"/>
                            </a:lnTo>
                            <a:close/>
                          </a:path>
                        </a:pathLst>
                      </a:custGeom>
                      <a:noFill/>
                      <a:ln>
                        <a:noFill/>
                      </a:ln>
                    </wps:spPr>
                    <wps:bodyPr rot="0">
                      <a:prstTxWarp prst="textNoShape">
                        <a:avLst/>
                      </a:prstTxWarp>
                      <a:noAutofit/>
                    </wps:bodyPr>
                  </wps:wsp>
                </a:graphicData>
              </a:graphic>
            </wp:anchor>
          </w:drawing>
        </mc:Choice>
        <mc:Fallback>
          <w:pict>
            <v:shape id="shape 8" o:spid="_x0000_s8" style="position:absolute;z-index:2517288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100000l100000,100000l100000,0xe" coordsize="100000,100000" filled="f" stroked="f">
              <v:path textboxrect="0,0,100000,100000"/>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920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72</w:t>
                    </w:r>
                    <w:r>
                      <w:rPr>
                        <w:rFonts w:hint="eastAsia"/>
                        <w:lang w:eastAsia="zh-CN"/>
                      </w:rP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930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sz w:val="18"/>
        <w:szCs w:val="18"/>
      </w:rPr>
    </w:pPr>
    <w:r>
      <w:rPr>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8"/>
      <w:jc w:val="right"/>
      <w:pBdr>
        <w:bottom w:val="none" w:color="000000" w:sz="0" w:space="1"/>
      </w:pBdr>
    </w:pPr>
    <w:r/>
    <w:r/>
  </w:p>
  <w:p>
    <w:pPr>
      <w:pStyle w:val="1328"/>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right"/>
      <w:pBdr>
        <w:bottom w:val="none" w:color="000000" w:sz="0" w:space="1"/>
      </w:pBdr>
    </w:pPr>
    <w:r>
      <w:t xml:space="preserve">                                       </w:t>
    </w:r>
    <w:r/>
  </w:p>
  <w:p>
    <w:pPr>
      <w:pStyle w:val="1299"/>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ind w:right="360"/>
      <w:jc w:val="both"/>
      <w:tabs>
        <w:tab w:val="left" w:pos="6585"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0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1" w:default="1">
    <w:name w:val="Normal"/>
    <w:next w:val="1053"/>
    <w:uiPriority w:val="0"/>
    <w:qFormat/>
    <w:rPr>
      <w:rFonts w:hint="default" w:ascii="Times New Roman" w:hAnsi="Times New Roman" w:eastAsia="宋体" w:cs="Times New Roman"/>
    </w:rPr>
  </w:style>
  <w:style w:type="paragraph" w:styleId="1042">
    <w:name w:val="Heading 1"/>
    <w:basedOn w:val="1041"/>
    <w:next w:val="1041"/>
    <w:link w:val="1132"/>
    <w:uiPriority w:val="9"/>
    <w:qFormat/>
    <w:pPr>
      <w:keepLines/>
      <w:keepNext/>
      <w:spacing w:before="480" w:after="200"/>
      <w:outlineLvl w:val="0"/>
    </w:pPr>
    <w:rPr>
      <w:rFonts w:hint="default" w:ascii="Arial" w:hAnsi="Arial" w:eastAsia="Arial" w:cs="Arial"/>
      <w:sz w:val="40"/>
      <w:szCs w:val="40"/>
    </w:rPr>
  </w:style>
  <w:style w:type="paragraph" w:styleId="1043">
    <w:name w:val="Heading 2"/>
    <w:basedOn w:val="1041"/>
    <w:next w:val="1041"/>
    <w:link w:val="1133"/>
    <w:uiPriority w:val="9"/>
    <w:unhideWhenUsed/>
    <w:qFormat/>
    <w:pPr>
      <w:keepLines/>
      <w:keepNext/>
      <w:spacing w:before="360" w:after="200"/>
      <w:outlineLvl w:val="1"/>
    </w:pPr>
    <w:rPr>
      <w:rFonts w:hint="default" w:ascii="Arial" w:hAnsi="Arial" w:eastAsia="Arial" w:cs="Arial"/>
      <w:sz w:val="34"/>
    </w:rPr>
  </w:style>
  <w:style w:type="paragraph" w:styleId="1044">
    <w:name w:val="Heading 3"/>
    <w:basedOn w:val="1041"/>
    <w:next w:val="1041"/>
    <w:link w:val="1134"/>
    <w:uiPriority w:val="9"/>
    <w:unhideWhenUsed/>
    <w:qFormat/>
    <w:pPr>
      <w:keepLines/>
      <w:keepNext/>
      <w:spacing w:before="320" w:after="200"/>
      <w:outlineLvl w:val="2"/>
    </w:pPr>
    <w:rPr>
      <w:rFonts w:hint="default" w:ascii="Arial" w:hAnsi="Arial" w:eastAsia="Arial" w:cs="Arial"/>
      <w:sz w:val="30"/>
      <w:szCs w:val="30"/>
    </w:rPr>
  </w:style>
  <w:style w:type="paragraph" w:styleId="1045">
    <w:name w:val="Heading 4"/>
    <w:basedOn w:val="1041"/>
    <w:next w:val="1041"/>
    <w:link w:val="1135"/>
    <w:uiPriority w:val="9"/>
    <w:unhideWhenUsed/>
    <w:qFormat/>
    <w:pPr>
      <w:keepLines/>
      <w:keepNext/>
      <w:spacing w:before="320" w:after="200"/>
      <w:outlineLvl w:val="3"/>
    </w:pPr>
    <w:rPr>
      <w:rFonts w:hint="default" w:ascii="Arial" w:hAnsi="Arial" w:eastAsia="Arial" w:cs="Arial"/>
      <w:b/>
      <w:bCs/>
      <w:sz w:val="26"/>
      <w:szCs w:val="26"/>
    </w:rPr>
  </w:style>
  <w:style w:type="paragraph" w:styleId="1046">
    <w:name w:val="Heading 5"/>
    <w:basedOn w:val="1041"/>
    <w:next w:val="1041"/>
    <w:link w:val="1136"/>
    <w:uiPriority w:val="9"/>
    <w:unhideWhenUsed/>
    <w:qFormat/>
    <w:pPr>
      <w:keepLines/>
      <w:keepNext/>
      <w:spacing w:before="320" w:after="200"/>
      <w:outlineLvl w:val="4"/>
    </w:pPr>
    <w:rPr>
      <w:rFonts w:hint="default" w:ascii="Arial" w:hAnsi="Arial" w:eastAsia="Arial" w:cs="Arial"/>
      <w:b/>
      <w:bCs/>
      <w:sz w:val="24"/>
      <w:szCs w:val="24"/>
    </w:rPr>
  </w:style>
  <w:style w:type="paragraph" w:styleId="1047">
    <w:name w:val="Heading 6"/>
    <w:next w:val="1041"/>
    <w:link w:val="1137"/>
    <w:uiPriority w:val="9"/>
    <w:unhideWhenUsed/>
    <w:qFormat/>
    <w:pPr>
      <w:keepLines/>
      <w:keepNext/>
      <w:spacing w:before="320" w:after="200"/>
      <w:outlineLvl w:val="5"/>
    </w:pPr>
    <w:rPr>
      <w:rFonts w:hint="default" w:ascii="Arial" w:hAnsi="Arial" w:eastAsia="Arial" w:cs="Arial"/>
      <w:b/>
      <w:bCs/>
      <w:sz w:val="22"/>
      <w:szCs w:val="22"/>
    </w:rPr>
  </w:style>
  <w:style w:type="paragraph" w:styleId="1048">
    <w:name w:val="Heading 7"/>
    <w:next w:val="1041"/>
    <w:link w:val="1138"/>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049">
    <w:name w:val="Heading 8"/>
    <w:next w:val="1041"/>
    <w:link w:val="1139"/>
    <w:uiPriority w:val="9"/>
    <w:unhideWhenUsed/>
    <w:qFormat/>
    <w:pPr>
      <w:keepLines/>
      <w:keepNext/>
      <w:spacing w:before="320" w:after="200"/>
      <w:outlineLvl w:val="7"/>
    </w:pPr>
    <w:rPr>
      <w:rFonts w:hint="default" w:ascii="Arial" w:hAnsi="Arial" w:eastAsia="Arial" w:cs="Arial"/>
      <w:i/>
      <w:iCs/>
      <w:sz w:val="22"/>
      <w:szCs w:val="22"/>
    </w:rPr>
  </w:style>
  <w:style w:type="paragraph" w:styleId="1050">
    <w:name w:val="Heading 9"/>
    <w:next w:val="1041"/>
    <w:link w:val="1140"/>
    <w:uiPriority w:val="9"/>
    <w:unhideWhenUsed/>
    <w:qFormat/>
    <w:pPr>
      <w:keepLines/>
      <w:keepNext/>
      <w:spacing w:before="320" w:after="200"/>
      <w:outlineLvl w:val="8"/>
    </w:pPr>
    <w:rPr>
      <w:rFonts w:hint="default" w:ascii="Arial" w:hAnsi="Arial" w:eastAsia="Arial" w:cs="Arial"/>
      <w:i/>
      <w:iCs/>
      <w:sz w:val="21"/>
      <w:szCs w:val="21"/>
    </w:rPr>
  </w:style>
  <w:style w:type="character" w:styleId="1051" w:default="1">
    <w:name w:val="Default Paragraph Font"/>
    <w:uiPriority w:val="1"/>
    <w:semiHidden/>
    <w:unhideWhenUsed/>
    <w:qFormat/>
  </w:style>
  <w:style w:type="table" w:styleId="1052" w:default="1">
    <w:name w:val="Normal Table"/>
    <w:uiPriority w:val="99"/>
    <w:semiHidden/>
    <w:unhideWhenUsed/>
    <w:qFormat/>
    <w:tblPr>
      <w:tblLayout w:type="fixed"/>
      <w:tblCellMar>
        <w:left w:w="108" w:type="dxa"/>
        <w:top w:w="0" w:type="dxa"/>
        <w:right w:w="108" w:type="dxa"/>
        <w:bottom w:w="0" w:type="dxa"/>
      </w:tblCellMar>
    </w:tblPr>
  </w:style>
  <w:style w:type="paragraph" w:styleId="1053">
    <w:name w:val="Body Text"/>
    <w:basedOn w:val="1041"/>
    <w:next w:val="1054"/>
    <w:uiPriority w:val="0"/>
    <w:qFormat/>
    <w:pPr>
      <w:ind w:left="72" w:right="30"/>
      <w:jc w:val="center"/>
      <w:spacing w:after="60" w:line="360" w:lineRule="atLeast"/>
    </w:pPr>
    <w:rPr>
      <w:szCs w:val="22"/>
    </w:rPr>
  </w:style>
  <w:style w:type="paragraph" w:styleId="1054">
    <w:name w:val="toc 9"/>
    <w:basedOn w:val="1041"/>
    <w:next w:val="1041"/>
    <w:uiPriority w:val="39"/>
    <w:unhideWhenUsed/>
    <w:qFormat/>
    <w:pPr>
      <w:ind w:left="2268" w:right="0" w:firstLine="0"/>
      <w:spacing w:after="57"/>
    </w:pPr>
    <w:rPr>
      <w:rFonts w:hint="default" w:ascii="Times New Roman" w:hAnsi="Times New Roman" w:eastAsia="宋体" w:cs="Times New Roman"/>
    </w:rPr>
  </w:style>
  <w:style w:type="paragraph" w:styleId="1055">
    <w:name w:val="toc 7"/>
    <w:next w:val="1041"/>
    <w:uiPriority w:val="39"/>
    <w:unhideWhenUsed/>
    <w:qFormat/>
    <w:pPr>
      <w:ind w:left="1701" w:right="0" w:firstLine="0"/>
      <w:spacing w:after="57"/>
    </w:pPr>
    <w:rPr>
      <w:rFonts w:hint="default" w:ascii="Times New Roman" w:hAnsi="Times New Roman" w:eastAsia="宋体" w:cs="Times New Roman"/>
    </w:rPr>
  </w:style>
  <w:style w:type="paragraph" w:styleId="1056">
    <w:name w:val="Body Text First Indent"/>
    <w:basedOn w:val="1053"/>
    <w:next w:val="1057"/>
    <w:uiPriority w:val="0"/>
    <w:qFormat/>
    <w:pPr>
      <w:ind w:firstLine="200"/>
      <w:spacing w:line="360" w:lineRule="auto"/>
    </w:pPr>
    <w:rPr>
      <w:rFonts w:ascii="仿宋_GB2312" w:eastAsia="仿宋_GB2312"/>
      <w:sz w:val="30"/>
      <w:szCs w:val="30"/>
    </w:rPr>
  </w:style>
  <w:style w:type="paragraph" w:styleId="1057">
    <w:name w:val="Body Text First Indent 2"/>
    <w:basedOn w:val="1058"/>
    <w:uiPriority w:val="99"/>
    <w:qFormat/>
    <w:pPr>
      <w:ind w:left="0" w:firstLine="420"/>
      <w:spacing w:after="0" w:line="360" w:lineRule="auto"/>
    </w:pPr>
    <w:rPr>
      <w:rFonts w:ascii="宋体" w:hAnsi="宋体"/>
    </w:rPr>
  </w:style>
  <w:style w:type="paragraph" w:styleId="1058">
    <w:name w:val="Body Text Indent"/>
    <w:basedOn w:val="1041"/>
    <w:next w:val="1059"/>
    <w:uiPriority w:val="0"/>
    <w:qFormat/>
    <w:pPr>
      <w:ind w:left="420"/>
      <w:spacing w:after="120"/>
    </w:pPr>
  </w:style>
  <w:style w:type="paragraph" w:styleId="1059">
    <w:name w:val="Normal Indent"/>
    <w:basedOn w:val="1041"/>
    <w:next w:val="1058"/>
    <w:uiPriority w:val="99"/>
    <w:unhideWhenUsed/>
    <w:qFormat/>
    <w:pPr>
      <w:ind w:firstLine="420"/>
    </w:pPr>
  </w:style>
  <w:style w:type="paragraph" w:styleId="1060">
    <w:name w:val="Caption"/>
    <w:next w:val="1041"/>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1061">
    <w:name w:val="index 5"/>
    <w:basedOn w:val="1041"/>
    <w:next w:val="1041"/>
    <w:uiPriority w:val="0"/>
    <w:qFormat/>
    <w:pPr>
      <w:ind w:left="798"/>
      <w:jc w:val="left"/>
    </w:pPr>
    <w:rPr>
      <w:rFonts w:ascii="Calibri" w:hAnsi="Calibri"/>
      <w:sz w:val="21"/>
    </w:rPr>
  </w:style>
  <w:style w:type="paragraph" w:styleId="1062">
    <w:name w:val="annotation text"/>
    <w:basedOn w:val="1041"/>
    <w:uiPriority w:val="99"/>
    <w:semiHidden/>
    <w:unhideWhenUsed/>
    <w:qFormat/>
    <w:pPr>
      <w:jc w:val="left"/>
    </w:pPr>
  </w:style>
  <w:style w:type="paragraph" w:styleId="1063">
    <w:name w:val="Block Text"/>
    <w:basedOn w:val="1041"/>
    <w:next w:val="1041"/>
    <w:uiPriority w:val="0"/>
    <w:qFormat/>
    <w:pPr>
      <w:ind w:left="256" w:right="6" w:firstLine="624"/>
    </w:pPr>
    <w:rPr>
      <w:rFonts w:eastAsia="仿宋_GB2312"/>
      <w:sz w:val="28"/>
      <w:szCs w:val="20"/>
    </w:rPr>
  </w:style>
  <w:style w:type="paragraph" w:styleId="1064">
    <w:name w:val="toc 5"/>
    <w:next w:val="1041"/>
    <w:uiPriority w:val="39"/>
    <w:unhideWhenUsed/>
    <w:qFormat/>
    <w:pPr>
      <w:ind w:left="1134" w:right="0" w:firstLine="0"/>
      <w:spacing w:after="57"/>
    </w:pPr>
    <w:rPr>
      <w:rFonts w:hint="default" w:ascii="Times New Roman" w:hAnsi="Times New Roman" w:eastAsia="宋体" w:cs="Times New Roman"/>
    </w:rPr>
  </w:style>
  <w:style w:type="paragraph" w:styleId="1065">
    <w:name w:val="toc 3"/>
    <w:next w:val="1041"/>
    <w:uiPriority w:val="39"/>
    <w:unhideWhenUsed/>
    <w:qFormat/>
    <w:pPr>
      <w:ind w:left="567" w:right="0" w:firstLine="0"/>
      <w:spacing w:after="57"/>
    </w:pPr>
    <w:rPr>
      <w:rFonts w:hint="default" w:ascii="Times New Roman" w:hAnsi="Times New Roman" w:eastAsia="宋体" w:cs="Times New Roman"/>
    </w:rPr>
  </w:style>
  <w:style w:type="paragraph" w:styleId="1066">
    <w:name w:val="Plain Text"/>
    <w:basedOn w:val="1041"/>
    <w:uiPriority w:val="99"/>
    <w:qFormat/>
    <w:rPr>
      <w:rFonts w:ascii="宋体" w:hAnsi="Courier New"/>
    </w:rPr>
  </w:style>
  <w:style w:type="paragraph" w:styleId="1067">
    <w:name w:val="toc 8"/>
    <w:next w:val="1041"/>
    <w:uiPriority w:val="39"/>
    <w:unhideWhenUsed/>
    <w:qFormat/>
    <w:pPr>
      <w:ind w:left="1984" w:right="0" w:firstLine="0"/>
      <w:spacing w:after="57"/>
    </w:pPr>
    <w:rPr>
      <w:rFonts w:hint="default" w:ascii="Times New Roman" w:hAnsi="Times New Roman" w:eastAsia="宋体" w:cs="Times New Roman"/>
    </w:rPr>
  </w:style>
  <w:style w:type="paragraph" w:styleId="1068">
    <w:name w:val="endnote text"/>
    <w:link w:val="1278"/>
    <w:uiPriority w:val="99"/>
    <w:semiHidden/>
    <w:unhideWhenUsed/>
    <w:qFormat/>
    <w:pPr>
      <w:spacing w:after="0" w:line="240" w:lineRule="auto"/>
    </w:pPr>
    <w:rPr>
      <w:rFonts w:hint="default" w:ascii="Times New Roman" w:hAnsi="Times New Roman" w:eastAsia="宋体" w:cs="Times New Roman"/>
      <w:sz w:val="20"/>
    </w:rPr>
  </w:style>
  <w:style w:type="paragraph" w:styleId="1069">
    <w:name w:val="Footer"/>
    <w:basedOn w:val="1041"/>
    <w:link w:val="115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70">
    <w:name w:val="envelope return"/>
    <w:basedOn w:val="1041"/>
    <w:uiPriority w:val="0"/>
    <w:qFormat/>
    <w:rPr>
      <w:rFonts w:ascii="Arial" w:hAnsi="Arial"/>
    </w:rPr>
  </w:style>
  <w:style w:type="paragraph" w:styleId="1071">
    <w:name w:val="Header"/>
    <w:basedOn w:val="1041"/>
    <w:link w:val="114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72">
    <w:name w:val="toc 1"/>
    <w:basedOn w:val="1041"/>
    <w:next w:val="1041"/>
    <w:uiPriority w:val="39"/>
    <w:unhideWhenUsed/>
    <w:qFormat/>
    <w:pPr>
      <w:ind w:left="0" w:right="0" w:firstLine="0"/>
      <w:spacing w:after="57"/>
    </w:pPr>
    <w:rPr>
      <w:rFonts w:hint="default" w:ascii="Times New Roman" w:hAnsi="Times New Roman" w:eastAsia="宋体" w:cs="Times New Roman"/>
    </w:rPr>
  </w:style>
  <w:style w:type="paragraph" w:styleId="1073">
    <w:name w:val="toc 4"/>
    <w:next w:val="1041"/>
    <w:uiPriority w:val="39"/>
    <w:unhideWhenUsed/>
    <w:qFormat/>
    <w:pPr>
      <w:ind w:left="850" w:right="0" w:firstLine="0"/>
      <w:spacing w:after="57"/>
    </w:pPr>
    <w:rPr>
      <w:rFonts w:hint="default" w:ascii="Times New Roman" w:hAnsi="Times New Roman" w:eastAsia="宋体" w:cs="Times New Roman"/>
    </w:rPr>
  </w:style>
  <w:style w:type="paragraph" w:styleId="1074">
    <w:name w:val="Subtitle"/>
    <w:link w:val="1144"/>
    <w:uiPriority w:val="11"/>
    <w:qFormat/>
    <w:pPr>
      <w:spacing w:before="200" w:after="200"/>
    </w:pPr>
    <w:rPr>
      <w:rFonts w:hint="default" w:ascii="Times New Roman" w:hAnsi="Times New Roman" w:eastAsia="宋体" w:cs="Times New Roman"/>
      <w:sz w:val="24"/>
      <w:szCs w:val="24"/>
    </w:rPr>
  </w:style>
  <w:style w:type="paragraph" w:styleId="1075">
    <w:name w:val="footnote text"/>
    <w:basedOn w:val="1041"/>
    <w:next w:val="1061"/>
    <w:link w:val="1277"/>
    <w:uiPriority w:val="99"/>
    <w:semiHidden/>
    <w:unhideWhenUsed/>
    <w:qFormat/>
    <w:pPr>
      <w:spacing w:after="40" w:line="240" w:lineRule="auto"/>
    </w:pPr>
    <w:rPr>
      <w:rFonts w:hint="default" w:ascii="Times New Roman" w:hAnsi="Times New Roman" w:eastAsia="宋体" w:cs="Times New Roman"/>
      <w:sz w:val="18"/>
    </w:rPr>
  </w:style>
  <w:style w:type="paragraph" w:styleId="1076">
    <w:name w:val="toc 6"/>
    <w:next w:val="1041"/>
    <w:uiPriority w:val="39"/>
    <w:unhideWhenUsed/>
    <w:qFormat/>
    <w:pPr>
      <w:ind w:left="1417" w:right="0" w:firstLine="0"/>
      <w:spacing w:after="57"/>
    </w:pPr>
    <w:rPr>
      <w:rFonts w:hint="default" w:ascii="Times New Roman" w:hAnsi="Times New Roman" w:eastAsia="宋体" w:cs="Times New Roman"/>
    </w:rPr>
  </w:style>
  <w:style w:type="paragraph" w:styleId="1077">
    <w:name w:val="table of figures"/>
    <w:next w:val="1041"/>
    <w:uiPriority w:val="99"/>
    <w:unhideWhenUsed/>
    <w:qFormat/>
    <w:pPr>
      <w:spacing w:after="0" w:afterAutospacing="0"/>
    </w:pPr>
    <w:rPr>
      <w:rFonts w:hint="default" w:ascii="Times New Roman" w:hAnsi="Times New Roman" w:eastAsia="宋体" w:cs="Times New Roman"/>
    </w:rPr>
  </w:style>
  <w:style w:type="paragraph" w:styleId="1078">
    <w:name w:val="toc 2"/>
    <w:next w:val="1041"/>
    <w:uiPriority w:val="39"/>
    <w:unhideWhenUsed/>
    <w:qFormat/>
    <w:pPr>
      <w:ind w:left="283" w:right="0" w:firstLine="0"/>
      <w:spacing w:after="57"/>
    </w:pPr>
    <w:rPr>
      <w:rFonts w:hint="default" w:ascii="Times New Roman" w:hAnsi="Times New Roman" w:eastAsia="宋体" w:cs="Times New Roman"/>
    </w:rPr>
  </w:style>
  <w:style w:type="paragraph" w:styleId="1079">
    <w:name w:val="Body Text 2"/>
    <w:basedOn w:val="1041"/>
    <w:uiPriority w:val="0"/>
    <w:qFormat/>
    <w:pPr>
      <w:jc w:val="center"/>
      <w:widowControl/>
    </w:pPr>
    <w:rPr>
      <w:rFonts w:ascii="楷体_GB2312" w:eastAsia="楷体_GB2312"/>
      <w:sz w:val="28"/>
      <w:szCs w:val="28"/>
    </w:rPr>
  </w:style>
  <w:style w:type="paragraph" w:styleId="1080">
    <w:name w:val="Normal (Web)"/>
    <w:basedOn w:val="1041"/>
    <w:uiPriority w:val="99"/>
    <w:qFormat/>
    <w:pPr>
      <w:jc w:val="left"/>
      <w:spacing w:before="100" w:beforeAutospacing="1" w:after="100" w:afterAutospacing="1"/>
      <w:widowControl/>
    </w:pPr>
    <w:rPr>
      <w:rFonts w:ascii="宋体" w:hAnsi="宋体" w:cs="宋体"/>
      <w:sz w:val="24"/>
    </w:rPr>
  </w:style>
  <w:style w:type="paragraph" w:styleId="1081">
    <w:name w:val="Title"/>
    <w:link w:val="1143"/>
    <w:uiPriority w:val="10"/>
    <w:qFormat/>
    <w:pPr>
      <w:contextualSpacing/>
      <w:spacing w:before="300" w:after="200"/>
    </w:pPr>
    <w:rPr>
      <w:rFonts w:hint="default" w:ascii="Times New Roman" w:hAnsi="Times New Roman" w:eastAsia="宋体" w:cs="Times New Roman"/>
      <w:sz w:val="48"/>
      <w:szCs w:val="48"/>
    </w:rPr>
  </w:style>
  <w:style w:type="character" w:styleId="1082">
    <w:name w:val="endnote reference"/>
    <w:uiPriority w:val="99"/>
    <w:semiHidden/>
    <w:unhideWhenUsed/>
    <w:qFormat/>
    <w:rPr>
      <w:vertAlign w:val="superscript"/>
    </w:rPr>
  </w:style>
  <w:style w:type="character" w:styleId="1083">
    <w:name w:val="page number"/>
    <w:basedOn w:val="1051"/>
    <w:uiPriority w:val="0"/>
    <w:qFormat/>
  </w:style>
  <w:style w:type="character" w:styleId="1084">
    <w:name w:val="FollowedHyperlink"/>
    <w:basedOn w:val="1051"/>
    <w:uiPriority w:val="99"/>
    <w:semiHidden/>
    <w:unhideWhenUsed/>
    <w:qFormat/>
    <w:rPr>
      <w:color w:val="800080"/>
      <w:u w:val="none"/>
    </w:rPr>
  </w:style>
  <w:style w:type="character" w:styleId="1085">
    <w:name w:val="HTML Definition"/>
    <w:basedOn w:val="1051"/>
    <w:uiPriority w:val="99"/>
    <w:semiHidden/>
    <w:unhideWhenUsed/>
    <w:qFormat/>
  </w:style>
  <w:style w:type="character" w:styleId="1086">
    <w:name w:val="HTML Typewriter"/>
    <w:basedOn w:val="1051"/>
    <w:uiPriority w:val="99"/>
    <w:semiHidden/>
    <w:unhideWhenUsed/>
    <w:qFormat/>
    <w:rPr>
      <w:rFonts w:hint="default" w:ascii="monospace" w:hAnsi="monospace" w:eastAsia="monospace" w:cs="monospace"/>
      <w:sz w:val="20"/>
    </w:rPr>
  </w:style>
  <w:style w:type="character" w:styleId="1087">
    <w:name w:val="HTML Acronym"/>
    <w:basedOn w:val="1051"/>
    <w:uiPriority w:val="99"/>
    <w:semiHidden/>
    <w:unhideWhenUsed/>
    <w:qFormat/>
  </w:style>
  <w:style w:type="character" w:styleId="1088">
    <w:name w:val="HTML Variable"/>
    <w:basedOn w:val="1051"/>
    <w:uiPriority w:val="99"/>
    <w:semiHidden/>
    <w:unhideWhenUsed/>
    <w:qFormat/>
  </w:style>
  <w:style w:type="character" w:styleId="1089">
    <w:name w:val="Hyperlink"/>
    <w:uiPriority w:val="99"/>
    <w:unhideWhenUsed/>
    <w:qFormat/>
    <w:rPr>
      <w:color w:val="0000ff" w:themeColor="hyperlink"/>
      <w:u w:val="single"/>
      <w14:textFill>
        <w14:solidFill>
          <w14:schemeClr w14:val="hlink"/>
        </w14:solidFill>
      </w14:textFill>
    </w:rPr>
  </w:style>
  <w:style w:type="character" w:styleId="1090">
    <w:name w:val="HTML Code"/>
    <w:basedOn w:val="1051"/>
    <w:uiPriority w:val="99"/>
    <w:semiHidden/>
    <w:unhideWhenUsed/>
    <w:qFormat/>
    <w:rPr>
      <w:rFonts w:hint="default" w:ascii="monospace" w:hAnsi="monospace" w:eastAsia="monospace" w:cs="monospace"/>
      <w:sz w:val="20"/>
    </w:rPr>
  </w:style>
  <w:style w:type="character" w:styleId="1091">
    <w:name w:val="HTML Cite"/>
    <w:basedOn w:val="1051"/>
    <w:uiPriority w:val="99"/>
    <w:semiHidden/>
    <w:unhideWhenUsed/>
    <w:qFormat/>
  </w:style>
  <w:style w:type="character" w:styleId="1092">
    <w:name w:val="footnote reference"/>
    <w:uiPriority w:val="99"/>
    <w:unhideWhenUsed/>
    <w:qFormat/>
    <w:rPr>
      <w:vertAlign w:val="superscript"/>
    </w:rPr>
  </w:style>
  <w:style w:type="character" w:styleId="1093">
    <w:name w:val="HTML Keyboard"/>
    <w:basedOn w:val="1051"/>
    <w:uiPriority w:val="99"/>
    <w:semiHidden/>
    <w:unhideWhenUsed/>
    <w:qFormat/>
    <w:rPr>
      <w:rFonts w:ascii="monospace" w:hAnsi="monospace" w:eastAsia="monospace" w:cs="monospace"/>
      <w:sz w:val="20"/>
    </w:rPr>
  </w:style>
  <w:style w:type="character" w:styleId="1094">
    <w:name w:val="HTML Sample"/>
    <w:basedOn w:val="1051"/>
    <w:uiPriority w:val="99"/>
    <w:semiHidden/>
    <w:unhideWhenUsed/>
    <w:qFormat/>
    <w:rPr>
      <w:rFonts w:hint="default" w:ascii="monospace" w:hAnsi="monospace" w:eastAsia="monospace" w:cs="monospace"/>
    </w:rPr>
  </w:style>
  <w:style w:type="table" w:styleId="10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096" w:customStyle="1">
    <w:name w:val="一级条标题"/>
    <w:basedOn w:val="1097"/>
    <w:next w:val="11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7" w:customStyle="1">
    <w:name w:val="章标题"/>
    <w:basedOn w:val="1098"/>
    <w:next w:val="109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98" w:customStyle="1">
    <w:name w:val="正文1"/>
    <w:basedOn w:val="1099"/>
    <w:next w:val="1105"/>
    <w:link w:val="12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正文111"/>
    <w:next w:val="11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正文文本缩进11"/>
    <w:basedOn w:val="1101"/>
    <w:next w:val="1104"/>
    <w:uiPriority w:val="99"/>
    <w:qFormat/>
    <w:pPr>
      <w:ind w:left="420"/>
      <w:spacing w:after="120"/>
    </w:pPr>
  </w:style>
  <w:style w:type="paragraph" w:styleId="1101" w:customStyle="1">
    <w:name w:val="正文12"/>
    <w:next w:val="1102"/>
    <w:uiPriority w:val="0"/>
    <w:qFormat/>
    <w:pPr>
      <w:jc w:val="both"/>
      <w:widowControl w:val="off"/>
    </w:pPr>
    <w:rPr>
      <w:rFonts w:hint="default" w:ascii="Calibri" w:hAnsi="Calibri" w:eastAsia="Calibri" w:cs="Times New Roman"/>
      <w:sz w:val="21"/>
      <w:szCs w:val="24"/>
      <w:lang w:val="en-US" w:eastAsia="zh-CN" w:bidi="ar-SA"/>
    </w:rPr>
  </w:style>
  <w:style w:type="paragraph" w:styleId="1102" w:customStyle="1">
    <w:name w:val="脚注文本1"/>
    <w:basedOn w:val="1098"/>
    <w:next w:val="1103"/>
    <w:uiPriority w:val="0"/>
    <w:qFormat/>
    <w:rPr>
      <w:sz w:val="18"/>
      <w:szCs w:val="18"/>
    </w:rPr>
  </w:style>
  <w:style w:type="paragraph" w:styleId="1103" w:customStyle="1">
    <w:name w:val="索引 51"/>
    <w:basedOn w:val="1101"/>
    <w:next w:val="1098"/>
    <w:uiPriority w:val="0"/>
    <w:qFormat/>
    <w:pPr>
      <w:ind w:left="798"/>
      <w:jc w:val="left"/>
    </w:pPr>
  </w:style>
  <w:style w:type="paragraph" w:styleId="1104" w:customStyle="1">
    <w:name w:val="寄信人地址11"/>
    <w:basedOn w:val="1041"/>
    <w:uiPriority w:val="0"/>
    <w:qFormat/>
    <w:rPr>
      <w:rFonts w:ascii="Arial" w:hAnsi="Arial"/>
    </w:rPr>
  </w:style>
  <w:style w:type="paragraph" w:styleId="1105" w:customStyle="1">
    <w:name w:val="标题 21"/>
    <w:basedOn w:val="1101"/>
    <w:next w:val="1106"/>
    <w:link w:val="129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106" w:customStyle="1">
    <w:name w:val="正文11"/>
    <w:next w:val="1107"/>
    <w:link w:val="13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正文首行缩进11"/>
    <w:basedOn w:val="1108"/>
    <w:next w:val="1109"/>
    <w:uiPriority w:val="0"/>
    <w:qFormat/>
    <w:pPr>
      <w:ind w:firstLine="200"/>
      <w:spacing w:line="360" w:lineRule="auto"/>
      <w:tabs>
        <w:tab w:val="left" w:pos="420" w:leader="none"/>
      </w:tabs>
    </w:pPr>
    <w:rPr>
      <w:rFonts w:ascii="仿宋_GB2312" w:hAnsi="Calibri" w:eastAsia="仿宋_GB2312"/>
      <w:sz w:val="30"/>
      <w:szCs w:val="30"/>
    </w:rPr>
  </w:style>
  <w:style w:type="paragraph" w:styleId="1108" w:customStyle="1">
    <w:name w:val="正文文本1"/>
    <w:basedOn w:val="1099"/>
    <w:next w:val="1096"/>
    <w:uiPriority w:val="0"/>
    <w:qFormat/>
    <w:pPr>
      <w:spacing w:after="120"/>
    </w:pPr>
  </w:style>
  <w:style w:type="paragraph" w:styleId="1109" w:customStyle="1">
    <w:name w:val="正文首行缩进 211"/>
    <w:basedOn w:val="1100"/>
    <w:next w:val="1110"/>
    <w:uiPriority w:val="99"/>
    <w:qFormat/>
    <w:pPr>
      <w:ind w:left="0" w:firstLine="420"/>
      <w:spacing w:after="0" w:line="360" w:lineRule="auto"/>
    </w:pPr>
    <w:rPr>
      <w:rFonts w:ascii="宋体" w:hAnsi="宋体"/>
    </w:rPr>
  </w:style>
  <w:style w:type="paragraph" w:styleId="1110" w:customStyle="1">
    <w:name w:val="正文112"/>
    <w:next w:val="11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正文首行缩进1"/>
    <w:basedOn w:val="1112"/>
    <w:next w:val="1109"/>
    <w:uiPriority w:val="0"/>
    <w:qFormat/>
    <w:pPr>
      <w:ind w:firstLine="200"/>
      <w:spacing w:line="360" w:lineRule="auto"/>
    </w:pPr>
    <w:rPr>
      <w:rFonts w:ascii="仿宋_GB2312" w:eastAsia="仿宋_GB2312"/>
      <w:sz w:val="30"/>
      <w:szCs w:val="30"/>
    </w:rPr>
  </w:style>
  <w:style w:type="paragraph" w:styleId="1112" w:customStyle="1">
    <w:name w:val="正文文本11"/>
    <w:basedOn w:val="1106"/>
    <w:next w:val="1106"/>
    <w:uiPriority w:val="0"/>
    <w:qFormat/>
    <w:pPr>
      <w:spacing w:after="120"/>
    </w:pPr>
  </w:style>
  <w:style w:type="paragraph" w:styleId="1113" w:customStyle="1">
    <w:name w:val="段"/>
    <w:basedOn w:val="1098"/>
    <w:next w:val="1098"/>
    <w:uiPriority w:val="0"/>
    <w:qFormat/>
    <w:pPr>
      <w:ind w:firstLine="200"/>
      <w:widowControl/>
    </w:pPr>
    <w:rPr>
      <w:rFonts w:ascii="宋体"/>
      <w:sz w:val="20"/>
      <w:szCs w:val="20"/>
    </w:rPr>
  </w:style>
  <w:style w:type="paragraph" w:styleId="1114" w:customStyle="1">
    <w:name w:val="正文1111"/>
    <w:next w:val="1115"/>
    <w:uiPriority w:val="0"/>
    <w:qFormat/>
    <w:rPr>
      <w:rFonts w:hint="default" w:ascii="Calibri" w:hAnsi="Calibri" w:eastAsia="Calibri" w:cs="Times New Roman"/>
    </w:rPr>
  </w:style>
  <w:style w:type="paragraph" w:styleId="1115" w:customStyle="1">
    <w:name w:val="标题 211"/>
    <w:basedOn w:val="1106"/>
    <w:next w:val="1106"/>
    <w:uiPriority w:val="0"/>
    <w:qFormat/>
    <w:pPr>
      <w:keepLines/>
      <w:keepNext/>
      <w:spacing w:before="260" w:after="260" w:line="416" w:lineRule="auto"/>
      <w:outlineLvl w:val="1"/>
    </w:pPr>
    <w:rPr>
      <w:rFonts w:ascii="Calibri Light" w:hAnsi="Calibri Light"/>
      <w:b/>
      <w:bCs/>
      <w:sz w:val="32"/>
      <w:szCs w:val="32"/>
    </w:rPr>
  </w:style>
  <w:style w:type="paragraph" w:styleId="1116" w:customStyle="1">
    <w:name w:val="样式 正文文本缩进 + 首行缩进:  2 字符 行距: 1.5 倍行距"/>
    <w:basedOn w:val="1058"/>
    <w:uiPriority w:val="0"/>
    <w:unhideWhenUsed/>
    <w:qFormat/>
    <w:pPr>
      <w:ind w:firstLine="645"/>
      <w:spacing w:before="156" w:after="120"/>
    </w:pPr>
    <w:rPr>
      <w:rFonts w:hint="default" w:ascii="Calibri" w:hAnsi="Calibri"/>
      <w:sz w:val="28"/>
    </w:rPr>
  </w:style>
  <w:style w:type="paragraph" w:styleId="1117" w:customStyle="1">
    <w:name w:val="无间隔1"/>
    <w:uiPriority w:val="0"/>
    <w:qFormat/>
    <w:rPr>
      <w:rFonts w:hint="default" w:ascii="Calibri" w:hAnsi="Calibri" w:eastAsia="宋体" w:cs="Times New Roman"/>
      <w:sz w:val="22"/>
      <w:lang w:val="en-US" w:eastAsia="zh-CN" w:bidi="ar-SA"/>
    </w:rPr>
  </w:style>
  <w:style w:type="paragraph" w:styleId="1118" w:customStyle="1">
    <w:name w:val="标题 411"/>
    <w:basedOn w:val="1101"/>
    <w:next w:val="1041"/>
    <w:uiPriority w:val="0"/>
    <w:qFormat/>
    <w:pPr>
      <w:keepLines/>
      <w:keepNext/>
      <w:spacing w:before="320" w:after="200"/>
      <w:outlineLvl w:val="3"/>
    </w:pPr>
    <w:rPr>
      <w:rFonts w:ascii="Arial" w:hAnsi="Arial" w:eastAsia="Arial"/>
      <w:b/>
      <w:bCs/>
      <w:sz w:val="26"/>
      <w:szCs w:val="26"/>
    </w:rPr>
  </w:style>
  <w:style w:type="paragraph" w:styleId="1119" w:customStyle="1">
    <w:name w:val="正文首行缩进 21"/>
    <w:basedOn w:val="1120"/>
    <w:next w:val="1099"/>
    <w:link w:val="1296"/>
    <w:uiPriority w:val="0"/>
    <w:qFormat/>
    <w:pPr>
      <w:ind w:firstLine="420"/>
    </w:pPr>
  </w:style>
  <w:style w:type="paragraph" w:styleId="1120" w:customStyle="1">
    <w:name w:val="正文文本缩进1"/>
    <w:basedOn w:val="1106"/>
    <w:next w:val="1121"/>
    <w:link w:val="1293"/>
    <w:uiPriority w:val="0"/>
    <w:qFormat/>
    <w:pPr>
      <w:ind w:left="420"/>
      <w:spacing w:after="120"/>
    </w:pPr>
  </w:style>
  <w:style w:type="paragraph" w:styleId="1121" w:customStyle="1">
    <w:name w:val="寄信人地址1"/>
    <w:basedOn w:val="1106"/>
    <w:uiPriority w:val="0"/>
    <w:qFormat/>
    <w:rPr>
      <w:rFonts w:ascii="Arial" w:hAnsi="Arial"/>
    </w:rPr>
  </w:style>
  <w:style w:type="paragraph" w:styleId="1122" w:customStyle="1">
    <w:name w:val="正文缩进1"/>
    <w:basedOn w:val="1106"/>
    <w:next w:val="1106"/>
    <w:uiPriority w:val="0"/>
    <w:qFormat/>
    <w:pPr>
      <w:ind w:firstLine="420"/>
    </w:pPr>
  </w:style>
  <w:style w:type="paragraph" w:styleId="1123" w:customStyle="1">
    <w:name w:val="目录 11"/>
    <w:basedOn w:val="1101"/>
    <w:next w:val="1098"/>
    <w:uiPriority w:val="0"/>
    <w:qFormat/>
  </w:style>
  <w:style w:type="paragraph" w:styleId="1124" w:customStyle="1">
    <w:name w:val="正文文本111"/>
    <w:basedOn w:val="1101"/>
    <w:next w:val="1101"/>
    <w:uiPriority w:val="0"/>
    <w:qFormat/>
  </w:style>
  <w:style w:type="paragraph" w:styleId="1125" w:customStyle="1">
    <w:name w:val="文本块11"/>
    <w:basedOn w:val="1101"/>
    <w:uiPriority w:val="0"/>
    <w:qFormat/>
    <w:pPr>
      <w:ind w:left="420" w:right="33"/>
      <w:jc w:val="left"/>
    </w:pPr>
    <w:rPr>
      <w:sz w:val="24"/>
      <w:szCs w:val="20"/>
    </w:rPr>
  </w:style>
  <w:style w:type="paragraph" w:styleId="1126" w:customStyle="1">
    <w:name w:val="文本块1"/>
    <w:basedOn w:val="1099"/>
    <w:next w:val="1127"/>
    <w:uiPriority w:val="0"/>
    <w:qFormat/>
    <w:pPr>
      <w:ind w:left="567" w:right="454" w:firstLine="498"/>
      <w:jc w:val="left"/>
      <w:widowControl/>
    </w:pPr>
    <w:rPr>
      <w:rFonts w:ascii="仿宋_GB2312" w:eastAsia="仿宋_GB2312"/>
      <w:sz w:val="30"/>
      <w:szCs w:val="20"/>
    </w:rPr>
  </w:style>
  <w:style w:type="paragraph" w:styleId="1127" w:customStyle="1">
    <w:name w:val="标题 41"/>
    <w:basedOn w:val="1101"/>
    <w:next w:val="1101"/>
    <w:uiPriority w:val="0"/>
    <w:qFormat/>
    <w:pPr>
      <w:keepLines/>
      <w:keepNext/>
      <w:spacing w:before="280" w:after="290" w:line="372" w:lineRule="auto"/>
      <w:outlineLvl w:val="3"/>
    </w:pPr>
    <w:rPr>
      <w:rFonts w:ascii="Cambria" w:hAnsi="Cambria" w:eastAsia="宋体"/>
      <w:b/>
      <w:bCs/>
      <w:sz w:val="28"/>
      <w:szCs w:val="28"/>
    </w:rPr>
  </w:style>
  <w:style w:type="paragraph" w:styleId="1128" w:customStyle="1">
    <w:name w:val="首行缩进"/>
    <w:basedOn w:val="1098"/>
    <w:uiPriority w:val="0"/>
    <w:qFormat/>
    <w:pPr>
      <w:ind w:left="0" w:firstLine="200"/>
      <w:jc w:val="both"/>
      <w:widowControl w:val="off"/>
    </w:pPr>
    <w:rPr>
      <w:rFonts w:ascii="Times New Roman" w:cs="Times New Roman"/>
      <w:sz w:val="20"/>
    </w:rPr>
  </w:style>
  <w:style w:type="paragraph" w:styleId="1129" w:customStyle="1">
    <w:name w:val="无间隔11"/>
    <w:uiPriority w:val="0"/>
    <w:qFormat/>
    <w:rPr>
      <w:rFonts w:hint="default" w:ascii="Times New Roman" w:hAnsi="Times New Roman" w:eastAsia="宋体" w:cs="Times New Roman"/>
      <w:sz w:val="22"/>
      <w:szCs w:val="22"/>
      <w:lang w:val="en-US" w:eastAsia="en-US" w:bidi="ar-SA"/>
    </w:rPr>
  </w:style>
  <w:style w:type="paragraph" w:styleId="1130" w:customStyle="1">
    <w:name w:val="标题1"/>
    <w:basedOn w:val="1041"/>
    <w:next w:val="1131"/>
    <w:uiPriority w:val="10"/>
    <w:qFormat/>
    <w:pPr>
      <w:contextualSpacing/>
      <w:spacing w:before="300"/>
    </w:pPr>
    <w:rPr>
      <w:sz w:val="48"/>
      <w:szCs w:val="48"/>
    </w:rPr>
  </w:style>
  <w:style w:type="paragraph" w:styleId="1131" w:customStyle="1">
    <w:name w:val="纯文本1"/>
    <w:basedOn w:val="1101"/>
    <w:link w:val="1285"/>
    <w:uiPriority w:val="0"/>
    <w:qFormat/>
    <w:rPr>
      <w:rFonts w:ascii="宋体" w:hAnsi="Courier New"/>
      <w:sz w:val="21"/>
      <w:szCs w:val="21"/>
    </w:rPr>
  </w:style>
  <w:style w:type="character" w:styleId="1132" w:customStyle="1">
    <w:name w:val="Heading 1 Char"/>
    <w:link w:val="1042"/>
    <w:uiPriority w:val="9"/>
    <w:qFormat/>
    <w:rPr>
      <w:rFonts w:ascii="Arial" w:hAnsi="Arial" w:eastAsia="Arial" w:cs="Arial"/>
      <w:sz w:val="40"/>
      <w:szCs w:val="40"/>
    </w:rPr>
  </w:style>
  <w:style w:type="character" w:styleId="1133" w:customStyle="1">
    <w:name w:val="Heading 2 Char"/>
    <w:link w:val="1043"/>
    <w:uiPriority w:val="9"/>
    <w:qFormat/>
    <w:rPr>
      <w:rFonts w:ascii="Arial" w:hAnsi="Arial" w:eastAsia="Arial" w:cs="Arial"/>
      <w:sz w:val="34"/>
    </w:rPr>
  </w:style>
  <w:style w:type="character" w:styleId="1134" w:customStyle="1">
    <w:name w:val="Heading 3 Char"/>
    <w:link w:val="1044"/>
    <w:uiPriority w:val="9"/>
    <w:qFormat/>
    <w:rPr>
      <w:rFonts w:ascii="Arial" w:hAnsi="Arial" w:eastAsia="Arial" w:cs="Arial"/>
      <w:sz w:val="30"/>
      <w:szCs w:val="30"/>
    </w:rPr>
  </w:style>
  <w:style w:type="character" w:styleId="1135" w:customStyle="1">
    <w:name w:val="Heading 4 Char"/>
    <w:link w:val="1045"/>
    <w:uiPriority w:val="9"/>
    <w:qFormat/>
    <w:rPr>
      <w:rFonts w:ascii="Arial" w:hAnsi="Arial" w:eastAsia="Arial" w:cs="Arial"/>
      <w:b/>
      <w:bCs/>
      <w:sz w:val="26"/>
      <w:szCs w:val="26"/>
    </w:rPr>
  </w:style>
  <w:style w:type="character" w:styleId="1136" w:customStyle="1">
    <w:name w:val="Heading 5 Char"/>
    <w:link w:val="1046"/>
    <w:uiPriority w:val="9"/>
    <w:qFormat/>
    <w:rPr>
      <w:rFonts w:ascii="Arial" w:hAnsi="Arial" w:eastAsia="Arial" w:cs="Arial"/>
      <w:b/>
      <w:bCs/>
      <w:sz w:val="24"/>
      <w:szCs w:val="24"/>
    </w:rPr>
  </w:style>
  <w:style w:type="character" w:styleId="1137" w:customStyle="1">
    <w:name w:val="Heading 6 Char"/>
    <w:link w:val="1047"/>
    <w:uiPriority w:val="9"/>
    <w:qFormat/>
    <w:rPr>
      <w:rFonts w:ascii="Arial" w:hAnsi="Arial" w:eastAsia="Arial" w:cs="Arial"/>
      <w:b/>
      <w:bCs/>
      <w:sz w:val="22"/>
      <w:szCs w:val="22"/>
    </w:rPr>
  </w:style>
  <w:style w:type="character" w:styleId="1138" w:customStyle="1">
    <w:name w:val="Heading 7 Char"/>
    <w:link w:val="1048"/>
    <w:uiPriority w:val="9"/>
    <w:qFormat/>
    <w:rPr>
      <w:rFonts w:ascii="Arial" w:hAnsi="Arial" w:eastAsia="Arial" w:cs="Arial"/>
      <w:b/>
      <w:bCs/>
      <w:i/>
      <w:iCs/>
      <w:sz w:val="22"/>
      <w:szCs w:val="22"/>
    </w:rPr>
  </w:style>
  <w:style w:type="character" w:styleId="1139" w:customStyle="1">
    <w:name w:val="Heading 8 Char"/>
    <w:link w:val="1049"/>
    <w:uiPriority w:val="9"/>
    <w:qFormat/>
    <w:rPr>
      <w:rFonts w:ascii="Arial" w:hAnsi="Arial" w:eastAsia="Arial" w:cs="Arial"/>
      <w:i/>
      <w:iCs/>
      <w:sz w:val="22"/>
      <w:szCs w:val="22"/>
    </w:rPr>
  </w:style>
  <w:style w:type="character" w:styleId="1140" w:customStyle="1">
    <w:name w:val="Heading 9 Char"/>
    <w:link w:val="1050"/>
    <w:uiPriority w:val="9"/>
    <w:qFormat/>
    <w:rPr>
      <w:rFonts w:ascii="Arial" w:hAnsi="Arial" w:eastAsia="Arial" w:cs="Arial"/>
      <w:i/>
      <w:iCs/>
      <w:sz w:val="21"/>
      <w:szCs w:val="21"/>
    </w:rPr>
  </w:style>
  <w:style w:type="paragraph" w:styleId="1141">
    <w:name w:val="List Paragraph"/>
    <w:basedOn w:val="1041"/>
    <w:uiPriority w:val="34"/>
    <w:qFormat/>
    <w:pPr>
      <w:contextualSpacing/>
      <w:ind w:left="720"/>
    </w:pPr>
    <w:rPr>
      <w:rFonts w:hint="default" w:ascii="Times New Roman" w:hAnsi="Times New Roman" w:eastAsia="宋体" w:cs="Times New Roman"/>
    </w:rPr>
  </w:style>
  <w:style w:type="paragraph" w:styleId="1142">
    <w:name w:val="No Spacing"/>
    <w:uiPriority w:val="1"/>
    <w:qFormat/>
    <w:pPr>
      <w:spacing w:before="0" w:after="0" w:line="240" w:lineRule="auto"/>
    </w:pPr>
    <w:rPr>
      <w:rFonts w:hint="default" w:ascii="Times New Roman" w:hAnsi="Times New Roman" w:eastAsia="宋体" w:cs="Times New Roman"/>
    </w:rPr>
  </w:style>
  <w:style w:type="character" w:styleId="1143" w:customStyle="1">
    <w:name w:val="Title Char"/>
    <w:link w:val="1081"/>
    <w:uiPriority w:val="10"/>
    <w:qFormat/>
    <w:rPr>
      <w:sz w:val="48"/>
      <w:szCs w:val="48"/>
    </w:rPr>
  </w:style>
  <w:style w:type="character" w:styleId="1144" w:customStyle="1">
    <w:name w:val="Subtitle Char"/>
    <w:link w:val="1074"/>
    <w:uiPriority w:val="11"/>
    <w:qFormat/>
    <w:rPr>
      <w:sz w:val="24"/>
      <w:szCs w:val="24"/>
    </w:rPr>
  </w:style>
  <w:style w:type="paragraph" w:styleId="1145">
    <w:name w:val="Quote"/>
    <w:link w:val="1146"/>
    <w:uiPriority w:val="29"/>
    <w:qFormat/>
    <w:pPr>
      <w:ind w:left="720" w:right="720"/>
    </w:pPr>
    <w:rPr>
      <w:rFonts w:hint="default" w:ascii="Times New Roman" w:hAnsi="Times New Roman" w:eastAsia="宋体" w:cs="Times New Roman"/>
      <w:i/>
    </w:rPr>
  </w:style>
  <w:style w:type="character" w:styleId="1146" w:customStyle="1">
    <w:name w:val="Quote Char"/>
    <w:link w:val="1145"/>
    <w:uiPriority w:val="29"/>
    <w:qFormat/>
    <w:rPr>
      <w:i/>
    </w:rPr>
  </w:style>
  <w:style w:type="paragraph" w:styleId="1147">
    <w:name w:val="Intense Quote"/>
    <w:link w:val="11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1148" w:customStyle="1">
    <w:name w:val="Intense Quote Char"/>
    <w:link w:val="1147"/>
    <w:uiPriority w:val="30"/>
    <w:qFormat/>
    <w:rPr>
      <w:i/>
    </w:rPr>
  </w:style>
  <w:style w:type="character" w:styleId="1149" w:customStyle="1">
    <w:name w:val="Header Char"/>
    <w:link w:val="1071"/>
    <w:uiPriority w:val="99"/>
    <w:qFormat/>
  </w:style>
  <w:style w:type="character" w:styleId="1150" w:customStyle="1">
    <w:name w:val="Footer Char"/>
    <w:link w:val="1069"/>
    <w:uiPriority w:val="99"/>
    <w:qFormat/>
  </w:style>
  <w:style w:type="character" w:styleId="1151" w:customStyle="1">
    <w:name w:val="Caption Char"/>
    <w:link w:val="1069"/>
    <w:uiPriority w:val="99"/>
    <w:qFormat/>
  </w:style>
  <w:style w:type="table" w:styleId="11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11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49"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0"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51"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52"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53"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54"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55"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77" w:customStyle="1">
    <w:name w:val="Footnote Text Char"/>
    <w:link w:val="1075"/>
    <w:uiPriority w:val="99"/>
    <w:qFormat/>
    <w:rPr>
      <w:sz w:val="18"/>
    </w:rPr>
  </w:style>
  <w:style w:type="character" w:styleId="1278" w:customStyle="1">
    <w:name w:val="Endnote Text Char"/>
    <w:link w:val="1068"/>
    <w:uiPriority w:val="99"/>
    <w:qFormat/>
    <w:rPr>
      <w:sz w:val="20"/>
    </w:rPr>
  </w:style>
  <w:style w:type="paragraph" w:styleId="1279" w:customStyle="1">
    <w:name w:val="TOC Heading"/>
    <w:uiPriority w:val="39"/>
    <w:unhideWhenUsed/>
    <w:qFormat/>
    <w:rPr>
      <w:rFonts w:hint="default" w:ascii="Times New Roman" w:hAnsi="Times New Roman" w:eastAsia="宋体" w:cs="Times New Roman"/>
    </w:rPr>
  </w:style>
  <w:style w:type="paragraph" w:styleId="1280" w:customStyle="1">
    <w:name w:val="标题 11"/>
    <w:basedOn w:val="1106"/>
    <w:next w:val="1106"/>
    <w:uiPriority w:val="0"/>
    <w:qFormat/>
    <w:pPr>
      <w:jc w:val="center"/>
      <w:keepLines/>
      <w:keepNext/>
      <w:spacing w:before="340" w:after="330" w:line="578" w:lineRule="auto"/>
      <w:outlineLvl w:val="0"/>
    </w:pPr>
    <w:rPr>
      <w:b/>
      <w:bCs/>
      <w:sz w:val="44"/>
      <w:szCs w:val="44"/>
    </w:rPr>
  </w:style>
  <w:style w:type="paragraph" w:styleId="1281" w:customStyle="1">
    <w:name w:val="标题 31"/>
    <w:basedOn w:val="1106"/>
    <w:next w:val="1041"/>
    <w:uiPriority w:val="0"/>
    <w:qFormat/>
    <w:pPr>
      <w:keepLines/>
      <w:keepNext/>
      <w:spacing w:before="260" w:after="260" w:line="416" w:lineRule="auto"/>
      <w:outlineLvl w:val="2"/>
    </w:pPr>
    <w:rPr>
      <w:b/>
      <w:bCs/>
      <w:sz w:val="32"/>
      <w:szCs w:val="32"/>
    </w:rPr>
  </w:style>
  <w:style w:type="character" w:styleId="1282" w:customStyle="1">
    <w:name w:val="默认段落字体1"/>
    <w:link w:val="1106"/>
    <w:uiPriority w:val="0"/>
    <w:semiHidden/>
    <w:qFormat/>
  </w:style>
  <w:style w:type="table" w:styleId="1283" w:customStyle="1">
    <w:name w:val="普通表格1"/>
    <w:uiPriority w:val="0"/>
    <w:semiHidden/>
    <w:qFormat/>
    <w:tblPr/>
  </w:style>
  <w:style w:type="character" w:styleId="1284" w:customStyle="1">
    <w:name w:val="页码1"/>
    <w:basedOn w:val="1282"/>
    <w:link w:val="1106"/>
    <w:uiPriority w:val="0"/>
    <w:qFormat/>
  </w:style>
  <w:style w:type="character" w:styleId="1285" w:customStyle="1">
    <w:name w:val="纯文本 Char"/>
    <w:link w:val="1131"/>
    <w:uiPriority w:val="0"/>
    <w:qFormat/>
    <w:rPr>
      <w:rFonts w:ascii="宋体" w:hAnsi="Courier New" w:eastAsia="宋体"/>
      <w:sz w:val="21"/>
      <w:szCs w:val="21"/>
      <w:lang w:bidi="ar-SA"/>
    </w:rPr>
  </w:style>
  <w:style w:type="character" w:styleId="1286" w:customStyle="1">
    <w:name w:val="批注文字 Char"/>
    <w:link w:val="1287"/>
    <w:uiPriority w:val="0"/>
    <w:qFormat/>
    <w:rPr>
      <w:sz w:val="21"/>
      <w:szCs w:val="24"/>
    </w:rPr>
  </w:style>
  <w:style w:type="paragraph" w:styleId="1287" w:customStyle="1">
    <w:name w:val="批注文字1"/>
    <w:basedOn w:val="1106"/>
    <w:link w:val="1286"/>
    <w:uiPriority w:val="0"/>
    <w:qFormat/>
    <w:pPr>
      <w:jc w:val="left"/>
    </w:pPr>
  </w:style>
  <w:style w:type="character" w:styleId="1288" w:customStyle="1">
    <w:name w:val="超链接1"/>
    <w:link w:val="1098"/>
    <w:uiPriority w:val="0"/>
    <w:qFormat/>
    <w:rPr>
      <w:rFonts w:ascii="Times New Roman" w:hAnsi="Times New Roman" w:eastAsia="宋体"/>
      <w:sz w:val="21"/>
      <w:szCs w:val="24"/>
      <w:lang w:val="en-US" w:eastAsia="zh-CN" w:bidi="ar-SA"/>
    </w:rPr>
  </w:style>
  <w:style w:type="character" w:styleId="1289" w:customStyle="1">
    <w:name w:val="批注引用1"/>
    <w:link w:val="1106"/>
    <w:uiPriority w:val="0"/>
    <w:qFormat/>
    <w:rPr>
      <w:sz w:val="21"/>
      <w:szCs w:val="21"/>
    </w:rPr>
  </w:style>
  <w:style w:type="character" w:styleId="1290" w:customStyle="1">
    <w:name w:val="普通(网站) Char"/>
    <w:basedOn w:val="1282"/>
    <w:link w:val="1291"/>
    <w:uiPriority w:val="0"/>
    <w:qFormat/>
    <w:rPr>
      <w:rFonts w:ascii="宋体" w:hAnsi="宋体"/>
      <w:sz w:val="24"/>
      <w:szCs w:val="24"/>
    </w:rPr>
  </w:style>
  <w:style w:type="paragraph" w:styleId="1291" w:customStyle="1">
    <w:name w:val="普通(网站)1"/>
    <w:basedOn w:val="1106"/>
    <w:link w:val="1290"/>
    <w:uiPriority w:val="0"/>
    <w:qFormat/>
    <w:pPr>
      <w:jc w:val="left"/>
      <w:spacing w:before="100" w:beforeAutospacing="1" w:after="100" w:afterAutospacing="1"/>
      <w:widowControl/>
    </w:pPr>
    <w:rPr>
      <w:rFonts w:ascii="宋体" w:hAnsi="宋体"/>
      <w:sz w:val="24"/>
    </w:rPr>
  </w:style>
  <w:style w:type="character" w:styleId="1292" w:customStyle="1">
    <w:name w:val="标题 2 Char"/>
    <w:link w:val="1105"/>
    <w:uiPriority w:val="0"/>
    <w:qFormat/>
    <w:rPr>
      <w:rFonts w:ascii="Cambria" w:hAnsi="Cambria"/>
      <w:b/>
      <w:bCs/>
      <w:sz w:val="28"/>
      <w:szCs w:val="32"/>
    </w:rPr>
  </w:style>
  <w:style w:type="character" w:styleId="1293" w:customStyle="1">
    <w:name w:val="正文文本缩进 Char"/>
    <w:basedOn w:val="1282"/>
    <w:link w:val="1120"/>
    <w:uiPriority w:val="0"/>
    <w:qFormat/>
    <w:rPr>
      <w:sz w:val="21"/>
      <w:szCs w:val="24"/>
    </w:rPr>
  </w:style>
  <w:style w:type="character" w:styleId="1294" w:customStyle="1">
    <w:name w:val="批注主题 Char"/>
    <w:link w:val="1295"/>
    <w:uiPriority w:val="0"/>
    <w:qFormat/>
    <w:rPr>
      <w:b/>
      <w:bCs/>
      <w:sz w:val="21"/>
      <w:szCs w:val="24"/>
    </w:rPr>
  </w:style>
  <w:style w:type="paragraph" w:styleId="1295" w:customStyle="1">
    <w:name w:val="批注主题1"/>
    <w:basedOn w:val="1287"/>
    <w:next w:val="1287"/>
    <w:link w:val="1294"/>
    <w:uiPriority w:val="0"/>
    <w:qFormat/>
    <w:rPr>
      <w:b/>
      <w:bCs/>
    </w:rPr>
  </w:style>
  <w:style w:type="character" w:styleId="1296" w:customStyle="1">
    <w:name w:val="正文首行缩进 2 Char"/>
    <w:basedOn w:val="1293"/>
    <w:link w:val="1119"/>
    <w:uiPriority w:val="0"/>
    <w:qFormat/>
  </w:style>
  <w:style w:type="character" w:styleId="1297" w:customStyle="1">
    <w:name w:val="批注框文本 Char"/>
    <w:link w:val="1298"/>
    <w:uiPriority w:val="0"/>
    <w:qFormat/>
    <w:rPr>
      <w:sz w:val="18"/>
      <w:szCs w:val="18"/>
    </w:rPr>
  </w:style>
  <w:style w:type="paragraph" w:styleId="1298" w:customStyle="1">
    <w:name w:val="批注框文本1"/>
    <w:basedOn w:val="1106"/>
    <w:link w:val="1297"/>
    <w:uiPriority w:val="0"/>
    <w:qFormat/>
    <w:rPr>
      <w:sz w:val="18"/>
      <w:szCs w:val="18"/>
    </w:rPr>
  </w:style>
  <w:style w:type="paragraph" w:styleId="1299" w:customStyle="1">
    <w:name w:val="页眉1"/>
    <w:basedOn w:val="1106"/>
    <w:uiPriority w:val="0"/>
    <w:qFormat/>
    <w:pPr>
      <w:jc w:val="center"/>
      <w:tabs>
        <w:tab w:val="center" w:pos="4153" w:leader="none"/>
        <w:tab w:val="right" w:pos="8306" w:leader="none"/>
      </w:tabs>
      <w:pBdr>
        <w:bottom w:val="single" w:color="000000" w:sz="6" w:space="1"/>
      </w:pBdr>
    </w:pPr>
    <w:rPr>
      <w:sz w:val="18"/>
      <w:szCs w:val="18"/>
    </w:rPr>
  </w:style>
  <w:style w:type="paragraph" w:styleId="1300" w:customStyle="1">
    <w:name w:val="Default"/>
    <w:uiPriority w:val="0"/>
    <w:qFormat/>
    <w:pPr>
      <w:widowControl w:val="off"/>
    </w:pPr>
    <w:rPr>
      <w:rFonts w:hint="default" w:ascii="宋体" w:hAnsi="宋体" w:eastAsia="宋体" w:cs="Times New Roman"/>
      <w:color w:val="000000"/>
      <w:sz w:val="24"/>
      <w:szCs w:val="22"/>
    </w:rPr>
  </w:style>
  <w:style w:type="paragraph" w:styleId="1301" w:customStyle="1">
    <w:name w:val="Blockquote"/>
    <w:basedOn w:val="1106"/>
    <w:uiPriority w:val="0"/>
    <w:qFormat/>
    <w:pPr>
      <w:ind w:left="764" w:right="567"/>
      <w:jc w:val="left"/>
      <w:spacing w:before="100" w:after="100"/>
    </w:pPr>
    <w:rPr>
      <w:sz w:val="24"/>
    </w:rPr>
  </w:style>
  <w:style w:type="paragraph" w:styleId="1302" w:customStyle="1">
    <w:name w:val="彩色列表 - 强调文字颜色 11"/>
    <w:basedOn w:val="1106"/>
    <w:uiPriority w:val="0"/>
    <w:qFormat/>
    <w:pPr>
      <w:ind w:firstLine="420"/>
    </w:pPr>
    <w:rPr>
      <w:rFonts w:ascii="Calibri" w:hAnsi="Calibri"/>
      <w:sz w:val="22"/>
      <w:szCs w:val="22"/>
    </w:rPr>
  </w:style>
  <w:style w:type="paragraph" w:styleId="1303" w:customStyle="1">
    <w:name w:val="Char"/>
    <w:basedOn w:val="1106"/>
    <w:uiPriority w:val="0"/>
    <w:qFormat/>
    <w:pPr>
      <w:tabs>
        <w:tab w:val="left" w:pos="360" w:leader="none"/>
      </w:tabs>
    </w:pPr>
    <w:rPr>
      <w:sz w:val="24"/>
    </w:rPr>
  </w:style>
  <w:style w:type="paragraph" w:styleId="1304"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305" w:customStyle="1">
    <w:name w:val="表格3"/>
    <w:basedOn w:val="1106"/>
    <w:uiPriority w:val="0"/>
    <w:qFormat/>
    <w:pPr>
      <w:jc w:val="center"/>
    </w:pPr>
  </w:style>
  <w:style w:type="paragraph" w:styleId="1306" w:customStyle="1">
    <w:name w:val="页脚1"/>
    <w:basedOn w:val="1106"/>
    <w:uiPriority w:val="0"/>
    <w:qFormat/>
    <w:pPr>
      <w:jc w:val="left"/>
      <w:tabs>
        <w:tab w:val="center" w:pos="4153" w:leader="none"/>
        <w:tab w:val="right" w:pos="8306" w:leader="none"/>
      </w:tabs>
    </w:pPr>
    <w:rPr>
      <w:sz w:val="18"/>
      <w:szCs w:val="18"/>
    </w:rPr>
  </w:style>
  <w:style w:type="paragraph" w:styleId="130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08" w:customStyle="1">
    <w:name w:val="_Style 2"/>
    <w:basedOn w:val="1280"/>
    <w:next w:val="1106"/>
    <w:uiPriority w:val="0"/>
    <w:qFormat/>
    <w:pPr>
      <w:jc w:val="both"/>
      <w:keepLines/>
      <w:spacing w:before="340" w:after="330" w:line="576" w:lineRule="auto"/>
      <w:outlineLvl w:val="9"/>
    </w:pPr>
    <w:rPr>
      <w:rFonts w:ascii="Times New Roman" w:hAnsi="Times New Roman"/>
      <w:sz w:val="44"/>
      <w:szCs w:val="44"/>
    </w:rPr>
  </w:style>
  <w:style w:type="paragraph" w:styleId="1309" w:customStyle="1">
    <w:name w:val="p0"/>
    <w:basedOn w:val="1106"/>
    <w:uiPriority w:val="0"/>
    <w:qFormat/>
    <w:pPr>
      <w:widowControl/>
    </w:pPr>
    <w:rPr>
      <w:sz w:val="21"/>
      <w:szCs w:val="21"/>
    </w:rPr>
  </w:style>
  <w:style w:type="paragraph" w:styleId="1310" w:customStyle="1">
    <w:name w:val="列出段落"/>
    <w:basedOn w:val="1106"/>
    <w:uiPriority w:val="0"/>
    <w:qFormat/>
    <w:pPr>
      <w:ind w:firstLine="420"/>
    </w:pPr>
    <w:rPr>
      <w:rFonts w:ascii="Calibri" w:hAnsi="Calibri"/>
    </w:rPr>
  </w:style>
  <w:style w:type="paragraph" w:styleId="1311" w:customStyle="1">
    <w:name w:val="默认段落字体 Para Char Char Char Char Char Char Char"/>
    <w:basedOn w:val="1106"/>
    <w:uiPriority w:val="0"/>
    <w:qFormat/>
    <w:rPr>
      <w:rFonts w:ascii="Tahoma" w:hAnsi="Tahoma"/>
      <w:sz w:val="24"/>
      <w:szCs w:val="20"/>
    </w:rPr>
  </w:style>
  <w:style w:type="table" w:styleId="1312" w:customStyle="1">
    <w:name w:val="网格型1"/>
    <w:basedOn w:val="1283"/>
    <w:uiPriority w:val="0"/>
    <w:qFormat/>
    <w:tblPr/>
  </w:style>
  <w:style w:type="table" w:styleId="1313" w:customStyle="1">
    <w:name w:val="Table Normal"/>
    <w:uiPriority w:val="0"/>
    <w:semiHidden/>
    <w:unhideWhenUsed/>
    <w:qFormat/>
    <w:tblPr>
      <w:tblLayout w:type="fixed"/>
      <w:tblCellMar>
        <w:left w:w="0" w:type="dxa"/>
        <w:top w:w="0" w:type="dxa"/>
        <w:right w:w="0" w:type="dxa"/>
        <w:bottom w:w="0" w:type="dxa"/>
      </w:tblCellMar>
    </w:tblPr>
  </w:style>
  <w:style w:type="paragraph" w:styleId="1314" w:customStyle="1">
    <w:name w:val="彩色列表 - 着色 11"/>
    <w:basedOn w:val="1041"/>
    <w:uiPriority w:val="0"/>
    <w:qFormat/>
    <w:pPr>
      <w:ind w:firstLine="420"/>
    </w:pPr>
    <w:rPr>
      <w:sz w:val="20"/>
    </w:rPr>
  </w:style>
  <w:style w:type="character" w:styleId="1315" w:customStyle="1">
    <w:name w:val="NormalCharacter"/>
    <w:link w:val="1106"/>
    <w:uiPriority w:val="0"/>
    <w:semiHidden/>
    <w:qFormat/>
    <w:rPr>
      <w:rFonts w:hint="default" w:ascii="Times New Roman" w:hAnsi="Times New Roman" w:eastAsia="宋体" w:cs="Times New Roman"/>
      <w:lang w:val="en-US" w:eastAsia="zh-CN" w:bidi="ar-SA"/>
    </w:rPr>
  </w:style>
  <w:style w:type="paragraph" w:styleId="1316" w:customStyle="1">
    <w:name w:val="Table Paragraph"/>
    <w:basedOn w:val="1041"/>
    <w:uiPriority w:val="99"/>
    <w:qFormat/>
  </w:style>
  <w:style w:type="paragraph" w:styleId="1317" w:customStyle="1">
    <w:name w:val="文本块111"/>
    <w:basedOn w:val="1114"/>
    <w:uiPriority w:val="0"/>
    <w:qFormat/>
    <w:pPr>
      <w:ind w:left="1440" w:right="1440"/>
      <w:spacing w:after="120"/>
    </w:pPr>
  </w:style>
  <w:style w:type="character" w:styleId="1318" w:customStyle="1">
    <w:name w:val="hover"/>
    <w:basedOn w:val="1051"/>
    <w:uiPriority w:val="0"/>
    <w:qFormat/>
    <w:rPr>
      <w:color w:val="5fb878"/>
    </w:rPr>
  </w:style>
  <w:style w:type="character" w:styleId="1319" w:customStyle="1">
    <w:name w:val="hover1"/>
    <w:basedOn w:val="1051"/>
    <w:uiPriority w:val="0"/>
    <w:qFormat/>
    <w:rPr>
      <w:color w:val="5fb878"/>
    </w:rPr>
  </w:style>
  <w:style w:type="character" w:styleId="1320" w:customStyle="1">
    <w:name w:val="hover2"/>
    <w:basedOn w:val="1051"/>
    <w:uiPriority w:val="0"/>
    <w:qFormat/>
    <w:rPr>
      <w:color w:val="ffffff"/>
    </w:rPr>
  </w:style>
  <w:style w:type="paragraph" w:styleId="1321" w:customStyle="1">
    <w:name w:val="正文首行缩进 22"/>
    <w:basedOn w:val="1322"/>
    <w:next w:val="1110"/>
    <w:uiPriority w:val="0"/>
    <w:qFormat/>
    <w:pPr>
      <w:ind w:left="0" w:firstLine="420"/>
      <w:spacing w:after="0" w:line="360" w:lineRule="auto"/>
    </w:pPr>
    <w:rPr>
      <w:rFonts w:ascii="宋体" w:hAnsi="宋体"/>
      <w:sz w:val="20"/>
      <w:szCs w:val="20"/>
    </w:rPr>
  </w:style>
  <w:style w:type="paragraph" w:styleId="1322" w:customStyle="1">
    <w:name w:val="正文文本缩进2"/>
    <w:basedOn w:val="1041"/>
    <w:next w:val="1323"/>
    <w:uiPriority w:val="0"/>
    <w:qFormat/>
    <w:pPr>
      <w:ind w:left="420"/>
      <w:spacing w:after="120"/>
    </w:pPr>
  </w:style>
  <w:style w:type="paragraph" w:styleId="1323" w:customStyle="1">
    <w:name w:val="寄信人地址2"/>
    <w:basedOn w:val="1041"/>
    <w:uiPriority w:val="0"/>
    <w:qFormat/>
    <w:rPr>
      <w:rFonts w:ascii="Arial" w:hAnsi="Arial"/>
    </w:rPr>
  </w:style>
  <w:style w:type="paragraph" w:styleId="1324" w:customStyle="1">
    <w:name w:val="正文文本缩进 21"/>
    <w:basedOn w:val="1041"/>
    <w:uiPriority w:val="99"/>
    <w:qFormat/>
    <w:pPr>
      <w:ind w:left="630" w:firstLine="645"/>
    </w:pPr>
    <w:rPr>
      <w:rFonts w:ascii="Arial" w:hAnsi="Arial" w:eastAsia="仿宋_GB2312" w:cs="Arial"/>
      <w:sz w:val="32"/>
      <w:szCs w:val="32"/>
    </w:rPr>
  </w:style>
  <w:style w:type="paragraph" w:styleId="1325" w:customStyle="1">
    <w:name w:val="BodyText1"/>
    <w:basedOn w:val="1114"/>
    <w:uiPriority w:val="0"/>
    <w:qFormat/>
    <w:pPr>
      <w:spacing w:line="380" w:lineRule="exact"/>
    </w:pPr>
  </w:style>
  <w:style w:type="paragraph" w:styleId="1326" w:customStyle="1">
    <w:name w:val="TOC 标题2"/>
    <w:basedOn w:val="1280"/>
    <w:next w:val="1041"/>
    <w:uiPriority w:val="0"/>
    <w:unhideWhenUsed/>
    <w:qFormat/>
    <w:pPr>
      <w:jc w:val="center"/>
      <w:spacing w:before="260" w:after="260" w:line="413" w:lineRule="auto"/>
    </w:pPr>
    <w:rPr>
      <w:rFonts w:hint="eastAsia" w:ascii="宋体" w:hAnsi="宋体"/>
      <w:sz w:val="36"/>
      <w:lang w:val="zh-CN"/>
    </w:rPr>
  </w:style>
  <w:style w:type="paragraph" w:styleId="1327" w:customStyle="1">
    <w:name w:val="正文_0_0"/>
    <w:uiPriority w:val="99"/>
    <w:unhideWhenUsed/>
    <w:qFormat/>
    <w:rPr>
      <w:rFonts w:hint="default" w:ascii="Calibri" w:hAnsi="Calibri" w:eastAsia="宋体" w:cs="Times New Roman"/>
      <w:sz w:val="21"/>
      <w:lang w:val="en-US" w:eastAsia="zh-CN" w:bidi="ar-SA"/>
    </w:rPr>
  </w:style>
  <w:style w:type="paragraph" w:styleId="1328" w:customStyle="1">
    <w:name w:val="页眉11"/>
    <w:basedOn w:val="104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329" w:customStyle="1">
    <w:name w:val="页脚11"/>
    <w:basedOn w:val="1041"/>
    <w:uiPriority w:val="99"/>
    <w:unhideWhenUsed/>
    <w:qFormat/>
    <w:pPr>
      <w:tabs>
        <w:tab w:val="center" w:pos="7143" w:leader="none"/>
        <w:tab w:val="right" w:pos="14287" w:leader="none"/>
      </w:tabs>
    </w:pPr>
  </w:style>
  <w:style w:type="paragraph" w:styleId="1330" w:customStyle="1">
    <w:name w:val="附件标题"/>
    <w:basedOn w:val="1043"/>
    <w:next w:val="1041"/>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numbering" w:styleId="13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customXml" Target="../customXml/item1.xml" /><Relationship Id="rId29" Type="http://schemas.openxmlformats.org/officeDocument/2006/relationships/customXml" Target="../customXml/item2.xml" /><Relationship Id="rId3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dc:creator>
  <cp:lastModifiedBy>陈猛</cp:lastModifiedBy>
  <cp:revision>12</cp:revision>
  <dcterms:created xsi:type="dcterms:W3CDTF">2022-06-02T02:56:00Z</dcterms:created>
  <dcterms:modified xsi:type="dcterms:W3CDTF">2026-10-20T02:09:04Z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E43A43DB56D543C79382BC4FAAF6E045_13</vt:lpwstr>
  </property>
</Properties>
</file>