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9547"/>
      <w:r/>
      <w:bookmarkStart w:id="1" w:name="_Toc26972"/>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821"/>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827"/>
        <w:rPr>
          <w:rFonts w:hint="eastAsia" w:ascii="仿宋" w:hAnsi="仿宋" w:eastAsia="仿宋" w:cs="仿宋"/>
          <w:highlight w:val="none"/>
        </w:rPr>
      </w:pPr>
      <w:r>
        <w:rPr>
          <w:rFonts w:hint="eastAsia" w:ascii="仿宋" w:hAnsi="仿宋" w:eastAsia="仿宋" w:cs="仿宋"/>
          <w:highlight w:val="none"/>
        </w:rPr>
      </w:r>
      <w:r/>
    </w:p>
    <w:p>
      <w:pPr>
        <w:pStyle w:val="821"/>
        <w:rPr>
          <w:rFonts w:hint="eastAsia" w:ascii="仿宋" w:hAnsi="仿宋" w:eastAsia="仿宋" w:cs="仿宋"/>
          <w:highlight w:val="none"/>
        </w:rPr>
      </w:pPr>
      <w:r>
        <w:rPr>
          <w:rFonts w:hint="eastAsia" w:ascii="仿宋" w:hAnsi="仿宋" w:eastAsia="仿宋" w:cs="仿宋"/>
          <w:highlight w:val="none"/>
        </w:rPr>
      </w:r>
      <w:r/>
    </w:p>
    <w:p>
      <w:pPr>
        <w:pStyle w:val="827"/>
        <w:rPr>
          <w:rFonts w:hint="eastAsia" w:ascii="仿宋" w:hAnsi="仿宋" w:eastAsia="仿宋" w:cs="仿宋"/>
          <w:highlight w:val="none"/>
        </w:rPr>
      </w:pPr>
      <w:r>
        <w:rPr>
          <w:rFonts w:hint="eastAsia" w:ascii="仿宋" w:hAnsi="仿宋" w:eastAsia="仿宋" w:cs="仿宋"/>
          <w:highlight w:val="none"/>
        </w:rPr>
      </w:r>
      <w:r/>
    </w:p>
    <w:p>
      <w:pPr>
        <w:pStyle w:val="830"/>
        <w:rPr>
          <w:rFonts w:hint="eastAsia"/>
          <w:highlight w:val="none"/>
        </w:rPr>
      </w:pPr>
      <w:r>
        <w:rPr>
          <w:rFonts w:hint="eastAsia"/>
          <w:highlight w:val="none"/>
        </w:rPr>
      </w:r>
      <w:r/>
    </w:p>
    <w:p>
      <w:pPr>
        <w:pStyle w:val="827"/>
        <w:rPr>
          <w:rFonts w:hint="eastAsia" w:ascii="仿宋" w:hAnsi="仿宋" w:eastAsia="仿宋" w:cs="仿宋"/>
          <w:highlight w:val="none"/>
        </w:rPr>
      </w:pPr>
      <w:r>
        <w:rPr>
          <w:rFonts w:hint="eastAsia" w:ascii="仿宋" w:hAnsi="仿宋" w:eastAsia="仿宋" w:cs="仿宋"/>
          <w:highlight w:val="none"/>
        </w:rPr>
      </w:r>
      <w:r/>
    </w:p>
    <w:p>
      <w:pPr>
        <w:pStyle w:val="812"/>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ind w:firstLine="560"/>
        <w:jc w:val="left"/>
        <w:spacing w:line="480" w:lineRule="auto"/>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项目编号</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JSZC-320381050-XZRX-C2026-0001</w:t>
      </w:r>
      <w:r/>
    </w:p>
    <w:p>
      <w:pPr>
        <w:ind w:firstLine="560"/>
        <w:spacing w:line="480" w:lineRule="auto"/>
        <w:tabs>
          <w:tab w:val="left" w:pos="2127" w:leader="none"/>
        </w:tabs>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项目名称：</w:t>
      </w:r>
      <w:r>
        <w:rPr>
          <w:rFonts w:hint="eastAsia" w:ascii="仿宋" w:hAnsi="仿宋" w:eastAsia="仿宋" w:cs="Times New Roman"/>
          <w:sz w:val="28"/>
          <w:szCs w:val="28"/>
          <w:highlight w:val="none"/>
          <w:lang w:val="en-US" w:eastAsia="zh-CN"/>
        </w:rPr>
        <w:t xml:space="preserve">经开区食堂一体化外包服务项目</w:t>
      </w:r>
      <w:r/>
    </w:p>
    <w:p>
      <w:pPr>
        <w:ind w:firstLine="560"/>
        <w:spacing w:line="480" w:lineRule="auto"/>
        <w:tabs>
          <w:tab w:val="left" w:pos="2127" w:leader="none"/>
        </w:tabs>
        <w:rPr>
          <w:highlight w:val="none"/>
        </w:rPr>
      </w:pPr>
      <w:r>
        <w:rPr>
          <w:rFonts w:hint="eastAsia" w:ascii="仿宋" w:hAnsi="仿宋" w:eastAsia="仿宋" w:cs="Times New Roman"/>
          <w:sz w:val="28"/>
          <w:szCs w:val="28"/>
          <w:highlight w:val="none"/>
          <w:lang w:val="en-US" w:eastAsia="zh-CN"/>
        </w:rPr>
        <w:t xml:space="preserve">采购单位：江苏新沂经济开发区管理委员会</w:t>
      </w:r>
      <w:r/>
    </w:p>
    <w:p>
      <w:pPr>
        <w:ind w:firstLine="560"/>
        <w:spacing w:line="480" w:lineRule="auto"/>
        <w:tabs>
          <w:tab w:val="left" w:pos="2127" w:leader="none"/>
        </w:tabs>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代理机构：</w:t>
      </w:r>
      <w:r>
        <w:rPr>
          <w:rFonts w:hint="eastAsia" w:ascii="仿宋" w:hAnsi="仿宋" w:eastAsia="仿宋" w:cs="Times New Roman"/>
          <w:sz w:val="28"/>
          <w:szCs w:val="28"/>
          <w:highlight w:val="none"/>
          <w:lang w:val="en-US" w:eastAsia="zh-CN"/>
        </w:rPr>
        <w:t xml:space="preserve">徐州荣新建设项目管理有限公司</w:t>
      </w:r>
      <w:r/>
    </w:p>
    <w:p>
      <w:pPr>
        <w:pStyle w:val="812"/>
        <w:ind w:firstLine="301"/>
        <w:jc w:val="center"/>
        <w:pageBreakBefore w:val="0"/>
        <w:spacing w:line="360" w:lineRule="auto"/>
        <w:rPr>
          <w:rFonts w:hint="eastAsia" w:ascii="仿宋" w:hAnsi="仿宋" w:eastAsia="仿宋"/>
          <w:sz w:val="28"/>
          <w:szCs w:val="28"/>
          <w:highlight w:val="none"/>
        </w:rPr>
      </w:pPr>
      <w:r>
        <w:rPr>
          <w:rFonts w:hint="eastAsia" w:ascii="仿宋" w:hAnsi="仿宋" w:eastAsia="仿宋"/>
          <w:sz w:val="28"/>
          <w:szCs w:val="28"/>
          <w:highlight w:val="none"/>
        </w:rPr>
      </w:r>
      <w:r/>
    </w:p>
    <w:p>
      <w:pPr>
        <w:pStyle w:val="812"/>
        <w:ind w:firstLine="301"/>
        <w:jc w:val="center"/>
        <w:pageBreakBefore w:val="0"/>
        <w:spacing w:line="360" w:lineRule="auto"/>
        <w:rPr>
          <w:rFonts w:hint="eastAsia" w:ascii="仿宋" w:hAnsi="仿宋" w:eastAsia="仿宋"/>
          <w:sz w:val="28"/>
          <w:szCs w:val="28"/>
          <w:highlight w:val="none"/>
        </w:rPr>
      </w:pPr>
      <w:r>
        <w:rPr>
          <w:rFonts w:hint="eastAsia" w:ascii="仿宋" w:hAnsi="仿宋" w:eastAsia="仿宋"/>
          <w:sz w:val="28"/>
          <w:szCs w:val="28"/>
          <w:highlight w:val="none"/>
        </w:rPr>
      </w:r>
      <w:r/>
    </w:p>
    <w:p>
      <w:pPr>
        <w:pStyle w:val="812"/>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sz w:val="28"/>
          <w:szCs w:val="28"/>
          <w:highlight w:val="none"/>
        </w:rPr>
        <w:t xml:space="preserve">编制时间：202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10 </w:t>
      </w:r>
      <w:r>
        <w:rPr>
          <w:rFonts w:hint="eastAsia" w:ascii="仿宋" w:hAnsi="仿宋" w:eastAsia="仿宋"/>
          <w:sz w:val="28"/>
          <w:szCs w:val="28"/>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pStyle w:val="1092"/>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31"/>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2" w:name="_Toc28664"/>
      <w:r/>
      <w:bookmarkStart w:id="3" w:name="_Toc24307"/>
      <w:r/>
      <w:bookmarkStart w:id="4" w:name="_Toc7019"/>
      <w:r/>
      <w:r/>
    </w:p>
    <w:p>
      <w:pPr>
        <w:pStyle w:val="812"/>
        <w:jc w:val="center"/>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5" w:name="_Toc2168"/>
      <w:r/>
      <w:bookmarkStart w:id="6" w:name="_Toc4305"/>
      <w:r/>
      <w:bookmarkStart w:id="7" w:name="_Toc27132"/>
      <w:r/>
      <w:bookmarkStart w:id="8" w:name="_Toc1046"/>
      <w:r/>
      <w:bookmarkStart w:id="9" w:name="_Toc24281"/>
      <w:r/>
      <w:bookmarkStart w:id="10" w:name="_Toc24143"/>
      <w:r/>
      <w:bookmarkStart w:id="11" w:name="_Toc12112"/>
      <w:r/>
      <w:bookmarkStart w:id="12" w:name="_Toc3776"/>
      <w:r>
        <w:rPr>
          <w:rFonts w:hint="eastAsia" w:ascii="仿宋" w:hAnsi="仿宋" w:eastAsia="仿宋" w:cs="仿宋"/>
          <w:b/>
          <w:color w:val="000000" w:themeColor="text1"/>
          <w:sz w:val="44"/>
          <w:szCs w:val="44"/>
          <w:highlight w:val="none"/>
          <w14:textFill>
            <w14:solidFill>
              <w14:schemeClr w14:val="tx1"/>
            </w14:solidFill>
          </w14:textFill>
        </w:rPr>
        <w:t xml:space="preserve">竞争性磋商文件</w:t>
      </w:r>
      <w:r/>
    </w:p>
    <w:p>
      <w:pPr>
        <w:pStyle w:val="812"/>
        <w:jc w:val="center"/>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项目编号：</w:t>
      </w:r>
      <w:r>
        <w:rPr>
          <w:rFonts w:ascii="Segoe UI" w:hAnsi="Segoe UI" w:eastAsia="Segoe UI" w:cs="Segoe UI"/>
          <w:i w:val="0"/>
          <w:iCs w:val="0"/>
          <w:caps w:val="0"/>
          <w:spacing w:val="0"/>
          <w:sz w:val="21"/>
          <w:szCs w:val="21"/>
          <w:shd w:val="clear" w:color="auto" w:fill="ffffff"/>
        </w:rPr>
        <w:t xml:space="preserve">JSZC-320381050-XZRX-C2026-0001</w:t>
      </w:r>
      <w:r/>
    </w:p>
    <w:p>
      <w:pPr>
        <w:spacing w:line="360" w:lineRule="auto"/>
        <w:tabs>
          <w:tab w:val="left" w:pos="3240" w:leader="none"/>
        </w:tabs>
        <w:rPr>
          <w:rFonts w:hint="eastAsia" w:ascii="宋体" w:hAnsi="宋体" w:cs="宋体"/>
          <w:color w:val="auto"/>
          <w:sz w:val="24"/>
          <w:highlight w:val="none"/>
        </w:rPr>
      </w:pPr>
      <w:r>
        <w:rPr>
          <w:rFonts w:hint="eastAsia" w:ascii="仿宋" w:hAnsi="仿宋" w:eastAsia="仿宋" w:cs="仿宋"/>
          <w:b w:val="0"/>
          <w:bCs w:val="0"/>
          <w:color w:val="000000" w:themeColor="text1"/>
          <w:sz w:val="24"/>
          <w:szCs w:val="24"/>
          <w:highlight w:val="none"/>
          <w:u w:val="single"/>
          <w:lang w:val="en-US" w:eastAsia="zh-CN" w:bidi="ar-SA"/>
          <w14:textFill>
            <w14:solidFill>
              <w14:schemeClr w14:val="tx1"/>
            </w14:solidFill>
          </w14:textFill>
        </w:rPr>
        <w:t xml:space="preserve">（供应商）</w:t>
      </w:r>
      <w:r>
        <w:rPr>
          <w:rFonts w:hint="eastAsia" w:ascii="宋体" w:hAnsi="宋体" w:cs="宋体"/>
          <w:color w:val="auto"/>
          <w:sz w:val="24"/>
          <w:highlight w:val="none"/>
        </w:rPr>
        <w:t xml:space="preserve">：</w:t>
      </w:r>
      <w:r/>
    </w:p>
    <w:p>
      <w:pPr>
        <w:ind w:firstLine="560"/>
        <w:spacing w:line="480" w:lineRule="auto"/>
        <w:tabs>
          <w:tab w:val="left" w:pos="2127" w:leader="none"/>
        </w:tabs>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按照《中华人民共和国政府采购法》、《中华人民共和国政府采购法实施条例》及《政府采购竞争性磋商采购方式管理暂行办法》的规定，徐州荣新建设项目管理有限公司对经开区食堂一体化外包服务项目采取竞争性磋商采购方式进行采购。如贵单位有意与本公司合作，请按以下竞争性磋商文件（以下简称磋商文件）要求参加磋商。</w:t>
      </w:r>
      <w:r/>
    </w:p>
    <w:p>
      <w:pPr>
        <w:pStyle w:val="831"/>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2"/>
      <w:r/>
      <w:bookmarkEnd w:id="3"/>
      <w:r/>
      <w:bookmarkEnd w:id="4"/>
      <w:r/>
      <w:bookmarkEnd w:id="5"/>
      <w:r/>
      <w:bookmarkEnd w:id="6"/>
      <w:r/>
      <w:bookmarkEnd w:id="7"/>
      <w:r/>
      <w:bookmarkEnd w:id="8"/>
      <w:r/>
      <w:bookmarkEnd w:id="9"/>
      <w:r/>
      <w:bookmarkEnd w:id="10"/>
      <w:r/>
      <w:bookmarkEnd w:id="11"/>
      <w:r/>
      <w:bookmarkEnd w:id="12"/>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814"/>
        <w:jc w:val="left"/>
        <w:keepLines w:val="0"/>
        <w:keepNext w:val="0"/>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i w:val="0"/>
          <w:iCs w:val="0"/>
          <w:caps w:val="0"/>
          <w:color w:val="353535"/>
          <w:spacing w:val="0"/>
          <w:sz w:val="24"/>
          <w:szCs w:val="24"/>
          <w:highlight w:val="none"/>
          <w:shd w:val="clear" w:color="auto" w:fill="ffffff"/>
          <w:lang w:val="en-US" w:eastAsia="zh-CN"/>
        </w:rPr>
        <w:t xml:space="preserve">江苏新沂经济开发区管理委员会</w:t>
      </w:r>
      <w:r/>
    </w:p>
    <w:p>
      <w:pPr>
        <w:pStyle w:val="814"/>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w:t>
      </w:r>
      <w:r>
        <w:rPr>
          <w:rFonts w:ascii="Segoe UI" w:hAnsi="Segoe UI" w:eastAsia="Segoe UI" w:cs="Segoe UI"/>
          <w:i w:val="0"/>
          <w:iCs w:val="0"/>
          <w:caps w:val="0"/>
          <w:spacing w:val="0"/>
          <w:sz w:val="21"/>
          <w:szCs w:val="21"/>
          <w:shd w:val="clear" w:color="auto" w:fill="ffffff"/>
        </w:rPr>
        <w:t xml:space="preserve">JSZC-320381050-XZRX-C2026-0001</w:t>
      </w:r>
      <w:r/>
    </w:p>
    <w:p>
      <w:pPr>
        <w:pStyle w:val="81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经开区食堂一体化外包服务项目</w:t>
      </w:r>
      <w:r/>
    </w:p>
    <w:p>
      <w:pPr>
        <w:pStyle w:val="81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81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814"/>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六、供应商资格条件：见竞争性磋商公告（项目编号： ）</w:t>
      </w:r>
      <w:r/>
    </w:p>
    <w:p>
      <w:pPr>
        <w:pStyle w:val="814"/>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814"/>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814"/>
        <w:keepLines w:val="0"/>
        <w:keepNext w:val="0"/>
        <w:pageBreakBefore w:val="0"/>
        <w:spacing w:line="360" w:lineRule="auto"/>
        <w:rPr>
          <w:rFonts w:hint="eastAsia"/>
          <w:highlight w:val="none"/>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p>
    <w:p>
      <w:p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1、供应商报价为要约，</w:t>
      </w: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徐州荣新建设项目管理有限公司</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无承诺表示时视为未成交，</w:t>
      </w: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徐州荣新建设项目管理有限公司</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认为必要时可重新进行竞争性磋商采购或采取其它方式采购。</w:t>
      </w:r>
      <w:r/>
    </w:p>
    <w:p>
      <w:p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2、按照《磋商报价表》要求填写首次报价。</w:t>
      </w:r>
      <w:r/>
    </w:p>
    <w:p>
      <w:pPr>
        <w:ind w:right="-57"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814"/>
        <w:jc w:val="center"/>
        <w:keepLines w:val="0"/>
        <w:keepNext w:val="0"/>
        <w:pageBreakBefore w:val="0"/>
        <w:spacing w:line="360" w:lineRule="auto"/>
        <w:rPr>
          <w:rFonts w:hint="default"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第二章  磋商保证金</w:t>
      </w:r>
      <w:r/>
    </w:p>
    <w:p>
      <w:pPr>
        <w:pStyle w:val="814"/>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821"/>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821"/>
        <w:ind w:firstLine="480"/>
        <w:spacing w:line="360" w:lineRule="auto"/>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821"/>
        <w:ind w:firstLine="480"/>
        <w:spacing w:line="360" w:lineRule="auto"/>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821"/>
        <w:ind w:firstLine="480"/>
        <w:spacing w:line="360" w:lineRule="auto"/>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821"/>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821"/>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821"/>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821"/>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821"/>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21"/>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1"/>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821"/>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83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13" w:name="_Toc4006"/>
      <w:r/>
      <w:bookmarkStart w:id="14" w:name="_Toc18456"/>
      <w:r/>
      <w:bookmarkStart w:id="15" w:name="_Toc17653"/>
      <w:r/>
      <w:bookmarkStart w:id="16" w:name="_Toc21922"/>
      <w:r/>
      <w:bookmarkStart w:id="17" w:name="_Toc28130"/>
      <w:r/>
      <w:bookmarkStart w:id="18" w:name="_Toc32431"/>
      <w:r/>
      <w:bookmarkStart w:id="19" w:name="_Toc26407"/>
      <w:r/>
      <w:bookmarkStart w:id="20" w:name="_Toc29401"/>
      <w:r/>
      <w:bookmarkStart w:id="21" w:name="_Toc5546"/>
      <w:r/>
      <w:bookmarkStart w:id="22" w:name="_Toc13394"/>
      <w:r/>
      <w:bookmarkStart w:id="23" w:name="_Toc27036"/>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13"/>
      <w:r/>
      <w:bookmarkEnd w:id="14"/>
      <w:r/>
      <w:bookmarkEnd w:id="15"/>
      <w:r/>
      <w:bookmarkEnd w:id="16"/>
      <w:r/>
      <w:bookmarkEnd w:id="17"/>
      <w:r/>
      <w:bookmarkEnd w:id="18"/>
      <w:r/>
      <w:bookmarkEnd w:id="19"/>
      <w:r/>
      <w:bookmarkEnd w:id="20"/>
      <w:r/>
      <w:bookmarkEnd w:id="21"/>
      <w:r/>
      <w:bookmarkEnd w:id="22"/>
      <w:r/>
      <w:bookmarkEnd w:id="23"/>
      <w:r/>
      <w:r/>
    </w:p>
    <w:p>
      <w:pPr>
        <w:pStyle w:val="812"/>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21"/>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 10 </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21 </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821"/>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821"/>
        <w:ind w:firstLine="480"/>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821"/>
        <w:ind w:firstLine="480"/>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 10 </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 21 </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821"/>
        <w:numPr>
          <w:ilvl w:val="0"/>
          <w:numId w:val="1"/>
        </w:numPr>
        <w:ind w:firstLine="480"/>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提交地点：</w:t>
      </w:r>
      <w:r/>
    </w:p>
    <w:p>
      <w:pPr>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    </w:t>
      </w:r>
      <w:r>
        <w:rPr>
          <w:rFonts w:hint="eastAsia" w:ascii="仿宋" w:hAnsi="仿宋" w:cs="仿宋"/>
          <w:b w:val="0"/>
          <w:bCs/>
          <w:color w:val="000000"/>
          <w:sz w:val="24"/>
          <w:highlight w:val="none"/>
          <w:lang w:val="en-US" w:eastAsia="zh-CN"/>
        </w:rPr>
        <w:t xml:space="preserve">3、</w:t>
      </w:r>
      <w:r>
        <w:rPr>
          <w:rFonts w:hint="eastAsia" w:ascii="仿宋" w:hAnsi="仿宋" w:eastAsia="仿宋" w:cs="仿宋"/>
          <w:b w:val="0"/>
          <w:bCs/>
          <w:color w:val="000000"/>
          <w:sz w:val="24"/>
          <w:highlight w:val="none"/>
        </w:rPr>
        <w:t xml:space="preserve">“苏采云”系统（网址：http://jszfcg.jsczt.cn/）“开标大厅”或进入徐州</w:t>
      </w:r>
      <w:r>
        <w:rPr>
          <w:rFonts w:hint="eastAsia" w:ascii="仿宋" w:hAnsi="仿宋" w:cs="仿宋"/>
          <w:b w:val="0"/>
          <w:bCs/>
          <w:color w:val="000000"/>
          <w:sz w:val="24"/>
          <w:highlight w:val="none"/>
          <w:lang w:val="en-US" w:eastAsia="zh-CN"/>
        </w:rPr>
        <w:t xml:space="preserve">   </w:t>
      </w:r>
      <w:r>
        <w:rPr>
          <w:rFonts w:hint="eastAsia" w:ascii="仿宋" w:hAnsi="仿宋" w:eastAsia="仿宋" w:cs="仿宋"/>
          <w:b w:val="0"/>
          <w:bCs/>
          <w:color w:val="000000"/>
          <w:sz w:val="24"/>
          <w:highlight w:val="none"/>
        </w:rPr>
        <w:t xml:space="preserve">政府采购网（网址：http://czj.xz.gov.cn/Home/HomeIndex）-业务工作-用户登录，点击“苏采云”进入系统“开标大厅”。 </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 10 </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 21  </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821"/>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821"/>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1"/>
        <w:ind w:firstLine="480"/>
        <w:spacing w:line="460" w:lineRule="exact"/>
        <w:rPr>
          <w:rFonts w:hint="eastAsia"/>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812"/>
        <w:ind w:firstLine="4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2"/>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767"/>
        <w:numPr>
          <w:ilvl w:val="0"/>
          <w:numId w:val="3"/>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67"/>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成立未满一年可不提供）(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801"/>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812"/>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812"/>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812"/>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12"/>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812"/>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7</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color w:val="auto"/>
          <w:sz w:val="24"/>
          <w:szCs w:val="24"/>
          <w:highlight w:val="none"/>
          <w:lang w:val="en-US" w:eastAsia="zh-CN" w:bidi="ar-SA"/>
        </w:rPr>
        <w:t xml:space="preserve">投标人《关于符合本国产品标准的声明函》（如有）</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填写完整，加盖电子签章</w:t>
      </w:r>
      <w:r>
        <w:rPr>
          <w:rFonts w:hint="eastAsia" w:ascii="仿宋" w:hAnsi="仿宋" w:eastAsia="仿宋" w:cs="仿宋"/>
          <w:color w:val="auto"/>
          <w:sz w:val="24"/>
          <w:szCs w:val="24"/>
          <w:highlight w:val="none"/>
          <w:lang w:val="en-US" w:eastAsia="zh-CN" w:bidi="ar-SA"/>
        </w:rPr>
        <w:t xml:space="preserve">，格式见招标文件第七章《投标文件相关格式》）（请填写完整，如不填写完整或未按要求填写的，视为非本国产品）。</w:t>
      </w:r>
      <w:r/>
    </w:p>
    <w:p>
      <w:pPr>
        <w:ind w:firstLine="482"/>
        <w:jc w:val="both"/>
        <w:spacing w:line="4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本国产品应当符合以下条件：</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（一）在中国境内生产</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产品应当在中国境内生产，即在中华人民共和国关境内实现从原材料、组件到产品的属性改变。</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1.为确保产品在运输或者储存期间保持某种状态而进行的操作；</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2.为产品运输或者销售进行的包装或者展示；</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3.在产品或者其包装上粘贴或者印刷品牌、标志、标识以及其他用于区别的标记；</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4.简单的上漆、磨光和分装；</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5.其他不属于属性改变的情形。</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（二）在中国境内生产的组件成本占比达到规定比例</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产品在中国境内生产的组件成本占比应当达到规定比例，计算公式为：</w:t>
      </w:r>
      <w:r/>
    </w:p>
    <w:p>
      <w:p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1"/>
          <w:szCs w:val="24"/>
          <w:highlight w:val="none"/>
        </w:rPr>
        <mc:AlternateContent>
          <mc:Choice Requires="wpg">
            <w:drawing>
              <wp:inline xmlns:wp="http://schemas.openxmlformats.org/drawingml/2006/wordprocessingDrawing" distT="0" distB="0" distL="0" distR="0">
                <wp:extent cx="3381375" cy="695325"/>
                <wp:effectExtent l="0" t="0" r="9525"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6.2pt;height:54.8pt;mso-wrap-distance-left:0.0pt;mso-wrap-distance-top:0.0pt;mso-wrap-distance-right:0.0pt;mso-wrap-distance-bottom:0.0pt;" stroked="f">
                <v:path textboxrect="0,0,0,0"/>
                <v:imagedata r:id="rId14" o:title=""/>
              </v:shape>
            </w:pict>
          </mc:Fallback>
        </mc:AlternateConten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（三）特定产品的关键组件、关键工序符合相关要求</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2"/>
        <w:jc w:val="both"/>
        <w:spacing w:line="4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本国产品标准的适用范围</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对本国产品的支持政策</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具体以《国务院办公厅关于在政府采购中实施本国产品标准及相关政策的通知》（国办发〔2025〕34号）规定为准。</w:t>
      </w:r>
      <w:r/>
    </w:p>
    <w:p>
      <w:pPr>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注：中国境内生产的组件成本核算基本规则</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1.产品的一级组件是指直接组成产品的组件。产品的二级组件是指直接组成产品一级组件的组件。一级组件不可分解的，视同二级组件。</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2.二级组件在中国境内生产的，其全部成本计入中国境内生产的组件成本；二级组件不在中国境内生产的，其成本不计入中国境内生产的组件成本。</w:t>
      </w:r>
      <w:r/>
    </w:p>
    <w:p>
      <w:pPr>
        <w:ind w:firstLine="480"/>
        <w:jc w:val="both"/>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3.产品总成本和组件成本以相关会计核算数据、采购合同、进货记录等为基础进行计算。</w:t>
      </w:r>
      <w:r/>
    </w:p>
    <w:p>
      <w:pPr>
        <w:ind w:right="28" w:firstLine="480"/>
        <w:spacing w:line="346" w:lineRule="auto"/>
        <w:rPr>
          <w:rFonts w:hint="eastAsia"/>
          <w:lang w:val="en-US" w:eastAsia="zh-CN"/>
        </w:rPr>
      </w:pPr>
      <w:r>
        <w:rPr>
          <w:rFonts w:hint="eastAsia" w:ascii="仿宋" w:hAnsi="仿宋" w:eastAsia="仿宋" w:cs="仿宋"/>
          <w:color w:val="auto"/>
          <w:sz w:val="24"/>
          <w:szCs w:val="24"/>
          <w:highlight w:val="none"/>
          <w:lang w:val="en-US" w:eastAsia="zh-CN" w:bidi="ar-SA"/>
        </w:rPr>
        <w:t xml:space="preserve">4.需要对成本核算规则予以进一步明确的其他有关事项，由财政部会同有关部门另行规定。</w:t>
      </w:r>
      <w:r/>
    </w:p>
    <w:p>
      <w:pPr>
        <w:pStyle w:val="814"/>
        <w:ind w:firstLine="482"/>
        <w:jc w:val="left"/>
        <w:keepLines w:val="0"/>
        <w:keepNext w:val="0"/>
        <w:pageBreakBefore w:val="0"/>
        <w:spacing w:line="360" w:lineRule="auto"/>
        <w:rPr>
          <w:rFonts w:hint="eastAsia" w:ascii="仿宋" w:hAnsi="仿宋" w:eastAsia="仿宋" w:cs="仿宋"/>
          <w:color w:val="auto"/>
          <w:sz w:val="24"/>
          <w:highlight w:val="none"/>
        </w:rPr>
        <w:outlineLvl w:val="1"/>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8、</w:t>
      </w:r>
      <w:r>
        <w:rPr>
          <w:rFonts w:hint="eastAsia" w:ascii="仿宋" w:hAnsi="仿宋" w:eastAsia="仿宋" w:cs="仿宋"/>
          <w:color w:val="auto"/>
          <w:sz w:val="24"/>
          <w:highlight w:val="none"/>
        </w:rPr>
        <w:t xml:space="preserve">本项目的特定资格要求：</w:t>
      </w:r>
      <w:r/>
    </w:p>
    <w:p>
      <w:pPr>
        <w:pStyle w:val="822"/>
        <w:ind w:left="0" w:firstLine="482"/>
        <w:spacing w:after="0" w:line="360" w:lineRule="auto"/>
        <w:widowControl w:val="off"/>
        <w:rPr>
          <w:rFonts w:hint="default" w:ascii="仿宋" w:hAnsi="仿宋" w:eastAsia="仿宋" w:cs="仿宋"/>
          <w:strike w:val="0"/>
          <w:color w:val="auto"/>
          <w:sz w:val="24"/>
          <w:szCs w:val="24"/>
          <w:highlight w:val="none"/>
          <w:lang w:val="en-US" w:eastAsia="zh-CN" w:bidi="ar-SA"/>
        </w:rPr>
      </w:pPr>
      <w:r>
        <w:rPr>
          <w:rFonts w:hint="eastAsia" w:ascii="仿宋" w:hAnsi="仿宋" w:eastAsia="仿宋" w:cs="仿宋"/>
          <w:strike w:val="0"/>
          <w:color w:val="auto"/>
          <w:sz w:val="24"/>
          <w:szCs w:val="24"/>
          <w:highlight w:val="none"/>
          <w:lang w:val="en-US" w:eastAsia="zh-CN" w:bidi="ar-SA"/>
        </w:rPr>
        <w:t xml:space="preserve">（1）供应商需具备有效的食品经营许可证（扫描件加盖电子签章）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.《偏离表》（加盖电子签章，格式见《磋商文件》附件）；</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1.技术部分</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食品质量控制方案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服务质量控制方案（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卫生管理控制方案（食品卫生、人员卫生、环境卫生、垃圾处理、餐厅环境管理方案等）（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食品保存管理方案（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应急处理方案（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投诉处理方案（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组织机构及人员配备方案（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（8）配合与服从采购人管理方案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2.商务部分</w:t>
      </w:r>
      <w:r/>
    </w:p>
    <w:p>
      <w:pPr>
        <w:ind w:firstLine="480"/>
        <w:pageBreakBefore w:val="0"/>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（1）类似业绩（要求见《磋商文件》附件：1.《评分细则》）；</w:t>
      </w:r>
      <w:r/>
    </w:p>
    <w:p>
      <w:pPr>
        <w:ind w:firstLine="480"/>
        <w:pageBreakBefore w:val="0"/>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人员配备（要求见《磋商文件》附件：1.《评分细则》；</w:t>
      </w:r>
      <w:r/>
    </w:p>
    <w:p>
      <w:pPr>
        <w:ind w:firstLine="480"/>
        <w:pageBreakBefore w:val="0"/>
        <w:spacing w:after="0"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（3）企业资信（要求见《磋商文件》附件：1.《评分细则》）。</w:t>
      </w:r>
      <w:r/>
    </w:p>
    <w:p>
      <w:pPr>
        <w:pStyle w:val="1061"/>
        <w:ind w:firstLine="480"/>
        <w:jc w:val="both"/>
        <w:pageBreakBefore w:val="0"/>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sz w:val="24"/>
          <w:highlight w:val="none"/>
        </w:rPr>
        <w:t xml:space="preserve">评分细则中评分得分需提供的相关证明文件扫描件或供应商认为需要提供的其他资料扫描件。</w:t>
      </w:r>
      <w:r/>
    </w:p>
    <w:p>
      <w:pPr>
        <w:pStyle w:val="801"/>
        <w:ind w:firstLine="241"/>
        <w:keepLines w:val="0"/>
        <w:keepNext w:val="0"/>
        <w:pageBreakBefore w:val="0"/>
        <w:spacing w:before="0" w:beforeAutospacing="0" w:after="0" w:afterAutospacing="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p>
    <w:p>
      <w:pPr>
        <w:pStyle w:val="812"/>
        <w:ind w:right="-334" w:firstLine="48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color w:val="000000"/>
          <w:sz w:val="24"/>
          <w:highlight w:val="none"/>
        </w:rPr>
        <w:t xml:space="preserve">1、企业报价折扣证明：</w:t>
      </w:r>
      <w:r>
        <w:rPr>
          <w:rFonts w:hint="eastAsia" w:ascii="仿宋" w:hAnsi="仿宋" w:eastAsia="仿宋" w:cs="仿宋"/>
          <w:b/>
          <w:color w:val="000000"/>
          <w:sz w:val="24"/>
          <w:highlight w:val="none"/>
          <w:lang w:val="en-US" w:eastAsia="zh-CN"/>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1061"/>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1061"/>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61"/>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1061"/>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1061"/>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numPr>
          <w:ilvl w:val="0"/>
          <w:numId w:val="4"/>
        </w:num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82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w:t>
      </w:r>
      <w:r/>
    </w:p>
    <w:p>
      <w:pPr>
        <w:pStyle w:val="820"/>
        <w:numPr>
          <w:ilvl w:val="0"/>
          <w:numId w:val="0"/>
        </w:numPr>
        <w:ind w:left="497"/>
        <w:spacing w:line="360" w:lineRule="auto"/>
        <w:rPr>
          <w:rFonts w:hint="eastAsia" w:ascii="仿宋" w:hAnsi="仿宋" w:eastAsia="仿宋" w:cs="仿宋"/>
          <w:highlight w:val="none"/>
          <w:lang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供应商应当按照《磋商文件》的要求编制响应文件，并对其提交的响应文件的真实性、合法性承担法律责任。</w:t>
      </w:r>
      <w:r/>
    </w:p>
    <w:p>
      <w:pPr>
        <w:pStyle w:val="83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24" w:name="_Toc4298"/>
      <w:r/>
      <w:bookmarkStart w:id="25" w:name="_Toc4286"/>
      <w:r/>
      <w:bookmarkStart w:id="26" w:name="_Toc3749"/>
      <w:r/>
      <w:bookmarkStart w:id="27" w:name="_Toc13331"/>
      <w:r/>
      <w:bookmarkStart w:id="28" w:name="_Toc20389"/>
      <w:r/>
      <w:bookmarkStart w:id="29" w:name="_Toc17282"/>
      <w:r/>
      <w:bookmarkStart w:id="30" w:name="_Toc9739"/>
      <w:r/>
      <w:bookmarkStart w:id="31" w:name="_Toc1742"/>
      <w:r/>
      <w:bookmarkStart w:id="32" w:name="_Toc25734"/>
      <w:r/>
      <w:bookmarkStart w:id="33" w:name="_Toc25964"/>
      <w:r/>
      <w:bookmarkStart w:id="34" w:name="_Toc575"/>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24"/>
      <w:r/>
      <w:bookmarkEnd w:id="25"/>
      <w:r/>
      <w:bookmarkEnd w:id="26"/>
      <w:r/>
      <w:bookmarkEnd w:id="27"/>
      <w:r/>
      <w:bookmarkEnd w:id="28"/>
      <w:r/>
      <w:bookmarkEnd w:id="29"/>
      <w:r/>
      <w:bookmarkEnd w:id="30"/>
      <w:r/>
      <w:bookmarkEnd w:id="31"/>
      <w:r/>
      <w:bookmarkEnd w:id="32"/>
      <w:r/>
      <w:bookmarkEnd w:id="33"/>
      <w:r/>
      <w:bookmarkEnd w:id="34"/>
      <w:r/>
      <w:r/>
    </w:p>
    <w:p>
      <w:pPr>
        <w:pStyle w:val="812"/>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宋体" w:hAnsi="宋体" w:cs="宋体"/>
          <w:b/>
          <w:color w:val="ff0000"/>
          <w:highlight w:val="none"/>
        </w:rPr>
        <w:t xml:space="preserve">注：各供应商在未进行第二次报价前，请不要离开开标系统，随时接受</w:t>
      </w:r>
      <w:r>
        <w:rPr>
          <w:rFonts w:hint="eastAsia" w:hAnsi="宋体" w:cs="宋体"/>
          <w:b/>
          <w:color w:val="ff0000"/>
          <w:highlight w:val="none"/>
          <w:lang w:val="en-US" w:eastAsia="zh-CN"/>
        </w:rPr>
        <w:t xml:space="preserve">评</w:t>
      </w:r>
      <w:r>
        <w:rPr>
          <w:rFonts w:hint="eastAsia" w:ascii="宋体" w:hAnsi="宋体" w:cs="宋体"/>
          <w:b/>
          <w:color w:val="ff0000"/>
          <w:highlight w:val="none"/>
        </w:rPr>
        <w:t xml:space="preserve">标委员会提出的二次报价，因供应商未能及时二次报价而引起的废标及损失，由供应商负责。</w:t>
      </w:r>
      <w:r/>
    </w:p>
    <w:p>
      <w:pPr>
        <w:pStyle w:val="829"/>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820"/>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820"/>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20"/>
        <w:numPr>
          <w:ilvl w:val="0"/>
          <w:numId w:val="5"/>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820"/>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820"/>
        <w:ind w:firstLine="480"/>
        <w:keepLines w:val="0"/>
        <w:keepNext w:val="0"/>
        <w:pageBreakBefore w:val="0"/>
        <w:spacing w:line="360" w:lineRule="auto"/>
        <w:widowControl w:val="off"/>
        <w:rPr>
          <w:rFonts w:hint="default" w:ascii="仿宋" w:hAnsi="仿宋" w:eastAsia="仿宋" w:cs="仿宋"/>
          <w:b w:val="0"/>
          <w:bCs/>
          <w:color w:val="auto"/>
          <w:highlight w:val="yellow"/>
          <w:lang w:val="en-US" w:eastAsia="zh-CN"/>
        </w:rPr>
      </w:pPr>
      <w:r>
        <w:rPr>
          <w:rFonts w:hint="eastAsia" w:ascii="仿宋" w:hAnsi="仿宋" w:eastAsia="仿宋" w:cs="仿宋"/>
          <w:b w:val="0"/>
          <w:bCs/>
          <w:color w:val="auto"/>
          <w:highlight w:val="yellow"/>
        </w:rPr>
        <w:t xml:space="preserve">磋商评审小组的组建：采购人组建。磋商小组成员构成：3人。磋商小组确定方式：由</w:t>
      </w:r>
      <w:r>
        <w:rPr>
          <w:rFonts w:hint="eastAsia" w:ascii="仿宋" w:hAnsi="仿宋" w:eastAsia="仿宋" w:cs="仿宋"/>
          <w:b w:val="0"/>
          <w:bCs/>
          <w:color w:val="auto"/>
          <w:highlight w:val="yellow"/>
          <w:lang w:val="en-US" w:eastAsia="zh-CN"/>
        </w:rPr>
        <w:t xml:space="preserve">3名</w:t>
      </w:r>
      <w:r>
        <w:rPr>
          <w:rFonts w:hint="eastAsia" w:ascii="仿宋" w:hAnsi="仿宋" w:eastAsia="仿宋" w:cs="仿宋"/>
          <w:b w:val="0"/>
          <w:bCs/>
          <w:color w:val="auto"/>
          <w:highlight w:val="yellow"/>
        </w:rPr>
        <w:t xml:space="preserve">政府采购专家（从《江苏省政府采购专家库》随机抽取）组成。</w:t>
      </w:r>
      <w:r/>
    </w:p>
    <w:p>
      <w:pPr>
        <w:pStyle w:val="820"/>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820"/>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评审过程中出现下列情形之一的，评审委员会应当启动异常低价投标（响应）审查程序：</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①投标(响应)报价低于全部通过符合性审查供应商投标(响应)报价平均值50%的，即投标(响应)报价&lt;全部通过符合性审查供应商投标(响应)报价平均值×50%；</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②投标(响应)报价低于通过符合性审查的次低报价供应商投标(响应)报价50%的，即投标(响应)报价〈通过符合性审查的次低报价供应商投标(响应)报价×50%；</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③投标(响应)报价低于采购项目最高限价45%的，即投标(响应)报价&lt;采购项目最高限价×45%；</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④评审委员会基于专业判断，认为供应商报价过低，有可能影响产品质量或者不能诚信履约的其他情形。</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9"/>
        <w:ind w:left="2" w:right="29"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8"/>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p>
    <w:p>
      <w:pPr>
        <w:pStyle w:val="829"/>
        <w:ind w:left="2" w:right="29"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820"/>
        <w:ind w:firstLine="480"/>
        <w:spacing w:line="360" w:lineRule="auto"/>
        <w:rPr>
          <w:rFonts w:hint="eastAsia" w:ascii="仿宋" w:hAnsi="仿宋" w:eastAsia="仿宋" w:cs="仿宋"/>
          <w:b/>
          <w:bCs/>
          <w:strike w:val="0"/>
          <w:color w:val="000000" w:themeColor="text1"/>
          <w:sz w:val="24"/>
          <w:highlight w:val="none"/>
          <w14:textFill>
            <w14:solidFill>
              <w14:schemeClr w14:val="tx1"/>
            </w14:solidFill>
          </w14:textFill>
        </w:rPr>
      </w:pPr>
      <w:r>
        <w:rPr>
          <w:rFonts w:hint="eastAsia" w:ascii="仿宋" w:hAnsi="仿宋" w:eastAsia="仿宋" w:cs="仿宋"/>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仿宋" w:hAnsi="仿宋" w:eastAsia="仿宋" w:cs="仿宋"/>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仿宋" w:hAnsi="仿宋" w:eastAsia="仿宋" w:cs="仿宋"/>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pStyle w:val="828"/>
        <w:ind w:firstLine="480"/>
        <w:rPr>
          <w:rFonts w:hint="eastAsia"/>
          <w:highlight w:val="none"/>
        </w:rPr>
      </w:pPr>
      <w:r>
        <w:rPr>
          <w:rFonts w:hint="eastAsia" w:ascii="仿宋" w:hAnsi="仿宋" w:eastAsia="仿宋" w:cs="仿宋"/>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12"/>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812"/>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812"/>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812"/>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812"/>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812"/>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812"/>
        <w:rPr>
          <w:rFonts w:hint="eastAsia" w:ascii="仿宋" w:hAnsi="仿宋" w:eastAsia="仿宋" w:cs="仿宋"/>
          <w:highlight w:val="none"/>
        </w:rPr>
      </w:pPr>
      <w:r/>
      <w:bookmarkStart w:id="35" w:name="_Toc8321"/>
      <w:r/>
      <w:bookmarkStart w:id="36" w:name="_Toc18016"/>
      <w:r/>
      <w:bookmarkStart w:id="37" w:name="_Toc11935"/>
      <w:r/>
      <w:bookmarkStart w:id="38" w:name="_Toc5288"/>
      <w:r/>
      <w:bookmarkStart w:id="39" w:name="_Toc4900"/>
      <w:r/>
      <w:bookmarkStart w:id="40" w:name="_Toc4341"/>
      <w:r/>
      <w:bookmarkStart w:id="41" w:name="_Toc1470"/>
      <w:r/>
      <w:bookmarkStart w:id="42" w:name="_Toc570"/>
      <w:r/>
      <w:bookmarkStart w:id="43" w:name="_Toc677"/>
      <w:r/>
      <w:bookmarkStart w:id="44" w:name="_Toc1946"/>
      <w:r/>
      <w:r/>
    </w:p>
    <w:p>
      <w:pPr>
        <w:pStyle w:val="812"/>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45"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35"/>
      <w:r/>
      <w:bookmarkEnd w:id="36"/>
      <w:r/>
      <w:bookmarkEnd w:id="37"/>
      <w:r/>
      <w:bookmarkEnd w:id="38"/>
      <w:r/>
      <w:bookmarkEnd w:id="39"/>
      <w:r/>
      <w:bookmarkEnd w:id="40"/>
      <w:r/>
      <w:bookmarkEnd w:id="41"/>
      <w:r/>
      <w:bookmarkEnd w:id="42"/>
      <w:r/>
      <w:bookmarkEnd w:id="43"/>
      <w:r/>
      <w:bookmarkEnd w:id="44"/>
      <w:r/>
      <w:bookmarkEnd w:id="45"/>
      <w:r/>
      <w:r/>
    </w:p>
    <w:p>
      <w:pPr>
        <w:pStyle w:val="812"/>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12"/>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12"/>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46" w:name="_Toc11573"/>
      <w:r/>
      <w:bookmarkStart w:id="47" w:name="_Toc11048"/>
      <w:r/>
      <w:bookmarkStart w:id="48" w:name="_Toc28376"/>
      <w:r/>
      <w:bookmarkStart w:id="49" w:name="_Toc27571"/>
      <w:r/>
      <w:bookmarkStart w:id="50" w:name="_Toc8179"/>
      <w:r/>
      <w:bookmarkStart w:id="51" w:name="_Toc22576"/>
      <w:r/>
      <w:bookmarkStart w:id="52" w:name="_Toc26346"/>
      <w:r/>
      <w:bookmarkStart w:id="53" w:name="_Toc9526"/>
      <w:r/>
      <w:bookmarkStart w:id="54" w:name="_Toc753"/>
      <w:r/>
      <w:bookmarkStart w:id="55" w:name="_Toc26370"/>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842"/>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3"/>
        <w:rPr>
          <w:rFonts w:hint="eastAsia"/>
          <w:highlight w:val="none"/>
        </w:rPr>
      </w:pPr>
      <w:r>
        <w:rPr>
          <w:rFonts w:hint="eastAsia"/>
          <w:highlight w:val="none"/>
        </w:rPr>
      </w:r>
      <w:r/>
    </w:p>
    <w:p>
      <w:pPr>
        <w:pStyle w:val="83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56"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46"/>
      <w:r/>
      <w:bookmarkEnd w:id="47"/>
      <w:r/>
      <w:bookmarkEnd w:id="48"/>
      <w:r/>
      <w:bookmarkEnd w:id="49"/>
      <w:r/>
      <w:bookmarkEnd w:id="50"/>
      <w:r/>
      <w:bookmarkEnd w:id="51"/>
      <w:r/>
      <w:bookmarkEnd w:id="52"/>
      <w:r/>
      <w:bookmarkEnd w:id="53"/>
      <w:r/>
      <w:bookmarkEnd w:id="54"/>
      <w:r/>
      <w:bookmarkEnd w:id="55"/>
      <w:r/>
      <w:bookmarkEnd w:id="56"/>
      <w:r/>
      <w:r/>
    </w:p>
    <w:p>
      <w:pPr>
        <w:pStyle w:val="812"/>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83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57" w:name="_Toc31059"/>
      <w:r/>
      <w:bookmarkStart w:id="58" w:name="_Toc21449"/>
      <w:r/>
      <w:bookmarkStart w:id="59" w:name="_Toc7515"/>
      <w:r/>
      <w:bookmarkStart w:id="60" w:name="_Toc8704"/>
      <w:r/>
      <w:bookmarkStart w:id="61" w:name="_Toc26635"/>
      <w:r/>
      <w:bookmarkStart w:id="62" w:name="_Toc21663"/>
      <w:r/>
      <w:bookmarkStart w:id="63" w:name="_Toc29765"/>
      <w:r/>
      <w:bookmarkStart w:id="64" w:name="_Toc24692"/>
      <w:r/>
      <w:bookmarkStart w:id="65" w:name="_Toc6980"/>
      <w:r/>
      <w:bookmarkStart w:id="66" w:name="_Toc24021"/>
      <w:r/>
      <w:bookmarkStart w:id="67" w:name="_Toc31276"/>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57"/>
      <w:r/>
      <w:bookmarkEnd w:id="58"/>
      <w:r/>
      <w:bookmarkEnd w:id="59"/>
      <w:r/>
      <w:bookmarkEnd w:id="60"/>
      <w:r/>
      <w:bookmarkEnd w:id="61"/>
      <w:r/>
      <w:bookmarkEnd w:id="62"/>
      <w:r/>
      <w:bookmarkEnd w:id="63"/>
      <w:r/>
      <w:bookmarkEnd w:id="64"/>
      <w:r/>
      <w:bookmarkEnd w:id="65"/>
      <w:r/>
      <w:bookmarkEnd w:id="66"/>
      <w:r/>
      <w:bookmarkEnd w:id="67"/>
      <w:r/>
      <w:r/>
    </w:p>
    <w:p>
      <w:pPr>
        <w:pStyle w:val="81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812"/>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12"/>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812"/>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812"/>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812"/>
        <w:ind w:firstLine="120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ascii="仿宋" w:hAnsi="仿宋" w:eastAsia="仿宋" w:cs="仿宋"/>
          <w:i w:val="0"/>
          <w:iCs w:val="0"/>
          <w:caps w:val="0"/>
          <w:color w:val="353535"/>
          <w:spacing w:val="0"/>
          <w:sz w:val="24"/>
          <w:szCs w:val="24"/>
          <w:highlight w:val="none"/>
          <w:shd w:val="clear" w:color="auto" w:fill="ffffff"/>
        </w:rPr>
        <w:t xml:space="preserve">吴承慧</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i w:val="0"/>
          <w:iCs w:val="0"/>
          <w:caps w:val="0"/>
          <w:color w:val="353535"/>
          <w:spacing w:val="0"/>
          <w:sz w:val="24"/>
          <w:szCs w:val="24"/>
          <w:highlight w:val="none"/>
          <w:shd w:val="clear" w:color="auto" w:fill="ffffff"/>
          <w:lang w:val="en-US" w:eastAsia="zh-CN"/>
        </w:rPr>
        <w:t xml:space="preserve">18752590405</w:t>
      </w:r>
      <w:r/>
    </w:p>
    <w:p>
      <w:pPr>
        <w:pStyle w:val="812"/>
        <w:ind w:firstLine="120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ascii="仿宋" w:hAnsi="仿宋" w:eastAsia="仿宋" w:cs="仿宋"/>
          <w:i w:val="0"/>
          <w:iCs w:val="0"/>
          <w:caps w:val="0"/>
          <w:color w:val="353535"/>
          <w:spacing w:val="0"/>
          <w:sz w:val="24"/>
          <w:szCs w:val="24"/>
          <w:highlight w:val="none"/>
          <w:shd w:val="clear" w:color="auto" w:fill="ffffff"/>
        </w:rPr>
        <w:t xml:space="preserve">环城街道祥和西路4号办公楼267室</w:t>
      </w:r>
      <w:r/>
    </w:p>
    <w:p>
      <w:pPr>
        <w:pStyle w:val="842"/>
        <w:rPr>
          <w:rFonts w:hint="eastAsia"/>
          <w:highlight w:val="none"/>
        </w:rPr>
      </w:pPr>
      <w:r>
        <w:rPr>
          <w:rFonts w:hint="eastAsia"/>
          <w:highlight w:val="none"/>
        </w:rPr>
      </w:r>
      <w:r/>
    </w:p>
    <w:p>
      <w:pPr>
        <w:pStyle w:val="831"/>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821"/>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821"/>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ascii="仿宋" w:hAnsi="仿宋" w:eastAsia="仿宋" w:cs="仿宋"/>
          <w:i w:val="0"/>
          <w:iCs w:val="0"/>
          <w:caps w:val="0"/>
          <w:color w:val="353535"/>
          <w:spacing w:val="0"/>
          <w:sz w:val="24"/>
          <w:szCs w:val="24"/>
          <w:highlight w:val="none"/>
          <w:shd w:val="clear" w:color="auto" w:fill="ffffff"/>
        </w:rPr>
        <w:t xml:space="preserve">江苏新沂经济开发区管理委员会</w:t>
      </w:r>
      <w:r/>
    </w:p>
    <w:p>
      <w:pPr>
        <w:pStyle w:val="821"/>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新沂市大桥西路</w:t>
      </w:r>
      <w:r/>
    </w:p>
    <w:p>
      <w:pPr>
        <w:pStyle w:val="821"/>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联系人：董阳春 </w:t>
      </w:r>
      <w:r/>
    </w:p>
    <w:p>
      <w:pPr>
        <w:ind w:left="0" w:right="0" w:firstLine="480"/>
        <w:jc w:val="both"/>
        <w:spacing w:before="0" w:after="0"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15852291807 </w:t>
      </w:r>
      <w:r/>
    </w:p>
    <w:p>
      <w:pPr>
        <w:pStyle w:val="821"/>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821"/>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ascii="仿宋" w:hAnsi="仿宋" w:eastAsia="仿宋" w:cs="仿宋"/>
          <w:i w:val="0"/>
          <w:iCs w:val="0"/>
          <w:caps w:val="0"/>
          <w:color w:val="353535"/>
          <w:spacing w:val="0"/>
          <w:sz w:val="24"/>
          <w:szCs w:val="24"/>
          <w:highlight w:val="none"/>
          <w:shd w:val="clear" w:color="auto" w:fill="ffffff"/>
        </w:rPr>
        <w:t xml:space="preserve">徐州荣新建设项目管理有限公司</w:t>
      </w:r>
      <w:r/>
    </w:p>
    <w:p>
      <w:pPr>
        <w:pStyle w:val="812"/>
        <w:ind w:firstLine="48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ascii="仿宋" w:hAnsi="仿宋" w:eastAsia="仿宋" w:cs="仿宋"/>
          <w:i w:val="0"/>
          <w:iCs w:val="0"/>
          <w:caps w:val="0"/>
          <w:color w:val="353535"/>
          <w:spacing w:val="0"/>
          <w:sz w:val="24"/>
          <w:szCs w:val="24"/>
          <w:highlight w:val="none"/>
          <w:shd w:val="clear" w:color="auto" w:fill="ffffff"/>
        </w:rPr>
        <w:t xml:space="preserve">环城街道祥和西路4号办公楼267室</w:t>
      </w:r>
      <w:r/>
    </w:p>
    <w:p>
      <w:pPr>
        <w:pStyle w:val="821"/>
        <w:ind w:firstLine="480"/>
        <w:keepLines w:val="0"/>
        <w:keepNext w:val="0"/>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ascii="仿宋" w:hAnsi="仿宋" w:eastAsia="仿宋" w:cs="仿宋"/>
          <w:i w:val="0"/>
          <w:iCs w:val="0"/>
          <w:caps w:val="0"/>
          <w:color w:val="353535"/>
          <w:spacing w:val="0"/>
          <w:sz w:val="24"/>
          <w:szCs w:val="24"/>
          <w:highlight w:val="none"/>
          <w:shd w:val="clear" w:color="auto" w:fill="ffffff"/>
        </w:rPr>
        <w:t xml:space="preserve">吴承慧</w:t>
      </w:r>
      <w:r/>
    </w:p>
    <w:p>
      <w:pPr>
        <w:pStyle w:val="821"/>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i w:val="0"/>
          <w:iCs w:val="0"/>
          <w:caps w:val="0"/>
          <w:color w:val="353535"/>
          <w:spacing w:val="0"/>
          <w:sz w:val="24"/>
          <w:szCs w:val="24"/>
          <w:highlight w:val="none"/>
          <w:shd w:val="clear" w:color="auto" w:fill="ffffff"/>
          <w:lang w:val="en-US" w:eastAsia="zh-CN"/>
        </w:rPr>
        <w:t xml:space="preserve">18752590405</w:t>
      </w:r>
      <w:r/>
    </w:p>
    <w:p>
      <w:pPr>
        <w:pStyle w:val="831"/>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68" w:name="_Toc27653"/>
      <w:r/>
      <w:bookmarkStart w:id="69" w:name="_Toc1369"/>
      <w:r/>
      <w:bookmarkStart w:id="70" w:name="_Toc30822"/>
      <w:r/>
      <w:bookmarkStart w:id="71" w:name="_Toc21113"/>
      <w:r/>
      <w:bookmarkStart w:id="72" w:name="_Toc25097"/>
      <w:r/>
      <w:bookmarkStart w:id="73" w:name="_Toc23683"/>
      <w:r/>
      <w:bookmarkStart w:id="74" w:name="_Toc28238"/>
      <w:r/>
      <w:bookmarkStart w:id="75" w:name="_Toc18729"/>
      <w:r/>
      <w:bookmarkStart w:id="76" w:name="_Toc31547"/>
      <w:r/>
      <w:bookmarkStart w:id="77" w:name="_Toc10229"/>
      <w:r/>
      <w:bookmarkStart w:id="78" w:name="_Toc31"/>
      <w:r/>
      <w:bookmarkStart w:id="79" w:name="_Toc6628"/>
      <w:r/>
      <w:bookmarkStart w:id="80" w:name="_Toc18403"/>
      <w:r/>
      <w:bookmarkStart w:id="81" w:name="_Toc13230"/>
      <w:r/>
      <w:bookmarkStart w:id="82" w:name="_Toc4671"/>
      <w:r/>
      <w:bookmarkStart w:id="83" w:name="_Toc12825"/>
      <w:r/>
      <w:bookmarkStart w:id="84" w:name="_Toc1807"/>
      <w:r/>
      <w:bookmarkStart w:id="85" w:name="_Toc21146"/>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12"/>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14:textFill>
            <w14:solidFill>
              <w14:schemeClr w14:val="tx1"/>
            </w14:solidFill>
          </w14:textFill>
        </w:rPr>
        <w:t xml:space="preserve">、《偏离表》</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、《法人授权委托书》</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highlight w:val="none"/>
          <w14:textFill>
            <w14:solidFill>
              <w14:schemeClr w14:val="tx1"/>
            </w14:solidFill>
          </w14:textFill>
        </w:rPr>
        <w:t xml:space="preserve">. 《具备履行合同所必需的设备和专业技术能力的书面声明》</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highlight w:val="none"/>
          <w14:textFill>
            <w14:solidFill>
              <w14:schemeClr w14:val="tx1"/>
            </w14:solidFill>
          </w14:textFill>
        </w:rPr>
        <w:t xml:space="preserve">、《中小企业声明函》</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、《残疾人福利性单位声明函》</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、《技术方案》</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831"/>
        <w:ind w:firstLine="480"/>
        <w:jc w:val="both"/>
        <w:pageBreakBefore w:val="0"/>
        <w:spacing w:before="0" w:after="0" w:line="360" w:lineRule="auto"/>
        <w:tabs>
          <w:tab w:val="left" w:pos="1141" w:leader="none"/>
        </w:tabs>
        <w:rPr>
          <w:rFonts w:hint="default" w:ascii="仿宋" w:hAnsi="仿宋" w:eastAsia="仿宋" w:cs="仿宋"/>
          <w:b w:val="0"/>
          <w:bCs w:val="0"/>
          <w:color w:val="000000" w:themeColor="text1"/>
          <w:sz w:val="24"/>
          <w:szCs w:val="24"/>
          <w:highlight w:val="none"/>
          <w:lang w:val="en-US" w:eastAsia="zh-CN" w:bidi="ar-SA"/>
          <w14:textFill>
            <w14:solidFill>
              <w14:schemeClr w14:val="tx1"/>
            </w14:solidFill>
          </w14:textFill>
        </w:rPr>
        <w:outlineLvl w:val="0"/>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14、 招标代理服务费收费标准</w:t>
      </w:r>
      <w:r/>
    </w:p>
    <w:p>
      <w:pPr>
        <w:pStyle w:val="767"/>
        <w:ind w:firstLine="480"/>
        <w:jc w:val="both"/>
        <w:keepLines w:val="0"/>
        <w:keepNext w:val="0"/>
        <w:pageBreakBefore w:val="0"/>
        <w:spacing w:before="0" w:after="0" w:line="360" w:lineRule="auto"/>
        <w:widowControl/>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15、人员情况说明及真实性承诺书</w:t>
      </w:r>
      <w:r/>
    </w:p>
    <w:p>
      <w:pPr>
        <w:pStyle w:val="813"/>
        <w:rPr>
          <w:rFonts w:hint="eastAsia"/>
          <w:highlight w:val="none"/>
        </w:rPr>
      </w:pPr>
      <w:r>
        <w:rPr>
          <w:rFonts w:hint="eastAsia"/>
          <w:highlight w:val="none"/>
        </w:rPr>
      </w:r>
      <w:r/>
    </w:p>
    <w:p>
      <w:pPr>
        <w:pStyle w:val="10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numPr>
          <w:ilvl w:val="0"/>
          <w:numId w:val="0"/>
        </w:numPr>
        <w:ind w:right="6"/>
        <w:jc w:val="both"/>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numPr>
          <w:ilvl w:val="0"/>
          <w:numId w:val="0"/>
        </w:numPr>
        <w:ind w:right="6"/>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775"/>
        <w:tblW w:w="9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1688"/>
        <w:gridCol w:w="6734"/>
      </w:tblGrid>
      <w:tr>
        <w:trPr>
          <w:jc w:val="center"/>
          <w:trHeight w:val="419"/>
        </w:trPr>
        <w:tc>
          <w:tcPr>
            <w:tcBorders>
              <w:top w:val="single" w:color="auto" w:sz="4" w:space="0"/>
              <w:left w:val="single" w:color="auto" w:sz="4" w:space="0"/>
              <w:bottom w:val="single" w:color="auto" w:sz="4" w:space="0"/>
              <w:right w:val="single" w:color="auto" w:sz="4" w:space="0"/>
            </w:tcBorders>
            <w:tcW w:w="1221" w:type="dxa"/>
            <w:textDirection w:val="lrTb"/>
            <w:noWrap w:val="false"/>
          </w:tcPr>
          <w:p>
            <w:pPr>
              <w:jc w:val="center"/>
              <w:pageBreakBefore w:val="0"/>
              <w:spacing w:line="360" w:lineRule="auto"/>
              <w:widowControl w:val="off"/>
              <w:rPr>
                <w:rFonts w:hint="eastAsia" w:ascii="仿宋" w:hAnsi="仿宋" w:eastAsia="仿宋" w:cs="仿宋"/>
                <w:b/>
                <w:color w:val="000000"/>
                <w:sz w:val="21"/>
                <w:szCs w:val="21"/>
                <w:highlight w:val="none"/>
                <w:lang w:val="en-US" w:eastAsia="zh-CN" w:bidi="ar-SA"/>
              </w:rPr>
            </w:pPr>
            <w:r>
              <w:rPr>
                <w:rFonts w:hint="eastAsia" w:ascii="仿宋" w:hAnsi="仿宋" w:eastAsia="仿宋" w:cs="仿宋"/>
                <w:b/>
                <w:color w:val="00000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8422" w:type="dxa"/>
            <w:textDirection w:val="lrTb"/>
            <w:noWrap w:val="false"/>
          </w:tcPr>
          <w:p>
            <w:pPr>
              <w:jc w:val="center"/>
              <w:pageBreakBefore w:val="0"/>
              <w:spacing w:line="360" w:lineRule="auto"/>
              <w:widowControl w:val="off"/>
              <w:rPr>
                <w:rFonts w:hint="eastAsia" w:ascii="仿宋" w:hAnsi="仿宋" w:eastAsia="仿宋" w:cs="仿宋"/>
                <w:b/>
                <w:color w:val="000000"/>
                <w:sz w:val="21"/>
                <w:szCs w:val="21"/>
                <w:highlight w:val="none"/>
                <w:lang w:val="en-US" w:eastAsia="zh-CN" w:bidi="ar-SA"/>
              </w:rPr>
            </w:pPr>
            <w:r>
              <w:rPr>
                <w:rFonts w:hint="eastAsia" w:ascii="仿宋" w:hAnsi="仿宋" w:eastAsia="仿宋" w:cs="仿宋"/>
                <w:b/>
                <w:color w:val="000000"/>
                <w:sz w:val="21"/>
                <w:szCs w:val="21"/>
                <w:highlight w:val="none"/>
                <w:lang w:val="en-US" w:eastAsia="zh-CN" w:bidi="ar-SA"/>
              </w:rPr>
              <w:t xml:space="preserve">评分标准</w:t>
            </w:r>
            <w:r/>
          </w:p>
        </w:tc>
      </w:tr>
      <w:tr>
        <w:trPr>
          <w:jc w:val="center"/>
          <w:trHeight w:val="1625"/>
        </w:trPr>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价格</w:t>
            </w:r>
            <w:r/>
          </w:p>
          <w:p>
            <w:pPr>
              <w:jc w:val="center"/>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部分</w:t>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（20分）</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价格分</w:t>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（20分）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本项目价格评分采用低价优先法计算，即满足磋商文件要求且投标价格最低的有效投标报价为评标基准价，其价格分为满分。</w:t>
            </w:r>
            <w:r/>
          </w:p>
          <w:p>
            <w:pPr>
              <w:jc w:val="both"/>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其他供应商报价得分：投标报价得分=(评标基准价／投标报价)×20（四舍五入后保留小数点后两位） </w:t>
            </w:r>
            <w:r/>
          </w:p>
        </w:tc>
      </w:tr>
      <w:tr>
        <w:trPr>
          <w:jc w:val="center"/>
          <w:trHeight w:val="1672"/>
        </w:trPr>
        <w:tc>
          <w:tcPr>
            <w:tcBorders>
              <w:top w:val="single" w:color="auto" w:sz="4" w:space="0"/>
              <w:left w:val="single" w:color="auto" w:sz="4" w:space="0"/>
              <w:right w:val="single" w:color="auto" w:sz="4" w:space="0"/>
            </w:tcBorders>
            <w:tcW w:w="1221" w:type="dxa"/>
            <w:vAlign w:val="center"/>
            <w:vMerge w:val="restart"/>
            <w:textDirection w:val="lrTb"/>
            <w:noWrap w:val="false"/>
          </w:tcPr>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商务</w:t>
            </w:r>
            <w:r/>
          </w:p>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部分</w:t>
            </w:r>
            <w:r/>
          </w:p>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（18分）</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firstLine="440"/>
              <w:jc w:val="center"/>
              <w:pageBreakBefore w:val="0"/>
              <w:spacing w:line="360" w:lineRule="auto"/>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r>
            <w:r/>
          </w:p>
          <w:p>
            <w:pPr>
              <w:jc w:val="both"/>
              <w:pageBreakBefore w:val="0"/>
              <w:spacing w:line="360" w:lineRule="auto"/>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 类似业绩</w:t>
            </w:r>
            <w:r/>
          </w:p>
          <w:p>
            <w:pPr>
              <w:ind w:firstLine="220"/>
              <w:jc w:val="both"/>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pageBreakBefore w:val="0"/>
              <w:spacing w:line="360" w:lineRule="auto"/>
              <w:tabs>
                <w:tab w:val="center" w:pos="4153" w:leader="none"/>
                <w:tab w:val="right" w:pos="8306" w:leader="none"/>
              </w:tabs>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自2023</w:t>
            </w:r>
            <w:r>
              <w:rPr>
                <w:rFonts w:hint="eastAsia" w:ascii="仿宋" w:hAnsi="仿宋" w:eastAsia="仿宋" w:cs="仿宋"/>
                <w:color w:val="auto"/>
                <w:sz w:val="22"/>
                <w:szCs w:val="22"/>
                <w:highlight w:val="none"/>
                <w:shd w:val="clear" w:color="auto"/>
                <w:lang w:val="en-US" w:eastAsia="zh-CN" w:bidi="ar-SA"/>
              </w:rPr>
              <w:t xml:space="preserve">年09月01日（以合同签订日期为准）以来投标供应商承接过类似项目的业绩证明材料，每提供一个得2分，最多得4分；（需提供中标通知书、采购合同证明材料</w:t>
            </w:r>
            <w:r>
              <w:rPr>
                <w:rFonts w:hint="eastAsia" w:ascii="仿宋" w:hAnsi="仿宋" w:eastAsia="仿宋" w:cs="仿宋"/>
                <w:color w:val="auto"/>
                <w:sz w:val="22"/>
                <w:szCs w:val="22"/>
                <w:highlight w:val="none"/>
                <w:lang w:val="en-US" w:eastAsia="zh-CN" w:bidi="ar-SA"/>
              </w:rPr>
              <w:t xml:space="preserve">原件扫描件加盖电子签章，二者同时具备方可得分，否则不得分）。</w:t>
            </w:r>
            <w:r/>
          </w:p>
        </w:tc>
      </w:tr>
      <w:tr>
        <w:trPr>
          <w:jc w:val="center"/>
          <w:trHeight w:val="1469"/>
        </w:trPr>
        <w:tc>
          <w:tcPr>
            <w:tcBorders>
              <w:left w:val="single" w:color="auto" w:sz="4" w:space="0"/>
              <w:right w:val="single" w:color="auto" w:sz="4" w:space="0"/>
            </w:tcBorders>
            <w:tcW w:w="1221" w:type="dxa"/>
            <w:vAlign w:val="center"/>
            <w:vMerge w:val="continue"/>
            <w:textDirection w:val="lrTb"/>
            <w:noWrap w:val="false"/>
          </w:tcPr>
          <w:p>
            <w:pPr>
              <w:jc w:val="center"/>
              <w:pageBreakBefore w:val="0"/>
              <w:spacing w:line="360" w:lineRule="auto"/>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right="0" w:firstLine="220"/>
              <w:jc w:val="left"/>
              <w:spacing w:before="200" w:after="200" w:line="68" w:lineRule="atLeast"/>
              <w:widowControl/>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人员配备</w:t>
            </w:r>
            <w:r/>
          </w:p>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lang w:val="en-US" w:eastAsia="zh-CN"/>
              </w:rPr>
              <w:suppressLineNumbers w:val="0"/>
            </w:pPr>
            <w:r>
              <w:rPr>
                <w:rFonts w:hint="eastAsia" w:ascii="仿宋" w:hAnsi="仿宋" w:eastAsia="仿宋" w:cs="仿宋"/>
                <w:b w:val="0"/>
                <w:bCs w:val="0"/>
                <w:color w:val="000000"/>
                <w:sz w:val="22"/>
                <w:szCs w:val="22"/>
                <w:highlight w:val="none"/>
                <w:lang w:val="en-US" w:eastAsia="zh-CN"/>
              </w:rPr>
              <w:t xml:space="preserve">投标供应商为本项目配备服务团队人员持证情况如下：</w:t>
            </w:r>
            <w:r/>
          </w:p>
          <w:p>
            <w:pPr>
              <w:numPr>
                <w:ilvl w:val="0"/>
                <w:numId w:val="0"/>
              </w:numPr>
              <w:ind w:left="0" w:right="0"/>
              <w:jc w:val="left"/>
              <w:keepLines w:val="0"/>
              <w:keepNext w:val="0"/>
              <w:spacing w:before="0" w:beforeAutospacing="0" w:after="0" w:afterAutospacing="0" w:line="360" w:lineRule="auto"/>
              <w:widowControl/>
              <w:rPr>
                <w:rFonts w:hint="default" w:ascii="仿宋" w:hAnsi="仿宋" w:eastAsia="仿宋" w:cs="仿宋"/>
                <w:b w:val="0"/>
                <w:bCs w:val="0"/>
                <w:color w:val="000000"/>
                <w:sz w:val="22"/>
                <w:szCs w:val="22"/>
                <w:highlight w:val="none"/>
                <w:lang w:val="en-US" w:eastAsia="zh-CN"/>
              </w:rPr>
              <w:suppressLineNumbers w:val="0"/>
            </w:pPr>
            <w:r>
              <w:rPr>
                <w:rFonts w:hint="eastAsia" w:ascii="仿宋" w:hAnsi="仿宋" w:eastAsia="仿宋" w:cs="仿宋"/>
                <w:b w:val="0"/>
                <w:bCs w:val="0"/>
                <w:color w:val="000000"/>
                <w:sz w:val="22"/>
                <w:szCs w:val="22"/>
                <w:highlight w:val="none"/>
                <w:lang w:val="en-US" w:eastAsia="zh-CN"/>
              </w:rPr>
              <w:t xml:space="preserve">1. 餐饮服务经理：拟派餐饮服务经理具备3年及以上机关或事业单位食堂管理项目经验，能提供证明材料的得2分，否则不得分。（证明材料可以是劳动合同、社保或是其他可以证明其项目经验的材料，任一均可）</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lang w:val="en-US" w:eastAsia="zh-CN"/>
              </w:rPr>
              <w:suppressLineNumbers w:val="0"/>
            </w:pPr>
            <w:r>
              <w:rPr>
                <w:rFonts w:hint="eastAsia" w:ascii="仿宋" w:hAnsi="仿宋" w:eastAsia="仿宋" w:cs="仿宋"/>
                <w:b w:val="0"/>
                <w:bCs w:val="0"/>
                <w:color w:val="000000"/>
                <w:sz w:val="22"/>
                <w:szCs w:val="22"/>
                <w:highlight w:val="none"/>
                <w:lang w:val="en-US" w:eastAsia="zh-CN"/>
              </w:rPr>
              <w:t xml:space="preserve">2. 行政总厨：拟派行政总厨具备中式烹调师二级（技师）证书得1分；具备中式烹调师一级（高级技师）证书得2分。</w:t>
            </w:r>
            <w:r/>
          </w:p>
          <w:p>
            <w:pPr>
              <w:numPr>
                <w:ilvl w:val="0"/>
                <w:numId w:val="0"/>
              </w:numPr>
              <w:ind w:left="0" w:right="0"/>
              <w:jc w:val="left"/>
              <w:keepLines w:val="0"/>
              <w:keepNext w:val="0"/>
              <w:spacing w:before="0" w:beforeAutospacing="0" w:after="0" w:afterAutospacing="0" w:line="360" w:lineRule="auto"/>
              <w:widowControl/>
              <w:rPr>
                <w:rFonts w:hint="default" w:ascii="仿宋" w:hAnsi="仿宋" w:eastAsia="仿宋" w:cs="仿宋"/>
                <w:b w:val="0"/>
                <w:bCs w:val="0"/>
                <w:color w:val="000000"/>
                <w:sz w:val="22"/>
                <w:szCs w:val="22"/>
                <w:highlight w:val="none"/>
                <w:lang w:val="en-US" w:eastAsia="zh-CN"/>
              </w:rPr>
              <w:suppressLineNumbers w:val="0"/>
            </w:pPr>
            <w:r>
              <w:rPr>
                <w:rFonts w:hint="eastAsia" w:ascii="仿宋" w:hAnsi="仿宋" w:eastAsia="仿宋" w:cs="仿宋"/>
                <w:b w:val="0"/>
                <w:bCs w:val="0"/>
                <w:color w:val="000000"/>
                <w:sz w:val="22"/>
                <w:szCs w:val="22"/>
                <w:highlight w:val="none"/>
                <w:lang w:val="en-US" w:eastAsia="zh-CN"/>
              </w:rPr>
              <w:t xml:space="preserve">3. 烹饪厨师（2名）：拟派烹饪厨师，每1人具备中式/西式烹调师二级（技师）证书得1分；每1人具备中式/西式烹调师一级（高级技师）证书得2分；最高得4分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lang w:val="en-US" w:eastAsia="zh-CN"/>
              </w:rPr>
              <w:suppressLineNumbers w:val="0"/>
            </w:pPr>
            <w:r>
              <w:rPr>
                <w:rFonts w:hint="eastAsia" w:ascii="仿宋" w:hAnsi="仿宋" w:eastAsia="仿宋" w:cs="仿宋"/>
                <w:b w:val="0"/>
                <w:bCs w:val="0"/>
                <w:color w:val="000000"/>
                <w:sz w:val="22"/>
                <w:szCs w:val="22"/>
                <w:highlight w:val="none"/>
                <w:lang w:val="en-US" w:eastAsia="zh-CN"/>
              </w:rPr>
              <w:t xml:space="preserve">本项累计最高得8分。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lang w:val="en-US" w:eastAsia="zh-CN"/>
              </w:rPr>
              <w:suppressLineNumbers w:val="0"/>
            </w:pPr>
            <w:r>
              <w:rPr>
                <w:rFonts w:hint="eastAsia" w:ascii="仿宋" w:hAnsi="仿宋" w:eastAsia="仿宋" w:cs="仿宋"/>
                <w:b w:val="0"/>
                <w:bCs w:val="0"/>
                <w:color w:val="000000"/>
                <w:sz w:val="22"/>
                <w:szCs w:val="22"/>
                <w:highlight w:val="none"/>
                <w:lang w:val="en-US" w:eastAsia="zh-CN"/>
              </w:rPr>
              <w:t xml:space="preserve">同一人员证书不重复计分，岗位可合理兼任。</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b w:val="0"/>
                <w:bCs w:val="0"/>
                <w:color w:val="000000"/>
                <w:sz w:val="22"/>
                <w:szCs w:val="22"/>
                <w:highlight w:val="none"/>
                <w:lang w:val="en-US" w:eastAsia="zh-CN"/>
              </w:rPr>
              <w:t xml:space="preserve">投标文件须提供以上人员证书扫描件及劳动合同，退休人员可用退休证+劳务合同替代，年满 60 周岁及以上</w:t>
            </w:r>
            <w:bookmarkStart w:id="114" w:name="_GoBack"/>
            <w:r/>
            <w:bookmarkEnd w:id="114"/>
            <w:r>
              <w:rPr>
                <w:rFonts w:hint="eastAsia" w:ascii="仿宋" w:hAnsi="仿宋" w:eastAsia="仿宋" w:cs="仿宋"/>
                <w:b w:val="0"/>
                <w:bCs w:val="0"/>
                <w:color w:val="000000"/>
                <w:sz w:val="22"/>
                <w:szCs w:val="22"/>
                <w:highlight w:val="none"/>
                <w:lang w:val="en-US" w:eastAsia="zh-CN"/>
              </w:rPr>
              <w:t xml:space="preserve">无退休证人员：需同时提供：身份证扫描件、与投标单位签订的劳务聘用协议、加盖供应商签章的《人员情况说明及真实性承诺书》（格式见磋商文件附件）；材料缺任一，则该人员不予计分；拟派本项目人员年龄最高不超过 65 周岁，超出不予计分。</w:t>
            </w:r>
            <w:r/>
          </w:p>
        </w:tc>
      </w:tr>
      <w:tr>
        <w:trPr>
          <w:jc w:val="center"/>
          <w:trHeight w:val="1991"/>
        </w:trPr>
        <w:tc>
          <w:tcPr>
            <w:tcBorders>
              <w:left w:val="single" w:color="auto" w:sz="4" w:space="0"/>
              <w:right w:val="single" w:color="auto" w:sz="4" w:space="0"/>
            </w:tcBorders>
            <w:tcW w:w="1221" w:type="dxa"/>
            <w:vAlign w:val="center"/>
            <w:vMerge w:val="continue"/>
            <w:textDirection w:val="lrTb"/>
            <w:noWrap w:val="false"/>
          </w:tcPr>
          <w:p>
            <w:pPr>
              <w:jc w:val="center"/>
              <w:pageBreakBefore w:val="0"/>
              <w:spacing w:line="360" w:lineRule="auto"/>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firstLine="220"/>
              <w:jc w:val="both"/>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企业资信</w:t>
            </w:r>
            <w:r/>
          </w:p>
          <w:p>
            <w:pPr>
              <w:ind w:firstLine="220"/>
              <w:pageBreakBefore w:val="0"/>
              <w:spacing w:line="360" w:lineRule="auto"/>
              <w:tabs>
                <w:tab w:val="center" w:pos="4153" w:leader="none"/>
                <w:tab w:val="right" w:pos="8306" w:leader="none"/>
              </w:tabs>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供应商具有有效期内的</w:t>
            </w:r>
            <w:r>
              <w:rPr>
                <w:rFonts w:hint="eastAsia" w:ascii="仿宋" w:hAnsi="仿宋" w:eastAsia="仿宋" w:cs="仿宋"/>
                <w:b w:val="0"/>
                <w:bCs w:val="0"/>
                <w:color w:val="000000"/>
                <w:sz w:val="22"/>
                <w:szCs w:val="22"/>
                <w:highlight w:val="none"/>
              </w:rPr>
              <w:t xml:space="preserve">质量管理体系认证证书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环境管理体系认证证书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职业健康安全体系认证证书</w:t>
            </w:r>
            <w:r>
              <w:rPr>
                <w:rFonts w:hint="eastAsia" w:ascii="仿宋" w:hAnsi="仿宋" w:eastAsia="仿宋" w:cs="仿宋"/>
                <w:b w:val="0"/>
                <w:bCs w:val="0"/>
                <w:color w:val="000000"/>
                <w:sz w:val="22"/>
                <w:szCs w:val="22"/>
                <w:highlight w:val="none"/>
                <w:lang w:val="en-US" w:eastAsia="zh-CN"/>
              </w:rPr>
              <w:t xml:space="preserve">的，每提供一个认证证书得2分，本项最多得6分。</w:t>
            </w:r>
            <w:r/>
          </w:p>
          <w:p>
            <w:pPr>
              <w:pageBreakBefore w:val="0"/>
              <w:spacing w:line="360" w:lineRule="auto"/>
              <w:tabs>
                <w:tab w:val="center" w:pos="4153" w:leader="none"/>
                <w:tab w:val="right" w:pos="8306" w:leader="none"/>
              </w:tabs>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注：提供证明材料的原件扫描件上传加盖电子签章，同时认证证书需提供在信息公共服务平台官网上的查询结果截图，否则不得分。</w:t>
            </w:r>
            <w:r/>
          </w:p>
        </w:tc>
      </w:tr>
      <w:tr>
        <w:trPr>
          <w:jc w:val="center"/>
          <w:trHeight w:val="2745"/>
        </w:trPr>
        <w:tc>
          <w:tcPr>
            <w:tcBorders>
              <w:top w:val="single" w:color="auto" w:sz="4" w:space="0"/>
              <w:left w:val="single" w:color="auto" w:sz="4" w:space="0"/>
              <w:right w:val="single" w:color="auto" w:sz="4" w:space="0"/>
            </w:tcBorders>
            <w:tcW w:w="1221" w:type="dxa"/>
            <w:vMerge w:val="restart"/>
            <w:textDirection w:val="lrTb"/>
            <w:noWrap w:val="false"/>
          </w:tcPr>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技术</w:t>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部分</w:t>
            </w:r>
            <w:r/>
          </w:p>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（62分）</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rPr>
              <w:t xml:space="preserve">食品质量控制方案</w:t>
            </w:r>
            <w:r>
              <w:rPr>
                <w:rFonts w:hint="eastAsia" w:ascii="仿宋" w:hAnsi="仿宋" w:eastAsia="仿宋" w:cs="仿宋"/>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方案需包含食材采购验收管控、索证索票管理、食材留样管理、加工过程质量管控4项核心内容。 </w:t>
            </w:r>
            <w:r/>
          </w:p>
          <w:p>
            <w:pPr>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方案完整包含以上4项核心内容，同时内容详细具体、可行性强、针对性强，得8分；</w:t>
            </w:r>
            <w:r/>
          </w:p>
          <w:p>
            <w:pPr>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方案包含其中3项核心内容，内容较完整、可行性较强、针对性较强，得6分； </w:t>
            </w:r>
            <w:r/>
          </w:p>
          <w:p>
            <w:pPr>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方案包含其中2项核心内容，内容基本完整、基本可行、针对性一般，得4分； </w:t>
            </w:r>
            <w:r/>
          </w:p>
          <w:p>
            <w:pPr>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 1 项核心内容，内容不完整、可行性较差、针对性较差，得2分；</w:t>
            </w:r>
            <w:r/>
          </w:p>
          <w:p>
            <w:pPr>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 8 分，最低得0分。</w:t>
            </w:r>
            <w:r/>
          </w:p>
        </w:tc>
      </w:tr>
      <w:tr>
        <w:trPr>
          <w:jc w:val="center"/>
          <w:trHeight w:val="360"/>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rPr>
              <w:t xml:space="preserve">服务质量控制方案</w:t>
            </w:r>
            <w:r>
              <w:rPr>
                <w:rFonts w:hint="eastAsia" w:ascii="仿宋" w:hAnsi="仿宋" w:eastAsia="仿宋" w:cs="仿宋"/>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方案需包含供餐秩序管理、窗口服务规范、职工就餐意见收集、接待保障服务管理4项核心内容。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方案完整包含以上4项核心内容，同时内容详细具体、可行性强、针对性强，得8分； </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方案包含其中3项核心内容，内容较完整、可行性较强、针对性较强，得6分；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方案包含其中2项核心内容，内容基本完整、基本可行、针对性一般，得4分；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方案仅包含1项核心内容，内容不完整、可行性较差、针对性较差，得2分；</w:t>
            </w:r>
            <w:r/>
          </w:p>
          <w:p>
            <w:pPr>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未提供本方案，得0分。本项最高得8分，最低得0分。</w:t>
            </w:r>
            <w:r/>
          </w:p>
        </w:tc>
      </w:tr>
      <w:tr>
        <w:trPr>
          <w:jc w:val="center"/>
          <w:trHeight w:val="90"/>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rPr>
              <w:t xml:space="preserve">卫生管理控制方案</w:t>
            </w:r>
            <w:r>
              <w:rPr>
                <w:rFonts w:hint="eastAsia" w:ascii="仿宋" w:hAnsi="仿宋" w:eastAsia="仿宋" w:cs="仿宋"/>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方案需包含食品加工卫生、从业人员个人卫生、餐厅及操作间环境卫生、餐具清洗消毒、垃圾及厨余处置5项核心内容。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方案完整包含以上5项核心内容，同时内容详细具体、可行性强、针对性强，得8分；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方案包含其中4项核心内容，内容较完整、可行性较强、针对性较强，得6分；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方案包含其中3项核心内容，内容基本完整、基本可行、针对性一般，得4分；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方案仅包含1-2项核心内容，内容不完整、可行性较差、针对性较差，得2分；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未提供本方案，得0分。本项最高得8分，最低得0分。</w:t>
            </w:r>
            <w:r/>
          </w:p>
        </w:tc>
      </w:tr>
      <w:tr>
        <w:trPr>
          <w:jc w:val="center"/>
          <w:trHeight w:val="90"/>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pStyle w:val="1061"/>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食品保存管理方案（8分）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方案需包含原料分类存放、冷藏冷冻温度管控、先进先出管理、库房环境管理、过期变质食材处置5项核心内容。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方案完整包含以上5项核心内容，同时内容详细具体、可行性强、针对性强，得8分；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方案包含其中4项核心内容，内容较完整、可行性较强、针对性较强，得6分；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 3 项核心内容，内容基本完整、基本可行、针对性一般，得4分；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 1-2 项核心内容，内容不完整、可行性较差、针对性较差，得2分；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未提供本方案，得0分。本项最高得8分，最低得0分。</w:t>
            </w:r>
            <w:r/>
          </w:p>
        </w:tc>
      </w:tr>
      <w:tr>
        <w:trPr>
          <w:jc w:val="center"/>
          <w:trHeight w:val="90"/>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pStyle w:val="1061"/>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应急处理方案（7分）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方案需包含食品安全突发事件应急、停水停电应急、设备故障应急、人员突发缺岗应急4项核心内容。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 4 项核心内容，同时内容详细具体、可行性强、针对性强，得7分；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方案包含其中3项核心内容，内容较完整、可行性较强、针对性较强，得5分；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方案包含其中2项核心内容，内容基本完整、基本可行、针对性一般，得3分；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方案仅包含1项核心内容，内容不完整、可行性较差、针对性较差，得1分；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未提供本方案，得0分。本项最高得7分，最低得0分。</w:t>
            </w:r>
            <w:r/>
          </w:p>
        </w:tc>
      </w:tr>
      <w:tr>
        <w:trPr>
          <w:jc w:val="center"/>
          <w:trHeight w:val="458"/>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pStyle w:val="1061"/>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投诉处理方案</w:t>
            </w:r>
            <w:r/>
          </w:p>
          <w:p>
            <w:pPr>
              <w:pStyle w:val="1061"/>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方案需包含投诉受理渠道、投诉登记流程、问题核查处置、整改闭环、结果反馈5项核心内容。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方案完整包含以上5项核心内容，同时内容详细具体、可行性强、针对性强，得7分；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方案包含其中4项核心内容，内容较完整、可行性较强、针对性较强，得5分；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方案包含其中3项核心内容，内容基本完整、基本可行、针对性一般，得3分；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方案仅包含1-2项核心内容，内容不完整、可行性较差、针对性较差，得1分；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未提供本方案，得0分。本项最高得7分，最低得0分。</w:t>
            </w:r>
            <w:r/>
          </w:p>
        </w:tc>
      </w:tr>
      <w:tr>
        <w:trPr>
          <w:jc w:val="center"/>
          <w:trHeight w:val="3127"/>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pStyle w:val="1061"/>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组织机构及人员配备方案（8分）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方案需包含项目组织架构、本项目全部岗位人员配置、人员岗位职责、人员轮换及缺岗替补机制4项核心内容。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方案完整包含以上4项核心内容，同时内容详细具体、可行性强、针对性强，得8分；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方案包含其中3项核心内容，内容较完整、可行性较强、针对性较强，得6分；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方案包含其中2项核心内容，内容基本完整、基本可行、针对性一般，得4分；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 1项核心内容，内容不完整、可行性较差、针对性较差，得 2分；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未提供本方案，得0分。本项最高得8分，最低得0分。</w:t>
            </w:r>
            <w:r/>
          </w:p>
        </w:tc>
      </w:tr>
      <w:tr>
        <w:trPr>
          <w:jc w:val="center"/>
          <w:trHeight w:val="1219"/>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pStyle w:val="812"/>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配合与服从采购人管理方案（8分）</w:t>
            </w:r>
            <w:r/>
          </w:p>
        </w:tc>
        <w:tc>
          <w:tcPr>
            <w:shd w:val="clear" w:color="auto" w:fill="auto"/>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方案需包含日常接受监督检查机制、菜单报审流程、考核问题整改机制、重大接待及临时任务响应4项核心内容。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方案完整包含以上4项核心内容，同时内容详细具体、可行性强、针对性强，得8分；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方案包含其中3项核心内容，内容较完整、可行性较强、针对性较强，得6分；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方案包含其中2项核心内容，内容基本完整、基本可行、针对性一般，得4分；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方案仅包含1项核心内容，内容不完整、可行性较差、针对性较差，得2分；</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Calibri" w:hAnsi="Calibri" w:eastAsia="宋体" w:cs="Times New Roman"/>
                <w:highlight w:val="none"/>
                <w:lang w:val="en-US" w:eastAsia="zh-CN" w:bidi="ar-SA"/>
              </w:rPr>
              <w:suppressLineNumbers w:val="0"/>
            </w:pPr>
            <w:r>
              <w:rPr>
                <w:rFonts w:hint="eastAsia" w:ascii="仿宋" w:hAnsi="仿宋" w:eastAsia="仿宋" w:cs="仿宋"/>
                <w:color w:val="000000"/>
                <w:sz w:val="22"/>
                <w:szCs w:val="22"/>
                <w:highlight w:val="none"/>
                <w:lang w:val="en-US" w:eastAsia="zh-CN" w:bidi="ar-SA"/>
              </w:rPr>
              <w:t xml:space="preserve">未提供本方案，得0分。本项最高得8分，最低得0分。</w:t>
            </w:r>
            <w:r/>
          </w:p>
        </w:tc>
      </w:tr>
    </w:tbl>
    <w:p>
      <w:pPr>
        <w:pStyle w:val="823"/>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812"/>
        <w:numPr>
          <w:ilvl w:val="0"/>
          <w:numId w:val="0"/>
        </w:numPr>
        <w:ind w:left="0" w:firstLine="0"/>
        <w:jc w:val="center"/>
        <w:pageBreakBefore w:val="0"/>
        <w:spacing w:line="360" w:lineRule="auto"/>
        <w:widowControl/>
        <w:rPr>
          <w:rStyle w:val="1002"/>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1002"/>
          <w:rFonts w:hint="eastAsia" w:ascii="仿宋" w:hAnsi="仿宋" w:eastAsia="仿宋" w:cs="仿宋"/>
          <w:color w:val="000000" w:themeColor="text1"/>
          <w:sz w:val="24"/>
          <w:szCs w:val="24"/>
          <w:highlight w:val="none"/>
          <w:lang w:val="en-US"/>
          <w14:textFill>
            <w14:solidFill>
              <w14:schemeClr w14:val="tx1"/>
            </w14:solidFill>
          </w14:textFill>
        </w:rPr>
      </w:pPr>
      <w:r>
        <w:rPr>
          <w:rStyle w:val="1002"/>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812"/>
        <w:numPr>
          <w:ilvl w:val="0"/>
          <w:numId w:val="0"/>
        </w:numPr>
        <w:ind w:left="0" w:firstLine="0"/>
        <w:jc w:val="center"/>
        <w:pageBreakBefore w:val="0"/>
        <w:spacing w:line="360" w:lineRule="auto"/>
        <w:widowControl/>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86" w:name="OLE_LINK1"/>
      <w:r>
        <w:rPr>
          <w:rStyle w:val="1002"/>
          <w:rFonts w:hint="eastAsia" w:ascii="仿宋" w:hAnsi="仿宋" w:eastAsia="仿宋" w:cs="仿宋"/>
          <w:color w:val="000000" w:themeColor="text1"/>
          <w:sz w:val="24"/>
          <w:szCs w:val="24"/>
          <w:highlight w:val="none"/>
          <w14:textFill>
            <w14:solidFill>
              <w14:schemeClr w14:val="tx1"/>
            </w14:solidFill>
          </w14:textFill>
        </w:rPr>
        <w:t xml:space="preserve">采购需求</w:t>
      </w:r>
      <w:bookmarkEnd w:id="86"/>
      <w:r/>
      <w:r/>
    </w:p>
    <w:p>
      <w:pPr>
        <w:pStyle w:val="999"/>
        <w:numPr>
          <w:ilvl w:val="0"/>
          <w:numId w:val="0"/>
        </w:numPr>
        <w:jc w:val="both"/>
        <w:keepLines w:val="0"/>
        <w:keepNext w:val="0"/>
        <w:pageBreakBefore w:val="0"/>
        <w:spacing w:line="240" w:lineRule="auto"/>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一、采购标的</w:t>
      </w:r>
      <w:r/>
    </w:p>
    <w:p>
      <w:pPr>
        <w:pStyle w:val="821"/>
        <w:ind w:firstLine="600"/>
        <w:spacing w:line="440" w:lineRule="exact"/>
        <w:rPr>
          <w:rFonts w:hint="eastAsia" w:ascii="仿宋" w:hAnsi="仿宋" w:eastAsia="仿宋" w:cs="仿宋"/>
          <w:color w:val="000000"/>
          <w:sz w:val="24"/>
          <w:szCs w:val="24"/>
          <w:highlight w:val="none"/>
          <w:lang w:val="en-US" w:eastAsia="zh-CN"/>
        </w:rPr>
      </w:pPr>
      <w:r>
        <w:rPr>
          <w:rFonts w:ascii="仿宋" w:hAnsi="仿宋" w:eastAsia="仿宋" w:cs="仿宋"/>
          <w:i w:val="0"/>
          <w:iCs w:val="0"/>
          <w:caps w:val="0"/>
          <w:color w:val="353535"/>
          <w:spacing w:val="0"/>
          <w:sz w:val="24"/>
          <w:szCs w:val="24"/>
          <w:highlight w:val="none"/>
          <w:shd w:val="clear" w:color="auto" w:fill="ffffff"/>
        </w:rPr>
        <w:t xml:space="preserve">经开区食堂一体化外包服务项目</w:t>
      </w:r>
      <w:r>
        <w:rPr>
          <w:rFonts w:hint="eastAsia" w:ascii="仿宋" w:hAnsi="仿宋" w:eastAsia="仿宋" w:cs="仿宋"/>
          <w:sz w:val="24"/>
          <w:szCs w:val="24"/>
          <w:highlight w:val="none"/>
        </w:rPr>
        <w:t xml:space="preserve">，服务期限：</w:t>
      </w:r>
      <w:r>
        <w:rPr>
          <w:rFonts w:hint="eastAsia" w:ascii="仿宋" w:hAnsi="仿宋" w:eastAsia="仿宋" w:cs="仿宋"/>
          <w:sz w:val="24"/>
          <w:szCs w:val="24"/>
          <w:highlight w:val="none"/>
          <w:lang w:val="en-US" w:eastAsia="zh-CN"/>
        </w:rPr>
        <w:t xml:space="preserve">两</w:t>
      </w:r>
      <w:r>
        <w:rPr>
          <w:rFonts w:hint="eastAsia" w:ascii="仿宋" w:hAnsi="仿宋" w:eastAsia="仿宋" w:cs="仿宋"/>
          <w:sz w:val="24"/>
          <w:szCs w:val="24"/>
          <w:highlight w:val="none"/>
        </w:rPr>
        <w:t xml:space="preserve">年</w:t>
      </w:r>
      <w:r/>
    </w:p>
    <w:p>
      <w:pPr>
        <w:pStyle w:val="821"/>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二、采购项目预算金额</w:t>
      </w:r>
      <w:r/>
    </w:p>
    <w:p>
      <w:pPr>
        <w:pStyle w:val="821"/>
        <w:ind w:firstLine="600"/>
        <w:spacing w:line="44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本项目不接受超过</w:t>
      </w:r>
      <w:r>
        <w:rPr>
          <w:rFonts w:hint="eastAsia" w:ascii="仿宋" w:hAnsi="仿宋" w:eastAsia="仿宋" w:cs="仿宋"/>
          <w:b/>
          <w:sz w:val="24"/>
          <w:szCs w:val="24"/>
          <w:highlight w:val="none"/>
          <w:u w:val="none"/>
          <w:lang w:val="en-US" w:eastAsia="zh-CN"/>
        </w:rPr>
        <w:t xml:space="preserve">170</w:t>
      </w:r>
      <w:r>
        <w:rPr>
          <w:rFonts w:hint="eastAsia" w:ascii="仿宋" w:hAnsi="仿宋" w:eastAsia="仿宋" w:cs="仿宋"/>
          <w:b/>
          <w:sz w:val="24"/>
          <w:szCs w:val="24"/>
          <w:highlight w:val="none"/>
          <w:u w:val="none"/>
        </w:rPr>
        <w:t xml:space="preserve">万元</w:t>
      </w:r>
      <w:r>
        <w:rPr>
          <w:rFonts w:hint="eastAsia" w:ascii="仿宋" w:hAnsi="仿宋" w:eastAsia="仿宋" w:cs="仿宋"/>
          <w:b/>
          <w:sz w:val="24"/>
          <w:szCs w:val="24"/>
          <w:highlight w:val="none"/>
        </w:rPr>
        <w:t xml:space="preserve">（采购项目预算金额）的报价。报价包括完成项目的所有费用，采购人不再支付报价以外的任何费用。</w:t>
      </w:r>
      <w:r/>
    </w:p>
    <w:p>
      <w:pPr>
        <w:pStyle w:val="821"/>
        <w:numPr>
          <w:ilvl w:val="0"/>
          <w:numId w:val="0"/>
        </w:numPr>
        <w:jc w:val="left"/>
        <w:spacing w:line="44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rPr>
        <w:t xml:space="preserve">保障时间</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每周一至周</w:t>
      </w:r>
      <w:r>
        <w:rPr>
          <w:rFonts w:hint="eastAsia" w:ascii="仿宋" w:hAnsi="仿宋" w:eastAsia="仿宋" w:cs="仿宋"/>
          <w:sz w:val="24"/>
          <w:szCs w:val="24"/>
          <w:highlight w:val="none"/>
          <w:lang w:val="en-US" w:eastAsia="zh-CN"/>
        </w:rPr>
        <w:t xml:space="preserve">六</w:t>
      </w:r>
      <w:r>
        <w:rPr>
          <w:rFonts w:hint="eastAsia" w:ascii="仿宋" w:hAnsi="仿宋" w:eastAsia="仿宋" w:cs="仿宋"/>
          <w:sz w:val="24"/>
          <w:szCs w:val="24"/>
          <w:highlight w:val="none"/>
        </w:rPr>
        <w:t xml:space="preserve">，保障</w:t>
      </w:r>
      <w:r>
        <w:rPr>
          <w:rFonts w:hint="eastAsia" w:ascii="仿宋" w:hAnsi="仿宋" w:eastAsia="仿宋" w:cs="仿宋"/>
          <w:sz w:val="24"/>
          <w:szCs w:val="24"/>
          <w:highlight w:val="none"/>
          <w:lang w:val="en-US" w:eastAsia="zh-CN"/>
        </w:rPr>
        <w:t xml:space="preserve">早、中、晚餐</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特殊时间</w:t>
      </w:r>
      <w:r>
        <w:rPr>
          <w:rFonts w:hint="eastAsia" w:ascii="仿宋" w:hAnsi="仿宋" w:eastAsia="仿宋" w:cs="仿宋"/>
          <w:sz w:val="24"/>
          <w:szCs w:val="24"/>
          <w:highlight w:val="none"/>
        </w:rPr>
        <w:t xml:space="preserve">按甲方规定时间供应。</w:t>
      </w:r>
      <w:r/>
    </w:p>
    <w:p>
      <w:pPr>
        <w:pStyle w:val="821"/>
        <w:numPr>
          <w:ilvl w:val="0"/>
          <w:numId w:val="0"/>
        </w:numPr>
        <w:jc w:val="left"/>
        <w:spacing w:line="44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人员组成及工作范围</w:t>
      </w:r>
      <w:r/>
    </w:p>
    <w:tbl>
      <w:tblPr>
        <w:tblStyle w:val="775"/>
        <w:tblW w:w="89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56"/>
        <w:gridCol w:w="1511"/>
        <w:gridCol w:w="5550"/>
      </w:tblGrid>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岗  位</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人员配备及上岗要求</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餐饮服务经理</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left"/>
              <w:keepLines w:val="0"/>
              <w:keepNext w:val="0"/>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身体健康，持有有效健康证，3年及以上餐饮管理工作经历，具有较强团队管理经验和能力，熟悉食堂食品安全管理，热爱餐饮行业，能吃苦耐劳，服从甲方管理</w:t>
            </w:r>
            <w:r>
              <w:rPr>
                <w:rFonts w:hint="eastAsia" w:ascii="仿宋" w:hAnsi="仿宋" w:eastAsia="仿宋" w:cs="仿宋"/>
                <w:sz w:val="24"/>
                <w:szCs w:val="24"/>
                <w:highlight w:val="none"/>
                <w:lang w:eastAsia="zh-CN"/>
              </w:rPr>
              <w:t xml:space="preserve">。</w:t>
            </w:r>
            <w:r/>
          </w:p>
        </w:tc>
      </w:tr>
      <w:tr>
        <w:trPr>
          <w:trHeight w:val="1309"/>
        </w:trPr>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行政总厨</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left"/>
              <w:keepLines w:val="0"/>
              <w:keepNext w:val="0"/>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身体健康，持有有效健康证，能够统筹厨房运营，控制成本，监督菜品质量，开发菜单，确保食品安全卫生，需兼具烹饪技术与行政管理能力。</w:t>
            </w:r>
            <w:r/>
          </w:p>
        </w:tc>
      </w:tr>
      <w:tr>
        <w:trPr>
          <w:trHeight w:val="560"/>
        </w:trPr>
        <w:tc>
          <w:tcPr>
            <w:shd w:val="clear" w:color="auto" w:fill="auto"/>
            <w:tcBorders>
              <w:top w:val="single" w:color="000000" w:sz="4" w:space="0"/>
              <w:left w:val="single" w:color="000000" w:sz="4" w:space="0"/>
              <w:bottom w:val="none" w:color="000000" w:sz="4" w:space="0"/>
              <w:right w:val="single" w:color="000000" w:sz="4" w:space="0"/>
            </w:tcBorders>
            <w:tcW w:w="18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烹饪厨师</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left"/>
              <w:keepLines w:val="0"/>
              <w:keepNext w:val="0"/>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身体健康，持有有效健康证，均具有</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年以上相应的工作经历；精通淮扬菜、精品家常菜、新沂当地菜；能加工各种汤品</w:t>
            </w:r>
            <w:r>
              <w:rPr>
                <w:rFonts w:hint="eastAsia" w:ascii="仿宋" w:hAnsi="仿宋" w:eastAsia="仿宋" w:cs="仿宋"/>
                <w:sz w:val="24"/>
                <w:szCs w:val="24"/>
                <w:highlight w:val="none"/>
                <w:lang w:eastAsia="zh-CN"/>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rPr>
              <w:t xml:space="preserve">切配</w:t>
            </w:r>
            <w:r>
              <w:rPr>
                <w:rFonts w:hint="eastAsia" w:ascii="仿宋" w:hAnsi="仿宋" w:eastAsia="仿宋" w:cs="仿宋"/>
                <w:i w:val="0"/>
                <w:iCs w:val="0"/>
                <w:color w:val="000000"/>
                <w:sz w:val="24"/>
                <w:szCs w:val="24"/>
                <w:highlight w:val="none"/>
                <w:u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left"/>
              <w:keepLines w:val="0"/>
              <w:keepNext w:val="0"/>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身体健康，持有有效健康证，能够熟练掌握清洗、切菜等食材前期处理</w:t>
            </w:r>
            <w:r>
              <w:rPr>
                <w:rFonts w:hint="eastAsia" w:ascii="仿宋" w:hAnsi="仿宋" w:eastAsia="仿宋" w:cs="仿宋"/>
                <w:sz w:val="24"/>
                <w:szCs w:val="24"/>
                <w:highlight w:val="none"/>
                <w:lang w:eastAsia="zh-CN"/>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jc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 xml:space="preserve"> 服务员</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身体健康，持有有效健康证，高中以上学历，举止大方得体，具备餐饮接待服务能力</w:t>
            </w:r>
            <w:r>
              <w:rPr>
                <w:rFonts w:hint="eastAsia" w:ascii="仿宋" w:hAnsi="仿宋" w:eastAsia="仿宋" w:cs="仿宋"/>
                <w:sz w:val="24"/>
                <w:szCs w:val="24"/>
                <w:highlight w:val="none"/>
                <w:lang w:eastAsia="zh-CN"/>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jc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 xml:space="preserve">勤杂工</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身体健康，持有有效健康证，负责卫生清洁、餐具清洗、消毒、整理等。</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 面点师</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jc w:val="left"/>
              <w:keepLines w:val="0"/>
              <w:keepNext w:val="0"/>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身体健康，持有有效健康证，有</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年以上相关工作经历，能独立完成面点和糕点的加工制作</w:t>
            </w:r>
            <w:r>
              <w:rPr>
                <w:rFonts w:hint="eastAsia" w:ascii="仿宋" w:hAnsi="仿宋" w:eastAsia="仿宋" w:cs="仿宋"/>
                <w:sz w:val="24"/>
                <w:szCs w:val="24"/>
                <w:highlight w:val="none"/>
                <w:lang w:eastAsia="zh-CN"/>
              </w:rPr>
              <w:t xml:space="preserve">。</w:t>
            </w:r>
            <w:r/>
          </w:p>
        </w:tc>
      </w:tr>
    </w:tbl>
    <w:p>
      <w:pPr>
        <w:pStyle w:val="821"/>
        <w:ind w:firstLine="562"/>
        <w:jc w:val="left"/>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说明：上表岗位人数为最低配置，属于实质性要求，不允许负偏离；人员的健康证、工作履历等为中标后上岗履约条件，不作为投标响应无效项。</w:t>
      </w:r>
      <w:r/>
    </w:p>
    <w:p>
      <w:pPr>
        <w:pStyle w:val="821"/>
        <w:ind w:firstLine="562"/>
        <w:jc w:val="left"/>
        <w:spacing w:line="44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en-US" w:eastAsia="zh-CN"/>
        </w:rPr>
        <w:t xml:space="preserve">服务内容</w:t>
      </w:r>
      <w:r/>
    </w:p>
    <w:p>
      <w:pPr>
        <w:ind w:firstLine="480"/>
        <w:keepLines w:val="0"/>
        <w:keepNext w:val="0"/>
        <w:pageBreakBefore w:val="0"/>
        <w:spacing w:line="360" w:lineRule="auto"/>
        <w:widowControl w:val="off"/>
        <w:rPr>
          <w:rFonts w:hint="eastAsia" w:ascii="仿宋" w:hAnsi="仿宋" w:eastAsia="仿宋" w:cs="仿宋"/>
          <w:i w:val="0"/>
          <w:caps w:val="0"/>
          <w:color w:val="000000"/>
          <w:spacing w:val="0"/>
          <w:sz w:val="24"/>
          <w:szCs w:val="24"/>
          <w:highlight w:val="none"/>
          <w:lang w:val="en-US" w:eastAsia="zh-CN" w:bidi="ar-SA"/>
        </w:rPr>
      </w:pPr>
      <w:r/>
      <w:bookmarkStart w:id="87" w:name="OLE_LINK20"/>
      <w:r/>
      <w:bookmarkStart w:id="88" w:name="OLE_LINK11"/>
      <w:r>
        <w:rPr>
          <w:rFonts w:hint="eastAsia" w:ascii="仿宋" w:hAnsi="仿宋" w:eastAsia="仿宋" w:cs="仿宋"/>
          <w:i w:val="0"/>
          <w:caps w:val="0"/>
          <w:color w:val="000000"/>
          <w:spacing w:val="0"/>
          <w:sz w:val="24"/>
          <w:szCs w:val="24"/>
          <w:highlight w:val="none"/>
          <w:lang w:val="en-US" w:eastAsia="zh-CN" w:bidi="ar-SA"/>
        </w:rPr>
        <w:t xml:space="preserve">1）服务期间采购人免费提供厨房、餐厅、仓库及全套的餐饮设备、用具；免费提供水电、燃气、清洁用品及日用耗材等；采购人按月把服务外包费用全额拨付给投标人；采购人按托管协议规定内容，负责监督、协调管理等工作，如投标人服务未达标，采购人有权要求投标人及时进行整改。  </w:t>
      </w:r>
      <w:r/>
    </w:p>
    <w:p>
      <w:pPr>
        <w:ind w:firstLine="480"/>
        <w:keepLines w:val="0"/>
        <w:keepNext w:val="0"/>
        <w:pageBreakBefore w:val="0"/>
        <w:spacing w:line="360" w:lineRule="auto"/>
        <w:widowControl w:val="off"/>
        <w:rPr>
          <w:rFonts w:hint="eastAsia" w:ascii="仿宋" w:hAnsi="仿宋" w:eastAsia="仿宋" w:cs="仿宋"/>
          <w:i w:val="0"/>
          <w:caps w:val="0"/>
          <w:color w:val="000000"/>
          <w:spacing w:val="0"/>
          <w:sz w:val="24"/>
          <w:szCs w:val="24"/>
          <w:highlight w:val="none"/>
          <w:lang w:val="en-US" w:eastAsia="zh-CN" w:bidi="ar-SA"/>
        </w:rPr>
      </w:pPr>
      <w:r>
        <w:rPr>
          <w:rFonts w:hint="eastAsia" w:ascii="仿宋" w:hAnsi="仿宋" w:eastAsia="仿宋" w:cs="仿宋"/>
          <w:i w:val="0"/>
          <w:caps w:val="0"/>
          <w:color w:val="000000"/>
          <w:spacing w:val="0"/>
          <w:sz w:val="24"/>
          <w:szCs w:val="24"/>
          <w:highlight w:val="none"/>
          <w:lang w:val="en-US" w:eastAsia="zh-CN" w:bidi="ar-SA"/>
        </w:rPr>
        <w:t xml:space="preserve">投标人负责采购、烹饪和人事、安全及卫生等方面的管理，为采购人提供优质的餐饮服务；投标人要服从采购人的监督与管理。</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w:t>
      </w:r>
      <w:bookmarkEnd w:id="87"/>
      <w:r>
        <w:rPr>
          <w:rFonts w:hint="eastAsia" w:ascii="仿宋" w:hAnsi="仿宋" w:eastAsia="仿宋" w:cs="仿宋"/>
          <w:color w:val="auto"/>
          <w:sz w:val="24"/>
          <w:szCs w:val="24"/>
          <w:highlight w:val="none"/>
        </w:rPr>
        <w:t xml:space="preserve">负责</w:t>
      </w:r>
      <w:r>
        <w:rPr>
          <w:rFonts w:hint="eastAsia" w:ascii="仿宋" w:hAnsi="仿宋" w:eastAsia="仿宋" w:cs="仿宋"/>
          <w:color w:val="auto"/>
          <w:sz w:val="24"/>
          <w:szCs w:val="24"/>
          <w:highlight w:val="none"/>
          <w:lang w:eastAsia="zh-CN"/>
        </w:rPr>
        <w:t xml:space="preserve">制作</w:t>
      </w:r>
      <w:r>
        <w:rPr>
          <w:rFonts w:hint="eastAsia" w:ascii="仿宋" w:hAnsi="仿宋" w:eastAsia="仿宋" w:cs="仿宋"/>
          <w:color w:val="auto"/>
          <w:sz w:val="24"/>
          <w:szCs w:val="24"/>
          <w:highlight w:val="none"/>
        </w:rPr>
        <w:t xml:space="preserve">提供每日</w:t>
      </w:r>
      <w:r>
        <w:rPr>
          <w:rFonts w:hint="eastAsia" w:ascii="仿宋" w:hAnsi="仿宋" w:eastAsia="仿宋" w:cs="仿宋"/>
          <w:color w:val="auto"/>
          <w:sz w:val="24"/>
          <w:szCs w:val="24"/>
          <w:highlight w:val="none"/>
          <w:lang w:val="en-US" w:eastAsia="zh-CN"/>
        </w:rPr>
        <w:t xml:space="preserve">餐饮服务</w:t>
      </w:r>
      <w:r>
        <w:rPr>
          <w:rFonts w:hint="eastAsia" w:ascii="仿宋" w:hAnsi="仿宋" w:eastAsia="仿宋" w:cs="仿宋"/>
          <w:color w:val="auto"/>
          <w:sz w:val="24"/>
          <w:szCs w:val="24"/>
          <w:highlight w:val="none"/>
        </w:rPr>
        <w:t xml:space="preserve">。服务内容主要包括食材加工、烹饪，食堂区域卫生保洁，厨余垃圾清理，食堂管理及</w:t>
      </w:r>
      <w:r>
        <w:rPr>
          <w:rFonts w:hint="eastAsia" w:ascii="仿宋" w:hAnsi="仿宋" w:eastAsia="仿宋" w:cs="仿宋"/>
          <w:color w:val="auto"/>
          <w:sz w:val="24"/>
          <w:szCs w:val="24"/>
          <w:highlight w:val="none"/>
          <w:lang w:eastAsia="zh-CN"/>
        </w:rPr>
        <w:t xml:space="preserve">桌餐服务</w:t>
      </w:r>
      <w:r>
        <w:rPr>
          <w:rFonts w:hint="eastAsia" w:ascii="仿宋" w:hAnsi="仿宋" w:eastAsia="仿宋" w:cs="仿宋"/>
          <w:color w:val="auto"/>
          <w:sz w:val="24"/>
          <w:szCs w:val="24"/>
          <w:highlight w:val="none"/>
        </w:rPr>
        <w:t xml:space="preserve">等。</w:t>
      </w:r>
      <w:r/>
    </w:p>
    <w:p>
      <w:pPr>
        <w:ind w:firstLine="480"/>
        <w:keepLines w:val="0"/>
        <w:keepNext w:val="0"/>
        <w:pageBreakBefore w:val="0"/>
        <w:spacing w:line="360" w:lineRule="auto"/>
        <w:widowControl w:val="off"/>
        <w:rPr>
          <w:rFonts w:hint="eastAsia" w:ascii="仿宋" w:hAnsi="仿宋" w:eastAsia="仿宋" w:cs="仿宋"/>
          <w:i w:val="0"/>
          <w:caps w:val="0"/>
          <w:color w:val="000000"/>
          <w:spacing w:val="0"/>
          <w:sz w:val="24"/>
          <w:szCs w:val="24"/>
          <w:highlight w:val="none"/>
          <w:lang w:val="en-US" w:eastAsia="zh-CN" w:bidi="ar-SA"/>
        </w:rPr>
      </w:pPr>
      <w:r>
        <w:rPr>
          <w:rFonts w:hint="eastAsia" w:ascii="仿宋" w:hAnsi="仿宋" w:eastAsia="仿宋" w:cs="仿宋"/>
          <w:i w:val="0"/>
          <w:caps w:val="0"/>
          <w:color w:val="000000"/>
          <w:spacing w:val="0"/>
          <w:sz w:val="24"/>
          <w:szCs w:val="24"/>
          <w:highlight w:val="none"/>
          <w:lang w:val="en-US" w:eastAsia="zh-CN" w:bidi="ar-SA"/>
        </w:rPr>
        <w:t xml:space="preserve">3）早餐主食不低于10个品种，小菜不低于4个品种，汤不低于2个品种；午、晚餐菜品不低于10个品种，其中特色菜肴不低于2种，主食不低于2种汤免费。就餐采取自选方式，职工按照菜品的价格刷就餐卡进行结算。</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基本菜肴价格不高于大荤 5-6元、小荤 3-4元、素菜 1-2元；</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bidi="ar-SA"/>
        </w:rPr>
        <w:t xml:space="preserve">特色菜肴（含小吃、卤菜等特色品种）价格根据成本自行定价，实行微利润销售。</w:t>
      </w:r>
      <w:r/>
    </w:p>
    <w:p>
      <w:pPr>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w:t>
      </w:r>
      <w:bookmarkEnd w:id="88"/>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就餐人数以实际为准，菜单及供餐形式须服从采购人要求。</w:t>
      </w:r>
      <w:r/>
    </w:p>
    <w:p>
      <w:pPr>
        <w:ind w:firstLine="482"/>
        <w:jc w:val="both"/>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2.职工用餐，职工用餐执行成本价供应原则，严控菜品毛利，接受采购人核算监督，为采购人提供正餐服务，确保饭菜成本价格供应；</w:t>
      </w:r>
      <w:r/>
    </w:p>
    <w:p>
      <w:pPr>
        <w:ind w:firstLine="482"/>
        <w:jc w:val="both"/>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3.接待客餐，投标人可在饭菜成本价格的基础上上浮10%；</w:t>
      </w:r>
      <w:r/>
    </w:p>
    <w:p>
      <w:pPr>
        <w:ind w:firstLine="482"/>
        <w:jc w:val="both"/>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4.投标人应按照采购人要求，提前提供职工用餐及接待客餐菜单由采购人审核，做到：原料新鲜、搭配合理、花样翻新、味道可口、物有所值；</w:t>
      </w:r>
      <w:r/>
    </w:p>
    <w:p>
      <w:pPr>
        <w:ind w:firstLine="482"/>
        <w:jc w:val="both"/>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5.投标人应保证派驻厨师、服务人员按时在岗在位；</w:t>
      </w:r>
      <w:r/>
    </w:p>
    <w:p>
      <w:pPr>
        <w:ind w:firstLine="482"/>
        <w:jc w:val="both"/>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6.采购人因会务、接待或其他公务活动需投标人员加班的，投标人应随时提供加班服务；</w:t>
      </w:r>
      <w:r/>
    </w:p>
    <w:p>
      <w:pPr>
        <w:ind w:firstLine="482"/>
        <w:jc w:val="both"/>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7.投标人应严格执行国家所规定的卫生管理条例、食品管理条例及相关行业管理规定，确保所采购的蔬菜、禽类、肉类、油等新鲜并符合国家卫生标准，确保菜肴的新鲜和卫生；定期对食堂进行全面消毒，清除四害；食堂工作人员必须持健康证上岗，工作期间衣着整洁，按规定统一佩戴工作帽、口罩、一次性手套等；</w:t>
      </w:r>
      <w:r/>
    </w:p>
    <w:p>
      <w:pPr>
        <w:ind w:firstLine="482"/>
        <w:jc w:val="both"/>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8.投标人必须严格执行公安、消防等部门的规定，切实做好防火、防盗、防事故工作，确保托管场所的人身安全及水电气等设备的使用安全，因违规操作发生的安全事故后果由投标人承担；投标人应正确使用、及时维护采购人提供的所有厨具、餐具、电气等设备设施，因人为原因造成的损失由投标人照价赔偿，投标人应节约水、电、气的使用，如有恶意浪费，采购人据情节给予处罚；</w:t>
      </w:r>
      <w:r/>
    </w:p>
    <w:p>
      <w:pPr>
        <w:ind w:firstLine="482"/>
        <w:jc w:val="both"/>
        <w:spacing w:line="360" w:lineRule="auto"/>
        <w:rPr>
          <w:rFonts w:hint="eastAsia" w:ascii="仿宋" w:hAnsi="仿宋" w:eastAsia="仿宋" w:cs="仿宋"/>
          <w:highlight w:val="none"/>
          <w:lang w:val="en-US"/>
        </w:rPr>
      </w:pPr>
      <w:r>
        <w:rPr>
          <w:rFonts w:hint="eastAsia" w:ascii="仿宋" w:hAnsi="仿宋" w:eastAsia="仿宋" w:cs="仿宋"/>
          <w:b/>
          <w:bCs/>
          <w:color w:val="auto"/>
          <w:sz w:val="24"/>
          <w:szCs w:val="24"/>
          <w:highlight w:val="none"/>
          <w:lang w:val="en-US" w:eastAsia="zh-CN"/>
        </w:rPr>
        <w:t xml:space="preserve">9.投标人负责外包期间发生工伤、事故、人员纠纷等，一切责任及费用均由投标人承担。</w:t>
      </w:r>
      <w:r/>
    </w:p>
    <w:p>
      <w:pPr>
        <w:pStyle w:val="842"/>
        <w:ind w:left="0" w:right="1400" w:firstLine="0"/>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六、食堂管理服务要求</w:t>
      </w:r>
      <w:r/>
    </w:p>
    <w:p>
      <w:pPr>
        <w:pStyle w:val="821"/>
        <w:ind w:left="105" w:firstLine="42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1、严格遵守使用单位的用餐时间，保证按时正点开餐，在开餐前10分钟确保所有饭菜品全部摆放到位，开餐前5分钟所有服务人员站立到指定岗位等待开餐。</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标人提供的所有服务人员都要持有有效《健康证》，并在展示板空白处长期公示。采购人定期核查和随机抽查，发现问题的，中标人应无条件按采购人要求标准及时更换人员。工作期间严格按照餐饮行业服务标准着装，要求服装整洁，待人礼貌。</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确保食堂设施及环境安全卫生，各种餐具用品需及时清洗，做到卫生、洁净、消毒；餐室（厨房）无蝇、无虫；排油烟设施罩清洁不滴油；每次餐后餐具各类物品摆放整齐、规范；操作间每天大清洗一次；垃圾处理及时妥当；食堂环境保持整洁无污染，符合卫生防疫要求。</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确保食堂的安全卫生并在采购人的监督指导下工作。保持餐具清洗无残留物；桌面清理整洁，饭菜中无头发等异物；就餐地面环境达标等;必须确保食堂饭菜质量，协助采购人对进货质量严格验收把关，符合食品安全法及国家、省、市相关规定。食堂服务人员的安全事故防范和处理工作有预案。严格遵守安全生产规定，规范人员操作流程，严禁出现各类安全生产事件。</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合理使用采购人厨房现有设备及餐具，妥善保管，严格管理。由于中标人违约或因管理不善而造成甲方设施或财物损毁、缺失的，中标人应立即按照同标准同品牌进行实物或货币赔偿；实物赔偿的品种、规格应与原设施相同。</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必须按照合同约定配齐食堂工作人员，按照采购人的要求及时做好工作人员的调整、更换和补充工作。常驻人员请、休假，乙方应提前安排经采购人认可的同等条件、资质的人员补岗。人员缺岗未及时补位的，按缺岗岗位对应人工日成本扣除服务费；无法区分岗位工资的，按本项目人员平均日人工成本核算扣减。</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7、中标人应向采购人提供每位员工的相关技能证书、劳动合同、健康证及本人身份证复印</w:t>
      </w:r>
      <w:r>
        <w:rPr>
          <w:rFonts w:hint="eastAsia" w:ascii="仿宋" w:hAnsi="仿宋" w:eastAsia="仿宋" w:cs="仿宋"/>
          <w:sz w:val="24"/>
          <w:szCs w:val="24"/>
          <w:highlight w:val="none"/>
          <w:lang w:val="en-US" w:eastAsia="zh-CN"/>
        </w:rPr>
        <w:t xml:space="preserve">件</w:t>
      </w:r>
      <w:r>
        <w:rPr>
          <w:rFonts w:hint="eastAsia" w:ascii="仿宋" w:hAnsi="仿宋" w:eastAsia="仿宋" w:cs="仿宋"/>
          <w:sz w:val="24"/>
          <w:szCs w:val="24"/>
          <w:highlight w:val="none"/>
        </w:rPr>
        <w:t xml:space="preserve">等证件资料，经采购人审核同意后，中标人方可安排至采购人处工作。在项目执行过程中项目负责人和工作人员未经采购人许可，不得变更。</w:t>
      </w:r>
      <w:r/>
    </w:p>
    <w:p>
      <w:pPr>
        <w:pStyle w:val="821"/>
        <w:ind w:firstLine="56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8、遵守采购人管理的各项规章制度，服从采购人管理调配。因工作需要加班加点工作必服从采购人安排</w:t>
      </w:r>
      <w:r>
        <w:rPr>
          <w:rFonts w:hint="eastAsia" w:ascii="仿宋" w:hAnsi="仿宋" w:eastAsia="仿宋" w:cs="仿宋"/>
          <w:sz w:val="24"/>
          <w:szCs w:val="24"/>
          <w:highlight w:val="none"/>
          <w:lang w:eastAsia="zh-CN"/>
        </w:rPr>
        <w:t xml:space="preserve">。</w:t>
      </w:r>
      <w:r/>
    </w:p>
    <w:p>
      <w:pPr>
        <w:pStyle w:val="821"/>
        <w:ind w:firstLine="56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9、必须按采购人确定的食谱和要求进行保障，不得私自调整菜谱。</w:t>
      </w:r>
      <w:r/>
    </w:p>
    <w:p>
      <w:pPr>
        <w:pStyle w:val="822"/>
        <w:ind w:left="0" w:firstLine="480"/>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10、中标人使用年满 60 周岁及以上人员上岗作业，除按要求提交身份证、劳务聘用协议、有效健康证以外，必须向采购人提交该人员工伤保险参保凭证（项目参保或单人工伤参保），未完成工伤保险参保的人员不得上岗。实际上岗人员年龄不得超过65 周岁，采购人有权对超龄人员上岗前健康体检报告进行复核，体检不合格不予上岗。未满法定退休年龄人员，中标人应当依法签订劳动合同并缴纳社会保险。</w:t>
      </w:r>
      <w:r/>
    </w:p>
    <w:p>
      <w:pPr>
        <w:pStyle w:val="812"/>
        <w:jc w:val="both"/>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sz w:val="24"/>
          <w:szCs w:val="24"/>
          <w:highlight w:val="none"/>
        </w:rPr>
        <w:t xml:space="preserve">七、其他要求：见招标文件6、《合同主要条款》。</w:t>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1002"/>
          <w:rFonts w:hint="eastAsia" w:ascii="仿宋" w:hAnsi="仿宋" w:eastAsia="仿宋" w:cs="仿宋"/>
          <w:color w:val="000000" w:themeColor="text1"/>
          <w:sz w:val="24"/>
          <w:szCs w:val="24"/>
          <w:highlight w:val="none"/>
          <w14:textFill>
            <w14:solidFill>
              <w14:schemeClr w14:val="tx1"/>
            </w14:solidFill>
          </w14:textFill>
        </w:rPr>
      </w:pPr>
      <w:r>
        <w:rPr>
          <w:rStyle w:val="1002"/>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Style w:val="1002"/>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812"/>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89" w:name="_Toc17357"/>
      <w:r/>
      <w:bookmarkStart w:id="90" w:name="_Toc28445"/>
      <w:r/>
      <w:bookmarkStart w:id="91" w:name="_Toc2522"/>
      <w:r>
        <w:rPr>
          <w:rFonts w:hint="eastAsia" w:ascii="仿宋" w:hAnsi="仿宋" w:eastAsia="仿宋" w:cs="仿宋"/>
          <w:color w:val="000000" w:themeColor="text1"/>
          <w:sz w:val="24"/>
          <w:highlight w:val="none"/>
          <w14:textFill>
            <w14:solidFill>
              <w14:schemeClr w14:val="tx1"/>
            </w14:solidFill>
          </w14:textFill>
        </w:rPr>
        <w:t xml:space="preserve">（首次）</w:t>
      </w:r>
      <w:bookmarkEnd w:id="89"/>
      <w:r/>
      <w:bookmarkEnd w:id="90"/>
      <w:r/>
      <w:bookmarkEnd w:id="91"/>
      <w:r/>
      <w:r/>
    </w:p>
    <w:p>
      <w:pPr>
        <w:jc w:val="left"/>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p>
    <w:p>
      <w:pPr>
        <w:jc w:val="left"/>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p>
    <w:p>
      <w:pPr>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本次为首次报价</w:t>
      </w:r>
      <w:r/>
    </w:p>
    <w:p>
      <w:pPr>
        <w:jc w:val="both"/>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货币单位：人民币元</w:t>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sz w:val="24"/>
          <w:highlight w:val="none"/>
        </w:rPr>
        <w:t xml:space="preserve">（政府采购客户端工具输入报价自动生成，加盖电子签章）</w:t>
      </w:r>
      <w:r/>
    </w:p>
    <w:p>
      <w:pPr>
        <w:pStyle w:val="801"/>
        <w:ind w:left="0" w:right="0"/>
        <w:jc w:val="center"/>
        <w:keepLines w:val="0"/>
        <w:keepNext w:val="0"/>
        <w:spacing w:before="0" w:beforeAutospacing="0" w:after="0" w:afterAutospacing="0" w:line="360" w:lineRule="auto"/>
        <w:shd w:val="clear" w:color="auto"/>
        <w:widowControl w:val="off"/>
        <w:rPr>
          <w:rFonts w:hint="eastAsia" w:ascii="仿宋" w:hAnsi="仿宋" w:eastAsia="仿宋" w:cs="仿宋"/>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供应商承诺：本报价（总价）为本企业提供本项目食堂一体化外包服务的全部费用。</w:t>
      </w:r>
      <w:r/>
    </w:p>
    <w:p>
      <w:pPr>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1、报价包括完成项目的所有费用。采购人不再支付报价以外的任何费用。</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4、如最后报价未列明单价，则最后所报各项单价计算方法为：（最后报价/最初报价）*各项最初报价的单价。</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en-US" w:eastAsia="zh-CN"/>
        </w:rPr>
        <w:t xml:space="preserve">公章</w:t>
      </w:r>
      <w:r>
        <w:rPr>
          <w:rFonts w:hint="eastAsia" w:ascii="仿宋" w:hAnsi="仿宋" w:eastAsia="仿宋" w:cs="仿宋"/>
          <w:color w:val="auto"/>
          <w:sz w:val="24"/>
          <w:highlight w:val="none"/>
        </w:rPr>
        <w:t xml:space="preserve">）：</w:t>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auto"/>
          <w:sz w:val="24"/>
          <w:highlight w:val="none"/>
        </w:rPr>
        <w:t xml:space="preserve">                           日期：</w:t>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4、分项价格表</w:t>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（具有标价的</w:t>
      </w:r>
      <w:r>
        <w:rPr>
          <w:rFonts w:hint="eastAsia" w:ascii="仿宋" w:hAnsi="仿宋" w:eastAsia="仿宋" w:cs="仿宋"/>
          <w:b/>
          <w:bCs/>
          <w:color w:val="000000"/>
          <w:sz w:val="36"/>
          <w:highlight w:val="none"/>
          <w:lang w:val="en-US" w:eastAsia="zh-CN"/>
        </w:rPr>
        <w:t xml:space="preserve">采购需求</w:t>
      </w:r>
      <w:r>
        <w:rPr>
          <w:rFonts w:hint="eastAsia" w:ascii="仿宋" w:hAnsi="仿宋" w:eastAsia="仿宋" w:cs="仿宋"/>
          <w:b/>
          <w:bCs/>
          <w:color w:val="000000"/>
          <w:sz w:val="36"/>
          <w:highlight w:val="none"/>
        </w:rPr>
        <w:t xml:space="preserve">与报价表）</w:t>
      </w:r>
      <w:r/>
    </w:p>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本次为首次报价</w:t>
      </w:r>
      <w:r/>
    </w:p>
    <w:p>
      <w:pPr>
        <w:jc w:val="lef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u w:val="single"/>
        </w:rPr>
        <w:t xml:space="preserve">               </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12"/>
        <w:ind w:left="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【根据《</w:t>
      </w:r>
      <w:r>
        <w:rPr>
          <w:rFonts w:hint="eastAsia" w:ascii="仿宋" w:hAnsi="仿宋" w:eastAsia="仿宋" w:cs="仿宋"/>
          <w:color w:val="auto"/>
          <w:highlight w:val="none"/>
          <w:lang w:val="en-US" w:eastAsia="zh-CN"/>
        </w:rPr>
        <w:t xml:space="preserve">采购需求</w:t>
      </w:r>
      <w:r>
        <w:rPr>
          <w:rFonts w:hint="eastAsia" w:ascii="仿宋" w:hAnsi="仿宋" w:eastAsia="仿宋" w:cs="仿宋"/>
          <w:color w:val="auto"/>
          <w:highlight w:val="none"/>
        </w:rPr>
        <w:t xml:space="preserve">》进行编制】</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en-US" w:eastAsia="zh-CN"/>
        </w:rPr>
        <w:t xml:space="preserve">公</w:t>
      </w:r>
      <w:r>
        <w:rPr>
          <w:rFonts w:hint="eastAsia" w:ascii="仿宋" w:hAnsi="仿宋" w:eastAsia="仿宋" w:cs="仿宋"/>
          <w:color w:val="auto"/>
          <w:sz w:val="24"/>
          <w:highlight w:val="none"/>
        </w:rPr>
        <w:t xml:space="preserve">章）：</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spacing w:line="27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spacing w:line="27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说明：</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w:t>
      </w:r>
      <w:r>
        <w:rPr>
          <w:rFonts w:hint="eastAsia" w:ascii="仿宋" w:hAnsi="仿宋" w:eastAsia="仿宋" w:cs="仿宋"/>
          <w:b/>
          <w:color w:val="auto"/>
          <w:sz w:val="24"/>
          <w:highlight w:val="none"/>
        </w:rPr>
        <w:t xml:space="preserve">供应商须在首次响应文件中提交《分项价格表》；本项目二轮（最后）报价仅填报总价，不再更新分项报价，最终分项单价按照：最终分项单价 = 首次分项单价 ×（最后报价总价 ÷ 首次响应报价总价）同比例折算。磋商小组可要求供应商补充完善，拒不补充完善的将影响综合得分。</w:t>
      </w:r>
      <w:r/>
    </w:p>
    <w:p>
      <w:pPr>
        <w:spacing w:line="276" w:lineRule="auto"/>
        <w:rPr>
          <w:rFonts w:hint="eastAsia" w:ascii="仿宋" w:hAnsi="仿宋" w:eastAsia="仿宋" w:cs="仿宋"/>
          <w:b/>
          <w:i/>
          <w:color w:val="auto"/>
          <w:sz w:val="24"/>
          <w:highlight w:val="none"/>
          <w:u w:val="single"/>
        </w:rPr>
      </w:pPr>
      <w:r>
        <w:rPr>
          <w:rFonts w:hint="eastAsia" w:ascii="仿宋" w:hAnsi="仿宋" w:eastAsia="仿宋" w:cs="仿宋"/>
          <w:color w:val="auto"/>
          <w:sz w:val="24"/>
          <w:highlight w:val="none"/>
        </w:rPr>
        <w:t xml:space="preserve">2.响应供应商对以上数据的真实性负责。</w:t>
      </w:r>
      <w:r/>
    </w:p>
    <w:p>
      <w:pPr>
        <w:jc w:val="both"/>
        <w:spacing w:line="276" w:lineRule="auto"/>
        <w:rPr>
          <w:rFonts w:hint="eastAsia" w:ascii="仿宋" w:hAnsi="仿宋" w:eastAsia="仿宋" w:cs="仿宋"/>
          <w:b/>
          <w:bCs/>
          <w:iCs/>
          <w:color w:val="auto"/>
          <w:sz w:val="24"/>
          <w:highlight w:val="none"/>
        </w:rPr>
      </w:pPr>
      <w:r>
        <w:rPr>
          <w:rFonts w:hint="eastAsia" w:ascii="仿宋" w:hAnsi="仿宋" w:eastAsia="仿宋" w:cs="仿宋"/>
          <w:b/>
          <w:iCs/>
          <w:color w:val="auto"/>
          <w:sz w:val="24"/>
          <w:highlight w:val="none"/>
          <w:u w:val="single"/>
        </w:rPr>
        <w:t xml:space="preserve">采购人或采购代理机构有权将以上内容进行公示。</w:t>
      </w:r>
      <w:r/>
    </w:p>
    <w:p>
      <w:pPr>
        <w:pStyle w:val="812"/>
        <w:numPr>
          <w:ilvl w:val="0"/>
          <w:numId w:val="0"/>
        </w:numPr>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828"/>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828"/>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77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highlight w:val="none"/>
              </w:rPr>
            </w:pPr>
            <w:r>
              <w:rPr>
                <w:rFonts w:hint="eastAsia" w:ascii="仿宋" w:hAnsi="仿宋" w:eastAsia="仿宋" w:cs="仿宋"/>
                <w:caps/>
                <w:sz w:val="24"/>
                <w:highlight w:val="none"/>
              </w:rPr>
              <w:t xml:space="preserve">序号</w:t>
            </w:r>
            <w:r/>
          </w:p>
        </w:tc>
        <w:tc>
          <w:tcPr>
            <w:tcW w:w="1220" w:type="dxa"/>
            <w:vAlign w:val="center"/>
            <w:textDirection w:val="lrTb"/>
            <w:noWrap w:val="false"/>
          </w:tcPr>
          <w:p>
            <w:pPr>
              <w:jc w:val="center"/>
              <w:rPr>
                <w:rFonts w:hint="eastAsia" w:ascii="仿宋" w:hAnsi="仿宋" w:eastAsia="仿宋" w:cs="仿宋"/>
                <w:caps/>
                <w:sz w:val="24"/>
                <w:highlight w:val="none"/>
              </w:rPr>
            </w:pPr>
            <w:r>
              <w:rPr>
                <w:rFonts w:hint="eastAsia" w:ascii="仿宋" w:hAnsi="仿宋" w:eastAsia="仿宋" w:cs="仿宋"/>
                <w:caps/>
                <w:sz w:val="24"/>
                <w:highlight w:val="none"/>
              </w:rPr>
              <w:t xml:space="preserve">偏离内容</w:t>
            </w:r>
            <w:r/>
          </w:p>
        </w:tc>
        <w:tc>
          <w:tcPr>
            <w:tcW w:w="2415" w:type="dxa"/>
            <w:vAlign w:val="center"/>
            <w:textDirection w:val="lrTb"/>
            <w:noWrap w:val="false"/>
          </w:tcPr>
          <w:p>
            <w:pPr>
              <w:jc w:val="center"/>
              <w:rPr>
                <w:rFonts w:hint="eastAsia" w:ascii="仿宋" w:hAnsi="仿宋" w:eastAsia="仿宋" w:cs="仿宋"/>
                <w:caps/>
                <w:sz w:val="24"/>
                <w:highlight w:val="none"/>
              </w:rPr>
            </w:pPr>
            <w:r>
              <w:rPr>
                <w:rFonts w:hint="eastAsia" w:ascii="仿宋" w:hAnsi="仿宋" w:eastAsia="仿宋" w:cs="仿宋"/>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highlight w:val="none"/>
              </w:rPr>
            </w:pPr>
            <w:r>
              <w:rPr>
                <w:rFonts w:hint="eastAsia" w:ascii="仿宋" w:hAnsi="仿宋" w:eastAsia="仿宋" w:cs="仿宋"/>
                <w:sz w:val="24"/>
                <w:highlight w:val="none"/>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highlight w:val="none"/>
              </w:rPr>
            </w:pPr>
            <w:r>
              <w:rPr>
                <w:rFonts w:hint="eastAsia" w:ascii="仿宋" w:hAnsi="仿宋" w:eastAsia="仿宋" w:cs="仿宋"/>
                <w:caps/>
                <w:sz w:val="24"/>
                <w:highlight w:val="none"/>
              </w:rPr>
              <w:t xml:space="preserve">（正/负/无）偏离</w:t>
            </w:r>
            <w:r/>
          </w:p>
        </w:tc>
        <w:tc>
          <w:tcPr>
            <w:tcW w:w="2123" w:type="dxa"/>
            <w:vAlign w:val="center"/>
            <w:textDirection w:val="lrTb"/>
            <w:noWrap w:val="false"/>
          </w:tcPr>
          <w:p>
            <w:pPr>
              <w:jc w:val="center"/>
              <w:rPr>
                <w:rFonts w:hint="eastAsia" w:ascii="仿宋" w:hAnsi="仿宋" w:eastAsia="仿宋" w:cs="仿宋"/>
                <w:caps/>
                <w:sz w:val="24"/>
                <w:highlight w:val="none"/>
              </w:rPr>
            </w:pPr>
            <w:r>
              <w:rPr>
                <w:rFonts w:hint="eastAsia" w:ascii="仿宋" w:hAnsi="仿宋" w:eastAsia="仿宋" w:cs="仿宋"/>
                <w:caps/>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r>
            <w:r/>
          </w:p>
        </w:tc>
        <w:tc>
          <w:tcPr>
            <w:tcW w:w="122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r>
            <w:r/>
          </w:p>
        </w:tc>
        <w:tc>
          <w:tcPr>
            <w:tcW w:w="2415"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r>
            <w:r/>
          </w:p>
        </w:tc>
        <w:tc>
          <w:tcPr>
            <w:tcW w:w="1575"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r>
            <w:r/>
          </w:p>
        </w:tc>
        <w:tc>
          <w:tcPr>
            <w:tcW w:w="1351"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r>
            <w:r/>
          </w:p>
        </w:tc>
        <w:tc>
          <w:tcPr>
            <w:tcW w:w="2123"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pStyle w:val="81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公章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highlight w:val="none"/>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812"/>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827"/>
        <w:ind w:left="0" w:firstLine="0"/>
        <w:rPr>
          <w:rFonts w:hint="eastAsia"/>
          <w:highlight w:val="none"/>
        </w:rPr>
      </w:pPr>
      <w:r>
        <w:rPr>
          <w:rFonts w:hint="eastAsia"/>
          <w:highlight w:val="none"/>
        </w:rPr>
      </w:r>
      <w:r/>
    </w:p>
    <w:p>
      <w:pPr>
        <w:pStyle w:val="812"/>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827"/>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6</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、承诺书</w:t>
      </w:r>
      <w:r/>
    </w:p>
    <w:p>
      <w:pPr>
        <w:pStyle w:val="812"/>
        <w:ind w:firstLine="720"/>
        <w:keepLines w:val="0"/>
        <w:keepNext w:val="0"/>
        <w:pageBreakBefore w:val="0"/>
        <w:spacing w:line="24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致：徐州荣新建设项目管理有限公司</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江苏新沂经济开发区管理委员会</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根据贵方经开区食堂一体化外包服务项目《竞争性磋商文件》（项目编号：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92" w:name="_Toc20543"/>
      <w:r/>
      <w:bookmarkStart w:id="93" w:name="_Toc30031"/>
      <w:r/>
      <w:bookmarkStart w:id="94" w:name="_Toc18142"/>
      <w:r/>
      <w:bookmarkStart w:id="95" w:name="_Toc16644"/>
      <w:r/>
      <w:bookmarkStart w:id="96" w:name="_Toc24561"/>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92"/>
      <w:r/>
      <w:bookmarkEnd w:id="93"/>
      <w:r/>
      <w:bookmarkEnd w:id="94"/>
      <w:r/>
      <w:bookmarkEnd w:id="95"/>
      <w:r/>
      <w:bookmarkEnd w:id="96"/>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97" w:name="_Toc27515"/>
      <w:r/>
      <w:bookmarkStart w:id="98" w:name="_Toc15322"/>
      <w:r/>
      <w:bookmarkStart w:id="99" w:name="_Toc26005"/>
      <w:r/>
      <w:bookmarkStart w:id="100" w:name="_Toc27728"/>
      <w:r/>
      <w:bookmarkStart w:id="101" w:name="_Toc8339"/>
      <w:r>
        <w:rPr>
          <w:rFonts w:hint="eastAsia" w:ascii="仿宋" w:hAnsi="仿宋" w:eastAsia="仿宋" w:cs="仿宋"/>
          <w:color w:val="000000" w:themeColor="text1"/>
          <w:sz w:val="24"/>
          <w:highlight w:val="none"/>
          <w14:textFill>
            <w14:solidFill>
              <w14:schemeClr w14:val="tx1"/>
            </w14:solidFill>
          </w14:textFill>
        </w:rPr>
        <w:t xml:space="preserve">（3）偏离表；</w:t>
      </w:r>
      <w:bookmarkEnd w:id="97"/>
      <w:r/>
      <w:bookmarkEnd w:id="98"/>
      <w:r/>
      <w:bookmarkEnd w:id="99"/>
      <w:r/>
      <w:bookmarkEnd w:id="100"/>
      <w:r/>
      <w:bookmarkEnd w:id="101"/>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02" w:name="_Toc1135"/>
      <w:r/>
      <w:bookmarkStart w:id="103" w:name="_Toc10380"/>
      <w:r/>
      <w:bookmarkStart w:id="104" w:name="_Toc30830"/>
      <w:r/>
      <w:bookmarkStart w:id="105" w:name="_Toc22961"/>
      <w:r/>
      <w:bookmarkStart w:id="106" w:name="_Toc2652"/>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02"/>
      <w:r/>
      <w:bookmarkEnd w:id="103"/>
      <w:r/>
      <w:bookmarkEnd w:id="104"/>
      <w:r/>
      <w:bookmarkEnd w:id="105"/>
      <w:r/>
      <w:bookmarkEnd w:id="106"/>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五、投标有效期为45日。</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八、徐州荣新建设项目管理有限公司有权将我单位本项目的《磋商报价表》予以公示，公示的方式由徐州荣新建设项目管理有限公司确定。</w:t>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2"/>
        <w:ind w:firstLine="720"/>
        <w:keepLines w:val="0"/>
        <w:keepNext w:val="0"/>
        <w:pageBreakBefore w:val="0"/>
        <w:spacing w:line="240" w:lineRule="auto"/>
        <w:rPr>
          <w:rFonts w:hint="eastAsia" w:ascii="仿宋" w:hAnsi="仿宋" w:eastAsia="仿宋" w:cs="仿宋"/>
          <w:strike/>
          <w:color w:val="000000" w:themeColor="text1"/>
          <w:sz w:val="24"/>
          <w:highlight w:val="none"/>
          <w14:textFill>
            <w14:solidFill>
              <w14:schemeClr w14:val="tx1"/>
            </w14:solidFill>
          </w14:textFill>
        </w:rPr>
      </w:pPr>
      <w:r>
        <w:rPr>
          <w:rFonts w:hint="eastAsia" w:ascii="仿宋" w:hAnsi="仿宋" w:eastAsia="仿宋" w:cs="仿宋"/>
          <w:strike/>
          <w:color w:val="000000" w:themeColor="text1"/>
          <w:sz w:val="24"/>
          <w:highlight w:val="none"/>
          <w14:textFill>
            <w14:solidFill>
              <w14:schemeClr w14:val="tx1"/>
            </w14:solidFill>
          </w14:textFill>
        </w:rPr>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公章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12"/>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12"/>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812"/>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12"/>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812"/>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12"/>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812"/>
        <w:jc w:val="center"/>
        <w:pageBreakBefore w:val="0"/>
        <w:spacing w:line="360" w:lineRule="auto"/>
        <w:widowControl/>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widowControl/>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32"/>
        <w:rPr>
          <w:rFonts w:hint="eastAsia"/>
          <w:highlight w:val="none"/>
        </w:rPr>
      </w:pPr>
      <w:r>
        <w:rPr>
          <w:rFonts w:hint="eastAsia"/>
          <w:highlight w:val="none"/>
        </w:rPr>
      </w:r>
      <w:r/>
    </w:p>
    <w:p>
      <w:pPr>
        <w:pStyle w:val="812"/>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7</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、法人授权委托书</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）全权代表我企业（公司）参与经开区食堂一体化外包服务项目[项目编号：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81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公章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1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1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81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828"/>
        <w:rPr>
          <w:rFonts w:hint="eastAsia" w:ascii="仿宋" w:hAnsi="仿宋" w:eastAsia="仿宋" w:cs="仿宋"/>
          <w:highlight w:val="none"/>
        </w:rPr>
      </w:pPr>
      <w:r>
        <w:rPr>
          <w:rFonts w:hint="eastAsia" w:ascii="仿宋" w:hAnsi="仿宋" w:eastAsia="仿宋" w:cs="仿宋"/>
          <w:highlight w:val="none"/>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8</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、供应商参加政府采购活动前3年内在经营活动中没有重大违法记录的书面声明</w:t>
      </w:r>
      <w:r/>
    </w:p>
    <w:p>
      <w:pPr>
        <w:pStyle w:val="812"/>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我单位在参加经开区食堂一体化外包服务项目[项目编号：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812"/>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8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公章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12"/>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27"/>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3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3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3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27"/>
        <w:rPr>
          <w:rFonts w:hint="eastAsia"/>
          <w:highlight w:val="none"/>
        </w:rPr>
      </w:pPr>
      <w:r>
        <w:rPr>
          <w:rFonts w:hint="eastAsia"/>
          <w:highlight w:val="none"/>
        </w:rPr>
      </w:r>
      <w:r/>
    </w:p>
    <w:p>
      <w:pPr>
        <w:pStyle w:val="821"/>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9</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 具备履行合同所必需的设备和专业技术能力的书面声明</w:t>
      </w:r>
      <w:r/>
    </w:p>
    <w:p>
      <w:pPr>
        <w:pStyle w:val="82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2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2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项目名称：经开区食堂一体化外包服务项目</w:t>
      </w:r>
      <w:r/>
    </w:p>
    <w:p>
      <w:pPr>
        <w:pStyle w:val="82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 </w:t>
      </w:r>
      <w:r/>
    </w:p>
    <w:p>
      <w:pPr>
        <w:pStyle w:val="820"/>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sz w:val="24"/>
          <w:highlight w:val="none"/>
        </w:rPr>
        <w:t xml:space="preserve">（</w:t>
      </w:r>
      <w:r>
        <w:rPr>
          <w:rFonts w:hint="eastAsia" w:hAnsi="宋体" w:cs="宋体"/>
          <w:color w:val="000000"/>
          <w:sz w:val="24"/>
          <w:highlight w:val="none"/>
          <w:lang w:val="en-US" w:eastAsia="zh-CN"/>
        </w:rPr>
        <w:t xml:space="preserve">公</w:t>
      </w:r>
      <w:r>
        <w:rPr>
          <w:rFonts w:hint="eastAsia" w:ascii="宋体" w:hAnsi="宋体" w:eastAsia="宋体" w:cs="宋体"/>
          <w:color w:val="000000"/>
          <w:sz w:val="24"/>
          <w:highlight w:val="none"/>
        </w:rPr>
        <w:t xml:space="preserve">章</w:t>
      </w:r>
      <w:r>
        <w:rPr>
          <w:rFonts w:hint="eastAsia" w:ascii="宋体" w:hAnsi="宋体" w:eastAsia="宋体" w:cs="宋体"/>
          <w:sz w:val="24"/>
          <w:highlight w:val="none"/>
        </w:rPr>
        <w:t xml:space="preserve">）</w:t>
      </w:r>
      <w:r/>
    </w:p>
    <w:p>
      <w:pPr>
        <w:pStyle w:val="820"/>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12"/>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10</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、中小企业声明函</w:t>
      </w:r>
      <w:r/>
    </w:p>
    <w:p>
      <w:pPr>
        <w:pStyle w:val="812"/>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821"/>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ascii="仿宋" w:hAnsi="仿宋" w:eastAsia="仿宋" w:cs="仿宋"/>
          <w:i w:val="0"/>
          <w:iCs w:val="0"/>
          <w:caps w:val="0"/>
          <w:color w:val="353535"/>
          <w:spacing w:val="0"/>
          <w:sz w:val="24"/>
          <w:szCs w:val="24"/>
          <w:highlight w:val="none"/>
          <w:u w:val="single"/>
          <w:shd w:val="clear" w:color="auto" w:fill="ffffff"/>
        </w:rPr>
        <w:t xml:space="preserve">江苏新沂经济开发区管理委员会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经开区食堂一体化外包服务项目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采购活动，本项目由本单位直接承接提供服务，</w:t>
      </w:r>
      <w:r>
        <w:rPr>
          <w:rFonts w:hint="eastAsia" w:ascii="仿宋" w:hAnsi="仿宋" w:eastAsia="仿宋" w:cs="仿宋"/>
          <w:color w:val="auto"/>
          <w:sz w:val="24"/>
          <w:szCs w:val="24"/>
          <w:highlight w:val="none"/>
          <w:lang w:val="en-US" w:eastAsia="zh-CN"/>
        </w:rPr>
        <w:t xml:space="preserve">本单位属于</w:t>
      </w:r>
      <w:r>
        <w:rPr>
          <w:rFonts w:hint="eastAsia" w:ascii="仿宋" w:hAnsi="仿宋" w:eastAsia="仿宋" w:cs="仿宋"/>
          <w:color w:val="auto"/>
          <w:sz w:val="24"/>
          <w:szCs w:val="24"/>
          <w:highlight w:val="none"/>
        </w:rPr>
        <w:t xml:space="preserve">中小企业。相关企业的具体情况如下：</w:t>
      </w:r>
      <w:r/>
    </w:p>
    <w:p>
      <w:pPr>
        <w:pStyle w:val="821"/>
        <w:ind w:firstLine="480"/>
        <w:pageBreakBefore w:val="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经开区食堂一体化外包服务项目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餐饮服务业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812"/>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812"/>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812"/>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2"/>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公章</w:t>
      </w:r>
      <w:r>
        <w:rPr>
          <w:rFonts w:hint="eastAsia" w:ascii="仿宋" w:hAnsi="仿宋" w:eastAsia="仿宋" w:cs="仿宋"/>
          <w:color w:val="auto"/>
          <w:sz w:val="24"/>
          <w:szCs w:val="24"/>
          <w:highlight w:val="none"/>
        </w:rPr>
        <w:t xml:space="preserve">）：</w:t>
      </w:r>
      <w:r/>
    </w:p>
    <w:p>
      <w:pPr>
        <w:pStyle w:val="812"/>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8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2"/>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12"/>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12"/>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2、采购人确定的采购项目属性：服务。</w:t>
      </w:r>
      <w:r/>
    </w:p>
    <w:p>
      <w:pPr>
        <w:pStyle w:val="828"/>
        <w:rPr>
          <w:rFonts w:hint="eastAsia" w:ascii="仿宋" w:hAnsi="仿宋" w:eastAsia="仿宋" w:cs="仿宋"/>
          <w:highlight w:val="none"/>
        </w:rPr>
      </w:pPr>
      <w:r>
        <w:rPr>
          <w:rFonts w:hint="eastAsia" w:ascii="仿宋" w:hAnsi="仿宋" w:eastAsia="仿宋" w:cs="仿宋"/>
          <w:highlight w:val="none"/>
        </w:rPr>
      </w:r>
      <w:r/>
    </w:p>
    <w:p>
      <w:pPr>
        <w:pStyle w:val="830"/>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2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1018"/>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07" w:name="_Toc16442"/>
      <w:r/>
      <w:bookmarkStart w:id="108" w:name="_Toc20404"/>
      <w:r/>
      <w:bookmarkStart w:id="109" w:name="_Toc20052"/>
      <w:r/>
      <w:bookmarkStart w:id="110" w:name="_Toc8932"/>
      <w:r/>
      <w:bookmarkStart w:id="111" w:name="_Toc14588"/>
      <w:r/>
      <w:bookmarkStart w:id="112" w:name="_Toc369"/>
      <w:r/>
      <w:bookmarkStart w:id="113" w:name="_Toc28289"/>
      <w:r/>
      <w:r/>
    </w:p>
    <w:p>
      <w:pPr>
        <w:pStyle w:val="1018"/>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07"/>
      <w:r/>
      <w:bookmarkEnd w:id="108"/>
      <w:r/>
      <w:bookmarkEnd w:id="109"/>
      <w:r/>
      <w:bookmarkEnd w:id="110"/>
      <w:r/>
      <w:bookmarkEnd w:id="111"/>
      <w:r/>
      <w:bookmarkEnd w:id="112"/>
      <w:r/>
      <w:bookmarkEnd w:id="113"/>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10"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5"/>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5" o:title=""/>
              </v:shape>
            </w:pict>
          </mc:Fallback>
        </mc:AlternateContent>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4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12"/>
        <w:jc w:val="center"/>
        <w:pageBreakBefore w:val="0"/>
        <w:spacing w:line="360" w:lineRule="auto"/>
        <w:rPr>
          <w:rStyle w:val="1002"/>
          <w:rFonts w:hint="eastAsia" w:ascii="仿宋" w:hAnsi="仿宋" w:eastAsia="仿宋" w:cs="仿宋"/>
          <w:color w:val="000000" w:themeColor="text1"/>
          <w:sz w:val="24"/>
          <w:szCs w:val="24"/>
          <w:highlight w:val="none"/>
          <w14:textFill>
            <w14:solidFill>
              <w14:schemeClr w14:val="tx1"/>
            </w14:solidFill>
          </w14:textFill>
        </w:rPr>
        <w:outlineLvl w:val="1"/>
      </w:pPr>
      <w:r>
        <w:rPr>
          <w:rStyle w:val="1002"/>
          <w:rFonts w:hint="eastAsia" w:ascii="仿宋" w:hAnsi="仿宋" w:eastAsia="仿宋" w:cs="仿宋"/>
          <w:color w:val="000000" w:themeColor="text1"/>
          <w:sz w:val="24"/>
          <w:szCs w:val="24"/>
          <w:highlight w:val="none"/>
          <w14:textFill>
            <w14:solidFill>
              <w14:schemeClr w14:val="tx1"/>
            </w14:solidFill>
          </w14:textFill>
        </w:rPr>
        <w:t xml:space="preserve">1</w:t>
      </w:r>
      <w:r>
        <w:rPr>
          <w:rStyle w:val="1002"/>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1002"/>
          <w:rFonts w:hint="eastAsia" w:ascii="仿宋" w:hAnsi="仿宋" w:eastAsia="仿宋" w:cs="仿宋"/>
          <w:color w:val="000000" w:themeColor="text1"/>
          <w:sz w:val="24"/>
          <w:szCs w:val="24"/>
          <w:highlight w:val="none"/>
          <w14:textFill>
            <w14:solidFill>
              <w14:schemeClr w14:val="tx1"/>
            </w14:solidFill>
          </w14:textFill>
        </w:rPr>
        <w:t xml:space="preserve">、残疾人福利性单位声明函</w:t>
      </w:r>
      <w:r/>
    </w:p>
    <w:p>
      <w:pPr>
        <w:pStyle w:val="81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12"/>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公章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81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12"/>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1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12"/>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21"/>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82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842"/>
        <w:ind w:left="0" w:right="6" w:firstLine="0"/>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r>
      <w:r/>
    </w:p>
    <w:p>
      <w:pPr>
        <w:pStyle w:val="767"/>
        <w:jc w:val="center"/>
        <w:keepLines w:val="0"/>
        <w:keepNext w:val="0"/>
        <w:widowControl/>
        <w:rPr>
          <w:rFonts w:hint="eastAsia" w:ascii="仿宋" w:hAnsi="仿宋" w:eastAsia="仿宋" w:cs="仿宋"/>
          <w:b/>
          <w:bCs/>
          <w:color w:val="000000" w:themeColor="text1"/>
          <w:sz w:val="30"/>
          <w:szCs w:val="30"/>
          <w:highlight w:val="none"/>
          <w:lang w:val="en-US" w:eastAsia="zh-CN" w:bidi="ar-SA"/>
          <w14:textFill>
            <w14:solidFill>
              <w14:schemeClr w14:val="tx1"/>
            </w14:solidFill>
          </w14:textFill>
        </w:rPr>
        <w:suppressLineNumbers w:val="0"/>
      </w:pPr>
      <w:r>
        <w:rPr>
          <w:rFonts w:hint="eastAsia" w:ascii="仿宋" w:hAnsi="仿宋" w:eastAsia="仿宋" w:cs="仿宋"/>
          <w:b/>
          <w:bCs/>
          <w:color w:val="000000" w:themeColor="text1"/>
          <w:sz w:val="30"/>
          <w:szCs w:val="30"/>
          <w:highlight w:val="none"/>
          <w:lang w:val="en-US" w:eastAsia="zh-CN" w:bidi="ar-SA"/>
          <w14:textFill>
            <w14:solidFill>
              <w14:schemeClr w14:val="tx1"/>
            </w14:solidFill>
          </w14:textFill>
        </w:rPr>
        <w:t xml:space="preserve">12、人员情况说明及真实性承诺书</w:t>
      </w:r>
      <w:r/>
    </w:p>
    <w:p>
      <w:pPr>
        <w:pStyle w:val="801"/>
        <w:keepLines w:val="0"/>
        <w:keepNext w:val="0"/>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致：江苏新沂经济开发区管理委员会、徐州荣新建设项目管理有限公司</w:t>
      </w:r>
      <w:r/>
    </w:p>
    <w:p>
      <w:pPr>
        <w:pStyle w:val="801"/>
        <w:ind w:firstLine="480"/>
        <w:keepLines w:val="0"/>
        <w:keepNext w:val="0"/>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我单位拟派________（身份证号：________________）担任本项目【□餐饮服务经理 □行政总厨 □烹饪厨师】岗位。 该人员已年满 60 周岁，因历史客观原因，未</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参加城镇职工社会保险，无社保缴费记录、无退休证。 我单位郑重承诺： 1、该人员为本单位拟派驻场服务人员，劳务聘用关系真实有效，不存在租借证书、挂靠投标、弄虚作假等行为； 2、该人员身体健康，身体条件能够胜任食堂对应岗位工作；若我方中标，上岗前将按要求落实该人员工伤保险参保，未参保不安排上岗； 3、若我方中标，该人员将按约定驻场履职，无条件接受采购人对用工资料、工资发放台账、工伤保险参保凭证的核查； 4、本承诺书所有内容真实有效，如存在虚假陈述，我方自愿接受投标 / 中标无效处理，并承担政府采购相应法律责任。</w:t>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投标供应商（签章）：____</w:t>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日期：</w:t>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42"/>
        <w:ind w:left="0" w:right="6" w:firstLine="0"/>
        <w:jc w:val="center"/>
        <w:pageBreakBefore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1"/>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01"/>
        <w:ind w:left="0" w:right="0" w:firstLine="0"/>
        <w:jc w:val="center"/>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05"/>
          <w:rFonts w:hint="eastAsia" w:ascii="仿宋" w:hAnsi="仿宋" w:eastAsia="仿宋" w:cs="仿宋"/>
          <w:i w:val="0"/>
          <w:iCs w:val="0"/>
          <w:caps w:val="0"/>
          <w:color w:val="000000"/>
          <w:spacing w:val="0"/>
          <w:sz w:val="24"/>
          <w:szCs w:val="24"/>
          <w:highlight w:val="none"/>
          <w:shd w:val="clear" w:color="auto" w:fill="ffffff"/>
          <w:vertAlign w:val="baseline"/>
          <w:lang w:val="en-US" w:eastAsia="zh-CN"/>
        </w:rPr>
        <w:t xml:space="preserve">13、</w:t>
      </w:r>
      <w:r>
        <w:rPr>
          <w:rStyle w:val="805"/>
          <w:rFonts w:hint="eastAsia" w:ascii="仿宋" w:hAnsi="仿宋" w:eastAsia="仿宋" w:cs="仿宋"/>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ascii="仿宋" w:hAnsi="仿宋" w:eastAsia="仿宋" w:cs="仿宋"/>
          <w:highlight w:val="none"/>
        </w:rPr>
      </w:pPr>
      <w:r>
        <w:rPr>
          <w:rFonts w:hint="eastAsia" w:ascii="仿宋" w:hAnsi="仿宋" w:eastAsia="仿宋" w:cs="仿宋"/>
          <w:highlight w:val="none"/>
        </w:rPr>
        <w:t xml:space="preserve"> </w:t>
      </w:r>
      <w:r/>
    </w:p>
    <w:p>
      <w:pPr>
        <w:pStyle w:val="80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1.</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（产品名称1）1</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，生产厂为</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（厂名）2</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，厂址为</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（生产厂址）</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（产品名称1）</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的中国境内生产的组件成本占比≥</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（规定比例）3</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（产品名称1）</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的</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（关键组件）4</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在中国境内生产。</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（产品名称1）</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的</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（关键工序）5</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在中国境内完成。</w:t>
      </w:r>
      <w:r/>
    </w:p>
    <w:p>
      <w:pPr>
        <w:pStyle w:val="80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2.</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（产品名称2）</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，生产厂为</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（厂名）</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，厂址为</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（生产厂址）</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（产品名称2）</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的中国境内生产的组件成本占比≥</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（规定比例）</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（产品名称2）</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的</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（关键组件）</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在中国境内生产。</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（产品名称2）</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的</w:t>
      </w:r>
      <w:r>
        <w:rPr>
          <w:rStyle w:val="808"/>
          <w:rFonts w:hint="eastAsia" w:ascii="仿宋" w:hAnsi="仿宋" w:eastAsia="仿宋" w:cs="仿宋"/>
          <w:i w:val="0"/>
          <w:iCs w:val="0"/>
          <w:caps w:val="0"/>
          <w:color w:val="000000"/>
          <w:spacing w:val="0"/>
          <w:sz w:val="24"/>
          <w:szCs w:val="24"/>
          <w:highlight w:val="none"/>
          <w:shd w:val="clear" w:color="auto" w:fill="ffffff"/>
          <w:vertAlign w:val="baseline"/>
        </w:rPr>
        <w:t xml:space="preserve">（关键工序）</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在中国境内完成。</w:t>
      </w:r>
      <w:r/>
    </w:p>
    <w:p>
      <w:pPr>
        <w:pStyle w:val="80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w:t>
      </w:r>
      <w:r/>
    </w:p>
    <w:p>
      <w:pPr>
        <w:pStyle w:val="80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01"/>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 </w:t>
      </w:r>
      <w:r/>
    </w:p>
    <w:p>
      <w:pPr>
        <w:pStyle w:val="801"/>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公司（单位）名称（</w:t>
      </w:r>
      <w:r>
        <w:rPr>
          <w:rFonts w:hint="eastAsia" w:ascii="仿宋" w:hAnsi="仿宋" w:eastAsia="仿宋" w:cs="仿宋"/>
          <w:i w:val="0"/>
          <w:iCs w:val="0"/>
          <w:caps w:val="0"/>
          <w:color w:val="000000"/>
          <w:spacing w:val="0"/>
          <w:sz w:val="24"/>
          <w:szCs w:val="24"/>
          <w:highlight w:val="none"/>
          <w:shd w:val="clear" w:color="auto" w:fill="ffffff"/>
          <w:vertAlign w:val="baseline"/>
          <w:lang w:val="en-US" w:eastAsia="zh-CN"/>
        </w:rPr>
        <w:t xml:space="preserve">电子签章</w:t>
      </w:r>
      <w:r>
        <w:rPr>
          <w:rFonts w:hint="eastAsia" w:ascii="仿宋" w:hAnsi="仿宋" w:eastAsia="仿宋" w:cs="仿宋"/>
          <w:i w:val="0"/>
          <w:iCs w:val="0"/>
          <w:caps w:val="0"/>
          <w:color w:val="000000"/>
          <w:spacing w:val="0"/>
          <w:sz w:val="24"/>
          <w:szCs w:val="24"/>
          <w:highlight w:val="none"/>
          <w:shd w:val="clear" w:color="auto" w:fill="ffffff"/>
          <w:vertAlign w:val="baseline"/>
        </w:rPr>
        <w:t xml:space="preserve">）：　        </w:t>
      </w:r>
      <w:r/>
    </w:p>
    <w:p>
      <w:pPr>
        <w:pStyle w:val="801"/>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日期：　     年　  月　  日         </w:t>
      </w:r>
      <w:r/>
    </w:p>
    <w:p>
      <w:pPr>
        <w:pStyle w:val="801"/>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4"/>
          <w:szCs w:val="24"/>
          <w:highlight w:val="none"/>
          <w:shd w:val="clear" w:color="auto" w:fill="ffffff"/>
          <w:vertAlign w:val="baseline"/>
        </w:rPr>
        <w:t xml:space="preserve">__________________</w:t>
      </w:r>
      <w:r/>
    </w:p>
    <w:p>
      <w:pPr>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1.产品如有型号，请在“产品名称”栏一并填写。</w:t>
      </w:r>
      <w:r/>
    </w:p>
    <w:p>
      <w:pPr>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2.生产厂名与厂址应与生产厂营业执照载明的相关信息保持一致。</w:t>
      </w:r>
      <w:r/>
    </w:p>
    <w:p>
      <w:pPr>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3.该产品的中国境内生产的组件成本占比相关要求实施前，“规定比例”栏可不填，下同。</w:t>
      </w:r>
      <w:r/>
    </w:p>
    <w:p>
      <w:pPr>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4.该产品的关键组件要求实施前，“关键组件”栏可不填，下同。</w:t>
      </w:r>
      <w:r/>
    </w:p>
    <w:p>
      <w:pPr>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5.该产品的关键工序要求实施前，“关键工序”栏可不填，下同。</w:t>
      </w:r>
      <w:r/>
    </w:p>
    <w:p>
      <w:pPr>
        <w:pStyle w:val="842"/>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14</w:t>
      </w:r>
      <w:r>
        <w:rPr>
          <w:rFonts w:hint="eastAsia" w:ascii="仿宋" w:hAnsi="仿宋" w:eastAsia="仿宋" w:cs="仿宋"/>
          <w:b/>
          <w:color w:val="000000" w:themeColor="text1"/>
          <w:sz w:val="24"/>
          <w:highlight w:val="none"/>
          <w14:textFill>
            <w14:solidFill>
              <w14:schemeClr w14:val="tx1"/>
            </w14:solidFill>
          </w14:textFill>
        </w:rPr>
        <w:t xml:space="preserve">、技术方案</w:t>
      </w:r>
      <w:r/>
    </w:p>
    <w:p>
      <w:pPr>
        <w:pStyle w:val="842"/>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21"/>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42"/>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842"/>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10"/>
          <w:footnotePr/>
          <w:endnotePr/>
          <w:type w:val="nextPage"/>
          <w:pgSz w:w="11906" w:h="16838" w:orient="portrait"/>
          <w:pgMar w:top="1418" w:right="1361" w:bottom="1701" w:left="1361"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812"/>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15、</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ind w:right="6"/>
        <w:jc w:val="center"/>
        <w:rPr>
          <w:rFonts w:ascii="宋体" w:hAnsi="宋体" w:eastAsia="仿宋_GB2312" w:cs="宋体"/>
          <w:b/>
          <w:bCs/>
          <w:color w:val="000000"/>
          <w:sz w:val="44"/>
          <w:szCs w:val="44"/>
          <w:highlight w:val="none"/>
        </w:rPr>
      </w:pPr>
      <w:r>
        <w:rPr>
          <w:rFonts w:hint="eastAsia" w:ascii="宋体" w:hAnsi="宋体" w:cs="宋体"/>
          <w:b/>
          <w:bCs/>
          <w:color w:val="000000"/>
          <w:sz w:val="44"/>
          <w:szCs w:val="44"/>
          <w:highlight w:val="none"/>
        </w:rPr>
        <w:t xml:space="preserve">政府采购合同</w:t>
      </w:r>
      <w:r/>
    </w:p>
    <w:p>
      <w:pPr>
        <w:ind w:left="256" w:right="6" w:firstLine="560"/>
        <w:rPr>
          <w:rFonts w:ascii="宋体" w:hAnsi="宋体" w:eastAsia="仿宋_GB2312" w:cs="宋体"/>
          <w:color w:val="000000"/>
          <w:sz w:val="28"/>
          <w:szCs w:val="28"/>
          <w:highlight w:val="none"/>
        </w:rPr>
      </w:pPr>
      <w:r>
        <w:rPr>
          <w:rFonts w:ascii="宋体" w:hAnsi="宋体" w:eastAsia="仿宋_GB2312" w:cs="宋体"/>
          <w:color w:val="000000"/>
          <w:sz w:val="28"/>
          <w:szCs w:val="28"/>
          <w:highlight w:val="none"/>
        </w:rPr>
      </w:r>
      <w:r/>
    </w:p>
    <w:p>
      <w:pPr>
        <w:ind w:left="256" w:right="6" w:firstLine="560"/>
        <w:rPr>
          <w:rFonts w:ascii="宋体" w:hAnsi="宋体" w:eastAsia="仿宋_GB2312" w:cs="宋体"/>
          <w:color w:val="000000"/>
          <w:sz w:val="28"/>
          <w:szCs w:val="28"/>
          <w:highlight w:val="none"/>
        </w:rPr>
      </w:pPr>
      <w:r>
        <w:rPr>
          <w:rFonts w:ascii="宋体" w:hAnsi="宋体" w:eastAsia="仿宋_GB2312" w:cs="宋体"/>
          <w:color w:val="000000"/>
          <w:sz w:val="28"/>
          <w:szCs w:val="28"/>
          <w:highlight w:val="none"/>
        </w:rPr>
      </w:r>
      <w:r/>
    </w:p>
    <w:p>
      <w:pPr>
        <w:ind w:firstLine="1800"/>
        <w:jc w:val="left"/>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7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68"/>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rPr>
          <w:rFonts w:hint="eastAsia"/>
          <w:highlight w:val="none"/>
        </w:rPr>
      </w:pPr>
      <w:r>
        <w:rPr>
          <w:rFonts w:hint="eastAsia"/>
          <w:highlight w:val="none"/>
        </w:rPr>
      </w:r>
      <w:r/>
    </w:p>
    <w:p>
      <w:pPr>
        <w:ind w:firstLine="1800"/>
        <w:jc w:val="left"/>
        <w:spacing w:line="360" w:lineRule="auto"/>
        <w:rPr>
          <w:rFonts w:hint="default" w:ascii="宋体" w:hAnsi="宋体" w:cs="宋体"/>
          <w:color w:val="000000"/>
          <w:sz w:val="30"/>
          <w:szCs w:val="30"/>
          <w:highlight w:val="none"/>
          <w:lang w:val="en-US" w:eastAsia="zh-CN"/>
        </w:rPr>
      </w:pPr>
      <w:r>
        <w:rPr>
          <w:rFonts w:hint="eastAsia" w:ascii="宋体" w:hAnsi="宋体" w:cs="宋体"/>
          <w:color w:val="000000"/>
          <w:sz w:val="30"/>
          <w:szCs w:val="30"/>
          <w:highlight w:val="none"/>
        </w:rPr>
        <w:t xml:space="preserve">项目编号：</w:t>
      </w:r>
      <w:r/>
    </w:p>
    <w:p>
      <w:pPr>
        <w:jc w:val="left"/>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left="3300" w:hanging="1500"/>
        <w:jc w:val="left"/>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项目名称：</w:t>
      </w:r>
      <w:r/>
    </w:p>
    <w:p>
      <w:pPr>
        <w:ind w:firstLine="600"/>
        <w:jc w:val="left"/>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ind w:firstLine="1800"/>
        <w:jc w:val="left"/>
        <w:spacing w:line="360" w:lineRule="auto"/>
        <w:rPr>
          <w:rFonts w:ascii="宋体" w:hAnsi="宋体" w:cs="宋体"/>
          <w:color w:val="000000"/>
          <w:sz w:val="30"/>
          <w:szCs w:val="30"/>
          <w:highlight w:val="none"/>
        </w:rPr>
      </w:pPr>
      <w:r>
        <w:rPr>
          <w:rFonts w:hint="eastAsia" w:ascii="宋体" w:hAnsi="宋体" w:cs="宋体"/>
          <w:color w:val="000000"/>
          <w:sz w:val="30"/>
          <w:szCs w:val="30"/>
          <w:highlight w:val="none"/>
        </w:rPr>
        <w:t xml:space="preserve">采 购 人：</w:t>
      </w:r>
      <w:r/>
    </w:p>
    <w:p>
      <w:pPr>
        <w:ind w:firstLine="600"/>
        <w:jc w:val="left"/>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ind w:firstLine="1800"/>
        <w:jc w:val="left"/>
        <w:spacing w:line="360" w:lineRule="auto"/>
        <w:rPr>
          <w:rFonts w:ascii="宋体" w:hAnsi="宋体" w:cs="宋体"/>
          <w:color w:val="000000"/>
          <w:sz w:val="30"/>
          <w:szCs w:val="30"/>
          <w:highlight w:val="none"/>
        </w:rPr>
      </w:pPr>
      <w:r>
        <w:rPr>
          <w:rFonts w:hint="eastAsia" w:ascii="宋体" w:hAnsi="宋体" w:cs="宋体"/>
          <w:color w:val="000000"/>
          <w:sz w:val="30"/>
          <w:szCs w:val="30"/>
          <w:highlight w:val="none"/>
        </w:rPr>
        <w:t xml:space="preserve">中 标 人：</w:t>
      </w:r>
      <w:r/>
    </w:p>
    <w:p>
      <w:pPr>
        <w:ind w:firstLine="600"/>
        <w:jc w:val="left"/>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ind w:firstLine="1800"/>
        <w:jc w:val="both"/>
        <w:spacing w:line="360" w:lineRule="auto"/>
        <w:rPr>
          <w:rFonts w:ascii="宋体" w:hAnsi="宋体" w:cs="宋体"/>
          <w:color w:val="000000"/>
          <w:sz w:val="30"/>
          <w:szCs w:val="30"/>
          <w:highlight w:val="none"/>
        </w:rPr>
      </w:pPr>
      <w:r>
        <w:rPr>
          <w:rFonts w:hint="eastAsia" w:ascii="宋体" w:hAnsi="宋体" w:cs="宋体"/>
          <w:color w:val="000000"/>
          <w:sz w:val="30"/>
          <w:szCs w:val="30"/>
          <w:highlight w:val="none"/>
        </w:rPr>
        <w:t xml:space="preserve">签订日期：    </w:t>
      </w:r>
      <w:r>
        <w:rPr>
          <w:rFonts w:ascii="宋体" w:hAnsi="宋体" w:cs="宋体"/>
          <w:color w:val="000000"/>
          <w:sz w:val="30"/>
          <w:szCs w:val="30"/>
          <w:highlight w:val="none"/>
        </w:rPr>
        <w:t xml:space="preserve">   </w:t>
      </w:r>
      <w:r>
        <w:rPr>
          <w:rFonts w:hint="eastAsia" w:ascii="宋体" w:hAnsi="宋体" w:cs="宋体"/>
          <w:color w:val="000000"/>
          <w:sz w:val="30"/>
          <w:szCs w:val="30"/>
          <w:highlight w:val="none"/>
        </w:rPr>
        <w:t xml:space="preserve">年 </w:t>
      </w:r>
      <w:r>
        <w:rPr>
          <w:rFonts w:ascii="宋体" w:hAnsi="宋体" w:cs="宋体"/>
          <w:color w:val="000000"/>
          <w:sz w:val="30"/>
          <w:szCs w:val="30"/>
          <w:highlight w:val="none"/>
        </w:rPr>
        <w:t xml:space="preserve">    </w:t>
      </w:r>
      <w:r>
        <w:rPr>
          <w:rFonts w:hint="eastAsia" w:ascii="宋体" w:hAnsi="宋体" w:cs="宋体"/>
          <w:color w:val="000000"/>
          <w:sz w:val="30"/>
          <w:szCs w:val="30"/>
          <w:highlight w:val="none"/>
        </w:rPr>
        <w:t xml:space="preserve"> 月 </w:t>
      </w:r>
      <w:r>
        <w:rPr>
          <w:rFonts w:ascii="宋体" w:hAnsi="宋体" w:cs="宋体"/>
          <w:color w:val="000000"/>
          <w:sz w:val="30"/>
          <w:szCs w:val="30"/>
          <w:highlight w:val="none"/>
        </w:rPr>
        <w:t xml:space="preserve">   </w:t>
      </w:r>
      <w:r>
        <w:rPr>
          <w:rFonts w:hint="eastAsia" w:ascii="宋体" w:hAnsi="宋体" w:cs="宋体"/>
          <w:color w:val="000000"/>
          <w:sz w:val="30"/>
          <w:szCs w:val="30"/>
          <w:highlight w:val="none"/>
        </w:rPr>
        <w:t xml:space="preserve"> 日</w:t>
      </w:r>
      <w:r/>
    </w:p>
    <w:p>
      <w:pPr>
        <w:ind w:firstLine="480"/>
        <w:spacing w:line="579" w:lineRule="exact"/>
        <w:rPr>
          <w:rFonts w:hint="eastAsia" w:ascii="Times New Roman" w:hAnsi="Times New Roman"/>
          <w:color w:val="000000"/>
          <w:sz w:val="24"/>
          <w:highlight w:val="none"/>
        </w:rPr>
      </w:pPr>
      <w:r>
        <w:rPr>
          <w:rFonts w:hint="eastAsia" w:ascii="Times New Roman" w:hAnsi="Times New Roman"/>
          <w:color w:val="000000"/>
          <w:sz w:val="24"/>
          <w:highlight w:val="none"/>
        </w:rPr>
      </w:r>
      <w:r/>
    </w:p>
    <w:p>
      <w:pPr>
        <w:ind w:firstLine="480"/>
        <w:spacing w:line="579" w:lineRule="exact"/>
        <w:rPr>
          <w:rFonts w:hint="eastAsia" w:ascii="Times New Roman" w:hAnsi="Times New Roman"/>
          <w:color w:val="000000"/>
          <w:sz w:val="24"/>
          <w:highlight w:val="none"/>
        </w:rPr>
      </w:pPr>
      <w:r>
        <w:rPr>
          <w:rFonts w:hint="eastAsia" w:ascii="Times New Roman" w:hAnsi="Times New Roman"/>
          <w:color w:val="000000"/>
          <w:sz w:val="24"/>
          <w:highlight w:val="none"/>
        </w:rPr>
      </w:r>
      <w:r/>
    </w:p>
    <w:p>
      <w:pPr>
        <w:spacing w:after="12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spacing w:after="12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spacing w:after="12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keepLines w:val="0"/>
        <w:keepNext w:val="0"/>
        <w:pageBreakBefore w:val="0"/>
        <w:spacing w:line="360" w:lineRule="auto"/>
        <w:widowControl/>
        <w:rPr>
          <w:rFonts w:hint="eastAsia" w:ascii="宋体" w:hAnsi="宋体" w:eastAsia="宋体" w:cs="Arial"/>
          <w:color w:val="000000"/>
          <w:sz w:val="24"/>
          <w:szCs w:val="24"/>
          <w:highlight w:val="none"/>
        </w:rPr>
        <w:sectPr>
          <w:footerReference w:type="default" r:id="rId11"/>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cs="Arial"/>
          <w:color w:val="000000"/>
          <w:sz w:val="24"/>
          <w:szCs w:val="24"/>
          <w:highlight w:val="none"/>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left="0" w:right="0"/>
        <w:jc w:val="left"/>
        <w:keepLines w:val="0"/>
        <w:keepNext w:val="0"/>
        <w:pageBreakBefore w:val="0"/>
        <w:spacing w:line="560" w:lineRule="exac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采购方：</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p>
    <w:p>
      <w:pPr>
        <w:ind w:left="0" w:right="0"/>
        <w:jc w:val="left"/>
        <w:keepLines w:val="0"/>
        <w:keepNext w:val="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中标方：</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p>
    <w:p>
      <w:pPr>
        <w:pStyle w:val="821"/>
        <w:ind w:left="0" w:right="0" w:firstLine="715"/>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pStyle w:val="821"/>
        <w:ind w:left="0" w:right="0" w:firstLine="715"/>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甲、乙双方根据</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项目(项目编号：</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)招标结果，依据《中华人民共和国民法典》、《中华人民共和国政府采购法》等有关法律、法规，甲乙双方恪守公平、公正、诚信的原则，友好协商，签订本合同。</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一、承包内容</w:t>
      </w:r>
      <w:r/>
    </w:p>
    <w:p>
      <w:pPr>
        <w:ind w:left="0" w:right="0" w:firstLine="555"/>
        <w:jc w:val="left"/>
        <w:keepLines w:val="0"/>
        <w:keepNext w:val="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经开区食堂一体化外包服务项目，提供多项的供餐服务，各种菜式的营养搭配、烹调与分餐，准时、保质保量的开餐，厨务人员的人力安排及薪资、福利等管理。服务内容包括食材采购、加工、派餐、餐厅区域卫生保洁、餐具清洗消毒、厨余垃圾清理等相关服务内容。</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二、服务期限和地点</w:t>
      </w:r>
      <w:r/>
    </w:p>
    <w:p>
      <w:pPr>
        <w:ind w:left="0" w:right="0" w:firstLine="555"/>
        <w:jc w:val="left"/>
        <w:keepLines w:val="0"/>
        <w:keepNext w:val="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本合同管理期限，自</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年</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日至</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年</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日止。服务地点位于江苏新沂经济开发区管理委员会二楼食堂。</w:t>
      </w:r>
      <w:r/>
    </w:p>
    <w:p>
      <w:pPr>
        <w:ind w:left="0" w:right="0" w:firstLine="555"/>
        <w:jc w:val="left"/>
        <w:keepLines w:val="0"/>
        <w:keepNext w:val="0"/>
        <w:pageBreakBefore w:val="0"/>
        <w:spacing w:line="560" w:lineRule="exact"/>
        <w:widowControl w:val="off"/>
        <w:rPr>
          <w:rFonts w:hint="default"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三、合同总价及结算方式</w:t>
      </w:r>
      <w:r/>
    </w:p>
    <w:p>
      <w:pPr>
        <w:numPr>
          <w:ilvl w:val="0"/>
          <w:numId w:val="0"/>
        </w:numPr>
        <w:ind w:left="480" w:right="0" w:firstLine="0"/>
        <w:pageBreakBefore w:val="0"/>
        <w:spacing w:line="560" w:lineRule="exact"/>
        <w:widowControl w:val="off"/>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付款方式(提交预付款保函的)付款方式：本合同总金额为人民币大写金额：</w:t>
      </w:r>
      <w:r/>
    </w:p>
    <w:p>
      <w:pPr>
        <w:numPr>
          <w:ilvl w:val="0"/>
          <w:numId w:val="0"/>
        </w:numPr>
        <w:ind w:left="480" w:right="0" w:firstLine="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(小写金额：</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元整)，经双方协商一致，选择以下第二种付款方式：</w:t>
      </w:r>
      <w:r/>
    </w:p>
    <w:p>
      <w:pPr>
        <w:numPr>
          <w:ilvl w:val="0"/>
          <w:numId w:val="0"/>
        </w:numPr>
        <w:ind w:right="0" w:firstLine="482"/>
        <w:pageBreakBefore w:val="0"/>
        <w:spacing w:line="560" w:lineRule="exact"/>
        <w:widowControl w:val="off"/>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付款方式一：提交预付款保函的</w:t>
      </w:r>
      <w:r/>
    </w:p>
    <w:p>
      <w:pPr>
        <w:numPr>
          <w:ilvl w:val="0"/>
          <w:numId w:val="0"/>
        </w:num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合同价款的百分之四十(40%)即￥</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，大写：人民币</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元整，在双方签订合同后15个工作日内，乙方向甲方出具等额预付款保函后，由甲方办理政府采购资金结算手续支付给乙方。</w:t>
      </w:r>
      <w:r/>
    </w:p>
    <w:p>
      <w:pPr>
        <w:numPr>
          <w:ilvl w:val="0"/>
          <w:numId w:val="0"/>
        </w:num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合同总价的百分之六十(60%)即￥</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，大写：人民币</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元整，预付款抵扣完后，费用按月支付，每月刷卡收入、服务费按本合同规定经考核后支付。即每月结束后的5个工作日内，结合甲方对乙方上月的管理服务工作考核结果，乙方将上月的销售收入和服务费用开据发票报给甲方，甲方收到乙方发票后于10日内付给乙方。甲方委托乙方开展的其他特约服务项目的收费办法由双方协商。</w:t>
      </w:r>
      <w:r/>
    </w:p>
    <w:p>
      <w:pPr>
        <w:numPr>
          <w:ilvl w:val="0"/>
          <w:numId w:val="0"/>
        </w:num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乙方需提交的支付文件包括：乙方出具的全额正式发票。</w:t>
      </w:r>
      <w:r/>
    </w:p>
    <w:p>
      <w:pPr>
        <w:numPr>
          <w:ilvl w:val="0"/>
          <w:numId w:val="0"/>
        </w:numPr>
        <w:ind w:right="0" w:firstLine="482"/>
        <w:pageBreakBefore w:val="0"/>
        <w:spacing w:line="560" w:lineRule="exact"/>
        <w:widowControl w:val="off"/>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付款方式二：不提交预付款保函的</w:t>
      </w:r>
      <w:r/>
    </w:p>
    <w:p>
      <w:pPr>
        <w:numPr>
          <w:ilvl w:val="0"/>
          <w:numId w:val="0"/>
        </w:num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合同价款的百分之十(10%)即￥</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，大写：人民币</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，在双方签订合同，乙方提供对应金额的增值税发票后7个工作日内，由甲方办理政府采购资金结算手续完成后支付给乙方。</w:t>
      </w:r>
      <w:r/>
    </w:p>
    <w:p>
      <w:pPr>
        <w:numPr>
          <w:ilvl w:val="0"/>
          <w:numId w:val="0"/>
        </w:num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合同总价的百分之九十(90%)即￥</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，大写：</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预付款抵扣完后，费用按月支付，刷卡收入每月据实结算，服务费每月经考核后按照实际考核得分等比例支付，每月实际支付金额=合同年度服务费÷12×月度考核得分÷100（考核实行百分制，如考核95分，每月支付金额=合同年度服务费÷12×95÷100）。每月结束后的5个工作日内，结合甲方对乙方上月的管理服务工作考核结果，乙方将上月的销售收入和服务费用开据发票报给甲方，甲方收到乙方发票后于10日内付给乙方。甲方委托乙方开展的其他特约服务项目的收费办法由双方协商。</w:t>
      </w:r>
      <w:r/>
    </w:p>
    <w:p>
      <w:pPr>
        <w:numPr>
          <w:ilvl w:val="0"/>
          <w:numId w:val="0"/>
        </w:num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乙方需提交的支付文件包括：乙方出具的全额正式发票。</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四、经营方式</w:t>
      </w:r>
      <w:r/>
    </w:p>
    <w:p>
      <w:pPr>
        <w:numPr>
          <w:ilvl w:val="0"/>
          <w:numId w:val="0"/>
        </w:num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甲方负责提供上述业务开业运转必须的场地，厨房烹饪设备及餐具餐桌椅供乙方使用。甲方承担水、电、燃气能耗费用，乙方必须按甲方要求做好耗能控制节约工作。餐饮运转所需劳保用品（工服、工鞋）、低值易耗品（餐巾纸、洗涤剂、一次性口罩、手套、抹布、拖把等卫生工具），由乙方负责购买。</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2.乙方自行组织人员负责上述餐厅、厨房的日常管理、服务和运转，做好机关工作人员的早、中、晚工作餐的供应（每周一到周六，特殊时间按甲方规定时间供应），并达到甲方要求和标准。</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3.乙方自行采购厨房日常运转所需的原材料，乙方按甲方的要求出售餐饮制成品，餐饮收入归乙方所有。乙方必须执行甲方规定的菜肴价格，菜肴分为基本菜肴和特色菜肴两类：</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（1）基本菜肴实行成本价销售；</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（2）特色菜肴（含小吃、卤菜等特色品种）本着服务原则，实行微利润销售。</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五、甲方的权利和义务</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1.甲方保证乙方在工作中水、电、气和厨具餐具的正常供应，设备的新增或更新由甲方负责（由乙方员工操作造成的损毁由乙方负责）。</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2.甲方对乙方行使监督管理职能，并在职责范围内监督乙方保质保量的完成工作任务。</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3.甲方向乙方免费提供：餐厅场所、厨房、储藏室、更衣室、全套厨房设备、容器餐具、刷卡充值设备等。</w:t>
      </w:r>
      <w:r/>
    </w:p>
    <w:p>
      <w:pPr>
        <w:ind w:right="0" w:firstLine="480"/>
        <w:pageBreakBefore w:val="0"/>
        <w:spacing w:line="560" w:lineRule="exact"/>
        <w:widowControl w:val="off"/>
        <w:rPr>
          <w:rFonts w:hint="eastAsia" w:ascii="Calibri" w:hAnsi="Calibri" w:eastAsia="宋体" w:cs="Times New Roman"/>
          <w:highlight w:val="none"/>
          <w:lang w:val="en-US" w:eastAsia="zh-CN" w:bidi="ar-SA"/>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4.乙方提供的员工要求业务技术精干。乙方雇佣的未达到法定退休年龄员工，应当依法签订劳动合同并缴纳社会保险；已达到法定退休年龄的超龄人员，签订书面劳务 / 超龄用工协议，客观无法缴纳职工养</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老、医疗等社会保险的，乙方应当按国家规定为该类人员办理工伤保险参保手续（项目参保或单人工伤保险）；退休人员可提供退休证和劳务返聘合同；年满 60 周岁因历史原因未参加社保、无退休证人员，须提供劳务聘用协议，同时落实工伤保险参保。乙方如出现劳动、劳务用工纠纷全部由乙方自行承担，与甲方无关。乙方人员必须至少包括餐饮服务经理1名、行政总厨1名、烹饪厨师2名、切配人员2名、面点师1名、服务员1名、勤杂工4名，人员上岗条件必须满足招标文件要求；如离职或者人员调整，乙方必须三日内补充或调整到位，保证不影响机关人员就餐。</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5.监督检查乙方依法或依本合同规定所进行的管理和经营活动，并对乙方的管理服务工作进行考核，同时负责协调处理非乙方原因产生的影响餐饮工作问题。</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6.甲方不允许乙方将本协议的服务内容整体给第三方处理。</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六、乙方的权利和义务</w:t>
      </w:r>
      <w:r/>
    </w:p>
    <w:p>
      <w:pPr>
        <w:ind w:right="0" w:firstLine="480"/>
        <w:pageBreakBefore w:val="0"/>
        <w:spacing w:line="560" w:lineRule="exact"/>
        <w:widowControl w:val="off"/>
        <w:rPr>
          <w:rFonts w:hint="default" w:ascii="仿宋" w:hAnsi="仿宋" w:eastAsia="仿宋" w:cs="仿宋"/>
          <w:color w:val="000000" w:themeColor="text1"/>
          <w:sz w:val="24"/>
          <w:szCs w:val="24"/>
          <w:highlight w:val="yellow"/>
          <w:lang w:val="en-US" w:eastAsia="zh-CN" w:bidi="ar-SA"/>
          <w14:textFill>
            <w14:solidFill>
              <w14:schemeClr w14:val="tx1"/>
            </w14:solidFill>
          </w14:textFill>
        </w:rPr>
      </w:pPr>
      <w:r>
        <w:rPr>
          <w:rFonts w:hint="eastAsia" w:ascii="仿宋" w:hAnsi="仿宋" w:eastAsia="仿宋" w:cs="仿宋"/>
          <w:color w:val="000000" w:themeColor="text1"/>
          <w:sz w:val="24"/>
          <w:szCs w:val="24"/>
          <w:highlight w:val="yellow"/>
          <w:lang w:val="en-US" w:eastAsia="zh-CN" w:bidi="ar-SA"/>
          <w14:textFill>
            <w14:solidFill>
              <w14:schemeClr w14:val="tx1"/>
            </w14:solidFill>
          </w14:textFill>
        </w:rPr>
        <w:t xml:space="preserve">1.乙方全部人员必须持有餐饮人员从业健康证明，拥有食品安全管理人员1人（可兼任）。（提供证书）</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2.乙方应制订各项规章制度，并要求员工严格执行，同时享有合同规定的餐厅人员管理自主权，有权对餐厅的人员制定奖罚方案。乙方接受甲方的监督、指导、检查、考核。</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3.乙方按甲方的计划指导业务，保质保量的进行菜品原料采购，严格执行食品卫生法标准，加强内部管理，防止浪费，定期对厨师进行内部轮岗调整。</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菜肴按菜谱执行，合理搭配营养结构，致力于菜肴品种多样化和色香味的协调。要确保早餐花式品种不少于10种，午餐菜肴品种不得少于10种，其中：基本菜肴品种不少于8种（大荤2种、小荤3种、素菜3种）、特色菜肴品种不少于2种。基本菜肴中，大荤价格不高于5-6元、小荤价格不高于3-4元、素菜价格不高于1-2元；特色菜肴（含小吃、卤菜等特色品种）实行微利润销售。</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认真做好餐厅及厨房内设施、设备的日常保养工作，负责对排水、排污管网的疏通、清理及日常维护，油烟管路每年必须进行一次深度清洁，以免造成安全隐患，并负责设备、设施的日常维修保养及配件的更换，所有费用由乙方承担，做好售饭区、大厅、楼梯过道及收残间内的清洁卫生工作，确保正常使用。</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乙方保证所购食品原料的安全、卫生，不得出现霉烂、变质等情况，食用油必须使用合格产品。乙方必须确保食堂饭菜质量，对进货质量严格验收把关，须达到国家相关规定标准。进销台账要健全，明细要细致完整，不购买无质量保证的货品，随时接受甲方的抽查。因菜肴质量问题发生食物中毒等事件，由乙方承担一切经济赔偿和法律后果，并扣除合同总价款（一年）的2%作为违约金。</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7. 如乙方因管理不善出现工作严重失误或违反合同的有关条款，给餐厅造成重大经济损失的，所造成的一切后果由乙方承担。如乙方工作中出现违法乱纪行为，损害餐厅利益时，甲方可根据后果的严重性随时解除本合同，乙方无条件接受。</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8.乙方保证生产安全、设施设备安全，消除隐患、建立安全值班制度，在厨房发生安全事故，由乙方全面负责。</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9.水、电、燃气等乙方承包使用期间，应节约使用，非正常使用造成的浪费，由乙方负责，因管理不善造成的所有责任事故，由乙方承担违约责任并由乙方对损失和后果负全责。</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10.甲方厨房现有之设备及餐具乙方应合理使用，妥善保管，严格管理，不得人为损坏和丢失，否则由乙方照价赔偿。</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11.本合同终止时，乙方必须向甲方按清单移交原接受的委托管理的全部资产及其各类管理档案资料。乙方自费添置的设施设备由乙方收回。</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七、本合同解除的条件</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1.本合同执行期间如遇不可抗力，致使合同无法履行时，双方应按有关法律规定及时协商处理。</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2.甲方定期考核，连续两次考核低于60%时，甲方有权解除合同，乙方无条件接受。</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3.乙方未遵守本合同内容、乙方人员多次严重违反甲方管理制度、拒不执行甲方合理工作要求，甲方有权解除合同，乙方无条件接受。</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八、违约责任</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1.甲方违反合同约定，使乙方未完成规定管理目标，乙方有权以书面形式要求甲方在一定期限内解决。甲方逾期未解决的，乙方有权终止合同；因甲方责任给乙方造成经济损失的，甲方应给予乙方经济赔偿。</w:t>
      </w:r>
      <w:r/>
    </w:p>
    <w:p>
      <w:pPr>
        <w:ind w:left="0"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乙方违反合同约定，未能达到约定的管理目标，甲方有权以书面形式要求乙方限期整改，乙方逾期未整改的，甲方有权终止合同，甲方因乙方造成的餐具厨具损毁、原材料浪费等经济损失的，乙方应按照实际损失给予甲方经济赔偿。</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九、合同争议的解决方式</w:t>
      </w:r>
      <w:r/>
    </w:p>
    <w:p>
      <w:pPr>
        <w:ind w:right="0" w:firstLine="480"/>
        <w:pageBreakBefore w:val="0"/>
        <w:spacing w:line="560" w:lineRule="exac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合同双方同意应尽量以友好方式解决所发生的一切与本合同有关的索赔或争议，并且在收到另一方发出的争议通知时，立即着手进行双方代表之间的协商工作。如果双方在第一次协商开始后60天内仍无法通过友好方式解决争议问题，可向合同签订地法院起诉。合同签订地点在此约定为新沂。</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2.除争议部分外，在协商及诉讼期间双方将继续履行本合同及相关附件。</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3.本合同的形成、生效、解释、执行、修正和终止，以及争议的解决均受中华人民共和国法律管辖。</w:t>
      </w:r>
      <w:r/>
    </w:p>
    <w:p>
      <w:pPr>
        <w:ind w:left="0" w:right="0" w:firstLine="555"/>
        <w:jc w:val="left"/>
        <w:keepLines w:val="0"/>
        <w:keepNext w:val="0"/>
        <w:pageBreakBefore w:val="0"/>
        <w:spacing w:line="560" w:lineRule="exact"/>
        <w:widowControl w:val="off"/>
        <w:rPr>
          <w:rFonts w:hint="eastAsia" w:ascii="黑体" w:hAnsi="黑体" w:eastAsia="黑体" w:cs="黑体"/>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color w:val="000000" w:themeColor="text1"/>
          <w:sz w:val="24"/>
          <w:szCs w:val="24"/>
          <w:highlight w:val="none"/>
          <w:lang w:val="en-US" w:eastAsia="zh-CN" w:bidi="ar-SA"/>
          <w14:textFill>
            <w14:solidFill>
              <w14:schemeClr w14:val="tx1"/>
            </w14:solidFill>
          </w14:textFill>
        </w:rPr>
        <w:t xml:space="preserve">十、其他约定事项</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1.自本合同生效之日起两天内，根据甲方委托管理事项办理完餐厅及厨房用品交接验收事项，厨具、杂件正常的损耗，乙方报甲方确认后以旧换新。</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2.工作中固定设备的添置、更新、维修，由乙方提出计划，甲方负责维修更换。</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3.双方可对本合同的条款进行补充，以书面形式签定补充协议和细则，补充协议和细则与本合同具有同等法律效力。</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4.本合同一式五份，甲方二份，乙方二份，代理公司一份，具有同等法律效力。</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5.本合同自签字之日起生效。</w:t>
      </w:r>
      <w:r/>
    </w:p>
    <w:p>
      <w:pPr>
        <w:ind w:left="0" w:right="0"/>
        <w:jc w:val="left"/>
        <w:keepLines w:val="0"/>
        <w:keepNext w:val="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w:t>
      </w:r>
      <w:r/>
    </w:p>
    <w:p>
      <w:pPr>
        <w:ind w:right="0" w:firstLine="48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附件：经开区食堂一体化外包服务项目月度考核表</w:t>
      </w:r>
      <w:r/>
    </w:p>
    <w:p>
      <w:pPr>
        <w:ind w:left="0" w:right="0" w:firstLine="480"/>
        <w:jc w:val="left"/>
        <w:keepLines w:val="0"/>
        <w:keepNext w:val="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甲方：                             乙方：</w:t>
      </w:r>
      <w:r/>
    </w:p>
    <w:p>
      <w:pPr>
        <w:ind w:left="0" w:right="0"/>
        <w:jc w:val="left"/>
        <w:keepLines w:val="0"/>
        <w:keepNext w:val="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ind w:left="0" w:right="0" w:firstLine="480"/>
        <w:jc w:val="left"/>
        <w:keepLines w:val="0"/>
        <w:keepNext w:val="0"/>
        <w:pageBreakBefore w:val="0"/>
        <w:spacing w:line="56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甲方代表：                         乙方代表：    </w:t>
      </w:r>
      <w:r/>
    </w:p>
    <w:p>
      <w:pPr>
        <w:ind w:left="0" w:right="0" w:firstLine="480"/>
        <w:jc w:val="both"/>
        <w:keepLines w:val="0"/>
        <w:keepNext w:val="0"/>
        <w:pageBreakBefore w:val="0"/>
        <w:spacing w:line="560" w:lineRule="exact"/>
        <w:widowControl w:val="off"/>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年    月   日                     年    月   日</w:t>
      </w:r>
      <w:r/>
    </w:p>
    <w:p>
      <w:pPr>
        <w:jc w:val="center"/>
        <w:spacing w:before="0" w:after="40" w:line="240" w:lineRule="auto"/>
        <w:rPr>
          <w:rFonts w:hint="eastAsia" w:ascii="黑体" w:hAnsi="黑体" w:eastAsia="黑体" w:cs="黑体"/>
          <w:b w:val="0"/>
          <w:bCs/>
          <w:color w:val="000000"/>
          <w:sz w:val="32"/>
          <w:highlight w:val="none"/>
        </w:rPr>
      </w:pPr>
      <w:r>
        <w:rPr>
          <w:rFonts w:hint="eastAsia" w:ascii="黑体" w:hAnsi="黑体" w:eastAsia="黑体" w:cs="黑体"/>
          <w:b w:val="0"/>
          <w:bCs/>
          <w:color w:val="000000"/>
          <w:sz w:val="32"/>
          <w:highlight w:val="none"/>
        </w:rPr>
      </w:r>
      <w:r/>
    </w:p>
    <w:p>
      <w:pPr>
        <w:jc w:val="both"/>
        <w:spacing w:before="0" w:after="40" w:line="240" w:lineRule="auto"/>
        <w:rPr>
          <w:rFonts w:hint="eastAsia" w:ascii="黑体" w:hAnsi="黑体" w:eastAsia="黑体" w:cs="黑体"/>
          <w:b w:val="0"/>
          <w:bCs/>
          <w:color w:val="000000"/>
          <w:sz w:val="32"/>
          <w:highlight w:val="none"/>
        </w:rPr>
      </w:pPr>
      <w:r>
        <w:rPr>
          <w:rFonts w:hint="eastAsia" w:ascii="黑体" w:hAnsi="黑体" w:eastAsia="黑体" w:cs="黑体"/>
          <w:b w:val="0"/>
          <w:bCs/>
          <w:color w:val="000000"/>
          <w:sz w:val="32"/>
          <w:highlight w:val="none"/>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附件：</w:t>
      </w:r>
      <w:r/>
    </w:p>
    <w:p>
      <w:pPr>
        <w:jc w:val="center"/>
        <w:spacing w:before="0" w:after="40" w:line="240" w:lineRule="auto"/>
        <w:rPr>
          <w:rFonts w:hint="eastAsia" w:ascii="黑体" w:hAnsi="黑体" w:eastAsia="黑体" w:cs="黑体"/>
          <w:b w:val="0"/>
          <w:bCs/>
          <w:sz w:val="30"/>
          <w:szCs w:val="30"/>
          <w:highlight w:val="none"/>
        </w:rPr>
      </w:pPr>
      <w:r>
        <w:rPr>
          <w:rFonts w:hint="eastAsia" w:ascii="黑体" w:hAnsi="黑体" w:eastAsia="黑体" w:cs="黑体"/>
          <w:b w:val="0"/>
          <w:bCs/>
          <w:color w:val="000000"/>
          <w:sz w:val="30"/>
          <w:szCs w:val="30"/>
          <w:highlight w:val="none"/>
        </w:rPr>
        <w:t xml:space="preserve">经开区食堂一体化外包服务项目月度考核表</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680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经开区食堂一体化外包服务项目</w:t>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被考核单位（乙方）</w:t>
            </w:r>
            <w:r/>
          </w:p>
        </w:tc>
        <w:tc>
          <w:tcPr>
            <w:tcBorders>
              <w:top w:val="single" w:color="000000" w:sz="6" w:space="0"/>
              <w:left w:val="single" w:color="000000" w:sz="6" w:space="0"/>
              <w:bottom w:val="single" w:color="000000" w:sz="6" w:space="0"/>
              <w:right w:val="single" w:color="000000" w:sz="6" w:space="0"/>
            </w:tcBorders>
            <w:tcW w:w="680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考核单位（甲方）</w:t>
            </w:r>
            <w:r/>
          </w:p>
        </w:tc>
        <w:tc>
          <w:tcPr>
            <w:tcBorders>
              <w:top w:val="single" w:color="000000" w:sz="6" w:space="0"/>
              <w:left w:val="single" w:color="000000" w:sz="6" w:space="0"/>
              <w:bottom w:val="single" w:color="000000" w:sz="6" w:space="0"/>
              <w:right w:val="single" w:color="000000" w:sz="6" w:space="0"/>
            </w:tcBorders>
            <w:tcW w:w="680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江苏新沂经济开发区管理委员会</w:t>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考核月份</w:t>
            </w:r>
            <w:r/>
          </w:p>
        </w:tc>
        <w:tc>
          <w:tcPr>
            <w:tcBorders>
              <w:top w:val="single" w:color="000000" w:sz="6" w:space="0"/>
              <w:left w:val="single" w:color="000000" w:sz="6" w:space="0"/>
              <w:bottom w:val="single" w:color="000000" w:sz="6" w:space="0"/>
              <w:right w:val="single" w:color="000000" w:sz="6" w:space="0"/>
            </w:tcBorders>
            <w:tcW w:w="680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　　　　年　　月</w:t>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考核日期</w:t>
            </w:r>
            <w:r/>
          </w:p>
        </w:tc>
        <w:tc>
          <w:tcPr>
            <w:tcBorders>
              <w:top w:val="single" w:color="000000" w:sz="6" w:space="0"/>
              <w:left w:val="single" w:color="000000" w:sz="6" w:space="0"/>
              <w:bottom w:val="single" w:color="000000" w:sz="6" w:space="0"/>
              <w:right w:val="single" w:color="000000" w:sz="6" w:space="0"/>
            </w:tcBorders>
            <w:tcW w:w="680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　　　　年　　月　　日</w:t>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考核方式</w:t>
            </w:r>
            <w:r/>
          </w:p>
        </w:tc>
        <w:tc>
          <w:tcPr>
            <w:tcBorders>
              <w:top w:val="single" w:color="000000" w:sz="6" w:space="0"/>
              <w:left w:val="single" w:color="000000" w:sz="6" w:space="0"/>
              <w:bottom w:val="single" w:color="000000" w:sz="6" w:space="0"/>
              <w:right w:val="single" w:color="000000" w:sz="6" w:space="0"/>
            </w:tcBorders>
            <w:tcW w:w="680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采购人依据本考核表逐项评分，实行百分制考核</w:t>
            </w:r>
            <w:r/>
          </w:p>
        </w:tc>
      </w:tr>
    </w:tbl>
    <w:p>
      <w:pPr>
        <w:jc w:val="left"/>
        <w:spacing w:before="0" w:after="0" w:line="240" w:lineRule="auto"/>
        <w:rPr>
          <w:rFonts w:hint="eastAsia" w:ascii="仿宋" w:hAnsi="仿宋" w:eastAsia="仿宋" w:cs="仿宋"/>
          <w:highlight w:val="none"/>
        </w:rPr>
      </w:pPr>
      <w:r>
        <w:rPr>
          <w:rFonts w:hint="eastAsia" w:ascii="仿宋" w:hAnsi="仿宋" w:eastAsia="仿宋" w:cs="仿宋"/>
          <w:highlight w:val="none"/>
        </w:rPr>
      </w:r>
      <w:r/>
    </w:p>
    <w:p>
      <w:pPr>
        <w:jc w:val="left"/>
        <w:spacing w:before="80" w:after="80" w:line="240" w:lineRule="auto"/>
        <w:rPr>
          <w:rFonts w:hint="eastAsia" w:ascii="仿宋" w:hAnsi="仿宋" w:eastAsia="仿宋" w:cs="仿宋"/>
          <w:highlight w:val="none"/>
        </w:rPr>
      </w:pPr>
      <w:r>
        <w:rPr>
          <w:rFonts w:hint="eastAsia" w:ascii="仿宋" w:hAnsi="仿宋" w:eastAsia="仿宋" w:cs="仿宋"/>
          <w:b/>
          <w:color w:val="000000"/>
          <w:sz w:val="24"/>
          <w:highlight w:val="none"/>
        </w:rPr>
        <w:t xml:space="preserve">一、考核评分表</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498"/>
        <w:gridCol w:w="2913"/>
        <w:gridCol w:w="2650"/>
        <w:gridCol w:w="987"/>
        <w:gridCol w:w="1022"/>
      </w:tblGrid>
      <w:tr>
        <w:trPr>
          <w:jc w:val="center"/>
          <w:trHeight w:val="375"/>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考核维度</w:t>
            </w:r>
            <w:r/>
          </w:p>
        </w:tc>
        <w:tc>
          <w:tcPr>
            <w:shd w:val="clear" w:color="auto" w:fill="d9d9d9"/>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考核内容</w:t>
            </w:r>
            <w:r/>
          </w:p>
        </w:tc>
        <w:tc>
          <w:tcPr>
            <w:shd w:val="clear" w:color="auto" w:fill="d9d9d9"/>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评分标准与扣分说明</w:t>
            </w:r>
            <w:r/>
          </w:p>
        </w:tc>
        <w:tc>
          <w:tcPr>
            <w:shd w:val="clear" w:color="auto" w:fill="d9d9d9"/>
            <w:tcBorders>
              <w:top w:val="single" w:color="000000" w:sz="6" w:space="0"/>
              <w:left w:val="single" w:color="000000" w:sz="6" w:space="0"/>
              <w:bottom w:val="single" w:color="000000" w:sz="6" w:space="0"/>
              <w:right w:val="single" w:color="000000" w:sz="6" w:space="0"/>
            </w:tcBorders>
            <w:tcW w:w="987"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标准分</w:t>
            </w:r>
            <w:r/>
          </w:p>
        </w:tc>
        <w:tc>
          <w:tcPr>
            <w:shd w:val="clear" w:color="auto" w:fill="d9d9d9"/>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实得分</w:t>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一、服务保障与按时供餐</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每周一至周六保障早、中、晚餐，特殊时间按甲方规定时间供应</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缺供一餐扣3分；未按甲方规定时间供餐，每次扣1分；当月扣完15分为止。</w:t>
            </w:r>
            <w:r/>
          </w:p>
        </w:tc>
        <w:tc>
          <w:tcPr>
            <w:tcBorders>
              <w:top w:val="single" w:color="000000" w:sz="6" w:space="0"/>
              <w:left w:val="single" w:color="000000" w:sz="6" w:space="0"/>
              <w:bottom w:val="single" w:color="000000" w:sz="6" w:space="0"/>
              <w:right w:val="single" w:color="000000" w:sz="6" w:space="0"/>
            </w:tcBorders>
            <w:tcW w:w="987"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15</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按时正点开餐，开餐前10分钟饭菜全部摆放到位，开餐前5分钟服务人员到指定岗位</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开餐延迟，每次扣1分；饭菜摆放或人员到岗不及时，每次扣0.5分。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供餐形式及菜单服从采购人要求，菜单提前报采购人审核</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未按要求报审菜单或私自调整菜谱，每次扣2分。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二、菜品质量与品种</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早餐主食不低于10个品种、小菜不低于4个品种、汤不低于2个品种；午、晚餐菜品不低于10个品种、特色菜肴不低于2个品种、主食不低于2个品种，汤免费</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每少1个品种扣1分，扣完为止。</w:t>
            </w:r>
            <w:r/>
          </w:p>
        </w:tc>
        <w:tc>
          <w:tcPr>
            <w:tcBorders>
              <w:top w:val="single" w:color="000000" w:sz="6" w:space="0"/>
              <w:left w:val="single" w:color="000000" w:sz="6" w:space="0"/>
              <w:bottom w:val="single" w:color="000000" w:sz="6" w:space="0"/>
              <w:right w:val="single" w:color="000000" w:sz="6" w:space="0"/>
            </w:tcBorders>
            <w:tcW w:w="987"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20</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原料新鲜、搭配合理、花样翻新、味道可口、物有所值，符合菜单审核要求；</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菜品质量、口味不达标，每次扣1-2分。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饭菜中无头发等异物，菜品加工规范，符合卫生要求</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饭菜中发现异物，每次扣1分。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三、价格执行与成本控制</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基本菜肴价格符合标准：大荤5-6元、小荤3-4元、素菜1-2元</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任一菜品超价，每次扣1分。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15</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职工用餐执行成本价供应，特色菜肴实行微利润销售</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未按成本价执行或未做到微利润销售，每次扣2分。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接待客餐在饭菜成本价基础上上浮不超过10%</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超标准上浮，每次扣1分。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四、食品卫生与食品安全</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所有上岗人员持有有效健康证并在展示板长期公示，接受采购人定期核查和随机抽查</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无证上岗，每人扣3分；证件未公示或人员不符要求，每人次扣1分。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20</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采购食材（蔬菜、禽类、肉类、油等）新鲜并符合国家卫生标准，进货质量经采购人验收把关</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发现不合格食材，每次扣2分；采购人验收不合格未整改，每次扣2分。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餐具清洗、消毒到位，洁净无残留物；餐后餐具、物品摆放整齐规范；操作间每天大清洗一次</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餐具不洁或摆放不整齐，每次扣1分；操作间未每日大清洗，每次扣1分。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定期对食堂进行全面消毒、清除四害，排烟设施罩清洁不滴油；垃圾及时处理妥当</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发现消毒不落实，每次扣1分；垃圾未及时处理，每次扣1分。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lang w:eastAsia="zh-CN"/>
              </w:rPr>
            </w:pPr>
            <w:r>
              <w:rPr>
                <w:rFonts w:hint="eastAsia" w:ascii="仿宋" w:hAnsi="仿宋" w:eastAsia="仿宋" w:cs="仿宋"/>
                <w:b w:val="0"/>
                <w:color w:val="000000"/>
                <w:sz w:val="21"/>
                <w:highlight w:val="none"/>
              </w:rPr>
              <w:t xml:space="preserve">严格执行《食品安全法》及国家、省、市相关规定，无食品安全事件</w:t>
            </w:r>
            <w:r>
              <w:rPr>
                <w:rFonts w:hint="eastAsia" w:ascii="仿宋" w:hAnsi="仿宋" w:eastAsia="仿宋" w:cs="仿宋"/>
                <w:b w:val="0"/>
                <w:color w:val="000000"/>
                <w:sz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违反食品安全规定，视情节每次扣2-5分。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五、环境卫生与设备管理</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食堂环境整洁无污染，桌面清理整洁、就餐地面环境达标，符合卫生防疫要求；</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环境不达标，每次扣1分。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10</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正确使用、及时维护厨具、餐具、电气等设备设施；节约水、电、气使用；</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设备损坏未及时报修或人为损坏，每次扣1分；恶意浪费水电气，据情节每次扣1-3分。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六、人员配备与管理</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按合同约定配齐工作人员，在岗在位，无缺岗；人员调整、更换、补充及时；</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缺岗1人扣2分；未按采购人要求及时补岗，每次扣2分。</w:t>
            </w:r>
            <w:r/>
          </w:p>
        </w:tc>
        <w:tc>
          <w:tcPr>
            <w:tcBorders>
              <w:top w:val="single" w:color="000000" w:sz="6" w:space="0"/>
              <w:left w:val="single" w:color="000000" w:sz="6" w:space="0"/>
              <w:bottom w:val="single" w:color="000000" w:sz="6" w:space="0"/>
              <w:right w:val="single" w:color="000000" w:sz="6" w:space="0"/>
            </w:tcBorders>
            <w:tcW w:w="987"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10</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工作期间衣着整洁，按规定统一佩戴工作帽、口罩、一次性手套等，待人有礼；</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着装不规范，每人次扣0.5分。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及时提供员工技能证书、劳动合同、健康证、身份证等证件资料供采购人审核；项目负责人及人员变更经采购人许可；</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未按要求提供资料，每次扣1分；未经许可变更人员，每人次扣1分。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1498"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七、服务配合与响应</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服从采购人监督管理，遵守采购人各项规章制度，服从管理调配；</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不服从管理或违反规章制度，每次扣2分。</w:t>
            </w:r>
            <w:r/>
          </w:p>
        </w:tc>
        <w:tc>
          <w:tcPr>
            <w:tcBorders>
              <w:top w:val="single" w:color="000000" w:sz="6" w:space="0"/>
              <w:left w:val="single" w:color="000000" w:sz="6" w:space="0"/>
              <w:bottom w:val="single" w:color="000000" w:sz="6" w:space="0"/>
              <w:right w:val="single" w:color="000000" w:sz="6" w:space="0"/>
            </w:tcBorders>
            <w:tcW w:w="987"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10</w:t>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restart"/>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49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913"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采购人因会务、接待或其他公务活动需加班时，随时提供加班服务；大型活动或重要接待时及时调配人员予以保障；</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拒不配合或保障不到位，每次扣1-3分。</w:t>
            </w:r>
            <w:r/>
          </w:p>
        </w:tc>
        <w:tc>
          <w:tcPr>
            <w:tcBorders>
              <w:top w:val="single" w:color="000000" w:sz="6" w:space="0"/>
              <w:left w:val="single" w:color="000000" w:sz="6" w:space="0"/>
              <w:bottom w:val="single" w:color="000000" w:sz="6" w:space="0"/>
              <w:right w:val="single" w:color="000000" w:sz="6" w:space="0"/>
            </w:tcBorders>
            <w:tcW w:w="987"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jc w:val="center"/>
        </w:trPr>
        <w:tc>
          <w:tcPr>
            <w:gridSpan w:val="2"/>
            <w:shd w:val="clear" w:color="auto" w:fill="d9d9d9"/>
            <w:tcBorders>
              <w:top w:val="single" w:color="000000" w:sz="6" w:space="0"/>
              <w:left w:val="single" w:color="000000" w:sz="6" w:space="0"/>
              <w:bottom w:val="single" w:color="000000" w:sz="6" w:space="0"/>
              <w:right w:val="single" w:color="000000" w:sz="6" w:space="0"/>
            </w:tcBorders>
            <w:tcW w:w="4411"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合　　计</w:t>
            </w:r>
            <w:r/>
          </w:p>
        </w:tc>
        <w:tc>
          <w:tcPr>
            <w:tcBorders>
              <w:top w:val="single" w:color="000000" w:sz="6" w:space="0"/>
              <w:left w:val="single" w:color="000000" w:sz="6" w:space="0"/>
              <w:bottom w:val="single" w:color="000000" w:sz="6" w:space="0"/>
              <w:right w:val="single" w:color="000000" w:sz="6" w:space="0"/>
            </w:tcBorders>
            <w:tcW w:w="2650"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87"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100</w:t>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highlight w:val="none"/>
              </w:rPr>
            </w:r>
            <w:r/>
          </w:p>
        </w:tc>
      </w:tr>
    </w:tbl>
    <w:p>
      <w:pPr>
        <w:jc w:val="left"/>
        <w:spacing w:before="80" w:after="80" w:line="240" w:lineRule="auto"/>
        <w:rPr>
          <w:rFonts w:hint="eastAsia" w:ascii="仿宋" w:hAnsi="仿宋" w:eastAsia="仿宋" w:cs="仿宋"/>
          <w:highlight w:val="none"/>
        </w:rPr>
      </w:pPr>
      <w:r>
        <w:rPr>
          <w:rFonts w:hint="eastAsia" w:ascii="仿宋" w:hAnsi="仿宋" w:eastAsia="仿宋" w:cs="仿宋"/>
          <w:b/>
          <w:color w:val="000000"/>
          <w:sz w:val="24"/>
          <w:highlight w:val="none"/>
        </w:rPr>
        <w:t xml:space="preserve">二、考核评分等级及结果运用</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jc w:val="center"/>
        </w:trPr>
        <w:tc>
          <w:tcPr>
            <w:shd w:val="clear" w:color="auto" w:fill="d9d9d9"/>
            <w:tcBorders>
              <w:top w:val="single" w:color="000000" w:sz="6" w:space="0"/>
              <w:left w:val="single" w:color="000000" w:sz="6" w:space="0"/>
              <w:bottom w:val="single" w:color="000000" w:sz="6" w:space="0"/>
              <w:right w:val="single" w:color="000000" w:sz="6" w:space="0"/>
            </w:tcBorders>
            <w:tcW w:w="4536"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考核得分</w:t>
            </w:r>
            <w:r/>
          </w:p>
        </w:tc>
        <w:tc>
          <w:tcPr>
            <w:shd w:val="clear" w:color="auto" w:fill="d9d9d9"/>
            <w:tcBorders>
              <w:top w:val="single" w:color="000000" w:sz="6" w:space="0"/>
              <w:left w:val="single" w:color="000000" w:sz="6" w:space="0"/>
              <w:bottom w:val="single" w:color="000000" w:sz="6" w:space="0"/>
              <w:right w:val="single" w:color="000000" w:sz="6" w:space="0"/>
            </w:tcBorders>
            <w:tcW w:w="4536"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color w:val="000000"/>
                <w:sz w:val="21"/>
                <w:highlight w:val="none"/>
              </w:rPr>
              <w:t xml:space="preserve">考核等级</w:t>
            </w:r>
            <w:r/>
          </w:p>
        </w:tc>
      </w:tr>
      <w:tr>
        <w:trPr>
          <w:jc w:val="center"/>
        </w:trPr>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≥90分</w:t>
            </w:r>
            <w:r/>
          </w:p>
        </w:tc>
        <w:tc>
          <w:tcPr>
            <w:tcBorders>
              <w:top w:val="single" w:color="000000" w:sz="6" w:space="0"/>
              <w:left w:val="single" w:color="000000" w:sz="6" w:space="0"/>
              <w:bottom w:val="single" w:color="000000" w:sz="6" w:space="0"/>
              <w:right w:val="single" w:color="000000" w:sz="6" w:space="0"/>
            </w:tcBorders>
            <w:tcW w:w="5669"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优秀</w:t>
            </w:r>
            <w:r/>
          </w:p>
        </w:tc>
      </w:tr>
      <w:tr>
        <w:trPr>
          <w:jc w:val="center"/>
        </w:trPr>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80—89分</w:t>
            </w:r>
            <w:r/>
          </w:p>
        </w:tc>
        <w:tc>
          <w:tcPr>
            <w:tcBorders>
              <w:top w:val="single" w:color="000000" w:sz="6" w:space="0"/>
              <w:left w:val="single" w:color="000000" w:sz="6" w:space="0"/>
              <w:bottom w:val="single" w:color="000000" w:sz="6" w:space="0"/>
              <w:right w:val="single" w:color="000000" w:sz="6" w:space="0"/>
            </w:tcBorders>
            <w:tcW w:w="5669"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良好</w:t>
            </w:r>
            <w:r/>
          </w:p>
        </w:tc>
      </w:tr>
      <w:tr>
        <w:trPr>
          <w:jc w:val="center"/>
        </w:trPr>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70—79分</w:t>
            </w:r>
            <w:r/>
          </w:p>
        </w:tc>
        <w:tc>
          <w:tcPr>
            <w:tcBorders>
              <w:top w:val="single" w:color="000000" w:sz="6" w:space="0"/>
              <w:left w:val="single" w:color="000000" w:sz="6" w:space="0"/>
              <w:bottom w:val="single" w:color="000000" w:sz="6" w:space="0"/>
              <w:right w:val="single" w:color="000000" w:sz="6" w:space="0"/>
            </w:tcBorders>
            <w:tcW w:w="5669"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合格</w:t>
            </w:r>
            <w:r/>
          </w:p>
        </w:tc>
      </w:tr>
      <w:tr>
        <w:trPr>
          <w:jc w:val="center"/>
        </w:trPr>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60—69分</w:t>
            </w:r>
            <w:r/>
          </w:p>
        </w:tc>
        <w:tc>
          <w:tcPr>
            <w:tcBorders>
              <w:top w:val="single" w:color="000000" w:sz="6" w:space="0"/>
              <w:left w:val="single" w:color="000000" w:sz="6" w:space="0"/>
              <w:bottom w:val="single" w:color="000000" w:sz="6" w:space="0"/>
              <w:right w:val="single" w:color="000000" w:sz="6" w:space="0"/>
            </w:tcBorders>
            <w:tcW w:w="5669"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基本合格</w:t>
            </w:r>
            <w:r/>
          </w:p>
        </w:tc>
      </w:tr>
      <w:tr>
        <w:trPr>
          <w:jc w:val="center"/>
        </w:trPr>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＜60分</w:t>
            </w:r>
            <w:r/>
          </w:p>
        </w:tc>
        <w:tc>
          <w:tcPr>
            <w:tcBorders>
              <w:top w:val="single" w:color="000000" w:sz="6" w:space="0"/>
              <w:left w:val="single" w:color="000000" w:sz="6" w:space="0"/>
              <w:bottom w:val="single" w:color="000000" w:sz="6" w:space="0"/>
              <w:right w:val="single" w:color="000000" w:sz="6" w:space="0"/>
            </w:tcBorders>
            <w:tcW w:w="5669" w:type="dxa"/>
            <w:vAlign w:val="center"/>
            <w:textDirection w:val="lrTb"/>
            <w:noWrap w:val="false"/>
          </w:tcPr>
          <w:p>
            <w:pPr>
              <w:ind w:firstLine="0"/>
              <w:jc w:val="center"/>
              <w:spacing w:before="40" w:after="4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不合格</w:t>
            </w:r>
            <w:r/>
          </w:p>
        </w:tc>
      </w:tr>
    </w:tbl>
    <w:p>
      <w:pPr>
        <w:jc w:val="left"/>
        <w:spacing w:before="0" w:after="0" w:line="240" w:lineRule="auto"/>
        <w:rPr>
          <w:rFonts w:hint="eastAsia" w:ascii="仿宋" w:hAnsi="仿宋" w:eastAsia="仿宋" w:cs="仿宋"/>
          <w:highlight w:val="none"/>
        </w:rPr>
      </w:pPr>
      <w:r>
        <w:rPr>
          <w:rFonts w:hint="eastAsia" w:ascii="仿宋" w:hAnsi="仿宋" w:eastAsia="仿宋" w:cs="仿宋"/>
          <w:highlight w:val="none"/>
        </w:rPr>
      </w:r>
      <w:r/>
    </w:p>
    <w:p>
      <w:pPr>
        <w:ind w:firstLine="420"/>
        <w:jc w:val="left"/>
        <w:spacing w:before="0" w:after="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1. 当月应付服务费＝合同年度服务费÷12×（当月考核得分÷100）。</w:t>
      </w:r>
      <w:r/>
    </w:p>
    <w:p>
      <w:pPr>
        <w:ind w:firstLine="420"/>
        <w:jc w:val="left"/>
        <w:spacing w:before="0" w:after="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2. 采购人定期考核，乙方连续两次考核得分低于60分的，采购人有权解除合同，乙方无条件接受。</w:t>
      </w:r>
      <w:r/>
    </w:p>
    <w:p>
      <w:pPr>
        <w:ind w:firstLine="420"/>
        <w:jc w:val="left"/>
        <w:spacing w:before="0" w:after="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3. 当月发生食品安全事故（如食物中毒等）或重大安全事故、严重违法违纪损害采购人利益的，当月考核直接记0分，并依合同承担违约责任及赔偿责任。</w:t>
      </w:r>
      <w:r/>
    </w:p>
    <w:p>
      <w:pPr>
        <w:ind w:firstLine="420"/>
        <w:jc w:val="left"/>
        <w:spacing w:before="0" w:after="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4. 考核发现的问题，乙方须在规定期限内整改；逾期未整改或整改不到位的，按对应项目累计扣分。</w:t>
      </w:r>
      <w:r/>
    </w:p>
    <w:p>
      <w:pPr>
        <w:ind w:firstLine="420"/>
        <w:jc w:val="left"/>
        <w:spacing w:before="0" w:after="0" w:line="240" w:lineRule="auto"/>
        <w:rPr>
          <w:rFonts w:hint="eastAsia" w:ascii="仿宋" w:hAnsi="仿宋" w:eastAsia="仿宋" w:cs="仿宋"/>
          <w:highlight w:val="none"/>
        </w:rPr>
      </w:pPr>
      <w:r>
        <w:rPr>
          <w:rFonts w:hint="eastAsia" w:ascii="仿宋" w:hAnsi="仿宋" w:eastAsia="仿宋" w:cs="仿宋"/>
          <w:b w:val="0"/>
          <w:color w:val="000000"/>
          <w:sz w:val="21"/>
          <w:highlight w:val="none"/>
        </w:rPr>
        <w:t xml:space="preserve">5. 本考核表未尽事宜，按磋商文件及《拟签订的合同文本》相关规定执行。</w:t>
      </w:r>
      <w:r/>
    </w:p>
    <w:p>
      <w:pPr>
        <w:jc w:val="left"/>
        <w:spacing w:before="0" w:after="0" w:line="240" w:lineRule="auto"/>
        <w:rPr>
          <w:rFonts w:hint="eastAsia" w:ascii="仿宋" w:hAnsi="仿宋" w:eastAsia="仿宋" w:cs="仿宋"/>
          <w:highlight w:val="none"/>
        </w:rPr>
      </w:pPr>
      <w:r>
        <w:rPr>
          <w:rFonts w:hint="eastAsia" w:ascii="仿宋" w:hAnsi="仿宋" w:eastAsia="仿宋" w:cs="仿宋"/>
          <w:highlight w:val="none"/>
        </w:rPr>
      </w:r>
      <w:r/>
    </w:p>
    <w:p>
      <w:pPr>
        <w:jc w:val="left"/>
        <w:spacing w:before="80" w:after="80" w:line="240" w:lineRule="auto"/>
        <w:rPr>
          <w:rFonts w:hint="eastAsia" w:ascii="仿宋" w:hAnsi="仿宋" w:eastAsia="仿宋" w:cs="仿宋"/>
          <w:highlight w:val="none"/>
        </w:rPr>
      </w:pPr>
      <w:r>
        <w:rPr>
          <w:rFonts w:hint="eastAsia" w:ascii="仿宋" w:hAnsi="仿宋" w:eastAsia="仿宋" w:cs="仿宋"/>
          <w:b/>
          <w:color w:val="000000"/>
          <w:sz w:val="24"/>
          <w:highlight w:val="none"/>
        </w:rPr>
        <w:t xml:space="preserve">三、考核结论</w:t>
      </w:r>
      <w:r/>
    </w:p>
    <w:p>
      <w:pPr>
        <w:jc w:val="left"/>
        <w:spacing w:before="0" w:after="120" w:line="240" w:lineRule="auto"/>
        <w:rPr>
          <w:rFonts w:hint="eastAsia" w:ascii="仿宋" w:hAnsi="仿宋" w:eastAsia="仿宋" w:cs="仿宋"/>
          <w:highlight w:val="none"/>
        </w:rPr>
      </w:pPr>
      <w:r>
        <w:rPr>
          <w:rFonts w:hint="eastAsia" w:ascii="仿宋" w:hAnsi="仿宋" w:eastAsia="仿宋" w:cs="仿宋"/>
          <w:b w:val="0"/>
          <w:color w:val="000000"/>
          <w:sz w:val="24"/>
          <w:highlight w:val="none"/>
        </w:rPr>
        <w:t xml:space="preserve">当月考核得分：＿＿＿＿＿＿分　　　考核等级：＿＿＿＿＿＿＿＿＿＿</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jc w:val="center"/>
        </w:trPr>
        <w:tc>
          <w:tcPr>
            <w:tcBorders>
              <w:top w:val="single" w:color="000000" w:sz="6" w:space="0"/>
              <w:left w:val="single" w:color="000000" w:sz="6" w:space="0"/>
              <w:bottom w:val="single" w:color="000000" w:sz="6" w:space="0"/>
              <w:right w:val="single" w:color="000000" w:sz="6" w:space="0"/>
            </w:tcBorders>
            <w:tcW w:w="3969" w:type="dxa"/>
            <w:vAlign w:val="center"/>
            <w:textDirection w:val="lrTb"/>
            <w:noWrap w:val="false"/>
          </w:tcPr>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甲方（采购人）考核人员签字：</w:t>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5102"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4"/>
                <w:highlight w:val="none"/>
              </w:rPr>
              <w:t xml:space="preserve">　日期：＿＿＿＿＿＿＿＿＿＿</w:t>
            </w:r>
            <w:r/>
          </w:p>
        </w:tc>
      </w:tr>
      <w:tr>
        <w:trPr>
          <w:cantSplit/>
          <w:jc w:val="center"/>
        </w:trPr>
        <w:tc>
          <w:tcPr>
            <w:tcBorders>
              <w:top w:val="single" w:color="000000" w:sz="6" w:space="0"/>
              <w:left w:val="single" w:color="000000" w:sz="6" w:space="0"/>
              <w:bottom w:val="single" w:color="000000" w:sz="6" w:space="0"/>
              <w:right w:val="single" w:color="000000" w:sz="6" w:space="0"/>
            </w:tcBorders>
            <w:tcW w:w="3969" w:type="dxa"/>
            <w:vAlign w:val="center"/>
            <w:textDirection w:val="lrTb"/>
            <w:noWrap w:val="false"/>
          </w:tcPr>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乙方（被考核单位）负责人签字：</w:t>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ind w:firstLine="0"/>
              <w:jc w:val="left"/>
              <w:spacing w:before="40" w:after="40"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5102" w:type="dxa"/>
            <w:vAlign w:val="center"/>
            <w:textDirection w:val="lrTb"/>
            <w:noWrap w:val="false"/>
          </w:tcPr>
          <w:p>
            <w:pPr>
              <w:ind w:firstLine="0"/>
              <w:jc w:val="left"/>
              <w:spacing w:before="40" w:after="40" w:line="240" w:lineRule="auto"/>
              <w:rPr>
                <w:rFonts w:hint="eastAsia" w:ascii="仿宋" w:hAnsi="仿宋" w:eastAsia="仿宋" w:cs="仿宋"/>
                <w:highlight w:val="none"/>
              </w:rPr>
            </w:pPr>
            <w:r>
              <w:rPr>
                <w:rFonts w:hint="eastAsia" w:ascii="仿宋" w:hAnsi="仿宋" w:eastAsia="仿宋" w:cs="仿宋"/>
                <w:b w:val="0"/>
                <w:color w:val="000000"/>
                <w:sz w:val="24"/>
                <w:highlight w:val="none"/>
              </w:rPr>
              <w:t xml:space="preserve">　日期：＿＿＿＿＿＿＿＿＿＿</w:t>
            </w:r>
            <w:r/>
          </w:p>
        </w:tc>
      </w:tr>
    </w:tbl>
    <w:p>
      <w:pPr>
        <w:rPr>
          <w:rFonts w:hint="eastAsia"/>
          <w:highlight w:val="none"/>
          <w:lang w:val="en-US" w:eastAsia="zh-CN"/>
        </w:rPr>
      </w:pPr>
      <w:r>
        <w:rPr>
          <w:rFonts w:hint="eastAsia"/>
          <w:highlight w:val="none"/>
          <w:lang w:val="en-US" w:eastAsia="zh-CN"/>
        </w:rPr>
        <w:tab/>
      </w:r>
      <w:r/>
    </w:p>
    <w:p>
      <w:pPr>
        <w:pStyle w:val="831"/>
        <w:ind w:left="2100" w:firstLine="6927"/>
        <w:jc w:val="left"/>
        <w:pageBreakBefore w:val="0"/>
        <w:spacing w:line="360" w:lineRule="auto"/>
        <w:tabs>
          <w:tab w:val="left" w:pos="1141" w:leader="none"/>
        </w:tabs>
        <w:rPr>
          <w:rFonts w:hint="eastAsia"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 </w:t>
      </w:r>
      <w:r/>
    </w:p>
    <w:p>
      <w:pPr>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br w:type="page" w:clear="all"/>
      </w:r>
      <w:r/>
    </w:p>
    <w:p>
      <w:pPr>
        <w:pStyle w:val="831"/>
        <w:jc w:val="center"/>
        <w:pageBreakBefore w:val="0"/>
        <w:spacing w:line="360" w:lineRule="auto"/>
        <w:tabs>
          <w:tab w:val="left" w:pos="1141" w:leader="none"/>
        </w:tabs>
        <w:rPr>
          <w:rFonts w:hint="default" w:ascii="仿宋" w:hAnsi="仿宋" w:eastAsia="仿宋" w:cs="仿宋"/>
          <w:color w:val="000000" w:themeColor="text1"/>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16、</w:t>
      </w:r>
      <w:r>
        <w:rPr>
          <w:rFonts w:hint="eastAsia" w:ascii="仿宋" w:hAnsi="仿宋" w:eastAsia="仿宋" w:cs="仿宋"/>
          <w:color w:val="000000" w:themeColor="text1"/>
          <w:sz w:val="30"/>
          <w:szCs w:val="30"/>
          <w:highlight w:val="none"/>
          <w14:textFill>
            <w14:solidFill>
              <w14:schemeClr w14:val="tx1"/>
            </w14:solidFill>
          </w14:textFill>
        </w:rPr>
        <w:t xml:space="preserve"> 招标代理服务费</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收费标准</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徐州市政府采购业务代理服务费行业指导价格</w:t>
      </w:r>
      <w:r/>
    </w:p>
    <w:tbl>
      <w:tblPr>
        <w:tblStyle w:val="775"/>
        <w:tblW w:w="860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0.005%</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4.代理服务费应收取金额=代理服务费基准金额（按差额定率累进法计算的）的合计数*40%。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823"/>
        <w:pageBreakBefore w:val="0"/>
        <w:spacing w:line="360" w:lineRule="auto"/>
        <w:rPr>
          <w:rFonts w:hint="eastAsia" w:ascii="仿宋" w:hAnsi="仿宋" w:eastAsia="仿宋" w:cs="仿宋"/>
          <w:b/>
          <w:bCs/>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highlight w:val="none"/>
          <w:lang w:val="en-US" w:eastAsia="zh-CN"/>
          <w14:textFill>
            <w14:solidFill>
              <w14:schemeClr w14:val="tx1"/>
            </w14:solidFill>
          </w14:textFill>
        </w:rPr>
        <w:t xml:space="preserve">本次招标代理服务费由采购人支付。</w:t>
      </w:r>
      <w:r/>
    </w:p>
    <w:p>
      <w:pPr>
        <w:pStyle w:val="823"/>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23"/>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23"/>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3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headerReference w:type="default" r:id="rId9"/>
      <w:footerReference w:type="default" r:id="rId12"/>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Tahoma">
    <w:panose1 w:val="020B0604030504040204"/>
  </w:font>
  <w:font w:name="Cambria">
    <w:panose1 w:val="02040503050406030204"/>
  </w:font>
  <w:font w:name="仿宋">
    <w:panose1 w:val="02010609060101010101"/>
  </w:font>
  <w:font w:name="金山简黑体">
    <w:panose1 w:val="020B050302020202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43</w:t>
                    </w:r>
                    <w:r>
                      <w:fldChar w:fldCharType="end"/>
                    </w:r>
                    <w:r/>
                  </w:p>
                </w:txbxContent>
              </v:textbox>
            </v:shape>
          </w:pict>
        </mc:Fallback>
      </mc:AlternateContent>
    </w:r>
    <w:r>
      <w:rPr>
        <w:lang w:val="zh-CN"/>
      </w:rPr>
      <w:t xml:space="preserve"> </w:t>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next w:val="776"/>
    <w:uiPriority w:val="0"/>
    <w:qFormat/>
    <w:rPr>
      <w:rFonts w:hint="default" w:ascii="Calibri" w:hAnsi="Calibri" w:eastAsia="宋体" w:cs="Times New Roman"/>
      <w:lang w:val="en-US" w:eastAsia="zh-CN" w:bidi="ar-SA"/>
    </w:rPr>
  </w:style>
  <w:style w:type="paragraph" w:styleId="765">
    <w:name w:val="Heading 1"/>
    <w:basedOn w:val="764"/>
    <w:next w:val="764"/>
    <w:uiPriority w:val="0"/>
    <w:qFormat/>
    <w:pPr>
      <w:keepLines/>
      <w:keepNext/>
      <w:spacing w:before="480" w:after="200"/>
      <w:outlineLvl w:val="0"/>
    </w:pPr>
    <w:rPr>
      <w:rFonts w:ascii="Arial" w:hAnsi="Arial" w:eastAsia="Arial" w:cs="Arial"/>
      <w:sz w:val="40"/>
      <w:szCs w:val="40"/>
    </w:rPr>
  </w:style>
  <w:style w:type="paragraph" w:styleId="766">
    <w:name w:val="Heading 2"/>
    <w:basedOn w:val="764"/>
    <w:next w:val="764"/>
    <w:uiPriority w:val="0"/>
    <w:qFormat/>
    <w:pPr>
      <w:keepLines/>
      <w:keepNext/>
      <w:spacing w:before="360" w:after="200"/>
      <w:outlineLvl w:val="1"/>
    </w:pPr>
    <w:rPr>
      <w:rFonts w:ascii="Arial" w:hAnsi="Arial" w:eastAsia="Arial" w:cs="Arial"/>
      <w:sz w:val="34"/>
    </w:rPr>
  </w:style>
  <w:style w:type="paragraph" w:styleId="767">
    <w:name w:val="Heading 3"/>
    <w:basedOn w:val="764"/>
    <w:next w:val="764"/>
    <w:uiPriority w:val="0"/>
    <w:qFormat/>
    <w:pPr>
      <w:keepLines/>
      <w:keepNext/>
      <w:spacing w:before="320" w:after="200"/>
      <w:outlineLvl w:val="2"/>
    </w:pPr>
    <w:rPr>
      <w:rFonts w:ascii="Arial" w:hAnsi="Arial" w:eastAsia="Arial" w:cs="Arial"/>
      <w:sz w:val="30"/>
      <w:szCs w:val="30"/>
      <w:lang w:val="en-US" w:eastAsia="zh-CN" w:bidi="ar-SA"/>
    </w:rPr>
  </w:style>
  <w:style w:type="paragraph" w:styleId="768">
    <w:name w:val="Heading 4"/>
    <w:basedOn w:val="764"/>
    <w:next w:val="764"/>
    <w:uiPriority w:val="0"/>
    <w:qFormat/>
    <w:pPr>
      <w:keepLines/>
      <w:keepNext/>
      <w:spacing w:before="320" w:after="200"/>
      <w:outlineLvl w:val="3"/>
    </w:pPr>
    <w:rPr>
      <w:rFonts w:ascii="Arial" w:hAnsi="Arial" w:eastAsia="Arial" w:cs="Arial"/>
      <w:b/>
      <w:bCs/>
      <w:sz w:val="26"/>
      <w:szCs w:val="26"/>
    </w:rPr>
  </w:style>
  <w:style w:type="paragraph" w:styleId="769">
    <w:name w:val="Heading 5"/>
    <w:next w:val="764"/>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70">
    <w:name w:val="Heading 6"/>
    <w:next w:val="764"/>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71">
    <w:name w:val="Heading 7"/>
    <w:next w:val="764"/>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72">
    <w:name w:val="Heading 8"/>
    <w:next w:val="764"/>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73">
    <w:name w:val="Heading 9"/>
    <w:next w:val="764"/>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Block Text"/>
    <w:basedOn w:val="764"/>
    <w:next w:val="764"/>
    <w:uiPriority w:val="0"/>
    <w:qFormat/>
    <w:pPr>
      <w:ind w:left="256" w:right="6" w:firstLine="624"/>
    </w:pPr>
    <w:rPr>
      <w:rFonts w:ascii="Times New Roman" w:hAnsi="Times New Roman" w:eastAsia="仿宋_GB2312"/>
      <w:sz w:val="28"/>
    </w:rPr>
  </w:style>
  <w:style w:type="paragraph" w:styleId="777">
    <w:name w:val="toc 7"/>
    <w:next w:val="764"/>
    <w:uiPriority w:val="0"/>
    <w:qFormat/>
    <w:pPr>
      <w:ind w:left="1701"/>
      <w:spacing w:after="57"/>
    </w:pPr>
    <w:rPr>
      <w:rFonts w:hint="default" w:ascii="Calibri" w:hAnsi="Calibri" w:eastAsia="宋体" w:cs="Times New Roman"/>
      <w:lang w:val="en-US" w:eastAsia="zh-CN" w:bidi="ar-SA"/>
    </w:rPr>
  </w:style>
  <w:style w:type="paragraph" w:styleId="778">
    <w:name w:val="Normal Indent"/>
    <w:basedOn w:val="764"/>
    <w:next w:val="779"/>
    <w:uiPriority w:val="99"/>
    <w:unhideWhenUsed/>
    <w:qFormat/>
    <w:pPr>
      <w:ind w:firstLine="420"/>
    </w:pPr>
  </w:style>
  <w:style w:type="paragraph" w:styleId="779">
    <w:name w:val="Body Text Indent"/>
    <w:basedOn w:val="764"/>
    <w:next w:val="780"/>
    <w:uiPriority w:val="0"/>
    <w:qFormat/>
    <w:pPr>
      <w:ind w:firstLine="567"/>
      <w:spacing w:line="500" w:lineRule="exact"/>
      <w:tabs>
        <w:tab w:val="left" w:pos="0" w:leader="none"/>
        <w:tab w:val="left" w:pos="993" w:leader="none"/>
        <w:tab w:val="left" w:pos="1134" w:leader="none"/>
      </w:tabs>
    </w:pPr>
    <w:rPr>
      <w:rFonts w:ascii="宋体"/>
    </w:rPr>
  </w:style>
  <w:style w:type="paragraph" w:styleId="780">
    <w:name w:val="envelope return"/>
    <w:basedOn w:val="764"/>
    <w:uiPriority w:val="99"/>
    <w:unhideWhenUsed/>
    <w:qFormat/>
    <w:rPr>
      <w:rFonts w:ascii="Arial" w:hAnsi="Arial"/>
    </w:rPr>
  </w:style>
  <w:style w:type="paragraph" w:styleId="781">
    <w:name w:val="Caption"/>
    <w:next w:val="764"/>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82">
    <w:name w:val="Document Map"/>
    <w:basedOn w:val="764"/>
    <w:uiPriority w:val="99"/>
    <w:unhideWhenUsed/>
    <w:qFormat/>
    <w:rPr>
      <w:rFonts w:ascii="宋体"/>
      <w:sz w:val="18"/>
      <w:szCs w:val="18"/>
    </w:rPr>
  </w:style>
  <w:style w:type="paragraph" w:styleId="783">
    <w:name w:val="annotation text"/>
    <w:basedOn w:val="764"/>
    <w:uiPriority w:val="0"/>
    <w:qFormat/>
    <w:pPr>
      <w:jc w:val="left"/>
    </w:pPr>
  </w:style>
  <w:style w:type="paragraph" w:styleId="784">
    <w:name w:val="Body Text"/>
    <w:basedOn w:val="764"/>
    <w:uiPriority w:val="0"/>
    <w:qFormat/>
    <w:pPr>
      <w:spacing w:after="120"/>
    </w:pPr>
    <w:rPr>
      <w:rFonts w:ascii="Times New Roman" w:hAnsi="Times New Roman"/>
    </w:rPr>
  </w:style>
  <w:style w:type="paragraph" w:styleId="785">
    <w:name w:val="toc 5"/>
    <w:next w:val="764"/>
    <w:uiPriority w:val="0"/>
    <w:qFormat/>
    <w:pPr>
      <w:ind w:left="1134"/>
      <w:spacing w:after="57"/>
    </w:pPr>
    <w:rPr>
      <w:rFonts w:hint="default" w:ascii="Calibri" w:hAnsi="Calibri" w:eastAsia="宋体" w:cs="Times New Roman"/>
      <w:lang w:val="en-US" w:eastAsia="zh-CN" w:bidi="ar-SA"/>
    </w:rPr>
  </w:style>
  <w:style w:type="paragraph" w:styleId="786">
    <w:name w:val="toc 3"/>
    <w:next w:val="764"/>
    <w:uiPriority w:val="0"/>
    <w:qFormat/>
    <w:pPr>
      <w:ind w:left="567"/>
      <w:spacing w:after="57"/>
    </w:pPr>
    <w:rPr>
      <w:rFonts w:hint="default" w:ascii="Calibri" w:hAnsi="Calibri" w:eastAsia="宋体" w:cs="Times New Roman"/>
      <w:lang w:val="en-US" w:eastAsia="zh-CN" w:bidi="ar-SA"/>
    </w:rPr>
  </w:style>
  <w:style w:type="paragraph" w:styleId="787">
    <w:name w:val="Plain Text"/>
    <w:basedOn w:val="764"/>
    <w:uiPriority w:val="0"/>
    <w:qFormat/>
    <w:rPr>
      <w:rFonts w:ascii="宋体"/>
    </w:rPr>
  </w:style>
  <w:style w:type="paragraph" w:styleId="788">
    <w:name w:val="toc 8"/>
    <w:next w:val="764"/>
    <w:uiPriority w:val="0"/>
    <w:qFormat/>
    <w:pPr>
      <w:ind w:left="1984"/>
      <w:spacing w:after="57"/>
    </w:pPr>
    <w:rPr>
      <w:rFonts w:hint="default" w:ascii="Calibri" w:hAnsi="Calibri" w:eastAsia="宋体" w:cs="Times New Roman"/>
      <w:lang w:val="en-US" w:eastAsia="zh-CN" w:bidi="ar-SA"/>
    </w:rPr>
  </w:style>
  <w:style w:type="paragraph" w:styleId="789">
    <w:name w:val="endnote text"/>
    <w:uiPriority w:val="0"/>
    <w:qFormat/>
    <w:rPr>
      <w:rFonts w:hint="default" w:ascii="Calibri" w:hAnsi="Calibri" w:eastAsia="宋体" w:cs="Times New Roman"/>
      <w:lang w:val="en-US" w:eastAsia="zh-CN" w:bidi="ar-SA"/>
    </w:rPr>
  </w:style>
  <w:style w:type="paragraph" w:styleId="790">
    <w:name w:val="Footer"/>
    <w:basedOn w:val="764"/>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91">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92">
    <w:name w:val="toc 1"/>
    <w:next w:val="764"/>
    <w:uiPriority w:val="0"/>
    <w:qFormat/>
    <w:pPr>
      <w:spacing w:after="57"/>
    </w:pPr>
    <w:rPr>
      <w:rFonts w:hint="default" w:ascii="Calibri" w:hAnsi="Calibri" w:eastAsia="宋体" w:cs="Times New Roman"/>
      <w:lang w:val="en-US" w:eastAsia="zh-CN" w:bidi="ar-SA"/>
    </w:rPr>
  </w:style>
  <w:style w:type="paragraph" w:styleId="793">
    <w:name w:val="toc 4"/>
    <w:next w:val="764"/>
    <w:uiPriority w:val="0"/>
    <w:qFormat/>
    <w:pPr>
      <w:ind w:left="850"/>
      <w:spacing w:after="57"/>
    </w:pPr>
    <w:rPr>
      <w:rFonts w:hint="default" w:ascii="Calibri" w:hAnsi="Calibri" w:eastAsia="宋体" w:cs="Times New Roman"/>
      <w:lang w:val="en-US" w:eastAsia="zh-CN" w:bidi="ar-SA"/>
    </w:rPr>
  </w:style>
  <w:style w:type="paragraph" w:styleId="794">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95">
    <w:name w:val="footnote text"/>
    <w:uiPriority w:val="0"/>
    <w:qFormat/>
    <w:pPr>
      <w:spacing w:after="40"/>
    </w:pPr>
    <w:rPr>
      <w:rFonts w:hint="default" w:ascii="Calibri" w:hAnsi="Calibri" w:eastAsia="宋体" w:cs="Times New Roman"/>
      <w:sz w:val="18"/>
      <w:lang w:val="en-US" w:eastAsia="zh-CN" w:bidi="ar-SA"/>
    </w:rPr>
  </w:style>
  <w:style w:type="paragraph" w:styleId="796">
    <w:name w:val="toc 6"/>
    <w:basedOn w:val="764"/>
    <w:next w:val="764"/>
    <w:uiPriority w:val="0"/>
    <w:qFormat/>
    <w:pPr>
      <w:ind w:left="1417"/>
      <w:spacing w:after="57"/>
    </w:pPr>
    <w:rPr>
      <w:rFonts w:hint="default" w:ascii="Calibri" w:hAnsi="Calibri" w:eastAsia="宋体" w:cs="Times New Roman"/>
      <w:lang w:val="en-US" w:eastAsia="zh-CN" w:bidi="ar-SA"/>
    </w:rPr>
  </w:style>
  <w:style w:type="paragraph" w:styleId="797">
    <w:name w:val="table of figures"/>
    <w:next w:val="764"/>
    <w:uiPriority w:val="0"/>
    <w:qFormat/>
    <w:rPr>
      <w:rFonts w:hint="default" w:ascii="Calibri" w:hAnsi="Calibri" w:eastAsia="宋体" w:cs="Times New Roman"/>
      <w:lang w:val="en-US" w:eastAsia="zh-CN" w:bidi="ar-SA"/>
    </w:rPr>
  </w:style>
  <w:style w:type="paragraph" w:styleId="798">
    <w:name w:val="toc 2"/>
    <w:next w:val="764"/>
    <w:uiPriority w:val="0"/>
    <w:qFormat/>
    <w:pPr>
      <w:ind w:left="283"/>
      <w:spacing w:after="57"/>
    </w:pPr>
    <w:rPr>
      <w:rFonts w:hint="default" w:ascii="Calibri" w:hAnsi="Calibri" w:eastAsia="宋体" w:cs="Times New Roman"/>
      <w:lang w:val="en-US" w:eastAsia="zh-CN" w:bidi="ar-SA"/>
    </w:rPr>
  </w:style>
  <w:style w:type="paragraph" w:styleId="799">
    <w:name w:val="toc 9"/>
    <w:basedOn w:val="764"/>
    <w:next w:val="764"/>
    <w:uiPriority w:val="0"/>
    <w:qFormat/>
    <w:pPr>
      <w:ind w:left="2268"/>
      <w:spacing w:after="57"/>
    </w:pPr>
    <w:rPr>
      <w:rFonts w:hint="default" w:ascii="Calibri" w:hAnsi="Calibri" w:eastAsia="宋体" w:cs="Times New Roman"/>
      <w:lang w:val="en-US" w:eastAsia="zh-CN" w:bidi="ar-SA"/>
    </w:rPr>
  </w:style>
  <w:style w:type="paragraph" w:styleId="800">
    <w:name w:val="Body Text 2"/>
    <w:basedOn w:val="764"/>
    <w:uiPriority w:val="0"/>
    <w:qFormat/>
    <w:pPr>
      <w:spacing w:after="120" w:line="480" w:lineRule="auto"/>
    </w:pPr>
  </w:style>
  <w:style w:type="paragraph" w:styleId="801">
    <w:name w:val="Normal (Web)"/>
    <w:basedOn w:val="764"/>
    <w:uiPriority w:val="0"/>
    <w:qFormat/>
    <w:pPr>
      <w:ind w:left="0" w:right="0"/>
      <w:jc w:val="left"/>
      <w:spacing w:before="0" w:beforeAutospacing="1" w:after="0" w:afterAutospacing="1"/>
    </w:pPr>
    <w:rPr>
      <w:sz w:val="24"/>
      <w:lang w:val="en-US" w:eastAsia="zh-CN" w:bidi="ar"/>
    </w:rPr>
  </w:style>
  <w:style w:type="paragraph" w:styleId="802">
    <w:name w:val="Title"/>
    <w:basedOn w:val="764"/>
    <w:next w:val="764"/>
    <w:uiPriority w:val="0"/>
    <w:qFormat/>
    <w:pPr>
      <w:contextualSpacing/>
      <w:spacing w:before="300" w:after="200"/>
    </w:pPr>
    <w:rPr>
      <w:sz w:val="48"/>
      <w:szCs w:val="48"/>
    </w:rPr>
  </w:style>
  <w:style w:type="paragraph" w:styleId="803">
    <w:name w:val="Body Text First Indent"/>
    <w:basedOn w:val="784"/>
    <w:uiPriority w:val="0"/>
    <w:qFormat/>
    <w:pPr>
      <w:ind w:firstLine="200"/>
      <w:spacing w:line="360" w:lineRule="auto"/>
    </w:pPr>
    <w:rPr>
      <w:rFonts w:ascii="仿宋_GB2312" w:eastAsia="仿宋_GB2312"/>
      <w:sz w:val="30"/>
      <w:szCs w:val="30"/>
    </w:rPr>
  </w:style>
  <w:style w:type="table" w:styleId="804">
    <w:name w:val="Table Grid"/>
    <w:basedOn w:val="77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4"/>
    <w:uiPriority w:val="22"/>
    <w:qFormat/>
    <w:rPr>
      <w:b/>
    </w:rPr>
  </w:style>
  <w:style w:type="character" w:styleId="806">
    <w:name w:val="endnote reference"/>
    <w:uiPriority w:val="0"/>
    <w:qFormat/>
    <w:rPr>
      <w:vertAlign w:val="superscript"/>
    </w:rPr>
  </w:style>
  <w:style w:type="character" w:styleId="807">
    <w:name w:val="page number"/>
    <w:basedOn w:val="774"/>
    <w:uiPriority w:val="0"/>
    <w:qFormat/>
  </w:style>
  <w:style w:type="character" w:styleId="808">
    <w:name w:val="Emphasis"/>
    <w:basedOn w:val="774"/>
    <w:uiPriority w:val="0"/>
    <w:qFormat/>
    <w:rPr>
      <w:color w:val="cc0033"/>
    </w:rPr>
  </w:style>
  <w:style w:type="character" w:styleId="809">
    <w:name w:val="Hyperlink"/>
    <w:uiPriority w:val="0"/>
    <w:qFormat/>
    <w:rPr>
      <w:color w:val="0000ff"/>
      <w:u w:val="single"/>
    </w:rPr>
  </w:style>
  <w:style w:type="character" w:styleId="810">
    <w:name w:val="footnote reference"/>
    <w:uiPriority w:val="0"/>
    <w:qFormat/>
    <w:rPr>
      <w:vertAlign w:val="superscript"/>
    </w:rPr>
  </w:style>
  <w:style w:type="paragraph" w:styleId="811" w:customStyle="1">
    <w:name w:val="标题 211"/>
    <w:basedOn w:val="812"/>
    <w:next w:val="764"/>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812" w:customStyle="1">
    <w:name w:val="正文11"/>
    <w:next w:val="813"/>
    <w:link w:val="1096"/>
    <w:uiPriority w:val="0"/>
    <w:qFormat/>
    <w:pPr>
      <w:jc w:val="both"/>
      <w:widowControl w:val="off"/>
    </w:pPr>
    <w:rPr>
      <w:rFonts w:hint="default" w:ascii="Calibri" w:hAnsi="Calibri" w:eastAsia="宋体" w:cs="Times New Roman"/>
      <w:sz w:val="21"/>
      <w:szCs w:val="24"/>
      <w:lang w:val="en-US" w:eastAsia="zh-CN" w:bidi="ar-SA"/>
    </w:rPr>
  </w:style>
  <w:style w:type="paragraph" w:styleId="813" w:customStyle="1">
    <w:name w:val="目录 11"/>
    <w:basedOn w:val="814"/>
    <w:next w:val="812"/>
    <w:uiPriority w:val="0"/>
    <w:qFormat/>
    <w:pPr>
      <w:spacing w:after="57"/>
    </w:pPr>
    <w:rPr>
      <w:rFonts w:hint="default" w:ascii="Calibri" w:hAnsi="Calibri" w:eastAsia="宋体" w:cs="Times New Roman"/>
      <w:lang w:val="en-US" w:eastAsia="zh-CN" w:bidi="ar-SA"/>
    </w:rPr>
  </w:style>
  <w:style w:type="paragraph" w:styleId="814" w:customStyle="1">
    <w:name w:val="正文12"/>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正文文本111"/>
    <w:basedOn w:val="816"/>
    <w:next w:val="814"/>
    <w:uiPriority w:val="0"/>
    <w:qFormat/>
    <w:rPr>
      <w:rFonts w:ascii="金山简黑体" w:eastAsia="金山简黑体"/>
      <w:b/>
      <w:spacing w:val="-8"/>
      <w:sz w:val="44"/>
    </w:rPr>
  </w:style>
  <w:style w:type="paragraph" w:styleId="816" w:customStyle="1">
    <w:name w:val="正文1121"/>
    <w:next w:val="815"/>
    <w:uiPriority w:val="0"/>
    <w:qFormat/>
    <w:pPr>
      <w:jc w:val="both"/>
      <w:widowControl w:val="off"/>
    </w:pPr>
    <w:rPr>
      <w:rFonts w:hint="default" w:ascii="Calibri" w:hAnsi="Calibri" w:eastAsia="宋体" w:cs="Times New Roman"/>
      <w:sz w:val="21"/>
      <w:szCs w:val="24"/>
      <w:lang w:val="en-US" w:eastAsia="zh-CN" w:bidi="ar-SA"/>
    </w:rPr>
  </w:style>
  <w:style w:type="paragraph" w:styleId="817" w:customStyle="1">
    <w:name w:val="文本块12"/>
    <w:basedOn w:val="764"/>
    <w:uiPriority w:val="0"/>
    <w:qFormat/>
    <w:pPr>
      <w:ind w:left="256" w:right="6" w:firstLine="624"/>
    </w:pPr>
    <w:rPr>
      <w:rFonts w:ascii="Times New Roman" w:hAnsi="Times New Roman" w:eastAsia="仿宋" w:cs="Times New Roman"/>
      <w:sz w:val="28"/>
      <w:szCs w:val="20"/>
    </w:rPr>
  </w:style>
  <w:style w:type="paragraph" w:styleId="818" w:customStyle="1">
    <w:name w:val="一级条标题"/>
    <w:basedOn w:val="819"/>
    <w:next w:val="825"/>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819" w:customStyle="1">
    <w:name w:val="章标题"/>
    <w:basedOn w:val="820"/>
    <w:next w:val="820"/>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820" w:customStyle="1">
    <w:name w:val="正文1"/>
    <w:basedOn w:val="821"/>
    <w:next w:val="824"/>
    <w:uiPriority w:val="0"/>
    <w:qFormat/>
    <w:pPr>
      <w:ind w:firstLine="432"/>
      <w:spacing w:line="360" w:lineRule="auto"/>
      <w:tabs>
        <w:tab w:val="left" w:pos="420" w:leader="none"/>
      </w:tabs>
    </w:pPr>
    <w:rPr>
      <w:rFonts w:ascii="宋体"/>
      <w:b/>
      <w:sz w:val="24"/>
    </w:rPr>
  </w:style>
  <w:style w:type="paragraph" w:styleId="821" w:customStyle="1">
    <w:name w:val="正文111"/>
    <w:next w:val="822"/>
    <w:uiPriority w:val="0"/>
    <w:qFormat/>
    <w:rPr>
      <w:rFonts w:hint="default" w:ascii="Calibri" w:hAnsi="Calibri" w:eastAsia="宋体" w:cs="Times New Roman"/>
      <w:lang w:val="en-US" w:eastAsia="zh-CN" w:bidi="ar-SA"/>
    </w:rPr>
  </w:style>
  <w:style w:type="paragraph" w:styleId="822" w:customStyle="1">
    <w:name w:val="正文文本缩进1"/>
    <w:basedOn w:val="820"/>
    <w:next w:val="823"/>
    <w:uiPriority w:val="0"/>
    <w:qFormat/>
    <w:pPr>
      <w:ind w:left="420"/>
      <w:spacing w:after="120"/>
    </w:pPr>
    <w:rPr>
      <w:rFonts w:ascii="Times New Roman" w:hAnsi="Times New Roman"/>
    </w:rPr>
  </w:style>
  <w:style w:type="paragraph" w:styleId="823" w:customStyle="1">
    <w:name w:val="寄信人地址1"/>
    <w:basedOn w:val="812"/>
    <w:uiPriority w:val="0"/>
    <w:qFormat/>
    <w:rPr>
      <w:rFonts w:ascii="Arial" w:hAnsi="Arial"/>
    </w:rPr>
  </w:style>
  <w:style w:type="paragraph" w:styleId="824" w:customStyle="1">
    <w:name w:val="正文文本1"/>
    <w:basedOn w:val="821"/>
    <w:next w:val="818"/>
    <w:uiPriority w:val="0"/>
    <w:qFormat/>
    <w:pPr>
      <w:tabs>
        <w:tab w:val="left" w:pos="420" w:leader="none"/>
      </w:tabs>
    </w:pPr>
    <w:rPr>
      <w:rFonts w:eastAsia="黑体"/>
      <w:bCs/>
      <w:spacing w:val="20"/>
      <w:sz w:val="56"/>
    </w:rPr>
  </w:style>
  <w:style w:type="paragraph" w:styleId="825" w:customStyle="1">
    <w:name w:val="段"/>
    <w:basedOn w:val="826"/>
    <w:next w:val="820"/>
    <w:uiPriority w:val="0"/>
    <w:qFormat/>
    <w:pPr>
      <w:ind w:firstLine="200"/>
      <w:widowControl/>
    </w:pPr>
    <w:rPr>
      <w:rFonts w:ascii="宋体"/>
      <w:sz w:val="20"/>
      <w:szCs w:val="20"/>
    </w:rPr>
  </w:style>
  <w:style w:type="paragraph" w:styleId="826" w:customStyle="1">
    <w:name w:val="正文13"/>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正文首行缩进1"/>
    <w:basedOn w:val="828"/>
    <w:next w:val="830"/>
    <w:uiPriority w:val="0"/>
    <w:qFormat/>
    <w:pPr>
      <w:ind w:firstLine="100"/>
      <w:tabs>
        <w:tab w:val="left" w:pos="180" w:leader="none"/>
        <w:tab w:val="left" w:pos="420" w:leader="none"/>
      </w:tabs>
    </w:pPr>
  </w:style>
  <w:style w:type="paragraph" w:styleId="828" w:customStyle="1">
    <w:name w:val="正文文本11"/>
    <w:basedOn w:val="829"/>
    <w:next w:val="818"/>
    <w:uiPriority w:val="0"/>
    <w:qFormat/>
    <w:pPr>
      <w:spacing w:after="120"/>
    </w:pPr>
    <w:rPr>
      <w:rFonts w:ascii="Times New Roman" w:hAnsi="Times New Roman"/>
    </w:rPr>
  </w:style>
  <w:style w:type="paragraph" w:styleId="829" w:customStyle="1">
    <w:name w:val="正文112"/>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customStyle="1">
    <w:name w:val="正文首行缩进 21"/>
    <w:basedOn w:val="822"/>
    <w:next w:val="821"/>
    <w:uiPriority w:val="0"/>
    <w:qFormat/>
    <w:pPr>
      <w:ind w:left="0" w:firstLine="420"/>
      <w:spacing w:after="0" w:line="360" w:lineRule="auto"/>
    </w:pPr>
    <w:rPr>
      <w:rFonts w:ascii="宋体"/>
      <w:sz w:val="20"/>
      <w:szCs w:val="20"/>
    </w:rPr>
  </w:style>
  <w:style w:type="paragraph" w:styleId="831" w:customStyle="1">
    <w:name w:val="标题 21"/>
    <w:basedOn w:val="814"/>
    <w:next w:val="812"/>
    <w:link w:val="1002"/>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832" w:customStyle="1">
    <w:name w:val="正文首行缩进11"/>
    <w:basedOn w:val="824"/>
    <w:next w:val="833"/>
    <w:uiPriority w:val="0"/>
    <w:qFormat/>
    <w:pPr>
      <w:ind w:firstLine="200"/>
      <w:spacing w:line="360" w:lineRule="auto"/>
    </w:pPr>
    <w:rPr>
      <w:rFonts w:ascii="仿宋_GB2312" w:eastAsia="仿宋_GB2312"/>
      <w:sz w:val="30"/>
      <w:szCs w:val="30"/>
    </w:rPr>
  </w:style>
  <w:style w:type="paragraph" w:styleId="833" w:customStyle="1">
    <w:name w:val="正文首行缩进 211"/>
    <w:basedOn w:val="834"/>
    <w:uiPriority w:val="99"/>
    <w:qFormat/>
    <w:pPr>
      <w:ind w:left="0" w:firstLine="420"/>
      <w:spacing w:after="0" w:line="360" w:lineRule="auto"/>
    </w:pPr>
    <w:rPr>
      <w:rFonts w:ascii="宋体" w:hAnsi="宋体"/>
    </w:rPr>
  </w:style>
  <w:style w:type="paragraph" w:styleId="834" w:customStyle="1">
    <w:name w:val="正文文本缩进11"/>
    <w:basedOn w:val="814"/>
    <w:next w:val="835"/>
    <w:uiPriority w:val="99"/>
    <w:unhideWhenUsed/>
    <w:qFormat/>
    <w:pPr>
      <w:ind w:firstLine="425"/>
      <w:jc w:val="both"/>
      <w:spacing w:line="360" w:lineRule="auto"/>
    </w:pPr>
    <w:rPr>
      <w:lang w:val="en-US" w:eastAsia="zh-CN"/>
    </w:rPr>
  </w:style>
  <w:style w:type="paragraph" w:styleId="835" w:customStyle="1">
    <w:name w:val="寄信人地址11"/>
    <w:basedOn w:val="764"/>
    <w:uiPriority w:val="99"/>
    <w:unhideWhenUsed/>
    <w:qFormat/>
    <w:rPr>
      <w:rFonts w:ascii="Arial" w:hAnsi="Arial"/>
    </w:rPr>
  </w:style>
  <w:style w:type="paragraph" w:styleId="836" w:customStyle="1">
    <w:name w:val="脚注文本1"/>
    <w:basedOn w:val="837"/>
    <w:next w:val="838"/>
    <w:uiPriority w:val="0"/>
    <w:qFormat/>
    <w:pPr>
      <w:spacing w:after="40"/>
      <w:tabs>
        <w:tab w:val="left" w:pos="420" w:leader="none"/>
      </w:tabs>
    </w:pPr>
    <w:rPr>
      <w:rFonts w:hint="default" w:ascii="Calibri" w:hAnsi="Calibri" w:eastAsia="宋体" w:cs="Times New Roman"/>
      <w:sz w:val="18"/>
      <w:lang w:val="en-US" w:eastAsia="zh-CN" w:bidi="ar-SA"/>
    </w:rPr>
  </w:style>
  <w:style w:type="paragraph" w:styleId="837" w:customStyle="1">
    <w:name w:val="正文1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索引 51"/>
    <w:basedOn w:val="814"/>
    <w:next w:val="820"/>
    <w:uiPriority w:val="0"/>
    <w:qFormat/>
    <w:pPr>
      <w:ind w:left="798"/>
      <w:jc w:val="left"/>
    </w:pPr>
  </w:style>
  <w:style w:type="paragraph" w:styleId="839" w:customStyle="1">
    <w:name w:val="正文文本 21"/>
    <w:basedOn w:val="764"/>
    <w:uiPriority w:val="0"/>
    <w:qFormat/>
    <w:pPr>
      <w:spacing w:after="120" w:line="480" w:lineRule="auto"/>
    </w:pPr>
    <w:rPr>
      <w:rFonts w:ascii="Calibri" w:hAnsi="Calibri" w:eastAsia="宋体"/>
      <w:szCs w:val="22"/>
    </w:rPr>
  </w:style>
  <w:style w:type="paragraph" w:styleId="840" w:customStyle="1">
    <w:name w:val="标题 41"/>
    <w:basedOn w:val="814"/>
    <w:next w:val="812"/>
    <w:uiPriority w:val="0"/>
    <w:qFormat/>
    <w:pPr>
      <w:keepLines/>
      <w:keepNext/>
      <w:spacing w:before="280" w:after="290" w:line="377" w:lineRule="auto"/>
      <w:outlineLvl w:val="3"/>
    </w:pPr>
    <w:rPr>
      <w:rFonts w:ascii="Cambria" w:hAnsi="Cambria"/>
      <w:b/>
      <w:bCs/>
      <w:sz w:val="28"/>
      <w:szCs w:val="28"/>
    </w:rPr>
  </w:style>
  <w:style w:type="paragraph" w:styleId="841" w:customStyle="1">
    <w:name w:val="BodyText"/>
    <w:basedOn w:val="764"/>
    <w:uiPriority w:val="0"/>
    <w:qFormat/>
    <w:pPr>
      <w:ind w:left="72" w:right="30"/>
      <w:jc w:val="center"/>
      <w:spacing w:after="60" w:line="360" w:lineRule="atLeast"/>
    </w:pPr>
    <w:rPr>
      <w:szCs w:val="22"/>
    </w:rPr>
  </w:style>
  <w:style w:type="paragraph" w:styleId="842" w:customStyle="1">
    <w:name w:val="文本块1"/>
    <w:basedOn w:val="821"/>
    <w:next w:val="843"/>
    <w:uiPriority w:val="0"/>
    <w:qFormat/>
    <w:pPr>
      <w:ind w:left="256" w:right="6" w:firstLine="624"/>
    </w:pPr>
    <w:rPr>
      <w:rFonts w:ascii="Times New Roman" w:hAnsi="Times New Roman" w:eastAsia="仿宋_GB2312"/>
      <w:sz w:val="28"/>
    </w:rPr>
  </w:style>
  <w:style w:type="paragraph" w:styleId="843" w:customStyle="1">
    <w:name w:val="标题 411"/>
    <w:basedOn w:val="814"/>
    <w:next w:val="812"/>
    <w:uiPriority w:val="0"/>
    <w:qFormat/>
    <w:pPr>
      <w:keepLines/>
      <w:keepNext/>
      <w:spacing w:before="320" w:after="200"/>
      <w:outlineLvl w:val="3"/>
    </w:pPr>
    <w:rPr>
      <w:rFonts w:ascii="Arial" w:hAnsi="Arial" w:eastAsia="Arial"/>
      <w:b/>
      <w:bCs/>
      <w:sz w:val="26"/>
      <w:szCs w:val="26"/>
    </w:rPr>
  </w:style>
  <w:style w:type="paragraph" w:styleId="844" w:customStyle="1">
    <w:name w:val="无间隔1"/>
    <w:uiPriority w:val="0"/>
    <w:qFormat/>
    <w:rPr>
      <w:rFonts w:hint="default" w:ascii="Calibri" w:hAnsi="Calibri" w:eastAsia="宋体" w:cs="Times New Roman"/>
      <w:lang w:val="en-US" w:eastAsia="zh-CN" w:bidi="ar-SA"/>
    </w:rPr>
  </w:style>
  <w:style w:type="paragraph" w:styleId="845" w:customStyle="1">
    <w:name w:val="正文缩进1"/>
    <w:basedOn w:val="829"/>
    <w:next w:val="812"/>
    <w:uiPriority w:val="0"/>
    <w:qFormat/>
    <w:pPr>
      <w:ind w:firstLine="420"/>
    </w:pPr>
  </w:style>
  <w:style w:type="paragraph" w:styleId="846" w:customStyle="1">
    <w:name w:val="正文首行缩进 22"/>
    <w:basedOn w:val="847"/>
    <w:next w:val="829"/>
    <w:uiPriority w:val="0"/>
    <w:qFormat/>
    <w:pPr>
      <w:ind w:firstLine="420"/>
    </w:pPr>
  </w:style>
  <w:style w:type="paragraph" w:styleId="847" w:customStyle="1">
    <w:name w:val="正文文本缩进2"/>
    <w:basedOn w:val="821"/>
    <w:uiPriority w:val="0"/>
    <w:qFormat/>
    <w:pPr>
      <w:ind w:left="420"/>
      <w:spacing w:after="120"/>
    </w:pPr>
  </w:style>
  <w:style w:type="character" w:styleId="848" w:customStyle="1">
    <w:name w:val="Heading 1 Char"/>
    <w:basedOn w:val="774"/>
    <w:uiPriority w:val="9"/>
    <w:qFormat/>
    <w:rPr>
      <w:rFonts w:ascii="Arial" w:hAnsi="Arial" w:eastAsia="Arial" w:cs="Arial"/>
      <w:sz w:val="40"/>
      <w:szCs w:val="40"/>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paragraph" w:styleId="850">
    <w:name w:val="Quote"/>
    <w:basedOn w:val="764"/>
    <w:next w:val="764"/>
    <w:uiPriority w:val="29"/>
    <w:qFormat/>
    <w:pPr>
      <w:ind w:left="720" w:right="720"/>
    </w:pPr>
    <w:rPr>
      <w:i/>
    </w:rPr>
  </w:style>
  <w:style w:type="paragraph" w:styleId="851">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2" w:customStyle="1">
    <w:name w:val="Table Grid Light"/>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7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7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7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7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7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7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7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7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7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7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7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7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7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7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7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7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7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7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7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basedOn w:val="77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basedOn w:val="77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basedOn w:val="77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basedOn w:val="77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basedOn w:val="77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77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7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7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basedOn w:val="77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7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basedOn w:val="77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7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7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7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7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7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7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7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7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7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7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7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7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77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basedOn w:val="77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basedOn w:val="77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basedOn w:val="77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basedOn w:val="77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basedOn w:val="77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7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basedOn w:val="77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7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7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7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7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7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basedOn w:val="77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basedOn w:val="77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basedOn w:val="77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basedOn w:val="77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basedOn w:val="77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77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7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7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7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7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7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77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basedOn w:val="77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basedOn w:val="77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basedOn w:val="77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basedOn w:val="77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basedOn w:val="77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7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7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7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7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7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7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basedOn w:val="7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7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basedOn w:val="77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basedOn w:val="77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basedOn w:val="77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basedOn w:val="77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basedOn w:val="77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basedOn w:val="7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7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basedOn w:val="77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basedOn w:val="77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basedOn w:val="77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basedOn w:val="77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basedOn w:val="77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样式 正文文本缩进 + 首行缩进:  2 字符 行距: 1.5 倍行距"/>
    <w:basedOn w:val="822"/>
    <w:uiPriority w:val="0"/>
    <w:qFormat/>
    <w:pPr>
      <w:ind w:firstLine="645"/>
      <w:spacing w:before="156"/>
    </w:pPr>
    <w:rPr>
      <w:rFonts w:ascii="Calibri" w:hAnsi="Calibri"/>
      <w:sz w:val="28"/>
    </w:rPr>
  </w:style>
  <w:style w:type="paragraph" w:styleId="979" w:customStyle="1">
    <w:name w:val="标题1"/>
    <w:basedOn w:val="814"/>
    <w:next w:val="980"/>
    <w:uiPriority w:val="0"/>
    <w:qFormat/>
    <w:pPr>
      <w:jc w:val="center"/>
      <w:spacing w:before="240" w:after="60"/>
      <w:outlineLvl w:val="0"/>
    </w:pPr>
    <w:rPr>
      <w:rFonts w:ascii="Cambria" w:hAnsi="Cambria"/>
      <w:b/>
      <w:bCs/>
      <w:sz w:val="32"/>
      <w:szCs w:val="32"/>
    </w:rPr>
  </w:style>
  <w:style w:type="paragraph" w:styleId="980" w:customStyle="1">
    <w:name w:val="纯文本1"/>
    <w:basedOn w:val="812"/>
    <w:uiPriority w:val="0"/>
    <w:qFormat/>
    <w:rPr>
      <w:rFonts w:ascii="宋体"/>
      <w:szCs w:val="21"/>
    </w:rPr>
  </w:style>
  <w:style w:type="character" w:styleId="981" w:customStyle="1">
    <w:name w:val="正文11 Char"/>
    <w:basedOn w:val="774"/>
    <w:link w:val="812"/>
    <w:uiPriority w:val="0"/>
    <w:qFormat/>
    <w:rPr>
      <w:rFonts w:ascii="Calibri" w:hAnsi="Calibri" w:eastAsia="宋体" w:cs="Times New Roman"/>
      <w:sz w:val="21"/>
      <w:szCs w:val="24"/>
      <w:lang w:val="en-US" w:eastAsia="zh-CN" w:bidi="ar-SA"/>
    </w:rPr>
  </w:style>
  <w:style w:type="character" w:styleId="982" w:customStyle="1">
    <w:name w:val="Heading 2 Char"/>
    <w:basedOn w:val="774"/>
    <w:uiPriority w:val="0"/>
    <w:qFormat/>
    <w:rPr>
      <w:rFonts w:ascii="Arial" w:hAnsi="Arial" w:eastAsia="Arial" w:cs="Arial"/>
      <w:sz w:val="34"/>
    </w:rPr>
  </w:style>
  <w:style w:type="character" w:styleId="983" w:customStyle="1">
    <w:name w:val="Heading 3 Char"/>
    <w:basedOn w:val="774"/>
    <w:uiPriority w:val="0"/>
    <w:qFormat/>
    <w:rPr>
      <w:rFonts w:ascii="Arial" w:hAnsi="Arial" w:eastAsia="Arial" w:cs="Arial"/>
      <w:sz w:val="30"/>
      <w:szCs w:val="30"/>
    </w:rPr>
  </w:style>
  <w:style w:type="character" w:styleId="984" w:customStyle="1">
    <w:name w:val="Heading 4 Char"/>
    <w:basedOn w:val="774"/>
    <w:uiPriority w:val="0"/>
    <w:qFormat/>
    <w:rPr>
      <w:rFonts w:ascii="Arial" w:hAnsi="Arial" w:eastAsia="Arial" w:cs="Arial"/>
      <w:b/>
      <w:bCs/>
      <w:sz w:val="26"/>
      <w:szCs w:val="26"/>
    </w:rPr>
  </w:style>
  <w:style w:type="character" w:styleId="985" w:customStyle="1">
    <w:name w:val="Heading 5 Char"/>
    <w:basedOn w:val="774"/>
    <w:uiPriority w:val="0"/>
    <w:qFormat/>
    <w:rPr>
      <w:rFonts w:ascii="Arial" w:hAnsi="Arial" w:eastAsia="Arial" w:cs="Arial"/>
      <w:b/>
      <w:bCs/>
      <w:sz w:val="24"/>
      <w:szCs w:val="24"/>
    </w:rPr>
  </w:style>
  <w:style w:type="character" w:styleId="986" w:customStyle="1">
    <w:name w:val="Heading 6 Char"/>
    <w:basedOn w:val="774"/>
    <w:uiPriority w:val="0"/>
    <w:qFormat/>
    <w:rPr>
      <w:rFonts w:ascii="Arial" w:hAnsi="Arial" w:eastAsia="Arial" w:cs="Arial"/>
      <w:b/>
      <w:bCs/>
      <w:sz w:val="22"/>
      <w:szCs w:val="22"/>
    </w:rPr>
  </w:style>
  <w:style w:type="character" w:styleId="987" w:customStyle="1">
    <w:name w:val="Heading 7 Char"/>
    <w:basedOn w:val="774"/>
    <w:uiPriority w:val="0"/>
    <w:qFormat/>
    <w:rPr>
      <w:rFonts w:ascii="Arial" w:hAnsi="Arial" w:eastAsia="Arial" w:cs="Arial"/>
      <w:b/>
      <w:bCs/>
      <w:i/>
      <w:iCs/>
      <w:sz w:val="22"/>
      <w:szCs w:val="22"/>
    </w:rPr>
  </w:style>
  <w:style w:type="character" w:styleId="988" w:customStyle="1">
    <w:name w:val="Heading 8 Char"/>
    <w:basedOn w:val="774"/>
    <w:uiPriority w:val="0"/>
    <w:qFormat/>
    <w:rPr>
      <w:rFonts w:ascii="Arial" w:hAnsi="Arial" w:eastAsia="Arial" w:cs="Arial"/>
      <w:i/>
      <w:iCs/>
      <w:sz w:val="22"/>
      <w:szCs w:val="22"/>
    </w:rPr>
  </w:style>
  <w:style w:type="character" w:styleId="989" w:customStyle="1">
    <w:name w:val="Heading 9 Char"/>
    <w:basedOn w:val="774"/>
    <w:uiPriority w:val="0"/>
    <w:qFormat/>
    <w:rPr>
      <w:rFonts w:ascii="Arial" w:hAnsi="Arial" w:eastAsia="Arial" w:cs="Arial"/>
      <w:i/>
      <w:iCs/>
      <w:sz w:val="21"/>
      <w:szCs w:val="21"/>
    </w:rPr>
  </w:style>
  <w:style w:type="character" w:styleId="990" w:customStyle="1">
    <w:name w:val="Title Char"/>
    <w:basedOn w:val="774"/>
    <w:uiPriority w:val="0"/>
    <w:qFormat/>
    <w:rPr>
      <w:sz w:val="48"/>
      <w:szCs w:val="48"/>
    </w:rPr>
  </w:style>
  <w:style w:type="character" w:styleId="991" w:customStyle="1">
    <w:name w:val="Subtitle Char"/>
    <w:basedOn w:val="774"/>
    <w:uiPriority w:val="0"/>
    <w:qFormat/>
    <w:rPr>
      <w:sz w:val="24"/>
      <w:szCs w:val="24"/>
    </w:rPr>
  </w:style>
  <w:style w:type="character" w:styleId="992" w:customStyle="1">
    <w:name w:val="Quote Char"/>
    <w:uiPriority w:val="0"/>
    <w:qFormat/>
    <w:rPr>
      <w:i/>
    </w:rPr>
  </w:style>
  <w:style w:type="character" w:styleId="993" w:customStyle="1">
    <w:name w:val="Intense Quote Char"/>
    <w:uiPriority w:val="0"/>
    <w:qFormat/>
    <w:rPr>
      <w:i/>
    </w:rPr>
  </w:style>
  <w:style w:type="character" w:styleId="994" w:customStyle="1">
    <w:name w:val="Header Char"/>
    <w:basedOn w:val="774"/>
    <w:uiPriority w:val="0"/>
    <w:qFormat/>
  </w:style>
  <w:style w:type="character" w:styleId="995" w:customStyle="1">
    <w:name w:val="Caption Char"/>
    <w:uiPriority w:val="0"/>
    <w:qFormat/>
  </w:style>
  <w:style w:type="character" w:styleId="996" w:customStyle="1">
    <w:name w:val="Footnote Text Char"/>
    <w:uiPriority w:val="0"/>
    <w:qFormat/>
    <w:rPr>
      <w:sz w:val="18"/>
    </w:rPr>
  </w:style>
  <w:style w:type="character" w:styleId="997" w:customStyle="1">
    <w:name w:val="Endnote Text Char"/>
    <w:uiPriority w:val="0"/>
    <w:qFormat/>
    <w:rPr>
      <w:sz w:val="20"/>
    </w:rPr>
  </w:style>
  <w:style w:type="paragraph" w:styleId="998" w:customStyle="1">
    <w:name w:val="TOC 标题1"/>
    <w:uiPriority w:val="0"/>
    <w:qFormat/>
    <w:rPr>
      <w:rFonts w:hint="default" w:ascii="Times New Roman" w:hAnsi="Times New Roman" w:eastAsia="宋体" w:cs="Times New Roman"/>
      <w:lang w:val="en-US" w:eastAsia="zh-CN" w:bidi="ar-SA"/>
    </w:rPr>
  </w:style>
  <w:style w:type="paragraph" w:styleId="999" w:customStyle="1">
    <w:name w:val="列出段落1"/>
    <w:basedOn w:val="820"/>
    <w:uiPriority w:val="0"/>
    <w:qFormat/>
    <w:pPr>
      <w:contextualSpacing/>
      <w:ind w:left="720"/>
    </w:pPr>
    <w:rPr>
      <w:rFonts w:hint="default" w:ascii="Calibri" w:hAnsi="Calibri" w:eastAsia="宋体" w:cs="Times New Roman"/>
      <w:lang w:val="en-US" w:eastAsia="zh-CN" w:bidi="ar-SA"/>
    </w:rPr>
  </w:style>
  <w:style w:type="paragraph" w:styleId="1000" w:customStyle="1">
    <w:name w:val="引用1"/>
    <w:uiPriority w:val="0"/>
    <w:qFormat/>
    <w:pPr>
      <w:ind w:left="720" w:right="720"/>
    </w:pPr>
    <w:rPr>
      <w:rFonts w:hint="default" w:ascii="Calibri" w:hAnsi="Calibri" w:eastAsia="宋体" w:cs="Times New Roman"/>
      <w:i/>
      <w:lang w:val="en-US" w:eastAsia="zh-CN" w:bidi="ar-SA"/>
    </w:rPr>
  </w:style>
  <w:style w:type="paragraph" w:styleId="1001"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002" w:customStyle="1">
    <w:name w:val="标题 21 Char"/>
    <w:basedOn w:val="981"/>
    <w:link w:val="831"/>
    <w:uiPriority w:val="0"/>
    <w:qFormat/>
    <w:rPr>
      <w:rFonts w:ascii="Cambria" w:hAnsi="Cambria" w:eastAsia="宋体" w:cs="Times New Roman"/>
      <w:b/>
      <w:bCs/>
      <w:sz w:val="28"/>
      <w:szCs w:val="32"/>
      <w:lang w:val="en-US" w:eastAsia="zh-CN" w:bidi="ar-SA"/>
    </w:rPr>
  </w:style>
  <w:style w:type="paragraph" w:styleId="1003" w:customStyle="1">
    <w:name w:val="正文122"/>
    <w:next w:val="1004"/>
    <w:uiPriority w:val="0"/>
    <w:qFormat/>
    <w:rPr>
      <w:rFonts w:hint="default" w:ascii="Times New Roman" w:hAnsi="Times New Roman" w:eastAsia="宋体" w:cs="Times New Roman"/>
      <w:lang w:val="en-US" w:eastAsia="zh-CN" w:bidi="ar-SA"/>
    </w:rPr>
  </w:style>
  <w:style w:type="paragraph" w:styleId="1004" w:customStyle="1">
    <w:name w:val="目录 21"/>
    <w:basedOn w:val="821"/>
    <w:next w:val="1003"/>
    <w:uiPriority w:val="0"/>
    <w:qFormat/>
    <w:pPr>
      <w:ind w:left="283"/>
      <w:spacing w:after="57"/>
    </w:pPr>
    <w:rPr>
      <w:rFonts w:ascii="Times New Roman" w:hAnsi="Times New Roman"/>
    </w:rPr>
  </w:style>
  <w:style w:type="paragraph" w:styleId="1005" w:customStyle="1">
    <w:name w:val="列表 211"/>
    <w:basedOn w:val="1003"/>
    <w:uiPriority w:val="0"/>
    <w:qFormat/>
    <w:pPr>
      <w:ind w:left="100" w:hanging="200"/>
    </w:pPr>
  </w:style>
  <w:style w:type="paragraph" w:styleId="1006" w:customStyle="1">
    <w:name w:val="标题 111"/>
    <w:basedOn w:val="812"/>
    <w:next w:val="821"/>
    <w:uiPriority w:val="0"/>
    <w:qFormat/>
    <w:pPr>
      <w:ind w:left="1373"/>
      <w:jc w:val="left"/>
      <w:spacing w:before="59"/>
      <w:outlineLvl w:val="1"/>
    </w:pPr>
    <w:rPr>
      <w:rFonts w:ascii="仿宋" w:eastAsia="仿宋"/>
      <w:b/>
      <w:bCs/>
      <w:sz w:val="30"/>
      <w:szCs w:val="30"/>
      <w:lang w:val="zh-CN" w:bidi="zh-CN"/>
    </w:rPr>
  </w:style>
  <w:style w:type="paragraph" w:styleId="1007" w:customStyle="1">
    <w:name w:val="标题 311"/>
    <w:next w:val="821"/>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1008" w:customStyle="1">
    <w:name w:val="标题 51"/>
    <w:next w:val="821"/>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09" w:customStyle="1">
    <w:name w:val="标题 61"/>
    <w:next w:val="821"/>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010" w:customStyle="1">
    <w:name w:val="标题 71"/>
    <w:next w:val="821"/>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11" w:customStyle="1">
    <w:name w:val="标题 81"/>
    <w:next w:val="821"/>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12" w:customStyle="1">
    <w:name w:val="标题 91"/>
    <w:next w:val="821"/>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13" w:customStyle="1">
    <w:name w:val="默认段落字体11"/>
    <w:uiPriority w:val="0"/>
    <w:qFormat/>
  </w:style>
  <w:style w:type="character" w:styleId="1014" w:customStyle="1">
    <w:name w:val="脚注引用1"/>
    <w:uiPriority w:val="0"/>
    <w:qFormat/>
    <w:rPr>
      <w:vertAlign w:val="superscript"/>
    </w:rPr>
  </w:style>
  <w:style w:type="character" w:styleId="1015" w:customStyle="1">
    <w:name w:val="强调11"/>
    <w:uiPriority w:val="0"/>
    <w:qFormat/>
    <w:rPr>
      <w:i/>
    </w:rPr>
  </w:style>
  <w:style w:type="character" w:styleId="1016" w:customStyle="1">
    <w:name w:val="页码1"/>
    <w:basedOn w:val="1017"/>
    <w:link w:val="812"/>
    <w:uiPriority w:val="0"/>
    <w:qFormat/>
    <w:rPr>
      <w:rFonts w:ascii="Times New Roman" w:hAnsi="Times New Roman" w:eastAsia="宋体"/>
    </w:rPr>
  </w:style>
  <w:style w:type="character" w:styleId="1017" w:customStyle="1">
    <w:name w:val="默认段落字体1"/>
    <w:link w:val="812"/>
    <w:uiPriority w:val="0"/>
    <w:qFormat/>
    <w:rPr>
      <w:rFonts w:ascii="Times New Roman" w:hAnsi="Times New Roman" w:eastAsia="宋体"/>
    </w:rPr>
  </w:style>
  <w:style w:type="paragraph" w:styleId="1018" w:customStyle="1">
    <w:name w:val="标题 11"/>
    <w:basedOn w:val="812"/>
    <w:next w:val="764"/>
    <w:uiPriority w:val="0"/>
    <w:qFormat/>
    <w:pPr>
      <w:keepLines/>
      <w:keepNext/>
      <w:spacing w:before="340" w:after="330" w:line="576" w:lineRule="auto"/>
      <w:outlineLvl w:val="0"/>
    </w:pPr>
    <w:rPr>
      <w:b/>
      <w:sz w:val="44"/>
      <w:szCs w:val="20"/>
    </w:rPr>
  </w:style>
  <w:style w:type="character" w:styleId="1019" w:customStyle="1">
    <w:name w:val="HTML 引文1"/>
    <w:uiPriority w:val="0"/>
    <w:qFormat/>
    <w:rPr>
      <w:color w:val="008000"/>
    </w:rPr>
  </w:style>
  <w:style w:type="character" w:styleId="1020" w:customStyle="1">
    <w:name w:val="已访问的超链接1"/>
    <w:uiPriority w:val="0"/>
    <w:qFormat/>
    <w:rPr>
      <w:color w:val="771caa"/>
      <w:u w:val="none"/>
    </w:rPr>
  </w:style>
  <w:style w:type="paragraph" w:styleId="1021" w:customStyle="1">
    <w:name w:val="批注框文本1"/>
    <w:basedOn w:val="812"/>
    <w:uiPriority w:val="0"/>
    <w:qFormat/>
    <w:rPr>
      <w:sz w:val="18"/>
      <w:szCs w:val="18"/>
    </w:rPr>
  </w:style>
  <w:style w:type="character" w:styleId="1022" w:customStyle="1">
    <w:name w:val="font11"/>
    <w:uiPriority w:val="0"/>
    <w:qFormat/>
    <w:rPr>
      <w:rFonts w:ascii="宋体" w:eastAsia="宋体"/>
      <w:color w:val="000000"/>
      <w:sz w:val="28"/>
      <w:szCs w:val="28"/>
      <w:u w:val="none"/>
      <w:vertAlign w:val="superscript"/>
    </w:rPr>
  </w:style>
  <w:style w:type="paragraph" w:styleId="1023" w:customStyle="1">
    <w:name w:val="页眉1"/>
    <w:basedOn w:val="812"/>
    <w:uiPriority w:val="0"/>
    <w:qFormat/>
    <w:pPr>
      <w:jc w:val="center"/>
      <w:tabs>
        <w:tab w:val="center" w:pos="4153" w:leader="none"/>
        <w:tab w:val="right" w:pos="8306" w:leader="none"/>
      </w:tabs>
      <w:pBdr>
        <w:bottom w:val="single" w:color="000000" w:sz="6" w:space="1"/>
      </w:pBdr>
    </w:pPr>
    <w:rPr>
      <w:sz w:val="18"/>
      <w:szCs w:val="18"/>
    </w:rPr>
  </w:style>
  <w:style w:type="paragraph" w:styleId="1024" w:customStyle="1">
    <w:name w:val="无间隔11"/>
    <w:uiPriority w:val="0"/>
    <w:qFormat/>
    <w:rPr>
      <w:rFonts w:hint="default" w:ascii="Calibri" w:hAnsi="Calibri" w:eastAsia="宋体" w:cs="Times New Roman"/>
      <w:sz w:val="22"/>
      <w:szCs w:val="22"/>
      <w:lang w:val="en-US" w:eastAsia="zh-CN" w:bidi="ar-SA"/>
    </w:rPr>
  </w:style>
  <w:style w:type="paragraph" w:styleId="1025" w:customStyle="1">
    <w:name w:val="批注文字1"/>
    <w:basedOn w:val="812"/>
    <w:uiPriority w:val="0"/>
    <w:qFormat/>
    <w:pPr>
      <w:jc w:val="left"/>
    </w:pPr>
  </w:style>
  <w:style w:type="character" w:styleId="1026" w:customStyle="1">
    <w:name w:val="chewduserlogo"/>
    <w:uiPriority w:val="0"/>
    <w:qFormat/>
  </w:style>
  <w:style w:type="character" w:styleId="1027" w:customStyle="1">
    <w:name w:val="HTML 定义1"/>
    <w:uiPriority w:val="0"/>
    <w:qFormat/>
  </w:style>
  <w:style w:type="paragraph" w:styleId="1028" w:customStyle="1">
    <w:name w:val="批注主题1"/>
    <w:basedOn w:val="1025"/>
    <w:next w:val="1025"/>
    <w:uiPriority w:val="0"/>
    <w:qFormat/>
    <w:rPr>
      <w:b/>
      <w:bCs/>
    </w:rPr>
  </w:style>
  <w:style w:type="paragraph" w:styleId="1029"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1030" w:customStyle="1">
    <w:name w:val="超链接11"/>
    <w:uiPriority w:val="0"/>
    <w:qFormat/>
    <w:rPr>
      <w:color w:val="0000ff"/>
      <w:u w:val="single"/>
    </w:rPr>
  </w:style>
  <w:style w:type="character" w:styleId="1031" w:customStyle="1">
    <w:name w:val="尾注引用1"/>
    <w:uiPriority w:val="0"/>
    <w:qFormat/>
    <w:rPr>
      <w:vertAlign w:val="superscript"/>
    </w:rPr>
  </w:style>
  <w:style w:type="character" w:styleId="1032" w:customStyle="1">
    <w:name w:val="hover27"/>
    <w:uiPriority w:val="0"/>
    <w:qFormat/>
    <w:rPr>
      <w:color w:val="315efb"/>
    </w:rPr>
  </w:style>
  <w:style w:type="paragraph" w:styleId="1033" w:customStyle="1">
    <w:name w:val="页脚11"/>
    <w:basedOn w:val="821"/>
    <w:uiPriority w:val="0"/>
    <w:qFormat/>
    <w:pPr>
      <w:tabs>
        <w:tab w:val="center" w:pos="7143" w:leader="none"/>
        <w:tab w:val="right" w:pos="14287" w:leader="none"/>
      </w:tabs>
    </w:pPr>
  </w:style>
  <w:style w:type="character" w:styleId="1034" w:customStyle="1">
    <w:name w:val="hover26"/>
    <w:uiPriority w:val="0"/>
    <w:qFormat/>
  </w:style>
  <w:style w:type="paragraph" w:styleId="1035" w:customStyle="1">
    <w:name w:val="页脚1"/>
    <w:basedOn w:val="812"/>
    <w:uiPriority w:val="0"/>
    <w:qFormat/>
    <w:pPr>
      <w:jc w:val="left"/>
      <w:tabs>
        <w:tab w:val="center" w:pos="4153" w:leader="none"/>
        <w:tab w:val="right" w:pos="8306" w:leader="none"/>
      </w:tabs>
    </w:pPr>
    <w:rPr>
      <w:sz w:val="18"/>
      <w:szCs w:val="18"/>
    </w:rPr>
  </w:style>
  <w:style w:type="character" w:styleId="1036" w:customStyle="1">
    <w:name w:val="hover25"/>
    <w:uiPriority w:val="0"/>
    <w:qFormat/>
  </w:style>
  <w:style w:type="character" w:styleId="1037" w:customStyle="1">
    <w:name w:val="awspan"/>
    <w:uiPriority w:val="0"/>
    <w:qFormat/>
  </w:style>
  <w:style w:type="character" w:styleId="1038" w:customStyle="1">
    <w:name w:val="批注引用1"/>
    <w:uiPriority w:val="0"/>
    <w:qFormat/>
    <w:rPr>
      <w:rFonts w:ascii="Times New Roman" w:hAnsi="Times New Roman" w:eastAsia="宋体"/>
      <w:sz w:val="21"/>
      <w:szCs w:val="21"/>
    </w:rPr>
  </w:style>
  <w:style w:type="character" w:styleId="1039" w:customStyle="1">
    <w:name w:val="Footer Char"/>
    <w:uiPriority w:val="0"/>
    <w:qFormat/>
  </w:style>
  <w:style w:type="paragraph" w:styleId="1040" w:customStyle="1">
    <w:name w:val="引用11"/>
    <w:uiPriority w:val="0"/>
    <w:qFormat/>
    <w:pPr>
      <w:ind w:left="720" w:right="720"/>
    </w:pPr>
    <w:rPr>
      <w:rFonts w:hint="default" w:ascii="Calibri" w:hAnsi="Calibri" w:eastAsia="宋体" w:cs="Times New Roman"/>
      <w:i/>
      <w:lang w:val="en-US" w:eastAsia="zh-CN" w:bidi="ar-SA"/>
    </w:rPr>
  </w:style>
  <w:style w:type="character" w:styleId="1041" w:customStyle="1">
    <w:name w:val="page-start"/>
    <w:uiPriority w:val="0"/>
    <w:qFormat/>
    <w:rPr>
      <w:color w:val="999999"/>
      <w:u w:val="none"/>
      <w:shd w:val="clear" w:color="auto" w:fill="fafafa"/>
    </w:rPr>
  </w:style>
  <w:style w:type="paragraph" w:styleId="1042"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043" w:customStyle="1">
    <w:name w:val="c-icon"/>
    <w:uiPriority w:val="0"/>
    <w:qFormat/>
  </w:style>
  <w:style w:type="paragraph" w:styleId="1044"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1045" w:customStyle="1">
    <w:name w:val="尾注文本1"/>
    <w:uiPriority w:val="0"/>
    <w:qFormat/>
    <w:rPr>
      <w:rFonts w:hint="default" w:ascii="Calibri" w:hAnsi="Calibri" w:eastAsia="宋体" w:cs="Times New Roman"/>
      <w:lang w:val="en-US" w:eastAsia="zh-CN" w:bidi="ar-SA"/>
    </w:rPr>
  </w:style>
  <w:style w:type="character" w:styleId="1046" w:customStyle="1">
    <w:name w:val="强调1"/>
    <w:uiPriority w:val="0"/>
    <w:qFormat/>
    <w:rPr>
      <w:color w:val="f73131"/>
    </w:rPr>
  </w:style>
  <w:style w:type="character" w:styleId="1047" w:customStyle="1">
    <w:name w:val="hover24"/>
    <w:uiPriority w:val="0"/>
    <w:qFormat/>
    <w:rPr>
      <w:color w:val="315efb"/>
    </w:rPr>
  </w:style>
  <w:style w:type="paragraph" w:styleId="1048" w:customStyle="1">
    <w:name w:val="页眉11"/>
    <w:basedOn w:val="821"/>
    <w:uiPriority w:val="0"/>
    <w:qFormat/>
    <w:pPr>
      <w:tabs>
        <w:tab w:val="center" w:pos="7143" w:leader="none"/>
        <w:tab w:val="right" w:pos="14287" w:leader="none"/>
      </w:tabs>
    </w:pPr>
  </w:style>
  <w:style w:type="character" w:styleId="1049" w:customStyle="1">
    <w:name w:val="超链接1"/>
    <w:uiPriority w:val="0"/>
    <w:qFormat/>
    <w:rPr>
      <w:color w:val="2440b3"/>
      <w:u w:val="none"/>
    </w:rPr>
  </w:style>
  <w:style w:type="character" w:styleId="1050" w:customStyle="1">
    <w:name w:val="c-icon30"/>
    <w:uiPriority w:val="0"/>
    <w:qFormat/>
  </w:style>
  <w:style w:type="character" w:styleId="1051" w:customStyle="1">
    <w:name w:val="page-cur"/>
    <w:uiPriority w:val="0"/>
    <w:qFormat/>
    <w:rPr>
      <w:color w:val="999999"/>
      <w:u w:val="none"/>
      <w:shd w:val="clear" w:color="auto" w:fill="fafafa"/>
    </w:rPr>
  </w:style>
  <w:style w:type="character" w:styleId="1052" w:customStyle="1">
    <w:name w:val="awspan1"/>
    <w:uiPriority w:val="0"/>
    <w:qFormat/>
    <w:rPr>
      <w:color w:val="000000"/>
      <w:sz w:val="24"/>
      <w:szCs w:val="24"/>
    </w:rPr>
  </w:style>
  <w:style w:type="paragraph" w:styleId="1053" w:customStyle="1">
    <w:name w:val="目录 31"/>
    <w:next w:val="821"/>
    <w:uiPriority w:val="0"/>
    <w:qFormat/>
    <w:pPr>
      <w:ind w:left="567"/>
      <w:spacing w:after="57"/>
    </w:pPr>
    <w:rPr>
      <w:rFonts w:hint="default" w:ascii="Calibri" w:hAnsi="Calibri" w:eastAsia="宋体" w:cs="Times New Roman"/>
      <w:lang w:val="en-US" w:eastAsia="zh-CN" w:bidi="ar-SA"/>
    </w:rPr>
  </w:style>
  <w:style w:type="paragraph" w:styleId="1054" w:customStyle="1">
    <w:name w:val="文本块11"/>
    <w:basedOn w:val="821"/>
    <w:uiPriority w:val="0"/>
    <w:qFormat/>
    <w:pPr>
      <w:ind w:left="268" w:right="-24" w:firstLine="473"/>
    </w:pPr>
    <w:rPr>
      <w:bCs/>
    </w:rPr>
  </w:style>
  <w:style w:type="paragraph" w:styleId="1055" w:customStyle="1">
    <w:name w:val="目录 61"/>
    <w:next w:val="821"/>
    <w:uiPriority w:val="0"/>
    <w:qFormat/>
    <w:pPr>
      <w:ind w:left="1417"/>
      <w:spacing w:after="57"/>
    </w:pPr>
    <w:rPr>
      <w:rFonts w:hint="default" w:ascii="Calibri" w:hAnsi="Calibri" w:eastAsia="宋体" w:cs="Times New Roman"/>
      <w:lang w:val="en-US" w:eastAsia="zh-CN" w:bidi="ar-SA"/>
    </w:rPr>
  </w:style>
  <w:style w:type="paragraph" w:styleId="1056" w:customStyle="1">
    <w:name w:val="目录 71"/>
    <w:next w:val="821"/>
    <w:uiPriority w:val="0"/>
    <w:qFormat/>
    <w:pPr>
      <w:ind w:left="1701"/>
      <w:spacing w:after="57"/>
    </w:pPr>
    <w:rPr>
      <w:rFonts w:hint="default" w:ascii="Calibri" w:hAnsi="Calibri" w:eastAsia="宋体" w:cs="Times New Roman"/>
      <w:lang w:val="en-US" w:eastAsia="zh-CN" w:bidi="ar-SA"/>
    </w:rPr>
  </w:style>
  <w:style w:type="paragraph" w:styleId="1057" w:customStyle="1">
    <w:name w:val="纯文本11"/>
    <w:basedOn w:val="814"/>
    <w:uiPriority w:val="0"/>
    <w:qFormat/>
    <w:rPr>
      <w:rFonts w:ascii="宋体" w:hAnsi="宋体" w:eastAsia="仿宋_GB2312"/>
      <w:sz w:val="30"/>
    </w:rPr>
  </w:style>
  <w:style w:type="paragraph" w:styleId="1058" w:customStyle="1">
    <w:name w:val="批注文字11"/>
    <w:basedOn w:val="821"/>
    <w:uiPriority w:val="0"/>
    <w:qFormat/>
    <w:rPr>
      <w:sz w:val="22"/>
      <w:szCs w:val="22"/>
    </w:rPr>
  </w:style>
  <w:style w:type="paragraph" w:styleId="1059" w:customStyle="1">
    <w:name w:val="首行缩进"/>
    <w:basedOn w:val="812"/>
    <w:next w:val="812"/>
    <w:uiPriority w:val="0"/>
    <w:qFormat/>
    <w:pPr>
      <w:ind w:firstLine="480"/>
      <w:spacing w:line="360" w:lineRule="auto"/>
    </w:pPr>
    <w:rPr>
      <w:rFonts w:ascii="宋体"/>
      <w:sz w:val="24"/>
    </w:rPr>
  </w:style>
  <w:style w:type="paragraph" w:styleId="1060" w:customStyle="1">
    <w:name w:val="+正文"/>
    <w:basedOn w:val="812"/>
    <w:uiPriority w:val="0"/>
    <w:qFormat/>
    <w:pPr>
      <w:ind w:firstLine="200"/>
      <w:jc w:val="left"/>
      <w:spacing w:line="500" w:lineRule="exact"/>
    </w:pPr>
    <w:rPr>
      <w:rFonts w:ascii="Times New Roman" w:hAnsi="Times New Roman"/>
      <w:sz w:val="24"/>
      <w:szCs w:val="28"/>
    </w:rPr>
  </w:style>
  <w:style w:type="paragraph" w:styleId="1061"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62" w:customStyle="1">
    <w:name w:val="正文文本缩进 21"/>
    <w:basedOn w:val="812"/>
    <w:uiPriority w:val="0"/>
    <w:qFormat/>
    <w:pPr>
      <w:ind w:left="630" w:firstLine="645"/>
    </w:pPr>
    <w:rPr>
      <w:rFonts w:ascii="Arial" w:hAnsi="Arial" w:eastAsia="仿宋_GB2312"/>
      <w:sz w:val="32"/>
      <w:szCs w:val="32"/>
    </w:rPr>
  </w:style>
  <w:style w:type="paragraph" w:styleId="1063" w:customStyle="1">
    <w:name w:val="列出段落11"/>
    <w:basedOn w:val="812"/>
    <w:uiPriority w:val="0"/>
    <w:qFormat/>
    <w:pPr>
      <w:ind w:firstLine="420"/>
      <w:jc w:val="left"/>
      <w:spacing w:line="360" w:lineRule="atLeast"/>
    </w:pPr>
    <w:rPr>
      <w:sz w:val="24"/>
    </w:rPr>
  </w:style>
  <w:style w:type="paragraph" w:styleId="1064" w:customStyle="1">
    <w:name w:val="无间隔121"/>
    <w:uiPriority w:val="0"/>
    <w:qFormat/>
    <w:rPr>
      <w:rFonts w:hint="default" w:ascii="Calibri" w:hAnsi="Calibri" w:eastAsia="宋体" w:cs="Times New Roman"/>
      <w:lang w:val="en-US" w:eastAsia="zh-CN" w:bidi="ar-SA"/>
    </w:rPr>
  </w:style>
  <w:style w:type="paragraph" w:styleId="1065" w:customStyle="1">
    <w:name w:val="表格文本"/>
    <w:basedOn w:val="812"/>
    <w:uiPriority w:val="0"/>
    <w:qFormat/>
    <w:pPr>
      <w:jc w:val="center"/>
    </w:pPr>
    <w:rPr>
      <w:rFonts w:ascii="宋体"/>
      <w:bCs/>
      <w:szCs w:val="21"/>
    </w:rPr>
  </w:style>
  <w:style w:type="paragraph" w:styleId="1066" w:customStyle="1">
    <w:name w:val="表格文字"/>
    <w:basedOn w:val="812"/>
    <w:next w:val="828"/>
    <w:uiPriority w:val="0"/>
    <w:qFormat/>
    <w:pPr>
      <w:jc w:val="left"/>
    </w:pPr>
    <w:rPr>
      <w:bCs/>
      <w:spacing w:val="10"/>
      <w:sz w:val="20"/>
      <w:szCs w:val="20"/>
    </w:rPr>
  </w:style>
  <w:style w:type="paragraph" w:styleId="1067" w:customStyle="1">
    <w:name w:val="题注1"/>
    <w:next w:val="821"/>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68" w:customStyle="1">
    <w:name w:val="正文121"/>
    <w:next w:val="1004"/>
    <w:uiPriority w:val="0"/>
    <w:qFormat/>
    <w:rPr>
      <w:rFonts w:hint="default" w:ascii="Times New Roman" w:hAnsi="Times New Roman" w:eastAsia="宋体" w:cs="Times New Roman"/>
      <w:lang w:val="en-US" w:eastAsia="zh-CN" w:bidi="ar-SA"/>
    </w:rPr>
  </w:style>
  <w:style w:type="paragraph" w:styleId="1069" w:customStyle="1">
    <w:name w:val="普通(网站)11"/>
    <w:basedOn w:val="821"/>
    <w:uiPriority w:val="0"/>
    <w:qFormat/>
    <w:rPr>
      <w:sz w:val="24"/>
    </w:rPr>
  </w:style>
  <w:style w:type="paragraph" w:styleId="1070" w:customStyle="1">
    <w:name w:val="目录 41"/>
    <w:next w:val="821"/>
    <w:uiPriority w:val="0"/>
    <w:qFormat/>
    <w:pPr>
      <w:ind w:left="850"/>
      <w:spacing w:after="57"/>
    </w:pPr>
    <w:rPr>
      <w:rFonts w:hint="default" w:ascii="Calibri" w:hAnsi="Calibri" w:eastAsia="宋体" w:cs="Times New Roman"/>
      <w:lang w:val="en-US" w:eastAsia="zh-CN" w:bidi="ar-SA"/>
    </w:rPr>
  </w:style>
  <w:style w:type="paragraph" w:styleId="1071" w:customStyle="1">
    <w:name w:val="目录 81"/>
    <w:next w:val="821"/>
    <w:uiPriority w:val="0"/>
    <w:qFormat/>
    <w:pPr>
      <w:ind w:left="1984"/>
      <w:spacing w:after="57"/>
    </w:pPr>
    <w:rPr>
      <w:rFonts w:hint="default" w:ascii="Calibri" w:hAnsi="Calibri" w:eastAsia="宋体" w:cs="Times New Roman"/>
      <w:lang w:val="en-US" w:eastAsia="zh-CN" w:bidi="ar-SA"/>
    </w:rPr>
  </w:style>
  <w:style w:type="paragraph" w:styleId="1072" w:customStyle="1">
    <w:name w:val="图表目录1"/>
    <w:next w:val="821"/>
    <w:uiPriority w:val="0"/>
    <w:qFormat/>
    <w:rPr>
      <w:rFonts w:hint="default" w:ascii="Calibri" w:hAnsi="Calibri" w:eastAsia="宋体" w:cs="Times New Roman"/>
      <w:lang w:val="en-US" w:eastAsia="zh-CN" w:bidi="ar-SA"/>
    </w:rPr>
  </w:style>
  <w:style w:type="paragraph" w:styleId="1073" w:customStyle="1">
    <w:name w:val="寄信人地址2"/>
    <w:basedOn w:val="821"/>
    <w:uiPriority w:val="0"/>
    <w:qFormat/>
    <w:rPr>
      <w:rFonts w:ascii="Arial" w:hAnsi="Arial"/>
    </w:rPr>
  </w:style>
  <w:style w:type="paragraph" w:styleId="1074" w:customStyle="1">
    <w:name w:val="目录 91"/>
    <w:basedOn w:val="821"/>
    <w:next w:val="821"/>
    <w:uiPriority w:val="0"/>
    <w:qFormat/>
    <w:pPr>
      <w:ind w:left="2268"/>
      <w:spacing w:after="57"/>
    </w:pPr>
    <w:rPr>
      <w:rFonts w:ascii="Times New Roman" w:hAnsi="Times New Roman"/>
    </w:rPr>
  </w:style>
  <w:style w:type="paragraph" w:styleId="1075" w:customStyle="1">
    <w:name w:val="目录 51"/>
    <w:next w:val="821"/>
    <w:uiPriority w:val="0"/>
    <w:qFormat/>
    <w:pPr>
      <w:ind w:left="1134"/>
      <w:spacing w:after="57"/>
    </w:pPr>
    <w:rPr>
      <w:rFonts w:hint="default" w:ascii="Calibri" w:hAnsi="Calibri" w:eastAsia="宋体" w:cs="Times New Roman"/>
      <w:lang w:val="en-US" w:eastAsia="zh-CN" w:bidi="ar-SA"/>
    </w:rPr>
  </w:style>
  <w:style w:type="paragraph" w:styleId="1076" w:customStyle="1">
    <w:name w:val="正文文本缩进 22"/>
    <w:basedOn w:val="821"/>
    <w:uiPriority w:val="0"/>
    <w:qFormat/>
    <w:pPr>
      <w:ind w:left="420"/>
      <w:spacing w:after="120" w:line="480" w:lineRule="auto"/>
    </w:pPr>
  </w:style>
  <w:style w:type="paragraph" w:styleId="1077" w:customStyle="1">
    <w:name w:val="表格3"/>
    <w:basedOn w:val="812"/>
    <w:uiPriority w:val="0"/>
    <w:qFormat/>
    <w:pPr>
      <w:jc w:val="center"/>
    </w:pPr>
    <w:rPr>
      <w:rFonts w:ascii="Times New Roman" w:hAnsi="Times New Roman"/>
    </w:rPr>
  </w:style>
  <w:style w:type="paragraph" w:styleId="1078" w:customStyle="1">
    <w:name w:val="Char"/>
    <w:basedOn w:val="812"/>
    <w:uiPriority w:val="0"/>
    <w:qFormat/>
    <w:pPr>
      <w:tabs>
        <w:tab w:val="left" w:pos="360" w:leader="none"/>
      </w:tabs>
    </w:pPr>
    <w:rPr>
      <w:rFonts w:ascii="Times New Roman" w:hAnsi="Times New Roman"/>
      <w:sz w:val="24"/>
    </w:rPr>
  </w:style>
  <w:style w:type="paragraph" w:styleId="1079" w:customStyle="1">
    <w:name w:val="样式"/>
    <w:basedOn w:val="812"/>
    <w:uiPriority w:val="0"/>
    <w:qFormat/>
    <w:pPr>
      <w:jc w:val="left"/>
    </w:pPr>
    <w:rPr>
      <w:rFonts w:ascii="宋体"/>
      <w:sz w:val="24"/>
    </w:rPr>
  </w:style>
  <w:style w:type="paragraph" w:styleId="1080" w:customStyle="1">
    <w:name w:val="_Style 49"/>
    <w:basedOn w:val="821"/>
    <w:next w:val="1057"/>
    <w:uiPriority w:val="0"/>
    <w:qFormat/>
    <w:rPr>
      <w:rFonts w:ascii="宋体"/>
      <w:sz w:val="24"/>
    </w:rPr>
  </w:style>
  <w:style w:type="paragraph" w:styleId="1081" w:customStyle="1">
    <w:name w:val="默认段落字体 Para Char Char Char Char Char Char Char"/>
    <w:basedOn w:val="812"/>
    <w:uiPriority w:val="0"/>
    <w:qFormat/>
    <w:rPr>
      <w:rFonts w:ascii="Tahoma" w:hAnsi="Tahoma"/>
      <w:sz w:val="24"/>
      <w:szCs w:val="20"/>
    </w:rPr>
  </w:style>
  <w:style w:type="paragraph" w:styleId="1082" w:customStyle="1">
    <w:name w:val="[基本段落]"/>
    <w:basedOn w:val="812"/>
    <w:uiPriority w:val="0"/>
    <w:qFormat/>
    <w:pPr>
      <w:spacing w:line="288" w:lineRule="auto"/>
    </w:pPr>
    <w:rPr>
      <w:rFonts w:ascii="宋体"/>
      <w:color w:val="000000"/>
      <w:sz w:val="24"/>
      <w:lang w:val="zh-CN"/>
    </w:rPr>
  </w:style>
  <w:style w:type="paragraph" w:styleId="1083" w:customStyle="1">
    <w:name w:val="普通(网站)1"/>
    <w:basedOn w:val="812"/>
    <w:uiPriority w:val="0"/>
    <w:qFormat/>
    <w:pPr>
      <w:jc w:val="left"/>
      <w:spacing w:before="100" w:beforeAutospacing="1" w:after="100" w:afterAutospacing="1"/>
      <w:widowControl/>
    </w:pPr>
    <w:rPr>
      <w:rFonts w:ascii="宋体"/>
      <w:sz w:val="24"/>
    </w:rPr>
  </w:style>
  <w:style w:type="paragraph" w:styleId="1084" w:customStyle="1">
    <w:name w:val="TOC 标题11"/>
    <w:uiPriority w:val="0"/>
    <w:qFormat/>
    <w:rPr>
      <w:rFonts w:hint="default" w:ascii="Calibri" w:hAnsi="Calibri" w:eastAsia="宋体" w:cs="Times New Roman"/>
      <w:lang w:val="en-US" w:eastAsia="zh-CN" w:bidi="ar-SA"/>
    </w:rPr>
  </w:style>
  <w:style w:type="paragraph" w:styleId="1085" w:customStyle="1">
    <w:name w:val="样式 首行缩进:  2 字符"/>
    <w:basedOn w:val="812"/>
    <w:uiPriority w:val="0"/>
    <w:qFormat/>
    <w:pPr>
      <w:ind w:firstLine="200"/>
      <w:spacing w:line="400" w:lineRule="exact"/>
    </w:pPr>
    <w:rPr>
      <w:sz w:val="24"/>
    </w:rPr>
  </w:style>
  <w:style w:type="paragraph" w:styleId="1086" w:customStyle="1">
    <w:name w:val="Table Paragraph"/>
    <w:basedOn w:val="812"/>
    <w:uiPriority w:val="0"/>
    <w:qFormat/>
    <w:pPr>
      <w:jc w:val="left"/>
    </w:pPr>
    <w:rPr>
      <w:rFonts w:ascii="仿宋" w:eastAsia="仿宋"/>
      <w:sz w:val="22"/>
      <w:szCs w:val="22"/>
      <w:lang w:val="zh-CN" w:bidi="zh-CN"/>
    </w:rPr>
  </w:style>
  <w:style w:type="paragraph" w:styleId="1087" w:customStyle="1">
    <w:name w:val="Style1"/>
    <w:basedOn w:val="821"/>
    <w:uiPriority w:val="0"/>
    <w:qFormat/>
    <w:pPr>
      <w:spacing w:after="120"/>
      <w:tabs>
        <w:tab w:val="left" w:pos="-720" w:leader="none"/>
      </w:tabs>
    </w:pPr>
    <w:rPr>
      <w:spacing w:val="-3"/>
      <w:sz w:val="24"/>
      <w:lang w:val="en-AU"/>
    </w:rPr>
  </w:style>
  <w:style w:type="paragraph" w:styleId="1088" w:customStyle="1">
    <w:name w:val="列表 21"/>
    <w:basedOn w:val="812"/>
    <w:uiPriority w:val="0"/>
    <w:qFormat/>
    <w:pPr>
      <w:ind w:left="100" w:hanging="200"/>
    </w:pPr>
  </w:style>
  <w:style w:type="paragraph" w:styleId="1089" w:customStyle="1">
    <w:name w:val="标题 31"/>
    <w:basedOn w:val="812"/>
    <w:next w:val="812"/>
    <w:uiPriority w:val="0"/>
    <w:qFormat/>
    <w:pPr>
      <w:ind w:left="50" w:right="31"/>
      <w:jc w:val="center"/>
      <w:spacing w:before="39"/>
      <w:outlineLvl w:val="2"/>
    </w:pPr>
    <w:rPr>
      <w:sz w:val="30"/>
      <w:szCs w:val="30"/>
    </w:rPr>
  </w:style>
  <w:style w:type="paragraph" w:styleId="1090" w:customStyle="1">
    <w:name w:val="列表段落1"/>
    <w:basedOn w:val="812"/>
    <w:next w:val="764"/>
    <w:uiPriority w:val="0"/>
    <w:qFormat/>
    <w:pPr>
      <w:ind w:firstLine="420"/>
    </w:pPr>
    <w:rPr>
      <w:sz w:val="22"/>
      <w:szCs w:val="22"/>
    </w:rPr>
  </w:style>
  <w:style w:type="paragraph" w:styleId="1091" w:customStyle="1">
    <w:name w:val="列出段落2"/>
    <w:basedOn w:val="821"/>
    <w:uiPriority w:val="0"/>
    <w:qFormat/>
    <w:pPr>
      <w:contextualSpacing/>
      <w:ind w:left="720"/>
    </w:pPr>
    <w:rPr>
      <w:rFonts w:ascii="Times New Roman" w:hAnsi="Times New Roman"/>
    </w:rPr>
  </w:style>
  <w:style w:type="paragraph" w:styleId="1092" w:customStyle="1">
    <w:name w:val="WPSOffice手动目录 1"/>
    <w:uiPriority w:val="0"/>
    <w:qFormat/>
    <w:rPr>
      <w:rFonts w:hint="default" w:ascii="Calibri" w:hAnsi="Calibri" w:eastAsia="宋体" w:cs="Times New Roman"/>
      <w:lang w:val="en-US" w:eastAsia="zh-CN" w:bidi="ar-SA"/>
    </w:rPr>
  </w:style>
  <w:style w:type="paragraph" w:styleId="1093"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footer1"/>
    <w:basedOn w:val="764"/>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95" w:customStyle="1">
    <w:name w:val="段落文字"/>
    <w:basedOn w:val="764"/>
    <w:uiPriority w:val="0"/>
    <w:qFormat/>
    <w:pPr>
      <w:ind w:firstLine="200"/>
      <w:spacing w:line="360" w:lineRule="auto"/>
    </w:pPr>
    <w:rPr>
      <w:rFonts w:ascii="仿宋" w:eastAsia="仿宋"/>
      <w:sz w:val="28"/>
      <w:szCs w:val="28"/>
    </w:rPr>
  </w:style>
  <w:style w:type="character" w:styleId="1096" w:customStyle="1">
    <w:name w:val="NormalCharacter1"/>
    <w:link w:val="812"/>
    <w:uiPriority w:val="0"/>
    <w:semiHidden/>
    <w:qFormat/>
    <w:rPr>
      <w:rFonts w:ascii="Times New Roman" w:hAnsi="Times New Roman" w:eastAsia="宋体" w:cs="Times New Roman"/>
      <w:sz w:val="21"/>
      <w:szCs w:val="24"/>
      <w:lang w:val="en-US" w:eastAsia="zh-CN" w:bidi="ar-SA"/>
    </w:rPr>
  </w:style>
  <w:style w:type="paragraph" w:styleId="1097">
    <w:name w:val="List Paragraph"/>
    <w:basedOn w:val="764"/>
    <w:uiPriority w:val="0"/>
    <w:qFormat/>
    <w:pPr>
      <w:ind w:firstLine="420"/>
    </w:pPr>
    <w:rPr>
      <w:rFonts w:ascii="Calibri" w:hAnsi="Calibri" w:cstheme="minorBidi"/>
      <w:szCs w:val="22"/>
    </w:rPr>
  </w:style>
  <w:style w:type="paragraph" w:styleId="1098"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99" w:customStyle="1">
    <w:name w:val="font31"/>
    <w:basedOn w:val="774"/>
    <w:uiPriority w:val="0"/>
    <w:qFormat/>
    <w:rPr>
      <w:rFonts w:hint="eastAsia" w:ascii="宋体" w:hAnsi="宋体" w:eastAsia="宋体" w:cs="宋体"/>
      <w:color w:val="000000"/>
      <w:sz w:val="20"/>
      <w:szCs w:val="20"/>
      <w:u w:val="none"/>
    </w:rPr>
  </w:style>
  <w:style w:type="character" w:styleId="1100" w:customStyle="1">
    <w:name w:val="font61"/>
    <w:basedOn w:val="774"/>
    <w:uiPriority w:val="0"/>
    <w:qFormat/>
    <w:rPr>
      <w:rFonts w:hint="default" w:ascii="Times New Roman" w:hAnsi="Times New Roman" w:cs="Times New Roman"/>
      <w:color w:val="000000"/>
      <w:sz w:val="20"/>
      <w:szCs w:val="20"/>
      <w:u w:val="none"/>
    </w:rPr>
  </w:style>
  <w:style w:type="paragraph" w:styleId="1101" w:customStyle="1">
    <w:name w:val="Heading 3"/>
    <w:basedOn w:val="764"/>
    <w:next w:val="764"/>
    <w:uiPriority w:val="0"/>
    <w:unhideWhenUsed/>
    <w:qFormat/>
    <w:pPr>
      <w:keepLines/>
      <w:keepNext/>
      <w:spacing w:line="415" w:lineRule="auto"/>
      <w:outlineLvl w:val="2"/>
    </w:pPr>
    <w:rPr>
      <w:b/>
      <w:sz w:val="32"/>
      <w:szCs w:val="32"/>
    </w:rPr>
  </w:style>
  <w:style w:type="paragraph" w:styleId="1102" w:customStyle="1">
    <w:name w:val="Heading 4"/>
    <w:basedOn w:val="764"/>
    <w:next w:val="764"/>
    <w:uiPriority w:val="0"/>
    <w:unhideWhenUsed/>
    <w:qFormat/>
    <w:pPr>
      <w:keepLines/>
      <w:keepNext/>
      <w:spacing w:before="120" w:after="120"/>
      <w:outlineLvl w:val="3"/>
    </w:pPr>
    <w:rPr>
      <w:rFonts w:ascii="Arial" w:hAnsi="Arial" w:eastAsia="黑体"/>
      <w:b/>
      <w:sz w:val="20"/>
      <w:szCs w:val="20"/>
    </w:rPr>
  </w:style>
  <w:style w:type="paragraph" w:styleId="1103" w:customStyle="1">
    <w:name w:val="TOC 标题2"/>
    <w:basedOn w:val="1104"/>
    <w:next w:val="764"/>
    <w:uiPriority w:val="0"/>
    <w:unhideWhenUsed/>
    <w:qFormat/>
    <w:pPr>
      <w:jc w:val="center"/>
      <w:spacing w:before="260" w:after="260" w:line="413" w:lineRule="auto"/>
    </w:pPr>
    <w:rPr>
      <w:rFonts w:hint="eastAsia" w:ascii="宋体" w:hAnsi="宋体"/>
      <w:sz w:val="36"/>
      <w:lang w:val="zh-CN"/>
    </w:rPr>
  </w:style>
  <w:style w:type="paragraph" w:styleId="1104" w:customStyle="1">
    <w:name w:val="Heading 1"/>
    <w:basedOn w:val="764"/>
    <w:next w:val="764"/>
    <w:uiPriority w:val="0"/>
    <w:unhideWhenUsed/>
    <w:qFormat/>
    <w:pPr>
      <w:keepLines/>
      <w:keepNext/>
      <w:spacing w:before="340" w:after="330" w:line="578" w:lineRule="auto"/>
      <w:outlineLvl w:val="0"/>
    </w:pPr>
    <w:rPr>
      <w:b/>
      <w:sz w:val="44"/>
      <w:szCs w:val="44"/>
    </w:rPr>
  </w:style>
  <w:style w:type="paragraph" w:styleId="1105" w:customStyle="1">
    <w:name w:val="附件标题"/>
    <w:basedOn w:val="1106"/>
    <w:next w:val="764"/>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106" w:customStyle="1">
    <w:name w:val="Heading 2"/>
    <w:basedOn w:val="764"/>
    <w:next w:val="764"/>
    <w:uiPriority w:val="0"/>
    <w:unhideWhenUsed/>
    <w:qFormat/>
    <w:pPr>
      <w:keepLines/>
      <w:keepNext/>
      <w:spacing w:line="415" w:lineRule="auto"/>
      <w:outlineLvl w:val="1"/>
    </w:pPr>
    <w:rPr>
      <w:rFonts w:ascii="Arial" w:hAnsi="Arial" w:eastAsia="黑体"/>
      <w:b/>
      <w:sz w:val="32"/>
      <w:szCs w:val="32"/>
    </w:rPr>
  </w:style>
  <w:style w:type="paragraph" w:styleId="110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文本112"/>
    <w:basedOn w:val="764"/>
    <w:next w:val="818"/>
    <w:uiPriority w:val="0"/>
    <w:qFormat/>
    <w:pPr>
      <w:spacing w:after="120"/>
    </w:pPr>
  </w:style>
  <w:style w:type="paragraph" w:styleId="1109" w:customStyle="1">
    <w:name w:val="_Style 2"/>
    <w:basedOn w:val="1018"/>
    <w:next w:val="764"/>
    <w:uiPriority w:val="0"/>
    <w:qFormat/>
    <w:pPr>
      <w:jc w:val="both"/>
      <w:spacing w:line="576" w:lineRule="auto"/>
      <w:outlineLvl w:val="9"/>
    </w:pPr>
    <w:rPr>
      <w:rFonts w:ascii="Times New Roman" w:hAnsi="Times New Roman"/>
    </w:rPr>
  </w:style>
  <w:style w:type="paragraph" w:styleId="1110" w:customStyle="1">
    <w:name w:val="正文文本1111"/>
    <w:basedOn w:val="764"/>
    <w:next w:val="818"/>
    <w:uiPriority w:val="0"/>
    <w:qFormat/>
    <w:pPr>
      <w:ind w:left="72" w:right="30"/>
      <w:jc w:val="center"/>
      <w:spacing w:after="60" w:line="360" w:lineRule="atLeast"/>
    </w:pPr>
    <w:rPr>
      <w:szCs w:val="22"/>
    </w:rPr>
  </w:style>
  <w:style w:type="paragraph" w:styleId="1111" w:customStyle="1">
    <w:name w:val="目录 111"/>
    <w:basedOn w:val="814"/>
    <w:next w:val="764"/>
    <w:uiPriority w:val="39"/>
    <w:qFormat/>
    <w:pPr>
      <w:jc w:val="left"/>
      <w:spacing w:before="120" w:after="120"/>
    </w:pPr>
    <w:rPr>
      <w:b/>
      <w:bCs/>
      <w:caps/>
      <w:sz w:val="20"/>
      <w:szCs w:val="20"/>
    </w:rPr>
  </w:style>
  <w:style w:type="paragraph" w:styleId="1112" w:customStyle="1">
    <w:name w:val="文本块21"/>
    <w:basedOn w:val="764"/>
    <w:uiPriority w:val="6"/>
    <w:qFormat/>
    <w:pPr>
      <w:ind w:left="420" w:right="33"/>
      <w:jc w:val="left"/>
    </w:pPr>
    <w:rPr>
      <w:sz w:val="24"/>
      <w:szCs w:val="20"/>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吴承慧</cp:lastModifiedBy>
  <cp:revision>43</cp:revision>
  <dcterms:created xsi:type="dcterms:W3CDTF">2023-07-07T04:13:00Z</dcterms:created>
  <dcterms:modified xsi:type="dcterms:W3CDTF">2026-10-08T09:31:11Z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ADF4824624934C18B0EE44DA43DB9534_13</vt:lpwstr>
  </property>
  <property fmtid="{D5CDD505-2E9C-101B-9397-08002B2CF9AE}" pid="4" name="KSOTemplateDocerSaveRecord">
    <vt:lpwstr>eyJoZGlkIjoiNjIxMDJjYmU5ZmE1NjQ1N2QwNzU0MmI4ODRhNWFjMGIiLCJ1c2VySWQiOiI1MDI1NDU3MTkifQ==</vt:lpwstr>
  </property>
</Properties>
</file>