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3B6E7">
      <w:pPr>
        <w:pStyle w:val="23"/>
        <w:keepNext w:val="0"/>
        <w:keepLines w:val="0"/>
        <w:widowControl/>
        <w:suppressLineNumbers w:val="0"/>
        <w:pBdr>
          <w:top w:val="none" w:color="auto" w:sz="0" w:space="0"/>
          <w:left w:val="none" w:color="auto" w:sz="0" w:space="0"/>
          <w:bottom w:val="none" w:color="auto" w:sz="0" w:space="0"/>
          <w:right w:val="none" w:color="auto" w:sz="0" w:space="0"/>
        </w:pBdr>
        <w:spacing w:before="420" w:beforeAutospacing="0" w:after="0" w:afterAutospacing="0" w:line="30" w:lineRule="atLeast"/>
        <w:ind w:left="0" w:right="0"/>
        <w:jc w:val="both"/>
        <w:rPr>
          <w:rFonts w:hint="eastAsia" w:ascii="宋体" w:hAnsi="宋体" w:cs="宋体"/>
          <w:b/>
          <w:bCs/>
          <w:color w:val="auto"/>
          <w:sz w:val="36"/>
          <w:szCs w:val="36"/>
          <w:highlight w:val="none"/>
        </w:rPr>
      </w:pPr>
      <w:r>
        <w:rPr>
          <w:rFonts w:hint="eastAsia" w:ascii="宋体" w:hAnsi="宋体" w:cs="宋体"/>
          <w:color w:val="auto"/>
          <w:sz w:val="28"/>
          <w:szCs w:val="28"/>
          <w:highlight w:val="none"/>
        </w:rPr>
        <w:t>如有建议或意见，请以书面形式并加盖公章、注明联系人、联系方式，于</w:t>
      </w:r>
      <w:r>
        <w:rPr>
          <w:rFonts w:hint="eastAsia" w:ascii="宋体" w:hAnsi="宋体" w:eastAsia="宋体" w:cs="宋体"/>
          <w:i w:val="0"/>
          <w:iCs w:val="0"/>
          <w:caps w:val="0"/>
          <w:color w:val="333333"/>
          <w:spacing w:val="0"/>
          <w:sz w:val="28"/>
          <w:szCs w:val="28"/>
          <w:lang w:val="en-US" w:eastAsia="zh-CN"/>
        </w:rPr>
        <w:t>2026年10月22日</w:t>
      </w:r>
      <w:r>
        <w:rPr>
          <w:rFonts w:hint="eastAsia" w:ascii="宋体" w:hAnsi="宋体" w:eastAsia="宋体" w:cs="宋体"/>
          <w:i w:val="0"/>
          <w:iCs w:val="0"/>
          <w:caps w:val="0"/>
          <w:color w:val="333333"/>
          <w:spacing w:val="0"/>
          <w:sz w:val="28"/>
          <w:szCs w:val="28"/>
          <w:highlight w:val="none"/>
          <w:lang w:val="en-US"/>
        </w:rPr>
        <w:t>17:00</w:t>
      </w:r>
      <w:r>
        <w:rPr>
          <w:rFonts w:hint="eastAsia" w:ascii="宋体" w:hAnsi="宋体" w:cs="宋体"/>
          <w:color w:val="auto"/>
          <w:sz w:val="28"/>
          <w:szCs w:val="28"/>
          <w:highlight w:val="none"/>
        </w:rPr>
        <w:t>之前送至我单位，逾期不受理（如邮寄，于</w:t>
      </w:r>
      <w:r>
        <w:rPr>
          <w:rFonts w:hint="eastAsia" w:ascii="宋体" w:hAnsi="宋体" w:eastAsia="宋体" w:cs="宋体"/>
          <w:i w:val="0"/>
          <w:iCs w:val="0"/>
          <w:caps w:val="0"/>
          <w:color w:val="333333"/>
          <w:spacing w:val="0"/>
          <w:sz w:val="28"/>
          <w:szCs w:val="28"/>
          <w:lang w:val="en-US" w:eastAsia="zh-CN"/>
        </w:rPr>
        <w:t>2026年10月22日</w:t>
      </w:r>
      <w:r>
        <w:rPr>
          <w:rFonts w:hint="eastAsia" w:ascii="宋体" w:hAnsi="宋体" w:eastAsia="宋体" w:cs="宋体"/>
          <w:i w:val="0"/>
          <w:iCs w:val="0"/>
          <w:caps w:val="0"/>
          <w:color w:val="333333"/>
          <w:spacing w:val="0"/>
          <w:sz w:val="28"/>
          <w:szCs w:val="28"/>
          <w:highlight w:val="none"/>
          <w:lang w:val="en-US"/>
        </w:rPr>
        <w:t>17:00</w:t>
      </w:r>
      <w:r>
        <w:rPr>
          <w:rFonts w:hint="eastAsia" w:ascii="宋体" w:hAnsi="宋体" w:cs="宋体"/>
          <w:color w:val="auto"/>
          <w:sz w:val="28"/>
          <w:szCs w:val="28"/>
          <w:highlight w:val="none"/>
        </w:rPr>
        <w:t>之后到达本单位的邮件将不再受理）。</w:t>
      </w:r>
    </w:p>
    <w:p w14:paraId="1B58C67B">
      <w:pPr>
        <w:numPr>
          <w:ilvl w:val="0"/>
          <w:numId w:val="0"/>
        </w:numPr>
        <w:pBdr>
          <w:top w:val="none" w:color="000000" w:sz="0" w:space="0"/>
          <w:left w:val="none" w:color="000000" w:sz="0" w:space="0"/>
          <w:bottom w:val="none" w:color="000000" w:sz="0" w:space="0"/>
          <w:right w:val="none" w:color="000000" w:sz="0" w:space="0"/>
        </w:pBdr>
        <w:spacing w:line="440" w:lineRule="exact"/>
        <w:outlineLvl w:val="1"/>
        <w:rPr>
          <w:rFonts w:asciiTheme="minorEastAsia" w:hAnsiTheme="minorEastAsia" w:eastAsiaTheme="minorEastAsia" w:cstheme="minorEastAsia"/>
          <w:b/>
          <w:bCs/>
          <w:color w:val="auto"/>
          <w:sz w:val="24"/>
          <w:highlight w:val="none"/>
        </w:rPr>
      </w:pPr>
    </w:p>
    <w:p w14:paraId="2EFA724F">
      <w:pPr>
        <w:pStyle w:val="22"/>
        <w:rPr>
          <w:rFonts w:asciiTheme="minorEastAsia" w:hAnsiTheme="minorEastAsia" w:eastAsiaTheme="minorEastAsia" w:cstheme="minorEastAsia"/>
          <w:b/>
          <w:bCs/>
          <w:color w:val="auto"/>
          <w:sz w:val="24"/>
          <w:highlight w:val="none"/>
        </w:rPr>
      </w:pPr>
    </w:p>
    <w:p w14:paraId="3D4D6DDF">
      <w:pPr>
        <w:rPr>
          <w:rFonts w:asciiTheme="minorEastAsia" w:hAnsiTheme="minorEastAsia" w:eastAsiaTheme="minorEastAsia" w:cstheme="minorEastAsia"/>
          <w:b/>
          <w:bCs/>
          <w:color w:val="auto"/>
          <w:sz w:val="24"/>
          <w:highlight w:val="none"/>
        </w:rPr>
      </w:pPr>
    </w:p>
    <w:p w14:paraId="6DE5068A">
      <w:pPr>
        <w:pStyle w:val="22"/>
        <w:rPr>
          <w:rFonts w:asciiTheme="minorEastAsia" w:hAnsiTheme="minorEastAsia" w:eastAsiaTheme="minorEastAsia" w:cstheme="minorEastAsia"/>
          <w:b/>
          <w:bCs/>
          <w:color w:val="auto"/>
          <w:sz w:val="24"/>
          <w:highlight w:val="none"/>
        </w:rPr>
      </w:pPr>
    </w:p>
    <w:p w14:paraId="53893316">
      <w:pPr>
        <w:rPr>
          <w:rFonts w:asciiTheme="minorEastAsia" w:hAnsiTheme="minorEastAsia" w:eastAsiaTheme="minorEastAsia" w:cstheme="minorEastAsia"/>
          <w:b/>
          <w:bCs/>
          <w:color w:val="auto"/>
          <w:sz w:val="24"/>
          <w:highlight w:val="none"/>
        </w:rPr>
      </w:pPr>
    </w:p>
    <w:p w14:paraId="518DC99F">
      <w:pPr>
        <w:pStyle w:val="22"/>
        <w:rPr>
          <w:rFonts w:asciiTheme="minorEastAsia" w:hAnsiTheme="minorEastAsia" w:eastAsiaTheme="minorEastAsia" w:cstheme="minorEastAsia"/>
          <w:b/>
          <w:bCs/>
          <w:color w:val="auto"/>
          <w:sz w:val="24"/>
          <w:highlight w:val="none"/>
        </w:rPr>
      </w:pPr>
    </w:p>
    <w:p w14:paraId="1E701DE5">
      <w:pPr>
        <w:rPr>
          <w:rFonts w:asciiTheme="minorEastAsia" w:hAnsiTheme="minorEastAsia" w:eastAsiaTheme="minorEastAsia" w:cstheme="minorEastAsia"/>
          <w:b/>
          <w:bCs/>
          <w:color w:val="auto"/>
          <w:sz w:val="24"/>
          <w:highlight w:val="none"/>
        </w:rPr>
      </w:pPr>
    </w:p>
    <w:p w14:paraId="1F3097E9">
      <w:pPr>
        <w:pStyle w:val="22"/>
        <w:rPr>
          <w:rFonts w:asciiTheme="minorEastAsia" w:hAnsiTheme="minorEastAsia" w:eastAsiaTheme="minorEastAsia" w:cstheme="minorEastAsia"/>
          <w:b/>
          <w:bCs/>
          <w:color w:val="auto"/>
          <w:sz w:val="24"/>
          <w:highlight w:val="none"/>
        </w:rPr>
      </w:pPr>
    </w:p>
    <w:p w14:paraId="4399BB95">
      <w:pPr>
        <w:rPr>
          <w:rFonts w:asciiTheme="minorEastAsia" w:hAnsiTheme="minorEastAsia" w:eastAsiaTheme="minorEastAsia" w:cstheme="minorEastAsia"/>
          <w:b/>
          <w:bCs/>
          <w:color w:val="auto"/>
          <w:sz w:val="24"/>
          <w:highlight w:val="none"/>
        </w:rPr>
      </w:pPr>
    </w:p>
    <w:p w14:paraId="687743FB">
      <w:pPr>
        <w:pStyle w:val="22"/>
        <w:rPr>
          <w:rFonts w:asciiTheme="minorEastAsia" w:hAnsiTheme="minorEastAsia" w:eastAsiaTheme="minorEastAsia" w:cstheme="minorEastAsia"/>
          <w:b/>
          <w:bCs/>
          <w:color w:val="auto"/>
          <w:sz w:val="24"/>
          <w:highlight w:val="none"/>
        </w:rPr>
      </w:pPr>
    </w:p>
    <w:p w14:paraId="267AEB8F">
      <w:pPr>
        <w:rPr>
          <w:rFonts w:asciiTheme="minorEastAsia" w:hAnsiTheme="minorEastAsia" w:eastAsiaTheme="minorEastAsia" w:cstheme="minorEastAsia"/>
          <w:b/>
          <w:bCs/>
          <w:color w:val="auto"/>
          <w:sz w:val="24"/>
          <w:highlight w:val="none"/>
        </w:rPr>
      </w:pPr>
    </w:p>
    <w:p w14:paraId="2A59A1AE">
      <w:pPr>
        <w:pStyle w:val="22"/>
        <w:rPr>
          <w:rFonts w:asciiTheme="minorEastAsia" w:hAnsiTheme="minorEastAsia" w:eastAsiaTheme="minorEastAsia" w:cstheme="minorEastAsia"/>
          <w:b/>
          <w:bCs/>
          <w:color w:val="auto"/>
          <w:sz w:val="24"/>
          <w:highlight w:val="none"/>
        </w:rPr>
      </w:pPr>
    </w:p>
    <w:p w14:paraId="026564EE">
      <w:pPr>
        <w:rPr>
          <w:rFonts w:asciiTheme="minorEastAsia" w:hAnsiTheme="minorEastAsia" w:eastAsiaTheme="minorEastAsia" w:cstheme="minorEastAsia"/>
          <w:b/>
          <w:bCs/>
          <w:color w:val="auto"/>
          <w:sz w:val="24"/>
          <w:highlight w:val="none"/>
        </w:rPr>
      </w:pPr>
    </w:p>
    <w:p w14:paraId="53235022">
      <w:pPr>
        <w:pStyle w:val="22"/>
        <w:rPr>
          <w:rFonts w:asciiTheme="minorEastAsia" w:hAnsiTheme="minorEastAsia" w:eastAsiaTheme="minorEastAsia" w:cstheme="minorEastAsia"/>
          <w:b/>
          <w:bCs/>
          <w:color w:val="auto"/>
          <w:sz w:val="24"/>
          <w:highlight w:val="none"/>
        </w:rPr>
      </w:pPr>
    </w:p>
    <w:p w14:paraId="58DA9A7C">
      <w:pPr>
        <w:rPr>
          <w:rFonts w:asciiTheme="minorEastAsia" w:hAnsiTheme="minorEastAsia" w:eastAsiaTheme="minorEastAsia" w:cstheme="minorEastAsia"/>
          <w:b/>
          <w:bCs/>
          <w:color w:val="auto"/>
          <w:sz w:val="24"/>
          <w:highlight w:val="none"/>
        </w:rPr>
      </w:pPr>
    </w:p>
    <w:p w14:paraId="71BC2CBB">
      <w:pPr>
        <w:pStyle w:val="22"/>
        <w:rPr>
          <w:rFonts w:asciiTheme="minorEastAsia" w:hAnsiTheme="minorEastAsia" w:eastAsiaTheme="minorEastAsia" w:cstheme="minorEastAsia"/>
          <w:b/>
          <w:bCs/>
          <w:color w:val="auto"/>
          <w:sz w:val="24"/>
          <w:highlight w:val="none"/>
        </w:rPr>
      </w:pPr>
    </w:p>
    <w:p w14:paraId="23BF4260">
      <w:pPr>
        <w:rPr>
          <w:rFonts w:asciiTheme="minorEastAsia" w:hAnsiTheme="minorEastAsia" w:eastAsiaTheme="minorEastAsia" w:cstheme="minorEastAsia"/>
          <w:b/>
          <w:bCs/>
          <w:color w:val="auto"/>
          <w:sz w:val="24"/>
          <w:highlight w:val="none"/>
        </w:rPr>
      </w:pPr>
    </w:p>
    <w:p w14:paraId="0398599A">
      <w:pPr>
        <w:pStyle w:val="22"/>
        <w:rPr>
          <w:rFonts w:asciiTheme="minorEastAsia" w:hAnsiTheme="minorEastAsia" w:eastAsiaTheme="minorEastAsia" w:cstheme="minorEastAsia"/>
          <w:b/>
          <w:bCs/>
          <w:color w:val="auto"/>
          <w:sz w:val="24"/>
          <w:highlight w:val="none"/>
        </w:rPr>
      </w:pPr>
    </w:p>
    <w:p w14:paraId="4B7E2DA7">
      <w:pPr>
        <w:rPr>
          <w:rFonts w:asciiTheme="minorEastAsia" w:hAnsiTheme="minorEastAsia" w:eastAsiaTheme="minorEastAsia" w:cstheme="minorEastAsia"/>
          <w:b/>
          <w:bCs/>
          <w:color w:val="auto"/>
          <w:sz w:val="24"/>
          <w:highlight w:val="none"/>
        </w:rPr>
      </w:pPr>
    </w:p>
    <w:p w14:paraId="709FAF3B">
      <w:pPr>
        <w:pStyle w:val="22"/>
        <w:rPr>
          <w:rFonts w:asciiTheme="minorEastAsia" w:hAnsiTheme="minorEastAsia" w:eastAsiaTheme="minorEastAsia" w:cstheme="minorEastAsia"/>
          <w:b/>
          <w:bCs/>
          <w:color w:val="auto"/>
          <w:sz w:val="24"/>
          <w:highlight w:val="none"/>
        </w:rPr>
      </w:pPr>
    </w:p>
    <w:p w14:paraId="7FECED2F">
      <w:pPr>
        <w:rPr>
          <w:rFonts w:asciiTheme="minorEastAsia" w:hAnsiTheme="minorEastAsia" w:eastAsiaTheme="minorEastAsia" w:cstheme="minorEastAsia"/>
          <w:b/>
          <w:bCs/>
          <w:color w:val="auto"/>
          <w:sz w:val="24"/>
          <w:highlight w:val="none"/>
        </w:rPr>
      </w:pPr>
    </w:p>
    <w:p w14:paraId="087A84A2">
      <w:pPr>
        <w:pStyle w:val="22"/>
        <w:rPr>
          <w:rFonts w:asciiTheme="minorEastAsia" w:hAnsiTheme="minorEastAsia" w:eastAsiaTheme="minorEastAsia" w:cstheme="minorEastAsia"/>
          <w:b/>
          <w:bCs/>
          <w:color w:val="auto"/>
          <w:sz w:val="24"/>
          <w:highlight w:val="none"/>
        </w:rPr>
      </w:pPr>
    </w:p>
    <w:p w14:paraId="330CCAB3">
      <w:pPr>
        <w:rPr>
          <w:rFonts w:asciiTheme="minorEastAsia" w:hAnsiTheme="minorEastAsia" w:eastAsiaTheme="minorEastAsia" w:cstheme="minorEastAsia"/>
          <w:b/>
          <w:bCs/>
          <w:color w:val="auto"/>
          <w:sz w:val="24"/>
          <w:highlight w:val="none"/>
        </w:rPr>
      </w:pPr>
    </w:p>
    <w:p w14:paraId="69C96ECA">
      <w:pPr>
        <w:pStyle w:val="22"/>
        <w:rPr>
          <w:rFonts w:asciiTheme="minorEastAsia" w:hAnsiTheme="minorEastAsia" w:eastAsiaTheme="minorEastAsia" w:cstheme="minorEastAsia"/>
          <w:b/>
          <w:bCs/>
          <w:color w:val="auto"/>
          <w:sz w:val="24"/>
          <w:highlight w:val="none"/>
        </w:rPr>
      </w:pPr>
    </w:p>
    <w:p w14:paraId="7763BD3F">
      <w:pPr>
        <w:rPr>
          <w:rFonts w:asciiTheme="minorEastAsia" w:hAnsiTheme="minorEastAsia" w:eastAsiaTheme="minorEastAsia" w:cstheme="minorEastAsia"/>
          <w:b/>
          <w:bCs/>
          <w:color w:val="auto"/>
          <w:sz w:val="24"/>
          <w:highlight w:val="none"/>
        </w:rPr>
      </w:pPr>
    </w:p>
    <w:p w14:paraId="5B025DDC">
      <w:pPr>
        <w:pStyle w:val="22"/>
        <w:rPr>
          <w:rFonts w:asciiTheme="minorEastAsia" w:hAnsiTheme="minorEastAsia" w:eastAsiaTheme="minorEastAsia" w:cstheme="minorEastAsia"/>
          <w:b/>
          <w:bCs/>
          <w:color w:val="auto"/>
          <w:sz w:val="24"/>
          <w:highlight w:val="none"/>
        </w:rPr>
      </w:pPr>
    </w:p>
    <w:p w14:paraId="61612B9A">
      <w:pPr>
        <w:rPr>
          <w:rFonts w:asciiTheme="minorEastAsia" w:hAnsiTheme="minorEastAsia" w:eastAsiaTheme="minorEastAsia" w:cstheme="minorEastAsia"/>
          <w:b/>
          <w:bCs/>
          <w:color w:val="auto"/>
          <w:sz w:val="24"/>
          <w:highlight w:val="none"/>
        </w:rPr>
      </w:pPr>
    </w:p>
    <w:p w14:paraId="7040FC92">
      <w:pPr>
        <w:pStyle w:val="22"/>
        <w:rPr>
          <w:rFonts w:asciiTheme="minorEastAsia" w:hAnsiTheme="minorEastAsia" w:eastAsiaTheme="minorEastAsia" w:cstheme="minorEastAsia"/>
          <w:b/>
          <w:bCs/>
          <w:color w:val="auto"/>
          <w:sz w:val="24"/>
          <w:highlight w:val="none"/>
        </w:rPr>
      </w:pPr>
    </w:p>
    <w:p w14:paraId="045F7B80">
      <w:pPr>
        <w:rPr>
          <w:rFonts w:asciiTheme="minorEastAsia" w:hAnsiTheme="minorEastAsia" w:eastAsiaTheme="minorEastAsia" w:cstheme="minorEastAsia"/>
          <w:b/>
          <w:bCs/>
          <w:color w:val="auto"/>
          <w:sz w:val="24"/>
          <w:highlight w:val="none"/>
        </w:rPr>
      </w:pPr>
    </w:p>
    <w:p w14:paraId="3E35FC15">
      <w:pPr>
        <w:pStyle w:val="22"/>
        <w:rPr>
          <w:rFonts w:asciiTheme="minorEastAsia" w:hAnsiTheme="minorEastAsia" w:eastAsiaTheme="minorEastAsia" w:cstheme="minorEastAsia"/>
          <w:b/>
          <w:bCs/>
          <w:color w:val="auto"/>
          <w:sz w:val="24"/>
          <w:highlight w:val="none"/>
        </w:rPr>
      </w:pPr>
    </w:p>
    <w:p w14:paraId="49C589D0">
      <w:pPr>
        <w:rPr>
          <w:rFonts w:asciiTheme="minorEastAsia" w:hAnsiTheme="minorEastAsia" w:eastAsiaTheme="minorEastAsia" w:cstheme="minorEastAsia"/>
          <w:b/>
          <w:bCs/>
          <w:color w:val="auto"/>
          <w:sz w:val="24"/>
          <w:highlight w:val="none"/>
        </w:rPr>
      </w:pPr>
    </w:p>
    <w:p w14:paraId="65CE24EC">
      <w:pPr>
        <w:pStyle w:val="22"/>
        <w:rPr>
          <w:rFonts w:asciiTheme="minorEastAsia" w:hAnsiTheme="minorEastAsia" w:eastAsiaTheme="minorEastAsia" w:cstheme="minorEastAsia"/>
          <w:b/>
          <w:bCs/>
          <w:color w:val="auto"/>
          <w:sz w:val="24"/>
          <w:highlight w:val="none"/>
        </w:rPr>
      </w:pPr>
    </w:p>
    <w:p w14:paraId="546B863B">
      <w:pPr>
        <w:rPr>
          <w:rFonts w:asciiTheme="minorEastAsia" w:hAnsiTheme="minorEastAsia" w:eastAsiaTheme="minorEastAsia" w:cstheme="minorEastAsia"/>
          <w:b/>
          <w:bCs/>
          <w:color w:val="auto"/>
          <w:sz w:val="24"/>
          <w:highlight w:val="none"/>
        </w:rPr>
      </w:pPr>
    </w:p>
    <w:p w14:paraId="6A2D1021">
      <w:pPr>
        <w:pStyle w:val="22"/>
        <w:rPr>
          <w:rFonts w:asciiTheme="minorEastAsia" w:hAnsiTheme="minorEastAsia" w:eastAsiaTheme="minorEastAsia" w:cstheme="minorEastAsia"/>
          <w:b/>
          <w:bCs/>
          <w:color w:val="auto"/>
          <w:sz w:val="24"/>
          <w:highlight w:val="none"/>
        </w:rPr>
      </w:pPr>
    </w:p>
    <w:p w14:paraId="3128C7C1">
      <w:pPr>
        <w:keepNext w:val="0"/>
        <w:keepLines w:val="0"/>
        <w:pageBreakBefore w:val="0"/>
        <w:numPr>
          <w:numId w:val="0"/>
        </w:numPr>
        <w:kinsoku/>
        <w:wordWrap/>
        <w:overflowPunct/>
        <w:topLinePunct w:val="0"/>
        <w:autoSpaceDE/>
        <w:autoSpaceDN/>
        <w:bidi w:val="0"/>
        <w:adjustRightInd/>
        <w:snapToGrid/>
        <w:spacing w:line="440" w:lineRule="exact"/>
        <w:ind w:right="0" w:rightChars="0"/>
        <w:jc w:val="center"/>
        <w:textAlignment w:val="auto"/>
        <w:rPr>
          <w:rFonts w:hint="eastAsia" w:ascii="宋体" w:hAnsi="宋体" w:eastAsia="宋体" w:cs="宋体"/>
          <w:b/>
          <w:bCs/>
          <w:sz w:val="30"/>
          <w:szCs w:val="44"/>
          <w:highlight w:val="none"/>
        </w:rPr>
      </w:pPr>
      <w:bookmarkStart w:id="0" w:name="_GoBack"/>
      <w:r>
        <w:rPr>
          <w:rFonts w:hint="eastAsia" w:ascii="宋体" w:hAnsi="宋体" w:eastAsia="宋体" w:cs="宋体"/>
          <w:b/>
          <w:bCs/>
          <w:sz w:val="30"/>
          <w:szCs w:val="44"/>
          <w:highlight w:val="none"/>
        </w:rPr>
        <w:t>采购需求</w:t>
      </w:r>
    </w:p>
    <w:bookmarkEnd w:id="0"/>
    <w:p w14:paraId="2641A6F0">
      <w:pPr>
        <w:keepNext w:val="0"/>
        <w:keepLines w:val="0"/>
        <w:pageBreakBefore w:val="0"/>
        <w:widowControl w:val="0"/>
        <w:numPr>
          <w:ilvl w:val="0"/>
          <w:numId w:val="1"/>
        </w:numPr>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40" w:lineRule="exact"/>
        <w:ind w:left="0" w:leftChars="0" w:right="0" w:firstLine="482" w:firstLineChars="200"/>
        <w:textAlignment w:val="auto"/>
        <w:outlineLvl w:val="1"/>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采购项目说明</w:t>
      </w:r>
    </w:p>
    <w:p w14:paraId="26DBEA73">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leftChars="0" w:right="0" w:rightChars="0" w:firstLine="480" w:firstLineChars="200"/>
        <w:contextualSpacing/>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采购人：</w:t>
      </w:r>
      <w:r>
        <w:rPr>
          <w:rFonts w:hint="eastAsia" w:ascii="宋体" w:hAnsi="宋体" w:eastAsia="宋体" w:cs="宋体"/>
          <w:sz w:val="24"/>
          <w:szCs w:val="24"/>
          <w:highlight w:val="none"/>
          <w:lang w:eastAsia="zh-CN"/>
        </w:rPr>
        <w:t>徐州市公安局交通管理支队</w:t>
      </w:r>
    </w:p>
    <w:p w14:paraId="359589AE">
      <w:pPr>
        <w:keepNext w:val="0"/>
        <w:keepLines w:val="0"/>
        <w:pageBreakBefore w:val="0"/>
        <w:widowControl w:val="0"/>
        <w:tabs>
          <w:tab w:val="left" w:pos="0"/>
        </w:tabs>
        <w:kinsoku/>
        <w:wordWrap/>
        <w:overflowPunct/>
        <w:topLinePunct w:val="0"/>
        <w:autoSpaceDE/>
        <w:autoSpaceDN/>
        <w:bidi w:val="0"/>
        <w:adjustRightInd/>
        <w:snapToGrid/>
        <w:spacing w:line="440" w:lineRule="exact"/>
        <w:ind w:left="0" w:leftChars="0" w:right="0" w:firstLine="480" w:firstLineChars="200"/>
        <w:contextualSpacing/>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（二）采购项目名称：</w:t>
      </w:r>
      <w:r>
        <w:rPr>
          <w:rFonts w:hint="eastAsia" w:ascii="宋体" w:hAnsi="宋体" w:cs="宋体"/>
          <w:sz w:val="24"/>
          <w:szCs w:val="24"/>
          <w:highlight w:val="none"/>
          <w:lang w:eastAsia="zh-CN"/>
        </w:rPr>
        <w:t>交通管理支队执法停车场服务</w:t>
      </w:r>
    </w:p>
    <w:p w14:paraId="77653BA2">
      <w:pPr>
        <w:keepNext w:val="0"/>
        <w:keepLines w:val="0"/>
        <w:pageBreakBefore w:val="0"/>
        <w:widowControl w:val="0"/>
        <w:kinsoku/>
        <w:wordWrap/>
        <w:overflowPunct/>
        <w:topLinePunct w:val="0"/>
        <w:autoSpaceDE/>
        <w:autoSpaceDN/>
        <w:bidi w:val="0"/>
        <w:adjustRightInd/>
        <w:snapToGrid/>
        <w:spacing w:line="440" w:lineRule="exact"/>
        <w:ind w:left="0" w:leftChars="0" w:right="0"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（三）采购标的：</w:t>
      </w:r>
      <w:r>
        <w:rPr>
          <w:rFonts w:hint="eastAsia" w:ascii="宋体" w:hAnsi="宋体" w:cs="宋体"/>
          <w:color w:val="000000"/>
          <w:sz w:val="24"/>
          <w:szCs w:val="24"/>
          <w:highlight w:val="none"/>
          <w:lang w:eastAsia="zh-CN"/>
        </w:rPr>
        <w:t>交通管理支队执法停车场服务</w:t>
      </w:r>
    </w:p>
    <w:p w14:paraId="1580E13A">
      <w:pPr>
        <w:pStyle w:val="47"/>
        <w:keepNext w:val="0"/>
        <w:keepLines w:val="0"/>
        <w:pageBreakBefore w:val="0"/>
        <w:widowControl w:val="0"/>
        <w:kinsoku/>
        <w:wordWrap/>
        <w:overflowPunct/>
        <w:topLinePunct w:val="0"/>
        <w:autoSpaceDE/>
        <w:autoSpaceDN/>
        <w:bidi w:val="0"/>
        <w:adjustRightInd/>
        <w:snapToGrid/>
        <w:spacing w:before="0" w:after="0" w:line="440" w:lineRule="exact"/>
        <w:ind w:left="0" w:leftChars="0" w:firstLine="480" w:firstLineChars="200"/>
        <w:jc w:val="both"/>
        <w:textAlignment w:val="auto"/>
        <w:rPr>
          <w:rFonts w:hint="eastAsia" w:ascii="宋体" w:hAnsi="宋体" w:eastAsia="宋体" w:cs="宋体"/>
          <w:sz w:val="24"/>
          <w:szCs w:val="24"/>
        </w:rPr>
      </w:pPr>
      <w:r>
        <w:rPr>
          <w:rFonts w:hint="eastAsia" w:ascii="宋体" w:hAnsi="宋体" w:eastAsia="宋体" w:cs="宋体"/>
          <w:color w:val="000000"/>
          <w:sz w:val="24"/>
          <w:szCs w:val="24"/>
          <w:highlight w:val="none"/>
        </w:rPr>
        <w:t>（四）</w:t>
      </w:r>
      <w:r>
        <w:rPr>
          <w:rFonts w:hint="eastAsia" w:ascii="宋体" w:hAnsi="宋体" w:eastAsia="宋体" w:cs="宋体"/>
          <w:sz w:val="24"/>
          <w:szCs w:val="24"/>
        </w:rPr>
        <w:t>预算金额：本项目不接受超过</w:t>
      </w:r>
      <w:r>
        <w:rPr>
          <w:rFonts w:hint="eastAsia" w:ascii="宋体" w:hAnsi="宋体" w:eastAsia="宋体" w:cs="宋体"/>
          <w:sz w:val="24"/>
          <w:szCs w:val="24"/>
          <w:lang w:val="en-US" w:eastAsia="zh-CN"/>
        </w:rPr>
        <w:t>130万元人民币</w:t>
      </w:r>
      <w:r>
        <w:rPr>
          <w:rFonts w:hint="eastAsia" w:ascii="宋体" w:hAnsi="宋体" w:eastAsia="宋体" w:cs="宋体"/>
          <w:sz w:val="24"/>
          <w:szCs w:val="24"/>
        </w:rPr>
        <w:t>（采购项目预算金额）的投标报价。（</w:t>
      </w:r>
      <w:r>
        <w:rPr>
          <w:rFonts w:hint="eastAsia" w:ascii="宋体" w:hAnsi="宋体" w:eastAsia="宋体" w:cs="宋体"/>
          <w:sz w:val="24"/>
          <w:szCs w:val="24"/>
          <w:lang w:val="en-US" w:eastAsia="zh-CN"/>
        </w:rPr>
        <w:t>报价内容包括: 本项目服务期完成本项目所需人工、材料、车辆、保险、利润、税金、通讯、配合、服务、办公设备、档案管</w:t>
      </w:r>
      <w:r>
        <w:rPr>
          <w:rFonts w:hint="eastAsia" w:ascii="宋体" w:hAnsi="宋体" w:eastAsia="宋体" w:cs="宋体"/>
          <w:sz w:val="24"/>
          <w:szCs w:val="24"/>
          <w:highlight w:val="none"/>
          <w:lang w:val="en-US" w:eastAsia="zh-CN"/>
        </w:rPr>
        <w:t>理、</w:t>
      </w:r>
      <w:r>
        <w:rPr>
          <w:rFonts w:ascii="宋体" w:hAnsi="宋体" w:eastAsia="宋体" w:cs="宋体"/>
          <w:sz w:val="24"/>
          <w:szCs w:val="24"/>
          <w:highlight w:val="none"/>
        </w:rPr>
        <w:t>场地运维、全部设施设备购置维保、整改处置</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政</w:t>
      </w:r>
      <w:r>
        <w:rPr>
          <w:rFonts w:hint="eastAsia" w:ascii="宋体" w:hAnsi="宋体" w:eastAsia="宋体" w:cs="宋体"/>
          <w:sz w:val="24"/>
          <w:szCs w:val="24"/>
          <w:lang w:val="en-US" w:eastAsia="zh-CN"/>
        </w:rPr>
        <w:t>策性文件规定及合同包含的所有风险、责任等各项应有费用以及直至服务期满过程中涉及到的其他一切费用</w:t>
      </w:r>
      <w:r>
        <w:rPr>
          <w:rFonts w:hint="eastAsia" w:ascii="宋体" w:hAnsi="宋体" w:eastAsia="宋体" w:cs="宋体"/>
          <w:sz w:val="24"/>
          <w:szCs w:val="24"/>
        </w:rPr>
        <w:t>，采购人不再支付报价以外的任何费用。）</w:t>
      </w:r>
    </w:p>
    <w:p w14:paraId="3CA9B749">
      <w:pPr>
        <w:pStyle w:val="7"/>
        <w:keepNext w:val="0"/>
        <w:keepLines w:val="0"/>
        <w:pageBreakBefore w:val="0"/>
        <w:widowControl w:val="0"/>
        <w:kinsoku/>
        <w:wordWrap/>
        <w:overflowPunct/>
        <w:topLinePunct w:val="0"/>
        <w:autoSpaceDE/>
        <w:autoSpaceDN/>
        <w:bidi w:val="0"/>
        <w:adjustRightInd/>
        <w:snapToGrid/>
        <w:spacing w:after="0" w:line="440" w:lineRule="exact"/>
        <w:ind w:leftChars="0" w:right="0" w:firstLine="480" w:firstLineChars="200"/>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（五）服务期限：</w:t>
      </w:r>
      <w:r>
        <w:rPr>
          <w:rFonts w:hint="eastAsia" w:ascii="宋体" w:hAnsi="宋体" w:eastAsia="宋体" w:cs="宋体"/>
          <w:bCs/>
          <w:sz w:val="24"/>
          <w:szCs w:val="24"/>
          <w:highlight w:val="none"/>
          <w:lang w:eastAsia="zh-CN"/>
        </w:rPr>
        <w:t>本项目服务期限为</w:t>
      </w:r>
      <w:r>
        <w:rPr>
          <w:rFonts w:hint="eastAsia" w:asciiTheme="minorEastAsia" w:hAnsiTheme="minorEastAsia" w:eastAsiaTheme="minorEastAsia" w:cstheme="minorEastAsia"/>
          <w:bCs/>
          <w:color w:val="auto"/>
          <w:sz w:val="24"/>
          <w:highlight w:val="none"/>
        </w:rPr>
        <w:t>合同签订后以采购人实际通知之日起</w:t>
      </w:r>
      <w:r>
        <w:rPr>
          <w:rFonts w:hint="eastAsia" w:ascii="宋体" w:hAnsi="宋体" w:eastAsia="宋体" w:cs="宋体"/>
          <w:sz w:val="24"/>
          <w:szCs w:val="24"/>
          <w:highlight w:val="none"/>
          <w:lang w:val="en-US" w:eastAsia="zh-CN"/>
        </w:rPr>
        <w:t>8个月</w:t>
      </w:r>
      <w:r>
        <w:rPr>
          <w:rFonts w:hint="eastAsia" w:ascii="宋体" w:hAnsi="宋体" w:eastAsia="宋体" w:cs="宋体"/>
          <w:bCs/>
          <w:sz w:val="24"/>
          <w:szCs w:val="24"/>
          <w:highlight w:val="none"/>
          <w:lang w:eastAsia="zh-CN"/>
        </w:rPr>
        <w:t>。</w:t>
      </w:r>
    </w:p>
    <w:p w14:paraId="004D2D4E">
      <w:pPr>
        <w:pStyle w:val="47"/>
        <w:keepNext w:val="0"/>
        <w:keepLines w:val="0"/>
        <w:pageBreakBefore w:val="0"/>
        <w:widowControl w:val="0"/>
        <w:kinsoku/>
        <w:wordWrap/>
        <w:overflowPunct/>
        <w:topLinePunct w:val="0"/>
        <w:autoSpaceDE/>
        <w:autoSpaceDN/>
        <w:bidi w:val="0"/>
        <w:adjustRightInd/>
        <w:snapToGrid/>
        <w:spacing w:before="0" w:after="0" w:line="440" w:lineRule="exact"/>
        <w:ind w:left="0" w:leftChars="0"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（六）</w:t>
      </w:r>
      <w:r>
        <w:rPr>
          <w:rFonts w:hint="eastAsia" w:ascii="宋体" w:hAnsi="宋体" w:eastAsia="宋体" w:cs="宋体"/>
          <w:sz w:val="24"/>
          <w:szCs w:val="24"/>
          <w:highlight w:val="none"/>
          <w:lang w:val="en-US" w:eastAsia="en-US"/>
        </w:rPr>
        <w:t>本项目划分</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lang w:val="en-US" w:eastAsia="en-US"/>
        </w:rPr>
        <w:t>个采购包，</w:t>
      </w:r>
      <w:r>
        <w:rPr>
          <w:rFonts w:hint="eastAsia" w:cs="宋体"/>
          <w:sz w:val="24"/>
          <w:szCs w:val="24"/>
          <w:highlight w:val="none"/>
          <w:lang w:val="en-US" w:eastAsia="zh-CN"/>
        </w:rPr>
        <w:t>可兼投不可兼中，</w:t>
      </w:r>
      <w:r>
        <w:rPr>
          <w:rFonts w:hint="eastAsia" w:ascii="宋体" w:hAnsi="宋体" w:eastAsia="宋体" w:cs="宋体"/>
          <w:sz w:val="24"/>
          <w:szCs w:val="24"/>
          <w:highlight w:val="none"/>
          <w:lang w:val="en-US" w:eastAsia="en-US"/>
        </w:rPr>
        <w:t>每个投标人可以同时参与</w:t>
      </w:r>
      <w:r>
        <w:rPr>
          <w:rFonts w:hint="eastAsia" w:ascii="宋体" w:hAnsi="宋体" w:eastAsia="宋体" w:cs="宋体"/>
          <w:sz w:val="24"/>
          <w:szCs w:val="24"/>
          <w:highlight w:val="none"/>
          <w:lang w:val="en-US" w:eastAsia="zh-CN"/>
        </w:rPr>
        <w:t>所有</w:t>
      </w:r>
      <w:r>
        <w:rPr>
          <w:rFonts w:hint="eastAsia" w:ascii="宋体" w:hAnsi="宋体" w:eastAsia="宋体" w:cs="宋体"/>
          <w:sz w:val="24"/>
          <w:szCs w:val="24"/>
          <w:highlight w:val="none"/>
          <w:lang w:val="en-US" w:eastAsia="en-US"/>
        </w:rPr>
        <w:t>采购包的投标，</w:t>
      </w:r>
      <w:r>
        <w:rPr>
          <w:rFonts w:hint="eastAsia" w:ascii="宋体" w:hAnsi="宋体" w:eastAsia="宋体" w:cs="宋体"/>
          <w:sz w:val="24"/>
          <w:szCs w:val="24"/>
          <w:highlight w:val="none"/>
          <w:lang w:val="en-US" w:eastAsia="zh-CN"/>
        </w:rPr>
        <w:t>同一</w:t>
      </w:r>
      <w:r>
        <w:rPr>
          <w:rFonts w:hint="eastAsia" w:ascii="宋体" w:hAnsi="宋体" w:eastAsia="宋体" w:cs="宋体"/>
          <w:sz w:val="24"/>
          <w:szCs w:val="24"/>
          <w:highlight w:val="none"/>
          <w:lang w:val="en-US" w:eastAsia="en-US"/>
        </w:rPr>
        <w:t>投标人</w:t>
      </w:r>
      <w:r>
        <w:rPr>
          <w:rFonts w:hint="eastAsia" w:ascii="宋体" w:hAnsi="宋体" w:eastAsia="宋体" w:cs="宋体"/>
          <w:sz w:val="24"/>
          <w:szCs w:val="24"/>
          <w:highlight w:val="none"/>
          <w:lang w:val="en-US" w:eastAsia="zh-CN"/>
        </w:rPr>
        <w:t>最多只能中标</w:t>
      </w:r>
      <w:r>
        <w:rPr>
          <w:rFonts w:hint="eastAsia" w:cs="宋体"/>
          <w:sz w:val="24"/>
          <w:szCs w:val="24"/>
          <w:highlight w:val="none"/>
          <w:lang w:val="en-US" w:eastAsia="zh-CN"/>
        </w:rPr>
        <w:t>1</w:t>
      </w:r>
      <w:r>
        <w:rPr>
          <w:rFonts w:hint="eastAsia" w:ascii="宋体" w:hAnsi="宋体" w:eastAsia="宋体" w:cs="宋体"/>
          <w:sz w:val="24"/>
          <w:szCs w:val="24"/>
          <w:highlight w:val="none"/>
          <w:lang w:val="en-US" w:eastAsia="zh-CN"/>
        </w:rPr>
        <w:t>个采购包。评审及中标候选人推荐顺序按采购包</w:t>
      </w:r>
      <w:r>
        <w:rPr>
          <w:rFonts w:hint="eastAsia" w:cs="宋体"/>
          <w:sz w:val="24"/>
          <w:szCs w:val="24"/>
          <w:highlight w:val="none"/>
          <w:lang w:val="en-US" w:eastAsia="zh-CN"/>
        </w:rPr>
        <w:t>1</w:t>
      </w:r>
      <w:r>
        <w:rPr>
          <w:rFonts w:hint="eastAsia" w:ascii="宋体" w:hAnsi="宋体" w:eastAsia="宋体" w:cs="宋体"/>
          <w:sz w:val="24"/>
          <w:szCs w:val="24"/>
          <w:highlight w:val="none"/>
          <w:lang w:val="en-US" w:eastAsia="zh-CN"/>
        </w:rPr>
        <w:t>至采购包18依次进行；若某</w:t>
      </w:r>
      <w:r>
        <w:rPr>
          <w:rFonts w:hint="eastAsia" w:cs="宋体"/>
          <w:sz w:val="24"/>
          <w:szCs w:val="24"/>
          <w:highlight w:val="none"/>
          <w:lang w:val="en-US" w:eastAsia="zh-CN"/>
        </w:rPr>
        <w:t>投标人</w:t>
      </w:r>
      <w:r>
        <w:rPr>
          <w:rFonts w:hint="eastAsia" w:ascii="宋体" w:hAnsi="宋体" w:eastAsia="宋体" w:cs="宋体"/>
          <w:sz w:val="24"/>
          <w:szCs w:val="24"/>
          <w:highlight w:val="none"/>
          <w:lang w:val="en-US" w:eastAsia="zh-CN"/>
        </w:rPr>
        <w:t>已</w:t>
      </w:r>
      <w:r>
        <w:rPr>
          <w:rFonts w:hint="eastAsia" w:cs="宋体"/>
          <w:sz w:val="24"/>
          <w:szCs w:val="24"/>
          <w:highlight w:val="none"/>
          <w:lang w:val="en-US" w:eastAsia="zh-CN"/>
        </w:rPr>
        <w:t>被推荐为靠前采购包的第一中标候选人，则不再参与后续其他采购包的中标候选人排序。</w:t>
      </w:r>
      <w:r>
        <w:rPr>
          <w:rFonts w:hint="eastAsia" w:cs="宋体"/>
          <w:sz w:val="24"/>
          <w:szCs w:val="24"/>
          <w:highlight w:val="none"/>
          <w:lang w:val="en-US" w:eastAsia="en-US"/>
        </w:rPr>
        <w:t>且各采购包中标候选人数量不得少于3家，否则该采购包按废标处理。</w:t>
      </w:r>
    </w:p>
    <w:p w14:paraId="7B06C003">
      <w:pPr>
        <w:keepNext w:val="0"/>
        <w:keepLines w:val="0"/>
        <w:pageBreakBefore w:val="0"/>
        <w:widowControl w:val="0"/>
        <w:tabs>
          <w:tab w:val="left" w:pos="0"/>
        </w:tabs>
        <w:kinsoku/>
        <w:wordWrap/>
        <w:overflowPunct/>
        <w:topLinePunct w:val="0"/>
        <w:autoSpaceDE/>
        <w:autoSpaceDN/>
        <w:bidi w:val="0"/>
        <w:adjustRightInd/>
        <w:snapToGrid/>
        <w:spacing w:line="440" w:lineRule="exact"/>
        <w:ind w:left="0" w:leftChars="0" w:right="0" w:firstLine="482" w:firstLineChars="200"/>
        <w:contextualSpacing/>
        <w:textAlignment w:val="auto"/>
        <w:rPr>
          <w:rFonts w:hint="eastAsia" w:ascii="宋体" w:hAnsi="宋体" w:eastAsia="宋体" w:cs="宋体"/>
          <w:sz w:val="24"/>
          <w:szCs w:val="24"/>
          <w:highlight w:val="none"/>
        </w:rPr>
      </w:pPr>
      <w:r>
        <w:rPr>
          <w:rFonts w:hint="eastAsia" w:ascii="宋体" w:hAnsi="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项目内容：</w:t>
      </w:r>
      <w:r>
        <w:rPr>
          <w:rFonts w:hint="eastAsia" w:ascii="宋体" w:hAnsi="宋体" w:eastAsia="宋体" w:cs="宋体"/>
          <w:sz w:val="24"/>
          <w:szCs w:val="24"/>
          <w:highlight w:val="none"/>
          <w:lang w:val="en-US" w:eastAsia="zh-CN"/>
        </w:rPr>
        <w:t>供应商提供满足</w:t>
      </w:r>
      <w:r>
        <w:rPr>
          <w:rFonts w:hint="eastAsia" w:ascii="宋体" w:hAnsi="宋体" w:eastAsia="宋体" w:cs="宋体"/>
          <w:sz w:val="24"/>
          <w:szCs w:val="24"/>
          <w:highlight w:val="none"/>
        </w:rPr>
        <w:t>本需求</w:t>
      </w:r>
      <w:r>
        <w:rPr>
          <w:rFonts w:hint="eastAsia" w:ascii="宋体" w:hAnsi="宋体" w:eastAsia="宋体" w:cs="宋体"/>
          <w:sz w:val="24"/>
          <w:szCs w:val="24"/>
          <w:highlight w:val="none"/>
          <w:lang w:val="en-US" w:eastAsia="zh-CN"/>
        </w:rPr>
        <w:t>要求的停车场供交管部门涉案车辆停放</w:t>
      </w:r>
      <w:r>
        <w:rPr>
          <w:rFonts w:hint="eastAsia" w:ascii="宋体" w:hAnsi="宋体" w:eastAsia="宋体" w:cs="宋体"/>
          <w:sz w:val="24"/>
          <w:szCs w:val="24"/>
          <w:highlight w:val="none"/>
        </w:rPr>
        <w:t>保管，并按本需求约定提供相应管理服务。</w:t>
      </w:r>
    </w:p>
    <w:p w14:paraId="2E1B67B4">
      <w:pPr>
        <w:keepNext w:val="0"/>
        <w:keepLines w:val="0"/>
        <w:pageBreakBefore w:val="0"/>
        <w:widowControl w:val="0"/>
        <w:tabs>
          <w:tab w:val="left" w:pos="0"/>
        </w:tabs>
        <w:kinsoku/>
        <w:wordWrap/>
        <w:overflowPunct/>
        <w:topLinePunct w:val="0"/>
        <w:autoSpaceDE/>
        <w:autoSpaceDN/>
        <w:bidi w:val="0"/>
        <w:adjustRightInd/>
        <w:snapToGrid/>
        <w:spacing w:line="440" w:lineRule="exact"/>
        <w:ind w:left="0" w:leftChars="0" w:right="0" w:firstLine="482" w:firstLineChars="200"/>
        <w:contextualSpacing/>
        <w:textAlignment w:val="auto"/>
        <w:rPr>
          <w:rFonts w:hint="default" w:ascii="宋体" w:hAnsi="宋体" w:eastAsia="宋体" w:cs="宋体"/>
          <w:sz w:val="24"/>
          <w:szCs w:val="24"/>
          <w:highlight w:val="none"/>
          <w:lang w:val="en-US" w:eastAsia="zh-CN"/>
        </w:rPr>
      </w:pPr>
      <w:r>
        <w:rPr>
          <w:rFonts w:hint="eastAsia" w:ascii="宋体" w:hAnsi="宋体" w:eastAsia="宋体" w:cs="宋体"/>
          <w:b/>
          <w:bCs/>
          <w:sz w:val="24"/>
          <w:szCs w:val="24"/>
          <w:highlight w:val="none"/>
        </w:rPr>
        <w:t>★</w:t>
      </w:r>
      <w:r>
        <w:rPr>
          <w:rFonts w:hint="default" w:ascii="宋体" w:hAnsi="宋体" w:eastAsia="宋体" w:cs="宋体"/>
          <w:sz w:val="24"/>
          <w:szCs w:val="24"/>
          <w:highlight w:val="none"/>
          <w:lang w:val="en-US" w:eastAsia="zh-CN"/>
        </w:rPr>
        <w:t>本项目共设置</w:t>
      </w:r>
      <w:r>
        <w:rPr>
          <w:rFonts w:hint="eastAsia" w:ascii="宋体" w:hAnsi="宋体" w:cs="宋体"/>
          <w:sz w:val="24"/>
          <w:szCs w:val="24"/>
          <w:highlight w:val="none"/>
          <w:lang w:val="en-US" w:eastAsia="zh-CN"/>
        </w:rPr>
        <w:t>18</w:t>
      </w:r>
      <w:r>
        <w:rPr>
          <w:rFonts w:hint="default" w:ascii="宋体" w:hAnsi="宋体" w:eastAsia="宋体" w:cs="宋体"/>
          <w:sz w:val="24"/>
          <w:szCs w:val="24"/>
          <w:highlight w:val="none"/>
          <w:lang w:val="en-US" w:eastAsia="zh-CN"/>
        </w:rPr>
        <w:t>个采购包。投标人所提供的实际场地仅为一处停车场的，仅可参与一个辖区采购包的投标，不得使用同一块停车场场地同时投报多个采购包。</w:t>
      </w:r>
    </w:p>
    <w:p w14:paraId="56164A39">
      <w:pPr>
        <w:keepNext w:val="0"/>
        <w:keepLines w:val="0"/>
        <w:pageBreakBefore w:val="0"/>
        <w:widowControl w:val="0"/>
        <w:tabs>
          <w:tab w:val="left" w:pos="0"/>
        </w:tabs>
        <w:kinsoku/>
        <w:wordWrap/>
        <w:overflowPunct/>
        <w:topLinePunct w:val="0"/>
        <w:autoSpaceDE/>
        <w:autoSpaceDN/>
        <w:bidi w:val="0"/>
        <w:adjustRightInd/>
        <w:snapToGrid/>
        <w:spacing w:line="440" w:lineRule="exact"/>
        <w:ind w:left="0" w:leftChars="0" w:right="0" w:firstLine="482" w:firstLineChars="200"/>
        <w:contextualSpacing/>
        <w:textAlignment w:val="auto"/>
        <w:rPr>
          <w:rFonts w:hint="default" w:ascii="宋体" w:hAnsi="宋体" w:eastAsia="宋体" w:cs="宋体"/>
          <w:sz w:val="24"/>
          <w:szCs w:val="24"/>
          <w:highlight w:val="none"/>
          <w:lang w:val="en-US" w:eastAsia="zh-CN"/>
        </w:rPr>
      </w:pPr>
      <w:r>
        <w:rPr>
          <w:rFonts w:hint="eastAsia" w:ascii="宋体" w:hAnsi="宋体" w:eastAsia="宋体" w:cs="宋体"/>
          <w:b/>
          <w:bCs/>
          <w:sz w:val="24"/>
          <w:szCs w:val="24"/>
          <w:highlight w:val="none"/>
        </w:rPr>
        <w:t>★</w:t>
      </w:r>
      <w:r>
        <w:rPr>
          <w:rFonts w:hint="default" w:ascii="宋体" w:hAnsi="宋体" w:eastAsia="宋体" w:cs="宋体"/>
          <w:sz w:val="24"/>
          <w:szCs w:val="24"/>
          <w:highlight w:val="none"/>
          <w:lang w:val="en-US" w:eastAsia="zh-CN"/>
        </w:rPr>
        <w:t>投标人投标文件提供的场地信息、现场踏勘场地地理定位必须保持一致，实际踏勘场地与投标文件载明场地存在差异的不予认可。投标申报场地必须为投标时已建成、可立即投入使用的现成场地，不接受规划中、在建、待改造场地。中标后严禁擅自变更停车场实际经营地点，实际地点必须与投标文件申报地点完全一致，未经采购人书面同意不得更换场地。</w:t>
      </w:r>
    </w:p>
    <w:p w14:paraId="461252CF">
      <w:pPr>
        <w:pStyle w:val="20"/>
        <w:keepNext w:val="0"/>
        <w:keepLines w:val="0"/>
        <w:pageBreakBefore w:val="0"/>
        <w:kinsoku/>
        <w:wordWrap/>
        <w:overflowPunct/>
        <w:topLinePunct w:val="0"/>
        <w:autoSpaceDE/>
        <w:autoSpaceDN/>
        <w:bidi w:val="0"/>
        <w:adjustRightInd/>
        <w:snapToGrid/>
        <w:spacing w:line="440" w:lineRule="exact"/>
        <w:ind w:left="0" w:right="0" w:firstLine="482" w:firstLineChars="200"/>
        <w:textAlignment w:val="auto"/>
        <w:rPr>
          <w:rFonts w:hint="eastAsia"/>
          <w:highlight w:val="none"/>
          <w:lang w:val="en-US" w:eastAsia="zh-CN"/>
        </w:rPr>
      </w:pPr>
      <w:r>
        <w:rPr>
          <w:rFonts w:hint="eastAsia" w:ascii="宋体" w:hAnsi="宋体" w:eastAsia="宋体" w:cs="宋体"/>
          <w:b/>
          <w:bCs/>
          <w:sz w:val="24"/>
          <w:szCs w:val="24"/>
          <w:highlight w:val="none"/>
          <w:lang w:val="en-US" w:eastAsia="zh-CN"/>
        </w:rPr>
        <w:t>注：本标注“</w:t>
      </w:r>
      <w:r>
        <w:rPr>
          <w:rFonts w:hint="eastAsia" w:ascii="宋体" w:hAnsi="宋体" w:eastAsia="宋体" w:cs="宋体"/>
          <w:b/>
          <w:bCs/>
          <w:sz w:val="24"/>
          <w:szCs w:val="24"/>
          <w:highlight w:val="none"/>
        </w:rPr>
        <w:t>★”号条款为不允许偏离的实质性要求和条件，必须逐条进行响应，若有一项未响应或偏离，在符合性审查时按照投标无效处理</w:t>
      </w:r>
      <w:r>
        <w:rPr>
          <w:rFonts w:hint="eastAsia" w:ascii="宋体" w:hAnsi="宋体" w:eastAsia="宋体" w:cs="宋体"/>
          <w:b/>
          <w:bCs/>
          <w:sz w:val="24"/>
          <w:szCs w:val="24"/>
          <w:highlight w:val="none"/>
          <w:lang w:eastAsia="zh-CN"/>
        </w:rPr>
        <w:t>。</w:t>
      </w:r>
    </w:p>
    <w:p w14:paraId="5E90771A">
      <w:pPr>
        <w:keepNext w:val="0"/>
        <w:keepLines w:val="0"/>
        <w:pageBreakBefore w:val="0"/>
        <w:widowControl w:val="0"/>
        <w:kinsoku/>
        <w:wordWrap/>
        <w:overflowPunct/>
        <w:topLinePunct w:val="0"/>
        <w:autoSpaceDE/>
        <w:autoSpaceDN/>
        <w:bidi w:val="0"/>
        <w:adjustRightInd/>
        <w:snapToGrid/>
        <w:spacing w:line="440" w:lineRule="exact"/>
        <w:ind w:leftChars="0" w:firstLine="482" w:firstLineChars="200"/>
        <w:textAlignment w:val="auto"/>
        <w:rPr>
          <w:rStyle w:val="48"/>
          <w:rFonts w:hint="eastAsia" w:ascii="宋体" w:hAnsi="宋体" w:eastAsia="宋体" w:cs="宋体"/>
          <w:sz w:val="24"/>
          <w:szCs w:val="24"/>
          <w:highlight w:val="none"/>
        </w:rPr>
      </w:pPr>
      <w:r>
        <w:rPr>
          <w:rStyle w:val="48"/>
          <w:rFonts w:hint="eastAsia" w:ascii="宋体" w:hAnsi="宋体" w:eastAsia="宋体" w:cs="宋体"/>
          <w:b/>
          <w:sz w:val="24"/>
          <w:szCs w:val="24"/>
          <w:lang w:val="en-US" w:eastAsia="zh-CN"/>
        </w:rPr>
        <w:t>三</w:t>
      </w:r>
      <w:r>
        <w:rPr>
          <w:rStyle w:val="48"/>
          <w:rFonts w:hint="eastAsia" w:ascii="宋体" w:hAnsi="宋体" w:eastAsia="宋体" w:cs="宋体"/>
          <w:b/>
          <w:sz w:val="24"/>
          <w:szCs w:val="24"/>
        </w:rPr>
        <w:t>、</w:t>
      </w:r>
      <w:r>
        <w:rPr>
          <w:rFonts w:hint="eastAsia" w:ascii="宋体" w:hAnsi="宋体" w:eastAsia="宋体" w:cs="宋体"/>
          <w:b/>
          <w:bCs/>
          <w:sz w:val="24"/>
          <w:szCs w:val="24"/>
        </w:rPr>
        <w:t>标段划分：本项目分为18个采</w:t>
      </w:r>
      <w:r>
        <w:rPr>
          <w:rFonts w:hint="eastAsia" w:ascii="宋体" w:hAnsi="宋体" w:eastAsia="宋体" w:cs="宋体"/>
          <w:b/>
          <w:bCs/>
          <w:sz w:val="24"/>
          <w:szCs w:val="24"/>
          <w:highlight w:val="none"/>
        </w:rPr>
        <w:t>购包，各采购包管辖区域及最高限价如下：</w:t>
      </w:r>
    </w:p>
    <w:tbl>
      <w:tblPr>
        <w:tblStyle w:val="25"/>
        <w:tblW w:w="96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46"/>
        <w:gridCol w:w="5447"/>
        <w:gridCol w:w="1134"/>
        <w:gridCol w:w="1377"/>
      </w:tblGrid>
      <w:tr w14:paraId="02D50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8" w:hRule="atLeast"/>
          <w:jc w:val="center"/>
        </w:trPr>
        <w:tc>
          <w:tcPr>
            <w:tcW w:w="1646" w:type="dxa"/>
            <w:vAlign w:val="center"/>
          </w:tcPr>
          <w:p w14:paraId="558D1B2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单位名称</w:t>
            </w:r>
          </w:p>
        </w:tc>
        <w:tc>
          <w:tcPr>
            <w:tcW w:w="5447" w:type="dxa"/>
            <w:vAlign w:val="center"/>
          </w:tcPr>
          <w:p w14:paraId="268BA2A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管辖区域/（标段划分）</w:t>
            </w:r>
          </w:p>
        </w:tc>
        <w:tc>
          <w:tcPr>
            <w:tcW w:w="1134" w:type="dxa"/>
            <w:vAlign w:val="center"/>
          </w:tcPr>
          <w:p w14:paraId="46E7703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需求数量</w:t>
            </w:r>
          </w:p>
          <w:p w14:paraId="055DB20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（个）</w:t>
            </w:r>
          </w:p>
        </w:tc>
        <w:tc>
          <w:tcPr>
            <w:tcW w:w="1377" w:type="dxa"/>
            <w:vAlign w:val="center"/>
          </w:tcPr>
          <w:p w14:paraId="7D9CD4C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最高限价</w:t>
            </w:r>
          </w:p>
          <w:p w14:paraId="1537701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(万元</w:t>
            </w:r>
            <w:r>
              <w:rPr>
                <w:rFonts w:hint="eastAsia" w:ascii="宋体" w:hAnsi="宋体" w:eastAsia="宋体" w:cs="宋体"/>
                <w:b/>
                <w:bCs/>
                <w:sz w:val="24"/>
                <w:szCs w:val="24"/>
                <w:highlight w:val="none"/>
              </w:rPr>
              <w:t>/个</w:t>
            </w:r>
            <w:r>
              <w:rPr>
                <w:rFonts w:hint="eastAsia" w:ascii="宋体" w:hAnsi="宋体" w:eastAsia="宋体" w:cs="宋体"/>
                <w:b/>
                <w:sz w:val="24"/>
                <w:szCs w:val="24"/>
                <w:highlight w:val="none"/>
              </w:rPr>
              <w:t>)</w:t>
            </w:r>
          </w:p>
        </w:tc>
      </w:tr>
      <w:tr w14:paraId="6E360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jc w:val="center"/>
        </w:trPr>
        <w:tc>
          <w:tcPr>
            <w:tcW w:w="1646" w:type="dxa"/>
            <w:vMerge w:val="restart"/>
            <w:vAlign w:val="center"/>
          </w:tcPr>
          <w:p w14:paraId="5C726DD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云龙大队</w:t>
            </w:r>
          </w:p>
        </w:tc>
        <w:tc>
          <w:tcPr>
            <w:tcW w:w="5447" w:type="dxa"/>
            <w:vAlign w:val="center"/>
          </w:tcPr>
          <w:p w14:paraId="0E4D76E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云龙区金山东路以北（</w:t>
            </w:r>
            <w:r>
              <w:rPr>
                <w:rStyle w:val="48"/>
                <w:rFonts w:hint="eastAsia" w:ascii="宋体" w:hAnsi="宋体" w:eastAsia="宋体" w:cs="宋体"/>
                <w:sz w:val="24"/>
                <w:szCs w:val="24"/>
                <w:highlight w:val="none"/>
              </w:rPr>
              <w:t>采购包1</w:t>
            </w:r>
            <w:r>
              <w:rPr>
                <w:rFonts w:hint="eastAsia" w:ascii="宋体" w:hAnsi="宋体" w:eastAsia="宋体" w:cs="宋体"/>
                <w:sz w:val="24"/>
                <w:szCs w:val="24"/>
                <w:highlight w:val="none"/>
              </w:rPr>
              <w:t>）</w:t>
            </w:r>
          </w:p>
        </w:tc>
        <w:tc>
          <w:tcPr>
            <w:tcW w:w="1134" w:type="dxa"/>
            <w:vAlign w:val="center"/>
          </w:tcPr>
          <w:p w14:paraId="2B8F317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377" w:type="dxa"/>
            <w:vMerge w:val="restart"/>
            <w:vAlign w:val="center"/>
          </w:tcPr>
          <w:p w14:paraId="5FB9729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w:t>
            </w:r>
          </w:p>
        </w:tc>
      </w:tr>
      <w:tr w14:paraId="253AF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5" w:hRule="atLeast"/>
          <w:jc w:val="center"/>
        </w:trPr>
        <w:tc>
          <w:tcPr>
            <w:tcW w:w="1646" w:type="dxa"/>
            <w:vMerge w:val="continue"/>
            <w:vAlign w:val="center"/>
          </w:tcPr>
          <w:p w14:paraId="3623389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p>
        </w:tc>
        <w:tc>
          <w:tcPr>
            <w:tcW w:w="5447" w:type="dxa"/>
            <w:vAlign w:val="center"/>
          </w:tcPr>
          <w:p w14:paraId="6FB9045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云龙区金山东路以南（</w:t>
            </w:r>
            <w:r>
              <w:rPr>
                <w:rStyle w:val="48"/>
                <w:rFonts w:hint="eastAsia" w:ascii="宋体" w:hAnsi="宋体" w:eastAsia="宋体" w:cs="宋体"/>
                <w:sz w:val="24"/>
                <w:szCs w:val="24"/>
              </w:rPr>
              <w:t>采购包2</w:t>
            </w:r>
            <w:r>
              <w:rPr>
                <w:rFonts w:hint="eastAsia" w:ascii="宋体" w:hAnsi="宋体" w:eastAsia="宋体" w:cs="宋体"/>
                <w:sz w:val="24"/>
                <w:szCs w:val="24"/>
              </w:rPr>
              <w:t>）</w:t>
            </w:r>
          </w:p>
        </w:tc>
        <w:tc>
          <w:tcPr>
            <w:tcW w:w="1134" w:type="dxa"/>
            <w:vAlign w:val="center"/>
          </w:tcPr>
          <w:p w14:paraId="224AAF8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77" w:type="dxa"/>
            <w:vMerge w:val="continue"/>
            <w:vAlign w:val="center"/>
          </w:tcPr>
          <w:p w14:paraId="6C82752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p>
        </w:tc>
      </w:tr>
      <w:tr w14:paraId="083EA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0" w:hRule="atLeast"/>
          <w:jc w:val="center"/>
        </w:trPr>
        <w:tc>
          <w:tcPr>
            <w:tcW w:w="1646" w:type="dxa"/>
            <w:vMerge w:val="restart"/>
            <w:vAlign w:val="center"/>
          </w:tcPr>
          <w:p w14:paraId="3251FD5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贾汪大队</w:t>
            </w:r>
          </w:p>
        </w:tc>
        <w:tc>
          <w:tcPr>
            <w:tcW w:w="5447" w:type="dxa"/>
            <w:vAlign w:val="center"/>
          </w:tcPr>
          <w:p w14:paraId="0F53015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贾汪区利大路以南，206国道以西（</w:t>
            </w:r>
            <w:r>
              <w:rPr>
                <w:rStyle w:val="48"/>
                <w:rFonts w:hint="eastAsia" w:ascii="宋体" w:hAnsi="宋体" w:eastAsia="宋体" w:cs="宋体"/>
                <w:sz w:val="24"/>
                <w:szCs w:val="24"/>
              </w:rPr>
              <w:t>采购包3</w:t>
            </w:r>
            <w:r>
              <w:rPr>
                <w:rFonts w:hint="eastAsia" w:ascii="宋体" w:hAnsi="宋体" w:eastAsia="宋体" w:cs="宋体"/>
                <w:sz w:val="24"/>
                <w:szCs w:val="24"/>
              </w:rPr>
              <w:t>）</w:t>
            </w:r>
          </w:p>
        </w:tc>
        <w:tc>
          <w:tcPr>
            <w:tcW w:w="1134" w:type="dxa"/>
            <w:vAlign w:val="center"/>
          </w:tcPr>
          <w:p w14:paraId="06398A2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77" w:type="dxa"/>
            <w:vMerge w:val="restart"/>
            <w:vAlign w:val="center"/>
          </w:tcPr>
          <w:p w14:paraId="23560AB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r>
      <w:tr w14:paraId="71D7A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0" w:hRule="atLeast"/>
          <w:jc w:val="center"/>
        </w:trPr>
        <w:tc>
          <w:tcPr>
            <w:tcW w:w="1646" w:type="dxa"/>
            <w:vMerge w:val="continue"/>
            <w:vAlign w:val="center"/>
          </w:tcPr>
          <w:p w14:paraId="0D30510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p>
        </w:tc>
        <w:tc>
          <w:tcPr>
            <w:tcW w:w="5447" w:type="dxa"/>
            <w:tcBorders>
              <w:bottom w:val="single" w:color="auto" w:sz="4" w:space="0"/>
            </w:tcBorders>
            <w:vAlign w:val="center"/>
          </w:tcPr>
          <w:p w14:paraId="0B533A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贾汪区利大路以北，206国道以西（</w:t>
            </w:r>
            <w:r>
              <w:rPr>
                <w:rStyle w:val="48"/>
                <w:rFonts w:hint="eastAsia" w:ascii="宋体" w:hAnsi="宋体" w:eastAsia="宋体" w:cs="宋体"/>
                <w:sz w:val="24"/>
                <w:szCs w:val="24"/>
              </w:rPr>
              <w:t>采购包4</w:t>
            </w:r>
            <w:r>
              <w:rPr>
                <w:rFonts w:hint="eastAsia" w:ascii="宋体" w:hAnsi="宋体" w:eastAsia="宋体" w:cs="宋体"/>
                <w:sz w:val="24"/>
                <w:szCs w:val="24"/>
              </w:rPr>
              <w:t>）</w:t>
            </w:r>
          </w:p>
        </w:tc>
        <w:tc>
          <w:tcPr>
            <w:tcW w:w="1134" w:type="dxa"/>
            <w:vAlign w:val="center"/>
          </w:tcPr>
          <w:p w14:paraId="3B793E1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77" w:type="dxa"/>
            <w:vMerge w:val="continue"/>
            <w:vAlign w:val="center"/>
          </w:tcPr>
          <w:p w14:paraId="17CAE3A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p>
        </w:tc>
      </w:tr>
      <w:tr w14:paraId="16D8D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jc w:val="center"/>
        </w:trPr>
        <w:tc>
          <w:tcPr>
            <w:tcW w:w="1646" w:type="dxa"/>
            <w:vMerge w:val="restart"/>
            <w:vAlign w:val="center"/>
          </w:tcPr>
          <w:p w14:paraId="461BBD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大龙湖旅游度假区大队、高速一大队和三堡检查站合用</w:t>
            </w:r>
          </w:p>
        </w:tc>
        <w:tc>
          <w:tcPr>
            <w:tcW w:w="5447" w:type="dxa"/>
            <w:vAlign w:val="center"/>
          </w:tcPr>
          <w:p w14:paraId="05E3123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汉源大道、珠江路以东；G30、G2513（</w:t>
            </w:r>
            <w:r>
              <w:rPr>
                <w:rStyle w:val="48"/>
                <w:rFonts w:hint="eastAsia" w:ascii="宋体" w:hAnsi="宋体" w:eastAsia="宋体" w:cs="宋体"/>
                <w:sz w:val="24"/>
                <w:szCs w:val="24"/>
              </w:rPr>
              <w:t>采购包5</w:t>
            </w:r>
            <w:r>
              <w:rPr>
                <w:rFonts w:hint="eastAsia" w:ascii="宋体" w:hAnsi="宋体" w:eastAsia="宋体" w:cs="宋体"/>
                <w:sz w:val="24"/>
                <w:szCs w:val="24"/>
              </w:rPr>
              <w:t>）</w:t>
            </w:r>
          </w:p>
        </w:tc>
        <w:tc>
          <w:tcPr>
            <w:tcW w:w="1134" w:type="dxa"/>
            <w:vAlign w:val="center"/>
          </w:tcPr>
          <w:p w14:paraId="42C3049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77" w:type="dxa"/>
            <w:vAlign w:val="center"/>
          </w:tcPr>
          <w:p w14:paraId="07793A9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10</w:t>
            </w:r>
          </w:p>
        </w:tc>
      </w:tr>
      <w:tr w14:paraId="26DCD5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jc w:val="center"/>
        </w:trPr>
        <w:tc>
          <w:tcPr>
            <w:tcW w:w="1646" w:type="dxa"/>
            <w:vMerge w:val="continue"/>
            <w:vAlign w:val="center"/>
          </w:tcPr>
          <w:p w14:paraId="71FFACB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p>
        </w:tc>
        <w:tc>
          <w:tcPr>
            <w:tcW w:w="5447" w:type="dxa"/>
            <w:vAlign w:val="center"/>
          </w:tcPr>
          <w:p w14:paraId="595E69E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汉源大道、珠江路以西；G30、G2513（</w:t>
            </w:r>
            <w:r>
              <w:rPr>
                <w:rStyle w:val="48"/>
                <w:rFonts w:hint="eastAsia" w:ascii="宋体" w:hAnsi="宋体" w:eastAsia="宋体" w:cs="宋体"/>
                <w:sz w:val="24"/>
                <w:szCs w:val="24"/>
              </w:rPr>
              <w:t>采购包6</w:t>
            </w:r>
            <w:r>
              <w:rPr>
                <w:rFonts w:hint="eastAsia" w:ascii="宋体" w:hAnsi="宋体" w:eastAsia="宋体" w:cs="宋体"/>
                <w:sz w:val="24"/>
                <w:szCs w:val="24"/>
              </w:rPr>
              <w:t>）</w:t>
            </w:r>
          </w:p>
        </w:tc>
        <w:tc>
          <w:tcPr>
            <w:tcW w:w="1134" w:type="dxa"/>
            <w:vAlign w:val="center"/>
          </w:tcPr>
          <w:p w14:paraId="3FE56C6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77" w:type="dxa"/>
            <w:vAlign w:val="center"/>
          </w:tcPr>
          <w:p w14:paraId="0A92FBA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10</w:t>
            </w:r>
          </w:p>
        </w:tc>
      </w:tr>
      <w:tr w14:paraId="4F82F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0" w:hRule="atLeast"/>
          <w:jc w:val="center"/>
        </w:trPr>
        <w:tc>
          <w:tcPr>
            <w:tcW w:w="1646" w:type="dxa"/>
            <w:vMerge w:val="restart"/>
            <w:vAlign w:val="center"/>
          </w:tcPr>
          <w:p w14:paraId="2DB74E7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经开区大队</w:t>
            </w:r>
          </w:p>
        </w:tc>
        <w:tc>
          <w:tcPr>
            <w:tcW w:w="5447" w:type="dxa"/>
            <w:vAlign w:val="center"/>
          </w:tcPr>
          <w:p w14:paraId="07E5488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经开区杨山路以南（</w:t>
            </w:r>
            <w:r>
              <w:rPr>
                <w:rStyle w:val="48"/>
                <w:rFonts w:hint="eastAsia" w:ascii="宋体" w:hAnsi="宋体" w:eastAsia="宋体" w:cs="宋体"/>
                <w:sz w:val="24"/>
                <w:szCs w:val="24"/>
              </w:rPr>
              <w:t>采购包7</w:t>
            </w:r>
            <w:r>
              <w:rPr>
                <w:rFonts w:hint="eastAsia" w:ascii="宋体" w:hAnsi="宋体" w:eastAsia="宋体" w:cs="宋体"/>
                <w:sz w:val="24"/>
                <w:szCs w:val="24"/>
              </w:rPr>
              <w:t>）</w:t>
            </w:r>
          </w:p>
        </w:tc>
        <w:tc>
          <w:tcPr>
            <w:tcW w:w="1134" w:type="dxa"/>
            <w:vAlign w:val="center"/>
          </w:tcPr>
          <w:p w14:paraId="47E773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77" w:type="dxa"/>
            <w:vMerge w:val="restart"/>
            <w:vAlign w:val="center"/>
          </w:tcPr>
          <w:p w14:paraId="5C7D869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10</w:t>
            </w:r>
          </w:p>
        </w:tc>
      </w:tr>
      <w:tr w14:paraId="23C8D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jc w:val="center"/>
        </w:trPr>
        <w:tc>
          <w:tcPr>
            <w:tcW w:w="1646" w:type="dxa"/>
            <w:vMerge w:val="continue"/>
            <w:vAlign w:val="center"/>
          </w:tcPr>
          <w:p w14:paraId="3275DF2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p>
        </w:tc>
        <w:tc>
          <w:tcPr>
            <w:tcW w:w="5447" w:type="dxa"/>
            <w:vAlign w:val="center"/>
          </w:tcPr>
          <w:p w14:paraId="682DCA6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经开区杨山路以北（</w:t>
            </w:r>
            <w:r>
              <w:rPr>
                <w:rStyle w:val="48"/>
                <w:rFonts w:hint="eastAsia" w:ascii="宋体" w:hAnsi="宋体" w:eastAsia="宋体" w:cs="宋体"/>
                <w:sz w:val="24"/>
                <w:szCs w:val="24"/>
              </w:rPr>
              <w:t>采购包8</w:t>
            </w:r>
            <w:r>
              <w:rPr>
                <w:rFonts w:hint="eastAsia" w:ascii="宋体" w:hAnsi="宋体" w:eastAsia="宋体" w:cs="宋体"/>
                <w:sz w:val="24"/>
                <w:szCs w:val="24"/>
              </w:rPr>
              <w:t>）</w:t>
            </w:r>
          </w:p>
        </w:tc>
        <w:tc>
          <w:tcPr>
            <w:tcW w:w="1134" w:type="dxa"/>
            <w:vAlign w:val="center"/>
          </w:tcPr>
          <w:p w14:paraId="31445A2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77" w:type="dxa"/>
            <w:vMerge w:val="continue"/>
            <w:vAlign w:val="center"/>
          </w:tcPr>
          <w:p w14:paraId="7AA9F5A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p>
        </w:tc>
      </w:tr>
      <w:tr w14:paraId="7026A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8" w:hRule="atLeast"/>
          <w:jc w:val="center"/>
        </w:trPr>
        <w:tc>
          <w:tcPr>
            <w:tcW w:w="1646" w:type="dxa"/>
            <w:vMerge w:val="restart"/>
            <w:vAlign w:val="center"/>
          </w:tcPr>
          <w:p w14:paraId="78ED417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鼓楼大队</w:t>
            </w:r>
          </w:p>
        </w:tc>
        <w:tc>
          <w:tcPr>
            <w:tcW w:w="5447" w:type="dxa"/>
            <w:vAlign w:val="center"/>
          </w:tcPr>
          <w:p w14:paraId="19DFD12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解放北路—殷庄路以东（</w:t>
            </w:r>
            <w:r>
              <w:rPr>
                <w:rStyle w:val="48"/>
                <w:rFonts w:hint="eastAsia" w:ascii="宋体" w:hAnsi="宋体" w:eastAsia="宋体" w:cs="宋体"/>
                <w:sz w:val="24"/>
                <w:szCs w:val="24"/>
              </w:rPr>
              <w:t>采购包9</w:t>
            </w:r>
            <w:r>
              <w:rPr>
                <w:rFonts w:hint="eastAsia" w:ascii="宋体" w:hAnsi="宋体" w:eastAsia="宋体" w:cs="宋体"/>
                <w:sz w:val="24"/>
                <w:szCs w:val="24"/>
              </w:rPr>
              <w:t>）</w:t>
            </w:r>
          </w:p>
        </w:tc>
        <w:tc>
          <w:tcPr>
            <w:tcW w:w="1134" w:type="dxa"/>
            <w:vAlign w:val="center"/>
          </w:tcPr>
          <w:p w14:paraId="23AF774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77" w:type="dxa"/>
            <w:vMerge w:val="restart"/>
            <w:vAlign w:val="center"/>
          </w:tcPr>
          <w:p w14:paraId="695F991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10</w:t>
            </w:r>
          </w:p>
        </w:tc>
      </w:tr>
      <w:tr w14:paraId="333B9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3" w:hRule="atLeast"/>
          <w:jc w:val="center"/>
        </w:trPr>
        <w:tc>
          <w:tcPr>
            <w:tcW w:w="1646" w:type="dxa"/>
            <w:vMerge w:val="continue"/>
            <w:vAlign w:val="center"/>
          </w:tcPr>
          <w:p w14:paraId="61D0410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p>
        </w:tc>
        <w:tc>
          <w:tcPr>
            <w:tcW w:w="5447" w:type="dxa"/>
            <w:vAlign w:val="center"/>
          </w:tcPr>
          <w:p w14:paraId="474D4F2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解放北路—殷庄路以西（</w:t>
            </w:r>
            <w:r>
              <w:rPr>
                <w:rStyle w:val="48"/>
                <w:rFonts w:hint="eastAsia" w:ascii="宋体" w:hAnsi="宋体" w:eastAsia="宋体" w:cs="宋体"/>
                <w:sz w:val="24"/>
                <w:szCs w:val="24"/>
              </w:rPr>
              <w:t>采购包10</w:t>
            </w:r>
            <w:r>
              <w:rPr>
                <w:rFonts w:hint="eastAsia" w:ascii="宋体" w:hAnsi="宋体" w:eastAsia="宋体" w:cs="宋体"/>
                <w:sz w:val="24"/>
                <w:szCs w:val="24"/>
              </w:rPr>
              <w:t>）</w:t>
            </w:r>
          </w:p>
        </w:tc>
        <w:tc>
          <w:tcPr>
            <w:tcW w:w="1134" w:type="dxa"/>
            <w:vAlign w:val="center"/>
          </w:tcPr>
          <w:p w14:paraId="31EAA21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77" w:type="dxa"/>
            <w:vMerge w:val="continue"/>
            <w:vAlign w:val="center"/>
          </w:tcPr>
          <w:p w14:paraId="5735227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p>
        </w:tc>
      </w:tr>
      <w:tr w14:paraId="32CEB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3" w:hRule="atLeast"/>
          <w:jc w:val="center"/>
        </w:trPr>
        <w:tc>
          <w:tcPr>
            <w:tcW w:w="1646" w:type="dxa"/>
            <w:vMerge w:val="restart"/>
            <w:vAlign w:val="center"/>
          </w:tcPr>
          <w:p w14:paraId="707B772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泉山大队</w:t>
            </w:r>
          </w:p>
        </w:tc>
        <w:tc>
          <w:tcPr>
            <w:tcW w:w="5447" w:type="dxa"/>
            <w:vAlign w:val="center"/>
          </w:tcPr>
          <w:p w14:paraId="74F70E6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二环西路以东（</w:t>
            </w:r>
            <w:r>
              <w:rPr>
                <w:rStyle w:val="48"/>
                <w:rFonts w:hint="eastAsia" w:ascii="宋体" w:hAnsi="宋体" w:eastAsia="宋体" w:cs="宋体"/>
                <w:sz w:val="24"/>
                <w:szCs w:val="24"/>
              </w:rPr>
              <w:t>采购包11</w:t>
            </w:r>
            <w:r>
              <w:rPr>
                <w:rFonts w:hint="eastAsia" w:ascii="宋体" w:hAnsi="宋体" w:eastAsia="宋体" w:cs="宋体"/>
                <w:sz w:val="24"/>
                <w:szCs w:val="24"/>
              </w:rPr>
              <w:t>）</w:t>
            </w:r>
          </w:p>
        </w:tc>
        <w:tc>
          <w:tcPr>
            <w:tcW w:w="1134" w:type="dxa"/>
            <w:vAlign w:val="center"/>
          </w:tcPr>
          <w:p w14:paraId="3CBBD9B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77" w:type="dxa"/>
            <w:vMerge w:val="restart"/>
            <w:vAlign w:val="center"/>
          </w:tcPr>
          <w:p w14:paraId="1C8BF3D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10</w:t>
            </w:r>
          </w:p>
        </w:tc>
      </w:tr>
      <w:tr w14:paraId="708D2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3" w:hRule="atLeast"/>
          <w:jc w:val="center"/>
        </w:trPr>
        <w:tc>
          <w:tcPr>
            <w:tcW w:w="1646" w:type="dxa"/>
            <w:vMerge w:val="continue"/>
            <w:vAlign w:val="center"/>
          </w:tcPr>
          <w:p w14:paraId="5685FF2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p>
        </w:tc>
        <w:tc>
          <w:tcPr>
            <w:tcW w:w="5447" w:type="dxa"/>
            <w:vAlign w:val="center"/>
          </w:tcPr>
          <w:p w14:paraId="205C816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二环西路以西（</w:t>
            </w:r>
            <w:r>
              <w:rPr>
                <w:rStyle w:val="48"/>
                <w:rFonts w:hint="eastAsia" w:ascii="宋体" w:hAnsi="宋体" w:eastAsia="宋体" w:cs="宋体"/>
                <w:sz w:val="24"/>
                <w:szCs w:val="24"/>
              </w:rPr>
              <w:t>采购包12</w:t>
            </w:r>
            <w:r>
              <w:rPr>
                <w:rFonts w:hint="eastAsia" w:ascii="宋体" w:hAnsi="宋体" w:eastAsia="宋体" w:cs="宋体"/>
                <w:sz w:val="24"/>
                <w:szCs w:val="24"/>
              </w:rPr>
              <w:t>）</w:t>
            </w:r>
          </w:p>
        </w:tc>
        <w:tc>
          <w:tcPr>
            <w:tcW w:w="1134" w:type="dxa"/>
            <w:vAlign w:val="center"/>
          </w:tcPr>
          <w:p w14:paraId="4669C60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77" w:type="dxa"/>
            <w:vMerge w:val="continue"/>
            <w:vAlign w:val="center"/>
          </w:tcPr>
          <w:p w14:paraId="1BA20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p>
        </w:tc>
      </w:tr>
      <w:tr w14:paraId="6A8F4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3" w:hRule="atLeast"/>
          <w:jc w:val="center"/>
        </w:trPr>
        <w:tc>
          <w:tcPr>
            <w:tcW w:w="1646" w:type="dxa"/>
            <w:vAlign w:val="center"/>
          </w:tcPr>
          <w:p w14:paraId="7F65293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九里湖大队</w:t>
            </w:r>
          </w:p>
        </w:tc>
        <w:tc>
          <w:tcPr>
            <w:tcW w:w="5447" w:type="dxa"/>
            <w:vAlign w:val="center"/>
          </w:tcPr>
          <w:p w14:paraId="14CA5AD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黄河北路以北、疏港北路以南、黄河故道以东、华润路以西（</w:t>
            </w:r>
            <w:r>
              <w:rPr>
                <w:rStyle w:val="48"/>
                <w:rFonts w:hint="eastAsia" w:ascii="宋体" w:hAnsi="宋体" w:eastAsia="宋体" w:cs="宋体"/>
                <w:sz w:val="24"/>
                <w:szCs w:val="24"/>
              </w:rPr>
              <w:t>采购包13</w:t>
            </w:r>
            <w:r>
              <w:rPr>
                <w:rFonts w:hint="eastAsia" w:ascii="宋体" w:hAnsi="宋体" w:eastAsia="宋体" w:cs="宋体"/>
                <w:sz w:val="24"/>
                <w:szCs w:val="24"/>
              </w:rPr>
              <w:t>）</w:t>
            </w:r>
          </w:p>
        </w:tc>
        <w:tc>
          <w:tcPr>
            <w:tcW w:w="1134" w:type="dxa"/>
            <w:vAlign w:val="center"/>
          </w:tcPr>
          <w:p w14:paraId="25566FD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77" w:type="dxa"/>
            <w:vAlign w:val="center"/>
          </w:tcPr>
          <w:p w14:paraId="0E6206E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10</w:t>
            </w:r>
          </w:p>
        </w:tc>
      </w:tr>
      <w:tr w14:paraId="6EA1B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46" w:type="dxa"/>
            <w:vAlign w:val="center"/>
          </w:tcPr>
          <w:p w14:paraId="4ACB4F3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高速二大队和高速八大队合用</w:t>
            </w:r>
          </w:p>
        </w:tc>
        <w:tc>
          <w:tcPr>
            <w:tcW w:w="5447" w:type="dxa"/>
            <w:vAlign w:val="center"/>
          </w:tcPr>
          <w:p w14:paraId="42E19B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G30、S65（</w:t>
            </w:r>
            <w:r>
              <w:rPr>
                <w:rStyle w:val="48"/>
                <w:rFonts w:hint="eastAsia" w:ascii="宋体" w:hAnsi="宋体" w:eastAsia="宋体" w:cs="宋体"/>
                <w:sz w:val="24"/>
                <w:szCs w:val="24"/>
              </w:rPr>
              <w:t>采购包14</w:t>
            </w:r>
            <w:r>
              <w:rPr>
                <w:rFonts w:hint="eastAsia" w:ascii="宋体" w:hAnsi="宋体" w:eastAsia="宋体" w:cs="宋体"/>
                <w:sz w:val="24"/>
                <w:szCs w:val="24"/>
              </w:rPr>
              <w:t>）</w:t>
            </w:r>
          </w:p>
        </w:tc>
        <w:tc>
          <w:tcPr>
            <w:tcW w:w="1134" w:type="dxa"/>
            <w:vAlign w:val="center"/>
          </w:tcPr>
          <w:p w14:paraId="7B90879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77" w:type="dxa"/>
            <w:vAlign w:val="center"/>
          </w:tcPr>
          <w:p w14:paraId="3200218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r>
      <w:tr w14:paraId="51A86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1646" w:type="dxa"/>
            <w:vAlign w:val="center"/>
          </w:tcPr>
          <w:p w14:paraId="7EFEDAC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高速三大队、高速七大队和红花埠检查站合用</w:t>
            </w:r>
          </w:p>
        </w:tc>
        <w:tc>
          <w:tcPr>
            <w:tcW w:w="5447" w:type="dxa"/>
            <w:vAlign w:val="center"/>
          </w:tcPr>
          <w:p w14:paraId="4859D7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G30、G2、S49（</w:t>
            </w:r>
            <w:r>
              <w:rPr>
                <w:rStyle w:val="48"/>
                <w:rFonts w:hint="eastAsia" w:ascii="宋体" w:hAnsi="宋体" w:eastAsia="宋体" w:cs="宋体"/>
                <w:sz w:val="24"/>
                <w:szCs w:val="24"/>
              </w:rPr>
              <w:t>采购包15</w:t>
            </w:r>
            <w:r>
              <w:rPr>
                <w:rFonts w:hint="eastAsia" w:ascii="宋体" w:hAnsi="宋体" w:eastAsia="宋体" w:cs="宋体"/>
                <w:sz w:val="24"/>
                <w:szCs w:val="24"/>
              </w:rPr>
              <w:t>）</w:t>
            </w:r>
          </w:p>
        </w:tc>
        <w:tc>
          <w:tcPr>
            <w:tcW w:w="1134" w:type="dxa"/>
            <w:vAlign w:val="center"/>
          </w:tcPr>
          <w:p w14:paraId="3A24B03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77" w:type="dxa"/>
            <w:vAlign w:val="center"/>
          </w:tcPr>
          <w:p w14:paraId="78B06D3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r>
      <w:tr w14:paraId="762F1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8" w:hRule="atLeast"/>
          <w:jc w:val="center"/>
        </w:trPr>
        <w:tc>
          <w:tcPr>
            <w:tcW w:w="1646" w:type="dxa"/>
            <w:vAlign w:val="center"/>
          </w:tcPr>
          <w:p w14:paraId="13D8984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高速四大队和高速八大队合用</w:t>
            </w:r>
          </w:p>
        </w:tc>
        <w:tc>
          <w:tcPr>
            <w:tcW w:w="5447" w:type="dxa"/>
            <w:vAlign w:val="center"/>
          </w:tcPr>
          <w:p w14:paraId="3732C8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G2513、S65（</w:t>
            </w:r>
            <w:r>
              <w:rPr>
                <w:rStyle w:val="48"/>
                <w:rFonts w:hint="eastAsia" w:ascii="宋体" w:hAnsi="宋体" w:eastAsia="宋体" w:cs="宋体"/>
                <w:sz w:val="24"/>
                <w:szCs w:val="24"/>
              </w:rPr>
              <w:t>采购包16</w:t>
            </w:r>
            <w:r>
              <w:rPr>
                <w:rFonts w:hint="eastAsia" w:ascii="宋体" w:hAnsi="宋体" w:eastAsia="宋体" w:cs="宋体"/>
                <w:sz w:val="24"/>
                <w:szCs w:val="24"/>
              </w:rPr>
              <w:t>）</w:t>
            </w:r>
          </w:p>
        </w:tc>
        <w:tc>
          <w:tcPr>
            <w:tcW w:w="1134" w:type="dxa"/>
            <w:vAlign w:val="center"/>
          </w:tcPr>
          <w:p w14:paraId="741CCC2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77" w:type="dxa"/>
            <w:vAlign w:val="center"/>
          </w:tcPr>
          <w:p w14:paraId="4E9807C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r>
      <w:tr w14:paraId="05BF6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3" w:hRule="atLeast"/>
          <w:jc w:val="center"/>
        </w:trPr>
        <w:tc>
          <w:tcPr>
            <w:tcW w:w="1646" w:type="dxa"/>
            <w:vAlign w:val="center"/>
          </w:tcPr>
          <w:p w14:paraId="5514ED4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高速五大队和京台检查站合用</w:t>
            </w:r>
          </w:p>
        </w:tc>
        <w:tc>
          <w:tcPr>
            <w:tcW w:w="5447" w:type="dxa"/>
            <w:vAlign w:val="center"/>
          </w:tcPr>
          <w:p w14:paraId="2391010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G3（</w:t>
            </w:r>
            <w:r>
              <w:rPr>
                <w:rStyle w:val="48"/>
                <w:rFonts w:hint="eastAsia" w:ascii="宋体" w:hAnsi="宋体" w:eastAsia="宋体" w:cs="宋体"/>
                <w:sz w:val="24"/>
                <w:szCs w:val="24"/>
              </w:rPr>
              <w:t>采购包17</w:t>
            </w:r>
            <w:r>
              <w:rPr>
                <w:rFonts w:hint="eastAsia" w:ascii="宋体" w:hAnsi="宋体" w:eastAsia="宋体" w:cs="宋体"/>
                <w:sz w:val="24"/>
                <w:szCs w:val="24"/>
              </w:rPr>
              <w:t>）</w:t>
            </w:r>
          </w:p>
        </w:tc>
        <w:tc>
          <w:tcPr>
            <w:tcW w:w="1134" w:type="dxa"/>
            <w:vAlign w:val="center"/>
          </w:tcPr>
          <w:p w14:paraId="71C5154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77" w:type="dxa"/>
            <w:vAlign w:val="center"/>
          </w:tcPr>
          <w:p w14:paraId="36ED92C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r>
      <w:tr w14:paraId="2318D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3" w:hRule="atLeast"/>
          <w:jc w:val="center"/>
        </w:trPr>
        <w:tc>
          <w:tcPr>
            <w:tcW w:w="1646" w:type="dxa"/>
            <w:vAlign w:val="center"/>
          </w:tcPr>
          <w:p w14:paraId="3A86D4C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高速六大队</w:t>
            </w:r>
          </w:p>
        </w:tc>
        <w:tc>
          <w:tcPr>
            <w:tcW w:w="5447" w:type="dxa"/>
            <w:vAlign w:val="center"/>
          </w:tcPr>
          <w:p w14:paraId="7C38706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S69（</w:t>
            </w:r>
            <w:r>
              <w:rPr>
                <w:rStyle w:val="48"/>
                <w:rFonts w:hint="eastAsia" w:ascii="宋体" w:hAnsi="宋体" w:eastAsia="宋体" w:cs="宋体"/>
                <w:sz w:val="24"/>
                <w:szCs w:val="24"/>
              </w:rPr>
              <w:t>采购包18</w:t>
            </w:r>
            <w:r>
              <w:rPr>
                <w:rFonts w:hint="eastAsia" w:ascii="宋体" w:hAnsi="宋体" w:eastAsia="宋体" w:cs="宋体"/>
                <w:sz w:val="24"/>
                <w:szCs w:val="24"/>
              </w:rPr>
              <w:t>）</w:t>
            </w:r>
          </w:p>
        </w:tc>
        <w:tc>
          <w:tcPr>
            <w:tcW w:w="1134" w:type="dxa"/>
            <w:vAlign w:val="center"/>
          </w:tcPr>
          <w:p w14:paraId="6DADF9A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77" w:type="dxa"/>
            <w:vAlign w:val="center"/>
          </w:tcPr>
          <w:p w14:paraId="5070E5C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r>
    </w:tbl>
    <w:p w14:paraId="1F50EB2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注：</w:t>
      </w:r>
    </w:p>
    <w:p w14:paraId="56D22D3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1.服务范围以标段内大队管辖区域为准，大队辖区出现调整的</w:t>
      </w:r>
      <w:r>
        <w:rPr>
          <w:rFonts w:hint="eastAsia" w:ascii="宋体" w:hAnsi="宋体" w:eastAsia="宋体" w:cs="宋体"/>
          <w:sz w:val="24"/>
          <w:szCs w:val="24"/>
          <w:lang w:eastAsia="zh-CN"/>
        </w:rPr>
        <w:t>，</w:t>
      </w:r>
      <w:r>
        <w:rPr>
          <w:rFonts w:hint="eastAsia" w:ascii="宋体" w:hAnsi="宋体" w:eastAsia="宋体" w:cs="宋体"/>
          <w:sz w:val="24"/>
          <w:szCs w:val="24"/>
        </w:rPr>
        <w:t>服务范围以调整后的新辖区为准，如出现其他变化则由采购人确定范围。</w:t>
      </w:r>
    </w:p>
    <w:p w14:paraId="04BFC28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2.停车场面积要求为提供给交管部门使用的实际最小面积要求。</w:t>
      </w:r>
    </w:p>
    <w:p w14:paraId="23A77B3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3.国家法律法规或上级管理部门有新规定的从其规定。</w:t>
      </w:r>
    </w:p>
    <w:p w14:paraId="3EA4817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各采购包预估业务量以实际入库车辆为准，供应商报价应充分考虑业务量波动风险。</w:t>
      </w:r>
    </w:p>
    <w:p w14:paraId="4AB6015C">
      <w:pPr>
        <w:spacing w:line="360" w:lineRule="auto"/>
        <w:ind w:firstLine="482"/>
        <w:rPr>
          <w:rFonts w:hint="eastAsia" w:ascii="宋体" w:hAnsi="宋体" w:eastAsia="宋体" w:cs="宋体"/>
          <w:b/>
          <w:sz w:val="24"/>
          <w:szCs w:val="24"/>
        </w:rPr>
      </w:pPr>
      <w:r>
        <w:rPr>
          <w:rFonts w:hint="eastAsia" w:ascii="宋体" w:hAnsi="宋体" w:eastAsia="宋体" w:cs="宋体"/>
          <w:b/>
          <w:sz w:val="24"/>
          <w:szCs w:val="24"/>
          <w:lang w:val="en-US" w:eastAsia="zh-CN"/>
        </w:rPr>
        <w:t>四</w:t>
      </w:r>
      <w:r>
        <w:rPr>
          <w:rFonts w:hint="eastAsia" w:ascii="宋体" w:hAnsi="宋体" w:eastAsia="宋体" w:cs="宋体"/>
          <w:b/>
          <w:sz w:val="24"/>
          <w:szCs w:val="24"/>
        </w:rPr>
        <w:t>、项目要求：18个采购包</w:t>
      </w:r>
    </w:p>
    <w:tbl>
      <w:tblPr>
        <w:tblStyle w:val="25"/>
        <w:tblW w:w="8762" w:type="dxa"/>
        <w:jc w:val="center"/>
        <w:tblLayout w:type="fixed"/>
        <w:tblCellMar>
          <w:top w:w="0" w:type="dxa"/>
          <w:left w:w="108" w:type="dxa"/>
          <w:bottom w:w="0" w:type="dxa"/>
          <w:right w:w="108" w:type="dxa"/>
        </w:tblCellMar>
      </w:tblPr>
      <w:tblGrid>
        <w:gridCol w:w="972"/>
        <w:gridCol w:w="7790"/>
      </w:tblGrid>
      <w:tr w14:paraId="2E0564EB">
        <w:tblPrEx>
          <w:tblCellMar>
            <w:top w:w="0" w:type="dxa"/>
            <w:left w:w="108" w:type="dxa"/>
            <w:bottom w:w="0" w:type="dxa"/>
            <w:right w:w="108" w:type="dxa"/>
          </w:tblCellMar>
        </w:tblPrEx>
        <w:trPr>
          <w:trHeight w:val="481" w:hRule="atLeast"/>
          <w:jc w:val="center"/>
        </w:trPr>
        <w:tc>
          <w:tcPr>
            <w:tcW w:w="972" w:type="dxa"/>
            <w:tcBorders>
              <w:top w:val="single" w:color="auto" w:sz="4" w:space="0"/>
              <w:left w:val="single" w:color="auto" w:sz="4" w:space="0"/>
              <w:bottom w:val="single" w:color="auto" w:sz="4" w:space="0"/>
              <w:right w:val="single" w:color="auto" w:sz="4" w:space="0"/>
            </w:tcBorders>
            <w:vAlign w:val="center"/>
          </w:tcPr>
          <w:p w14:paraId="3074ACF4">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7790" w:type="dxa"/>
            <w:tcBorders>
              <w:top w:val="single" w:color="auto" w:sz="4" w:space="0"/>
              <w:left w:val="nil"/>
              <w:bottom w:val="single" w:color="auto" w:sz="4" w:space="0"/>
              <w:right w:val="single" w:color="auto" w:sz="4" w:space="0"/>
            </w:tcBorders>
            <w:vAlign w:val="center"/>
          </w:tcPr>
          <w:p w14:paraId="6AEB391E">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具体要求</w:t>
            </w:r>
          </w:p>
        </w:tc>
      </w:tr>
      <w:tr w14:paraId="33AF450D">
        <w:tblPrEx>
          <w:tblCellMar>
            <w:top w:w="0" w:type="dxa"/>
            <w:left w:w="108" w:type="dxa"/>
            <w:bottom w:w="0" w:type="dxa"/>
            <w:right w:w="108" w:type="dxa"/>
          </w:tblCellMar>
        </w:tblPrEx>
        <w:trPr>
          <w:trHeight w:val="359" w:hRule="atLeast"/>
          <w:jc w:val="center"/>
        </w:trPr>
        <w:tc>
          <w:tcPr>
            <w:tcW w:w="972" w:type="dxa"/>
            <w:tcBorders>
              <w:top w:val="nil"/>
              <w:left w:val="single" w:color="auto" w:sz="4" w:space="0"/>
              <w:bottom w:val="single" w:color="auto" w:sz="4" w:space="0"/>
              <w:right w:val="single" w:color="auto" w:sz="4" w:space="0"/>
            </w:tcBorders>
            <w:vAlign w:val="center"/>
          </w:tcPr>
          <w:p w14:paraId="7A9E1423">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宋体" w:hAnsi="宋体" w:eastAsia="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一</w:t>
            </w:r>
            <w:r>
              <w:rPr>
                <w:rFonts w:hint="eastAsia" w:ascii="宋体" w:hAnsi="宋体" w:cs="宋体"/>
                <w:sz w:val="24"/>
                <w:szCs w:val="24"/>
                <w:lang w:eastAsia="zh-CN"/>
              </w:rPr>
              <w:t>）</w:t>
            </w:r>
          </w:p>
        </w:tc>
        <w:tc>
          <w:tcPr>
            <w:tcW w:w="7790" w:type="dxa"/>
            <w:tcBorders>
              <w:top w:val="nil"/>
              <w:left w:val="nil"/>
              <w:bottom w:val="single" w:color="auto" w:sz="4" w:space="0"/>
              <w:right w:val="single" w:color="auto" w:sz="4" w:space="0"/>
            </w:tcBorders>
          </w:tcPr>
          <w:p w14:paraId="52483FFA">
            <w:pPr>
              <w:keepNext w:val="0"/>
              <w:keepLines w:val="0"/>
              <w:pageBreakBefore w:val="0"/>
              <w:widowControl/>
              <w:suppressLineNumbers w:val="0"/>
              <w:kinsoku/>
              <w:wordWrap/>
              <w:overflowPunct/>
              <w:topLinePunct w:val="0"/>
              <w:autoSpaceDE/>
              <w:autoSpaceDN/>
              <w:bidi w:val="0"/>
              <w:adjustRightInd/>
              <w:snapToGrid/>
              <w:spacing w:line="440" w:lineRule="exact"/>
              <w:ind w:firstLine="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1、</w:t>
            </w:r>
            <w:r>
              <w:rPr>
                <w:rFonts w:ascii="宋体" w:hAnsi="宋体" w:eastAsia="宋体" w:cs="宋体"/>
                <w:sz w:val="24"/>
                <w:szCs w:val="24"/>
                <w:highlight w:val="none"/>
              </w:rPr>
              <w:t>场地合规条件：</w:t>
            </w:r>
            <w:r>
              <w:rPr>
                <w:rFonts w:hint="eastAsia" w:ascii="宋体" w:hAnsi="宋体" w:eastAsia="宋体" w:cs="宋体"/>
                <w:sz w:val="24"/>
                <w:szCs w:val="24"/>
                <w:highlight w:val="none"/>
              </w:rPr>
              <w:t>投标人提供的涉案车辆停车场需具备合法经营资质，</w:t>
            </w:r>
            <w:r>
              <w:rPr>
                <w:rFonts w:hint="default" w:ascii="宋体" w:hAnsi="宋体" w:eastAsia="宋体" w:cs="宋体"/>
                <w:kern w:val="0"/>
                <w:sz w:val="24"/>
                <w:szCs w:val="24"/>
                <w:highlight w:val="none"/>
                <w:lang w:val="en-US" w:eastAsia="zh-CN" w:bidi="ar"/>
              </w:rPr>
              <w:t>不得使用规划红线管控范围内土地、农田用地作为本项目停车场地；场地不存在产权、使用权权属纠纷，确保场地能够无障碍投入本项目使用。</w:t>
            </w:r>
            <w:r>
              <w:rPr>
                <w:rFonts w:hint="eastAsia" w:ascii="宋体" w:hAnsi="宋体" w:eastAsia="宋体" w:cs="宋体"/>
                <w:sz w:val="24"/>
                <w:szCs w:val="24"/>
                <w:highlight w:val="none"/>
              </w:rPr>
              <w:t>必须满足所报点位要求及交管支队停车需求。</w:t>
            </w:r>
          </w:p>
          <w:p w14:paraId="6D124DC1">
            <w:pPr>
              <w:keepNext w:val="0"/>
              <w:keepLines w:val="0"/>
              <w:pageBreakBefore w:val="0"/>
              <w:widowControl/>
              <w:suppressLineNumbers w:val="0"/>
              <w:kinsoku/>
              <w:wordWrap/>
              <w:overflowPunct/>
              <w:topLinePunct w:val="0"/>
              <w:autoSpaceDE/>
              <w:autoSpaceDN/>
              <w:bidi w:val="0"/>
              <w:adjustRightInd/>
              <w:snapToGrid/>
              <w:spacing w:line="440" w:lineRule="exact"/>
              <w:ind w:firstLine="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2、</w:t>
            </w:r>
            <w:r>
              <w:rPr>
                <w:rFonts w:ascii="宋体" w:hAnsi="宋体" w:eastAsia="宋体" w:cs="宋体"/>
                <w:sz w:val="24"/>
                <w:szCs w:val="24"/>
                <w:highlight w:val="none"/>
              </w:rPr>
              <w:t>停车分区及泊位条件：</w:t>
            </w:r>
            <w:r>
              <w:rPr>
                <w:rFonts w:hint="eastAsia" w:ascii="宋体" w:hAnsi="宋体" w:eastAsia="宋体" w:cs="宋体"/>
                <w:sz w:val="24"/>
                <w:szCs w:val="24"/>
                <w:highlight w:val="none"/>
              </w:rPr>
              <w:t>停车场至少可停放50辆涉案</w:t>
            </w:r>
            <w:r>
              <w:rPr>
                <w:rFonts w:hint="eastAsia" w:ascii="宋体" w:hAnsi="宋体" w:eastAsia="宋体" w:cs="宋体"/>
                <w:sz w:val="24"/>
                <w:szCs w:val="24"/>
                <w:highlight w:val="none"/>
                <w:lang w:val="en-US" w:eastAsia="zh-CN"/>
              </w:rPr>
              <w:t>机动车</w:t>
            </w:r>
            <w:r>
              <w:rPr>
                <w:rFonts w:hint="eastAsia" w:ascii="宋体" w:hAnsi="宋体" w:eastAsia="宋体" w:cs="宋体"/>
                <w:sz w:val="24"/>
                <w:szCs w:val="24"/>
                <w:highlight w:val="none"/>
              </w:rPr>
              <w:t>，</w:t>
            </w:r>
            <w:r>
              <w:rPr>
                <w:rFonts w:ascii="宋体" w:hAnsi="宋体" w:eastAsia="宋体" w:cs="宋体"/>
                <w:sz w:val="24"/>
                <w:szCs w:val="24"/>
                <w:highlight w:val="none"/>
              </w:rPr>
              <w:t>同时设置独立非机动车停放区域；场地须分区设置违法扣车车辆停放区、事故扣车车辆停放区，配置一定数量大型货车停车位。</w:t>
            </w:r>
            <w:r>
              <w:rPr>
                <w:rFonts w:hint="eastAsia" w:ascii="宋体" w:hAnsi="宋体" w:eastAsia="宋体" w:cs="宋体"/>
                <w:sz w:val="24"/>
                <w:szCs w:val="24"/>
                <w:highlight w:val="none"/>
              </w:rPr>
              <w:t>停车场地要划分为:大中型客、货车，小型客、货车及其他机动车，非机动车区域，施划导引线和停车区域，并悬挂相应指示牌。</w:t>
            </w:r>
          </w:p>
          <w:p w14:paraId="0C326111">
            <w:pPr>
              <w:keepNext w:val="0"/>
              <w:keepLines w:val="0"/>
              <w:pageBreakBefore w:val="0"/>
              <w:widowControl/>
              <w:suppressLineNumbers w:val="0"/>
              <w:kinsoku/>
              <w:wordWrap/>
              <w:overflowPunct/>
              <w:topLinePunct w:val="0"/>
              <w:autoSpaceDE/>
              <w:autoSpaceDN/>
              <w:bidi w:val="0"/>
              <w:adjustRightInd/>
              <w:snapToGrid/>
              <w:spacing w:line="440" w:lineRule="exact"/>
              <w:ind w:firstLine="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3、</w:t>
            </w:r>
            <w:r>
              <w:rPr>
                <w:rFonts w:ascii="宋体" w:hAnsi="宋体" w:eastAsia="宋体" w:cs="宋体"/>
                <w:sz w:val="24"/>
                <w:szCs w:val="24"/>
                <w:highlight w:val="none"/>
              </w:rPr>
              <w:t>场地独立条件：</w:t>
            </w:r>
            <w:r>
              <w:rPr>
                <w:rFonts w:hint="eastAsia" w:ascii="宋体" w:hAnsi="宋体" w:eastAsia="宋体" w:cs="宋体"/>
                <w:sz w:val="24"/>
                <w:szCs w:val="24"/>
                <w:highlight w:val="none"/>
                <w:lang w:val="en-US" w:eastAsia="zh-CN"/>
              </w:rPr>
              <w:t>本投标申报涉案停车场场地须独立完整，不得与第三方共用场地，不得零散分割为多个独立小块场地，不允许出现同一场地内部分区域为本项目涉案停车区域、其余区域归属其他主体的情形；</w:t>
            </w:r>
            <w:r>
              <w:rPr>
                <w:rFonts w:hint="eastAsia" w:ascii="宋体" w:hAnsi="宋体" w:eastAsia="宋体" w:cs="宋体"/>
                <w:sz w:val="24"/>
                <w:szCs w:val="24"/>
                <w:highlight w:val="none"/>
              </w:rPr>
              <w:t>不得同时经营车辆修理、车辆拆解、拆旧项目；不得出租场地给车辆修理、车辆拆解、拆旧项目业主与停车场共用一处场地。</w:t>
            </w:r>
          </w:p>
          <w:p w14:paraId="4DE8D74B">
            <w:pPr>
              <w:keepNext w:val="0"/>
              <w:keepLines w:val="0"/>
              <w:pageBreakBefore w:val="0"/>
              <w:widowControl/>
              <w:suppressLineNumbers w:val="0"/>
              <w:kinsoku/>
              <w:wordWrap/>
              <w:overflowPunct/>
              <w:topLinePunct w:val="0"/>
              <w:autoSpaceDE/>
              <w:autoSpaceDN/>
              <w:bidi w:val="0"/>
              <w:adjustRightInd/>
              <w:snapToGrid/>
              <w:spacing w:line="440" w:lineRule="exact"/>
              <w:ind w:firstLine="0"/>
              <w:jc w:val="left"/>
              <w:textAlignment w:val="auto"/>
              <w:rPr>
                <w:rFonts w:hint="eastAsia" w:ascii="宋体" w:hAnsi="宋体" w:eastAsia="宋体" w:cs="宋体"/>
                <w:sz w:val="24"/>
                <w:szCs w:val="24"/>
                <w:highlight w:val="none"/>
                <w:lang w:eastAsia="zh-CN"/>
              </w:rPr>
            </w:pPr>
            <w:r>
              <w:rPr>
                <w:rFonts w:hint="eastAsia" w:ascii="宋体" w:hAnsi="宋体" w:cs="宋体"/>
                <w:b/>
                <w:bCs/>
                <w:kern w:val="0"/>
                <w:sz w:val="24"/>
                <w:szCs w:val="24"/>
                <w:highlight w:val="none"/>
                <w:lang w:val="en-US" w:eastAsia="zh-CN" w:bidi="ar"/>
              </w:rPr>
              <w:t>注：</w:t>
            </w:r>
            <w:r>
              <w:rPr>
                <w:rFonts w:hint="eastAsia" w:ascii="宋体" w:hAnsi="宋体" w:eastAsia="宋体" w:cs="宋体"/>
                <w:b/>
                <w:bCs/>
                <w:sz w:val="24"/>
                <w:szCs w:val="24"/>
                <w:highlight w:val="none"/>
              </w:rPr>
              <w:t>以上内容需通过文字、照片等的形式在响应文件中逐一介绍展示</w:t>
            </w:r>
            <w:r>
              <w:rPr>
                <w:rFonts w:hint="eastAsia" w:ascii="宋体" w:hAnsi="宋体" w:cs="宋体"/>
                <w:b/>
                <w:bCs/>
                <w:sz w:val="24"/>
                <w:szCs w:val="24"/>
                <w:highlight w:val="none"/>
                <w:lang w:eastAsia="zh-CN"/>
              </w:rPr>
              <w:t>，</w:t>
            </w:r>
            <w:r>
              <w:rPr>
                <w:rFonts w:hint="default" w:ascii="宋体" w:hAnsi="宋体" w:eastAsia="宋体" w:cs="宋体"/>
                <w:b/>
                <w:bCs/>
                <w:kern w:val="0"/>
                <w:sz w:val="24"/>
                <w:szCs w:val="24"/>
                <w:highlight w:val="none"/>
                <w:lang w:val="en-US" w:eastAsia="zh-CN" w:bidi="ar"/>
              </w:rPr>
              <w:t>投标时须提供</w:t>
            </w:r>
            <w:r>
              <w:rPr>
                <w:rFonts w:hint="eastAsia" w:ascii="宋体" w:hAnsi="宋体" w:cs="宋体"/>
                <w:b/>
                <w:bCs/>
                <w:kern w:val="0"/>
                <w:sz w:val="24"/>
                <w:szCs w:val="24"/>
                <w:highlight w:val="none"/>
                <w:lang w:val="en-US" w:eastAsia="zh-CN" w:bidi="ar"/>
              </w:rPr>
              <w:t>不少于2张的</w:t>
            </w:r>
            <w:r>
              <w:rPr>
                <w:rFonts w:hint="default" w:ascii="宋体" w:hAnsi="宋体" w:eastAsia="宋体" w:cs="宋体"/>
                <w:b/>
                <w:bCs/>
                <w:kern w:val="0"/>
                <w:sz w:val="24"/>
                <w:szCs w:val="24"/>
                <w:highlight w:val="none"/>
                <w:lang w:val="en-US" w:eastAsia="zh-CN" w:bidi="ar"/>
              </w:rPr>
              <w:t>完整无人机航拍</w:t>
            </w:r>
            <w:r>
              <w:rPr>
                <w:rFonts w:ascii="宋体" w:hAnsi="宋体" w:eastAsia="宋体" w:cs="宋体"/>
                <w:b/>
                <w:bCs/>
                <w:sz w:val="24"/>
                <w:szCs w:val="24"/>
                <w:highlight w:val="none"/>
              </w:rPr>
              <w:t>影像</w:t>
            </w:r>
            <w:r>
              <w:rPr>
                <w:rFonts w:hint="default" w:ascii="宋体" w:hAnsi="宋体" w:eastAsia="宋体" w:cs="宋体"/>
                <w:b/>
                <w:bCs/>
                <w:kern w:val="0"/>
                <w:sz w:val="24"/>
                <w:szCs w:val="24"/>
                <w:highlight w:val="none"/>
                <w:lang w:val="en-US" w:eastAsia="zh-CN" w:bidi="ar"/>
              </w:rPr>
              <w:t>图，航拍图应当能够完整反映停车场全貌、机非分区、车位施划、大型货车车位位置等空间位置关系。</w:t>
            </w:r>
            <w:r>
              <w:rPr>
                <w:rFonts w:hint="eastAsia" w:ascii="宋体" w:hAnsi="宋体" w:eastAsia="宋体" w:cs="宋体"/>
                <w:b/>
                <w:bCs/>
                <w:sz w:val="24"/>
                <w:szCs w:val="24"/>
                <w:highlight w:val="none"/>
                <w:lang w:val="en-US" w:eastAsia="zh-CN"/>
              </w:rPr>
              <w:t>所有附图资料图像清晰、要素齐全，可直观核验；投标时提供，资料不完整、图像模糊无法辨识、未提供的不得分</w:t>
            </w:r>
            <w:r>
              <w:rPr>
                <w:rFonts w:hint="eastAsia" w:ascii="宋体" w:hAnsi="宋体" w:cs="宋体"/>
                <w:b/>
                <w:bCs/>
                <w:sz w:val="24"/>
                <w:szCs w:val="24"/>
                <w:highlight w:val="none"/>
                <w:lang w:val="en-US" w:eastAsia="zh-CN"/>
              </w:rPr>
              <w:t>。</w:t>
            </w:r>
          </w:p>
        </w:tc>
      </w:tr>
      <w:tr w14:paraId="4BA1CDF2">
        <w:tblPrEx>
          <w:tblCellMar>
            <w:top w:w="0" w:type="dxa"/>
            <w:left w:w="108" w:type="dxa"/>
            <w:bottom w:w="0" w:type="dxa"/>
            <w:right w:w="108" w:type="dxa"/>
          </w:tblCellMar>
        </w:tblPrEx>
        <w:trPr>
          <w:trHeight w:val="623" w:hRule="atLeast"/>
          <w:jc w:val="center"/>
        </w:trPr>
        <w:tc>
          <w:tcPr>
            <w:tcW w:w="972" w:type="dxa"/>
            <w:tcBorders>
              <w:top w:val="nil"/>
              <w:left w:val="single" w:color="auto" w:sz="4" w:space="0"/>
              <w:bottom w:val="single" w:color="auto" w:sz="4" w:space="0"/>
              <w:right w:val="single" w:color="auto" w:sz="4" w:space="0"/>
            </w:tcBorders>
            <w:vAlign w:val="center"/>
          </w:tcPr>
          <w:p w14:paraId="288CE1AF">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二</w:t>
            </w:r>
            <w:r>
              <w:rPr>
                <w:rFonts w:hint="eastAsia" w:ascii="宋体" w:hAnsi="宋体" w:cs="宋体"/>
                <w:sz w:val="24"/>
                <w:szCs w:val="24"/>
                <w:highlight w:val="none"/>
                <w:lang w:eastAsia="zh-CN"/>
              </w:rPr>
              <w:t>）</w:t>
            </w:r>
          </w:p>
        </w:tc>
        <w:tc>
          <w:tcPr>
            <w:tcW w:w="7790" w:type="dxa"/>
            <w:tcBorders>
              <w:top w:val="nil"/>
              <w:left w:val="nil"/>
              <w:bottom w:val="single" w:color="auto" w:sz="4" w:space="0"/>
              <w:right w:val="single" w:color="auto" w:sz="4" w:space="0"/>
            </w:tcBorders>
          </w:tcPr>
          <w:p w14:paraId="705A2E6F">
            <w:pPr>
              <w:keepNext w:val="0"/>
              <w:keepLines w:val="0"/>
              <w:pageBreakBefore w:val="0"/>
              <w:widowControl w:val="0"/>
              <w:kinsoku/>
              <w:wordWrap/>
              <w:overflowPunct/>
              <w:topLinePunct w:val="0"/>
              <w:autoSpaceDE/>
              <w:autoSpaceDN/>
              <w:bidi w:val="0"/>
              <w:adjustRightInd/>
              <w:snapToGrid/>
              <w:spacing w:line="440" w:lineRule="exact"/>
              <w:ind w:firstLine="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停车场场地</w:t>
            </w:r>
            <w:r>
              <w:rPr>
                <w:rFonts w:hint="eastAsia" w:ascii="宋体" w:hAnsi="宋体" w:eastAsia="宋体" w:cs="宋体"/>
                <w:b w:val="0"/>
                <w:bCs w:val="0"/>
                <w:kern w:val="0"/>
                <w:sz w:val="24"/>
                <w:szCs w:val="24"/>
                <w:highlight w:val="none"/>
                <w:lang w:val="en-US" w:eastAsia="zh-CN" w:bidi="ar"/>
              </w:rPr>
              <w:t>必须以沥青或水泥方式硬化</w:t>
            </w:r>
            <w:r>
              <w:rPr>
                <w:rFonts w:hint="eastAsia" w:ascii="宋体" w:hAnsi="宋体" w:eastAsia="宋体" w:cs="宋体"/>
                <w:sz w:val="24"/>
                <w:szCs w:val="24"/>
                <w:highlight w:val="none"/>
              </w:rPr>
              <w:t>。标注尺寸的平面示意图并标注地面硬化材质的百分占比</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停车场路面硬化比例（即硬化面积占总面积的比率）不得低于70%，生态停车场不得低于50%</w:t>
            </w:r>
            <w:r>
              <w:rPr>
                <w:rFonts w:hint="eastAsia" w:ascii="宋体" w:hAnsi="宋体" w:cs="宋体"/>
                <w:sz w:val="24"/>
                <w:szCs w:val="24"/>
                <w:highlight w:val="none"/>
                <w:lang w:eastAsia="zh-CN"/>
              </w:rPr>
              <w:t>。</w:t>
            </w:r>
            <w:r>
              <w:rPr>
                <w:rFonts w:hint="eastAsia" w:ascii="宋体" w:hAnsi="宋体" w:eastAsia="宋体" w:cs="宋体"/>
                <w:b/>
                <w:bCs/>
                <w:sz w:val="24"/>
                <w:szCs w:val="24"/>
                <w:highlight w:val="none"/>
              </w:rPr>
              <w:t>(</w:t>
            </w:r>
            <w:r>
              <w:rPr>
                <w:rFonts w:hint="eastAsia" w:ascii="宋体" w:hAnsi="宋体" w:cs="宋体"/>
                <w:b/>
                <w:bCs/>
                <w:sz w:val="24"/>
                <w:szCs w:val="24"/>
                <w:highlight w:val="none"/>
                <w:lang w:val="en-US" w:eastAsia="zh-CN"/>
              </w:rPr>
              <w:t>提供承诺函，且</w:t>
            </w:r>
            <w:r>
              <w:rPr>
                <w:rFonts w:hint="eastAsia" w:ascii="宋体" w:hAnsi="宋体" w:eastAsia="宋体" w:cs="宋体"/>
                <w:b/>
                <w:bCs/>
                <w:sz w:val="24"/>
                <w:szCs w:val="24"/>
                <w:highlight w:val="none"/>
              </w:rPr>
              <w:t>以上内容需通过文字、照片等的形式在响应文件中逐一介绍展示</w:t>
            </w:r>
            <w:r>
              <w:rPr>
                <w:rFonts w:hint="eastAsia" w:ascii="宋体" w:hAnsi="宋体" w:cs="宋体"/>
                <w:b/>
                <w:bCs/>
                <w:sz w:val="24"/>
                <w:szCs w:val="24"/>
                <w:highlight w:val="none"/>
                <w:lang w:eastAsia="zh-CN"/>
              </w:rPr>
              <w:t>，</w:t>
            </w:r>
            <w:r>
              <w:rPr>
                <w:rFonts w:hint="eastAsia" w:ascii="宋体" w:hAnsi="宋体" w:cs="宋体"/>
                <w:b/>
                <w:bCs/>
                <w:kern w:val="0"/>
                <w:sz w:val="24"/>
                <w:szCs w:val="24"/>
                <w:highlight w:val="none"/>
                <w:lang w:val="en-US" w:eastAsia="zh-CN" w:bidi="ar"/>
              </w:rPr>
              <w:t>所附照片、资料图像须画面清晰、内容完整可辨识，能够直观反映场地硬化材质、硬化区域范围；</w:t>
            </w:r>
            <w:r>
              <w:rPr>
                <w:rFonts w:hint="default" w:ascii="宋体" w:hAnsi="宋体" w:cs="宋体"/>
                <w:b/>
                <w:bCs/>
                <w:kern w:val="0"/>
                <w:sz w:val="24"/>
                <w:szCs w:val="24"/>
                <w:highlight w:val="none"/>
                <w:lang w:val="en-US" w:eastAsia="zh-CN" w:bidi="ar"/>
              </w:rPr>
              <w:t>投标时须提供</w:t>
            </w:r>
            <w:r>
              <w:rPr>
                <w:rFonts w:hint="eastAsia" w:ascii="宋体" w:hAnsi="宋体" w:cs="宋体"/>
                <w:b/>
                <w:bCs/>
                <w:kern w:val="0"/>
                <w:sz w:val="24"/>
                <w:szCs w:val="24"/>
                <w:highlight w:val="none"/>
                <w:lang w:val="en-US" w:eastAsia="zh-CN" w:bidi="ar"/>
              </w:rPr>
              <w:t>不少于2张的</w:t>
            </w:r>
            <w:r>
              <w:rPr>
                <w:rFonts w:hint="default" w:ascii="宋体" w:hAnsi="宋体" w:cs="宋体"/>
                <w:b/>
                <w:bCs/>
                <w:kern w:val="0"/>
                <w:sz w:val="24"/>
                <w:szCs w:val="24"/>
                <w:highlight w:val="none"/>
                <w:lang w:val="en-US" w:eastAsia="zh-CN" w:bidi="ar"/>
              </w:rPr>
              <w:t>完整无人机航拍</w:t>
            </w:r>
            <w:r>
              <w:rPr>
                <w:rFonts w:ascii="宋体" w:hAnsi="宋体" w:eastAsia="宋体" w:cs="宋体"/>
                <w:b/>
                <w:bCs/>
                <w:sz w:val="24"/>
                <w:szCs w:val="24"/>
                <w:highlight w:val="none"/>
              </w:rPr>
              <w:t>影像</w:t>
            </w:r>
            <w:r>
              <w:rPr>
                <w:rFonts w:hint="default" w:ascii="宋体" w:hAnsi="宋体" w:cs="宋体"/>
                <w:b/>
                <w:bCs/>
                <w:kern w:val="0"/>
                <w:sz w:val="24"/>
                <w:szCs w:val="24"/>
                <w:highlight w:val="none"/>
                <w:lang w:val="en-US" w:eastAsia="zh-CN" w:bidi="ar"/>
              </w:rPr>
              <w:t>图，</w:t>
            </w:r>
            <w:r>
              <w:rPr>
                <w:rFonts w:hint="eastAsia" w:ascii="宋体" w:hAnsi="宋体" w:cs="宋体"/>
                <w:b/>
                <w:bCs/>
                <w:kern w:val="0"/>
                <w:sz w:val="24"/>
                <w:szCs w:val="24"/>
                <w:highlight w:val="none"/>
                <w:lang w:val="en-US" w:eastAsia="zh-CN" w:bidi="ar"/>
              </w:rPr>
              <w:t>航拍图应完整覆盖整个停车场场地，画面清晰，可直观分辨硬化区域、非硬化区域边界，本项目为实质性要求和条件，</w:t>
            </w:r>
            <w:r>
              <w:rPr>
                <w:rFonts w:hint="eastAsia" w:ascii="宋体" w:hAnsi="宋体" w:cs="宋体"/>
                <w:b/>
                <w:bCs/>
                <w:strike w:val="0"/>
                <w:dstrike w:val="0"/>
                <w:sz w:val="24"/>
                <w:szCs w:val="24"/>
                <w:highlight w:val="none"/>
                <w:lang w:val="en-US" w:eastAsia="zh-CN"/>
              </w:rPr>
              <w:t>未提供或提供不完整或从提供的航拍影像图来判断场地硬化指标明显未达到比例的，</w:t>
            </w:r>
            <w:r>
              <w:rPr>
                <w:rFonts w:ascii="宋体" w:hAnsi="宋体" w:eastAsia="宋体" w:cs="宋体"/>
                <w:b/>
                <w:bCs/>
                <w:strike w:val="0"/>
                <w:dstrike w:val="0"/>
                <w:sz w:val="24"/>
                <w:szCs w:val="24"/>
                <w:highlight w:val="none"/>
              </w:rPr>
              <w:t>场地硬化指标不满足上述标准的</w:t>
            </w:r>
            <w:r>
              <w:rPr>
                <w:rFonts w:hint="eastAsia" w:ascii="宋体" w:hAnsi="宋体" w:eastAsia="宋体" w:cs="宋体"/>
                <w:b/>
                <w:bCs/>
                <w:strike w:val="0"/>
                <w:dstrike w:val="0"/>
                <w:sz w:val="24"/>
                <w:szCs w:val="24"/>
                <w:highlight w:val="none"/>
                <w:lang w:eastAsia="zh-CN"/>
              </w:rPr>
              <w:t>，</w:t>
            </w:r>
            <w:r>
              <w:rPr>
                <w:rFonts w:hint="eastAsia" w:ascii="宋体" w:hAnsi="宋体" w:eastAsia="宋体" w:cs="宋体"/>
                <w:b/>
                <w:bCs w:val="0"/>
                <w:color w:val="auto"/>
                <w:sz w:val="24"/>
                <w:szCs w:val="24"/>
                <w:highlight w:val="none"/>
              </w:rPr>
              <w:t>在符合性审查时按照投标无效处理</w:t>
            </w:r>
            <w:r>
              <w:rPr>
                <w:rFonts w:hint="eastAsia" w:ascii="宋体" w:hAnsi="宋体" w:cs="宋体"/>
                <w:b/>
                <w:bCs w:val="0"/>
                <w:color w:val="auto"/>
                <w:sz w:val="24"/>
                <w:szCs w:val="24"/>
                <w:highlight w:val="none"/>
                <w:lang w:eastAsia="zh-CN"/>
              </w:rPr>
              <w:t>。</w:t>
            </w:r>
            <w:r>
              <w:rPr>
                <w:rFonts w:hint="eastAsia" w:ascii="宋体" w:hAnsi="宋体" w:eastAsia="宋体" w:cs="宋体"/>
                <w:b/>
                <w:bCs/>
                <w:sz w:val="24"/>
                <w:szCs w:val="24"/>
                <w:highlight w:val="none"/>
              </w:rPr>
              <w:t>）</w:t>
            </w:r>
          </w:p>
        </w:tc>
      </w:tr>
      <w:tr w14:paraId="422E14E3">
        <w:tblPrEx>
          <w:tblCellMar>
            <w:top w:w="0" w:type="dxa"/>
            <w:left w:w="108" w:type="dxa"/>
            <w:bottom w:w="0" w:type="dxa"/>
            <w:right w:w="108" w:type="dxa"/>
          </w:tblCellMar>
        </w:tblPrEx>
        <w:trPr>
          <w:trHeight w:val="338" w:hRule="atLeast"/>
          <w:jc w:val="center"/>
        </w:trPr>
        <w:tc>
          <w:tcPr>
            <w:tcW w:w="972" w:type="dxa"/>
            <w:tcBorders>
              <w:top w:val="nil"/>
              <w:left w:val="single" w:color="auto" w:sz="4" w:space="0"/>
              <w:bottom w:val="single" w:color="auto" w:sz="4" w:space="0"/>
              <w:right w:val="single" w:color="auto" w:sz="4" w:space="0"/>
            </w:tcBorders>
            <w:vAlign w:val="center"/>
          </w:tcPr>
          <w:p w14:paraId="72D767F1">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宋体" w:hAnsi="宋体" w:eastAsia="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三</w:t>
            </w:r>
            <w:r>
              <w:rPr>
                <w:rFonts w:hint="eastAsia" w:ascii="宋体" w:hAnsi="宋体" w:cs="宋体"/>
                <w:sz w:val="24"/>
                <w:szCs w:val="24"/>
                <w:lang w:eastAsia="zh-CN"/>
              </w:rPr>
              <w:t>）</w:t>
            </w:r>
          </w:p>
        </w:tc>
        <w:tc>
          <w:tcPr>
            <w:tcW w:w="7790" w:type="dxa"/>
            <w:tcBorders>
              <w:top w:val="nil"/>
              <w:left w:val="nil"/>
              <w:bottom w:val="single" w:color="auto" w:sz="4" w:space="0"/>
              <w:right w:val="single" w:color="auto" w:sz="4" w:space="0"/>
            </w:tcBorders>
          </w:tcPr>
          <w:p w14:paraId="05AEB26B">
            <w:pPr>
              <w:keepNext w:val="0"/>
              <w:keepLines w:val="0"/>
              <w:pageBreakBefore w:val="0"/>
              <w:widowControl/>
              <w:suppressLineNumbers w:val="0"/>
              <w:kinsoku/>
              <w:wordWrap/>
              <w:overflowPunct/>
              <w:topLinePunct w:val="0"/>
              <w:autoSpaceDE/>
              <w:autoSpaceDN/>
              <w:bidi w:val="0"/>
              <w:adjustRightInd/>
              <w:snapToGrid/>
              <w:spacing w:line="440" w:lineRule="exact"/>
              <w:ind w:firstLine="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停车场地符合防盗、防损安全标准，严格落实防盗、防损安全措施。</w:t>
            </w:r>
          </w:p>
          <w:p w14:paraId="46DD876D">
            <w:pPr>
              <w:keepNext w:val="0"/>
              <w:keepLines w:val="0"/>
              <w:pageBreakBefore w:val="0"/>
              <w:widowControl/>
              <w:numPr>
                <w:ilvl w:val="0"/>
                <w:numId w:val="2"/>
              </w:numPr>
              <w:suppressLineNumbers w:val="0"/>
              <w:kinsoku/>
              <w:wordWrap/>
              <w:overflowPunct/>
              <w:topLinePunct w:val="0"/>
              <w:autoSpaceDE/>
              <w:autoSpaceDN/>
              <w:bidi w:val="0"/>
              <w:adjustRightInd/>
              <w:snapToGrid/>
              <w:spacing w:line="440" w:lineRule="exact"/>
              <w:ind w:firstLine="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监控系统。停车场要安装全覆盖视频监控（1080p以上），录像连续完整存储时间≧30天，存储期内不得循环覆盖或提前删除。</w:t>
            </w:r>
          </w:p>
          <w:p w14:paraId="1E84B3C6">
            <w:pPr>
              <w:keepNext w:val="0"/>
              <w:keepLines w:val="0"/>
              <w:pageBreakBefore w:val="0"/>
              <w:widowControl/>
              <w:numPr>
                <w:ilvl w:val="0"/>
                <w:numId w:val="2"/>
              </w:numPr>
              <w:suppressLineNumbers w:val="0"/>
              <w:kinsoku/>
              <w:wordWrap/>
              <w:overflowPunct/>
              <w:topLinePunct w:val="0"/>
              <w:autoSpaceDE/>
              <w:autoSpaceDN/>
              <w:bidi w:val="0"/>
              <w:adjustRightInd/>
              <w:snapToGrid/>
              <w:spacing w:line="440" w:lineRule="exact"/>
              <w:ind w:left="0" w:leftChars="0"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出入口控制。双向车道宽度≧6m,单项≧4m,道闸反应时间≦3秒；</w:t>
            </w:r>
          </w:p>
          <w:p w14:paraId="009AF4BC">
            <w:pPr>
              <w:keepNext w:val="0"/>
              <w:keepLines w:val="0"/>
              <w:pageBreakBefore w:val="0"/>
              <w:widowControl/>
              <w:numPr>
                <w:ilvl w:val="0"/>
                <w:numId w:val="2"/>
              </w:numPr>
              <w:suppressLineNumbers w:val="0"/>
              <w:kinsoku/>
              <w:wordWrap/>
              <w:overflowPunct/>
              <w:topLinePunct w:val="0"/>
              <w:autoSpaceDE/>
              <w:autoSpaceDN/>
              <w:bidi w:val="0"/>
              <w:adjustRightInd/>
              <w:snapToGrid/>
              <w:spacing w:line="440" w:lineRule="exact"/>
              <w:ind w:left="0" w:leftChars="0"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照明。夜间照明≧50lux,重点区域≧100lux；采用LED节能灯具，配备</w:t>
            </w:r>
            <w:r>
              <w:rPr>
                <w:rFonts w:hint="default" w:ascii="宋体" w:hAnsi="宋体" w:eastAsia="宋体" w:cs="宋体"/>
                <w:kern w:val="0"/>
                <w:sz w:val="24"/>
                <w:szCs w:val="24"/>
                <w:highlight w:val="none"/>
                <w:lang w:val="en-US" w:eastAsia="zh-CN" w:bidi="ar"/>
              </w:rPr>
              <w:t>可正常投入使用的</w:t>
            </w:r>
            <w:r>
              <w:rPr>
                <w:rFonts w:hint="eastAsia" w:ascii="宋体" w:hAnsi="宋体" w:eastAsia="宋体" w:cs="宋体"/>
                <w:sz w:val="24"/>
                <w:szCs w:val="24"/>
                <w:highlight w:val="none"/>
              </w:rPr>
              <w:t>UPS应急电源</w:t>
            </w:r>
            <w:r>
              <w:rPr>
                <w:rFonts w:ascii="宋体" w:hAnsi="宋体" w:eastAsia="宋体" w:cs="宋体"/>
                <w:sz w:val="24"/>
                <w:szCs w:val="24"/>
                <w:highlight w:val="none"/>
              </w:rPr>
              <w:t>，不接受闲置、故障、无法实际投入使用的设备。</w:t>
            </w:r>
          </w:p>
          <w:p w14:paraId="2960D76F">
            <w:pPr>
              <w:keepNext w:val="0"/>
              <w:keepLines w:val="0"/>
              <w:pageBreakBefore w:val="0"/>
              <w:widowControl/>
              <w:numPr>
                <w:ilvl w:val="0"/>
                <w:numId w:val="2"/>
              </w:numPr>
              <w:suppressLineNumbers w:val="0"/>
              <w:kinsoku/>
              <w:wordWrap/>
              <w:overflowPunct/>
              <w:topLinePunct w:val="0"/>
              <w:autoSpaceDE/>
              <w:autoSpaceDN/>
              <w:bidi w:val="0"/>
              <w:adjustRightInd/>
              <w:snapToGrid/>
              <w:spacing w:line="440" w:lineRule="exact"/>
              <w:ind w:left="0" w:leftChars="0"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结构防护。柱体防撞护角高度≧1.2m,采用橡胶或金属材质，墙面反光警示条（黑白相间，间距≦30cm）。</w:t>
            </w:r>
          </w:p>
          <w:p w14:paraId="226A61C3">
            <w:pPr>
              <w:keepNext w:val="0"/>
              <w:keepLines w:val="0"/>
              <w:pageBreakBefore w:val="0"/>
              <w:widowControl/>
              <w:numPr>
                <w:ilvl w:val="0"/>
                <w:numId w:val="2"/>
              </w:numPr>
              <w:suppressLineNumbers w:val="0"/>
              <w:kinsoku/>
              <w:wordWrap/>
              <w:overflowPunct/>
              <w:topLinePunct w:val="0"/>
              <w:autoSpaceDE/>
              <w:autoSpaceDN/>
              <w:bidi w:val="0"/>
              <w:adjustRightInd/>
              <w:snapToGrid/>
              <w:spacing w:line="440" w:lineRule="exact"/>
              <w:ind w:left="0" w:leftChars="0"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车辆防碰撞。车辆划线宽度≧150mm，设置车轮挡杆（距车位线0.8m），转弯半径≧6m，通道宽度≧5.5m（双向）。提供可保证车辆安全的证据，具有履行妥善保管涉案车辆的职责和义务，保障执法办案需要，防止车辆损毁或丢失，维护当事人合法权益。</w:t>
            </w:r>
          </w:p>
          <w:p w14:paraId="5CBD7997">
            <w:pPr>
              <w:keepNext w:val="0"/>
              <w:keepLines w:val="0"/>
              <w:pageBreakBefore w:val="0"/>
              <w:widowControl/>
              <w:numPr>
                <w:ilvl w:val="0"/>
                <w:numId w:val="2"/>
              </w:numPr>
              <w:suppressLineNumbers w:val="0"/>
              <w:kinsoku/>
              <w:wordWrap/>
              <w:overflowPunct/>
              <w:topLinePunct w:val="0"/>
              <w:autoSpaceDE/>
              <w:autoSpaceDN/>
              <w:bidi w:val="0"/>
              <w:adjustRightInd/>
              <w:snapToGrid/>
              <w:spacing w:line="440" w:lineRule="exact"/>
              <w:ind w:left="0" w:leftChars="0" w:firstLine="0" w:firstLineChars="0"/>
              <w:jc w:val="left"/>
              <w:textAlignment w:val="auto"/>
              <w:rPr>
                <w:rFonts w:ascii="宋体" w:hAnsi="宋体" w:eastAsia="宋体" w:cs="宋体"/>
                <w:sz w:val="24"/>
                <w:szCs w:val="24"/>
                <w:highlight w:val="none"/>
              </w:rPr>
            </w:pPr>
            <w:r>
              <w:rPr>
                <w:rFonts w:ascii="宋体" w:hAnsi="宋体" w:eastAsia="宋体" w:cs="宋体"/>
                <w:sz w:val="24"/>
                <w:szCs w:val="24"/>
                <w:highlight w:val="none"/>
              </w:rPr>
              <w:t>防火设备、标识标牌、道闸、门牌、车轮挡杆等全部硬件设施须保证在合同履约起始之时即可完整投入使用，完全满足涉案车辆保管使用要求。</w:t>
            </w:r>
          </w:p>
          <w:p w14:paraId="1381E1F3">
            <w:pPr>
              <w:keepNext w:val="0"/>
              <w:keepLines w:val="0"/>
              <w:pageBreakBefore w:val="0"/>
              <w:widowControl/>
              <w:suppressLineNumbers w:val="0"/>
              <w:kinsoku/>
              <w:wordWrap/>
              <w:overflowPunct/>
              <w:topLinePunct w:val="0"/>
              <w:autoSpaceDE/>
              <w:autoSpaceDN/>
              <w:bidi w:val="0"/>
              <w:adjustRightInd/>
              <w:snapToGrid/>
              <w:spacing w:line="440" w:lineRule="exact"/>
              <w:ind w:firstLine="0"/>
              <w:jc w:val="left"/>
              <w:textAlignment w:val="auto"/>
              <w:rPr>
                <w:b/>
                <w:bCs/>
                <w:highlight w:val="none"/>
              </w:rPr>
            </w:pPr>
            <w:r>
              <w:rPr>
                <w:rFonts w:hint="eastAsia" w:ascii="宋体" w:hAnsi="宋体" w:cs="宋体"/>
                <w:b/>
                <w:bCs/>
                <w:kern w:val="0"/>
                <w:sz w:val="24"/>
                <w:szCs w:val="24"/>
                <w:highlight w:val="none"/>
                <w:lang w:val="en-US" w:eastAsia="zh-CN" w:bidi="ar"/>
              </w:rPr>
              <w:t>注：</w:t>
            </w:r>
            <w:r>
              <w:rPr>
                <w:rFonts w:hint="default" w:ascii="宋体" w:hAnsi="宋体" w:eastAsia="宋体" w:cs="宋体"/>
                <w:b/>
                <w:bCs/>
                <w:kern w:val="0"/>
                <w:sz w:val="24"/>
                <w:szCs w:val="24"/>
                <w:highlight w:val="none"/>
                <w:lang w:val="en-US" w:eastAsia="zh-CN" w:bidi="ar"/>
              </w:rPr>
              <w:t>投标人须在投标文件中提供加盖单位公章的书面承诺</w:t>
            </w:r>
            <w:r>
              <w:rPr>
                <w:rFonts w:hint="eastAsia" w:ascii="宋体" w:hAnsi="宋体" w:eastAsia="宋体" w:cs="宋体"/>
                <w:b/>
                <w:bCs/>
                <w:kern w:val="0"/>
                <w:sz w:val="24"/>
                <w:szCs w:val="24"/>
                <w:highlight w:val="none"/>
                <w:lang w:val="en-US" w:eastAsia="zh-CN" w:bidi="ar"/>
              </w:rPr>
              <w:t>（格式自拟）</w:t>
            </w:r>
            <w:r>
              <w:rPr>
                <w:rFonts w:hint="default" w:ascii="宋体" w:hAnsi="宋体" w:eastAsia="宋体" w:cs="宋体"/>
                <w:b/>
                <w:bCs/>
                <w:kern w:val="0"/>
                <w:sz w:val="24"/>
                <w:szCs w:val="24"/>
                <w:highlight w:val="none"/>
                <w:lang w:val="en-US" w:eastAsia="zh-CN" w:bidi="ar"/>
              </w:rPr>
              <w:t>，对本条款全部防盗防损相关要求（含监控系统、出入口控制、照明及 UPS 应急电源、结构防护、车辆防碰撞、投标文件照片所体现全部道钉等）进行承诺：投标申报停车场上述设施设备全部完全符合本采购需求各项技术标准；投标文件所附照片、航拍图中展示的道钉、防撞设施均已现场固定安装到位，不存在临时摆放摆拍情形</w:t>
            </w:r>
            <w:r>
              <w:rPr>
                <w:rFonts w:hint="eastAsia" w:ascii="宋体" w:hAnsi="宋体" w:cs="宋体"/>
                <w:b/>
                <w:bCs/>
                <w:kern w:val="0"/>
                <w:sz w:val="24"/>
                <w:szCs w:val="24"/>
                <w:highlight w:val="none"/>
                <w:lang w:val="en-US" w:eastAsia="zh-CN" w:bidi="ar"/>
              </w:rPr>
              <w:t>，不得</w:t>
            </w:r>
            <w:r>
              <w:rPr>
                <w:rFonts w:hint="eastAsia" w:ascii="宋体" w:hAnsi="宋体" w:eastAsia="宋体" w:cs="宋体"/>
                <w:b/>
                <w:bCs/>
                <w:kern w:val="0"/>
                <w:sz w:val="24"/>
                <w:szCs w:val="24"/>
                <w:highlight w:val="none"/>
                <w:lang w:val="en-US" w:eastAsia="zh-CN" w:bidi="ar"/>
              </w:rPr>
              <w:t>以</w:t>
            </w:r>
            <w:r>
              <w:rPr>
                <w:rFonts w:hint="default" w:ascii="宋体" w:hAnsi="宋体" w:eastAsia="宋体" w:cs="宋体"/>
                <w:b/>
                <w:bCs/>
                <w:kern w:val="0"/>
                <w:sz w:val="24"/>
                <w:szCs w:val="24"/>
                <w:highlight w:val="none"/>
                <w:lang w:val="en-US" w:eastAsia="zh-CN" w:bidi="ar"/>
              </w:rPr>
              <w:t>存放仓库、未打钉、怕被盗</w:t>
            </w:r>
            <w:r>
              <w:rPr>
                <w:rFonts w:hint="eastAsia" w:ascii="宋体" w:hAnsi="宋体" w:eastAsia="宋体" w:cs="宋体"/>
                <w:b/>
                <w:bCs/>
                <w:kern w:val="0"/>
                <w:sz w:val="24"/>
                <w:szCs w:val="24"/>
                <w:highlight w:val="none"/>
                <w:lang w:val="en-US" w:eastAsia="zh-CN" w:bidi="ar"/>
              </w:rPr>
              <w:t>/</w:t>
            </w:r>
            <w:r>
              <w:rPr>
                <w:rFonts w:hint="default" w:ascii="宋体" w:hAnsi="宋体" w:eastAsia="宋体" w:cs="宋体"/>
                <w:b/>
                <w:bCs/>
                <w:kern w:val="0"/>
                <w:sz w:val="24"/>
                <w:szCs w:val="24"/>
                <w:highlight w:val="none"/>
                <w:lang w:val="en-US" w:eastAsia="zh-CN" w:bidi="ar"/>
              </w:rPr>
              <w:t>风雨</w:t>
            </w:r>
            <w:r>
              <w:rPr>
                <w:rFonts w:hint="eastAsia" w:ascii="宋体" w:hAnsi="宋体" w:eastAsia="宋体" w:cs="宋体"/>
                <w:b/>
                <w:bCs/>
                <w:kern w:val="0"/>
                <w:sz w:val="24"/>
                <w:szCs w:val="24"/>
                <w:highlight w:val="none"/>
                <w:lang w:val="en-US" w:eastAsia="zh-CN" w:bidi="ar"/>
              </w:rPr>
              <w:t>等</w:t>
            </w:r>
            <w:r>
              <w:rPr>
                <w:rFonts w:hint="default" w:ascii="宋体" w:hAnsi="宋体" w:eastAsia="宋体" w:cs="宋体"/>
                <w:b/>
                <w:bCs/>
                <w:kern w:val="0"/>
                <w:sz w:val="24"/>
                <w:szCs w:val="24"/>
                <w:highlight w:val="none"/>
                <w:lang w:val="en-US" w:eastAsia="zh-CN" w:bidi="ar"/>
              </w:rPr>
              <w:t>为由</w:t>
            </w:r>
            <w:r>
              <w:rPr>
                <w:rFonts w:hint="eastAsia" w:ascii="宋体" w:hAnsi="宋体" w:cs="宋体"/>
                <w:b/>
                <w:bCs/>
                <w:kern w:val="0"/>
                <w:sz w:val="24"/>
                <w:szCs w:val="24"/>
                <w:highlight w:val="none"/>
                <w:lang w:val="en-US" w:eastAsia="zh-CN" w:bidi="ar"/>
              </w:rPr>
              <w:t>推诿</w:t>
            </w:r>
            <w:r>
              <w:rPr>
                <w:rFonts w:hint="default" w:ascii="宋体" w:hAnsi="宋体" w:eastAsia="宋体" w:cs="宋体"/>
                <w:b/>
                <w:bCs/>
                <w:kern w:val="0"/>
                <w:sz w:val="24"/>
                <w:szCs w:val="24"/>
                <w:highlight w:val="none"/>
                <w:lang w:val="en-US" w:eastAsia="zh-CN" w:bidi="ar"/>
              </w:rPr>
              <w:t>；全部设备工况完好，保证在合同履约起始之时即可完整投入涉案车辆保管使用，不存在故障、闲置、无法启用的设备。采购人将在签约前组织现场实地核查，如实地检查时发现前述设施设备达不到采购需求标准、达不到可直接投入使用状态，或道钉关键位置缺失、未固定安装、与投标照片明显不一致（因正常使用造成轻微个别损坏除外），视为投标人投标承诺不实</w:t>
            </w:r>
            <w:r>
              <w:rPr>
                <w:rFonts w:hint="eastAsia" w:ascii="宋体" w:hAnsi="宋体" w:eastAsia="宋体" w:cs="宋体"/>
                <w:b/>
                <w:bCs/>
                <w:kern w:val="0"/>
                <w:sz w:val="24"/>
                <w:szCs w:val="24"/>
                <w:highlight w:val="none"/>
                <w:lang w:val="en-US" w:eastAsia="zh-CN" w:bidi="ar"/>
              </w:rPr>
              <w:t>。</w:t>
            </w:r>
          </w:p>
          <w:p w14:paraId="0A33606C">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leftChars="0" w:firstLine="0"/>
              <w:jc w:val="lef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(以上内容需通过文字、照片等的形式在响应文件中逐一介绍展示</w:t>
            </w:r>
            <w:r>
              <w:rPr>
                <w:rFonts w:hint="eastAsia" w:ascii="宋体" w:hAnsi="宋体" w:cs="宋体"/>
                <w:b/>
                <w:bCs/>
                <w:sz w:val="24"/>
                <w:szCs w:val="24"/>
                <w:highlight w:val="none"/>
                <w:lang w:eastAsia="zh-CN"/>
              </w:rPr>
              <w:t>，</w:t>
            </w:r>
            <w:r>
              <w:rPr>
                <w:rFonts w:hint="eastAsia" w:ascii="宋体" w:hAnsi="宋体" w:cs="宋体"/>
                <w:b/>
                <w:bCs/>
                <w:sz w:val="24"/>
                <w:szCs w:val="24"/>
                <w:highlight w:val="none"/>
                <w:lang w:val="en-US" w:eastAsia="zh-CN"/>
              </w:rPr>
              <w:t>并提供承诺书（格式自拟），</w:t>
            </w:r>
            <w:r>
              <w:rPr>
                <w:rFonts w:hint="eastAsia" w:ascii="宋体" w:hAnsi="宋体" w:eastAsia="宋体" w:cs="宋体"/>
                <w:b/>
                <w:bCs/>
                <w:sz w:val="24"/>
                <w:szCs w:val="24"/>
                <w:highlight w:val="none"/>
                <w:lang w:val="en-US" w:eastAsia="zh-CN"/>
              </w:rPr>
              <w:t>所有附图资料图像清晰、要素齐全，可直观核验；投标时提供，资料不完整、图像模糊无法辨识、未提供的不得分</w:t>
            </w:r>
            <w:r>
              <w:rPr>
                <w:rFonts w:hint="eastAsia" w:ascii="宋体" w:hAnsi="宋体" w:cs="宋体"/>
                <w:b/>
                <w:bCs/>
                <w:sz w:val="24"/>
                <w:szCs w:val="24"/>
                <w:highlight w:val="none"/>
                <w:lang w:val="en-US" w:eastAsia="zh-CN"/>
              </w:rPr>
              <w:t>。</w:t>
            </w:r>
            <w:r>
              <w:rPr>
                <w:rFonts w:hint="eastAsia" w:ascii="宋体" w:hAnsi="宋体" w:eastAsia="宋体" w:cs="宋体"/>
                <w:b/>
                <w:bCs/>
                <w:sz w:val="24"/>
                <w:szCs w:val="24"/>
                <w:highlight w:val="none"/>
              </w:rPr>
              <w:t>)</w:t>
            </w:r>
          </w:p>
        </w:tc>
      </w:tr>
      <w:tr w14:paraId="265C8E6B">
        <w:tblPrEx>
          <w:tblCellMar>
            <w:top w:w="0" w:type="dxa"/>
            <w:left w:w="108" w:type="dxa"/>
            <w:bottom w:w="0" w:type="dxa"/>
            <w:right w:w="108" w:type="dxa"/>
          </w:tblCellMar>
        </w:tblPrEx>
        <w:trPr>
          <w:trHeight w:val="638" w:hRule="atLeast"/>
          <w:jc w:val="center"/>
        </w:trPr>
        <w:tc>
          <w:tcPr>
            <w:tcW w:w="972" w:type="dxa"/>
            <w:tcBorders>
              <w:top w:val="nil"/>
              <w:left w:val="single" w:color="auto" w:sz="4" w:space="0"/>
              <w:bottom w:val="single" w:color="auto" w:sz="4" w:space="0"/>
              <w:right w:val="single" w:color="auto" w:sz="4" w:space="0"/>
            </w:tcBorders>
            <w:vAlign w:val="center"/>
          </w:tcPr>
          <w:p w14:paraId="0A691BA0">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宋体" w:hAnsi="宋体" w:eastAsia="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四</w:t>
            </w:r>
            <w:r>
              <w:rPr>
                <w:rFonts w:hint="eastAsia" w:ascii="宋体" w:hAnsi="宋体" w:cs="宋体"/>
                <w:sz w:val="24"/>
                <w:szCs w:val="24"/>
                <w:lang w:eastAsia="zh-CN"/>
              </w:rPr>
              <w:t>）</w:t>
            </w:r>
          </w:p>
        </w:tc>
        <w:tc>
          <w:tcPr>
            <w:tcW w:w="7790" w:type="dxa"/>
            <w:tcBorders>
              <w:top w:val="nil"/>
              <w:left w:val="nil"/>
              <w:bottom w:val="single" w:color="auto" w:sz="4" w:space="0"/>
              <w:right w:val="single" w:color="auto" w:sz="4" w:space="0"/>
            </w:tcBorders>
          </w:tcPr>
          <w:p w14:paraId="29EA04D6">
            <w:pPr>
              <w:keepNext w:val="0"/>
              <w:keepLines w:val="0"/>
              <w:pageBreakBefore w:val="0"/>
              <w:widowControl w:val="0"/>
              <w:kinsoku/>
              <w:wordWrap/>
              <w:overflowPunct/>
              <w:topLinePunct w:val="0"/>
              <w:autoSpaceDE/>
              <w:autoSpaceDN/>
              <w:bidi w:val="0"/>
              <w:adjustRightInd/>
              <w:snapToGrid/>
              <w:spacing w:line="440" w:lineRule="exact"/>
              <w:ind w:firstLine="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停车场地符合防火、防汛安全标准，严格落实防火、防汛安全措施。</w:t>
            </w:r>
          </w:p>
          <w:p w14:paraId="61EDC2DF">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firstLine="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防火。耐火等级不低于二级，每50㎡至少1具4Kg以上ABC干粉灭火器，配备必要防火毯；</w:t>
            </w:r>
          </w:p>
          <w:p w14:paraId="067C34BC">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防汛。地面坡度≧1%，排水沟间距≦15m，会水后接入市政管网；配备沙袋、防水挡板（高度≧500mm）及备用排水泵。</w:t>
            </w:r>
          </w:p>
          <w:p w14:paraId="7FE9B67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w:t>
            </w:r>
            <w:r>
              <w:rPr>
                <w:rFonts w:hint="eastAsia" w:ascii="宋体" w:hAnsi="宋体" w:cs="宋体"/>
                <w:b/>
                <w:bCs/>
                <w:sz w:val="24"/>
                <w:szCs w:val="24"/>
                <w:highlight w:val="none"/>
                <w:lang w:val="en-US" w:eastAsia="zh-CN"/>
              </w:rPr>
              <w:t>注：</w:t>
            </w:r>
            <w:r>
              <w:rPr>
                <w:rFonts w:hint="eastAsia" w:ascii="宋体" w:hAnsi="宋体" w:eastAsia="宋体" w:cs="宋体"/>
                <w:b/>
                <w:bCs/>
                <w:sz w:val="24"/>
                <w:szCs w:val="24"/>
                <w:highlight w:val="none"/>
              </w:rPr>
              <w:t>以上内容需通过文字、照片等的形式在响应文件中逐一介绍展示</w:t>
            </w:r>
            <w:r>
              <w:rPr>
                <w:rFonts w:hint="eastAsia" w:ascii="宋体" w:hAnsi="宋体" w:cs="宋体"/>
                <w:b/>
                <w:bCs/>
                <w:sz w:val="24"/>
                <w:szCs w:val="24"/>
                <w:highlight w:val="none"/>
                <w:lang w:eastAsia="zh-CN"/>
              </w:rPr>
              <w:t>，</w:t>
            </w:r>
            <w:r>
              <w:rPr>
                <w:rFonts w:hint="eastAsia" w:ascii="宋体" w:hAnsi="宋体" w:eastAsia="宋体" w:cs="宋体"/>
                <w:b/>
                <w:bCs/>
                <w:sz w:val="24"/>
                <w:szCs w:val="24"/>
                <w:highlight w:val="none"/>
                <w:lang w:val="en-US" w:eastAsia="zh-CN"/>
              </w:rPr>
              <w:t>所有附图资料图像清晰、要素齐全，可直观核验；投标时提供，资料不完整、图像模糊无法辨识、未提供的不得分</w:t>
            </w:r>
            <w:r>
              <w:rPr>
                <w:rFonts w:hint="eastAsia" w:ascii="宋体" w:hAnsi="宋体" w:cs="宋体"/>
                <w:b/>
                <w:bCs/>
                <w:sz w:val="24"/>
                <w:szCs w:val="24"/>
                <w:highlight w:val="none"/>
                <w:lang w:val="en-US" w:eastAsia="zh-CN"/>
              </w:rPr>
              <w:t>。</w:t>
            </w:r>
            <w:r>
              <w:rPr>
                <w:rFonts w:hint="eastAsia" w:ascii="宋体" w:hAnsi="宋体" w:eastAsia="宋体" w:cs="宋体"/>
                <w:b/>
                <w:bCs/>
                <w:sz w:val="24"/>
                <w:szCs w:val="24"/>
                <w:highlight w:val="none"/>
              </w:rPr>
              <w:t>)</w:t>
            </w:r>
          </w:p>
        </w:tc>
      </w:tr>
      <w:tr w14:paraId="10F19390">
        <w:tblPrEx>
          <w:tblCellMar>
            <w:top w:w="0" w:type="dxa"/>
            <w:left w:w="108" w:type="dxa"/>
            <w:bottom w:w="0" w:type="dxa"/>
            <w:right w:w="108" w:type="dxa"/>
          </w:tblCellMar>
        </w:tblPrEx>
        <w:trPr>
          <w:trHeight w:val="416" w:hRule="atLeast"/>
          <w:jc w:val="center"/>
        </w:trPr>
        <w:tc>
          <w:tcPr>
            <w:tcW w:w="972" w:type="dxa"/>
            <w:tcBorders>
              <w:top w:val="single" w:color="auto" w:sz="4" w:space="0"/>
              <w:left w:val="single" w:color="auto" w:sz="4" w:space="0"/>
              <w:bottom w:val="single" w:color="auto" w:sz="4" w:space="0"/>
              <w:right w:val="single" w:color="auto" w:sz="4" w:space="0"/>
            </w:tcBorders>
            <w:vAlign w:val="center"/>
          </w:tcPr>
          <w:p w14:paraId="7AF297C8">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宋体" w:hAnsi="宋体" w:eastAsia="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五</w:t>
            </w:r>
            <w:r>
              <w:rPr>
                <w:rFonts w:hint="eastAsia" w:ascii="宋体" w:hAnsi="宋体" w:cs="宋体"/>
                <w:sz w:val="24"/>
                <w:szCs w:val="24"/>
                <w:lang w:eastAsia="zh-CN"/>
              </w:rPr>
              <w:t>）</w:t>
            </w:r>
          </w:p>
        </w:tc>
        <w:tc>
          <w:tcPr>
            <w:tcW w:w="7790" w:type="dxa"/>
            <w:tcBorders>
              <w:top w:val="single" w:color="auto" w:sz="4" w:space="0"/>
              <w:left w:val="single" w:color="auto" w:sz="4" w:space="0"/>
              <w:bottom w:val="single" w:color="auto" w:sz="4" w:space="0"/>
              <w:right w:val="single" w:color="auto" w:sz="4" w:space="0"/>
            </w:tcBorders>
          </w:tcPr>
          <w:p w14:paraId="17F15F37">
            <w:pPr>
              <w:keepNext w:val="0"/>
              <w:keepLines w:val="0"/>
              <w:pageBreakBefore w:val="0"/>
              <w:widowControl w:val="0"/>
              <w:numPr>
                <w:ilvl w:val="0"/>
                <w:numId w:val="4"/>
              </w:numPr>
              <w:kinsoku/>
              <w:wordWrap/>
              <w:overflowPunct/>
              <w:topLinePunct w:val="0"/>
              <w:autoSpaceDE/>
              <w:autoSpaceDN/>
              <w:bidi w:val="0"/>
              <w:adjustRightInd/>
              <w:snapToGrid/>
              <w:spacing w:line="440" w:lineRule="exact"/>
              <w:ind w:firstLine="0"/>
              <w:textAlignment w:val="auto"/>
              <w:rPr>
                <w:rFonts w:hint="eastAsia" w:ascii="宋体" w:hAnsi="宋体" w:eastAsia="宋体" w:cs="宋体"/>
                <w:sz w:val="24"/>
                <w:szCs w:val="24"/>
                <w:highlight w:val="none"/>
              </w:rPr>
            </w:pPr>
            <w:r>
              <w:rPr>
                <w:rFonts w:ascii="宋体" w:hAnsi="宋体" w:eastAsia="宋体" w:cs="宋体"/>
                <w:sz w:val="24"/>
                <w:szCs w:val="24"/>
                <w:highlight w:val="none"/>
              </w:rPr>
              <w:t>出入口通行条件：</w:t>
            </w:r>
            <w:r>
              <w:rPr>
                <w:rFonts w:hint="eastAsia" w:ascii="宋体" w:hAnsi="宋体" w:eastAsia="宋体" w:cs="宋体"/>
                <w:sz w:val="24"/>
                <w:szCs w:val="24"/>
                <w:highlight w:val="none"/>
              </w:rPr>
              <w:t>停车场出入口要规范合理（有良好的视野，距离人行过街天桥、地道和桥梁、隧道引道、交叉路口不宜过近），出入口不得存在逆行、跨实线变道等违反交通法规的情况，满足车辆正常出入条件，保证人员、车辆出入安全。</w:t>
            </w:r>
          </w:p>
          <w:p w14:paraId="5AFD57F1">
            <w:pPr>
              <w:keepNext w:val="0"/>
              <w:keepLines w:val="0"/>
              <w:pageBreakBefore w:val="0"/>
              <w:widowControl w:val="0"/>
              <w:numPr>
                <w:ilvl w:val="0"/>
                <w:numId w:val="4"/>
              </w:numPr>
              <w:kinsoku/>
              <w:wordWrap/>
              <w:overflowPunct/>
              <w:topLinePunct w:val="0"/>
              <w:autoSpaceDE/>
              <w:autoSpaceDN/>
              <w:bidi w:val="0"/>
              <w:adjustRightInd/>
              <w:snapToGrid/>
              <w:spacing w:line="440" w:lineRule="exact"/>
              <w:ind w:firstLine="0"/>
              <w:textAlignment w:val="auto"/>
              <w:rPr>
                <w:rFonts w:hint="eastAsia" w:ascii="宋体" w:hAnsi="宋体" w:eastAsia="宋体" w:cs="宋体"/>
                <w:sz w:val="24"/>
                <w:szCs w:val="24"/>
                <w:highlight w:val="none"/>
              </w:rPr>
            </w:pPr>
            <w:r>
              <w:rPr>
                <w:rFonts w:ascii="宋体" w:hAnsi="宋体" w:eastAsia="宋体" w:cs="宋体"/>
                <w:sz w:val="24"/>
                <w:szCs w:val="24"/>
                <w:highlight w:val="none"/>
              </w:rPr>
              <w:t>标识标牌设置：</w:t>
            </w:r>
            <w:r>
              <w:rPr>
                <w:rFonts w:hint="eastAsia" w:ascii="宋体" w:hAnsi="宋体" w:eastAsia="宋体" w:cs="宋体"/>
                <w:sz w:val="24"/>
                <w:szCs w:val="24"/>
                <w:highlight w:val="none"/>
              </w:rPr>
              <w:t>停车场</w:t>
            </w:r>
            <w:r>
              <w:rPr>
                <w:rFonts w:ascii="宋体" w:hAnsi="宋体" w:eastAsia="宋体" w:cs="宋体"/>
                <w:sz w:val="24"/>
                <w:szCs w:val="24"/>
                <w:highlight w:val="none"/>
              </w:rPr>
              <w:t>大门处须</w:t>
            </w:r>
            <w:r>
              <w:rPr>
                <w:rFonts w:hint="eastAsia" w:ascii="宋体" w:hAnsi="宋体" w:eastAsia="宋体" w:cs="宋体"/>
                <w:sz w:val="24"/>
                <w:szCs w:val="24"/>
                <w:highlight w:val="none"/>
              </w:rPr>
              <w:t>设置醒目的</w:t>
            </w:r>
            <w:r>
              <w:rPr>
                <w:rFonts w:ascii="宋体" w:hAnsi="宋体" w:eastAsia="宋体" w:cs="宋体"/>
                <w:sz w:val="24"/>
                <w:szCs w:val="24"/>
                <w:highlight w:val="none"/>
              </w:rPr>
              <w:t>本项涉案</w:t>
            </w:r>
            <w:r>
              <w:rPr>
                <w:rFonts w:hint="eastAsia" w:ascii="宋体" w:hAnsi="宋体" w:eastAsia="宋体" w:cs="宋体"/>
                <w:sz w:val="24"/>
                <w:szCs w:val="24"/>
                <w:highlight w:val="none"/>
              </w:rPr>
              <w:t>停车场</w:t>
            </w:r>
            <w:r>
              <w:rPr>
                <w:rFonts w:hint="eastAsia" w:ascii="宋体" w:hAnsi="宋体" w:cs="宋体"/>
                <w:color w:val="auto"/>
                <w:sz w:val="24"/>
                <w:szCs w:val="24"/>
                <w:highlight w:val="none"/>
                <w:lang w:val="en-US" w:eastAsia="zh-CN"/>
              </w:rPr>
              <w:t>完整</w:t>
            </w:r>
            <w:r>
              <w:rPr>
                <w:rFonts w:hint="eastAsia" w:ascii="宋体" w:hAnsi="宋体" w:eastAsia="宋体" w:cs="宋体"/>
                <w:sz w:val="24"/>
                <w:szCs w:val="24"/>
                <w:highlight w:val="none"/>
              </w:rPr>
              <w:t>名称标牌，</w:t>
            </w:r>
            <w:r>
              <w:rPr>
                <w:rFonts w:ascii="宋体" w:hAnsi="宋体" w:eastAsia="宋体" w:cs="宋体"/>
                <w:sz w:val="24"/>
                <w:szCs w:val="24"/>
                <w:highlight w:val="none"/>
              </w:rPr>
              <w:t>标识标牌应固定设置于主出入口大门处，不得随意</w:t>
            </w:r>
            <w:r>
              <w:rPr>
                <w:rFonts w:hint="eastAsia" w:ascii="宋体" w:hAnsi="宋体" w:cs="宋体"/>
                <w:color w:val="auto"/>
                <w:sz w:val="24"/>
                <w:szCs w:val="24"/>
                <w:highlight w:val="none"/>
                <w:lang w:val="en-US" w:eastAsia="zh-CN"/>
              </w:rPr>
              <w:t>手写于墙壁上且</w:t>
            </w:r>
            <w:r>
              <w:rPr>
                <w:rFonts w:ascii="宋体" w:hAnsi="宋体" w:eastAsia="宋体" w:cs="宋体"/>
                <w:sz w:val="24"/>
                <w:szCs w:val="24"/>
                <w:highlight w:val="none"/>
              </w:rPr>
              <w:t>设置于场内其他位置。</w:t>
            </w:r>
          </w:p>
          <w:p w14:paraId="4A34E93E">
            <w:pPr>
              <w:keepNext w:val="0"/>
              <w:keepLines w:val="0"/>
              <w:pageBreakBefore w:val="0"/>
              <w:widowControl w:val="0"/>
              <w:numPr>
                <w:ilvl w:val="0"/>
                <w:numId w:val="4"/>
              </w:numPr>
              <w:kinsoku/>
              <w:wordWrap/>
              <w:overflowPunct/>
              <w:topLinePunct w:val="0"/>
              <w:autoSpaceDE/>
              <w:autoSpaceDN/>
              <w:bidi w:val="0"/>
              <w:adjustRightInd/>
              <w:snapToGrid/>
              <w:spacing w:line="440" w:lineRule="exact"/>
              <w:ind w:firstLine="0"/>
              <w:textAlignment w:val="auto"/>
              <w:rPr>
                <w:rFonts w:hint="eastAsia" w:ascii="宋体" w:hAnsi="宋体" w:eastAsia="宋体" w:cs="宋体"/>
                <w:sz w:val="24"/>
                <w:szCs w:val="24"/>
                <w:highlight w:val="none"/>
              </w:rPr>
            </w:pPr>
            <w:r>
              <w:rPr>
                <w:rFonts w:ascii="宋体" w:hAnsi="宋体" w:eastAsia="宋体" w:cs="宋体"/>
                <w:sz w:val="24"/>
                <w:szCs w:val="24"/>
                <w:highlight w:val="none"/>
              </w:rPr>
              <w:t>照明设施配置</w:t>
            </w:r>
            <w:r>
              <w:rPr>
                <w:rFonts w:hint="eastAsia" w:ascii="宋体" w:hAnsi="宋体" w:eastAsia="宋体" w:cs="宋体"/>
                <w:sz w:val="24"/>
                <w:szCs w:val="24"/>
                <w:highlight w:val="none"/>
                <w:lang w:val="en-US" w:eastAsia="zh-CN"/>
              </w:rPr>
              <w:t>及</w:t>
            </w:r>
            <w:r>
              <w:rPr>
                <w:rFonts w:ascii="宋体" w:hAnsi="宋体" w:eastAsia="宋体" w:cs="宋体"/>
                <w:sz w:val="24"/>
                <w:szCs w:val="24"/>
                <w:highlight w:val="none"/>
              </w:rPr>
              <w:t>业务办理要求：</w:t>
            </w:r>
            <w:r>
              <w:rPr>
                <w:rFonts w:hint="eastAsia" w:ascii="宋体" w:hAnsi="宋体" w:eastAsia="宋体" w:cs="宋体"/>
                <w:sz w:val="24"/>
                <w:szCs w:val="24"/>
                <w:highlight w:val="none"/>
              </w:rPr>
              <w:t>出入口安装1个以上照明设备，24小时办理车辆存取手续，做好登记备查，方便群众。停车场内场也应安装照明设备，方便群众取车。</w:t>
            </w:r>
          </w:p>
          <w:p w14:paraId="0C34A0A8">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w:t>
            </w:r>
            <w:r>
              <w:rPr>
                <w:rFonts w:hint="eastAsia" w:ascii="宋体" w:hAnsi="宋体" w:cs="宋体"/>
                <w:b/>
                <w:bCs/>
                <w:sz w:val="24"/>
                <w:szCs w:val="24"/>
                <w:highlight w:val="none"/>
                <w:lang w:val="en-US" w:eastAsia="zh-CN"/>
              </w:rPr>
              <w:t>注：</w:t>
            </w:r>
            <w:r>
              <w:rPr>
                <w:rFonts w:hint="eastAsia" w:ascii="宋体" w:hAnsi="宋体" w:eastAsia="宋体" w:cs="宋体"/>
                <w:b/>
                <w:bCs/>
                <w:sz w:val="24"/>
                <w:szCs w:val="24"/>
                <w:highlight w:val="none"/>
              </w:rPr>
              <w:t>以上内容需通过文字、照片等的形式在响应文件中逐一介绍展示</w:t>
            </w:r>
            <w:r>
              <w:rPr>
                <w:rFonts w:hint="eastAsia" w:ascii="宋体" w:hAnsi="宋体" w:cs="宋体"/>
                <w:b/>
                <w:bCs/>
                <w:sz w:val="24"/>
                <w:szCs w:val="24"/>
                <w:highlight w:val="none"/>
                <w:lang w:eastAsia="zh-CN"/>
              </w:rPr>
              <w:t>，</w:t>
            </w:r>
            <w:r>
              <w:rPr>
                <w:rFonts w:hint="eastAsia" w:ascii="宋体" w:hAnsi="宋体" w:eastAsia="宋体" w:cs="宋体"/>
                <w:b/>
                <w:bCs/>
                <w:sz w:val="24"/>
                <w:szCs w:val="24"/>
                <w:highlight w:val="none"/>
                <w:lang w:val="en-US" w:eastAsia="zh-CN"/>
              </w:rPr>
              <w:t>所有附图资料图像清晰、要素齐全，可直观核验；投标时提供，资料不完整、图像模糊无法辨识、未提供的不得分</w:t>
            </w:r>
            <w:r>
              <w:rPr>
                <w:rFonts w:hint="eastAsia" w:ascii="宋体" w:hAnsi="宋体" w:cs="宋体"/>
                <w:b/>
                <w:bCs/>
                <w:sz w:val="24"/>
                <w:szCs w:val="24"/>
                <w:highlight w:val="none"/>
                <w:lang w:val="en-US" w:eastAsia="zh-CN"/>
              </w:rPr>
              <w:t>。</w:t>
            </w:r>
            <w:r>
              <w:rPr>
                <w:rFonts w:hint="eastAsia" w:ascii="宋体" w:hAnsi="宋体" w:eastAsia="宋体" w:cs="宋体"/>
                <w:b/>
                <w:bCs/>
                <w:sz w:val="24"/>
                <w:szCs w:val="24"/>
                <w:highlight w:val="none"/>
              </w:rPr>
              <w:t>)</w:t>
            </w:r>
          </w:p>
        </w:tc>
      </w:tr>
      <w:tr w14:paraId="161AF37A">
        <w:tblPrEx>
          <w:tblCellMar>
            <w:top w:w="0" w:type="dxa"/>
            <w:left w:w="108" w:type="dxa"/>
            <w:bottom w:w="0" w:type="dxa"/>
            <w:right w:w="108" w:type="dxa"/>
          </w:tblCellMar>
        </w:tblPrEx>
        <w:trPr>
          <w:trHeight w:val="503" w:hRule="atLeast"/>
          <w:jc w:val="center"/>
        </w:trPr>
        <w:tc>
          <w:tcPr>
            <w:tcW w:w="972" w:type="dxa"/>
            <w:tcBorders>
              <w:top w:val="nil"/>
              <w:left w:val="single" w:color="auto" w:sz="4" w:space="0"/>
              <w:bottom w:val="single" w:color="auto" w:sz="4" w:space="0"/>
              <w:right w:val="single" w:color="auto" w:sz="4" w:space="0"/>
            </w:tcBorders>
            <w:vAlign w:val="center"/>
          </w:tcPr>
          <w:p w14:paraId="74BADF35">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宋体" w:hAnsi="宋体" w:eastAsia="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六</w:t>
            </w:r>
            <w:r>
              <w:rPr>
                <w:rFonts w:hint="eastAsia" w:ascii="宋体" w:hAnsi="宋体" w:cs="宋体"/>
                <w:sz w:val="24"/>
                <w:szCs w:val="24"/>
                <w:lang w:eastAsia="zh-CN"/>
              </w:rPr>
              <w:t>）</w:t>
            </w:r>
          </w:p>
        </w:tc>
        <w:tc>
          <w:tcPr>
            <w:tcW w:w="7790" w:type="dxa"/>
            <w:tcBorders>
              <w:top w:val="nil"/>
              <w:left w:val="nil"/>
              <w:bottom w:val="single" w:color="auto" w:sz="4" w:space="0"/>
              <w:right w:val="single" w:color="auto" w:sz="4" w:space="0"/>
            </w:tcBorders>
          </w:tcPr>
          <w:p w14:paraId="2FD41D22">
            <w:pPr>
              <w:keepNext w:val="0"/>
              <w:keepLines w:val="0"/>
              <w:pageBreakBefore w:val="0"/>
              <w:widowControl w:val="0"/>
              <w:kinsoku/>
              <w:wordWrap/>
              <w:overflowPunct/>
              <w:topLinePunct w:val="0"/>
              <w:autoSpaceDE/>
              <w:autoSpaceDN/>
              <w:bidi w:val="0"/>
              <w:adjustRightInd/>
              <w:snapToGrid/>
              <w:spacing w:line="440" w:lineRule="exact"/>
              <w:ind w:firstLine="0"/>
              <w:textAlignment w:val="auto"/>
              <w:rPr>
                <w:rFonts w:hint="eastAsia" w:ascii="宋体" w:hAnsi="宋体" w:eastAsia="宋体" w:cs="宋体"/>
                <w:sz w:val="24"/>
                <w:szCs w:val="24"/>
                <w:highlight w:val="none"/>
              </w:rPr>
            </w:pPr>
            <w:r>
              <w:rPr>
                <w:rFonts w:ascii="宋体" w:hAnsi="宋体" w:eastAsia="宋体" w:cs="宋体"/>
                <w:sz w:val="24"/>
                <w:szCs w:val="24"/>
                <w:highlight w:val="none"/>
              </w:rPr>
              <w:t>封闭管控</w:t>
            </w:r>
            <w:r>
              <w:rPr>
                <w:rFonts w:hint="eastAsia" w:ascii="宋体" w:hAnsi="宋体" w:eastAsia="宋体" w:cs="宋体"/>
                <w:sz w:val="24"/>
                <w:szCs w:val="24"/>
                <w:highlight w:val="none"/>
                <w:lang w:val="en-US" w:eastAsia="zh-CN"/>
              </w:rPr>
              <w:t>及</w:t>
            </w:r>
            <w:r>
              <w:rPr>
                <w:rFonts w:ascii="宋体" w:hAnsi="宋体" w:eastAsia="宋体" w:cs="宋体"/>
                <w:sz w:val="24"/>
                <w:szCs w:val="24"/>
                <w:highlight w:val="none"/>
              </w:rPr>
              <w:t>围墙建设要</w:t>
            </w:r>
            <w:r>
              <w:rPr>
                <w:rFonts w:hint="eastAsia" w:ascii="宋体" w:hAnsi="宋体" w:eastAsia="宋体" w:cs="宋体"/>
                <w:sz w:val="24"/>
                <w:szCs w:val="24"/>
                <w:highlight w:val="none"/>
                <w:lang w:val="en-US" w:eastAsia="zh-CN"/>
              </w:rPr>
              <w:t>求：</w:t>
            </w:r>
            <w:r>
              <w:rPr>
                <w:rFonts w:hint="eastAsia" w:ascii="宋体" w:hAnsi="宋体" w:eastAsia="宋体" w:cs="宋体"/>
                <w:sz w:val="24"/>
                <w:szCs w:val="24"/>
                <w:highlight w:val="none"/>
              </w:rPr>
              <w:t>停车场停放车辆的区域需为封闭的区域，四周由大门和围墙组成。停车场围墙需为砖混结构或透视性围墙。</w:t>
            </w:r>
          </w:p>
          <w:p w14:paraId="4F8280F6">
            <w:pPr>
              <w:keepNext w:val="0"/>
              <w:keepLines w:val="0"/>
              <w:pageBreakBefore w:val="0"/>
              <w:widowControl w:val="0"/>
              <w:kinsoku/>
              <w:wordWrap/>
              <w:overflowPunct/>
              <w:topLinePunct w:val="0"/>
              <w:autoSpaceDE/>
              <w:autoSpaceDN/>
              <w:bidi w:val="0"/>
              <w:adjustRightInd/>
              <w:snapToGrid/>
              <w:spacing w:line="440" w:lineRule="exact"/>
              <w:ind w:firstLine="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w:t>
            </w:r>
            <w:r>
              <w:rPr>
                <w:rFonts w:hint="eastAsia" w:ascii="宋体" w:hAnsi="宋体" w:cs="宋体"/>
                <w:b/>
                <w:bCs/>
                <w:sz w:val="24"/>
                <w:szCs w:val="24"/>
                <w:highlight w:val="none"/>
                <w:lang w:val="en-US" w:eastAsia="zh-CN"/>
              </w:rPr>
              <w:t>注：</w:t>
            </w:r>
            <w:r>
              <w:rPr>
                <w:rFonts w:hint="eastAsia" w:ascii="宋体" w:hAnsi="宋体" w:eastAsia="宋体" w:cs="宋体"/>
                <w:b/>
                <w:bCs/>
                <w:sz w:val="24"/>
                <w:szCs w:val="24"/>
                <w:highlight w:val="none"/>
              </w:rPr>
              <w:t>以上内容需通过文字、照片等的形式在响应文件中逐一介绍展示</w:t>
            </w:r>
            <w:r>
              <w:rPr>
                <w:rFonts w:hint="eastAsia" w:ascii="宋体" w:hAnsi="宋体" w:cs="宋体"/>
                <w:b/>
                <w:bCs/>
                <w:sz w:val="24"/>
                <w:szCs w:val="24"/>
                <w:highlight w:val="none"/>
                <w:lang w:eastAsia="zh-CN"/>
              </w:rPr>
              <w:t>，</w:t>
            </w:r>
            <w:r>
              <w:rPr>
                <w:rFonts w:hint="eastAsia" w:ascii="宋体" w:hAnsi="宋体" w:eastAsia="宋体" w:cs="宋体"/>
                <w:b/>
                <w:bCs/>
                <w:sz w:val="24"/>
                <w:szCs w:val="24"/>
                <w:highlight w:val="none"/>
                <w:lang w:val="en-US" w:eastAsia="zh-CN"/>
              </w:rPr>
              <w:t>所有附图资料图像清晰、要素齐全，可直观核验；投标时提供，资料不完整、图像模糊无法辨识、未提供的不得分</w:t>
            </w:r>
            <w:r>
              <w:rPr>
                <w:rFonts w:hint="eastAsia" w:ascii="宋体" w:hAnsi="宋体" w:cs="宋体"/>
                <w:b/>
                <w:bCs/>
                <w:sz w:val="24"/>
                <w:szCs w:val="24"/>
                <w:highlight w:val="none"/>
                <w:lang w:val="en-US" w:eastAsia="zh-CN"/>
              </w:rPr>
              <w:t>。</w:t>
            </w:r>
            <w:r>
              <w:rPr>
                <w:rFonts w:hint="eastAsia" w:ascii="宋体" w:hAnsi="宋体" w:eastAsia="宋体" w:cs="宋体"/>
                <w:b/>
                <w:bCs/>
                <w:sz w:val="24"/>
                <w:szCs w:val="24"/>
                <w:highlight w:val="none"/>
              </w:rPr>
              <w:t>)</w:t>
            </w:r>
          </w:p>
        </w:tc>
      </w:tr>
      <w:tr w14:paraId="0BD470C5">
        <w:tblPrEx>
          <w:tblCellMar>
            <w:top w:w="0" w:type="dxa"/>
            <w:left w:w="108" w:type="dxa"/>
            <w:bottom w:w="0" w:type="dxa"/>
            <w:right w:w="108" w:type="dxa"/>
          </w:tblCellMar>
        </w:tblPrEx>
        <w:trPr>
          <w:trHeight w:val="554" w:hRule="atLeast"/>
          <w:jc w:val="center"/>
        </w:trPr>
        <w:tc>
          <w:tcPr>
            <w:tcW w:w="972" w:type="dxa"/>
            <w:tcBorders>
              <w:top w:val="nil"/>
              <w:left w:val="single" w:color="auto" w:sz="4" w:space="0"/>
              <w:bottom w:val="single" w:color="auto" w:sz="4" w:space="0"/>
              <w:right w:val="single" w:color="auto" w:sz="4" w:space="0"/>
            </w:tcBorders>
            <w:vAlign w:val="center"/>
          </w:tcPr>
          <w:p w14:paraId="79FDF480">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宋体" w:hAnsi="宋体" w:eastAsia="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七</w:t>
            </w:r>
            <w:r>
              <w:rPr>
                <w:rFonts w:hint="eastAsia" w:ascii="宋体" w:hAnsi="宋体" w:cs="宋体"/>
                <w:sz w:val="24"/>
                <w:szCs w:val="24"/>
                <w:lang w:eastAsia="zh-CN"/>
              </w:rPr>
              <w:t>）</w:t>
            </w:r>
          </w:p>
        </w:tc>
        <w:tc>
          <w:tcPr>
            <w:tcW w:w="7790" w:type="dxa"/>
            <w:tcBorders>
              <w:top w:val="nil"/>
              <w:left w:val="nil"/>
              <w:bottom w:val="single" w:color="auto" w:sz="4" w:space="0"/>
              <w:right w:val="single" w:color="auto" w:sz="4" w:space="0"/>
            </w:tcBorders>
          </w:tcPr>
          <w:p w14:paraId="34902E8A">
            <w:pPr>
              <w:keepNext w:val="0"/>
              <w:keepLines w:val="0"/>
              <w:pageBreakBefore w:val="0"/>
              <w:widowControl w:val="0"/>
              <w:numPr>
                <w:ilvl w:val="0"/>
                <w:numId w:val="5"/>
              </w:numPr>
              <w:kinsoku/>
              <w:wordWrap/>
              <w:overflowPunct/>
              <w:topLinePunct w:val="0"/>
              <w:autoSpaceDE/>
              <w:autoSpaceDN/>
              <w:bidi w:val="0"/>
              <w:adjustRightInd/>
              <w:snapToGrid/>
              <w:spacing w:line="440" w:lineRule="exact"/>
              <w:ind w:firstLine="0"/>
              <w:textAlignment w:val="auto"/>
              <w:rPr>
                <w:rFonts w:hint="eastAsia" w:ascii="宋体" w:hAnsi="宋体" w:cs="宋体"/>
                <w:sz w:val="24"/>
                <w:szCs w:val="24"/>
                <w:highlight w:val="none"/>
                <w:lang w:eastAsia="zh-CN"/>
              </w:rPr>
            </w:pPr>
            <w:r>
              <w:rPr>
                <w:rFonts w:hint="eastAsia" w:ascii="宋体" w:hAnsi="宋体" w:eastAsia="宋体" w:cs="宋体"/>
                <w:sz w:val="24"/>
                <w:szCs w:val="24"/>
                <w:highlight w:val="none"/>
                <w:lang w:val="en-US" w:eastAsia="zh-CN"/>
              </w:rPr>
              <w:t>分类停放管理及</w:t>
            </w:r>
            <w:r>
              <w:rPr>
                <w:rFonts w:ascii="宋体" w:hAnsi="宋体" w:eastAsia="宋体" w:cs="宋体"/>
                <w:sz w:val="24"/>
                <w:szCs w:val="24"/>
                <w:highlight w:val="none"/>
              </w:rPr>
              <w:t>防护物资配备：</w:t>
            </w:r>
            <w:r>
              <w:rPr>
                <w:rFonts w:hint="eastAsia" w:ascii="宋体" w:hAnsi="宋体" w:eastAsia="宋体" w:cs="宋体"/>
                <w:sz w:val="24"/>
                <w:szCs w:val="24"/>
                <w:highlight w:val="none"/>
              </w:rPr>
              <w:t>对涉案车辆按照事故、违法、机非分类管理。具备车棚、苫布等设施或物品</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苫布须</w:t>
            </w:r>
            <w:r>
              <w:rPr>
                <w:rFonts w:hint="eastAsia" w:ascii="宋体" w:hAnsi="宋体" w:eastAsia="宋体" w:cs="宋体"/>
                <w:sz w:val="24"/>
                <w:szCs w:val="24"/>
                <w:highlight w:val="none"/>
                <w:lang w:val="en-US" w:eastAsia="zh-CN"/>
              </w:rPr>
              <w:t>需有展状态并配比例尺的照片</w:t>
            </w:r>
            <w:r>
              <w:rPr>
                <w:rFonts w:ascii="宋体" w:hAnsi="宋体" w:eastAsia="宋体" w:cs="宋体"/>
                <w:sz w:val="24"/>
                <w:szCs w:val="24"/>
                <w:highlight w:val="none"/>
              </w:rPr>
              <w:t>，规格能够完整覆盖停放车辆，不接受仅能局部遮盖、无法满足整车遮盖需求的小型苫布</w:t>
            </w:r>
            <w:r>
              <w:rPr>
                <w:rFonts w:hint="eastAsia" w:ascii="宋体" w:hAnsi="宋体" w:cs="宋体"/>
                <w:sz w:val="24"/>
                <w:szCs w:val="24"/>
                <w:highlight w:val="none"/>
                <w:lang w:eastAsia="zh-CN"/>
              </w:rPr>
              <w:t>）。</w:t>
            </w:r>
          </w:p>
          <w:p w14:paraId="70E558B1">
            <w:pPr>
              <w:keepNext w:val="0"/>
              <w:keepLines w:val="0"/>
              <w:pageBreakBefore w:val="0"/>
              <w:widowControl w:val="0"/>
              <w:numPr>
                <w:ilvl w:val="0"/>
                <w:numId w:val="5"/>
              </w:numPr>
              <w:kinsoku/>
              <w:wordWrap/>
              <w:overflowPunct/>
              <w:topLinePunct w:val="0"/>
              <w:autoSpaceDE/>
              <w:autoSpaceDN/>
              <w:bidi w:val="0"/>
              <w:adjustRightInd/>
              <w:snapToGrid/>
              <w:spacing w:line="440" w:lineRule="exact"/>
              <w:ind w:firstLine="0"/>
              <w:textAlignment w:val="auto"/>
              <w:rPr>
                <w:rFonts w:hint="eastAsia" w:ascii="宋体" w:hAnsi="宋体" w:eastAsia="宋体" w:cs="宋体"/>
                <w:sz w:val="24"/>
                <w:szCs w:val="24"/>
                <w:highlight w:val="none"/>
              </w:rPr>
            </w:pPr>
            <w:r>
              <w:rPr>
                <w:rFonts w:ascii="宋体" w:hAnsi="宋体" w:eastAsia="宋体" w:cs="宋体"/>
                <w:sz w:val="24"/>
                <w:szCs w:val="24"/>
                <w:highlight w:val="none"/>
              </w:rPr>
              <w:t>专场与隔离管控：</w:t>
            </w:r>
            <w:r>
              <w:rPr>
                <w:rFonts w:hint="eastAsia" w:ascii="宋体" w:hAnsi="宋体" w:eastAsia="宋体" w:cs="宋体"/>
                <w:sz w:val="24"/>
                <w:szCs w:val="24"/>
                <w:highlight w:val="none"/>
              </w:rPr>
              <w:t>一个停车场有多个服务项目的，要针对本标的单独设置醒目的划分范围，保证专场专用</w:t>
            </w:r>
            <w:r>
              <w:rPr>
                <w:rFonts w:hint="eastAsia" w:ascii="宋体" w:hAnsi="宋体" w:cs="宋体"/>
                <w:sz w:val="24"/>
                <w:szCs w:val="24"/>
                <w:highlight w:val="none"/>
                <w:lang w:eastAsia="zh-CN"/>
              </w:rPr>
              <w:t>（</w:t>
            </w:r>
            <w:r>
              <w:rPr>
                <w:rFonts w:ascii="宋体" w:hAnsi="宋体" w:eastAsia="宋体" w:cs="宋体"/>
                <w:sz w:val="24"/>
                <w:szCs w:val="24"/>
                <w:highlight w:val="none"/>
              </w:rPr>
              <w:t>交管支队扣留涉案车辆应当在专用区域停放，严禁与其他无关社会车辆混放；若场内存在其他无关车辆，必须设置硬性物理隔离设施实现完全隔离。</w:t>
            </w:r>
            <w:r>
              <w:rPr>
                <w:rFonts w:hint="eastAsia" w:ascii="宋体" w:hAnsi="宋体" w:cs="宋体"/>
                <w:sz w:val="24"/>
                <w:szCs w:val="24"/>
                <w:highlight w:val="none"/>
                <w:lang w:eastAsia="zh-CN"/>
              </w:rPr>
              <w:t>）。</w:t>
            </w:r>
          </w:p>
          <w:p w14:paraId="491F9257">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w:t>
            </w:r>
            <w:r>
              <w:rPr>
                <w:rFonts w:hint="eastAsia" w:ascii="宋体" w:hAnsi="宋体" w:cs="宋体"/>
                <w:b/>
                <w:bCs/>
                <w:sz w:val="24"/>
                <w:szCs w:val="24"/>
                <w:highlight w:val="none"/>
                <w:lang w:val="en-US" w:eastAsia="zh-CN"/>
              </w:rPr>
              <w:t>注：</w:t>
            </w:r>
            <w:r>
              <w:rPr>
                <w:rFonts w:hint="eastAsia" w:ascii="宋体" w:hAnsi="宋体" w:eastAsia="宋体" w:cs="宋体"/>
                <w:b/>
                <w:bCs/>
                <w:sz w:val="24"/>
                <w:szCs w:val="24"/>
                <w:highlight w:val="none"/>
              </w:rPr>
              <w:t>以上内容需通过文字、照片等的形式在响应文件中逐一介绍展示</w:t>
            </w:r>
            <w:r>
              <w:rPr>
                <w:rFonts w:hint="eastAsia" w:ascii="宋体" w:hAnsi="宋体" w:cs="宋体"/>
                <w:b/>
                <w:bCs/>
                <w:sz w:val="24"/>
                <w:szCs w:val="24"/>
                <w:highlight w:val="none"/>
                <w:lang w:eastAsia="zh-CN"/>
              </w:rPr>
              <w:t>，</w:t>
            </w:r>
            <w:r>
              <w:rPr>
                <w:rFonts w:hint="eastAsia" w:ascii="宋体" w:hAnsi="宋体" w:eastAsia="宋体" w:cs="宋体"/>
                <w:b/>
                <w:bCs/>
                <w:sz w:val="24"/>
                <w:szCs w:val="24"/>
                <w:highlight w:val="none"/>
                <w:lang w:val="en-US" w:eastAsia="zh-CN"/>
              </w:rPr>
              <w:t>所有附图资料图像清晰、要素齐全，可直观核验；投标时提供，资料不完整、图像模糊无法辨识、未提供的不得分</w:t>
            </w:r>
            <w:r>
              <w:rPr>
                <w:rFonts w:hint="eastAsia" w:ascii="宋体" w:hAnsi="宋体" w:cs="宋体"/>
                <w:b/>
                <w:bCs/>
                <w:sz w:val="24"/>
                <w:szCs w:val="24"/>
                <w:highlight w:val="none"/>
                <w:lang w:val="en-US" w:eastAsia="zh-CN"/>
              </w:rPr>
              <w:t>。</w:t>
            </w:r>
            <w:r>
              <w:rPr>
                <w:rFonts w:hint="eastAsia" w:ascii="宋体" w:hAnsi="宋体" w:eastAsia="宋体" w:cs="宋体"/>
                <w:b/>
                <w:bCs/>
                <w:sz w:val="24"/>
                <w:szCs w:val="24"/>
                <w:highlight w:val="none"/>
              </w:rPr>
              <w:t>)</w:t>
            </w:r>
          </w:p>
        </w:tc>
      </w:tr>
      <w:tr w14:paraId="63F7F80F">
        <w:tblPrEx>
          <w:tblCellMar>
            <w:top w:w="0" w:type="dxa"/>
            <w:left w:w="108" w:type="dxa"/>
            <w:bottom w:w="0" w:type="dxa"/>
            <w:right w:w="108" w:type="dxa"/>
          </w:tblCellMar>
        </w:tblPrEx>
        <w:trPr>
          <w:trHeight w:val="941" w:hRule="atLeast"/>
          <w:jc w:val="center"/>
        </w:trPr>
        <w:tc>
          <w:tcPr>
            <w:tcW w:w="972" w:type="dxa"/>
            <w:tcBorders>
              <w:top w:val="nil"/>
              <w:left w:val="single" w:color="auto" w:sz="4" w:space="0"/>
              <w:bottom w:val="single" w:color="auto" w:sz="4" w:space="0"/>
              <w:right w:val="single" w:color="auto" w:sz="4" w:space="0"/>
            </w:tcBorders>
            <w:vAlign w:val="center"/>
          </w:tcPr>
          <w:p w14:paraId="47F166C4">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宋体" w:hAnsi="宋体" w:eastAsia="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八</w:t>
            </w:r>
            <w:r>
              <w:rPr>
                <w:rFonts w:hint="eastAsia" w:ascii="宋体" w:hAnsi="宋体" w:cs="宋体"/>
                <w:sz w:val="24"/>
                <w:szCs w:val="24"/>
                <w:lang w:eastAsia="zh-CN"/>
              </w:rPr>
              <w:t>）</w:t>
            </w:r>
          </w:p>
        </w:tc>
        <w:tc>
          <w:tcPr>
            <w:tcW w:w="7790" w:type="dxa"/>
            <w:tcBorders>
              <w:top w:val="nil"/>
              <w:left w:val="nil"/>
              <w:bottom w:val="single" w:color="auto" w:sz="4" w:space="0"/>
              <w:right w:val="single" w:color="auto" w:sz="4" w:space="0"/>
            </w:tcBorders>
          </w:tcPr>
          <w:p w14:paraId="0C16FDC0">
            <w:pPr>
              <w:pStyle w:val="20"/>
              <w:keepNext w:val="0"/>
              <w:keepLines w:val="0"/>
              <w:pageBreakBefore w:val="0"/>
              <w:widowControl w:val="0"/>
              <w:kinsoku/>
              <w:wordWrap/>
              <w:overflowPunct/>
              <w:topLinePunct w:val="0"/>
              <w:autoSpaceDE/>
              <w:autoSpaceDN/>
              <w:bidi w:val="0"/>
              <w:adjustRightInd/>
              <w:snapToGrid/>
              <w:spacing w:line="440" w:lineRule="exact"/>
              <w:ind w:left="0" w:firstLine="0"/>
              <w:textAlignment w:val="auto"/>
              <w:rPr>
                <w:rFonts w:hint="eastAsia" w:ascii="宋体" w:hAnsi="宋体" w:eastAsia="宋体" w:cs="宋体"/>
                <w:sz w:val="24"/>
                <w:szCs w:val="24"/>
                <w:highlight w:val="none"/>
              </w:rPr>
            </w:pPr>
            <w:r>
              <w:rPr>
                <w:rFonts w:ascii="宋体" w:hAnsi="宋体" w:eastAsia="宋体" w:cs="宋体"/>
                <w:sz w:val="24"/>
                <w:szCs w:val="24"/>
                <w:highlight w:val="none"/>
              </w:rPr>
              <w:t>定位截图</w:t>
            </w:r>
            <w:r>
              <w:rPr>
                <w:rFonts w:hint="eastAsia" w:ascii="宋体" w:hAnsi="宋体" w:eastAsia="宋体" w:cs="宋体"/>
                <w:sz w:val="24"/>
                <w:szCs w:val="24"/>
                <w:highlight w:val="none"/>
                <w:lang w:val="en-US" w:eastAsia="zh-CN"/>
              </w:rPr>
              <w:t>及</w:t>
            </w:r>
            <w:r>
              <w:rPr>
                <w:rFonts w:ascii="宋体" w:hAnsi="宋体" w:eastAsia="宋体" w:cs="宋体"/>
                <w:sz w:val="24"/>
                <w:szCs w:val="24"/>
                <w:highlight w:val="none"/>
              </w:rPr>
              <w:t>地理信息标注</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投标人需提供场地位置定位（高德或百度地图</w:t>
            </w:r>
            <w:r>
              <w:rPr>
                <w:rFonts w:hint="eastAsia" w:ascii="宋体" w:hAnsi="宋体" w:eastAsia="宋体" w:cs="宋体"/>
                <w:sz w:val="24"/>
                <w:szCs w:val="24"/>
                <w:highlight w:val="none"/>
                <w:lang w:val="en-US" w:eastAsia="zh-CN"/>
              </w:rPr>
              <w:t>或无人机航拍</w:t>
            </w:r>
            <w:r>
              <w:rPr>
                <w:rFonts w:ascii="宋体" w:hAnsi="宋体" w:eastAsia="宋体" w:cs="宋体"/>
                <w:sz w:val="24"/>
                <w:szCs w:val="24"/>
                <w:highlight w:val="none"/>
              </w:rPr>
              <w:t>影像</w:t>
            </w:r>
            <w:r>
              <w:rPr>
                <w:rFonts w:hint="eastAsia" w:ascii="宋体" w:hAnsi="宋体" w:eastAsia="宋体" w:cs="宋体"/>
                <w:sz w:val="24"/>
                <w:szCs w:val="24"/>
                <w:highlight w:val="none"/>
                <w:lang w:val="en-US" w:eastAsia="zh-CN"/>
              </w:rPr>
              <w:t>图或其他可佐证场地精确地理点位的清晰资料</w:t>
            </w:r>
            <w:r>
              <w:rPr>
                <w:rFonts w:hint="eastAsia" w:ascii="宋体" w:hAnsi="宋体" w:eastAsia="宋体" w:cs="宋体"/>
                <w:sz w:val="24"/>
                <w:szCs w:val="24"/>
                <w:highlight w:val="none"/>
              </w:rPr>
              <w:t>），并</w:t>
            </w:r>
            <w:r>
              <w:rPr>
                <w:rFonts w:hint="eastAsia" w:ascii="宋体" w:hAnsi="宋体" w:eastAsia="宋体" w:cs="宋体"/>
                <w:sz w:val="24"/>
                <w:szCs w:val="24"/>
                <w:highlight w:val="none"/>
                <w:lang w:val="en-US" w:eastAsia="zh-CN"/>
              </w:rPr>
              <w:t>明确</w:t>
            </w:r>
            <w:r>
              <w:rPr>
                <w:rFonts w:hint="eastAsia" w:ascii="宋体" w:hAnsi="宋体" w:eastAsia="宋体" w:cs="宋体"/>
                <w:sz w:val="24"/>
                <w:szCs w:val="24"/>
                <w:highlight w:val="none"/>
              </w:rPr>
              <w:t>标明所属区、街道或镇。</w:t>
            </w:r>
          </w:p>
          <w:p w14:paraId="6E2C8EC7">
            <w:pPr>
              <w:pStyle w:val="20"/>
              <w:keepNext w:val="0"/>
              <w:keepLines w:val="0"/>
              <w:pageBreakBefore w:val="0"/>
              <w:widowControl w:val="0"/>
              <w:kinsoku/>
              <w:wordWrap/>
              <w:overflowPunct/>
              <w:topLinePunct w:val="0"/>
              <w:autoSpaceDE/>
              <w:autoSpaceDN/>
              <w:bidi w:val="0"/>
              <w:adjustRightInd/>
              <w:snapToGrid/>
              <w:spacing w:line="440" w:lineRule="exact"/>
              <w:ind w:left="0" w:firstLine="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(以上内容需通过文字、照片等的形式在响应文件中逐一介绍展示</w:t>
            </w:r>
            <w:r>
              <w:rPr>
                <w:rFonts w:hint="eastAsia" w:ascii="宋体" w:hAnsi="宋体" w:cs="宋体"/>
                <w:b/>
                <w:bCs/>
                <w:sz w:val="24"/>
                <w:szCs w:val="24"/>
                <w:highlight w:val="none"/>
                <w:lang w:eastAsia="zh-CN"/>
              </w:rPr>
              <w:t>，</w:t>
            </w:r>
            <w:r>
              <w:rPr>
                <w:rFonts w:hint="eastAsia" w:ascii="宋体" w:hAnsi="宋体" w:eastAsia="宋体" w:cs="宋体"/>
                <w:b/>
                <w:bCs/>
                <w:sz w:val="24"/>
                <w:szCs w:val="24"/>
                <w:highlight w:val="none"/>
                <w:lang w:val="en-US" w:eastAsia="zh-CN"/>
              </w:rPr>
              <w:t>所有附图资料图像清晰、要素齐全，可直观核验场地地理位置；投标时提供，资料不完整、图像模糊无法辨识、未提供的不得分</w:t>
            </w:r>
            <w:r>
              <w:rPr>
                <w:rFonts w:hint="eastAsia" w:ascii="宋体" w:hAnsi="宋体" w:cs="宋体"/>
                <w:b/>
                <w:bCs/>
                <w:sz w:val="24"/>
                <w:szCs w:val="24"/>
                <w:highlight w:val="none"/>
                <w:lang w:eastAsia="zh-CN"/>
              </w:rPr>
              <w:t>）</w:t>
            </w:r>
          </w:p>
        </w:tc>
      </w:tr>
      <w:tr w14:paraId="5418A50D">
        <w:tblPrEx>
          <w:tblCellMar>
            <w:top w:w="0" w:type="dxa"/>
            <w:left w:w="108" w:type="dxa"/>
            <w:bottom w:w="0" w:type="dxa"/>
            <w:right w:w="108" w:type="dxa"/>
          </w:tblCellMar>
        </w:tblPrEx>
        <w:trPr>
          <w:trHeight w:val="319" w:hRule="atLeast"/>
          <w:jc w:val="center"/>
        </w:trPr>
        <w:tc>
          <w:tcPr>
            <w:tcW w:w="972" w:type="dxa"/>
            <w:tcBorders>
              <w:top w:val="nil"/>
              <w:left w:val="single" w:color="auto" w:sz="4" w:space="0"/>
              <w:bottom w:val="single" w:color="auto" w:sz="4" w:space="0"/>
              <w:right w:val="single" w:color="auto" w:sz="4" w:space="0"/>
            </w:tcBorders>
            <w:vAlign w:val="center"/>
          </w:tcPr>
          <w:p w14:paraId="17E5E161">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九</w:t>
            </w:r>
            <w:r>
              <w:rPr>
                <w:rFonts w:hint="eastAsia" w:ascii="宋体" w:hAnsi="宋体" w:eastAsia="宋体" w:cs="宋体"/>
                <w:sz w:val="24"/>
                <w:szCs w:val="24"/>
                <w:highlight w:val="none"/>
                <w:lang w:eastAsia="zh-CN"/>
              </w:rPr>
              <w:t>）</w:t>
            </w:r>
          </w:p>
        </w:tc>
        <w:tc>
          <w:tcPr>
            <w:tcW w:w="7790" w:type="dxa"/>
            <w:tcBorders>
              <w:top w:val="nil"/>
              <w:left w:val="nil"/>
              <w:bottom w:val="single" w:color="auto" w:sz="4" w:space="0"/>
              <w:right w:val="single" w:color="auto" w:sz="4" w:space="0"/>
            </w:tcBorders>
          </w:tcPr>
          <w:p w14:paraId="3E433863">
            <w:pPr>
              <w:pStyle w:val="20"/>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firstLine="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岗位人员配置：投标人须指定1名项目负责人，负责整个项目的管理，停车场还须配置至少2名固定工作人员，负责车辆进出登记管理和门卫的管理</w:t>
            </w:r>
            <w:r>
              <w:rPr>
                <w:rFonts w:hint="eastAsia" w:ascii="宋体" w:hAnsi="宋体" w:eastAsia="宋体" w:cs="宋体"/>
                <w:b/>
                <w:bCs/>
                <w:sz w:val="24"/>
                <w:szCs w:val="24"/>
                <w:highlight w:val="none"/>
                <w:lang w:val="en-US" w:eastAsia="zh-CN"/>
              </w:rPr>
              <w:t>（提供投标人为其缴纳的社保证明材料,未提供的不得分）</w:t>
            </w:r>
            <w:r>
              <w:rPr>
                <w:rFonts w:hint="eastAsia" w:ascii="宋体" w:hAnsi="宋体" w:eastAsia="宋体" w:cs="宋体"/>
                <w:sz w:val="24"/>
                <w:szCs w:val="24"/>
                <w:highlight w:val="none"/>
                <w:lang w:val="en-US" w:eastAsia="zh-CN"/>
              </w:rPr>
              <w:t>。</w:t>
            </w:r>
          </w:p>
          <w:p w14:paraId="126AACDE">
            <w:pPr>
              <w:pStyle w:val="20"/>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firstLine="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车辆进出核验：涉案车辆进场必须核对扣车强制措施凭证，离场必须核对放车单</w:t>
            </w:r>
            <w:r>
              <w:rPr>
                <w:rFonts w:hint="eastAsia" w:ascii="宋体" w:hAnsi="宋体" w:eastAsia="宋体" w:cs="宋体"/>
                <w:sz w:val="24"/>
                <w:szCs w:val="24"/>
                <w:highlight w:val="none"/>
                <w:lang w:eastAsia="zh-CN"/>
              </w:rPr>
              <w:t>。</w:t>
            </w:r>
          </w:p>
          <w:p w14:paraId="7E223616">
            <w:pPr>
              <w:pStyle w:val="20"/>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firstLine="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台账与交接流程：建立完整车辆台账，完整登记车辆来源、强制措施凭证编号、车辆信息、随车物品、进场时间、离场时间、放车单号等全部信息。车辆入场时需由执法人员与停车场管理人员共同查验，记录车辆状态（外观、里程、油量、物品等），填写《涉案车辆交接单》。 </w:t>
            </w:r>
          </w:p>
          <w:p w14:paraId="5DB19297">
            <w:pPr>
              <w:pStyle w:val="20"/>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firstLine="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随车物品保管：车辆钥匙、证件等随车物品应密封保存并登记。</w:t>
            </w:r>
          </w:p>
          <w:p w14:paraId="614DD7F4">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right="454" w:rightChars="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w:t>
            </w:r>
            <w:r>
              <w:rPr>
                <w:rFonts w:hint="eastAsia" w:ascii="宋体" w:hAnsi="宋体" w:eastAsia="宋体" w:cs="宋体"/>
                <w:b/>
                <w:bCs/>
                <w:sz w:val="24"/>
                <w:szCs w:val="24"/>
                <w:highlight w:val="none"/>
                <w:lang w:val="en-US" w:eastAsia="zh-CN"/>
              </w:rPr>
              <w:t>注：</w:t>
            </w:r>
            <w:r>
              <w:rPr>
                <w:rFonts w:hint="eastAsia" w:ascii="宋体" w:hAnsi="宋体" w:eastAsia="宋体" w:cs="宋体"/>
                <w:b/>
                <w:bCs/>
                <w:sz w:val="24"/>
                <w:szCs w:val="24"/>
                <w:highlight w:val="none"/>
              </w:rPr>
              <w:t>以上内容需通过文字、照片等的形式在响应文件中逐一介绍展示</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所有附图资料图像清晰、要素齐全，可直观核验；投标时提供，资料不完整、图像模糊无法辨识、未提供的不得分。</w:t>
            </w:r>
            <w:r>
              <w:rPr>
                <w:rFonts w:hint="eastAsia" w:ascii="宋体" w:hAnsi="宋体" w:eastAsia="宋体" w:cs="宋体"/>
                <w:b/>
                <w:bCs/>
                <w:sz w:val="24"/>
                <w:szCs w:val="24"/>
                <w:highlight w:val="none"/>
              </w:rPr>
              <w:t>）</w:t>
            </w:r>
          </w:p>
        </w:tc>
      </w:tr>
      <w:tr w14:paraId="512A3053">
        <w:tblPrEx>
          <w:tblCellMar>
            <w:top w:w="0" w:type="dxa"/>
            <w:left w:w="108" w:type="dxa"/>
            <w:bottom w:w="0" w:type="dxa"/>
            <w:right w:w="108" w:type="dxa"/>
          </w:tblCellMar>
        </w:tblPrEx>
        <w:trPr>
          <w:trHeight w:val="610" w:hRule="atLeast"/>
          <w:jc w:val="center"/>
        </w:trPr>
        <w:tc>
          <w:tcPr>
            <w:tcW w:w="972" w:type="dxa"/>
            <w:tcBorders>
              <w:top w:val="nil"/>
              <w:left w:val="single" w:color="auto" w:sz="4" w:space="0"/>
              <w:bottom w:val="single" w:color="auto" w:sz="4" w:space="0"/>
              <w:right w:val="single" w:color="auto" w:sz="4" w:space="0"/>
            </w:tcBorders>
            <w:vAlign w:val="center"/>
          </w:tcPr>
          <w:p w14:paraId="588BDF73">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十</w:t>
            </w:r>
            <w:r>
              <w:rPr>
                <w:rFonts w:hint="eastAsia" w:ascii="宋体" w:hAnsi="宋体" w:cs="宋体"/>
                <w:sz w:val="24"/>
                <w:szCs w:val="24"/>
                <w:highlight w:val="none"/>
                <w:lang w:eastAsia="zh-CN"/>
              </w:rPr>
              <w:t>）</w:t>
            </w:r>
          </w:p>
        </w:tc>
        <w:tc>
          <w:tcPr>
            <w:tcW w:w="7790" w:type="dxa"/>
            <w:tcBorders>
              <w:top w:val="nil"/>
              <w:left w:val="nil"/>
              <w:bottom w:val="single" w:color="auto" w:sz="4" w:space="0"/>
              <w:right w:val="single" w:color="auto" w:sz="4" w:space="0"/>
            </w:tcBorders>
          </w:tcPr>
          <w:p w14:paraId="610FB192">
            <w:pPr>
              <w:keepNext w:val="0"/>
              <w:keepLines w:val="0"/>
              <w:pageBreakBefore w:val="0"/>
              <w:widowControl w:val="0"/>
              <w:numPr>
                <w:ilvl w:val="0"/>
                <w:numId w:val="7"/>
              </w:numPr>
              <w:kinsoku/>
              <w:wordWrap/>
              <w:overflowPunct/>
              <w:topLinePunct w:val="0"/>
              <w:autoSpaceDE/>
              <w:autoSpaceDN/>
              <w:bidi w:val="0"/>
              <w:adjustRightInd/>
              <w:snapToGrid/>
              <w:spacing w:line="440" w:lineRule="exact"/>
              <w:ind w:firstLine="0"/>
              <w:textAlignment w:val="auto"/>
              <w:rPr>
                <w:rFonts w:hint="eastAsia" w:ascii="宋体" w:hAnsi="宋体" w:eastAsia="宋体" w:cs="宋体"/>
                <w:sz w:val="24"/>
                <w:szCs w:val="24"/>
                <w:highlight w:val="none"/>
              </w:rPr>
            </w:pPr>
            <w:r>
              <w:rPr>
                <w:rFonts w:ascii="宋体" w:hAnsi="宋体" w:eastAsia="宋体" w:cs="宋体"/>
                <w:sz w:val="24"/>
                <w:szCs w:val="24"/>
                <w:highlight w:val="none"/>
              </w:rPr>
              <w:t>办公用房及设备：</w:t>
            </w:r>
            <w:r>
              <w:rPr>
                <w:rFonts w:hint="eastAsia" w:ascii="宋体" w:hAnsi="宋体" w:eastAsia="宋体" w:cs="宋体"/>
                <w:sz w:val="24"/>
                <w:szCs w:val="24"/>
                <w:highlight w:val="none"/>
              </w:rPr>
              <w:t>停车场应具备砖混、集成式集装箱房等专用业务办公用房，具备连接互联网的办公设备</w:t>
            </w:r>
            <w:r>
              <w:rPr>
                <w:rFonts w:hint="eastAsia" w:ascii="宋体" w:hAnsi="宋体" w:cs="宋体"/>
                <w:sz w:val="24"/>
                <w:szCs w:val="24"/>
                <w:highlight w:val="none"/>
                <w:lang w:eastAsia="zh-CN"/>
              </w:rPr>
              <w:t>。</w:t>
            </w:r>
          </w:p>
          <w:p w14:paraId="0D8B21DD">
            <w:pPr>
              <w:keepNext w:val="0"/>
              <w:keepLines w:val="0"/>
              <w:pageBreakBefore w:val="0"/>
              <w:widowControl w:val="0"/>
              <w:numPr>
                <w:ilvl w:val="0"/>
                <w:numId w:val="7"/>
              </w:numPr>
              <w:kinsoku/>
              <w:wordWrap/>
              <w:overflowPunct/>
              <w:topLinePunct w:val="0"/>
              <w:autoSpaceDE/>
              <w:autoSpaceDN/>
              <w:bidi w:val="0"/>
              <w:adjustRightInd/>
              <w:snapToGrid/>
              <w:spacing w:line="440" w:lineRule="exact"/>
              <w:ind w:firstLine="0"/>
              <w:textAlignment w:val="auto"/>
              <w:rPr>
                <w:rFonts w:hint="eastAsia" w:ascii="宋体" w:hAnsi="宋体" w:eastAsia="宋体" w:cs="宋体"/>
                <w:sz w:val="24"/>
                <w:szCs w:val="24"/>
                <w:highlight w:val="none"/>
              </w:rPr>
            </w:pPr>
            <w:r>
              <w:rPr>
                <w:rFonts w:ascii="宋体" w:hAnsi="宋体" w:eastAsia="宋体" w:cs="宋体"/>
                <w:sz w:val="24"/>
                <w:szCs w:val="24"/>
                <w:highlight w:val="none"/>
              </w:rPr>
              <w:t>群众接待配套：</w:t>
            </w:r>
            <w:r>
              <w:rPr>
                <w:rFonts w:hint="eastAsia" w:ascii="宋体" w:hAnsi="宋体" w:eastAsia="宋体" w:cs="宋体"/>
                <w:sz w:val="24"/>
                <w:szCs w:val="24"/>
                <w:highlight w:val="none"/>
              </w:rPr>
              <w:t>设置群众接待区，接待区要干净整洁，配备便民服务设施设备</w:t>
            </w:r>
            <w:r>
              <w:rPr>
                <w:rFonts w:hint="eastAsia" w:ascii="宋体" w:hAnsi="宋体" w:cs="宋体"/>
                <w:sz w:val="24"/>
                <w:szCs w:val="24"/>
                <w:highlight w:val="none"/>
                <w:lang w:eastAsia="zh-CN"/>
              </w:rPr>
              <w:t>。</w:t>
            </w:r>
          </w:p>
          <w:p w14:paraId="613EFD80">
            <w:pPr>
              <w:keepNext w:val="0"/>
              <w:keepLines w:val="0"/>
              <w:pageBreakBefore w:val="0"/>
              <w:widowControl w:val="0"/>
              <w:numPr>
                <w:ilvl w:val="0"/>
                <w:numId w:val="7"/>
              </w:numPr>
              <w:kinsoku/>
              <w:wordWrap/>
              <w:overflowPunct/>
              <w:topLinePunct w:val="0"/>
              <w:autoSpaceDE/>
              <w:autoSpaceDN/>
              <w:bidi w:val="0"/>
              <w:adjustRightInd/>
              <w:snapToGrid/>
              <w:spacing w:line="440" w:lineRule="exact"/>
              <w:ind w:firstLine="0"/>
              <w:textAlignment w:val="auto"/>
              <w:rPr>
                <w:rFonts w:hint="eastAsia" w:ascii="宋体" w:hAnsi="宋体" w:eastAsia="宋体" w:cs="宋体"/>
                <w:sz w:val="24"/>
                <w:szCs w:val="24"/>
                <w:highlight w:val="none"/>
              </w:rPr>
            </w:pPr>
            <w:r>
              <w:rPr>
                <w:rFonts w:ascii="宋体" w:hAnsi="宋体" w:eastAsia="宋体" w:cs="宋体"/>
                <w:sz w:val="24"/>
                <w:szCs w:val="24"/>
                <w:highlight w:val="none"/>
              </w:rPr>
              <w:t>交通安全宣传设施：</w:t>
            </w:r>
            <w:r>
              <w:rPr>
                <w:rFonts w:hint="eastAsia" w:ascii="宋体" w:hAnsi="宋体" w:eastAsia="宋体" w:cs="宋体"/>
                <w:sz w:val="24"/>
                <w:szCs w:val="24"/>
                <w:highlight w:val="none"/>
              </w:rPr>
              <w:t>配备交通安全宣传板、栏</w:t>
            </w:r>
            <w:r>
              <w:rPr>
                <w:rFonts w:hint="eastAsia" w:ascii="宋体" w:hAnsi="宋体" w:cs="宋体"/>
                <w:sz w:val="24"/>
                <w:szCs w:val="24"/>
                <w:highlight w:val="none"/>
                <w:lang w:eastAsia="zh-CN"/>
              </w:rPr>
              <w:t>（</w:t>
            </w:r>
            <w:r>
              <w:rPr>
                <w:rFonts w:ascii="宋体" w:hAnsi="宋体" w:eastAsia="宋体" w:cs="宋体"/>
                <w:sz w:val="24"/>
                <w:szCs w:val="24"/>
                <w:highlight w:val="none"/>
              </w:rPr>
              <w:t>宣传内容须包含《中华人民共和国道路交通安全法》相关条文、交通安全典型警示案例，采用群众易于接受的图文、动漫等形式展示，不得仅以简短文字简单布置。</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w:t>
            </w:r>
          </w:p>
          <w:p w14:paraId="73117E3D">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w:t>
            </w:r>
            <w:r>
              <w:rPr>
                <w:rFonts w:hint="eastAsia" w:ascii="宋体" w:hAnsi="宋体" w:eastAsia="宋体" w:cs="宋体"/>
                <w:b/>
                <w:bCs/>
                <w:sz w:val="24"/>
                <w:szCs w:val="24"/>
                <w:highlight w:val="none"/>
                <w:lang w:val="en-US" w:eastAsia="zh-CN"/>
              </w:rPr>
              <w:t>注：</w:t>
            </w:r>
            <w:r>
              <w:rPr>
                <w:rFonts w:hint="eastAsia" w:ascii="宋体" w:hAnsi="宋体" w:eastAsia="宋体" w:cs="宋体"/>
                <w:b/>
                <w:bCs/>
                <w:sz w:val="24"/>
                <w:szCs w:val="24"/>
                <w:highlight w:val="none"/>
              </w:rPr>
              <w:t>以上内容需通过文字、照片等的形式在响应文件中逐一介绍展示</w:t>
            </w:r>
            <w:r>
              <w:rPr>
                <w:rFonts w:hint="eastAsia" w:ascii="宋体" w:hAnsi="宋体" w:cs="宋体"/>
                <w:b/>
                <w:bCs/>
                <w:sz w:val="24"/>
                <w:szCs w:val="24"/>
                <w:highlight w:val="none"/>
                <w:lang w:eastAsia="zh-CN"/>
              </w:rPr>
              <w:t>，</w:t>
            </w:r>
            <w:r>
              <w:rPr>
                <w:rFonts w:hint="eastAsia" w:ascii="宋体" w:hAnsi="宋体" w:eastAsia="宋体" w:cs="宋体"/>
                <w:b/>
                <w:bCs/>
                <w:sz w:val="24"/>
                <w:szCs w:val="24"/>
                <w:highlight w:val="none"/>
                <w:lang w:val="en-US" w:eastAsia="zh-CN"/>
              </w:rPr>
              <w:t>所有附图资料图像清晰、要素齐全，可直观核验；投标时提供，资料不完整、图像模糊无法辨识、未提供的不得分</w:t>
            </w:r>
            <w:r>
              <w:rPr>
                <w:rFonts w:hint="eastAsia" w:ascii="宋体" w:hAnsi="宋体" w:cs="宋体"/>
                <w:b/>
                <w:bCs/>
                <w:sz w:val="24"/>
                <w:szCs w:val="24"/>
                <w:highlight w:val="none"/>
                <w:lang w:val="en-US" w:eastAsia="zh-CN"/>
              </w:rPr>
              <w:t>。</w:t>
            </w:r>
            <w:r>
              <w:rPr>
                <w:rFonts w:hint="eastAsia" w:ascii="宋体" w:hAnsi="宋体" w:eastAsia="宋体" w:cs="宋体"/>
                <w:b/>
                <w:bCs/>
                <w:sz w:val="24"/>
                <w:szCs w:val="24"/>
                <w:highlight w:val="none"/>
              </w:rPr>
              <w:t>)</w:t>
            </w:r>
          </w:p>
        </w:tc>
      </w:tr>
    </w:tbl>
    <w:p w14:paraId="1841B422">
      <w:pPr>
        <w:pStyle w:val="3"/>
        <w:keepNext w:val="0"/>
        <w:keepLines w:val="0"/>
        <w:pageBreakBefore w:val="0"/>
        <w:kinsoku/>
        <w:wordWrap/>
        <w:overflowPunct/>
        <w:topLinePunct w:val="0"/>
        <w:autoSpaceDE/>
        <w:autoSpaceDN/>
        <w:bidi w:val="0"/>
        <w:adjustRightInd/>
        <w:snapToGrid/>
        <w:spacing w:beforeAutospacing="0" w:after="0" w:afterAutospacing="0" w:line="440" w:lineRule="exact"/>
        <w:ind w:left="0" w:right="0" w:firstLine="482" w:firstLineChars="200"/>
        <w:textAlignment w:val="auto"/>
        <w:outlineLvl w:val="3"/>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五</w:t>
      </w:r>
      <w:r>
        <w:rPr>
          <w:rFonts w:hint="eastAsia" w:ascii="宋体" w:hAnsi="宋体" w:eastAsia="宋体" w:cs="宋体"/>
          <w:b/>
          <w:bCs/>
          <w:sz w:val="24"/>
          <w:szCs w:val="24"/>
          <w:highlight w:val="none"/>
        </w:rPr>
        <w:t>、项目目标：</w:t>
      </w:r>
    </w:p>
    <w:p w14:paraId="566F1317">
      <w:pPr>
        <w:keepNext w:val="0"/>
        <w:keepLines w:val="0"/>
        <w:pageBreakBefore w:val="0"/>
        <w:kinsoku/>
        <w:wordWrap/>
        <w:overflowPunct/>
        <w:topLinePunct w:val="0"/>
        <w:autoSpaceDE/>
        <w:autoSpaceDN/>
        <w:bidi w:val="0"/>
        <w:adjustRightInd/>
        <w:snapToGrid/>
        <w:spacing w:beforeAutospacing="0" w:afterAutospacing="0" w:line="440" w:lineRule="exact"/>
        <w:ind w:left="0" w:righ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highlight w:val="none"/>
        </w:rPr>
        <w:t>根据法律法规和公安部规章的规定，公安交管部门依法扣押的事故车辆和违法车辆，作为涉案车辆，应停放至指定停车场</w:t>
      </w:r>
      <w:r>
        <w:rPr>
          <w:rFonts w:hint="eastAsia" w:ascii="宋体" w:hAnsi="宋体" w:eastAsia="宋体" w:cs="宋体"/>
          <w:sz w:val="24"/>
          <w:szCs w:val="24"/>
        </w:rPr>
        <w:t>。此次招标通过政府购买服务的形式，确定有资质的社会停车场用于涉案车辆停放，同时做好日常违法车辆（不含违停车辆）及当事人自愿委托的事故车辆的清障工作。</w:t>
      </w:r>
    </w:p>
    <w:p w14:paraId="1DB8464A">
      <w:pPr>
        <w:keepNext w:val="0"/>
        <w:keepLines w:val="0"/>
        <w:pageBreakBefore w:val="0"/>
        <w:kinsoku/>
        <w:wordWrap/>
        <w:overflowPunct/>
        <w:topLinePunct w:val="0"/>
        <w:autoSpaceDE/>
        <w:autoSpaceDN/>
        <w:bidi w:val="0"/>
        <w:adjustRightInd/>
        <w:snapToGrid/>
        <w:spacing w:beforeAutospacing="0" w:afterAutospacing="0" w:line="440" w:lineRule="exact"/>
        <w:ind w:left="0" w:right="0" w:firstLine="482" w:firstLineChars="200"/>
        <w:textAlignment w:val="auto"/>
        <w:rPr>
          <w:rFonts w:hint="eastAsia" w:ascii="宋体" w:hAnsi="宋体" w:eastAsia="宋体" w:cs="宋体"/>
          <w:b/>
          <w:sz w:val="24"/>
          <w:szCs w:val="24"/>
        </w:rPr>
      </w:pPr>
      <w:r>
        <w:rPr>
          <w:rFonts w:hint="eastAsia" w:ascii="宋体" w:hAnsi="宋体" w:eastAsia="宋体" w:cs="宋体"/>
          <w:b/>
          <w:bCs/>
          <w:sz w:val="24"/>
          <w:szCs w:val="24"/>
          <w:lang w:val="en-US" w:eastAsia="zh-CN"/>
        </w:rPr>
        <w:t>六</w:t>
      </w:r>
      <w:r>
        <w:rPr>
          <w:rFonts w:hint="eastAsia" w:ascii="宋体" w:hAnsi="宋体" w:eastAsia="宋体" w:cs="宋体"/>
          <w:b/>
          <w:bCs/>
          <w:sz w:val="24"/>
          <w:szCs w:val="24"/>
        </w:rPr>
        <w:t>、</w:t>
      </w:r>
      <w:r>
        <w:rPr>
          <w:rFonts w:hint="eastAsia" w:ascii="宋体" w:hAnsi="宋体" w:eastAsia="宋体" w:cs="宋体"/>
          <w:b/>
          <w:sz w:val="24"/>
          <w:szCs w:val="24"/>
        </w:rPr>
        <w:t>项目执行的国家相关标准、行业标准、地方标准或者其他标准、规范：</w:t>
      </w:r>
    </w:p>
    <w:p w14:paraId="61675AED">
      <w:pPr>
        <w:keepNext w:val="0"/>
        <w:keepLines w:val="0"/>
        <w:pageBreakBefore w:val="0"/>
        <w:kinsoku/>
        <w:wordWrap/>
        <w:overflowPunct/>
        <w:topLinePunct w:val="0"/>
        <w:autoSpaceDE/>
        <w:autoSpaceDN/>
        <w:bidi w:val="0"/>
        <w:adjustRightInd/>
        <w:snapToGrid/>
        <w:spacing w:beforeAutospacing="0" w:afterAutospacing="0" w:line="440" w:lineRule="exact"/>
        <w:ind w:left="0" w:righ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本项目执行《中华人民共和国道路交通安全法》、《中华人民共和国行政强制法》、《徐州市公安局涉案财物管理工作规范》等法律法规及相关标准规范。</w:t>
      </w:r>
    </w:p>
    <w:p w14:paraId="31F6DAE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七</w:t>
      </w:r>
      <w:r>
        <w:rPr>
          <w:rFonts w:hint="eastAsia" w:ascii="宋体" w:hAnsi="宋体" w:eastAsia="宋体" w:cs="宋体"/>
          <w:b/>
          <w:bCs/>
          <w:sz w:val="24"/>
          <w:szCs w:val="24"/>
          <w:highlight w:val="none"/>
        </w:rPr>
        <w:t>、履约验收</w:t>
      </w:r>
    </w:p>
    <w:p w14:paraId="1A6401A0">
      <w:pPr>
        <w:keepNext w:val="0"/>
        <w:keepLines w:val="0"/>
        <w:pageBreakBefore w:val="0"/>
        <w:kinsoku/>
        <w:wordWrap/>
        <w:overflowPunct/>
        <w:topLinePunct w:val="0"/>
        <w:autoSpaceDE/>
        <w:autoSpaceDN/>
        <w:bidi w:val="0"/>
        <w:adjustRightInd/>
        <w:snapToGrid/>
        <w:spacing w:beforeAutospacing="0" w:afterAutospacing="0" w:line="440" w:lineRule="exact"/>
        <w:ind w:left="0" w:righ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签约前现场核查：在服务正式进场开展工作之前，采购人</w:t>
      </w:r>
      <w:r>
        <w:rPr>
          <w:rFonts w:hint="eastAsia" w:ascii="宋体" w:hAnsi="宋体" w:eastAsia="宋体" w:cs="宋体"/>
          <w:sz w:val="24"/>
          <w:szCs w:val="24"/>
          <w:lang w:val="en-US" w:eastAsia="zh-CN"/>
        </w:rPr>
        <w:t>有权</w:t>
      </w:r>
      <w:r>
        <w:rPr>
          <w:rFonts w:hint="eastAsia" w:ascii="宋体" w:hAnsi="宋体" w:eastAsia="宋体" w:cs="宋体"/>
          <w:sz w:val="24"/>
          <w:szCs w:val="24"/>
        </w:rPr>
        <w:t>组织</w:t>
      </w:r>
      <w:r>
        <w:rPr>
          <w:rFonts w:hint="eastAsia" w:ascii="宋体" w:hAnsi="宋体" w:eastAsia="宋体" w:cs="宋体"/>
          <w:sz w:val="24"/>
          <w:szCs w:val="24"/>
          <w:highlight w:val="none"/>
        </w:rPr>
        <w:t>对中标人停车场开展现场实地核查，核查内容</w:t>
      </w:r>
      <w:r>
        <w:rPr>
          <w:rFonts w:hint="eastAsia" w:ascii="宋体" w:hAnsi="宋体" w:eastAsia="宋体" w:cs="宋体"/>
          <w:sz w:val="24"/>
          <w:szCs w:val="24"/>
          <w:highlight w:val="none"/>
          <w:lang w:val="en-US" w:eastAsia="zh-CN"/>
        </w:rPr>
        <w:t>包括但不限于</w:t>
      </w:r>
      <w:r>
        <w:rPr>
          <w:rFonts w:hint="eastAsia" w:ascii="宋体" w:hAnsi="宋体" w:eastAsia="宋体" w:cs="宋体"/>
          <w:sz w:val="24"/>
          <w:szCs w:val="24"/>
          <w:highlight w:val="none"/>
        </w:rPr>
        <w:t>停车场场地、硬化、监控、消防、防汛</w:t>
      </w:r>
      <w:r>
        <w:rPr>
          <w:rFonts w:hint="eastAsia" w:ascii="宋体" w:hAnsi="宋体" w:cs="宋体"/>
          <w:b w:val="0"/>
          <w:bCs w:val="0"/>
          <w:sz w:val="24"/>
          <w:szCs w:val="24"/>
          <w:highlight w:val="none"/>
          <w:lang w:eastAsia="zh-CN"/>
        </w:rPr>
        <w:t>、</w:t>
      </w:r>
      <w:r>
        <w:rPr>
          <w:rStyle w:val="27"/>
          <w:rFonts w:hint="default" w:ascii="宋体" w:hAnsi="宋体" w:eastAsia="宋体" w:cs="宋体"/>
          <w:b w:val="0"/>
          <w:bCs w:val="0"/>
          <w:kern w:val="0"/>
          <w:sz w:val="24"/>
          <w:szCs w:val="24"/>
          <w:highlight w:val="none"/>
          <w:lang w:val="en-US" w:eastAsia="zh-CN" w:bidi="ar"/>
        </w:rPr>
        <w:t>投标文件照片及航拍图所载的道钉</w:t>
      </w:r>
      <w:r>
        <w:rPr>
          <w:rFonts w:hint="default" w:ascii="宋体" w:hAnsi="宋体" w:eastAsia="宋体" w:cs="宋体"/>
          <w:sz w:val="24"/>
          <w:szCs w:val="24"/>
          <w:highlight w:val="none"/>
          <w:lang w:val="en-US" w:eastAsia="zh-CN"/>
        </w:rPr>
        <w:t>、防撞设施等硬件设备。上述设施投标阶段即应当在场地现场安装到位，不得以存放仓库、暂未固定、防盗防雨等任何理由</w:t>
      </w:r>
      <w:r>
        <w:rPr>
          <w:rFonts w:hint="eastAsia" w:ascii="宋体" w:hAnsi="宋体" w:cs="宋体"/>
          <w:sz w:val="24"/>
          <w:szCs w:val="24"/>
          <w:highlight w:val="none"/>
          <w:lang w:val="en-US" w:eastAsia="zh-CN"/>
        </w:rPr>
        <w:t>推诿</w:t>
      </w:r>
      <w:r>
        <w:rPr>
          <w:rFonts w:hint="default" w:ascii="宋体" w:hAnsi="宋体" w:eastAsia="宋体" w:cs="宋体"/>
          <w:sz w:val="24"/>
          <w:szCs w:val="24"/>
          <w:highlight w:val="none"/>
          <w:lang w:val="en-US" w:eastAsia="zh-CN"/>
        </w:rPr>
        <w:t>，</w:t>
      </w:r>
      <w:r>
        <w:rPr>
          <w:rFonts w:hint="eastAsia" w:ascii="宋体" w:hAnsi="宋体" w:eastAsia="宋体" w:cs="宋体"/>
          <w:sz w:val="24"/>
          <w:szCs w:val="24"/>
          <w:highlight w:val="none"/>
          <w:lang w:val="en-US" w:eastAsia="zh-CN"/>
        </w:rPr>
        <w:t>应全部满足采购需求要求</w:t>
      </w:r>
      <w:r>
        <w:rPr>
          <w:rFonts w:hint="eastAsia" w:ascii="宋体" w:hAnsi="宋体" w:eastAsia="宋体" w:cs="宋体"/>
          <w:sz w:val="24"/>
          <w:szCs w:val="24"/>
          <w:highlight w:val="none"/>
        </w:rPr>
        <w:t>。</w:t>
      </w:r>
    </w:p>
    <w:p w14:paraId="416B7C9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highlight w:val="none"/>
        </w:rPr>
      </w:pPr>
      <w:r>
        <w:rPr>
          <w:rFonts w:hint="default" w:ascii="宋体" w:hAnsi="宋体" w:eastAsia="宋体" w:cs="宋体"/>
          <w:sz w:val="24"/>
          <w:szCs w:val="24"/>
          <w:highlight w:val="none"/>
          <w:lang w:val="en-US" w:eastAsia="zh-CN"/>
        </w:rPr>
        <w:t>经核查，若现场道钉、防撞设施等硬件未实际安装，或现场实物与投标文件照片、航拍等资料严重不符，</w:t>
      </w:r>
      <w:r>
        <w:rPr>
          <w:rFonts w:hint="eastAsia" w:ascii="宋体" w:hAnsi="宋体" w:eastAsia="宋体" w:cs="宋体"/>
          <w:b w:val="0"/>
          <w:bCs w:val="0"/>
          <w:sz w:val="24"/>
          <w:szCs w:val="24"/>
          <w:highlight w:val="none"/>
        </w:rPr>
        <w:t>采购人有权按合同约定追责。</w:t>
      </w:r>
    </w:p>
    <w:p w14:paraId="3872647E">
      <w:pPr>
        <w:keepNext w:val="0"/>
        <w:keepLines w:val="0"/>
        <w:pageBreakBefore w:val="0"/>
        <w:kinsoku/>
        <w:wordWrap/>
        <w:overflowPunct/>
        <w:topLinePunct w:val="0"/>
        <w:autoSpaceDE/>
        <w:autoSpaceDN/>
        <w:bidi w:val="0"/>
        <w:adjustRightInd/>
        <w:snapToGrid/>
        <w:spacing w:beforeAutospacing="0" w:afterAutospacing="0" w:line="440" w:lineRule="exact"/>
        <w:ind w:left="0" w:righ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日常履约检查：服务期内采购人</w:t>
      </w:r>
      <w:r>
        <w:rPr>
          <w:rFonts w:hint="eastAsia" w:ascii="宋体" w:hAnsi="宋体" w:eastAsia="宋体" w:cs="宋体"/>
          <w:sz w:val="24"/>
          <w:szCs w:val="24"/>
          <w:highlight w:val="none"/>
          <w:lang w:val="en-US" w:eastAsia="zh-CN"/>
        </w:rPr>
        <w:t>可</w:t>
      </w:r>
      <w:r>
        <w:rPr>
          <w:rFonts w:hint="eastAsia" w:ascii="宋体" w:hAnsi="宋体" w:eastAsia="宋体" w:cs="宋体"/>
          <w:sz w:val="24"/>
          <w:szCs w:val="24"/>
          <w:highlight w:val="none"/>
        </w:rPr>
        <w:t>不定期对停车场进行现场检查，发现监控缺失、管理混乱、车辆未按要求登记保管</w:t>
      </w:r>
      <w:r>
        <w:rPr>
          <w:rFonts w:hint="default" w:ascii="宋体" w:hAnsi="宋体" w:eastAsia="宋体" w:cs="宋体"/>
          <w:sz w:val="24"/>
          <w:szCs w:val="24"/>
          <w:highlight w:val="none"/>
          <w:lang w:val="en-US" w:eastAsia="zh-CN"/>
        </w:rPr>
        <w:t>，或发现道钉、防撞设施等投标文件载明设施未现场安装、现场实物与投标资料照片不一致</w:t>
      </w:r>
      <w:r>
        <w:rPr>
          <w:rFonts w:hint="eastAsia" w:ascii="宋体" w:hAnsi="宋体" w:eastAsia="宋体" w:cs="宋体"/>
          <w:sz w:val="24"/>
          <w:szCs w:val="24"/>
          <w:highlight w:val="none"/>
        </w:rPr>
        <w:t>等问题的，发出整改通知，限期 3 个工作日内整改；逾期未整改或整改不到位的，按合同约定追究违约责任。</w:t>
      </w:r>
    </w:p>
    <w:p w14:paraId="26F44F2F">
      <w:pPr>
        <w:keepNext w:val="0"/>
        <w:keepLines w:val="0"/>
        <w:pageBreakBefore w:val="0"/>
        <w:kinsoku/>
        <w:wordWrap/>
        <w:overflowPunct/>
        <w:topLinePunct w:val="0"/>
        <w:autoSpaceDE/>
        <w:autoSpaceDN/>
        <w:bidi w:val="0"/>
        <w:adjustRightInd/>
        <w:snapToGrid/>
        <w:spacing w:beforeAutospacing="0" w:afterAutospacing="0" w:line="440" w:lineRule="exact"/>
        <w:ind w:left="0" w:right="0"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八、</w:t>
      </w:r>
      <w:r>
        <w:rPr>
          <w:rFonts w:hint="eastAsia" w:ascii="宋体" w:hAnsi="宋体" w:eastAsia="宋体" w:cs="宋体"/>
          <w:b/>
          <w:bCs/>
          <w:sz w:val="24"/>
          <w:szCs w:val="24"/>
          <w:highlight w:val="none"/>
        </w:rPr>
        <w:t>违约责任与风险处置</w:t>
      </w:r>
    </w:p>
    <w:p w14:paraId="608280E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right="0" w:rightChars="0"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一</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服务期内因中标人保管不善造成涉案车辆损毁、丢失、随车物品遗失的，由中标人依法承担赔偿责任。</w:t>
      </w:r>
    </w:p>
    <w:p w14:paraId="279D405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rPr>
        <w:t>中标人</w:t>
      </w:r>
      <w:r>
        <w:rPr>
          <w:rFonts w:hint="eastAsia" w:ascii="宋体" w:hAnsi="宋体" w:eastAsia="宋体" w:cs="宋体"/>
          <w:sz w:val="24"/>
          <w:szCs w:val="24"/>
          <w:highlight w:val="none"/>
          <w:lang w:val="en-US" w:eastAsia="zh-CN"/>
        </w:rPr>
        <w:t>确保服务期内，</w:t>
      </w:r>
      <w:r>
        <w:rPr>
          <w:rFonts w:hint="eastAsia" w:ascii="宋体" w:hAnsi="宋体" w:eastAsia="宋体" w:cs="宋体"/>
          <w:sz w:val="24"/>
          <w:szCs w:val="24"/>
          <w:highlight w:val="none"/>
        </w:rPr>
        <w:t>停车场</w:t>
      </w:r>
      <w:r>
        <w:rPr>
          <w:rFonts w:hint="eastAsia" w:ascii="宋体" w:hAnsi="宋体" w:eastAsia="宋体" w:cs="宋体"/>
          <w:sz w:val="24"/>
          <w:szCs w:val="24"/>
          <w:highlight w:val="none"/>
          <w:lang w:val="en-US" w:eastAsia="zh-CN"/>
        </w:rPr>
        <w:t>不会</w:t>
      </w:r>
      <w:r>
        <w:rPr>
          <w:rFonts w:hint="eastAsia" w:ascii="宋体" w:hAnsi="宋体" w:eastAsia="宋体" w:cs="宋体"/>
          <w:sz w:val="24"/>
          <w:szCs w:val="24"/>
          <w:highlight w:val="none"/>
        </w:rPr>
        <w:t>因租赁到期等</w:t>
      </w:r>
      <w:r>
        <w:rPr>
          <w:rFonts w:hint="eastAsia" w:ascii="宋体" w:hAnsi="宋体" w:eastAsia="宋体" w:cs="宋体"/>
          <w:sz w:val="24"/>
          <w:szCs w:val="24"/>
          <w:highlight w:val="none"/>
          <w:lang w:val="en-US" w:eastAsia="zh-CN"/>
        </w:rPr>
        <w:t>自身</w:t>
      </w:r>
      <w:r>
        <w:rPr>
          <w:rFonts w:hint="eastAsia" w:ascii="宋体" w:hAnsi="宋体" w:eastAsia="宋体" w:cs="宋体"/>
          <w:sz w:val="24"/>
          <w:szCs w:val="24"/>
          <w:highlight w:val="none"/>
        </w:rPr>
        <w:t>原因不能继续使用，因征收、拆迁</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法律原因</w:t>
      </w:r>
      <w:r>
        <w:rPr>
          <w:rFonts w:hint="eastAsia" w:ascii="宋体" w:hAnsi="宋体" w:eastAsia="宋体" w:cs="宋体"/>
          <w:sz w:val="24"/>
          <w:szCs w:val="24"/>
          <w:highlight w:val="none"/>
        </w:rPr>
        <w:t>等</w:t>
      </w:r>
      <w:r>
        <w:rPr>
          <w:rFonts w:hint="eastAsia" w:ascii="宋体" w:hAnsi="宋体" w:eastAsia="宋体" w:cs="宋体"/>
          <w:sz w:val="24"/>
          <w:szCs w:val="24"/>
          <w:highlight w:val="none"/>
          <w:lang w:val="en-US" w:eastAsia="zh-CN"/>
        </w:rPr>
        <w:t>不可抗力</w:t>
      </w:r>
      <w:r>
        <w:rPr>
          <w:rFonts w:hint="eastAsia" w:ascii="宋体" w:hAnsi="宋体" w:eastAsia="宋体" w:cs="宋体"/>
          <w:sz w:val="24"/>
          <w:szCs w:val="24"/>
          <w:highlight w:val="none"/>
        </w:rPr>
        <w:t>原因</w:t>
      </w:r>
      <w:r>
        <w:rPr>
          <w:rFonts w:hint="eastAsia" w:ascii="宋体" w:hAnsi="宋体" w:cs="宋体"/>
          <w:sz w:val="24"/>
          <w:szCs w:val="24"/>
          <w:highlight w:val="none"/>
          <w:lang w:val="en-US" w:eastAsia="zh-CN"/>
        </w:rPr>
        <w:t>无法</w:t>
      </w:r>
      <w:r>
        <w:rPr>
          <w:rFonts w:hint="eastAsia" w:ascii="宋体" w:hAnsi="宋体" w:eastAsia="宋体" w:cs="宋体"/>
          <w:sz w:val="24"/>
          <w:szCs w:val="24"/>
          <w:highlight w:val="none"/>
        </w:rPr>
        <w:t>继续使用的，须提前 30 日书面告知采购人，并在采购人指定区域内提供同等以上条件的替代停车场，确保涉案车辆停放不中断；替代费用由中标人自行承担，服务费不予调整。</w:t>
      </w:r>
    </w:p>
    <w:p w14:paraId="17923C7D">
      <w:pPr>
        <w:pStyle w:val="20"/>
        <w:keepNext w:val="0"/>
        <w:keepLines w:val="0"/>
        <w:pageBreakBefore w:val="0"/>
        <w:kinsoku/>
        <w:wordWrap/>
        <w:overflowPunct/>
        <w:topLinePunct w:val="0"/>
        <w:autoSpaceDE/>
        <w:autoSpaceDN/>
        <w:bidi w:val="0"/>
        <w:adjustRightInd/>
        <w:snapToGrid/>
        <w:spacing w:line="440" w:lineRule="exact"/>
        <w:ind w:left="0" w:right="0" w:firstLine="482" w:firstLineChars="20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注：本标注“</w:t>
      </w:r>
      <w:r>
        <w:rPr>
          <w:rFonts w:hint="eastAsia" w:ascii="宋体" w:hAnsi="宋体" w:eastAsia="宋体" w:cs="宋体"/>
          <w:b/>
          <w:bCs/>
          <w:sz w:val="24"/>
          <w:szCs w:val="24"/>
          <w:highlight w:val="none"/>
        </w:rPr>
        <w:t>★”号条款为不允许偏离的实质性要求和条件，必须逐条进行响应，若有一项未响应或偏离，在符合性审查时按照投标无效处理</w:t>
      </w:r>
      <w:r>
        <w:rPr>
          <w:rFonts w:hint="eastAsia" w:ascii="宋体" w:hAnsi="宋体" w:eastAsia="宋体" w:cs="宋体"/>
          <w:b/>
          <w:bCs/>
          <w:sz w:val="24"/>
          <w:szCs w:val="24"/>
          <w:highlight w:val="none"/>
          <w:lang w:eastAsia="zh-CN"/>
        </w:rPr>
        <w:t>。</w:t>
      </w:r>
    </w:p>
    <w:p w14:paraId="567B8ADC">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right="0" w:rightChars="0"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（三）</w:t>
      </w:r>
      <w:r>
        <w:rPr>
          <w:rFonts w:hint="eastAsia" w:ascii="宋体" w:hAnsi="宋体" w:eastAsia="宋体" w:cs="宋体"/>
          <w:sz w:val="24"/>
          <w:szCs w:val="24"/>
          <w:highlight w:val="none"/>
        </w:rPr>
        <w:t>中标人对涉案车辆信息、随车证件、钥匙负有保密义务，发生泄露的，承担相应法律责任。</w:t>
      </w:r>
    </w:p>
    <w:p w14:paraId="08A4DED0">
      <w:pPr>
        <w:keepNext w:val="0"/>
        <w:keepLines w:val="0"/>
        <w:pageBreakBefore w:val="0"/>
        <w:kinsoku/>
        <w:wordWrap/>
        <w:overflowPunct/>
        <w:topLinePunct w:val="0"/>
        <w:autoSpaceDE/>
        <w:autoSpaceDN/>
        <w:bidi w:val="0"/>
        <w:adjustRightInd/>
        <w:snapToGrid/>
        <w:spacing w:line="440" w:lineRule="exact"/>
        <w:ind w:left="0" w:right="0"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九、</w:t>
      </w:r>
      <w:r>
        <w:rPr>
          <w:rFonts w:hint="eastAsia" w:ascii="宋体" w:hAnsi="宋体" w:eastAsia="宋体" w:cs="宋体"/>
          <w:b/>
          <w:bCs/>
          <w:sz w:val="24"/>
          <w:szCs w:val="24"/>
          <w:highlight w:val="none"/>
        </w:rPr>
        <w:t>其他要求</w:t>
      </w:r>
    </w:p>
    <w:p w14:paraId="6B0116A7">
      <w:pPr>
        <w:keepNext w:val="0"/>
        <w:keepLines w:val="0"/>
        <w:pageBreakBefore w:val="0"/>
        <w:kinsoku/>
        <w:wordWrap/>
        <w:overflowPunct/>
        <w:topLinePunct w:val="0"/>
        <w:autoSpaceDE/>
        <w:autoSpaceDN/>
        <w:bidi w:val="0"/>
        <w:adjustRightInd/>
        <w:snapToGrid/>
        <w:spacing w:line="440" w:lineRule="exact"/>
        <w:ind w:left="0" w:right="0"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一</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本项目不接受联合体投标，供应商不允许分包、转包。</w:t>
      </w:r>
    </w:p>
    <w:p w14:paraId="76143740">
      <w:pPr>
        <w:pStyle w:val="20"/>
        <w:keepNext w:val="0"/>
        <w:keepLines w:val="0"/>
        <w:pageBreakBefore w:val="0"/>
        <w:kinsoku/>
        <w:wordWrap/>
        <w:overflowPunct/>
        <w:topLinePunct w:val="0"/>
        <w:autoSpaceDE/>
        <w:autoSpaceDN/>
        <w:bidi w:val="0"/>
        <w:adjustRightInd/>
        <w:snapToGrid/>
        <w:spacing w:line="440" w:lineRule="exact"/>
        <w:ind w:left="0" w:right="0" w:firstLine="480" w:firstLineChars="200"/>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（二）本招标文件</w:t>
      </w:r>
      <w:r>
        <w:rPr>
          <w:rFonts w:hint="eastAsia" w:ascii="宋体" w:hAnsi="宋体" w:eastAsia="宋体" w:cs="宋体"/>
          <w:b w:val="0"/>
          <w:bCs w:val="0"/>
          <w:sz w:val="24"/>
          <w:szCs w:val="24"/>
          <w:highlight w:val="none"/>
        </w:rPr>
        <w:t>第</w:t>
      </w:r>
      <w:r>
        <w:rPr>
          <w:rFonts w:hint="eastAsia" w:ascii="宋体" w:hAnsi="宋体" w:eastAsia="宋体" w:cs="宋体"/>
          <w:b w:val="0"/>
          <w:bCs w:val="0"/>
          <w:sz w:val="24"/>
          <w:szCs w:val="24"/>
          <w:highlight w:val="none"/>
          <w:lang w:val="en-US" w:eastAsia="zh-CN"/>
        </w:rPr>
        <w:t>六</w:t>
      </w:r>
      <w:r>
        <w:rPr>
          <w:rFonts w:hint="eastAsia" w:ascii="宋体" w:hAnsi="宋体" w:eastAsia="宋体" w:cs="宋体"/>
          <w:b w:val="0"/>
          <w:bCs w:val="0"/>
          <w:sz w:val="24"/>
          <w:szCs w:val="24"/>
          <w:highlight w:val="none"/>
        </w:rPr>
        <w:t>章《采购需求》</w:t>
      </w:r>
      <w:r>
        <w:rPr>
          <w:rFonts w:hint="eastAsia" w:ascii="宋体" w:hAnsi="宋体" w:eastAsia="宋体" w:cs="宋体"/>
          <w:b w:val="0"/>
          <w:bCs w:val="0"/>
          <w:sz w:val="24"/>
          <w:szCs w:val="24"/>
          <w:highlight w:val="none"/>
          <w:lang w:val="en-US" w:eastAsia="zh-CN"/>
        </w:rPr>
        <w:t>中所有标注“</w:t>
      </w:r>
      <w:r>
        <w:rPr>
          <w:rFonts w:hint="eastAsia" w:ascii="宋体" w:hAnsi="宋体" w:eastAsia="宋体" w:cs="宋体"/>
          <w:b w:val="0"/>
          <w:bCs w:val="0"/>
          <w:sz w:val="24"/>
          <w:szCs w:val="24"/>
          <w:highlight w:val="none"/>
        </w:rPr>
        <w:t>★”号条款为不允许偏离的实质性要求和条件，必须逐条进行响应，若有一项未响应或偏离，在符合性审查时按照投标无效处理</w:t>
      </w:r>
      <w:r>
        <w:rPr>
          <w:rFonts w:hint="eastAsia" w:ascii="宋体" w:hAnsi="宋体" w:eastAsia="宋体" w:cs="宋体"/>
          <w:b w:val="0"/>
          <w:bCs w:val="0"/>
          <w:sz w:val="24"/>
          <w:szCs w:val="24"/>
          <w:highlight w:val="none"/>
          <w:lang w:eastAsia="zh-CN"/>
        </w:rPr>
        <w:t>。</w:t>
      </w:r>
    </w:p>
    <w:p w14:paraId="2BB34F92">
      <w:pPr>
        <w:keepNext w:val="0"/>
        <w:keepLines w:val="0"/>
        <w:pageBreakBefore w:val="0"/>
        <w:kinsoku/>
        <w:wordWrap/>
        <w:overflowPunct/>
        <w:topLinePunct w:val="0"/>
        <w:autoSpaceDE/>
        <w:autoSpaceDN/>
        <w:bidi w:val="0"/>
        <w:adjustRightInd/>
        <w:snapToGrid/>
        <w:spacing w:line="440" w:lineRule="exact"/>
        <w:ind w:left="0" w:right="0" w:firstLine="480" w:firstLineChars="200"/>
        <w:textAlignment w:val="auto"/>
        <w:rPr>
          <w:rFonts w:hint="eastAsia" w:cs="宋体" w:asciiTheme="minorEastAsia" w:hAnsiTheme="minorEastAsia" w:eastAsiaTheme="minorEastAsia"/>
          <w:bCs/>
        </w:rPr>
      </w:pPr>
      <w:r>
        <w:rPr>
          <w:rFonts w:hint="eastAsia" w:ascii="宋体" w:hAnsi="宋体" w:cs="宋体"/>
          <w:sz w:val="24"/>
          <w:szCs w:val="24"/>
          <w:highlight w:val="none"/>
          <w:lang w:val="en-US" w:eastAsia="zh-CN"/>
        </w:rPr>
        <w:t>（三）</w:t>
      </w:r>
      <w:r>
        <w:rPr>
          <w:rFonts w:hint="eastAsia" w:ascii="宋体" w:hAnsi="宋体" w:eastAsia="宋体" w:cs="宋体"/>
          <w:bCs/>
          <w:sz w:val="24"/>
          <w:szCs w:val="24"/>
          <w:highlight w:val="none"/>
        </w:rPr>
        <w:t>见招标文件第四章《评分标准》、招标文件第五章《拟签订的合同文本》及相关</w:t>
      </w:r>
      <w:r>
        <w:rPr>
          <w:rFonts w:hint="eastAsia" w:ascii="宋体" w:hAnsi="宋体" w:eastAsia="宋体" w:cs="宋体"/>
          <w:bCs/>
          <w:sz w:val="24"/>
          <w:szCs w:val="24"/>
        </w:rPr>
        <w:t>文件规定</w:t>
      </w:r>
      <w:r>
        <w:rPr>
          <w:rFonts w:hint="eastAsia" w:cs="宋体" w:asciiTheme="minorEastAsia" w:hAnsiTheme="minorEastAsia" w:eastAsiaTheme="minorEastAsia"/>
          <w:bCs/>
        </w:rPr>
        <w:t>。</w:t>
      </w:r>
    </w:p>
    <w:p w14:paraId="1D32F702">
      <w:pPr>
        <w:pStyle w:val="2"/>
        <w:ind w:firstLine="482" w:firstLineChars="200"/>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（四）</w:t>
      </w:r>
      <w:r>
        <w:rPr>
          <w:rFonts w:hint="eastAsia" w:ascii="宋体" w:hAnsi="宋体" w:eastAsia="宋体" w:cs="宋体"/>
          <w:b/>
          <w:bCs/>
          <w:sz w:val="24"/>
          <w:szCs w:val="24"/>
          <w:highlight w:val="none"/>
        </w:rPr>
        <w:t>其他要求：见招标文件第五章《拟签订的合同文本》。</w:t>
      </w:r>
    </w:p>
    <w:p w14:paraId="729C15A3">
      <w:pPr>
        <w:rPr>
          <w:color w:val="auto"/>
          <w:highlight w:val="none"/>
        </w:rPr>
      </w:pPr>
    </w:p>
    <w:sectPr>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60101010101"/>
    <w:charset w:val="00"/>
    <w:family w:val="auto"/>
    <w:pitch w:val="default"/>
    <w:sig w:usb0="00000000" w:usb1="00000000" w:usb2="00000000" w:usb3="00000000" w:csb0="00000000" w:csb1="00000000"/>
  </w:font>
  <w:font w:name="MicrosoftYaHeiLight">
    <w:altName w:val="Segoe UI Symbol"/>
    <w:panose1 w:val="020B0502040204020203"/>
    <w:charset w:val="00"/>
    <w:family w:val="auto"/>
    <w:pitch w:val="default"/>
    <w:sig w:usb0="00000000" w:usb1="00000000" w:usb2="00000000" w:usb3="00000000" w:csb0="00000000" w:csb1="00000000"/>
  </w:font>
  <w:font w:name="Segoe UI Symbol">
    <w:panose1 w:val="020B0502040204020203"/>
    <w:charset w:val="00"/>
    <w:family w:val="auto"/>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72E597"/>
    <w:multiLevelType w:val="singleLevel"/>
    <w:tmpl w:val="8772E597"/>
    <w:lvl w:ilvl="0" w:tentative="0">
      <w:start w:val="1"/>
      <w:numFmt w:val="decimal"/>
      <w:suff w:val="nothing"/>
      <w:lvlText w:val="%1、"/>
      <w:lvlJc w:val="left"/>
    </w:lvl>
  </w:abstractNum>
  <w:abstractNum w:abstractNumId="1">
    <w:nsid w:val="8FF8BF3D"/>
    <w:multiLevelType w:val="singleLevel"/>
    <w:tmpl w:val="8FF8BF3D"/>
    <w:lvl w:ilvl="0" w:tentative="0">
      <w:start w:val="1"/>
      <w:numFmt w:val="decimal"/>
      <w:suff w:val="nothing"/>
      <w:lvlText w:val="%1、"/>
      <w:lvlJc w:val="left"/>
    </w:lvl>
  </w:abstractNum>
  <w:abstractNum w:abstractNumId="2">
    <w:nsid w:val="A5E6ABA5"/>
    <w:multiLevelType w:val="singleLevel"/>
    <w:tmpl w:val="A5E6ABA5"/>
    <w:lvl w:ilvl="0" w:tentative="0">
      <w:start w:val="1"/>
      <w:numFmt w:val="decimal"/>
      <w:suff w:val="nothing"/>
      <w:lvlText w:val="%1、"/>
      <w:lvlJc w:val="left"/>
    </w:lvl>
  </w:abstractNum>
  <w:abstractNum w:abstractNumId="3">
    <w:nsid w:val="BD9FADBD"/>
    <w:multiLevelType w:val="singleLevel"/>
    <w:tmpl w:val="BD9FADBD"/>
    <w:lvl w:ilvl="0" w:tentative="0">
      <w:start w:val="1"/>
      <w:numFmt w:val="decimal"/>
      <w:suff w:val="nothing"/>
      <w:lvlText w:val="%1、"/>
      <w:lvlJc w:val="left"/>
    </w:lvl>
  </w:abstractNum>
  <w:abstractNum w:abstractNumId="4">
    <w:nsid w:val="BF205925"/>
    <w:multiLevelType w:val="multilevel"/>
    <w:tmpl w:val="BF205925"/>
    <w:lvl w:ilvl="0" w:tentative="0">
      <w:start w:val="1"/>
      <w:numFmt w:val="chineseCounting"/>
      <w:suff w:val="nothing"/>
      <w:lvlText w:val="%1、"/>
      <w:lvlJc w:val="left"/>
      <w:pPr>
        <w:ind w:left="68"/>
      </w:pPr>
      <w:rPr>
        <w:rFonts w:hint="eastAsia"/>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5">
    <w:nsid w:val="429598F2"/>
    <w:multiLevelType w:val="singleLevel"/>
    <w:tmpl w:val="429598F2"/>
    <w:lvl w:ilvl="0" w:tentative="0">
      <w:start w:val="1"/>
      <w:numFmt w:val="decimal"/>
      <w:suff w:val="nothing"/>
      <w:lvlText w:val="%1、"/>
      <w:lvlJc w:val="left"/>
    </w:lvl>
  </w:abstractNum>
  <w:abstractNum w:abstractNumId="6">
    <w:nsid w:val="458D4606"/>
    <w:multiLevelType w:val="singleLevel"/>
    <w:tmpl w:val="458D4606"/>
    <w:lvl w:ilvl="0" w:tentative="0">
      <w:start w:val="1"/>
      <w:numFmt w:val="decimal"/>
      <w:suff w:val="nothing"/>
      <w:lvlText w:val="%1、"/>
      <w:lvlJc w:val="left"/>
    </w:lvl>
  </w:abstractNum>
  <w:num w:numId="1">
    <w:abstractNumId w:val="4"/>
  </w:num>
  <w:num w:numId="2">
    <w:abstractNumId w:val="2"/>
  </w:num>
  <w:num w:numId="3">
    <w:abstractNumId w:val="5"/>
  </w:num>
  <w:num w:numId="4">
    <w:abstractNumId w:val="0"/>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NjZTM1MDFjMzExNDU2NzczODQ3N2YzYWY2MmYxMWEifQ=="/>
  </w:docVars>
  <w:rsids>
    <w:rsidRoot w:val="00000000"/>
    <w:rsid w:val="05464B6E"/>
    <w:rsid w:val="095C18FB"/>
    <w:rsid w:val="0E944985"/>
    <w:rsid w:val="0F9A4272"/>
    <w:rsid w:val="282D2989"/>
    <w:rsid w:val="29F706CC"/>
    <w:rsid w:val="30D836AE"/>
    <w:rsid w:val="31A67C15"/>
    <w:rsid w:val="36315D3A"/>
    <w:rsid w:val="3711107E"/>
    <w:rsid w:val="372524B3"/>
    <w:rsid w:val="37970103"/>
    <w:rsid w:val="41A25D3E"/>
    <w:rsid w:val="421D6E16"/>
    <w:rsid w:val="45B8049E"/>
    <w:rsid w:val="461437B0"/>
    <w:rsid w:val="49A83289"/>
    <w:rsid w:val="49D23746"/>
    <w:rsid w:val="4D7762D0"/>
    <w:rsid w:val="4F3D6349"/>
    <w:rsid w:val="52D47D21"/>
    <w:rsid w:val="53FA5565"/>
    <w:rsid w:val="541F4FCC"/>
    <w:rsid w:val="54630F99"/>
    <w:rsid w:val="5A730538"/>
    <w:rsid w:val="71461992"/>
    <w:rsid w:val="74BB61F3"/>
    <w:rsid w:val="79403886"/>
    <w:rsid w:val="7EEB3B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48"/>
    <w:qFormat/>
    <w:uiPriority w:val="0"/>
    <w:pPr>
      <w:widowControl w:val="0"/>
      <w:jc w:val="both"/>
    </w:pPr>
    <w:rPr>
      <w:rFonts w:ascii="Times New Roman" w:hAnsi="Times New Roman" w:eastAsia="宋体" w:cs="Times New Roman"/>
      <w:sz w:val="21"/>
      <w:szCs w:val="24"/>
      <w:lang w:val="en-US" w:eastAsia="zh-CN" w:bidi="ar-SA"/>
    </w:rPr>
  </w:style>
  <w:style w:type="paragraph" w:styleId="5">
    <w:name w:val="heading 2"/>
    <w:basedOn w:val="1"/>
    <w:next w:val="1"/>
    <w:unhideWhenUsed/>
    <w:qFormat/>
    <w:uiPriority w:val="9"/>
    <w:pPr>
      <w:keepNext/>
      <w:keepLines/>
      <w:spacing w:before="360" w:after="200"/>
      <w:outlineLvl w:val="1"/>
    </w:pPr>
    <w:rPr>
      <w:rFonts w:ascii="Arial" w:hAnsi="Arial" w:eastAsia="Arial" w:cs="Arial"/>
      <w:sz w:val="34"/>
    </w:rPr>
  </w:style>
  <w:style w:type="character" w:default="1" w:styleId="26">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spacing w:after="0" w:line="360" w:lineRule="auto"/>
      <w:ind w:left="0" w:firstLine="420"/>
    </w:pPr>
    <w:rPr>
      <w:rFonts w:ascii="宋体" w:hAnsi="宋体"/>
    </w:rPr>
  </w:style>
  <w:style w:type="paragraph" w:styleId="3">
    <w:name w:val="Body Text Indent"/>
    <w:basedOn w:val="1"/>
    <w:next w:val="4"/>
    <w:qFormat/>
    <w:uiPriority w:val="99"/>
    <w:pPr>
      <w:spacing w:after="120"/>
      <w:ind w:left="420"/>
    </w:pPr>
  </w:style>
  <w:style w:type="paragraph" w:styleId="4">
    <w:name w:val="envelope return"/>
    <w:basedOn w:val="1"/>
    <w:qFormat/>
    <w:uiPriority w:val="0"/>
    <w:rPr>
      <w:rFonts w:ascii="Arial" w:hAnsi="Arial"/>
    </w:rPr>
  </w:style>
  <w:style w:type="paragraph" w:styleId="6">
    <w:name w:val="annotation text"/>
    <w:basedOn w:val="1"/>
    <w:unhideWhenUsed/>
    <w:qFormat/>
    <w:uiPriority w:val="99"/>
    <w:pPr>
      <w:jc w:val="left"/>
    </w:pPr>
  </w:style>
  <w:style w:type="paragraph" w:styleId="7">
    <w:name w:val="Body Text"/>
    <w:basedOn w:val="1"/>
    <w:next w:val="8"/>
    <w:qFormat/>
    <w:uiPriority w:val="0"/>
    <w:pPr>
      <w:spacing w:after="120"/>
    </w:pPr>
  </w:style>
  <w:style w:type="paragraph" w:customStyle="1" w:styleId="8">
    <w:name w:val="一级条标题"/>
    <w:basedOn w:val="9"/>
    <w:next w:val="19"/>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9">
    <w:name w:val="章标题"/>
    <w:next w:val="10"/>
    <w:qFormat/>
    <w:uiPriority w:val="0"/>
    <w:pPr>
      <w:tabs>
        <w:tab w:val="left" w:pos="810"/>
        <w:tab w:val="left" w:pos="1265"/>
      </w:tabs>
      <w:spacing w:before="50" w:after="50"/>
      <w:ind w:left="810" w:hanging="810"/>
      <w:jc w:val="both"/>
      <w:outlineLvl w:val="1"/>
    </w:pPr>
    <w:rPr>
      <w:rFonts w:hint="default" w:ascii="黑体" w:hAnsi="Times New Roman" w:eastAsia="黑体" w:cs="Times New Roman"/>
      <w:sz w:val="21"/>
      <w:szCs w:val="22"/>
      <w:lang w:val="en-US" w:eastAsia="zh-CN" w:bidi="ar-SA"/>
    </w:rPr>
  </w:style>
  <w:style w:type="paragraph" w:customStyle="1" w:styleId="10">
    <w:name w:val="正文1"/>
    <w:basedOn w:val="11"/>
    <w:next w:val="17"/>
    <w:qFormat/>
    <w:uiPriority w:val="0"/>
  </w:style>
  <w:style w:type="paragraph" w:customStyle="1" w:styleId="11">
    <w:name w:val="正文111"/>
    <w:next w:val="12"/>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2">
    <w:name w:val="目录 111"/>
    <w:basedOn w:val="13"/>
    <w:next w:val="1"/>
    <w:unhideWhenUsed/>
    <w:qFormat/>
    <w:uiPriority w:val="39"/>
    <w:pPr>
      <w:spacing w:after="100" w:line="259" w:lineRule="auto"/>
      <w:jc w:val="left"/>
    </w:pPr>
    <w:rPr>
      <w:rFonts w:ascii="Calibri" w:hAnsi="Calibri"/>
      <w:sz w:val="22"/>
      <w:szCs w:val="22"/>
    </w:rPr>
  </w:style>
  <w:style w:type="paragraph" w:customStyle="1" w:styleId="13">
    <w:name w:val="正文12"/>
    <w:next w:val="14"/>
    <w:qFormat/>
    <w:uiPriority w:val="0"/>
    <w:pPr>
      <w:widowControl w:val="0"/>
      <w:spacing w:line="360" w:lineRule="auto"/>
      <w:ind w:firstLine="723"/>
      <w:jc w:val="both"/>
    </w:pPr>
    <w:rPr>
      <w:rFonts w:hint="default" w:ascii="Times New Roman" w:hAnsi="Times New Roman" w:eastAsia="宋体" w:cs="Times New Roman"/>
      <w:sz w:val="24"/>
      <w:szCs w:val="24"/>
    </w:rPr>
  </w:style>
  <w:style w:type="paragraph" w:customStyle="1" w:styleId="14">
    <w:name w:val="正文文本1"/>
    <w:basedOn w:val="15"/>
    <w:next w:val="13"/>
    <w:qFormat/>
    <w:uiPriority w:val="0"/>
    <w:pPr>
      <w:spacing w:after="120"/>
    </w:pPr>
    <w:rPr>
      <w:rFonts w:ascii="Calibri" w:hAnsi="Calibri"/>
    </w:rPr>
  </w:style>
  <w:style w:type="paragraph" w:customStyle="1" w:styleId="15">
    <w:name w:val="正文11"/>
    <w:next w:val="16"/>
    <w:qFormat/>
    <w:uiPriority w:val="0"/>
    <w:pPr>
      <w:jc w:val="both"/>
    </w:pPr>
    <w:rPr>
      <w:rFonts w:hint="default" w:ascii="Times New Roman" w:hAnsi="Times New Roman" w:eastAsia="宋体" w:cs="Times New Roman"/>
      <w:lang w:val="en-US" w:eastAsia="zh-CN" w:bidi="ar-SA"/>
    </w:rPr>
  </w:style>
  <w:style w:type="paragraph" w:customStyle="1" w:styleId="16">
    <w:name w:val="目录 11"/>
    <w:basedOn w:val="13"/>
    <w:next w:val="1"/>
    <w:qFormat/>
    <w:uiPriority w:val="39"/>
  </w:style>
  <w:style w:type="paragraph" w:customStyle="1" w:styleId="17">
    <w:name w:val="脚注文本1"/>
    <w:basedOn w:val="10"/>
    <w:next w:val="18"/>
    <w:qFormat/>
    <w:uiPriority w:val="0"/>
    <w:pPr>
      <w:jc w:val="left"/>
    </w:pPr>
    <w:rPr>
      <w:rFonts w:ascii="宋体" w:eastAsia="Times New Roman"/>
      <w:sz w:val="18"/>
      <w:szCs w:val="18"/>
    </w:rPr>
  </w:style>
  <w:style w:type="paragraph" w:customStyle="1" w:styleId="18">
    <w:name w:val="索引 51"/>
    <w:basedOn w:val="15"/>
    <w:next w:val="10"/>
    <w:qFormat/>
    <w:uiPriority w:val="0"/>
    <w:pPr>
      <w:ind w:left="798"/>
      <w:jc w:val="left"/>
    </w:pPr>
    <w:rPr>
      <w:rFonts w:ascii="Calibri" w:hAnsi="Calibri"/>
    </w:rPr>
  </w:style>
  <w:style w:type="paragraph" w:customStyle="1" w:styleId="19">
    <w:name w:val="段"/>
    <w:basedOn w:val="1"/>
    <w:next w:val="10"/>
    <w:qFormat/>
    <w:uiPriority w:val="0"/>
    <w:pPr>
      <w:widowControl/>
      <w:ind w:firstLine="200"/>
    </w:pPr>
    <w:rPr>
      <w:rFonts w:hint="eastAsia" w:ascii="宋体"/>
      <w:szCs w:val="20"/>
    </w:rPr>
  </w:style>
  <w:style w:type="paragraph" w:styleId="20">
    <w:name w:val="Block Text"/>
    <w:basedOn w:val="1"/>
    <w:qFormat/>
    <w:uiPriority w:val="0"/>
    <w:pPr>
      <w:ind w:left="567" w:right="454" w:firstLine="498"/>
    </w:pPr>
    <w:rPr>
      <w:rFonts w:ascii="仿宋_GB2312" w:eastAsia="仿宋_GB2312"/>
      <w:sz w:val="30"/>
    </w:rPr>
  </w:style>
  <w:style w:type="paragraph" w:styleId="21">
    <w:name w:val="Plain Text"/>
    <w:basedOn w:val="1"/>
    <w:qFormat/>
    <w:uiPriority w:val="0"/>
    <w:rPr>
      <w:rFonts w:ascii="宋体" w:hAnsi="Courier New"/>
      <w:szCs w:val="21"/>
    </w:rPr>
  </w:style>
  <w:style w:type="paragraph" w:styleId="22">
    <w:name w:val="toc 1"/>
    <w:basedOn w:val="1"/>
    <w:next w:val="1"/>
    <w:unhideWhenUsed/>
    <w:qFormat/>
    <w:uiPriority w:val="39"/>
    <w:pPr>
      <w:spacing w:after="57"/>
    </w:pPr>
  </w:style>
  <w:style w:type="paragraph" w:styleId="23">
    <w:name w:val="Normal (Web)"/>
    <w:basedOn w:val="1"/>
    <w:unhideWhenUsed/>
    <w:qFormat/>
    <w:uiPriority w:val="99"/>
    <w:pPr>
      <w:spacing w:beforeAutospacing="1" w:afterAutospacing="1"/>
      <w:jc w:val="left"/>
    </w:pPr>
    <w:rPr>
      <w:sz w:val="24"/>
    </w:rPr>
  </w:style>
  <w:style w:type="paragraph" w:styleId="24">
    <w:name w:val="Body Text First Indent"/>
    <w:basedOn w:val="7"/>
    <w:next w:val="2"/>
    <w:qFormat/>
    <w:uiPriority w:val="0"/>
    <w:pPr>
      <w:spacing w:line="360" w:lineRule="auto"/>
      <w:ind w:firstLine="200"/>
    </w:pPr>
    <w:rPr>
      <w:rFonts w:ascii="仿宋_GB2312" w:eastAsia="仿宋_GB2312"/>
      <w:sz w:val="30"/>
      <w:szCs w:val="30"/>
    </w:rPr>
  </w:style>
  <w:style w:type="character" w:styleId="27">
    <w:name w:val="Strong"/>
    <w:basedOn w:val="26"/>
    <w:qFormat/>
    <w:uiPriority w:val="22"/>
    <w:rPr>
      <w:b/>
    </w:rPr>
  </w:style>
  <w:style w:type="character" w:styleId="28">
    <w:name w:val="annotation reference"/>
    <w:basedOn w:val="26"/>
    <w:unhideWhenUsed/>
    <w:qFormat/>
    <w:uiPriority w:val="99"/>
    <w:rPr>
      <w:sz w:val="21"/>
      <w:szCs w:val="21"/>
    </w:rPr>
  </w:style>
  <w:style w:type="paragraph" w:customStyle="1" w:styleId="29">
    <w:name w:val="Default"/>
    <w:qFormat/>
    <w:uiPriority w:val="0"/>
    <w:pPr>
      <w:widowControl w:val="0"/>
    </w:pPr>
    <w:rPr>
      <w:rFonts w:hint="default" w:ascii="宋体" w:hAnsi="Times New Roman" w:eastAsia="宋体" w:cs="宋体"/>
      <w:color w:val="000000"/>
      <w:sz w:val="24"/>
      <w:szCs w:val="24"/>
    </w:rPr>
  </w:style>
  <w:style w:type="paragraph" w:customStyle="1" w:styleId="30">
    <w:name w:val="正文首行缩进1"/>
    <w:basedOn w:val="31"/>
    <w:next w:val="33"/>
    <w:qFormat/>
    <w:uiPriority w:val="0"/>
    <w:pPr>
      <w:ind w:firstLine="420"/>
    </w:pPr>
    <w:rPr>
      <w:rFonts w:ascii="仿宋_GB2312" w:eastAsia="仿宋_GB2312"/>
      <w:sz w:val="30"/>
      <w:szCs w:val="30"/>
    </w:rPr>
  </w:style>
  <w:style w:type="paragraph" w:customStyle="1" w:styleId="31">
    <w:name w:val="正文文本11"/>
    <w:basedOn w:val="32"/>
    <w:next w:val="15"/>
    <w:qFormat/>
    <w:uiPriority w:val="0"/>
    <w:pPr>
      <w:spacing w:after="120"/>
    </w:pPr>
  </w:style>
  <w:style w:type="paragraph" w:customStyle="1" w:styleId="32">
    <w:name w:val="正文112"/>
    <w:next w:val="1"/>
    <w:qFormat/>
    <w:uiPriority w:val="0"/>
    <w:pPr>
      <w:widowControl w:val="0"/>
      <w:jc w:val="both"/>
    </w:pPr>
    <w:rPr>
      <w:rFonts w:hint="default" w:ascii="Times New Roman" w:hAnsi="Times New Roman" w:eastAsia="宋体" w:cs="Times New Roman"/>
      <w:sz w:val="21"/>
      <w:szCs w:val="24"/>
    </w:rPr>
  </w:style>
  <w:style w:type="paragraph" w:customStyle="1" w:styleId="33">
    <w:name w:val="正文首行缩进 21"/>
    <w:basedOn w:val="34"/>
    <w:next w:val="1"/>
    <w:qFormat/>
    <w:uiPriority w:val="0"/>
    <w:pPr>
      <w:ind w:firstLine="420"/>
    </w:pPr>
    <w:rPr>
      <w:rFonts w:ascii="Times New Roman" w:hAnsi="Times New Roman"/>
    </w:rPr>
  </w:style>
  <w:style w:type="paragraph" w:customStyle="1" w:styleId="34">
    <w:name w:val="正文文本缩进1"/>
    <w:basedOn w:val="15"/>
    <w:next w:val="35"/>
    <w:qFormat/>
    <w:uiPriority w:val="99"/>
    <w:pPr>
      <w:spacing w:after="120"/>
      <w:ind w:left="420"/>
    </w:pPr>
    <w:rPr>
      <w:rFonts w:ascii="Calibri" w:hAnsi="Calibri"/>
    </w:rPr>
  </w:style>
  <w:style w:type="paragraph" w:customStyle="1" w:styleId="35">
    <w:name w:val="寄信人地址1"/>
    <w:basedOn w:val="1"/>
    <w:qFormat/>
    <w:uiPriority w:val="0"/>
    <w:rPr>
      <w:rFonts w:ascii="Arial" w:hAnsi="Arial"/>
    </w:rPr>
  </w:style>
  <w:style w:type="paragraph" w:customStyle="1" w:styleId="36">
    <w:name w:val="正文首行缩进11"/>
    <w:basedOn w:val="31"/>
    <w:next w:val="37"/>
    <w:qFormat/>
    <w:uiPriority w:val="0"/>
    <w:pPr>
      <w:ind w:firstLine="420"/>
    </w:pPr>
    <w:rPr>
      <w:rFonts w:ascii="仿宋_GB2312" w:eastAsia="仿宋_GB2312"/>
      <w:sz w:val="30"/>
      <w:szCs w:val="30"/>
    </w:rPr>
  </w:style>
  <w:style w:type="paragraph" w:customStyle="1" w:styleId="37">
    <w:name w:val="正文首行缩进 211"/>
    <w:basedOn w:val="38"/>
    <w:qFormat/>
    <w:uiPriority w:val="0"/>
    <w:pPr>
      <w:ind w:firstLine="420"/>
    </w:pPr>
    <w:rPr>
      <w:rFonts w:ascii="Times New Roman" w:hAnsi="Times New Roman"/>
    </w:rPr>
  </w:style>
  <w:style w:type="paragraph" w:customStyle="1" w:styleId="38">
    <w:name w:val="正文文本缩进11"/>
    <w:basedOn w:val="15"/>
    <w:next w:val="39"/>
    <w:qFormat/>
    <w:uiPriority w:val="0"/>
    <w:pPr>
      <w:spacing w:after="120"/>
      <w:ind w:left="420"/>
    </w:pPr>
    <w:rPr>
      <w:rFonts w:ascii="Calibri" w:hAnsi="Calibri"/>
    </w:rPr>
  </w:style>
  <w:style w:type="paragraph" w:customStyle="1" w:styleId="39">
    <w:name w:val="寄信人地址11"/>
    <w:basedOn w:val="15"/>
    <w:qFormat/>
    <w:uiPriority w:val="0"/>
    <w:rPr>
      <w:rFonts w:ascii="Arial" w:hAnsi="Arial"/>
    </w:rPr>
  </w:style>
  <w:style w:type="table" w:customStyle="1" w:styleId="40">
    <w:name w:val="Table Normal"/>
    <w:unhideWhenUsed/>
    <w:qFormat/>
    <w:uiPriority w:val="2"/>
    <w:tblPr>
      <w:tblCellMar>
        <w:top w:w="0" w:type="dxa"/>
        <w:left w:w="0" w:type="dxa"/>
        <w:bottom w:w="0" w:type="dxa"/>
        <w:right w:w="0" w:type="dxa"/>
      </w:tblCellMar>
    </w:tblPr>
  </w:style>
  <w:style w:type="paragraph" w:customStyle="1" w:styleId="41">
    <w:name w:val="无间隔11"/>
    <w:qFormat/>
    <w:uiPriority w:val="0"/>
    <w:rPr>
      <w:rFonts w:ascii="Times New Roman" w:hAnsi="Times New Roman" w:eastAsia="宋体" w:cs="Times New Roman"/>
      <w:sz w:val="22"/>
      <w:szCs w:val="22"/>
      <w:lang w:val="en-US" w:eastAsia="en-US" w:bidi="ar-SA"/>
    </w:rPr>
  </w:style>
  <w:style w:type="paragraph" w:customStyle="1" w:styleId="42">
    <w:name w:val="列出段落1"/>
    <w:basedOn w:val="1"/>
    <w:qFormat/>
    <w:uiPriority w:val="0"/>
    <w:pPr>
      <w:ind w:firstLine="420"/>
    </w:pPr>
    <w:rPr>
      <w:rFonts w:ascii="Calibri" w:hAnsi="Calibri"/>
    </w:rPr>
  </w:style>
  <w:style w:type="character" w:customStyle="1" w:styleId="43">
    <w:name w:val="font11"/>
    <w:basedOn w:val="26"/>
    <w:qFormat/>
    <w:uiPriority w:val="0"/>
    <w:rPr>
      <w:rFonts w:hint="eastAsia" w:ascii="仿宋" w:hAnsi="仿宋" w:eastAsia="仿宋" w:cs="仿宋"/>
      <w:color w:val="000000"/>
      <w:sz w:val="22"/>
      <w:szCs w:val="22"/>
      <w:u w:val="none"/>
    </w:rPr>
  </w:style>
  <w:style w:type="character" w:customStyle="1" w:styleId="44">
    <w:name w:val="font01"/>
    <w:basedOn w:val="26"/>
    <w:qFormat/>
    <w:uiPriority w:val="0"/>
    <w:rPr>
      <w:rFonts w:hint="eastAsia" w:ascii="仿宋" w:hAnsi="仿宋" w:eastAsia="仿宋" w:cs="仿宋"/>
      <w:color w:val="000000"/>
      <w:sz w:val="20"/>
      <w:szCs w:val="20"/>
      <w:u w:val="none"/>
    </w:rPr>
  </w:style>
  <w:style w:type="paragraph" w:customStyle="1" w:styleId="45">
    <w:name w:val="Table Paragraph"/>
    <w:basedOn w:val="1"/>
    <w:qFormat/>
    <w:uiPriority w:val="1"/>
    <w:pPr>
      <w:ind w:left="108"/>
    </w:pPr>
  </w:style>
  <w:style w:type="paragraph" w:customStyle="1" w:styleId="46">
    <w:name w:val="正文 A"/>
    <w:qFormat/>
    <w:uiPriority w:val="0"/>
    <w:pPr>
      <w:pBdr>
        <w:top w:val="none" w:color="FFFFFF" w:sz="0" w:space="31"/>
        <w:left w:val="none" w:color="FFFFFF" w:sz="0" w:space="31"/>
        <w:bottom w:val="none" w:color="FFFFFF" w:sz="0" w:space="31"/>
        <w:right w:val="none" w:color="FFFFFF" w:sz="0" w:space="31"/>
      </w:pBdr>
    </w:pPr>
    <w:rPr>
      <w:rFonts w:ascii="Times New Roman" w:hAnsi="Times New Roman" w:eastAsia="宋体" w:cs="Times New Roman"/>
      <w:color w:val="000000"/>
      <w:szCs w:val="21"/>
      <w:lang w:val="en-US" w:eastAsia="zh-CN" w:bidi="ar-SA"/>
    </w:rPr>
  </w:style>
  <w:style w:type="paragraph" w:customStyle="1" w:styleId="47">
    <w:name w:val="Body text|2"/>
    <w:basedOn w:val="1"/>
    <w:qFormat/>
    <w:uiPriority w:val="0"/>
    <w:pPr>
      <w:adjustRightInd/>
      <w:snapToGrid/>
      <w:spacing w:before="1120" w:after="2760" w:line="312" w:lineRule="auto"/>
      <w:ind w:left="1080"/>
    </w:pPr>
    <w:rPr>
      <w:rFonts w:ascii="宋体" w:hAnsi="宋体" w:eastAsia="宋体" w:cs="宋体"/>
      <w:sz w:val="32"/>
      <w:szCs w:val="32"/>
      <w:lang w:val="zh-TW" w:eastAsia="zh-TW" w:bidi="zh-TW"/>
    </w:rPr>
  </w:style>
  <w:style w:type="character" w:customStyle="1" w:styleId="48">
    <w:name w:val="fontstyle01"/>
    <w:link w:val="1"/>
    <w:qFormat/>
    <w:uiPriority w:val="0"/>
    <w:rPr>
      <w:rFonts w:ascii="Times New Roman" w:hAnsi="Times New Roman" w:eastAsia="宋体" w:cs="Times New Roman"/>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3494</Words>
  <Characters>3564</Characters>
  <Lines>0</Lines>
  <Paragraphs>0</Paragraphs>
  <TotalTime>1</TotalTime>
  <ScaleCrop>false</ScaleCrop>
  <LinksUpToDate>false</LinksUpToDate>
  <CharactersWithSpaces>3565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2025-09-09T00:55:00Z</dcterms:created>
  <dc:creator>31648</dc:creator>
  <cp:lastModifiedBy>31648</cp:lastModifiedBy>
  <dcterms:modified xsi:type="dcterms:W3CDTF">2026-10-19T02:47:04Z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0F16234563074A80A044ABFFB1F08587</vt:lpwstr>
  </property>
  <property fmtid="{D5CDD505-2E9C-101B-9397-08002B2CF9AE}" pid="4" name="KSOTemplateDocerSaveRecord">
    <vt:lpwstr>eyJoZGlkIjoiZDgxZTUxODI3NzAyODkyZGZlMGMwYzA5YzNiM2Q2ODUiLCJ1c2VySWQiOiI1MTAzMTQyOTgifQ==</vt:lpwstr>
  </property>
</Properties>
</file>