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7"/>
      </w:p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Theme="majorEastAsia" w:hAnsiTheme="majorEastAsia" w:eastAsiaTheme="majorEastAsia" w:cstheme="majorEastAsia"/>
          <w:b/>
          <w:bCs/>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睢宁县人民医院灾备数据机房建设项目</w:t>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JSZC-320324-SNJC-G2026-0007</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睢宁县人民医院</w:t>
      </w:r>
      <w:r/>
    </w:p>
    <w:p>
      <w:pPr>
        <w:rPr>
          <w:rFonts w:ascii="仿宋" w:hAnsi="仿宋" w:eastAsia="仿宋"/>
          <w:sz w:val="32"/>
        </w:rPr>
      </w:pPr>
      <w:r>
        <w:rPr>
          <w:rFonts w:ascii="仿宋" w:hAnsi="仿宋" w:eastAsia="仿宋"/>
          <w:sz w:val="32"/>
        </w:rPr>
      </w:r>
      <w:r/>
    </w:p>
    <w:p>
      <w:pPr>
        <w:pStyle w:val="751"/>
      </w:pPr>
      <w:r/>
      <w:r/>
    </w:p>
    <w:p>
      <w:r/>
      <w:r/>
    </w:p>
    <w:p>
      <w:pPr>
        <w:pStyle w:val="751"/>
      </w:pPr>
      <w:r/>
      <w:r/>
    </w:p>
    <w:p>
      <w:r/>
      <w:r/>
    </w:p>
    <w:p>
      <w:pPr>
        <w:pStyle w:val="751"/>
      </w:pPr>
      <w:r/>
      <w:r/>
    </w:p>
    <w:p>
      <w:r/>
      <w:r/>
    </w:p>
    <w:p>
      <w:pPr>
        <w:rPr>
          <w:rFonts w:ascii="仿宋" w:hAnsi="仿宋" w:eastAsia="仿宋"/>
          <w:sz w:val="32"/>
        </w:rPr>
      </w:pPr>
      <w:r>
        <w:rPr>
          <w:rFonts w:ascii="仿宋" w:hAnsi="仿宋" w:eastAsia="仿宋"/>
          <w:sz w:val="32"/>
        </w:rPr>
      </w:r>
      <w:r/>
    </w:p>
    <w:p>
      <w:pPr>
        <w:pStyle w:val="751"/>
      </w:pPr>
      <w:r/>
      <w:r/>
    </w:p>
    <w:p>
      <w:r/>
      <w:r/>
    </w:p>
    <w:p>
      <w:pPr>
        <w:pStyle w:val="751"/>
      </w:pPr>
      <w:r/>
      <w:r/>
    </w:p>
    <w:p>
      <w:pPr>
        <w:jc w:val="center"/>
        <w:rPr>
          <w:rFonts w:hint="eastAsia" w:ascii="仿宋" w:hAnsi="仿宋" w:eastAsia="仿宋"/>
          <w:sz w:val="32"/>
          <w:szCs w:val="32"/>
          <w:lang w:eastAsia="zh-CN"/>
        </w:rPr>
      </w:pPr>
      <w:r>
        <w:rPr>
          <w:rFonts w:hint="eastAsia" w:ascii="仿宋" w:hAnsi="仿宋" w:eastAsia="仿宋"/>
          <w:sz w:val="32"/>
          <w:szCs w:val="32"/>
        </w:rPr>
        <w:t xml:space="preserve">采购代理机构：</w:t>
      </w:r>
      <w:r>
        <w:rPr>
          <w:rFonts w:hint="eastAsia" w:ascii="仿宋" w:hAnsi="仿宋" w:eastAsia="仿宋"/>
          <w:sz w:val="32"/>
          <w:szCs w:val="32"/>
          <w:lang w:eastAsia="zh-CN"/>
        </w:rPr>
        <w:t xml:space="preserve">睢宁县公共资源交易中心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val="en-US" w:eastAsia="zh-CN"/>
        </w:rPr>
        <w:t xml:space="preserve">十</w:t>
      </w:r>
      <w:r>
        <w:rPr>
          <w:rFonts w:hint="eastAsia" w:ascii="仿宋" w:hAnsi="仿宋" w:eastAsia="仿宋"/>
          <w:sz w:val="32"/>
          <w:szCs w:val="32"/>
        </w:rPr>
        <w:t xml:space="preserve">月</w:t>
      </w:r>
      <w:r/>
    </w:p>
    <w:p>
      <w:pPr>
        <w:pStyle w:val="735"/>
        <w:ind w:firstLine="880"/>
        <w:jc w:val="center"/>
        <w:rPr>
          <w:rFonts w:hint="eastAsia" w:ascii="仿宋" w:hAnsi="仿宋" w:eastAsia="仿宋"/>
          <w:sz w:val="44"/>
        </w:rPr>
      </w:pPr>
      <w:r>
        <w:rPr>
          <w:rFonts w:hint="eastAsia" w:ascii="仿宋" w:hAnsi="仿宋" w:eastAsia="仿宋"/>
          <w:sz w:val="44"/>
        </w:rPr>
      </w:r>
      <w:r/>
    </w:p>
    <w:p>
      <w:pPr>
        <w:pStyle w:val="735"/>
        <w:ind w:firstLine="880"/>
        <w:jc w:val="center"/>
        <w:rPr>
          <w:rFonts w:hint="eastAsia" w:ascii="仿宋" w:hAnsi="仿宋" w:eastAsia="仿宋"/>
          <w:sz w:val="44"/>
        </w:rPr>
      </w:pPr>
      <w:r>
        <w:rPr>
          <w:rFonts w:hint="eastAsia" w:ascii="仿宋" w:hAnsi="仿宋" w:eastAsia="仿宋"/>
          <w:sz w:val="44"/>
        </w:rPr>
      </w:r>
      <w:r/>
    </w:p>
    <w:p>
      <w:pPr>
        <w:pStyle w:val="735"/>
        <w:ind w:firstLine="880"/>
        <w:jc w:val="center"/>
        <w:rPr>
          <w:rFonts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睢宁县人民医院灾备数据机房建设</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睢宁县人民医院灾备数据机房建设项目</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JSZC-320324-SNJC-G2026-0007</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hint="eastAsia" w:ascii="仿宋" w:hAnsi="仿宋" w:eastAsia="仿宋"/>
          <w:sz w:val="24"/>
          <w:u w:val="single"/>
        </w:rPr>
        <w:t xml:space="preserve">https://czj.xz.gov.cn/zfcg/</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highlight w:val="none"/>
        </w:rPr>
      </w:pPr>
      <w:r>
        <w:rPr>
          <w:rFonts w:hint="eastAsia" w:ascii="仿宋" w:hAnsi="仿宋" w:eastAsia="仿宋"/>
          <w:sz w:val="24"/>
        </w:rPr>
        <w:t xml:space="preserve">1.投标截止时间：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日9：30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w:t>
      </w:r>
      <w:r>
        <w:rPr>
          <w:rFonts w:hint="eastAsia" w:ascii="仿宋" w:hAnsi="仿宋" w:eastAsia="仿宋"/>
          <w:sz w:val="24"/>
          <w:lang w:eastAsia="zh-CN"/>
        </w:rPr>
        <w:t xml:space="preserve">https://jszfcg.jsczt.cn/jszc/login</w:t>
      </w:r>
      <w:r>
        <w:rPr>
          <w:rFonts w:hint="eastAsia" w:ascii="仿宋" w:hAnsi="仿宋" w:eastAsia="仿宋"/>
          <w:sz w:val="24"/>
        </w:rPr>
        <w:t xml:space="preserve">）“开标大厅”或进入徐州政府采购网（网址：</w:t>
      </w:r>
      <w:r>
        <w:rPr>
          <w:rFonts w:hint="eastAsia" w:ascii="仿宋" w:hAnsi="仿宋" w:eastAsia="仿宋"/>
          <w:sz w:val="24"/>
          <w:lang w:eastAsia="zh-CN"/>
        </w:rPr>
        <w:t xml:space="preserve">https://czj.xz.gov.cn/zfcg/</w:t>
      </w:r>
      <w:r>
        <w:rPr>
          <w:rFonts w:hint="eastAsia" w:ascii="仿宋" w:hAnsi="仿宋" w:eastAsia="仿宋"/>
          <w:sz w:val="24"/>
        </w:rPr>
        <w:t xml:space="preserve">），点击“苏采云”进入系统“开标大厅”。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睢宁县人民医院</w:t>
      </w:r>
      <w:r/>
    </w:p>
    <w:p>
      <w:pPr>
        <w:ind w:firstLine="480"/>
        <w:rPr>
          <w:rFonts w:hint="eastAsia" w:ascii="仿宋" w:hAnsi="仿宋" w:eastAsia="仿宋"/>
          <w:sz w:val="24"/>
          <w:lang w:eastAsia="zh-CN"/>
        </w:rPr>
      </w:pPr>
      <w:r>
        <w:rPr>
          <w:rFonts w:hint="eastAsia" w:ascii="仿宋" w:hAnsi="仿宋" w:eastAsia="仿宋"/>
          <w:sz w:val="24"/>
        </w:rPr>
        <w:t xml:space="preserve">2.地址：</w:t>
      </w:r>
      <w:r>
        <w:rPr>
          <w:rFonts w:hint="eastAsia" w:ascii="仿宋" w:hAnsi="仿宋" w:eastAsia="仿宋"/>
          <w:sz w:val="24"/>
          <w:lang w:eastAsia="zh-CN"/>
        </w:rPr>
        <w:t xml:space="preserve">睢宁县八一西路2号</w:t>
      </w:r>
      <w:r/>
    </w:p>
    <w:p>
      <w:pPr>
        <w:ind w:firstLine="48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0516-68062028</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仝灵利</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睢宁县公共资源交易中心</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睢宁县永安路22号政务服务中心四楼</w:t>
      </w:r>
      <w:r>
        <w:rPr>
          <w:rFonts w:hint="eastAsia" w:ascii="仿宋" w:hAnsi="仿宋" w:eastAsia="仿宋"/>
          <w:sz w:val="24"/>
        </w:rPr>
        <w:t xml:space="preserve">   </w:t>
      </w:r>
      <w:r/>
    </w:p>
    <w:p>
      <w:pPr>
        <w:ind w:firstLine="480"/>
        <w:rPr>
          <w:rFonts w:hint="eastAsia" w:ascii="仿宋" w:hAnsi="仿宋" w:eastAsia="仿宋"/>
          <w:sz w:val="24"/>
          <w:lang w:val="en-US" w:eastAsia="zh-CN"/>
        </w:rPr>
      </w:pPr>
      <w:r>
        <w:rPr>
          <w:rFonts w:hint="eastAsia" w:ascii="仿宋" w:hAnsi="仿宋" w:eastAsia="仿宋"/>
          <w:sz w:val="24"/>
        </w:rPr>
        <w:t xml:space="preserve">3．联系方法：0516-</w:t>
      </w:r>
      <w:r>
        <w:rPr>
          <w:rFonts w:hint="eastAsia" w:ascii="仿宋" w:hAnsi="仿宋" w:eastAsia="仿宋"/>
          <w:sz w:val="24"/>
          <w:lang w:val="en-US" w:eastAsia="zh-CN"/>
        </w:rPr>
        <w:t xml:space="preserve">67070772</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陈泓霖</w:t>
      </w:r>
      <w:r>
        <w:rPr>
          <w:rFonts w:hint="eastAsia" w:ascii="仿宋" w:hAnsi="仿宋" w:eastAsia="仿宋"/>
          <w:sz w:val="24"/>
        </w:rPr>
        <w:t xml:space="preserve">      </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bookmarkStart w:id="0" w:name="OLE_LINK1"/>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bookmarkStart w:id="1" w:name="OLE_LINK6"/>
      <w:r/>
      <w:bookmarkStart w:id="2"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lang w:val="en-US" w:eastAsia="zh-CN"/>
        </w:rPr>
        <w:t xml:space="preserve">6</w:t>
      </w:r>
      <w:r>
        <w:rPr>
          <w:rFonts w:hint="eastAsia" w:ascii="仿宋" w:hAnsi="仿宋" w:eastAsia="仿宋"/>
          <w:b/>
          <w:sz w:val="24"/>
        </w:rPr>
        <w:t xml:space="preserve">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lang w:val="en-US" w:eastAsia="zh-CN"/>
        </w:rPr>
        <w:t xml:space="preserve">6</w:t>
      </w:r>
      <w:r>
        <w:rPr>
          <w:rFonts w:hint="eastAsia" w:ascii="仿宋" w:hAnsi="仿宋" w:eastAsia="仿宋"/>
          <w:b/>
          <w:sz w:val="24"/>
        </w:rPr>
        <w:t xml:space="preserve">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lang w:val="en-US" w:eastAsia="zh-CN"/>
        </w:rPr>
        <w:t xml:space="preserve">6</w:t>
      </w:r>
      <w:r>
        <w:rPr>
          <w:rFonts w:hint="eastAsia" w:ascii="仿宋" w:hAnsi="仿宋" w:eastAsia="仿宋"/>
          <w:b/>
          <w:sz w:val="24"/>
        </w:rPr>
        <w:t xml:space="preserve">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lang w:val="en-US" w:eastAsia="zh-CN"/>
        </w:rPr>
        <w:t xml:space="preserve">6</w:t>
      </w:r>
      <w:r>
        <w:rPr>
          <w:rFonts w:hint="eastAsia" w:ascii="仿宋" w:hAnsi="仿宋" w:eastAsia="仿宋"/>
          <w:b/>
          <w:sz w:val="24"/>
        </w:rPr>
        <w:t xml:space="preserve">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lang w:val="en-US" w:eastAsia="zh-CN"/>
        </w:rPr>
        <w:t xml:space="preserve">60</w:t>
      </w:r>
      <w:r>
        <w:rPr>
          <w:rFonts w:hint="eastAsia" w:ascii="仿宋" w:hAnsi="仿宋" w:eastAsia="仿宋"/>
          <w:b/>
          <w:sz w:val="24"/>
        </w:rPr>
        <w:t xml:space="preserve">%</w:t>
      </w:r>
      <w:r>
        <w:rPr>
          <w:rFonts w:hint="eastAsia" w:ascii="仿宋" w:hAnsi="仿宋" w:eastAsia="仿宋"/>
          <w:sz w:val="24"/>
        </w:rPr>
        <w:t xml:space="preserve">的，即投标（响应）报价&lt;采购项目最高限价×</w:t>
      </w:r>
      <w:r>
        <w:rPr>
          <w:rFonts w:hint="eastAsia" w:ascii="仿宋" w:hAnsi="仿宋" w:eastAsia="仿宋"/>
          <w:b/>
          <w:sz w:val="24"/>
          <w:lang w:val="en-US" w:eastAsia="zh-CN"/>
        </w:rPr>
        <w:t xml:space="preserve">60</w:t>
      </w:r>
      <w:r>
        <w:rPr>
          <w:rFonts w:hint="eastAsia" w:ascii="仿宋" w:hAnsi="仿宋" w:eastAsia="仿宋"/>
          <w:b/>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bookmarkEnd w:id="2"/>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 质疑处理</w:t>
      </w:r>
      <w:r/>
    </w:p>
    <w:p>
      <w:pPr>
        <w:ind w:firstLine="480"/>
        <w:keepLines w:val="0"/>
        <w:keepNext w:val="0"/>
        <w:pageBreakBefore w:val="0"/>
        <w:rPr>
          <w:rFonts w:hint="eastAsia" w:ascii="仿宋" w:hAnsi="仿宋" w:eastAsia="仿宋" w:cs="宋体"/>
          <w:b/>
          <w:bCs/>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.1 提出质疑的供应商应当是参与所质疑项目采购活动的供应商。潜在供应商依法获取其可质疑的采购文件的，可以对采购文件提出质疑。</w:t>
      </w:r>
      <w:r>
        <w:rPr>
          <w:rFonts w:hint="eastAsia" w:ascii="仿宋" w:hAnsi="仿宋" w:eastAsia="仿宋" w:cs="宋体"/>
          <w:b/>
          <w:bCs/>
          <w:sz w:val="24"/>
        </w:rPr>
        <w:t xml:space="preserve">因此凡是对采购文件提出质疑的供应商，必须是依法获取采购文件，请将合法获取采购文件的证明材料（即《投标供应商确认函》）与质疑函一起递交，否则不予受理。</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.2.1对可以质疑的采购文件提出质疑的，为收到采购文件之日或者采购文件公告期限届满之日；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.2.2对采购过程提出质疑的，为各采购程序环节结束之日；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.2.3对中标或者成交结果提出质疑的，为中标或者成交结果公告期限届满之日。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采购人质疑接收人及联系方式见招标文件第三章《投标资料表》</w:t>
      </w:r>
      <w:r/>
    </w:p>
    <w:p>
      <w:pPr>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 以下情形的质疑不予受理</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.4.1 内容不符合《政府采购质疑和投诉办法》第十二条规定的质疑。</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.4.2 超出政府采购法定期限的质疑。</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.4.3 以传真、电子邮件等方式递交的非原件形式的质疑。</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.4.4 未参加投标活动的供应商或在投标活动中自身权益未受到损害的供应商所提出的质疑。</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.4.5供应商组成联合体参加投标，联合体中任何一方或多方未按要求签字、盖章、加盖公章的质疑。</w:t>
      </w:r>
      <w:r/>
    </w:p>
    <w:p>
      <w:pPr>
        <w:pStyle w:val="751"/>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51"/>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.6质疑处理以招标文件第三章《投标资料表》中的要求为准。</w:t>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lang w:eastAsia="zh-CN"/>
        </w:rPr>
        <w:t xml:space="preserve">https://jszfcg.jsczt.cn/jszc/login </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4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733"/>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睢宁县人民医院</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采购人确定的采购项目属性：</w:t>
            </w:r>
            <w:r>
              <w:rPr>
                <w:rFonts w:hint="eastAsia" w:ascii="仿宋" w:hAnsi="仿宋" w:eastAsia="仿宋" w:cs="宋体"/>
                <w:sz w:val="24"/>
                <w:lang w:val="en-US" w:eastAsia="zh-CN"/>
              </w:rPr>
              <w:t xml:space="preserve">货物（</w:t>
            </w:r>
            <w:r>
              <w:rPr>
                <w:rFonts w:hint="eastAsia" w:ascii="仿宋" w:hAnsi="仿宋" w:eastAsia="仿宋" w:cs="仿宋"/>
                <w:sz w:val="24"/>
                <w:szCs w:val="24"/>
              </w:rPr>
              <w:t xml:space="preserve">配套的安装施工和后续服务作为货物的附属交付内容</w:t>
            </w:r>
            <w:r>
              <w:rPr>
                <w:rFonts w:hint="eastAsia" w:ascii="仿宋" w:hAnsi="仿宋" w:eastAsia="仿宋" w:cs="宋体"/>
                <w:sz w:val="24"/>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本项目采购代理机构：</w:t>
            </w:r>
            <w:r>
              <w:rPr>
                <w:rFonts w:hint="eastAsia" w:ascii="仿宋" w:hAnsi="仿宋" w:eastAsia="仿宋" w:cs="宋体"/>
                <w:sz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lang w:val="en-US" w:eastAsia="zh-CN"/>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254</w:t>
            </w:r>
            <w:r>
              <w:rPr>
                <w:rFonts w:hint="eastAsia" w:ascii="仿宋" w:hAnsi="仿宋" w:eastAsia="仿宋" w:cs="宋体"/>
                <w:sz w:val="24"/>
                <w:lang w:eastAsia="zh-CN"/>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Times New Roman"/>
                <w:bCs/>
                <w:sz w:val="24"/>
                <w:lang w:eastAsia="zh-CN"/>
              </w:rPr>
            </w:pPr>
            <w:r>
              <w:rPr>
                <w:rFonts w:hint="eastAsia" w:ascii="仿宋" w:hAnsi="仿宋" w:eastAsia="仿宋" w:cs="Times New Roman"/>
                <w:bCs/>
                <w:sz w:val="24"/>
              </w:rPr>
              <w:t xml:space="preserve">现场考察</w:t>
            </w:r>
            <w:r>
              <w:rPr>
                <w:rFonts w:hint="eastAsia" w:ascii="仿宋" w:hAnsi="仿宋" w:eastAsia="仿宋" w:cs="Times New Roman"/>
                <w:bCs/>
                <w:sz w:val="24"/>
                <w:lang w:eastAsia="zh-CN"/>
              </w:rPr>
              <w:t xml:space="preserve">。</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考察时间：</w:t>
            </w:r>
            <w:r>
              <w:rPr>
                <w:rFonts w:hint="eastAsia" w:ascii="仿宋" w:hAnsi="仿宋" w:eastAsia="仿宋" w:cs="仿宋"/>
                <w:sz w:val="24"/>
                <w:szCs w:val="24"/>
              </w:rPr>
              <w:t xml:space="preserve">公告发布后至开标前工作日内，各潜在投标人应自行组织现场踏勘，充分了解项目现场现状。</w:t>
            </w:r>
            <w:r>
              <w:rPr>
                <w:rFonts w:hint="eastAsia" w:ascii="仿宋" w:hAnsi="仿宋" w:eastAsia="仿宋" w:cs="Times New Roman"/>
                <w:bCs/>
                <w:color w:val="auto"/>
                <w:sz w:val="24"/>
                <w:lang w:val="en-US" w:eastAsia="zh-CN"/>
              </w:rPr>
              <w:t xml:space="preserve">考察地点：睢宁县八一西路2号</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为一体化机房建设项目，现场条件（包括但不限于建筑结构、电力容量、空调管路走向、消防通道等）对方案编制具有重要影响。建议潜在投标人自行赴项目现场进行踏勘，以充分了解现场现状及潜在风险。无论投标人是否进行踏勘，均视为在递交投标文件前已充分了解现场条件，并已在方案和报价中考虑了相关风险。 因未踏勘或踏勘不充分导致的方案偏差、报价失误等风险，由投标人自行承担。</w:t>
            </w:r>
            <w:r/>
          </w:p>
          <w:p>
            <w:pPr>
              <w:rPr>
                <w:rFonts w:hint="default"/>
                <w:lang w:val="en-US" w:eastAsia="zh-CN"/>
              </w:rPr>
            </w:pPr>
            <w:r>
              <w:rPr>
                <w:rFonts w:hint="eastAsia" w:ascii="仿宋" w:hAnsi="仿宋" w:eastAsia="仿宋" w:cs="Times New Roman"/>
                <w:bCs/>
                <w:color w:val="auto"/>
                <w:sz w:val="24"/>
                <w:lang w:val="en-US" w:eastAsia="zh-CN"/>
              </w:rPr>
              <w:t xml:space="preserve">联系人及联系电话：仝灵利  0516-68062028</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lang w:eastAsia="zh-CN"/>
              </w:rPr>
              <w:t xml:space="preserve">https://jszfcg.jsczt.cn/jszc/login </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b/>
                <w:sz w:val="24"/>
              </w:rPr>
            </w:pPr>
            <w:r>
              <w:rPr>
                <w:rFonts w:hint="eastAsia"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二、资格条件（1～7</w:t>
            </w:r>
            <w:r>
              <w:rPr>
                <w:rFonts w:hint="eastAsia" w:ascii="仿宋" w:hAnsi="仿宋" w:eastAsia="仿宋" w:cs="仿宋"/>
                <w:b/>
                <w:sz w:val="24"/>
                <w:lang w:eastAsia="zh-CN"/>
              </w:rPr>
              <w:t xml:space="preserve">、</w:t>
            </w:r>
            <w:r>
              <w:rPr>
                <w:rFonts w:hint="eastAsia" w:ascii="仿宋" w:hAnsi="仿宋" w:eastAsia="仿宋" w:cs="仿宋"/>
                <w:b/>
                <w:sz w:val="24"/>
                <w:lang w:val="en-US" w:eastAsia="zh-CN"/>
              </w:rPr>
              <w:t xml:space="preserve">9项</w:t>
            </w:r>
            <w:r>
              <w:rPr>
                <w:rFonts w:hint="eastAsia" w:ascii="仿宋" w:hAnsi="仿宋" w:eastAsia="仿宋" w:cs="仿宋"/>
                <w:b/>
                <w:sz w:val="24"/>
              </w:rPr>
              <w:t xml:space="preserve">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3" w:name="_Toc515551102"/>
            <w:r>
              <w:rPr>
                <w:rFonts w:hint="eastAsia" w:ascii="仿宋" w:hAnsi="仿宋" w:eastAsia="仿宋" w:cs="仿宋"/>
                <w:sz w:val="24"/>
              </w:rPr>
              <w:t xml:space="preserve">具备履行合同所必需的设备和专业技术能力的书面声明</w:t>
            </w:r>
            <w:bookmarkEnd w:id="3"/>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9.</w:t>
            </w:r>
            <w:r>
              <w:rPr>
                <w:rFonts w:hint="default" w:ascii="仿宋" w:hAnsi="仿宋" w:eastAsia="仿宋" w:cs="仿宋"/>
                <w:b/>
                <w:sz w:val="24"/>
                <w:lang w:val="en-US" w:eastAsia="zh-CN"/>
              </w:rPr>
              <w:t xml:space="preserve">特定资格条件</w:t>
            </w:r>
            <w:r>
              <w:rPr>
                <w:rFonts w:hint="eastAsia" w:ascii="仿宋" w:hAnsi="仿宋" w:eastAsia="仿宋" w:cs="仿宋"/>
                <w:b/>
                <w:sz w:val="24"/>
                <w:lang w:val="en-US" w:eastAsia="zh-CN"/>
              </w:rPr>
              <w:t xml:space="preserve">：</w:t>
            </w:r>
            <w:r/>
          </w:p>
          <w:p>
            <w:pPr>
              <w:pStyle w:val="738"/>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b/>
                <w:sz w:val="24"/>
                <w:lang w:val="en-US" w:eastAsia="zh-CN"/>
              </w:rPr>
              <w:t xml:space="preserve">  </w:t>
            </w:r>
            <w:r>
              <w:rPr>
                <w:rFonts w:hint="eastAsia" w:ascii="仿宋" w:hAnsi="仿宋" w:eastAsia="仿宋" w:cs="仿宋"/>
                <w:b/>
                <w:bCs/>
                <w:sz w:val="24"/>
                <w:highlight w:val="none"/>
              </w:rPr>
              <w:t xml:space="preserve">（1）</w:t>
            </w:r>
            <w:r>
              <w:rPr>
                <w:rFonts w:hint="eastAsia" w:ascii="仿宋" w:hAnsi="仿宋" w:eastAsia="仿宋" w:cs="仿宋"/>
                <w:b/>
                <w:bCs/>
                <w:color w:val="auto"/>
                <w:sz w:val="24"/>
                <w:szCs w:val="24"/>
                <w:highlight w:val="none"/>
                <w:lang w:val="en-US" w:eastAsia="zh-CN" w:bidi="ar"/>
              </w:rPr>
              <w:t xml:space="preserve">电子与智能化工程专业承包资质：</w:t>
            </w:r>
            <w:r>
              <w:rPr>
                <w:rFonts w:hint="eastAsia" w:ascii="仿宋" w:hAnsi="仿宋" w:eastAsia="仿宋" w:cs="仿宋"/>
                <w:color w:val="auto"/>
                <w:sz w:val="24"/>
                <w:szCs w:val="24"/>
                <w:highlight w:val="none"/>
                <w:lang w:val="en-US" w:eastAsia="zh-CN" w:bidi="ar"/>
              </w:rPr>
              <w:t xml:space="preserve">投标人须具备有效的</w:t>
            </w:r>
            <w:r>
              <w:rPr>
                <w:rFonts w:hint="eastAsia" w:ascii="仿宋" w:hAnsi="仿宋" w:eastAsia="仿宋" w:cs="仿宋"/>
                <w:b/>
                <w:bCs/>
                <w:color w:val="auto"/>
                <w:sz w:val="24"/>
                <w:szCs w:val="24"/>
                <w:highlight w:val="none"/>
                <w:lang w:val="en-US" w:eastAsia="zh-CN" w:bidi="ar"/>
              </w:rPr>
              <w:t xml:space="preserve">电子与智能化工程专业承包贰级及以上资质</w:t>
            </w:r>
            <w:r>
              <w:rPr>
                <w:rFonts w:hint="eastAsia" w:ascii="仿宋" w:hAnsi="仿宋" w:eastAsia="仿宋" w:cs="仿宋"/>
                <w:color w:val="auto"/>
                <w:sz w:val="24"/>
                <w:szCs w:val="24"/>
                <w:highlight w:val="none"/>
                <w:lang w:val="en-US" w:eastAsia="zh-CN" w:bidi="ar"/>
              </w:rPr>
              <w:t xml:space="preserve">，并同时持有有效的</w:t>
            </w:r>
            <w:r>
              <w:rPr>
                <w:rFonts w:hint="eastAsia" w:ascii="仿宋" w:hAnsi="仿宋" w:eastAsia="仿宋" w:cs="仿宋"/>
                <w:b/>
                <w:bCs/>
                <w:color w:val="auto"/>
                <w:sz w:val="24"/>
                <w:szCs w:val="24"/>
                <w:highlight w:val="none"/>
                <w:lang w:val="en-US" w:eastAsia="zh-CN" w:bidi="ar"/>
              </w:rPr>
              <w:t xml:space="preserve">安全生产许可证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br/>
            </w:r>
            <w:r>
              <w:rPr>
                <w:rFonts w:hint="eastAsia" w:ascii="仿宋" w:hAnsi="仿宋" w:eastAsia="仿宋" w:cs="仿宋"/>
                <w:b/>
                <w:bCs/>
                <w:color w:val="auto"/>
                <w:sz w:val="24"/>
                <w:szCs w:val="24"/>
                <w:highlight w:val="none"/>
                <w:lang w:val="en-US" w:eastAsia="zh-CN" w:bidi="ar"/>
              </w:rPr>
              <w:t xml:space="preserve">注：</w:t>
            </w:r>
            <w:r>
              <w:rPr>
                <w:rFonts w:hint="eastAsia" w:ascii="仿宋" w:hAnsi="仿宋" w:eastAsia="仿宋" w:cs="仿宋"/>
                <w:color w:val="auto"/>
                <w:sz w:val="24"/>
                <w:szCs w:val="24"/>
                <w:highlight w:val="none"/>
                <w:lang w:val="en-US" w:eastAsia="zh-CN" w:bidi="ar"/>
              </w:rPr>
              <w:t xml:space="preserve"> 提供有效证书扫描件加盖电子签章，未提供或资质等级不符的作无效投标处理。</w:t>
            </w:r>
            <w:r/>
          </w:p>
          <w:p>
            <w:pPr>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b/>
                <w:bCs/>
                <w:sz w:val="24"/>
                <w:highlight w:val="none"/>
                <w:lang w:val="en-US" w:eastAsia="zh-CN"/>
              </w:rPr>
              <w:t xml:space="preserve">（2）</w:t>
            </w:r>
            <w:r>
              <w:rPr>
                <w:rFonts w:hint="eastAsia" w:ascii="仿宋" w:hAnsi="仿宋" w:eastAsia="仿宋" w:cs="仿宋"/>
                <w:b/>
                <w:bCs/>
                <w:color w:val="auto"/>
                <w:sz w:val="24"/>
                <w:szCs w:val="24"/>
                <w:highlight w:val="none"/>
                <w:lang w:val="en-US" w:eastAsia="zh-CN" w:bidi="ar"/>
              </w:rPr>
              <w:t xml:space="preserve">建筑装修装饰工程专业承包资质：</w:t>
            </w:r>
            <w:r>
              <w:rPr>
                <w:rFonts w:hint="eastAsia" w:ascii="仿宋" w:hAnsi="仿宋" w:eastAsia="仿宋" w:cs="仿宋"/>
                <w:color w:val="auto"/>
                <w:sz w:val="24"/>
                <w:szCs w:val="24"/>
                <w:highlight w:val="none"/>
                <w:lang w:val="en-US" w:eastAsia="zh-CN" w:bidi="ar"/>
              </w:rPr>
              <w:t xml:space="preserve">投标人须具备有效的</w:t>
            </w:r>
            <w:r>
              <w:rPr>
                <w:rFonts w:hint="eastAsia" w:ascii="仿宋" w:hAnsi="仿宋" w:eastAsia="仿宋" w:cs="仿宋"/>
                <w:b/>
                <w:bCs/>
                <w:color w:val="auto"/>
                <w:sz w:val="24"/>
                <w:szCs w:val="24"/>
                <w:highlight w:val="none"/>
                <w:lang w:val="en-US" w:eastAsia="zh-CN" w:bidi="ar"/>
              </w:rPr>
              <w:t xml:space="preserve">建筑装修装饰工程专业承包贰级及以上资质</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br/>
            </w:r>
            <w:r>
              <w:rPr>
                <w:rFonts w:hint="eastAsia" w:ascii="仿宋" w:hAnsi="仿宋" w:eastAsia="仿宋" w:cs="仿宋"/>
                <w:b/>
                <w:bCs/>
                <w:color w:val="auto"/>
                <w:sz w:val="24"/>
                <w:szCs w:val="24"/>
                <w:highlight w:val="none"/>
                <w:lang w:val="en-US" w:eastAsia="zh-CN" w:bidi="ar"/>
              </w:rPr>
              <w:t xml:space="preserve">注：</w:t>
            </w:r>
            <w:r>
              <w:rPr>
                <w:rFonts w:hint="eastAsia" w:ascii="仿宋" w:hAnsi="仿宋" w:eastAsia="仿宋" w:cs="仿宋"/>
                <w:color w:val="auto"/>
                <w:sz w:val="24"/>
                <w:szCs w:val="24"/>
                <w:highlight w:val="none"/>
                <w:lang w:val="en-US" w:eastAsia="zh-CN" w:bidi="ar"/>
              </w:rPr>
              <w:t xml:space="preserve"> 提供有效证书扫描件加盖电子签章，未提供或资质等级不符的作无效投标处理。</w:t>
            </w:r>
            <w:r/>
          </w:p>
          <w:p>
            <w:pPr>
              <w:pStyle w:val="738"/>
              <w:rPr>
                <w:rFonts w:hint="default"/>
                <w:lang w:val="en-US" w:eastAsia="zh-CN"/>
              </w:rPr>
            </w:pPr>
            <w:r>
              <w:rPr>
                <w:rFonts w:hint="default"/>
                <w:lang w:val="en-US" w:eastAsia="zh-CN"/>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1.</w:t>
            </w:r>
            <w:r>
              <w:rPr>
                <w:rFonts w:hint="eastAsia" w:ascii="仿宋" w:hAnsi="仿宋" w:eastAsia="仿宋" w:cs="仿宋"/>
                <w:color w:val="000000" w:themeColor="text1"/>
                <w:sz w:val="24"/>
                <w14:textFill>
                  <w14:solidFill>
                    <w14:schemeClr w14:val="tx1"/>
                  </w14:solidFill>
                </w14:textFill>
              </w:rPr>
              <w:t xml:space="preserve">报价符合性审查：</w:t>
            </w:r>
            <w:r/>
          </w:p>
          <w:p>
            <w:pPr>
              <w:rPr>
                <w:rFonts w:hint="eastAsia" w:ascii="仿宋" w:hAnsi="仿宋" w:eastAsia="仿宋"/>
                <w:sz w:val="24"/>
              </w:rPr>
            </w:pPr>
            <w:r>
              <w:rPr>
                <w:rFonts w:hint="eastAsia" w:ascii="仿宋" w:hAnsi="仿宋" w:eastAsia="仿宋"/>
                <w:sz w:val="24"/>
              </w:rPr>
              <w:t xml:space="preserve">投标（响应）报价不得超过采购项目最高限价（未设定最高限价的采购项目，以采购项目预算金额作为最高限价）；对于符合异常低价情形的投标（响应）报价，评审委员会应当启动异常低价投标（响应）审查程序，审查标准和程序详见采购文件。属于投标（响应）报价低于采购项目最高限价</w:t>
            </w:r>
            <w:r>
              <w:rPr>
                <w:rFonts w:hint="eastAsia" w:ascii="仿宋" w:hAnsi="仿宋" w:eastAsia="仿宋"/>
                <w:sz w:val="24"/>
                <w:lang w:val="en-US" w:eastAsia="zh-CN"/>
              </w:rPr>
              <w:t xml:space="preserve">60</w:t>
            </w:r>
            <w:r>
              <w:rPr>
                <w:rFonts w:hint="eastAsia" w:ascii="仿宋" w:hAnsi="仿宋" w:eastAsia="仿宋"/>
                <w:sz w:val="24"/>
              </w:rPr>
              <w:t xml:space="preserve">%的，即投标（响应）报价&lt;采购项目最高限价×</w:t>
            </w:r>
            <w:r>
              <w:rPr>
                <w:rFonts w:hint="eastAsia" w:ascii="仿宋" w:hAnsi="仿宋" w:eastAsia="仿宋"/>
                <w:sz w:val="24"/>
                <w:lang w:val="en-US" w:eastAsia="zh-CN"/>
              </w:rPr>
              <w:t xml:space="preserve">60</w:t>
            </w:r>
            <w:r>
              <w:rPr>
                <w:rFonts w:hint="eastAsia" w:ascii="仿宋" w:hAnsi="仿宋" w:eastAsia="仿宋"/>
                <w:sz w:val="24"/>
              </w:rPr>
              <w:t xml:space="preserve">%，供应商可随投标（响应）文件一并提交相关书面说明及必要的证明材料。</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hint="eastAsia" w:ascii="仿宋" w:hAnsi="仿宋" w:eastAsia="仿宋" w:cs="仿宋"/>
                <w:sz w:val="24"/>
                <w:szCs w:val="24"/>
                <w:highlight w:val="none"/>
              </w:rPr>
            </w:pPr>
            <w:r>
              <w:rPr>
                <w:rFonts w:hint="eastAsia" w:ascii="仿宋" w:hAnsi="仿宋" w:eastAsia="仿宋" w:cs="仿宋"/>
                <w:sz w:val="24"/>
              </w:rPr>
              <w:t xml:space="preserve">3.《投标函》（加盖电子签章，格式见招标文件第七章《投标文件相关格式》。）；</w:t>
            </w:r>
            <w:r/>
          </w:p>
          <w:p>
            <w:pPr>
              <w:rPr>
                <w:rFonts w:hint="eastAsia" w:ascii="仿宋" w:hAnsi="仿宋" w:eastAsia="仿宋" w:cs="仿宋"/>
                <w:highlight w:val="none"/>
              </w:rPr>
            </w:pPr>
            <w:r>
              <w:rPr>
                <w:rFonts w:hint="eastAsia" w:ascii="仿宋" w:hAnsi="仿宋" w:eastAsia="仿宋" w:cs="仿宋"/>
                <w:sz w:val="24"/>
              </w:rPr>
              <w:t xml:space="preserve">4.《授权委托书》（加盖电子签章，格式见招标文件第七章《投标文件相关格式》。）；</w:t>
            </w:r>
            <w:r/>
          </w:p>
          <w:p>
            <w:pPr>
              <w:pStyle w:val="738"/>
              <w:jc w:val="left"/>
              <w:rPr>
                <w:rFonts w:ascii="仿宋" w:hAnsi="仿宋" w:eastAsia="仿宋" w:cs="仿宋"/>
                <w:sz w:val="24"/>
              </w:rPr>
            </w:pPr>
            <w:r>
              <w:rPr>
                <w:rFonts w:hint="eastAsia" w:ascii="仿宋" w:hAnsi="仿宋" w:eastAsia="仿宋" w:cs="仿宋"/>
                <w:sz w:val="24"/>
              </w:rPr>
              <w:t xml:space="preserve">5.《采购需求符合性条件响应表》（加盖电子签章，格式见招标文件第七章《投标文件相关格式》。）；</w:t>
            </w:r>
            <w:r/>
          </w:p>
          <w:p>
            <w:pPr>
              <w:rPr>
                <w:rFonts w:hint="default" w:eastAsia="仿宋"/>
                <w:lang w:val="en-US" w:eastAsia="zh-CN"/>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rPr>
                <w:rFonts w:ascii="仿宋" w:hAnsi="仿宋" w:eastAsia="仿宋" w:cs="仿宋"/>
                <w:color w:val="auto"/>
                <w:sz w:val="24"/>
                <w:highlight w:val="none"/>
              </w:rPr>
              <w:t xml:space="preserve">商务部分</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1.业绩</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2.管理体系认证</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3.质保期后维保费用承诺</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4.整体质保期延长承诺</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5.售后服务方案与应急响应能力</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6.培训方案</w:t>
            </w:r>
            <w:r/>
          </w:p>
          <w:p>
            <w:pPr>
              <w:rPr>
                <w:rFonts w:hint="default"/>
                <w:lang w:val="en-US" w:eastAsia="zh-CN"/>
              </w:rPr>
            </w:pPr>
            <w:r>
              <w:rPr>
                <w:rFonts w:hint="eastAsia" w:ascii="仿宋" w:hAnsi="仿宋" w:eastAsia="仿宋" w:cs="仿宋"/>
                <w:b w:val="0"/>
                <w:bCs w:val="0"/>
                <w:color w:val="auto"/>
                <w:sz w:val="24"/>
                <w:szCs w:val="24"/>
                <w:highlight w:val="none"/>
                <w:lang w:val="en-US" w:eastAsia="zh-CN" w:bidi="ar"/>
              </w:rPr>
              <w:t xml:space="preserve">7.项目经理资质</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技术部分</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1.技术参数响应</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2.项目需求理解与分析</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3.平面布局图</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4.效果图展示</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5.系统架构设计</w:t>
            </w:r>
            <w:r/>
          </w:p>
          <w:p>
            <w:pPr>
              <w:pStyle w:val="738"/>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6.进度计划与保障措施</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7.设备安装方案与质量控制</w:t>
            </w:r>
            <w:r/>
          </w:p>
          <w:p>
            <w:pPr>
              <w:pStyle w:val="738"/>
              <w:rPr>
                <w:rFonts w:hint="default"/>
                <w:lang w:val="en-US" w:eastAsia="zh-CN"/>
              </w:rPr>
            </w:pPr>
            <w:r>
              <w:rPr>
                <w:rFonts w:hint="eastAsia" w:ascii="仿宋" w:hAnsi="仿宋" w:eastAsia="仿宋" w:cs="仿宋"/>
                <w:b w:val="0"/>
                <w:bCs w:val="0"/>
                <w:color w:val="auto"/>
                <w:sz w:val="24"/>
                <w:szCs w:val="24"/>
                <w:highlight w:val="none"/>
                <w:lang w:val="en-US" w:eastAsia="zh-CN" w:bidi="ar"/>
              </w:rPr>
              <w:t xml:space="preserve">8.安全施工方案</w:t>
            </w:r>
            <w:r/>
          </w:p>
          <w:p>
            <w:pPr>
              <w:pStyle w:val="751"/>
            </w:pPr>
            <w:r>
              <w:rPr>
                <w:rFonts w:hint="eastAsia" w:ascii="仿宋" w:hAnsi="仿宋" w:eastAsia="仿宋" w:cs="仿宋"/>
                <w:sz w:val="24"/>
                <w:highlight w:val="none"/>
                <w:lang w:val="en-US" w:eastAsia="zh-CN"/>
              </w:rPr>
              <w:t xml:space="preserve">以上</w:t>
            </w:r>
            <w:r>
              <w:rPr>
                <w:rFonts w:hint="eastAsia" w:ascii="仿宋" w:hAnsi="仿宋" w:eastAsia="仿宋" w:cs="仿宋"/>
                <w:sz w:val="24"/>
                <w:highlight w:val="none"/>
              </w:rPr>
              <w:t xml:space="preserve">要求见招标文件第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章《</w:t>
            </w:r>
            <w:r>
              <w:rPr>
                <w:rFonts w:hint="eastAsia" w:ascii="仿宋" w:hAnsi="仿宋" w:eastAsia="仿宋" w:cs="仿宋"/>
                <w:sz w:val="24"/>
                <w:highlight w:val="none"/>
                <w:lang w:val="en-US" w:eastAsia="zh-CN"/>
              </w:rPr>
              <w:t xml:space="preserve">评标标准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、第六章《采购需求》。</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751"/>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1"/>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（二）严格落实节能、环保产品政策</w:t>
            </w:r>
            <w:r/>
          </w:p>
          <w:p>
            <w:pPr>
              <w:pStyle w:val="751"/>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本项目中如有涉及商品包装和快递包装的，严格执行《商品包装政府采购需求标准（试行）》《快递包装政府采购需求标准（试行）〉》（财办库〔2020〕123号）。</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51"/>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51"/>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9"/>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59"/>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254</w:t>
            </w:r>
            <w:r>
              <w:rPr>
                <w:rFonts w:hint="eastAsia" w:ascii="仿宋" w:hAnsi="仿宋" w:eastAsia="仿宋"/>
                <w:bCs/>
                <w:sz w:val="24"/>
                <w:lang w:eastAsia="zh-CN"/>
              </w:rPr>
              <w:t xml:space="preserve">万元</w:t>
            </w:r>
            <w:r>
              <w:rPr>
                <w:rFonts w:hint="eastAsia" w:ascii="仿宋" w:hAnsi="仿宋" w:eastAsia="仿宋"/>
                <w:bCs/>
                <w:sz w:val="24"/>
              </w:rPr>
              <w:t xml:space="preserve">人民币（</w:t>
            </w:r>
            <w:bookmarkStart w:id="4" w:name="OLE_LINK2"/>
            <w:r/>
            <w:bookmarkStart w:id="5" w:name="OLE_LINK4"/>
            <w:r>
              <w:rPr>
                <w:rFonts w:hint="eastAsia" w:ascii="仿宋" w:hAnsi="仿宋" w:eastAsia="仿宋"/>
                <w:bCs/>
                <w:sz w:val="24"/>
              </w:rPr>
              <w:t xml:space="preserve">采购项目预算金额</w:t>
            </w:r>
            <w:bookmarkEnd w:id="4"/>
            <w:r/>
            <w:bookmarkEnd w:id="5"/>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日9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日9：30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宋体"/>
                <w:b/>
                <w:bCs/>
                <w:sz w:val="24"/>
                <w:lang w:eastAsia="zh-CN"/>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b/>
                <w:bCs/>
                <w:sz w:val="24"/>
              </w:rPr>
              <w:t xml:space="preserve">核心产品：</w:t>
            </w:r>
            <w:r>
              <w:rPr>
                <w:rFonts w:hint="eastAsia" w:ascii="仿宋" w:hAnsi="仿宋" w:eastAsia="仿宋" w:cs="仿宋"/>
                <w:b/>
                <w:bCs/>
                <w:sz w:val="24"/>
                <w:szCs w:val="24"/>
              </w:rPr>
              <w:t xml:space="preserve">UPS、列间空调</w:t>
            </w:r>
            <w:r>
              <w:rPr>
                <w:rFonts w:hint="eastAsia" w:ascii="仿宋" w:hAnsi="仿宋" w:eastAsia="仿宋" w:cs="仿宋"/>
                <w:b/>
                <w:bCs/>
                <w:sz w:val="24"/>
                <w:szCs w:val="24"/>
                <w:lang w:eastAsia="zh-CN"/>
              </w:rPr>
              <w:t xml:space="preserve">。</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highlight w:val="yellow"/>
              </w:rPr>
            </w:pPr>
            <w:r>
              <w:rPr>
                <w:rFonts w:hint="eastAsia" w:ascii="仿宋" w:hAnsi="仿宋" w:eastAsia="仿宋" w:cs="宋体"/>
                <w:sz w:val="24"/>
              </w:rPr>
              <w:t xml:space="preserve">1.开标</w:t>
            </w:r>
            <w:r>
              <w:rPr>
                <w:rFonts w:hint="eastAsia" w:ascii="仿宋" w:hAnsi="仿宋" w:eastAsia="仿宋" w:cs="宋体"/>
                <w:sz w:val="24"/>
                <w:highlight w:val="none"/>
              </w:rPr>
              <w:t xml:space="preserve">时间：</w:t>
            </w:r>
            <w:r>
              <w:rPr>
                <w:rFonts w:hint="eastAsia" w:ascii="仿宋" w:hAnsi="仿宋" w:eastAsia="仿宋" w:cs="宋体"/>
                <w:sz w:val="24"/>
                <w:highlight w:val="none"/>
                <w:lang w:eastAsia="zh-CN"/>
              </w:rPr>
              <w:t xml:space="preserve">2026年</w:t>
            </w:r>
            <w:r>
              <w:rPr>
                <w:rFonts w:hint="eastAsia" w:ascii="仿宋" w:hAnsi="仿宋" w:eastAsia="仿宋" w:cs="宋体"/>
                <w:sz w:val="24"/>
                <w:highlight w:val="none"/>
                <w:lang w:val="en-US" w:eastAsia="zh-CN"/>
              </w:rPr>
              <w:t xml:space="preserve">11</w:t>
            </w:r>
            <w:r>
              <w:rPr>
                <w:rFonts w:hint="eastAsia" w:ascii="仿宋" w:hAnsi="仿宋" w:eastAsia="仿宋" w:cs="宋体"/>
                <w:sz w:val="24"/>
                <w:highlight w:val="none"/>
                <w:lang w:eastAsia="zh-CN"/>
              </w:rPr>
              <w:t xml:space="preserve">月</w:t>
            </w:r>
            <w:r>
              <w:rPr>
                <w:rFonts w:hint="eastAsia" w:ascii="仿宋" w:hAnsi="仿宋" w:eastAsia="仿宋" w:cs="宋体"/>
                <w:sz w:val="24"/>
                <w:highlight w:val="none"/>
                <w:lang w:val="en-US" w:eastAsia="zh-CN"/>
              </w:rPr>
              <w:t xml:space="preserve">12</w:t>
            </w:r>
            <w:r>
              <w:rPr>
                <w:rFonts w:hint="eastAsia" w:ascii="仿宋" w:hAnsi="仿宋" w:eastAsia="仿宋" w:cs="宋体"/>
                <w:sz w:val="24"/>
                <w:highlight w:val="none"/>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lang w:eastAsia="zh-CN"/>
              </w:rPr>
              <w:t xml:space="preserve">https://jszfcg.jsczt.cn/jszc/login </w:t>
            </w:r>
            <w:r>
              <w:rPr>
                <w:rFonts w:hint="eastAsia" w:ascii="仿宋" w:hAnsi="仿宋" w:eastAsia="仿宋" w:cs="宋体"/>
                <w:sz w:val="24"/>
              </w:rPr>
              <w:t xml:space="preserve">）“开标大厅”或进入徐州政府采购网（网址：https://czj.xz.gov.cn/zfcg/），点击“苏采云”进入系统“开标大厅”。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9"/>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1.评标中需要投标人对投标文件进行澄清、说明或者补正的，应当通过“苏采云”系统（使用“CA数字证书”,加盖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）交换数据电文。</w:t>
            </w:r>
            <w:r>
              <w:rPr>
                <w:rFonts w:hint="eastAsia" w:ascii="仿宋" w:hAnsi="仿宋" w:eastAsia="仿宋" w:cs="宋体"/>
                <w:b/>
                <w:bCs/>
                <w:sz w:val="24"/>
                <w:u w:val="single"/>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w:t>
            </w:r>
            <w:r>
              <w:rPr>
                <w:rFonts w:hint="eastAsia" w:ascii="仿宋" w:hAnsi="仿宋" w:eastAsia="仿宋" w:cs="宋体"/>
                <w:b/>
                <w:bCs/>
                <w:sz w:val="24"/>
              </w:rPr>
              <w:t xml:space="preserve">综合评分法</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eastAsia="仿宋"/>
                <w:lang w:val="en-US" w:eastAsia="zh-CN"/>
              </w:rPr>
            </w:pPr>
            <w:r>
              <w:rPr>
                <w:rFonts w:hint="eastAsia" w:ascii="仿宋" w:hAnsi="仿宋" w:eastAsia="仿宋" w:cs="宋体"/>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仿宋" w:hAnsi="仿宋" w:eastAsia="仿宋" w:cs="宋体"/>
                <w:sz w:val="24"/>
              </w:rPr>
              <w:t xml:space="preserve">本项目选取 1家中标候选人</w:t>
            </w:r>
            <w:r>
              <w:rPr>
                <w:rFonts w:hint="eastAsia" w:ascii="仿宋" w:hAnsi="仿宋" w:eastAsia="仿宋" w:cs="宋体"/>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w:t>
            </w:r>
            <w:r>
              <w:rPr>
                <w:rFonts w:hint="eastAsia" w:ascii="仿宋" w:hAnsi="仿宋" w:eastAsia="仿宋" w:cs="宋体"/>
                <w:sz w:val="24"/>
                <w:lang w:eastAsia="zh-CN"/>
              </w:rPr>
              <w:t xml:space="preserve">睢宁县公共资源交易中心</w:t>
            </w:r>
            <w:r>
              <w:rPr>
                <w:rFonts w:hint="eastAsia" w:ascii="仿宋" w:hAnsi="仿宋" w:eastAsia="仿宋" w:cs="宋体"/>
                <w:sz w:val="24"/>
              </w:rPr>
              <w:t xml:space="preserve">与</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b/>
                <w:bCs/>
                <w:sz w:val="24"/>
              </w:rPr>
              <w:t xml:space="preserve">凡是对采购文件提出质疑的供应商，必须是依法获取采购文件，请将合法获取采购文件的证明材料（即《投标供应商确认函》）与质疑函一起递交，否则不予受理。</w:t>
            </w:r>
            <w:r>
              <w:rPr>
                <w:rFonts w:hint="eastAsia" w:ascii="仿宋" w:hAnsi="仿宋" w:eastAsia="仿宋" w:cs="宋体"/>
                <w:sz w:val="24"/>
              </w:rPr>
              <w:t xml:space="preserve"> </w:t>
            </w:r>
            <w:r/>
          </w:p>
          <w:p>
            <w:pPr>
              <w:jc w:val="left"/>
              <w:rPr>
                <w:rFonts w:ascii="仿宋" w:hAnsi="仿宋" w:eastAsia="仿宋" w:cs="宋体"/>
                <w:sz w:val="24"/>
              </w:rPr>
            </w:pPr>
            <w:r>
              <w:rPr>
                <w:rFonts w:hint="eastAsia" w:ascii="仿宋" w:hAnsi="仿宋" w:eastAsia="仿宋" w:cs="宋体"/>
                <w:sz w:val="24"/>
                <w:lang w:val="en-US" w:eastAsia="zh-CN"/>
              </w:rPr>
              <w:t xml:space="preserve">4.</w:t>
            </w:r>
            <w:r>
              <w:rPr>
                <w:rFonts w:hint="eastAsia" w:ascii="仿宋" w:hAnsi="仿宋" w:eastAsia="仿宋" w:cs="宋体"/>
                <w:sz w:val="24"/>
              </w:rPr>
              <w:t xml:space="preserve">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睢宁县人民医院</w:t>
            </w:r>
            <w:r/>
          </w:p>
          <w:p>
            <w:pPr>
              <w:jc w:val="left"/>
              <w:rPr>
                <w:rFonts w:hint="eastAsia" w:ascii="仿宋" w:hAnsi="仿宋" w:eastAsia="仿宋" w:cs="宋体"/>
                <w:sz w:val="24"/>
                <w:lang w:eastAsia="zh-CN"/>
              </w:rPr>
            </w:pPr>
            <w:r>
              <w:rPr>
                <w:rFonts w:hint="eastAsia" w:ascii="仿宋" w:hAnsi="仿宋" w:eastAsia="仿宋" w:cs="宋体"/>
                <w:sz w:val="24"/>
              </w:rPr>
              <w:t xml:space="preserve">联系电话：</w:t>
            </w:r>
            <w:r>
              <w:rPr>
                <w:rFonts w:hint="eastAsia" w:ascii="仿宋" w:hAnsi="仿宋" w:eastAsia="仿宋" w:cs="宋体"/>
                <w:sz w:val="24"/>
                <w:lang w:eastAsia="zh-CN"/>
              </w:rPr>
              <w:t xml:space="preserve">0516-68062028</w:t>
            </w:r>
            <w:r/>
          </w:p>
          <w:p>
            <w:pPr>
              <w:jc w:val="left"/>
              <w:rPr>
                <w:rFonts w:hint="eastAsia" w:ascii="仿宋" w:hAnsi="仿宋" w:eastAsia="仿宋" w:cs="宋体"/>
                <w:sz w:val="24"/>
                <w:lang w:eastAsia="zh-CN"/>
              </w:rPr>
            </w:pPr>
            <w:r>
              <w:rPr>
                <w:rFonts w:hint="eastAsia" w:ascii="仿宋" w:hAnsi="仿宋" w:eastAsia="仿宋" w:cs="宋体"/>
                <w:sz w:val="24"/>
              </w:rPr>
              <w:t xml:space="preserve">通讯地址：</w:t>
            </w:r>
            <w:r>
              <w:rPr>
                <w:rFonts w:hint="eastAsia" w:ascii="仿宋" w:hAnsi="仿宋" w:eastAsia="仿宋" w:cs="宋体"/>
                <w:sz w:val="24"/>
                <w:lang w:eastAsia="zh-CN"/>
              </w:rPr>
              <w:t xml:space="preserve">睢宁县八一西路2号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733"/>
        <w:tblpPr w:horzAnchor="page" w:tblpX="1619" w:vertAnchor="text" w:tblpY="291" w:leftFromText="180" w:topFromText="0" w:rightFromText="180" w:bottomFromText="0"/>
        <w:tblW w:w="88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163"/>
        <w:gridCol w:w="6677"/>
      </w:tblGrid>
      <w:tr>
        <w:trPr>
          <w:trHeight w:val="537"/>
        </w:trPr>
        <w:tc>
          <w:tcPr>
            <w:tcW w:w="1041"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项目</w:t>
            </w:r>
            <w:r/>
          </w:p>
        </w:tc>
        <w:tc>
          <w:tcPr>
            <w:tcW w:w="1163"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lang w:val="en-US" w:eastAsia="zh-CN"/>
              </w:rPr>
              <w:t xml:space="preserve">细化项目及分值</w:t>
            </w:r>
            <w:r/>
          </w:p>
        </w:tc>
        <w:tc>
          <w:tcPr>
            <w:tcW w:w="6677"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评分标准</w:t>
            </w:r>
            <w:r/>
          </w:p>
        </w:tc>
      </w:tr>
      <w:tr>
        <w:trPr>
          <w:trHeight w:val="962"/>
        </w:trPr>
        <w:tc>
          <w:tcPr>
            <w:tcW w:w="1041" w:type="dxa"/>
            <w:vAlign w:val="center"/>
            <w:textDirection w:val="lrTb"/>
            <w:noWrap w:val="false"/>
          </w:tcPr>
          <w:p>
            <w:pPr>
              <w:pStyle w:val="953"/>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rPr>
              <w:t xml:space="preserve">价格分（30分）</w:t>
            </w:r>
            <w:r/>
          </w:p>
        </w:tc>
        <w:tc>
          <w:tcPr>
            <w:tcW w:w="1163" w:type="dxa"/>
            <w:vAlign w:val="center"/>
            <w:textDirection w:val="lrTb"/>
            <w:noWrap w:val="false"/>
          </w:tcPr>
          <w:p>
            <w:pPr>
              <w:pStyle w:val="953"/>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投标报价</w:t>
            </w:r>
            <w:r/>
          </w:p>
          <w:p>
            <w:pPr>
              <w:pStyle w:val="953"/>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（30分）</w:t>
            </w:r>
            <w:r/>
          </w:p>
        </w:tc>
        <w:tc>
          <w:tcPr>
            <w:tcW w:w="6677" w:type="dxa"/>
            <w:vAlign w:val="center"/>
            <w:textDirection w:val="lrTb"/>
            <w:noWrap w:val="false"/>
          </w:tcPr>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各投标人价格得分=最低报价（投标人的最低评审价格）÷各投标人评审价格×30</w:t>
            </w:r>
            <w:r/>
          </w:p>
          <w:p>
            <w:pPr>
              <w:pStyle w:val="751"/>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（注：政府采购活动中既有本国产品又有非本国产品参与竞争的，依法对本国产品给予价格评审优惠）</w:t>
            </w:r>
            <w:r/>
          </w:p>
          <w:p>
            <w:pPr>
              <w:ind w:firstLine="240"/>
              <w:rPr>
                <w:rFonts w:ascii="仿宋" w:hAnsi="仿宋" w:eastAsia="仿宋" w:cs="仿宋"/>
                <w:color w:val="auto"/>
                <w:sz w:val="24"/>
              </w:rPr>
            </w:pPr>
            <w:r>
              <w:rPr>
                <w:rFonts w:hint="eastAsia" w:ascii="仿宋" w:hAnsi="仿宋" w:eastAsia="仿宋" w:cs="仿宋"/>
                <w:color w:val="auto"/>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Pr>
                <w:rFonts w:hint="eastAsia" w:ascii="仿宋" w:hAnsi="仿宋" w:eastAsia="仿宋"/>
                <w:color w:val="auto"/>
                <w:sz w:val="24"/>
              </w:rPr>
              <w:t xml:space="preserve">《开标一览表》中的“总价”</w:t>
            </w:r>
            <w:r>
              <w:rPr>
                <w:rFonts w:hint="eastAsia" w:ascii="仿宋" w:hAnsi="仿宋" w:eastAsia="仿宋" w:cs="仿宋"/>
                <w:color w:val="auto"/>
                <w:sz w:val="24"/>
              </w:rPr>
              <w:t xml:space="preserve">*（100%-20%）</w:t>
            </w:r>
            <w:r/>
          </w:p>
          <w:p>
            <w:pPr>
              <w:ind w:firstLine="240"/>
              <w:rPr>
                <w:rFonts w:ascii="仿宋" w:hAnsi="仿宋" w:eastAsia="仿宋" w:cs="仿宋"/>
                <w:color w:val="auto"/>
                <w:sz w:val="24"/>
              </w:rPr>
            </w:pPr>
            <w:r>
              <w:rPr>
                <w:rFonts w:hint="eastAsia" w:ascii="仿宋" w:hAnsi="仿宋" w:eastAsia="仿宋" w:cs="仿宋"/>
                <w:color w:val="auto"/>
                <w:sz w:val="24"/>
              </w:rPr>
              <w:t xml:space="preserve">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pStyle w:val="953"/>
              <w:ind w:right="0"/>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color w:val="auto"/>
                <w:sz w:val="24"/>
              </w:rPr>
              <w:t xml:space="preserve">上述价格折扣政策可叠加执行。</w:t>
            </w:r>
            <w:r/>
          </w:p>
        </w:tc>
      </w:tr>
      <w:tr>
        <w:trPr>
          <w:trHeight w:val="828"/>
        </w:trPr>
        <w:tc>
          <w:tcPr>
            <w:tcW w:w="1041" w:type="dxa"/>
            <w:vAlign w:val="center"/>
            <w:vMerge w:val="restart"/>
            <w:textDirection w:val="lrTb"/>
            <w:noWrap w:val="false"/>
          </w:tcPr>
          <w:p>
            <w:pPr>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rPr>
              <w:t xml:space="preserve">商务分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业绩</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（4分）</w:t>
            </w:r>
            <w:r/>
          </w:p>
          <w:p>
            <w:pPr>
              <w:ind w:left="0"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投标人自2023年9月1日（以合同签订时间为准）以来，完成过机房建设或机房改造类项目；每提供1个有效业绩得2分，最多得4分。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注：（1）须同时提供合同原件扫描件及验收报告（或用户出具的项目履约合格证明）；</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（2）合同须清晰反映项目名称、合同金额、标的物内容（须体现机房设备采购或机房施工相关内容）、签订时间及双方签字并盖章；</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（3）不提供或内容无法辨别的不得分。</w:t>
            </w:r>
            <w:r/>
          </w:p>
        </w:tc>
      </w:tr>
      <w:tr>
        <w:trPr>
          <w:trHeight w:val="148"/>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管理体系认证（2分）</w:t>
            </w:r>
            <w:r/>
          </w:p>
        </w:tc>
        <w:tc>
          <w:tcPr>
            <w:tcW w:w="6677" w:type="dxa"/>
            <w:vAlign w:val="center"/>
            <w:textDirection w:val="lrTb"/>
            <w:noWrap w:val="false"/>
          </w:tcPr>
          <w:p>
            <w:pPr>
              <w:ind w:right="0" w:firstLine="0"/>
              <w:jc w:val="left"/>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投标人具有有效期内的以下管理体系认证证书，每提供一项得1分，最多得2分：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（1）ISO 9001 质量管理体系认证证书；</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（2）ISO/IEC 27001 信息安全管理体系认证证书；</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提供有效证书扫描件加盖电子签章，未提供不得分。</w:t>
            </w:r>
            <w:r/>
          </w:p>
        </w:tc>
      </w:tr>
      <w:tr>
        <w:trPr>
          <w:trHeight w:val="148"/>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质保期后维保费用承诺</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lang w:val="en-US" w:eastAsia="zh-CN" w:bidi="ar"/>
              </w:rPr>
              <w:t xml:space="preserve">（1分）</w:t>
            </w:r>
            <w:r/>
          </w:p>
        </w:tc>
        <w:tc>
          <w:tcPr>
            <w:tcW w:w="6677" w:type="dxa"/>
            <w:vAlign w:val="center"/>
            <w:textDirection w:val="lrTb"/>
            <w:noWrap w:val="false"/>
          </w:tcPr>
          <w:p>
            <w:pPr>
              <w:ind w:right="0"/>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承诺质保期后年度维保费（含人工+配件等全部费用）不超过合同金额的7% 的，得1分；未提供承诺的不得分。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须提供投标人出具的《年度维保费用承诺函》并加盖电子签章。</w:t>
            </w:r>
            <w:r/>
          </w:p>
        </w:tc>
      </w:tr>
      <w:tr>
        <w:trPr>
          <w:trHeight w:val="90"/>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整体质保期延长承诺</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（2分）</w:t>
            </w:r>
            <w:r/>
          </w:p>
        </w:tc>
        <w:tc>
          <w:tcPr>
            <w:tcW w:w="6677" w:type="dxa"/>
            <w:vAlign w:val="center"/>
            <w:textDirection w:val="lrTb"/>
            <w:noWrap w:val="false"/>
          </w:tcPr>
          <w:p>
            <w:pPr>
              <w:ind w:right="0" w:firstLine="0"/>
              <w:jc w:val="left"/>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在满足招标文件要求的3年整体质保期基础上，投标人承诺整体质保期每额外增加1年（须涵盖全部硬件设备及集成施工内容），得1分，最高得2分。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须提供投标人出具的《整体质保期延长承诺函》并加盖电子签章，承诺延长质保期内由中标人承担全部设备维修、更换及人工费用。未提供的不得分。</w:t>
            </w:r>
            <w:r/>
          </w:p>
          <w:p>
            <w:pPr>
              <w:ind w:right="0" w:firstLine="0"/>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售后服务方案与应急响应能力</w:t>
            </w:r>
            <w:r>
              <w:rPr>
                <w:rFonts w:hint="eastAsia" w:ascii="仿宋" w:hAnsi="仿宋" w:eastAsia="仿宋" w:cs="仿宋"/>
                <w:b w:val="0"/>
                <w:bCs w:val="0"/>
                <w:color w:val="auto"/>
                <w:sz w:val="24"/>
                <w:szCs w:val="24"/>
                <w:lang w:val="en-US" w:eastAsia="zh-CN" w:bidi="ar"/>
              </w:rPr>
              <w:t xml:space="preserve">（3分）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须提供详细的《售后服务方案》，应至少包含：服务响应流程、备品备件保障措施、应急处理预案等内容。方案须承诺完全满足招标文件要求的售后服务响应时效（1小时内响应，4小时内到达现场，48小时内无法解决须启用备用设备或提供替代方案）。</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（1）方案内容详尽，响应流程清晰、备件保障措施具体、应急处理预案切实可行，且承诺满足响应时效的，得3分；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（2）方案较完整，上述要素均有覆盖但细节或可执行性稍弱，且承诺满足响应时效的，得2分；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（3）方案内容一般，或未承诺满足响应时效的，得1分；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（4）未提供方案或方案明显空泛的，不得分。</w:t>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培训方案</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投标人须提供详细的《技术培训方案》，内容须覆盖：培训次数、培训内容、培训时长、培训人员配置及培训计划安排。培训所产生的一切费用包含在投标报价中，采购人无需另行支付。</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（1）培训方案完整详细，培训内容全面（覆盖设备操作、日常维护、故障处理等），人员配置合理，计划安排具体可行的，得2分；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 培训方案基本完整，但内容或计划安排细节不足的，得1分；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（3）未提供方案或方案明显不足的，不得分。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本评分项与招标文件采购需求第五（二）条“培训要求”相衔接。</w:t>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shd w:val="clear" w:color="auto" w:fill="auto"/>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项目经理资质（1分）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拟派项目经理（1人）：</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具备一级建造师（机电工程专业） 注册证书的，得1分。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提供证书扫描件及投标人为其缴纳的开标前3个月内任意一个月的社保证明，未提供不得分。</w:t>
            </w:r>
            <w:r/>
          </w:p>
        </w:tc>
      </w:tr>
      <w:tr>
        <w:trPr>
          <w:trHeight w:val="454"/>
        </w:trPr>
        <w:tc>
          <w:tcPr>
            <w:tcW w:w="1041" w:type="dxa"/>
            <w:vAlign w:val="center"/>
            <w:vMerge w:val="restart"/>
            <w:textDirection w:val="lrTb"/>
            <w:noWrap w:val="false"/>
          </w:tcPr>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技术分（</w:t>
            </w:r>
            <w:r>
              <w:rPr>
                <w:rFonts w:hint="eastAsia" w:ascii="仿宋" w:hAnsi="仿宋" w:eastAsia="仿宋" w:cs="仿宋"/>
                <w:b/>
                <w:bCs/>
                <w:color w:val="auto"/>
                <w:sz w:val="24"/>
                <w:szCs w:val="24"/>
                <w:highlight w:val="none"/>
                <w:lang w:val="en-US" w:eastAsia="zh-CN"/>
              </w:rPr>
              <w:t xml:space="preserve">55</w:t>
            </w:r>
            <w:r>
              <w:rPr>
                <w:rFonts w:hint="eastAsia" w:ascii="仿宋" w:hAnsi="仿宋" w:eastAsia="仿宋" w:cs="仿宋"/>
                <w:b w:val="0"/>
                <w:bCs w:val="0"/>
                <w:color w:val="auto"/>
                <w:sz w:val="24"/>
                <w:szCs w:val="24"/>
                <w:highlight w:val="none"/>
              </w:rPr>
              <w:t xml:space="preserve">分）</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技术参数响应（40分）</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6677" w:type="dxa"/>
            <w:vAlign w:val="center"/>
            <w:textDirection w:val="lrTb"/>
            <w:noWrap w:val="false"/>
          </w:tcPr>
          <w:p>
            <w:pPr>
              <w:numPr>
                <w:ilvl w:val="0"/>
                <w:numId w:val="0"/>
              </w:num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1、招标文件采购清单中标注 “▲” 的重要技术指标共10项，每有一项提供有效证明材料且满足指标要求的得2分，最高得20分。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▲号指标证明材料要求（以下二类任选其一）：</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A类： 具备CMA或CNAS资质的第三方检测机构出具的检测报告（须体现对应技术参数），加盖投标人电子签章；</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B类： 产品制造商公开发布的技术规格书（须含对应技术参数页）并加盖电子签章，或制造商官方网站对应产品的技术参数页面截图（须含完整URL及访问日期）；</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未提供有效证明材料或证明材料无法佐证对应参数的，该▲项不予计分。</w:t>
            </w:r>
            <w:r/>
          </w:p>
          <w:p>
            <w:pPr>
              <w:numPr>
                <w:ilvl w:val="0"/>
                <w:numId w:val="0"/>
              </w:num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除★号和▲号指标外，采购清单中其他所有技术指标（含UPS、空调、装修、机柜、通道组件、监控系统、消防、新风、光缆及运维平台等全部技术描述）无负偏离的，得20分；每有一项负偏离扣1分，扣完为止；正偏离不作为加分依据。最高得20分。</w:t>
            </w:r>
            <w:r>
              <w:rPr>
                <w:rFonts w:hint="eastAsia" w:ascii="仿宋" w:hAnsi="仿宋" w:eastAsia="仿宋" w:cs="仿宋"/>
                <w:b w:val="0"/>
                <w:bCs w:val="0"/>
                <w:color w:val="auto"/>
                <w:sz w:val="24"/>
                <w:szCs w:val="24"/>
                <w:highlight w:val="none"/>
                <w:lang w:val="en-US" w:eastAsia="zh-CN" w:bidi="ar"/>
              </w:rPr>
              <w:br/>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项目需求理解与分析</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（3分）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投标人须对本项目进行深入分析，阐述应至少包含以下5个维度：①项目建设背景与现状分析；②适用的技术标准体系（GB 50174-2017、GB/T 22239-2019等）；③数据中心等级（B级）对应的建设要求；④业务连续性风险等级及应对思路；⑤与后续建设衔接的扩展性考虑。</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（1）分析深入、把握准确，完整覆盖上述5个维度的，得3分；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（2）分析较为深入，覆盖3-4个维度的，得2分；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（3）分析一般，仅覆盖1-2个维度的，得1分；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（4）分析不充分或未提供的，不得分。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平面布局图</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投标人须依据现场踏勘情况编制灾备机房平面布局图，图纸须清晰标注：所有主要设备位置（UPS、电池架、列间空调、服务器机柜、通道组件、消防柜体等）、设备间距与维护通道尺寸、消防疏散方向及出口。</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（1）图纸标注完整清晰，布局合理且满足GB 50174-2017规范要求的，得2分；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 整体布置一般但满足规范基本要求的，得1分；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（3）布局不合理、未标注关键尺寸或未提供的，不得分。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效果图展示</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投标人须提供灾备机房三维动态展示视频，直观展示建成后的整体效果。</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（1）提供机房整体三维动态展示视频（时长≥2分钟，须体现设备布局、通道走向、整体观感）的，得2分；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（2）仅提供3个及以上不同视角的静态效果图的，得1分；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（3）未按要求提供的，不得分。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系统架构设计（2分）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投标人须提供本项目系统架构设计说明，内容须完整覆盖：供配电系统架构、制冷系统架构、网络布线架构、动环监控架构、消防联动架构、主备机房双活数据通信架构。</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（1）架构设计完整、逻辑清晰、各子系统间接口关系明确、可扩展性强的，得2分；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（2）架构设计一般、完整性或逻辑性有欠缺的，得1分；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（3）设计不合理、存在明显缺陷或未提供的，不得分。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进度计划与保障措施</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投标人须针对供货、安装、调试、交付验收全过程制定详细的项目进度计划和工期保障措施。</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（1）进度计划完整合理，各阶段时间节点明确，同时提供进度横道图和网络图，保障措施针对性强、具备可操作性的，得2分；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（2）进度计划较完整，保障措施可行，但未同时提供横道图和网络图的，得1分；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（3）进度计划基本合理但缺少量化节点的，得0.5分；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（4）进度计划不合理或未提供的，不得分。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设备安装方案与质量控制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投标人须提供设备安装专项方案及质量控制措施，须覆盖全部关键施工环节（UPS及电池安装、精密空调安装及铜管焊接、机柜及通道组件拼装、光缆敷设及熔接、接地与防雷施工）。</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（1）方案详尽，覆盖全部关键施工环节，配备质量控制参数及闭环管控措施的，得2分；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（2）方案较完整，有基本质量控制描述，但细节或可执行性稍弱的，得1分；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（3）方案内容一般，缺乏具体操作的，得0.5分；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（4）方案不合理或未提供的，不得分。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安全施工方案（2分）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投标人须提供专项安全施工方案，内容须覆盖：现场作业风险识别、安全防护措施、隐患排查机制、应急响应与处置预案。</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（1）方案详尽、风险识别全面、防护措施具体、应急响应切实可行的，得2分；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（2）方案较为详尽、基本合理可行的，得1分；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（3）方案一般、内容空泛的，得0.5分；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（4）方案不合理或未提供的，不得分。</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方正仿宋_GBK" w:hAnsi="方正仿宋_GBK" w:eastAsia="方正仿宋_GBK" w:cs="方正仿宋_GBK"/>
          <w:color w:val="000000"/>
          <w:szCs w:val="21"/>
          <w:lang w:val="en-US" w:eastAsia="zh-CN"/>
        </w:rPr>
        <w:t xml:space="preserve">           </w:t>
      </w:r>
      <w:r>
        <w:rPr>
          <w:rFonts w:hint="eastAsia" w:ascii="仿宋" w:hAnsi="仿宋" w:eastAsia="仿宋" w:cs="仿宋"/>
          <w:b w:val="0"/>
          <w:bCs w:val="0"/>
          <w:color w:val="auto"/>
          <w:sz w:val="24"/>
          <w:szCs w:val="24"/>
          <w:highlight w:val="none"/>
          <w:lang w:val="en-US" w:eastAsia="zh-CN" w:bidi="ar"/>
        </w:rPr>
        <w:t xml:space="preserve"> 拟签订的采购合同文本</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项目名称：                                          项目编号：</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甲方：（买方）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乙方：（卖方）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甲、乙双方根据《中华人民共和国政府采购法》、《中华人民共和国民法典》等相关法律法规及                 项目公开招标的结果，签署本合同。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一、合同内容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 标的名称：</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 标的质量：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 标的数量：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 履行时间（期限）：</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1.5 履行地点：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 履行方式：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1.7 包装方式：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二、合同金额</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2.1 本合同金额为（大写）：_______元（___元）人民币。</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三、技术资料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3.1乙方应按招标文件规定的时间向甲方提供使用货物(包含与货物相关的服务)的有关技术资料。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四、知识产权</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五、产权担保</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5.1 乙方保证所交付的货物（包含与货物相关的服务）的所有权完全属于乙方且无任何抵押、查封等产权瑕疵。</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七、合同转包或分包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7.1乙方不得将合同标的转包给他人履行。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7.2乙方不得将合同标的分包给他人履行。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7.3乙方如有转包或未经甲方同意的分包行为，甲方有权给予终止合同。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八、合同款项支付</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8.1合同款项的支付方式及进度安排</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8.1.1 装修、设备安装完成支付合同总价的50%，验收合格后支付合同总价的40%，余款满一年后支付。（本项目须经第三方权威机构对机房基础设施（供配电系统、暖通系统、布线系统、消防系统、安防系统、动环监控系统）进行评测和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8.2当采购数量与实际使用数量不一致时，乙方应根据实际使用量供货，合同的最终结算金额按实际使用量乘以成交单价进行计算。</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九、税费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9.1本合同执行中相关的一切税费均由乙方负担。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十、质量保修范围和保修期及售后服务</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10.1 乙方应按招标文件规定的货物性能、技术要求、质量标准向甲方提供未经使用的全新产品。</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10.2 乙方提供的货物在质量期内因货物本身的质量问题发生故障，乙方应负责免费更换。对达不到技术要求者，根据实际情况，经双方协商，可按以下办法处理：</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⑴更换：由乙方承担所发生的全部费用。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⑵贬值处理：由甲乙双方合议定价。</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⑶退货处理：乙方应退还甲方支付的合同款，同时应承担该货物的直接费用（运输、保险、检验、货款利息及银行手续费等）。</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10.3 如在使用过程中发生质量问题，乙方在接到甲方通知后在1小时内响应，4小时内到达甲方现场,。</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10.4 在质保期内，乙方应对货物出现的质量及安全问题负责处理解决并承担一切费用。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10.5上述的货物免费保修期为    年，安全运维服务合同履行期限为 年。（自交货验收合格之日起计），因人为因素出现的故障不在免费保修范围内。超过保修期的机器设备，终生维修，维修时只收部件成本费。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十一、项目验收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11.1 甲方依法组织履约验收工作。</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11.3 对于实际使用人和甲方分离的项目，甲方邀请实际使用人参与验收。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11.4 如有必要，甲方邀请参加本项目的其他供应商或第三方专业机构及专家参与验收，相关意见将作为验收书的参考资料。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十二、货物的包装、发运及运输</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12.2 使用说明书、质量检验证明书、随配附件和工具以及清单一并附于货物内。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12.3 乙方在货物发运手续办理完毕后24小时内或货到甲方48小时前通知甲方，以准备接货。</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12.4 货物在交付甲方前发生的风险均由乙方负责。</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12.5 货物在规定的交付期限内由乙方送达甲方指定的地点视为交付，乙方同时需通知甲方货物已送达。</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十三、违约责任</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13.1 甲方无正当理由拒收货物的，甲方向乙方偿付拒收货款总值    的违约金。</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13.2 甲方无故逾期验收和办理货款支付手续的,甲方应按逾期付款总额每日    向乙方支付违约金。</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    的违约金，如造成甲方损失超过违约金的，超出部分由乙方继续承担赔偿责任。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十四、不可抗力事件处理</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14.1 在合同有效期内，任何一方因不可抗力事件导致不能履行合同，则合同履行期可延长，其延长期与不可抗力影响期相同。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14.2 不可抗力事件发生后，应立即通知对方，并寄送有关权威机构出具的证明。</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14.3 不可抗力事件延续120天以上，双方应通过友好协商，确定是否继续履行合同。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十五、解决争议的方法</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15.1甲乙双方因合同签订、履行而发生的一切争议，应通过友好协商解决。如协商不成，任何一方均有权向合同履行地（即项目所在地）有管辖权的人民法院提起诉讼。</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十六、合同生效及其它</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16.1 合同经双方法定代表人或授权委托代表人签字并加盖单位公章后生效。</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16.2本合同未尽事宜，遵照《民法典》、《政府采购法》有关条文执行。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16.3 本合同正本一式  份，具有同等法律效力，甲方、乙方各执  份。</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甲方：                        乙方：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地址：                        地址：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法定代表人或授权代表：        法定代表人或授权代表：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联系电话：                    联系电话：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签订日期：      年    月   日</w:t>
      </w:r>
      <w:r/>
    </w:p>
    <w:p>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一、项目基本情况</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1.采购人：睢宁县人民医院</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2.采购项目名称：睢宁县人民医院灾备数据机房建设项目</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3.采购方式：公开招标</w:t>
      </w:r>
      <w:r/>
    </w:p>
    <w:p>
      <w:pPr>
        <w:ind w:firstLine="484"/>
        <w:tabs>
          <w:tab w:val="left" w:pos="0" w:leader="none"/>
        </w:tabs>
        <w:rPr>
          <w:rFonts w:hint="eastAsia" w:ascii="仿宋" w:hAnsi="仿宋" w:eastAsia="仿宋" w:cs="仿宋"/>
          <w:sz w:val="24"/>
          <w:highlight w:val="yellow"/>
        </w:rPr>
      </w:pPr>
      <w:r>
        <w:rPr>
          <w:rFonts w:hint="eastAsia" w:ascii="仿宋" w:hAnsi="仿宋" w:eastAsia="仿宋" w:cs="仿宋"/>
          <w:sz w:val="24"/>
          <w:szCs w:val="24"/>
        </w:rPr>
        <w:t xml:space="preserve">4.本采购项目不属于专门面向中小企业采购项目。</w:t>
      </w:r>
      <w:r/>
    </w:p>
    <w:p>
      <w:pPr>
        <w:ind w:firstLine="484"/>
        <w:tabs>
          <w:tab w:val="left" w:pos="0" w:leader="none"/>
        </w:tabs>
        <w:rPr>
          <w:rFonts w:hint="eastAsia"/>
        </w:rPr>
      </w:pPr>
      <w:r>
        <w:rPr>
          <w:rFonts w:hint="eastAsia" w:ascii="仿宋" w:hAnsi="仿宋" w:eastAsia="仿宋" w:cs="仿宋"/>
          <w:sz w:val="24"/>
          <w:szCs w:val="24"/>
        </w:rPr>
        <w:t xml:space="preserve">5.本项目核心产品为UPS、列间空调。</w:t>
      </w:r>
      <w:r>
        <w:rPr>
          <w:rFonts w:hint="eastAsia" w:ascii="仿宋" w:hAnsi="仿宋" w:eastAsia="仿宋" w:cs="仿宋"/>
          <w:sz w:val="24"/>
          <w:highlight w:val="none"/>
        </w:rPr>
        <w:t xml:space="preserve">对应的中小企业划分标准所属行业为（</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）。注：中小企业划分标准所属行业以《关于印发中小企业划型标准规定的通知》（工信部联企业[2011]300号）的规定为准。（二）</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。从业人员</w:t>
      </w:r>
      <w:r>
        <w:rPr>
          <w:rFonts w:hint="eastAsia" w:ascii="仿宋" w:hAnsi="仿宋" w:eastAsia="仿宋" w:cs="仿宋"/>
          <w:sz w:val="24"/>
          <w:highlight w:val="none"/>
          <w:lang w:val="en-US" w:eastAsia="zh-CN"/>
        </w:rPr>
        <w:t xml:space="preserve">1000</w:t>
      </w:r>
      <w:r>
        <w:rPr>
          <w:rFonts w:hint="eastAsia" w:ascii="仿宋" w:hAnsi="仿宋" w:eastAsia="仿宋" w:cs="仿宋"/>
          <w:sz w:val="24"/>
          <w:highlight w:val="none"/>
        </w:rPr>
        <w:t xml:space="preserve">人以下或营业收入</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0000万元以下的为中小微型企业。其中，从业人员</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00人及以上，且营业收入</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000万元及以上的为中型企业；从业人员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0人及以上，且营业收入</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0万元及以上的为小型企业；从业人员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0人以下或营业收入</w:t>
      </w:r>
      <w:r>
        <w:rPr>
          <w:rFonts w:hint="eastAsia" w:ascii="仿宋" w:hAnsi="仿宋" w:eastAsia="仿宋" w:cs="仿宋"/>
          <w:sz w:val="24"/>
          <w:highlight w:val="none"/>
          <w:lang w:val="en-US" w:eastAsia="zh-CN"/>
        </w:rPr>
        <w:t xml:space="preserve">300</w:t>
      </w:r>
      <w:r>
        <w:rPr>
          <w:rFonts w:hint="eastAsia" w:ascii="仿宋" w:hAnsi="仿宋" w:eastAsia="仿宋" w:cs="仿宋"/>
          <w:sz w:val="24"/>
          <w:highlight w:val="none"/>
        </w:rPr>
        <w:t xml:space="preserve">万元以下的为微型企业。</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6.预算金额：254万</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7.本项目采购不接受超过254万元（采购项目预算金额）的报价（最后报价）。（本次报价项目完成所需全部费用及其它相关费用，采购人不再支付报价以外的任何费用。）</w:t>
      </w:r>
      <w:r/>
    </w:p>
    <w:p>
      <w:pPr>
        <w:ind w:firstLine="484"/>
        <w:tabs>
          <w:tab w:val="left" w:pos="0" w:leader="none"/>
        </w:tabs>
        <w:rPr>
          <w:rFonts w:ascii="仿宋" w:hAnsi="仿宋" w:eastAsia="仿宋"/>
          <w:color w:val="ff0000"/>
          <w:sz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二、项目概况</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近年来，随着我院信息化建设的持续推进以及区域服务人口的不断增长，各类医疗业务系统与核心诊疗数据对信息底座可</w:t>
      </w:r>
      <w:r>
        <w:rPr>
          <w:rFonts w:hint="eastAsia" w:ascii="仿宋" w:hAnsi="仿宋" w:eastAsia="仿宋" w:cs="仿宋"/>
          <w:sz w:val="24"/>
          <w:szCs w:val="24"/>
        </w:rPr>
        <w:t xml:space="preserve">靠性的要求显著提升。为全面保障集成平台、HIS、EMR、PACS 等核心系统实现 7×24 小时稳定运行，强化数据安全与业务连续性，有效防范系统中断与数据丢失风险，结合医院信息化发展现状，依托现有网络与基础设施，建设标准化灾备机房，最终协助医院实现楼宇间的双活冗余部署目标。通过构建集供配电、精密制冷、综合布线、动环监控、消防安防、防雷接地于一体的高可用、高安全、易运维的灾备环境，切实保障基础设施稳定可靠、环境运行可视可控、业务运行连续不中断，为医院提供安全、高效、可靠的信息化支撑，确保医疗服务持续稳定开展。</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【数据安全与个人信息保护要求】本项目建设的灾备机房将承载医院HIS、EMR、PACS等核心业务系统，涉及《个人信息保护法》定义的"敏感个人信息"（健康医疗数据）的处理。</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中标人须在合同签订时签署《数据安全与保密协议》（作为合同附件），至少涵盖以下内容：</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（1）中标人及其人员对项目实施过程中接触到的任何医疗数据、患者信息、医院内部信息负有保密义务，保密期限为长期（不因合同终止而失效）；</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（2）中标人不得复制、留存、传输、向第三方披露项目实施过程中接触到的任何医疗业务数据；</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（3）机房建设须满足GB/T 22239-2019（三级等保）物理安全项的全部要求，甲方将在第三方评测中一并核查等保物理安全项达标情况；</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（4）违反保密义务的，乙方除承担合同约定的违约责任外，还须依法承担《个人信息保护法》第六十九条规定的侵权赔偿责任。</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三、采购清单</w:t>
      </w:r>
      <w:r/>
    </w:p>
    <w:tbl>
      <w:tblPr>
        <w:tblStyle w:val="733"/>
        <w:tblW w:w="821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941"/>
        <w:gridCol w:w="4355"/>
        <w:gridCol w:w="638"/>
        <w:gridCol w:w="63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单位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UPS配电箱</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柜体采用2.0mm厚冷轧钢板，表面静电喷塑处理</w:t>
            </w: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（RAL7035色）</w:t>
            </w:r>
            <w:r>
              <w:rPr>
                <w:rFonts w:hint="default" w:ascii="Times New Roman" w:hAnsi="Times New Roman" w:eastAsia="方正仿宋_GBK" w:cs="Times New Roman"/>
                <w:i w:val="0"/>
                <w:iCs w:val="0"/>
                <w:color w:val="auto"/>
                <w:sz w:val="21"/>
                <w:szCs w:val="21"/>
                <w:highlight w:val="none"/>
                <w:u w:val="none"/>
                <w:lang w:val="en-US" w:eastAsia="zh-CN" w:bidi="ar"/>
              </w:rPr>
              <w:t xml:space="preserve">；防护等级IP30；满足配电、防雷要求；</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内部安装空间满足电气元器件布置要求；包含每个机柜的2路UPS供电回路及1路市电回路</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配备电压、电流监测仪表；断路器采用塑壳断路器；具备过载、短路、漏电保护功能；接线端子采用铜材质；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7251.1-2023《低压成套开关设备和控制设备》标准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1.为保障微模块数据中心简单易维护、可靠性高和高效节地，应将UPS电源、IT配电、空调配电、照明配电、ATS或MCCB总开关、UPS输入配电和UPS输出配电集成于一个柜体中。</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color w:val="auto"/>
                <w:sz w:val="24"/>
                <w:szCs w:val="24"/>
                <w:highlight w:val="none"/>
              </w:rPr>
              <w:t xml:space="preserve">★</w:t>
            </w:r>
            <w:r>
              <w:rPr>
                <w:rFonts w:hint="default"/>
                <w:color w:val="auto"/>
                <w:highlight w:val="none"/>
                <w:lang w:val="en-US" w:eastAsia="zh-CN"/>
              </w:rPr>
              <w:t xml:space="preserve">2.</w:t>
            </w:r>
            <w:r>
              <w:rPr>
                <w:rFonts w:hint="default" w:eastAsia="方正仿宋_GBK"/>
                <w:color w:val="auto"/>
                <w:szCs w:val="21"/>
                <w:highlight w:val="none"/>
                <w:u w:val="none"/>
                <w:lang w:bidi="ar"/>
              </w:rPr>
              <w:t xml:space="preserve">UPS应采用高频模块化UPS，单台主机机框容量≥125kVA，本期单台UPS总功率容量≥125kVA，单功率模块不小于25KVA。为保障机柜空间利用率，功率模块建议高度不大于3U，</w:t>
            </w:r>
            <w:r>
              <w:rPr>
                <w:rFonts w:hint="default" w:eastAsia="方正仿宋_GBK"/>
                <w:b/>
                <w:bCs/>
                <w:color w:val="auto"/>
                <w:szCs w:val="21"/>
                <w:highlight w:val="none"/>
                <w:u w:val="none"/>
                <w:lang w:bidi="ar"/>
              </w:rPr>
              <w:t xml:space="preserve">投标文件中提供产品规格说明书（或制造商官网可查的技术规格页）并加盖</w:t>
            </w:r>
            <w:r>
              <w:rPr>
                <w:rFonts w:hint="eastAsia" w:eastAsia="方正仿宋_GBK"/>
                <w:b/>
                <w:bCs/>
                <w:color w:val="auto"/>
                <w:szCs w:val="21"/>
                <w:highlight w:val="none"/>
                <w:u w:val="none"/>
                <w:lang w:val="en-US" w:eastAsia="zh-CN" w:bidi="ar"/>
              </w:rPr>
              <w:t xml:space="preserve">电子签章</w:t>
            </w:r>
            <w:r>
              <w:rPr>
                <w:rFonts w:hint="default" w:eastAsia="方正仿宋_GBK"/>
                <w:b/>
                <w:bCs/>
                <w:color w:val="auto"/>
                <w:szCs w:val="21"/>
                <w:highlight w:val="none"/>
                <w:u w:val="none"/>
                <w:lang w:bidi="ar"/>
              </w:rPr>
              <w:t xml:space="preserve">。</w:t>
            </w:r>
            <w:r/>
          </w:p>
          <w:p>
            <w:pPr>
              <w:numPr>
                <w:ilvl w:val="0"/>
                <w:numId w:val="0"/>
              </w:numPr>
              <w:jc w:val="left"/>
              <w:keepLines w:val="0"/>
              <w:keepNext w:val="0"/>
              <w:widowControl/>
              <w:rPr>
                <w:rFonts w:hint="eastAsia" w:eastAsia="方正仿宋_GBK"/>
                <w:b/>
                <w:bCs/>
                <w:color w:val="auto"/>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3.配电输出分路不少于：IT负载配置不少于2套24路40A/1P开关，空调配置不少于8路40A/3P开关(或8路63A/3P)，照明配置不少于3路10A/1P 。</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4.UPS要求为全模块化设计，包括功率模块、旁路模块和监控模块均支持热插拔。当某功率模块发生故障时，应自动退出系统而不影响其他模块的正常工作，系统输出不中断。</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5.UPS应采用集中控制的逻辑，集中控制单元需要1+1冗余，通讯总线也应有冗余，保障无单点故障。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rPr>
                <w:rFonts w:hint="default" w:eastAsia="方正仿宋_GBK"/>
                <w:color w:val="auto"/>
                <w:szCs w:val="21"/>
                <w:highlight w:val="none"/>
                <w:u w:val="none"/>
                <w:lang w:bidi="ar"/>
              </w:rPr>
              <w:t xml:space="preserve">UPS 静态旁路应具备冗余容错能力，单旁路模块故障时系统应自动切换至备用路径，不影响 UPS 正常输出。静态旁路总容量不小于 UPS 单机最大容量。</w:t>
            </w:r>
            <w:r>
              <w:rPr>
                <w:rFonts w:hint="default" w:eastAsia="方正仿宋_GBK"/>
                <w:b/>
                <w:bCs/>
                <w:color w:val="auto"/>
                <w:szCs w:val="21"/>
                <w:highlight w:val="none"/>
                <w:u w:val="none"/>
                <w:lang w:bidi="ar"/>
              </w:rPr>
              <w:t xml:space="preserve">投标文件中提供技术方案说明（含旁路架构拓扑图）并加盖</w:t>
            </w:r>
            <w:r>
              <w:rPr>
                <w:rFonts w:hint="eastAsia" w:eastAsia="方正仿宋_GBK"/>
                <w:b/>
                <w:bCs/>
                <w:color w:val="auto"/>
                <w:szCs w:val="21"/>
                <w:highlight w:val="none"/>
                <w:u w:val="none"/>
                <w:lang w:val="en-US" w:eastAsia="zh-CN" w:bidi="ar"/>
              </w:rPr>
              <w:t xml:space="preserve">电子签章。</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7.功率模块的风扇有冗错设计,并且风扇故障时应发出声光告警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8.UPS输入电气指标：输入电压范围为310Vac~485Vac，输入频率范围为40Hz~70Hz，输入功率因数&gt;0.99（满载），输入电流失真 THDi&lt;3%（满载)。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i w:val="0"/>
                <w:iCs w:val="0"/>
                <w:color w:val="auto"/>
                <w:sz w:val="21"/>
                <w:szCs w:val="21"/>
                <w:highlight w:val="none"/>
                <w:u w:val="none"/>
                <w:lang w:val="en-US" w:eastAsia="zh-CN" w:bidi="ar"/>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9.市电模式下，UPS模块在线模式下效率在50%负载时系统效率应达到90%以上。</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投标文件中提供以下任一证明材料并加盖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：①产品制造商公开发布的技术规格书（含效率曲线）；②经 CNAS 认可的第三方检测机构出具的检测报告；③制造商针对本项目的技术参数确认函。提供上述任意一项即可。</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10.支持锂电、铅酸电池备电方式。铅酸电池电压支持360Vdc~528Vdc可调，具有定期对电池组进行自动浮充、均充转换、自动温度补偿、电池组放电及记录功能。</w:t>
            </w:r>
            <w:r/>
          </w:p>
          <w:p>
            <w:pPr>
              <w:numPr>
                <w:ilvl w:val="0"/>
                <w:numId w:val="0"/>
              </w:num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11.断路器应选用品牌产品（满足IEC 60947-2标准，额定短路分断能力≥50kA/400V，电气寿命≥10000次，机械寿命≥20000次）</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12.按照YD5083-2005《电信设备抗地震性能检测规范》要求，通过不低于9烈度抗震检验。▲13.UPS系统的网络管理接口（SNMP/Modbus TCP等）应具备标识与鉴别、用户数据保护、安全管理、可信路径/信道和安全审计等网络信息安全功能。产品可通过B/S方式(HTTPS)进行远程管理。</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投标文件中提供第三方检测机构出具的相关测试报告并加盖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14.配电支路AI智能检测，供电链路全显示， 开关接线端子温度监测，主动监控关键节点温度</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功率模块</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功能模块，30kVA功率模块</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规格：12V200AH1、当环境温度在-10～+</w:t>
            </w:r>
            <w:bookmarkStart w:id="8" w:name="_GoBack"/>
            <w:r/>
            <w:bookmarkEnd w:id="8"/>
            <w:r>
              <w:rPr>
                <w:rFonts w:hint="default" w:ascii="Times New Roman" w:hAnsi="Times New Roman" w:eastAsia="方正仿宋_GBK" w:cs="Times New Roman"/>
                <w:i w:val="0"/>
                <w:iCs w:val="0"/>
                <w:color w:val="auto"/>
                <w:sz w:val="21"/>
                <w:szCs w:val="21"/>
                <w:highlight w:val="none"/>
                <w:u w:val="none"/>
                <w:lang w:val="en-US" w:eastAsia="zh-CN" w:bidi="ar"/>
              </w:rPr>
              <w:t xml:space="preserve">45℃条件下时，蓄电池性能指标应满足正常使用要求。2、蓄电池在环境温度20～25℃时的浮充运行设计寿命应不低于10年，并提供相关证明材料。3、蓄电池组按规定的试验方法，10h率容量应在第一次充放电循环时不低于0.95C10，三次循环应达到C10。4、蓄电池采用ABS阻燃材料，符合UL94V-0标准。5、</w:t>
            </w:r>
            <w:r>
              <w:rPr>
                <w:rFonts w:hint="default" w:ascii="Times New Roman" w:hAnsi="Times New Roman" w:eastAsia="方正仿宋_GBK" w:cs="Times New Roman"/>
                <w:i w:val="0"/>
                <w:iCs w:val="0"/>
                <w:color w:val="auto"/>
                <w:sz w:val="21"/>
                <w:szCs w:val="21"/>
                <w:highlight w:val="none"/>
                <w:u w:val="none"/>
                <w:lang w:val="en-US" w:eastAsia="zh-CN" w:bidi="ar"/>
              </w:rPr>
              <w:t xml:space="preserve">蓄电池必须采用全密封防泄漏结构，外壳无异常变形、裂纹及污迹，上盖及端子无损伤，正常工作时无酸雾溢出。蓄电池极性正确，正负极性及端子应有明显标志。极板厚度应与使用寿命相适应。6、同一组蓄电池中任意两个电池的开路电压差不应超过35mV。同一组电池浮充24h后压差≤22mV；放电端电压压差≤184mV。7、蓄电池使用期间安全阀应能自动开启闭合，闭阀压力应在15-16kPa范围内，开阀压力应在19-20kPa范围内。8、电池以30I10的电流放电3min，极柱不熔断，其外观不出现异常。蓄电池自放电率每月不大于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UPS电池架，12V/200Ah-32~40节，四层，1020*1035*1560，双边维护，带电池连接线缆</w:t>
            </w:r>
            <w:r/>
          </w:p>
          <w:p>
            <w:pPr>
              <w:pStyle w:val="761"/>
              <w:ind w:left="0" w:firstLine="0"/>
              <w:rPr>
                <w:rFonts w:hint="default" w:ascii="Times New Roman" w:hAnsi="Times New Roman" w:eastAsia="方正仿宋_GBK" w:cs="Times New Roman"/>
                <w:color w:val="auto"/>
                <w:sz w:val="21"/>
                <w:szCs w:val="21"/>
                <w:highlight w:val="none"/>
                <w:lang w:val="en-US" w:eastAsia="zh-CN" w:bidi="ar-SA"/>
              </w:rPr>
            </w:pPr>
            <w:r>
              <w:rPr>
                <w:rFonts w:hint="default" w:ascii="Times New Roman" w:hAnsi="Times New Roman" w:eastAsia="方正仿宋_GBK" w:cs="Times New Roman"/>
                <w:i w:val="0"/>
                <w:iCs w:val="0"/>
                <w:color w:val="auto"/>
                <w:sz w:val="21"/>
                <w:szCs w:val="21"/>
                <w:highlight w:val="none"/>
                <w:u w:val="none"/>
                <w:lang w:val="en-US" w:eastAsia="zh-CN" w:bidi="ar"/>
              </w:rPr>
              <w:t xml:space="preserve">包含改造替换原有的2个电池架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开关盒</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电池保护开关盒-主路630A*+2*125A</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UPS输入线缆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YJV(4x120+1x70)mm^2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RVV50mm^2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列间空调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eastAsia"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1、基础规格：水平送风，制冷量≥45kW，显冷量≥45kW，风量≥9000m³/h，加热加湿空调加热量≥6kW，加湿量≥3kg/h。</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2、关键部件：风冷型行级精密空调由室内外机构成，采用高效直流变频压缩机。蒸发器采用V字型换热器，采用电子膨胀阀。</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3、安全保护：室内风机和风机电源模块在线维护，更换无需停机；整机异常掉电后电子膨胀阀自动关闭，避免异常掉电回液导致重启后压缩机液击风险。</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监控性能：监控显示屏应为≥7英寸真彩触屏，可实时显示冷量、风量等关键参数信息，易于操作和运维管理。应具有方便的现场监控及远程监控能力。应具有RS485通讯接口，对系统进行远程巡检和参数的设置，免费提供Modbus开放协议。</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告警功能：机组需具备完善的告警与保护功能，具备缺相保护、错相保护、高压告警、低压告警、温湿度超出范围告警、机组漏水告警、电源故障告警等报警及保护功能。机组具备故障诊断，告警记录功能，自动保护，自动恢复，自动重启动等功能，故障发生后智能排除无关故障原因，指导运维人员快速完成维护工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6、可靠运行：为保障精密空调制冷系统可靠运行，精密空调产品应具备制冷剂不足检测功能，可根据不同泄漏程度显示不同级别告警。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7、冷媒检测:AI算法检测冷媒含量，冷媒不足时自动产生冷媒充注提示，避免机组制冷量衰减甚至机组宕机</w:t>
            </w:r>
            <w:r/>
          </w:p>
          <w:p>
            <w:p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▲8、防雷：精密空调原厂内置防雷≥5kv，</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投标文件中提供电磁兼容性检测报告</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9、轻载除湿：具有低载除湿功能，可实现10%以下负载工况下稳定除湿，降低高湿环境下数据中心低载运行的IT设备结露风险，</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投标文件中提供第三方权威检测认证报告</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并加盖</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加盖</w:t>
            </w:r>
            <w:r>
              <w:rPr>
                <w:rFonts w:hint="eastAsia" w:eastAsia="方正仿宋_GBK" w:cs="Times New Roman"/>
                <w:b/>
                <w:bCs/>
                <w:i w:val="0"/>
                <w:iCs w:val="0"/>
                <w:color w:val="auto"/>
                <w:sz w:val="21"/>
                <w:szCs w:val="21"/>
                <w:highlight w:val="none"/>
                <w:u w:val="none"/>
                <w:lang w:val="en-US" w:eastAsia="zh-CN" w:bidi="ar"/>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▲10、安全：精密空调联网控制模块应具备基本网络安全防护能力（包括但不限于：安全管理、可信路径/信道和安全审计），</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投标文件中提供第三方测试报告并加盖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1、室外机采用镀锌板和表面磷化＋粉末涂层工艺，具有良好的刚性和防腐性能，适应恶劣环境)</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2、精密空调室外机换热器应采用波纹翅片或具备同等防积灰能力的设计（如带防尘涂层的开窗翅片）</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3、行级精密空调的风冷冷凝器的风机电机、风机调速器、控制器等应有良好的防水性能。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4、室外风机驱动应采用变频调速器，室外风机调速范围要求在10%-100%，要求风机最低运行频率不高于5Hz，低载运行更稳定。</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5、行级精密空调的冷凝器出厂时应保压，管路端口应有防止异物进入的措施。</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空调辅材</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铜管、保温棉、制冷剂、强弱电线缆、进排水管、室外机底座等。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装修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涂刷三遍水性环保防尘涂料，符合GB/T 22374-2018《地坪涂装材料》标准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涂料主要成分为丙烯酸树脂，VOC含量≤100g/L，游离甲醛≤0.1g/kg</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全钢材质；规格：600×600×35mm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带印刷边或无边，厚度≥1.5mm，集中载荷≥800Kg，极限集中载荷≥1700Kg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支架采用2.0mm厚冷轧钢板，表面镀锌处理（锌层厚度≥8μm），调节高度300-500mm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横梁采用1.5mm厚冷轧钢板，承重能力≥300kg/m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防静电性能符合GB/T 14102-2017《防静电地板通用规范》</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防火等级达到GB 8624-2012 B1级（难燃材料）；地板系统接地电阻≤1Ω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地面保温板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厚度20mm，防火等级达到GB 8624-2012 B1级；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表面复合0.05mm厚铝箔（铝纯度≥99.5%），符合GB/T 17794-2019《建筑绝热用玻璃棉制品》标准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密度≥48kg/m³</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导热系数≤0.034W/(m·K)（25℃）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水蒸气透过系数≤1.0×10^-10g/(m·s·Pa)</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抗压强度≥150kPa（形变10%时）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入门踏步</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采用304不锈钢材质，板材厚度≥1.5mm；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安装采用膨胀螺栓固定，与防静电地板过渡平稳</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踏步高度长度根据现场实际尺寸定制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竖墙龙骨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C75型轻钢龙骨，材质为Q235冷轧钢板，厚度1.2mm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抗弯承载力≥1.5kN/m；抗剪承载力≥0.8kN/m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符合GB/T 11981-2024《建筑用轻钢龙骨》标准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竖墙彩钢板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机房专用防火金属面夹心板，表面为0.6mm厚钢板，内衬12MM厚石膏板，整体厚度为13MM。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防火性能按照GB8624-2012判定达到A1(不燃性)级，墙板连接采用特殊V型连接边配合H型卡件固定，在最大范围使用情况下仍能保持墙面良好的平整度；</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墙面保温棉</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厚度50mm，材质为离心玻璃棉；密度≥48kg/m³；导热系数≤0.034W/(m·K)（25℃）；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防火等级达到GB 8624-2012 A1级（不燃材料）；吸声系数≥0.8（1000Hz时）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防火玻璃隔断</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采用12mm厚防火玻璃建设观光通道及隔断，符合GB 15763.1-2009《建筑用安全玻璃 第1部分：防火玻璃》标准；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耐火极限≥1.5小时（完整性和隔热性同时满足）；抗冲击性能符合GB/T 9962-2016，透光率≥85%；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框架采用1.5mm厚冷轧钢板，表面静电喷塑处理（涂层厚度60-80μm，附着力≤1级）；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密封胶条采用防火膨胀密封条，膨胀倍率≥150%（遇火时）；五金配件为304不锈钢材质；安装符合JGJ 255-2012《玻璃幕墙工程技术规范》要求。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市电配电箱</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柜体采用2.0mm厚冷轧钢板，表面静电喷塑处理（RAL7035色）；防护等级IP30；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内部安装空间满足电气元器件布置要求；</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配备电压、电流监测仪表；断路器采用塑壳断路器；具备过载、短路、漏电保护功能；接线端子采用铜材质；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7251.1-2023《低压成套开关设备和控制设备》标准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LED灯(600*600）</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规格600mm×600mm，功率3×15W；输入电压AC 100-240V，频率50/60Hz；</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使用寿命≥50000小时；防护等级IP20；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7000.1-2015《灯具 第1部分：一般要求与试验》和GB 19510.1-2014标准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LED应急灯(600*600）</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规格600mm×600mm，功率3×15W（正常模式）/5W（应急模式）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配备锂电池（符合GB 17945-2024要求）；应急持续时间≥90分钟</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具备自动应急转换功能（断电后≤0.5秒启动）；充电时间≤16小时（正常电压下）</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防护等级IP20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7000.1-2015和GB 17945-2024《消防应急照明和疏散指示系统》标准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采用LED光源，功率≤3W；应急持续时间≥90分钟；配备12V/1.2Ah锂电池；</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具备故障报警功能（蓄电池故障、光源故障）；防护等级IP30；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指示方向根据现场布局确定；符合GB 17945-2010标准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双联单控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额定电流10A，额定电压250VAC；材质：面板采用PC料；操作寿命≥10000次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规格5孔，额定电流10A，额定电压250VAC；材质：面板采用PC料，载流件采用高纯度铜；插拔寿命≥5000次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电气辅助材料</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包括PVC穿线管（阻燃等级V0级）、铜芯电缆（RVV系列，导体材质为铜，绝缘层为PVC料）、接线底盒（86型）、接线端子、管卡、螺丝等；所有材料符合国家相关标准：穿线管符合GB/T 5836.1-2018，电缆符合GB/T 5023.3-2008，底盒符合GB 17466-2017</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挡水槛</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根据现场情况砌筑挡水槛，水泥砂浆砌块，涂刷防水涂料</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机房接地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接地干线采用40×4mm紫铜排（纯度≥99.9%）；接地支线采用6mm²多股铜芯电缆（RVV 6×1.0mm²）</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人工接地体采用50×50×5mm镀锌角钢（长度2.5m）；接地极间距≥5m；接地电阻≤1Ω（工频接地电阻）</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接地网施工符合GB 50169-2016《接地装置施工及验收规范》标准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机房防雷</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市电配电防雷器：Ⅰ级T1/B级模块化SPD，4P三相五线保护，Uc=385VAC，Iimp (10/350μs)≥25kA / 极，Imax≥100kA，Up≤2.0kV。UPS配电防雷器：Ⅱ 级 T2/C 级导轨式 SPD，4 极三相保护；Uc=385VAC，Imax≥40kA，Up≤1.5kV。防雷器根据实际情况调整，防雷系统符合GB 50057-2010、GB 50343-2012标准要求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numPr>
                <w:ilvl w:val="0"/>
                <w:numId w:val="3"/>
              </w:numPr>
              <w:jc w:val="left"/>
              <w:keepLines w:val="0"/>
              <w:keepNext w:val="0"/>
              <w:widowControl/>
              <w:rPr>
                <w:rFonts w:hint="default" w:eastAsia="仿宋"/>
                <w:color w:val="auto"/>
                <w:highlight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符合IEC 60297-2，ANSI/EIA RS-310-D标准，兼容19”国际标准。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2、机柜尺寸：600 mm *1200 mm *2000mm（W*D*H），42U，含盲板*20、束线圈*6</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3、按照标准YD5083-2005《电信设备抗地震性能检测规范》要求，带载580kg测试连续通过8、9级烈度结构抗地震考核</w:t>
            </w:r>
            <w:r>
              <w:rPr>
                <w:rFonts w:hint="eastAsia" w:eastAsia="方正仿宋_GBK" w:cs="Times New Roman"/>
                <w:i w:val="0"/>
                <w:iCs w:val="0"/>
                <w:color w:val="auto"/>
                <w:sz w:val="21"/>
                <w:szCs w:val="21"/>
                <w:highlight w:val="none"/>
                <w:u w:val="none"/>
                <w:lang w:val="en-US" w:eastAsia="zh-CN" w:bidi="ar"/>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4、▲机柜非承重部件板厚在不小于1.0mm，承重部件板厚在不小于1.5mm，要求静态承载能力不小于2400kg，</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5、门板开孔均匀，前后门外开，前门单开，后门双开，前后门均为通风网孔门，通风率不小于75%；</w:t>
            </w:r>
            <w:r/>
          </w:p>
          <w:p>
            <w:pPr>
              <w:pStyle w:val="744"/>
              <w:rPr>
                <w:rFonts w:hint="default" w:ascii="Times New Roman" w:hAnsi="Times New Roman" w:eastAsia="方正仿宋_GBK"/>
                <w:b/>
                <w:bCs/>
                <w:color w:val="auto"/>
                <w:highlight w:val="none"/>
                <w:u w:val="none"/>
                <w:lang w:bidi="ar"/>
              </w:rPr>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rPr>
                <w:rFonts w:hint="default" w:ascii="Times New Roman" w:hAnsi="Times New Roman" w:eastAsia="方正仿宋_GBK"/>
                <w:b/>
                <w:bCs/>
                <w:color w:val="auto"/>
                <w:highlight w:val="none"/>
                <w:u w:val="none"/>
                <w:lang w:bidi="ar"/>
              </w:rPr>
              <w:t xml:space="preserve">保证产品解决方案的成熟及可靠，微模块需具备以下任意一项认证或检测报告，并提供扫描件加盖</w:t>
            </w:r>
            <w:r>
              <w:rPr>
                <w:rFonts w:hint="eastAsia" w:ascii="Times New Roman" w:hAnsi="Times New Roman" w:eastAsia="方正仿宋_GBK"/>
                <w:b/>
                <w:bCs/>
                <w:color w:val="auto"/>
                <w:highlight w:val="none"/>
                <w:u w:val="none"/>
                <w:lang w:val="en-US" w:eastAsia="zh-CN" w:bidi="ar"/>
              </w:rPr>
              <w:t xml:space="preserve">电子签章</w:t>
            </w:r>
            <w:r>
              <w:rPr>
                <w:rFonts w:hint="default" w:ascii="Times New Roman" w:hAnsi="Times New Roman" w:eastAsia="方正仿宋_GBK"/>
                <w:b/>
                <w:bCs/>
                <w:color w:val="auto"/>
                <w:highlight w:val="none"/>
                <w:u w:val="none"/>
                <w:lang w:bidi="ar"/>
              </w:rPr>
              <w:t xml:space="preserve">：</w:t>
            </w:r>
            <w:r/>
          </w:p>
          <w:p>
            <w:pPr>
              <w:pStyle w:val="744"/>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（1）UPTIME Institute Tier 认证；</w:t>
            </w:r>
            <w:r/>
          </w:p>
          <w:p>
            <w:pPr>
              <w:pStyle w:val="744"/>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（2）CQC 数据中心机房等级认证；</w:t>
            </w:r>
            <w:r/>
          </w:p>
          <w:p>
            <w:pPr>
              <w:pStyle w:val="744"/>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（3）泰尔（CTTL）数据中心产品认证；</w:t>
            </w:r>
            <w:r/>
          </w:p>
          <w:p>
            <w:pPr>
              <w:rPr>
                <w:rFonts w:hint="default" w:ascii="Times New Roman" w:hAnsi="Times New Roman" w:eastAsia="方正仿宋_GBK"/>
                <w:color w:val="auto"/>
                <w:highlight w:val="none"/>
                <w:u w:val="none"/>
                <w:lang w:bidi="ar"/>
              </w:rPr>
            </w:pPr>
            <w:r>
              <w:rPr>
                <w:rFonts w:hint="default" w:eastAsia="方正仿宋_GBK"/>
                <w:b/>
                <w:bCs/>
                <w:color w:val="auto"/>
                <w:szCs w:val="21"/>
                <w:highlight w:val="none"/>
                <w:u w:val="none"/>
                <w:lang w:bidi="ar"/>
              </w:rPr>
              <w:t xml:space="preserve">（4）经 CNAS 认可的第三方检测机构出具的数据中心微模块整体检测报告，检测标准须执行 GB/T 41783-2022《模块化数据中心通用规范》或 T/CCSA 267-2019《微型模块化数据中心测试规范》，且检测报告内容须至少包含机械承载、接地与防护、能效（PUE）测试等核心项目。</w:t>
            </w:r>
            <w:r/>
          </w:p>
          <w:p>
            <w:pPr>
              <w:pStyle w:val="744"/>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以上四项提供任意一项即可得分。</w:t>
            </w:r>
            <w:r/>
          </w:p>
          <w:p>
            <w:pPr>
              <w:pStyle w:val="740"/>
              <w:ind w:left="0" w:firstLine="0"/>
              <w:rPr>
                <w:rFonts w:hint="default" w:ascii="Times New Roman" w:hAnsi="Times New Roman" w:eastAsia="方正仿宋_GBK" w:cs="Times New Roman"/>
                <w:i w:val="0"/>
                <w:iCs w:val="0"/>
                <w:color w:val="auto"/>
                <w:sz w:val="21"/>
                <w:szCs w:val="21"/>
                <w:highlight w:val="none"/>
                <w:u w:val="none"/>
                <w:lang w:val="en-US" w:eastAsia="zh-CN" w:bidi="ar"/>
              </w:rPr>
            </w:pPr>
            <w:r>
              <w:rPr>
                <w:rFonts w:hint="default" w:ascii="Times New Roman" w:hAnsi="Times New Roman" w:eastAsia="方正仿宋_GBK" w:cs="Times New Roman"/>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侧板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机柜侧门板</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用于1200mm深,2000mm高落地机柜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采用高强度A级优质碳素冷轧钢板和镀锌板。机柜表面喷涂喷粉厚度应不小于60μm ,采用黑色砂纹工艺，满足防腐、防锈、光洁、色泽均匀、无流挂、不露底、无起泡、无裂纹、金属件无毛刺锈蚀要求。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固定托盘1U，承载100Kg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用于1200mm深服务器机柜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理线托盘1U，从机柜正面向后理线,带毛刷</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配电排，基本型输出接口20*GB 10A+4*GB 16A，国标插座-7.3KVA，竖装全高，右安装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运营商机柜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600*800*42U，含风扇、PDU</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通道组件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翻转天窗</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全玻璃天窗，600mm。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1、采用钢化玻璃材质，厚度不小于5mm，并标配防爆膜，保证人员安全。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2、为保证通道亮度及美观性，天窗玻璃面积占比应保证不小于90%。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3、天窗玻璃透光率≥90；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补框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100mm深围框，适用于1100mm深柜体补齐到1200mm深场景，</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配合一体化UPS柜/一体化配电柜/模块化精密配电柜/600mm宽空调使用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大屏门盒</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高端造型大屏后门盒（不支持智慧屏安装）</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配套新造型双开推拉门使用-用于2000mm高1200mm深机柜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格栅灯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微模运行状态指示，布置端门门框，状态明显，可支持状态指示灯，与门禁及告警等级联动，红色表示识别失败，绿色表示识别成功。</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门框采用告警联动指示灯，需保证至少有4种颜色，且具备四种颜色指示灯灯光与告警指示联动功能，在微模块产生告警后可与灯光进行联动。能够与紧急告警、重要告警、一般告警、提示告警进行联动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围板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通道密封件，600mm。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1、采用高强度优质碳素冷轧钢板材质。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2、安装与机柜顶部后端。</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自动平移门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通道端门，1200mm。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1、冷通道的两端需设置封闭性良好的端门 ，以保证通道的气密性。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2、门板采用整块钢化玻璃，其钢化玻璃厚度应不小于8mm，以保证门板强度及通道内的良好可视性。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3、端门应采用电动平移门结构，通过门框整体与机柜通过螺钉联接。</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地脚灯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LED地脚灯，蓝光显示，沿通道方向布置，提升微模块整体效果。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通道环境监控系统</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智能插座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支持监控主机电源及FE通讯扩展，可在智能微模块内灵活布局。</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提供≥2路FE级联接口，用于组成环网通信。提供≥4路PoE接口，用于设备的接入</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显示单元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≥40寸触摸显示屏，含本地管理软件，分辨率≥1920×1080，多点触控；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机身：≥32GB，内存：≥4GB</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触摸按键+实体电源键+遥控器。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天窗磁力锁，12VDC供电，≥8kg拉力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通道照明</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照明灯，600mm，通道照明采用LED灯，安装在通道的两侧顶部。灯座与灯为一体式。正白色，保证通道照明亮度≥300LUX，满足GB50174《数据中心设计规范》中对机房照明的要求。应具备人来灯亮、人走灯灭功能。应支持门禁联动，开门亮灯。人员在通道内时灯亮，应能保证通道内照明常开。应支持手动开关灯。应支持远程开关灯。</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指纹/密码/刷卡门禁系统，额定工作电压：12VDC±15%。额定工作电流：300mA±15%。支持卡类型：IC卡最大授权用户3000个，最大指纹容量6000枚RS485通信接口，韦根通信接口。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应支持多种门禁类型(刷卡、密码、指纹)。应支持通道内手动开门、火灾应急开门、远程开门。非法开门、长时间未关门、刷卡器被拆，门禁管理应上报告警。消防情况下，门禁应自动释放。电动门应具备防夹设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集成温度、湿度、烟感和红外于一体的多参数监测传感器温度监测 –40℃～70℃，精度 ≤ ±0.5℃（25℃）湿度监测 0~100%RH，精度 ≤ ±5% RH（25℃，20% RH～80% RH）烟雾监测符合</w:t>
            </w:r>
            <w:r>
              <w:rPr>
                <w:rFonts w:hint="default" w:ascii="Times New Roman" w:hAnsi="Times New Roman" w:eastAsia="方正仿宋_GBK" w:cs="Times New Roman"/>
                <w:color w:val="auto"/>
                <w:sz w:val="21"/>
                <w:szCs w:val="21"/>
                <w:highlight w:val="none"/>
                <w:u w:val="none"/>
                <w:lang w:bidi="ar"/>
              </w:rPr>
              <w:t xml:space="preserve">消防产品市场准入要求</w:t>
            </w:r>
            <w:r>
              <w:rPr>
                <w:rFonts w:hint="default" w:ascii="Times New Roman" w:hAnsi="Times New Roman" w:eastAsia="方正仿宋_GBK" w:cs="Times New Roman"/>
                <w:i w:val="0"/>
                <w:iCs w:val="0"/>
                <w:color w:val="auto"/>
                <w:sz w:val="21"/>
                <w:szCs w:val="21"/>
                <w:highlight w:val="none"/>
                <w:u w:val="none"/>
                <w:lang w:val="en-US" w:eastAsia="zh-CN" w:bidi="ar"/>
              </w:rPr>
              <w:t xml:space="preserve">，测试值每英尺3.2%微弱灰，烟雾传感器可报警POE接口 提供1路POE接口，支持IEEE802.3at标准RS485接口 预留1个RS485接口DI输入 支持1路DI输入接口，支持12V DC电源输入BLINK按键 支持无线通信：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1、区域水浸传感器,非定位式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2、工作电压：12V DC（9V DC～16V DC）；</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3、工作温度：–20℃～+70℃，10%～80%RH（无凝露）；</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4、可延长性：支持快接端子连接，支持灵活延长，最长延长至50m；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5、绝缘电阻：&gt; 500MΩ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温度监测–40℃～70℃，精度≤±0.5℃（25℃），RS485 通信输出，MODBUS协议，持强磁力磁铁安装。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声光告警器，微模块数据机房内出现火灾或烟雾时，会引发警报声音并闪烁警示灯对模块内部的消防安全进行警示。</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通道环境监控主机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1、数据采集器必须采用嵌入式一体化集中监控主机，自带linux系统，避免在客户端安装监控软件带来的与操作系统或其它程序之间的兼容性隐患；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2、数据采集器支持2路WAN接口，2路LAN接口，100Mbps通讯速率。</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3、接口需统一采用RJ45端子，简化线缆种类，简化交付难度；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4、所有板卡、传感器需支持热插拔，即插即用；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5、需支持web服务，可通过浏览器直接访问实现远程管理；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6、支持LCD显示屏交互界面，可实时显示监控设备的运行参数；</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7、为保证系统通讯和供电的可靠性，管理系统通信总线具备容错能力，单点故障应不影响其他设备；管理系统电源总线应具有热备份，具备支持热插拔，在线更换功能，投标文件中提供第三方权威认证机构出具的测试报告证明</w:t>
            </w:r>
            <w:r>
              <w:rPr>
                <w:rFonts w:hint="default" w:ascii="Times New Roman" w:hAnsi="Times New Roman" w:eastAsia="方正仿宋_GBK" w:cs="Times New Roman"/>
                <w:i w:val="0"/>
                <w:iCs w:val="0"/>
                <w:color w:val="auto"/>
                <w:sz w:val="21"/>
                <w:szCs w:val="21"/>
                <w:highlight w:val="none"/>
                <w:u w:val="none"/>
                <w:lang w:val="en-US" w:eastAsia="zh-CN"/>
              </w:rPr>
              <w:t xml:space="preserve">并加盖</w:t>
            </w:r>
            <w:r>
              <w:rPr>
                <w:rFonts w:hint="eastAsia" w:eastAsia="方正仿宋_GBK" w:cs="Times New Roman"/>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▲8、监控系统的采集器需通过智能联网产品网络安全认证。</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9、采集器配置不低于：ARM Cortex A7 32位处理器，512MB ROM，64MB+1GB Flash存储；支持双路供电。</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10、RS485接口、AI/DI接口需支持DC12V电源输出，可为智能温湿度传感器、水浸传感器等监控部件供电；</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成套线缆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微模块配套线缆、信号线</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机房环境监控系统</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机房环境监控服务器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芯片应采用自主可控品牌，且采用配置不低于2.6GHZ CPU，2×64G内存，2*1.9T SAS硬盘，智能管理节点不小于100个。</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控制采集器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1.采集器配置支持 2 路 WAN 接口(网口)。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2.采集器支持 PoE 总线环网。</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3.具备本地存储功能。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4.支持Default一键复位，恢复默认IP地址。</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200万红外变焦半球型摄像机，支持吸顶安装方式。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1、焦距 2.8-12mm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2、视频压缩格式 H.265/H.264/MJPEG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3、最大分辨率 1920×1080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4、电源 DC12V，PoE</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5、防护等级 IP67</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6、防爆等级 IK10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机房出门按钮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出门按钮，按键开关-12VDC-1A-面板安装型-50mm-接线端子式，自动复位-安装孔位直径19mm-圆-绿色</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指纹/密码/刷卡门禁系统，额定工作电压：12VDC±15%。额定工作电流：300mA±15%。支持卡类型：IC卡最大授权用户3000个，最大指纹容量6000枚RS485通信接口，韦根通信接口。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应支持多种门禁类型(刷卡、密码、指纹)。应支持通道内手动开门、火灾应急开门、远程开门。非法开门、长时间未关门、刷卡器被拆，门禁管理应上报告警。消防情况下，门禁应自动释放。电动门应具备防夹设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机房磁力锁</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磁力锁，12VDC供电，≥8kg拉力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水浸传感器，12VDC，支持常开或常闭触点-标配5m水浸绳,最大延长到50m，用于监测机房内是否有漏水情况，并可以发出告警。水浸传感器由水浸检测绳、漏水报警探测器和转接线缆三部分组成。</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温湿度传感器，12VDC供电，RS485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系统的基础授权，包含专业版编辑授权、客户端授权、后台管理软件授权。包含三维可视化管理环境，到机柜级的分级浏览和管理功能。2.3D建模、采用3D编辑器对机房楼层房间分布进行1:1比例绘制，并且可以对墙面、地板进行贴图材质的修改。包含机柜级的机房设备的三维展示、可拖拽、旋转，可双击机柜打开机柜门，机柜内的设备双击后弹出相应的信息进行展示。3、手机APP功能可实现，告警管理、简单问题解决、健康检查、保养计划等功能。▲4、</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为满足网络安全要求，监控系统的软件、采集器硬件需要满足网络安全的要求，可以通过行业主流的病毒与漏洞软件的安全扫描，投标文件中提供第三方权威机构网络安全认证</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气体灭火</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柜式七氟丙烷灭火装置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GQQ100/2.5-QA瓶体包含：（箱体、钢瓶、虹吸管、容器阀、电磁启动器、压力表，信号反馈装置、高压软管、喷头等)</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符合国家相关标准GB 55036-2022《消防设施通用规范》</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七氟丙烷药剂</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HFC-227ea；符合国家相关标准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公斤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气体灭火控制器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工作电源--主电AC220V±20%，50Hz；直流备电DC24V/7Ah</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功耗--≤120W</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系统容量--324点</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输出接点容量--所有继电器触点容量均为7A/24VDC</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输出回路限流--电磁阀驱动≤3A</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放气指示灯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放气指示灯；符合国家相关标准；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泄压口</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泄压口，含开洞；符合国家相关标准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新风设备</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全热交换新风机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风量：额定风量800m³/h，偏差≤±5%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热交换效率：显热效率≥70%，全热效率≥65%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机外静压：≥120Pa</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噪音：额定风量下 ≤48dB</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风管</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风管、风口、支架等辅材；符合国家相关标准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与原有机房通信</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室外288芯单模光缆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 288 芯单模光缆，用于主备机房之间的数据双活冗余通信。采用 G.652.D 光纤，1310nm 衰减≤0.33dB/km，1550nm 衰减≤0.19dB/km，双铠装双护套结构，全截面阻水，符合 GB/T 13993.3及YD/T 901 标准，符合 GB/T 9771-2020《通信用单模光纤》。投标人按3000米固定数量报价，施工中如因路由调整导致数量增减，增减幅度在±15%以内的总价不调整，超出±15%部分按中标单价据实结算。</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IT设备运维监控平台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1.平台采用B/S架构模式，支持基于HTTPS中文Web图形化界面管理;</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2.支持企业微信、钉钉、小程序等多种移动端管理方式，具备故障通知、设备管理、告警管理、在线检测（ping、telnet）、工单管理、报表预览等功能。</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3.资源监控</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支持交换机、路由器、OLT、ONU、无线设备、防火墙、网闸、WAF、IDS、IPS等基础网络及安全设备的统一监控，能够持续监测运行状态、CPU使用率、内存使用率、丢包率、延迟、接口流量、接口速率等性能指标。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4.网络拓扑</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支持自动生成网络拓扑图，实时展示全网络设备运行状态；同时具备拓扑定期自动修正功能，以适配实际网络架构。</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5.网络定位</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支持终端定位功能，通过MAC地址或IP实时定位终端入网信息。</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6.非法查找</w:t>
            </w:r>
            <w:r/>
          </w:p>
          <w:p>
            <w:pPr>
              <w:jc w:val="left"/>
              <w:keepLines w:val="0"/>
              <w:keepNext w:val="0"/>
              <w:widowControl/>
              <w:rPr>
                <w:rFonts w:hint="default" w:ascii="Times New Roman" w:hAnsi="Times New Roman" w:eastAsia="方正仿宋_GBK" w:cs="Times New Roman"/>
                <w:i w:val="0"/>
                <w:iCs w:val="0"/>
                <w:color w:val="auto"/>
                <w:sz w:val="21"/>
                <w:szCs w:val="21"/>
                <w:highlight w:val="yellow"/>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支持网络中非网管交换机、路由器等设备的连接信息检测。</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7.网口检测</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支持交换机网口检测功能。实时查询交换机网口使用率，同时支持交换机闲置网口（长期未激活网口）检测。</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8.监控管理</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支持对Windows、Linux、麒麟、统信等主流操作系统的监控，包括服务器运行状态、CPU、内存、磁盘、网络连接状态等指标。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支持对Oracle、MS SQL、MySQL等主流数据库的监控，包括死锁、线程、会话、请求、失败作业、数据文件等指标；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▲支持对Oracle、MS SQL等数据库的锁表语句进行分析和查看；支持Oracle表空间使用统计以及AWR报告生成和导出功能。</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支持宿主机、虚拟机资源使用统计和性能分析，包括CPU、内存、磁盘、网络等指标；支持容量使用预测，提示虚拟化资源扩容；支持虚拟化告警信息采集和通知。</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9.工单管理</w:t>
            </w:r>
            <w:r/>
          </w:p>
          <w:p>
            <w:pPr>
              <w:jc w:val="left"/>
              <w:keepLines w:val="0"/>
              <w:keepNext w:val="0"/>
              <w:widowControl/>
              <w:rPr>
                <w:rFonts w:hint="eastAsia"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▲支持工单标准化流程管理，包括工单创建、工单指派、工单确认、工单处理、工单完成等功能。</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10.知识库。应提供知识库管理功能，用于沉淀和共享日常故障处置经验；需支持知识条目的创建、编辑、分类管理、检索，使用户运维的无形资产得以保留和复用。</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11.要求配置≥300个设备节点永久性授权。</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楼幢室外24芯单模光缆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室外24芯单模光缆，用于机房与各楼幢前端设备的双活通信。采用 G.652.D 单模光纤，1310nm 衰减≤0.33dB/km，1550nm 衰减≤0.19dB/km，层绞式结构，全截面阻水，适用于室外管道/架空敷设，符合GB/T 13993.3及 YD/T901标准。具体数量根据实际调整。</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288芯ODF</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288芯ODF，含满配LC模块、尾纤等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24芯光纤配架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24芯光纤配架，含满配LC模块、尾纤等，具体数量根据实际调整。</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配电排，改造替换原有机柜PDU，基本型输出接口20*GB 10A+4*GB 16A，国标插座-7.3KVA，竖装全高，右安装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bl>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r>
      <w:r/>
    </w:p>
    <w:p>
      <w:pPr>
        <w:numPr>
          <w:ilvl w:val="0"/>
          <w:numId w:val="4"/>
        </w:numPr>
        <w:ind w:firstLine="482"/>
        <w:jc w:val="left"/>
        <w:keepLines w:val="0"/>
        <w:keepNext w:val="0"/>
        <w:pageBreakBefore w:val="0"/>
        <w:spacing w:line="400" w:lineRule="exact"/>
        <w:shd w:val="clear" w:color="auto" w:fill="ffffff"/>
        <w:widowControl/>
        <w:rPr>
          <w:rFonts w:hint="default"/>
          <w:lang w:val="en-US" w:eastAsia="zh-CN"/>
        </w:rPr>
      </w:pPr>
      <w:r>
        <w:rPr>
          <w:rFonts w:hint="eastAsia" w:ascii="黑体" w:hAnsi="黑体" w:eastAsia="黑体" w:cs="黑体"/>
          <w:b w:val="0"/>
          <w:bCs w:val="0"/>
          <w:i w:val="0"/>
          <w:iCs w:val="0"/>
          <w:sz w:val="24"/>
          <w:szCs w:val="24"/>
          <w:lang w:val="zh-CN" w:eastAsia="zh-CN"/>
        </w:rPr>
        <w:t xml:space="preserve">项目实施要求</w:t>
      </w:r>
      <w:r/>
    </w:p>
    <w:p>
      <w:pPr>
        <w:numPr>
          <w:ilvl w:val="0"/>
          <w:numId w:val="0"/>
        </w:numPr>
        <w:ind w:firstLine="482"/>
        <w:jc w:val="left"/>
        <w:keepLines w:val="0"/>
        <w:keepNext w:val="0"/>
        <w:pageBreakBefore w:val="0"/>
        <w:spacing w:line="400" w:lineRule="exact"/>
        <w:shd w:val="clear" w:color="auto" w:fill="ffffff"/>
        <w:widowControl/>
        <w:rPr>
          <w:rFonts w:hint="default"/>
          <w:lang w:val="en-US" w:eastAsia="zh-CN"/>
        </w:rPr>
      </w:pPr>
      <w:r>
        <w:rPr>
          <w:rFonts w:hint="eastAsia" w:ascii="仿宋" w:hAnsi="仿宋" w:eastAsia="仿宋" w:cs="仿宋"/>
          <w:b/>
          <w:bCs/>
          <w:sz w:val="24"/>
          <w:szCs w:val="24"/>
          <w:lang w:val="en-US" w:eastAsia="zh-CN" w:bidi="ar-SA"/>
        </w:rPr>
        <w:t xml:space="preserve">本项目为一体化机房建设项目，现场条件（包括但不限于建筑结构、电力容量、空调管路走向、消防通道等）对方案编制具有重要影响。建议潜在投标人自行赴项目现场进行踏勘，以充分了解现场现状及潜在风险。无论投标人是否进行踏勘，均视为在递交投标文件前已充分了解现场条件，并已在方案和报价中考虑了相关风险。 因未踏勘或踏勘不充分导致的方案偏差、报价失误等风险，由投标人自行承担。（联系人及联系电话：仝灵利  0516-68062028）</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1、项目交货与实施时间要求：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合同生效日后，150日内将合同标的全部交付并安装调试集成完成（地址为睢宁县人民医院）。</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所投产品必须为原厂原装、全新的、原包装未拆封的、符合中华人民共和国强制性技术标准的产品。所投产品的检测报告等证明资料，采购人可通过国家认证认可监督管理平台检测报告等文件的真实性。</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设备送到项目实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采购人造成的损失。初步验收合格证明只作合同货物清单数量、品牌型号、参数符合性证明。验收合格后中标人负责完成指定地点的搬运、安装以及调试。</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节能产品要求：本项目涉及的列间精密空调属于《节能产品政府采购品目清单》（财库〔2019〕19号）中的政府强制采购节能产品品目。投标人所投上述产品必须获得国家确定的认证机构出具的有效期内的节能产品认证证书（CQC或同等），并在投标文件中提供证书复印件加盖</w:t>
      </w:r>
      <w:r>
        <w:rPr>
          <w:rFonts w:hint="eastAsia" w:ascii="仿宋" w:hAnsi="仿宋" w:eastAsia="仿宋" w:cs="仿宋"/>
          <w:b/>
          <w:bCs/>
          <w:sz w:val="24"/>
          <w:szCs w:val="24"/>
          <w:lang w:val="en-US" w:eastAsia="zh-CN"/>
        </w:rPr>
        <w:t xml:space="preserve">电子签章</w:t>
      </w:r>
      <w:r>
        <w:rPr>
          <w:rFonts w:hint="eastAsia" w:ascii="仿宋" w:hAnsi="仿宋" w:eastAsia="仿宋" w:cs="仿宋"/>
          <w:b/>
          <w:bCs/>
          <w:sz w:val="24"/>
          <w:szCs w:val="24"/>
        </w:rPr>
        <w:t xml:space="preserve">。未提供或证书无效的，作无效投标处理。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2、本项目全部建设内容须由中标人自行实施完成，严禁任何形式的转包、违法分包或挂靠行为。</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3、本项目须经第三方权威机构对机房基础设施（供配电系统、暖通系统、布线系统、消防系统、安防系统、动环监控系统）进行评测和验收。机房物理环境应满足GB 50174-2017 B级数据中心标准，并为后续通过三级等保（GB/T 22239-2019）评估提供符合要求的物理和环境基础。本项目的第三方评测验收费用已包含在投标总价中，采购人不再单独支付。</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4、公告发布后至开标前工作日内，各潜在投标人应自行组织现场踏勘，充分了解项目现场现状。投标人须依据现场条件制定设备安装方案，并绘制满足本项目要求的平面布局图、效果图等。</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5、本期建设内容须预留与后续建设的网络设备、安全设备、计算和存储设备的对接条件（包括但不限于：足够的配电回路、制冷容量、网络配线端口、动环监控扩展点位），确保整体（一期+后续）建成后最终满足B级机房和三级等保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6、满足业务数据双活备份架构的机房建设要求，中标人须协助医院实现核心医疗业务数据双活存储与灾备冗余备份。</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7、符合医疗互联互通标准化成熟度四级甲等、电子病历应用水平五级、智慧医院三级评审对应的机房配套建设要求，中标人须配合评审、调整等相关工作。</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8、安全保障要求：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五、售后服务及培训要求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（一）售后服务要求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★1、项目质保期要求：</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本项目所有设备中标人须提供不少于3年的原厂质保服务及网络安全驻场运维服务，质保服务期和运维服务期从第三方权威机构评测通过并且验收合格之日起算。（投标人需提供保证原厂质保的承诺函及驻场运维服务承诺函）未提供的承诺函的，作无效投标处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2、质保期内:</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(1)除了能得到相应品牌产品生产厂家(原厂)的售后服务外，对于日常使用过程中买方(采购人)反映的问题，中标人提供 7*24小时售后服务及技术支持，在质保期内如有质量问题，卖方(中标人)做到在1小时内响应（包括电话、远程协助等），4小时内到达现场并解决问题，对于买方(采购人)遇到的硬件问题要提供免费硬件保修，如果超过 48小时无法解决，要启用备用设备，保障买方(采购人)正常使用;设备自身问题导致无法维修，中标人须在接到报修后7天内更换同样的品牌、规格或更高的产品;每季度提供巡检服务并出具报告。</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(2)免费质保期内提供软件系统升级维护服务;</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3、质保期结束后，年度维保费（含人工+配件等全部费用）不高于合同金额的7%（提供承诺书）。</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（二）、培训要求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1、投标人在投标文件中应提出详细的培训内容和培训计划。包括培训次数、人员数量、规模及投标人安排的培训人员的相关资历。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2、中标人须免费负责以上所有产品使用的培训，技术培训工作不少于10个小时，使采购人在较短的时间，能较熟练地掌握产品的操作和简单的排除故障的能力。</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3、培训计划应至少包括设备的维修保养、故障的处理相关培训等方面的内容。</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4、培训所产生的一切费用包含在本次投标报价中。</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（三）项目其它要求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1、产品质量、功能、技术先进性：本次投标产品应有完善的质量保证措施，参数满足招标文件要求，制造工艺成熟，技术先进，功能齐备。</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增值服务或优惠内容：投标人可针对本项目提出针对性的增值服务或优惠内容，服务应考虑周到，对采购人具备实际价值（例如：可有效降低设备使用成本、优化设备使用效率或提升日常服务体验等，具体由投标人自选考虑）。增值服务方案纳入商务评分售后承诺第（4）项统一评价。</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3.本项目涉及供配电、制冷、消防、智能化多专业集成，需配备较强技术管理能力的管理人员。</w:t>
      </w:r>
      <w:r/>
    </w:p>
    <w:p>
      <w:pPr>
        <w:ind w:firstLine="480"/>
        <w:jc w:val="left"/>
        <w:keepLines w:val="0"/>
        <w:keepNext w:val="0"/>
        <w:pageBreakBefore w:val="0"/>
        <w:spacing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六、采购资金的支付方式、时间、条件</w:t>
      </w:r>
      <w:r/>
    </w:p>
    <w:p>
      <w:pPr>
        <w:ind w:firstLine="560"/>
        <w:jc w:val="both"/>
        <w:keepLines w:val="0"/>
        <w:keepNext w:val="0"/>
        <w:pageBreakBefore w:val="0"/>
        <w:spacing w:beforeAutospacing="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b w:val="0"/>
          <w:bCs w:val="0"/>
          <w:sz w:val="24"/>
          <w:szCs w:val="24"/>
          <w:lang w:eastAsia="zh-CN"/>
        </w:rPr>
        <w:t xml:space="preserve">装修、设备安装完成支付合同总价的50%，验收合格后支付合同总价的40%，余款满一年后支付。（本项目须经第三方权威机构对机房基础设施（供配电系统、暖通系统、布线系统、消防系统、安防系统、动环监控系统）进行评测和验收。）</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七、其他要求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详见招标文件第五章《拟签订的合同文本》。</w:t>
      </w: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rPr>
          <w:rFonts w:hint="eastAsia" w:ascii="仿宋" w:hAnsi="仿宋" w:eastAsia="仿宋"/>
          <w:sz w:val="30"/>
          <w:szCs w:val="30"/>
        </w:rP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rPr>
          <w:rFonts w:hint="eastAsia" w:ascii="仿宋" w:hAnsi="仿宋" w:eastAsia="仿宋"/>
          <w:sz w:val="30"/>
          <w:szCs w:val="30"/>
        </w:rP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rPr>
          <w:rFonts w:hint="eastAsia" w:ascii="仿宋" w:hAnsi="仿宋" w:eastAsia="仿宋"/>
          <w:sz w:val="30"/>
          <w:szCs w:val="30"/>
        </w:rP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rPr>
          <w:rFonts w:hint="eastAsia" w:ascii="仿宋" w:hAnsi="仿宋" w:eastAsia="仿宋"/>
          <w:sz w:val="30"/>
          <w:szCs w:val="30"/>
        </w:rP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p>
    <w:p>
      <w:pPr>
        <w:ind w:firstLine="560"/>
        <w:jc w:val="center"/>
        <w:keepLines w:val="0"/>
        <w:keepNext w:val="0"/>
        <w:pageBreakBefore w:val="0"/>
        <w:spacing w:before="0" w:beforeAutospacing="0" w:after="0" w:afterAutospacing="0" w:line="480" w:lineRule="exact"/>
        <w:widowControl w:val="off"/>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pStyle w:val="917"/>
        <w:rPr>
          <w:rFonts w:ascii="仿宋" w:hAnsi="仿宋" w:eastAsia="仿宋"/>
          <w:sz w:val="24"/>
        </w:rPr>
      </w:pPr>
      <w:r>
        <w:rPr>
          <w:rFonts w:ascii="仿宋" w:hAnsi="仿宋" w:eastAsia="仿宋"/>
          <w:sz w:val="24"/>
        </w:rPr>
      </w:r>
      <w:r/>
    </w:p>
    <w:p>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hint="eastAsia" w:ascii="仿宋" w:hAnsi="仿宋" w:eastAsia="仿宋"/>
          <w:sz w:val="24"/>
        </w:rPr>
      </w:pPr>
      <w:r>
        <w:rPr>
          <w:rFonts w:hint="eastAsia" w:ascii="仿宋" w:hAnsi="仿宋" w:eastAsia="仿宋"/>
          <w:sz w:val="24"/>
        </w:rPr>
        <w:t xml:space="preserve">2. 分项价格表</w:t>
      </w:r>
      <w:r/>
    </w:p>
    <w:p>
      <w:pPr>
        <w:rPr>
          <w:rFonts w:hint="eastAsia" w:ascii="仿宋" w:hAnsi="仿宋" w:eastAsia="仿宋"/>
          <w:sz w:val="24"/>
        </w:rPr>
      </w:pPr>
      <w:r>
        <w:rPr>
          <w:rFonts w:hint="eastAsia" w:ascii="仿宋" w:hAnsi="仿宋" w:eastAsia="仿宋"/>
          <w:sz w:val="24"/>
        </w:rPr>
        <w:t xml:space="preserve">3. 偏离表</w:t>
      </w:r>
      <w:r/>
    </w:p>
    <w:p>
      <w:pPr>
        <w:rPr>
          <w:rFonts w:hint="default" w:ascii="仿宋" w:hAnsi="仿宋" w:eastAsia="仿宋"/>
          <w:sz w:val="24"/>
          <w:lang w:val="en-US" w:eastAsia="zh-CN"/>
        </w:rPr>
      </w:pPr>
      <w:r>
        <w:rPr>
          <w:rFonts w:hint="eastAsia" w:ascii="仿宋" w:hAnsi="仿宋" w:eastAsia="仿宋"/>
          <w:sz w:val="24"/>
        </w:rPr>
        <w:t xml:space="preserve">4．</w:t>
      </w:r>
      <w:r>
        <w:rPr>
          <w:rFonts w:hint="eastAsia" w:ascii="仿宋" w:hAnsi="仿宋" w:eastAsia="仿宋"/>
          <w:sz w:val="24"/>
          <w:lang w:val="en-US" w:eastAsia="zh-CN"/>
        </w:rPr>
        <w:t xml:space="preserve">授权委托书</w:t>
      </w:r>
      <w:r/>
    </w:p>
    <w:p>
      <w:pPr>
        <w:rPr>
          <w:rFonts w:hint="eastAsia" w:ascii="仿宋" w:hAnsi="仿宋" w:eastAsia="仿宋"/>
          <w:sz w:val="24"/>
          <w:lang w:eastAsia="zh-CN"/>
        </w:rPr>
      </w:pPr>
      <w:r>
        <w:rPr>
          <w:rFonts w:hint="eastAsia" w:ascii="仿宋" w:hAnsi="仿宋" w:eastAsia="仿宋"/>
          <w:sz w:val="24"/>
        </w:rPr>
        <w:t xml:space="preserve">5.中小企业声明函</w:t>
      </w:r>
      <w:r>
        <w:rPr>
          <w:rFonts w:hint="eastAsia" w:ascii="仿宋" w:hAnsi="仿宋" w:eastAsia="仿宋"/>
          <w:sz w:val="24"/>
          <w:lang w:eastAsia="zh-CN"/>
        </w:rPr>
        <w:t xml:space="preserve">（</w:t>
      </w:r>
      <w:r>
        <w:rPr>
          <w:rFonts w:hint="eastAsia" w:ascii="仿宋" w:hAnsi="仿宋" w:eastAsia="仿宋"/>
          <w:sz w:val="24"/>
        </w:rPr>
        <w:t xml:space="preserve">残疾人福利性单位声明函</w:t>
      </w:r>
      <w:r>
        <w:rPr>
          <w:rFonts w:hint="eastAsia" w:ascii="仿宋" w:hAnsi="仿宋" w:eastAsia="仿宋"/>
          <w:sz w:val="24"/>
          <w:lang w:eastAsia="zh-CN"/>
        </w:rPr>
        <w:t xml:space="preserve">、</w:t>
      </w:r>
      <w:r>
        <w:rPr>
          <w:rFonts w:hint="eastAsia" w:ascii="仿宋" w:hAnsi="仿宋" w:eastAsia="仿宋"/>
          <w:sz w:val="24"/>
          <w:lang w:val="en-US" w:eastAsia="zh-CN"/>
        </w:rPr>
        <w:t xml:space="preserve">监狱企业证明函）</w:t>
      </w:r>
      <w:r/>
    </w:p>
    <w:p>
      <w:pPr>
        <w:rPr>
          <w:rFonts w:hint="eastAsia" w:ascii="仿宋" w:hAnsi="仿宋" w:eastAsia="仿宋"/>
          <w:sz w:val="24"/>
        </w:rPr>
      </w:pPr>
      <w:r>
        <w:rPr>
          <w:rFonts w:hint="eastAsia" w:ascii="仿宋" w:hAnsi="仿宋" w:eastAsia="仿宋"/>
          <w:sz w:val="24"/>
        </w:rPr>
        <w:t xml:space="preserve">6.投标人参加政府采购活动前3年内在经营活动中没有重大违法记录的书面声明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lang w:val="en-US" w:eastAsia="zh-CN"/>
        </w:rPr>
        <w:t xml:space="preserve">7</w:t>
      </w:r>
      <w:r>
        <w:rPr>
          <w:rFonts w:hint="eastAsia" w:ascii="仿宋" w:hAnsi="仿宋" w:eastAsia="仿宋"/>
          <w:sz w:val="24"/>
        </w:rPr>
        <w:t xml:space="preserve">.具备履行合同所必需的设备和专业技术能力的书面声明（附证明材料的扫描件）</w:t>
      </w:r>
      <w:r/>
    </w:p>
    <w:p>
      <w:pPr>
        <w:rPr>
          <w:rFonts w:hint="eastAsia" w:ascii="仿宋" w:hAnsi="仿宋" w:eastAsia="仿宋"/>
          <w:sz w:val="24"/>
        </w:rPr>
      </w:pPr>
      <w:r>
        <w:rPr>
          <w:rFonts w:hint="eastAsia" w:ascii="仿宋" w:hAnsi="仿宋" w:eastAsia="仿宋"/>
          <w:sz w:val="24"/>
          <w:lang w:val="en-US" w:eastAsia="zh-CN"/>
        </w:rPr>
        <w:t xml:space="preserve">8</w:t>
      </w:r>
      <w:r>
        <w:rPr>
          <w:rFonts w:hint="eastAsia" w:ascii="仿宋" w:hAnsi="仿宋" w:eastAsia="仿宋"/>
          <w:sz w:val="24"/>
        </w:rPr>
        <w:t xml:space="preserve">. 投标人相关承诺</w:t>
      </w:r>
      <w:r/>
    </w:p>
    <w:p>
      <w:pPr>
        <w:rPr>
          <w:rFonts w:hint="eastAsia"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 投标人书面声明</w:t>
      </w:r>
      <w:r/>
    </w:p>
    <w:p>
      <w:pPr>
        <w:rPr>
          <w:rFonts w:hint="eastAsia" w:ascii="仿宋" w:hAnsi="仿宋" w:eastAsia="仿宋"/>
          <w:sz w:val="24"/>
        </w:rPr>
      </w:pPr>
      <w:r>
        <w:rPr>
          <w:rFonts w:hint="eastAsia" w:ascii="仿宋" w:hAnsi="仿宋" w:eastAsia="仿宋"/>
          <w:sz w:val="24"/>
          <w:lang w:val="en-US" w:eastAsia="zh-CN"/>
        </w:rPr>
        <w:t xml:space="preserve">10</w:t>
      </w:r>
      <w:r>
        <w:rPr>
          <w:rFonts w:hint="eastAsia" w:ascii="仿宋" w:hAnsi="仿宋" w:eastAsia="仿宋"/>
          <w:sz w:val="24"/>
        </w:rPr>
        <w:t xml:space="preserve">.采购需求符合性条件响应表</w:t>
      </w:r>
      <w:r/>
    </w:p>
    <w:p>
      <w:pPr>
        <w:rPr>
          <w:rFonts w:hint="eastAsia" w:ascii="仿宋" w:hAnsi="仿宋" w:eastAsia="仿宋"/>
          <w:sz w:val="24"/>
          <w:lang w:val="en-US" w:eastAsia="zh-CN"/>
        </w:rPr>
      </w:pPr>
      <w:r>
        <w:rPr>
          <w:rFonts w:hint="eastAsia" w:ascii="仿宋" w:hAnsi="仿宋" w:eastAsia="仿宋"/>
          <w:sz w:val="24"/>
          <w:lang w:val="en-US" w:eastAsia="zh-CN"/>
        </w:rPr>
        <w:t xml:space="preserve">11.关于符合本国产品标准的声明函</w:t>
      </w:r>
      <w:r/>
    </w:p>
    <w:p>
      <w:pPr>
        <w:rPr>
          <w:rFonts w:hint="eastAsia" w:ascii="仿宋" w:hAnsi="仿宋" w:eastAsia="仿宋"/>
          <w:sz w:val="24"/>
        </w:rPr>
      </w:pPr>
      <w:r>
        <w:rPr>
          <w:rFonts w:hint="eastAsia" w:ascii="仿宋" w:hAnsi="仿宋" w:eastAsia="仿宋"/>
          <w:sz w:val="24"/>
          <w:lang w:val="en-US" w:eastAsia="zh-CN"/>
        </w:rPr>
        <w:t xml:space="preserve">12.</w:t>
      </w:r>
      <w:r>
        <w:rPr>
          <w:rFonts w:hint="eastAsia" w:ascii="仿宋" w:hAnsi="仿宋" w:eastAsia="仿宋"/>
          <w:sz w:val="24"/>
        </w:rPr>
        <w:t xml:space="preserve">投标人基本情况表</w:t>
      </w:r>
      <w:r/>
    </w:p>
    <w:p>
      <w:pPr>
        <w:rPr>
          <w:rFonts w:hint="default" w:ascii="仿宋" w:hAnsi="仿宋" w:eastAsia="仿宋"/>
          <w:sz w:val="24"/>
          <w:lang w:val="en-US" w:eastAsia="zh-CN"/>
        </w:rPr>
      </w:pPr>
      <w:r>
        <w:rPr>
          <w:rFonts w:hint="eastAsia" w:ascii="仿宋" w:hAnsi="仿宋" w:eastAsia="仿宋"/>
          <w:sz w:val="24"/>
          <w:lang w:val="en-US" w:eastAsia="zh-CN"/>
        </w:rPr>
        <w:t xml:space="preserve">13.质疑函范本</w:t>
      </w:r>
      <w:r/>
    </w:p>
    <w:p>
      <w:pPr>
        <w:pStyle w:val="751"/>
        <w:rPr>
          <w:rFonts w:ascii="仿宋" w:hAnsi="仿宋" w:eastAsia="仿宋"/>
          <w:color w:val="ff0000"/>
          <w:sz w:val="24"/>
          <w:szCs w:val="24"/>
          <w:highlight w:val="cyan"/>
        </w:rPr>
      </w:pPr>
      <w:r>
        <w:rPr>
          <w:rFonts w:ascii="仿宋" w:hAnsi="仿宋" w:eastAsia="仿宋"/>
          <w:color w:val="ff0000"/>
          <w:sz w:val="24"/>
          <w:szCs w:val="24"/>
          <w:highlight w:val="cyan"/>
        </w:rPr>
      </w:r>
      <w:r/>
    </w:p>
    <w:p>
      <w:pPr>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51"/>
      </w:pPr>
      <w:r/>
      <w:r/>
    </w:p>
    <w:p>
      <w:pPr>
        <w:pStyle w:val="75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91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51"/>
        <w:rPr>
          <w:rFonts w:ascii="仿宋" w:hAnsi="仿宋" w:eastAsia="仿宋"/>
          <w:sz w:val="28"/>
          <w:szCs w:val="28"/>
        </w:rPr>
      </w:pPr>
      <w:r>
        <w:rPr>
          <w:rFonts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睢宁县公共资源交易中心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睢宁县人民医院灾备数据机房建设</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JSZC-320324-SNJC-G2026-0007</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确定。如我单位被确定为中标、成交供应商，</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sectPr>
          <w:headerReference w:type="default" r:id="rId10"/>
          <w:footerReference w:type="default" r:id="rId13"/>
          <w:footnotePr/>
          <w:endnotePr/>
          <w:type w:val="nextPage"/>
          <w:pgSz w:w="11906" w:h="16838" w:orient="portrait"/>
          <w:pgMar w:top="1417" w:right="1417" w:bottom="1417" w:left="1417" w:header="851" w:footer="992" w:gutter="0"/>
          <w:cols w:num="1" w:sep="0" w:space="720" w:equalWidth="1"/>
          <w:docGrid w:linePitch="360"/>
        </w:sectPr>
      </w:pPr>
      <w:r>
        <w:rPr>
          <w:rFonts w:ascii="仿宋" w:hAnsi="仿宋" w:eastAsia="仿宋"/>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2．分项价格表</w:t>
      </w:r>
      <w:r/>
    </w:p>
    <w:p>
      <w:pPr>
        <w:rPr>
          <w:rFonts w:hint="eastAsia" w:ascii="仿宋" w:hAnsi="仿宋" w:eastAsia="仿宋"/>
          <w:color w:val="auto"/>
          <w:sz w:val="24"/>
          <w:u w:val="none"/>
          <w:lang w:val="en-US" w:eastAsia="zh-CN"/>
        </w:rPr>
      </w:pPr>
      <w:r>
        <w:rPr>
          <w:rFonts w:hint="eastAsia" w:ascii="仿宋" w:hAnsi="仿宋" w:eastAsia="仿宋"/>
          <w:color w:val="auto"/>
          <w:sz w:val="24"/>
        </w:rPr>
        <w:t xml:space="preserve">项目名称：</w:t>
      </w:r>
      <w:r>
        <w:rPr>
          <w:rFonts w:hint="eastAsia" w:ascii="仿宋" w:hAnsi="仿宋" w:eastAsia="仿宋"/>
          <w:color w:val="auto"/>
          <w:sz w:val="24"/>
          <w:u w:val="single"/>
          <w:lang w:eastAsia="zh-CN"/>
        </w:rPr>
        <w:t xml:space="preserve">睢宁县人民医院灾备数据机房建设项目</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none"/>
          <w:lang w:val="en-US" w:eastAsia="zh-CN"/>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1"/>
          <w:u w:val="single"/>
          <w:lang w:eastAsia="zh-CN"/>
        </w:rPr>
        <w:t xml:space="preserve">JSZC-320324-SNJC-G2026-0007</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tbl>
      <w:tblPr>
        <w:tblStyle w:val="733"/>
        <w:tblpPr w:horzAnchor="page" w:tblpX="674" w:vertAnchor="text" w:tblpY="497"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3"/>
        <w:gridCol w:w="1227"/>
        <w:gridCol w:w="1016"/>
        <w:gridCol w:w="1616"/>
        <w:gridCol w:w="2250"/>
        <w:gridCol w:w="819"/>
        <w:gridCol w:w="750"/>
        <w:gridCol w:w="784"/>
        <w:gridCol w:w="80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产品制造企业名称（全称）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产品制造企业的划分（大型、中型、小型、微型、监狱企业、残疾人福利性单位）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auto"/>
                <w:sz w:val="15"/>
                <w:szCs w:val="15"/>
                <w:u w:val="none"/>
                <w:lang w:val="en-US" w:eastAsia="zh-CN" w:bidi="ar"/>
              </w:rPr>
              <w:t xml:space="preserve">总价</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rPr>
              <w:suppressLineNumbers w:val="0"/>
            </w:pPr>
            <w:r>
              <w:rPr>
                <w:rFonts w:hint="eastAsia" w:ascii="等线" w:hAnsi="等线" w:eastAsia="等线" w:cs="等线"/>
                <w:i w:val="0"/>
                <w:color w:val="000000"/>
                <w:sz w:val="15"/>
                <w:szCs w:val="15"/>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eastAsia="zh-CN" w:bidi="ar"/>
              </w:rPr>
              <w:suppressLineNumbers w:val="0"/>
            </w:pPr>
            <w:r>
              <w:rPr>
                <w:rFonts w:hint="default"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5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2" w:type="dxa"/>
            <w:vAlign w:val="center"/>
            <w:textDirection w:val="lrTb"/>
            <w:noWrap/>
          </w:tcPr>
          <w:p>
            <w:pPr>
              <w:jc w:val="left"/>
              <w:keepLines w:val="0"/>
              <w:keepNext w:val="0"/>
              <w:widowControl/>
              <w:tabs>
                <w:tab w:val="left" w:pos="705" w:leader="none"/>
              </w:tabs>
              <w:rPr>
                <w:rFonts w:hint="eastAsia" w:ascii="等线" w:hAnsi="等线" w:eastAsia="等线" w:cs="等线"/>
                <w:i w:val="0"/>
                <w:color w:val="000000"/>
                <w:sz w:val="15"/>
                <w:szCs w:val="15"/>
                <w:u w:val="none"/>
                <w:lang w:eastAsia="zh-CN"/>
              </w:rPr>
              <w:suppressLineNumbers w:val="0"/>
            </w:pPr>
            <w:r>
              <w:rPr>
                <w:rFonts w:hint="eastAsia" w:ascii="等线" w:hAnsi="等线" w:eastAsia="等线" w:cs="等线"/>
                <w:i w:val="0"/>
                <w:color w:val="000000"/>
                <w:sz w:val="15"/>
                <w:szCs w:val="15"/>
                <w:u w:val="none"/>
                <w:lang w:eastAsia="zh-CN"/>
              </w:rPr>
              <w:tab/>
            </w:r>
            <w:r>
              <w:rPr>
                <w:rFonts w:hint="eastAsia" w:ascii="等线" w:hAnsi="等线" w:eastAsia="等线" w:cs="等线"/>
                <w:i w:val="0"/>
                <w:color w:val="000000"/>
                <w:sz w:val="15"/>
                <w:szCs w:val="15"/>
                <w:u w:val="none"/>
                <w:lang w:eastAsia="zh-CN"/>
              </w:rPr>
              <w:t xml:space="preserve">总价合计（即《开标一览表》中的“总价”）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659"/>
        </w:trPr>
        <w:tc>
          <w:tcPr>
            <w:gridSpan w:val="9"/>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4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本采购包中提供的符合本国产品标准的产品成本之和占该采购包提供的全部产品成本之和的比例为</w:t>
            </w:r>
            <w:r>
              <w:rPr>
                <w:rFonts w:ascii="等线" w:hAnsi="等线" w:eastAsia="等线" w:cs="等线"/>
                <w:b/>
                <w:color w:val="000000"/>
                <w:sz w:val="21"/>
                <w:u w:val="single"/>
              </w:rPr>
              <w:t xml:space="preserve">      %</w:t>
            </w:r>
            <w:r/>
          </w:p>
        </w:tc>
      </w:tr>
    </w:tbl>
    <w:p>
      <w:pPr>
        <w:ind w:firstLine="1560"/>
        <w:rPr>
          <w:rFonts w:ascii="仿宋" w:hAnsi="仿宋" w:eastAsia="仿宋"/>
          <w:color w:val="ff0000"/>
          <w:sz w:val="24"/>
        </w:rPr>
      </w:pPr>
      <w:r>
        <w:rPr>
          <w:rFonts w:hint="eastAsia" w:ascii="仿宋" w:hAnsi="仿宋" w:eastAsia="仿宋"/>
          <w:color w:val="ff0000"/>
          <w:sz w:val="24"/>
        </w:rPr>
        <w:t xml:space="preserve">                </w:t>
      </w:r>
      <w:r/>
    </w:p>
    <w:p>
      <w:pPr>
        <w:rPr>
          <w:color w:val="ff0000"/>
        </w:rPr>
      </w:pPr>
      <w:r>
        <w:rPr>
          <w:color w:val="ff0000"/>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51"/>
      </w:pPr>
      <w:r/>
      <w:r/>
    </w:p>
    <w:p>
      <w:r/>
      <w:r/>
    </w:p>
    <w:p>
      <w:pPr>
        <w:pStyle w:val="751"/>
      </w:pPr>
      <w:r/>
      <w:r/>
    </w:p>
    <w:p>
      <w:r/>
      <w:r/>
    </w:p>
    <w:p>
      <w:pPr>
        <w:pStyle w:val="751"/>
      </w:p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numPr>
          <w:ilvl w:val="0"/>
          <w:numId w:val="0"/>
        </w:num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本表的总价合计与《开标一览表》中的“总价”以及按单价汇总金额应保持一致。</w:t>
      </w:r>
      <w:r/>
    </w:p>
    <w:p>
      <w:pPr>
        <w:pStyle w:val="917"/>
        <w:numPr>
          <w:ilvl w:val="0"/>
          <w:numId w:val="0"/>
        </w:num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    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51"/>
        <w:ind w:firstLine="480"/>
      </w:pPr>
      <w:r>
        <w:rPr>
          <w:rFonts w:hint="eastAsia" w:ascii="仿宋" w:hAnsi="仿宋" w:eastAsia="仿宋"/>
          <w:sz w:val="24"/>
          <w:lang w:val="en-US" w:eastAsia="zh-CN"/>
        </w:rPr>
        <w:t xml:space="preserve">4.</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lang w:eastAsia="zh-CN"/>
        </w:rPr>
        <w:t xml:space="preserve">睢宁县公共资源交易中心</w:t>
      </w:r>
      <w:r>
        <w:rPr>
          <w:rFonts w:hint="eastAsia" w:ascii="仿宋" w:hAnsi="仿宋" w:eastAsia="仿宋"/>
          <w:i/>
          <w:sz w:val="24"/>
          <w:u w:val="single"/>
        </w:rPr>
        <w:t xml:space="preserve">有权将以上内容进行公示。</w:t>
      </w:r>
      <w:r/>
    </w:p>
    <w:p>
      <w:r/>
      <w:r/>
    </w:p>
    <w:p>
      <w:pPr>
        <w:pStyle w:val="751"/>
      </w:p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JSZC-320324-SNJC-G2026-0007</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73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hint="default" w:ascii="仿宋" w:hAnsi="仿宋" w:eastAsia="仿宋"/>
          <w:sz w:val="24"/>
          <w:lang w:val="en-US" w:eastAsia="zh-CN"/>
        </w:rPr>
      </w:pPr>
      <w:r>
        <w:rPr>
          <w:rFonts w:hint="eastAsia" w:ascii="仿宋" w:hAnsi="仿宋" w:eastAsia="仿宋"/>
          <w:sz w:val="24"/>
          <w:lang w:val="en-US" w:eastAsia="zh-CN"/>
        </w:rPr>
        <w:t xml:space="preserve">                                                                                      </w:t>
      </w:r>
      <w:r/>
    </w:p>
    <w:p>
      <w:pPr>
        <w:rPr>
          <w:rFonts w:ascii="仿宋" w:hAnsi="仿宋" w:eastAsia="仿宋"/>
          <w:sz w:val="24"/>
          <w:szCs w:val="24"/>
        </w:rPr>
      </w:pPr>
      <w:r>
        <w:rPr>
          <w:rFonts w:ascii="仿宋" w:hAnsi="仿宋" w:eastAsia="仿宋"/>
          <w:sz w:val="24"/>
          <w:szCs w:val="24"/>
        </w:rPr>
      </w:r>
      <w:r/>
    </w:p>
    <w:p>
      <w:pPr>
        <w:pStyle w:val="726"/>
        <w:numPr>
          <w:ilvl w:val="3"/>
          <w:numId w:val="0"/>
        </w:numPr>
      </w:pPr>
      <w:r/>
      <w:r/>
    </w:p>
    <w:p>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法定代表人（负责人）：               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56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受托人：                   性别：男（女）  </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年龄：  岁                 民族：   族</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睢宁县人民医院灾备数据机房建设项目</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JSZC-320324-SNJC-G2026-0007</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特此授权委托。</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JSZC-320324-SNJC-G2026-0007</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睢宁县人民医院</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的</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睢宁县人民医院灾备数据机房建设项目</w:t>
      </w:r>
      <w:r>
        <w:rPr>
          <w:rFonts w:hint="eastAsia" w:ascii="仿宋" w:hAnsi="仿宋" w:eastAsia="仿宋" w:cs="宋体"/>
          <w:sz w:val="24"/>
          <w:u w:val="single"/>
          <w:lang w:val="en-US" w:eastAsia="zh-CN"/>
        </w:rPr>
        <w:t xml:space="preserve"> </w:t>
      </w:r>
      <w:r>
        <w:rPr>
          <w:rFonts w:hint="eastAsia" w:ascii="仿宋" w:hAnsi="仿宋" w:eastAsia="仿宋" w:cs="宋体"/>
          <w:sz w:val="24"/>
          <w:u w:val="none"/>
          <w:lang w:val="en-US" w:eastAsia="zh-CN"/>
        </w:rPr>
        <w:t xml:space="preserve">项目</w:t>
      </w:r>
      <w:r>
        <w:rPr>
          <w:rFonts w:hint="eastAsia" w:ascii="仿宋" w:hAnsi="仿宋" w:eastAsia="仿宋" w:cs="宋体"/>
          <w:sz w:val="24"/>
        </w:rPr>
        <w:t xml:space="preserve">采购活动，提供的货物全部由符合政策要求的中小企业制造。相关企业的具体情况如下：</w:t>
      </w:r>
      <w:r/>
    </w:p>
    <w:p>
      <w:pPr>
        <w:pStyle w:val="739"/>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1.</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，属于（□中型企业 □小型企业 □微型企业）；</w:t>
      </w:r>
      <w:r/>
    </w:p>
    <w:p>
      <w:pPr>
        <w:pStyle w:val="739"/>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2.</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（□中型企业 □小型企业 □微型企业）</w:t>
      </w:r>
      <w:r>
        <w:rPr>
          <w:rFonts w:hint="eastAsia" w:ascii="仿宋" w:hAnsi="仿宋" w:eastAsia="仿宋" w:cs="宋体"/>
          <w:sz w:val="24"/>
        </w:rPr>
        <w:t xml:space="preserve">；</w:t>
      </w:r>
      <w:r/>
    </w:p>
    <w:p>
      <w:pPr>
        <w:pStyle w:val="739"/>
        <w:numPr>
          <w:ilvl w:val="0"/>
          <w:numId w:val="0"/>
        </w:numPr>
        <w:rPr>
          <w:rFonts w:hint="eastAsia" w:ascii="仿宋" w:hAnsi="仿宋" w:eastAsia="仿宋" w:cs="宋体"/>
          <w:sz w:val="24"/>
          <w:lang w:eastAsia="zh-CN"/>
        </w:rPr>
      </w:pPr>
      <w:r>
        <w:rPr>
          <w:rFonts w:hint="eastAsia" w:ascii="仿宋" w:hAnsi="仿宋" w:eastAsia="仿宋" w:cs="宋体"/>
          <w:sz w:val="24"/>
          <w:lang w:eastAsia="zh-CN"/>
        </w:rPr>
        <w:t xml:space="preserve">……</w:t>
      </w:r>
      <w:r/>
    </w:p>
    <w:p>
      <w:pPr>
        <w:pStyle w:val="739"/>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39"/>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39"/>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39"/>
        <w:ind w:right="480" w:firstLine="360"/>
        <w:rPr>
          <w:rFonts w:ascii="仿宋" w:hAnsi="仿宋" w:eastAsia="仿宋" w:cs="宋体"/>
          <w:sz w:val="24"/>
        </w:rPr>
      </w:pPr>
      <w:r>
        <w:rPr>
          <w:rFonts w:ascii="仿宋" w:hAnsi="仿宋" w:eastAsia="仿宋" w:cs="宋体"/>
          <w:sz w:val="24"/>
        </w:rPr>
      </w:r>
      <w:r/>
    </w:p>
    <w:p>
      <w:pPr>
        <w:pStyle w:val="73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39"/>
        <w:rPr>
          <w:rFonts w:hint="eastAsia" w:ascii="仿宋" w:hAnsi="仿宋" w:eastAsia="仿宋" w:cs="宋体"/>
          <w:sz w:val="24"/>
          <w:lang w:val="en-US" w:eastAsia="zh-CN"/>
        </w:rPr>
      </w:pPr>
      <w:r>
        <w:rPr>
          <w:rFonts w:hint="eastAsia" w:ascii="仿宋" w:hAnsi="仿宋" w:eastAsia="仿宋" w:cs="宋体"/>
          <w:sz w:val="24"/>
          <w:lang w:val="en-US" w:eastAsia="zh-CN"/>
        </w:rPr>
        <w:t xml:space="preserve">注：</w:t>
      </w:r>
      <w:r/>
    </w:p>
    <w:p>
      <w:pPr>
        <w:pStyle w:val="739"/>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1.</w:t>
      </w:r>
      <w:r>
        <w:rPr>
          <w:rFonts w:hint="eastAsia" w:ascii="仿宋" w:hAnsi="仿宋" w:eastAsia="仿宋" w:cs="宋体"/>
          <w:sz w:val="22"/>
          <w:szCs w:val="22"/>
        </w:rPr>
        <w:t xml:space="preserve">①：从业人员、营业收入、资产总额填报上一年度数据，无上一年度数据的新成立企业可不填报。</w:t>
      </w:r>
      <w:r/>
    </w:p>
    <w:p>
      <w:pPr>
        <w:pStyle w:val="739"/>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2.本项目采购标的对应的中小企业划分标准所属行业为 ：工业 ，根据《中小企业划型标准规定》（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9"/>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3.请自行勾选制造商的企业规模类型。</w:t>
      </w:r>
      <w:r/>
    </w:p>
    <w:p>
      <w:pPr>
        <w:pStyle w:val="739"/>
        <w:ind w:left="0" w:firstLine="420"/>
        <w:rPr>
          <w:rFonts w:hint="default" w:ascii="仿宋" w:hAnsi="仿宋" w:eastAsia="仿宋" w:cs="宋体"/>
          <w:sz w:val="22"/>
          <w:szCs w:val="22"/>
        </w:rPr>
      </w:pPr>
      <w:r>
        <w:rPr>
          <w:rFonts w:hint="eastAsia" w:ascii="仿宋" w:hAnsi="仿宋" w:eastAsia="仿宋" w:cs="宋体"/>
          <w:sz w:val="22"/>
          <w:szCs w:val="22"/>
          <w:lang w:val="en-US" w:eastAsia="zh-CN"/>
        </w:rPr>
        <w:t xml:space="preserve">4.专门面向中小微型企业采购的项目，供应商如不提供此声明函，则不能通过资格审查；非专门面向中小微型企业采购的项目，供应商如不提供此声明函，价格将不做相应扣除。</w:t>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监狱企业证明函</w:t>
      </w:r>
      <w:r>
        <w:rPr>
          <w:rFonts w:hint="eastAsia" w:ascii="仿宋" w:hAnsi="仿宋" w:eastAsia="仿宋" w:cs="宋体"/>
          <w:sz w:val="28"/>
          <w:szCs w:val="28"/>
        </w:rPr>
        <w:t xml:space="preserve">（如有）</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根据《财政部司法部关于政府采购支持监狱企业发展有关问题的通知》（财库[2014]68号）的规定，</w:t>
      </w:r>
      <w:r>
        <w:rPr>
          <w:rFonts w:hint="eastAsia" w:ascii="仿宋" w:hAnsi="仿宋" w:eastAsia="仿宋" w:cs="宋体"/>
          <w:sz w:val="24"/>
          <w:szCs w:val="24"/>
          <w:u w:val="single"/>
          <w:lang w:val="en-US" w:eastAsia="zh-CN" w:bidi="ar-SA"/>
        </w:rPr>
        <w:t xml:space="preserve"> （填写供应商法定全称） </w:t>
      </w:r>
      <w:r>
        <w:rPr>
          <w:rFonts w:hint="eastAsia" w:ascii="仿宋" w:hAnsi="仿宋" w:eastAsia="仿宋" w:cs="宋体"/>
          <w:sz w:val="24"/>
          <w:szCs w:val="24"/>
          <w:lang w:val="en-US" w:eastAsia="zh-CN" w:bidi="ar-SA"/>
        </w:rPr>
        <w:t xml:space="preserve">为监狱企业。</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特此证明。</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left="0" w:firstLine="0"/>
        <w:jc w:val="right"/>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省级以上监狱管理局、戒毒管理局（含新疆生产建设兵团）（盖章）：</w:t>
      </w:r>
      <w:r/>
    </w:p>
    <w:p>
      <w:pPr>
        <w:jc w:val="center"/>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日 期：   </w:t>
      </w:r>
      <w:r/>
    </w:p>
    <w:p>
      <w:pPr>
        <w:pStyle w:val="751"/>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r/>
      <w:r/>
    </w:p>
    <w:p>
      <w:pPr>
        <w:pStyle w:val="917"/>
      </w:pPr>
      <w:r/>
      <w:r/>
    </w:p>
    <w:p>
      <w:r/>
      <w:r/>
    </w:p>
    <w:p>
      <w:pPr>
        <w:jc w:val="center"/>
        <w:spacing w:line="380" w:lineRule="exact"/>
        <w:widowControl/>
        <w:rPr>
          <w:rFonts w:hint="eastAsia" w:ascii="仿宋" w:hAnsi="仿宋" w:eastAsia="仿宋" w:cs="宋体"/>
          <w:sz w:val="28"/>
          <w:szCs w:val="28"/>
          <w:lang w:val="en-US" w:eastAsia="zh-CN"/>
        </w:rPr>
      </w:pPr>
      <w:r/>
      <w:bookmarkStart w:id="6" w:name="OLE_LINK14"/>
      <w:r/>
      <w:bookmarkStart w:id="7" w:name="OLE_LINK13"/>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残疾人福利性单位声明函（如有）</w:t>
      </w:r>
      <w:bookmarkEnd w:id="6"/>
      <w:r/>
      <w:bookmarkEnd w:id="7"/>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JSZC-320324-SNJC-G2026-0007</w:t>
      </w:r>
      <w:r>
        <w:rPr>
          <w:rFonts w:hint="eastAsia" w:ascii="仿宋" w:hAnsi="仿宋" w:eastAsia="仿宋"/>
          <w:sz w:val="28"/>
          <w:szCs w:val="28"/>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睢宁县人民医院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睢宁县人民医院灾备数据机房建设项目</w:t>
      </w:r>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740"/>
        <w:rPr>
          <w:rFonts w:ascii="仿宋" w:hAnsi="仿宋"/>
          <w:sz w:val="30"/>
          <w:szCs w:val="30"/>
        </w:rPr>
      </w:pPr>
      <w:r>
        <w:rPr>
          <w:rFonts w:ascii="仿宋" w:hAnsi="仿宋"/>
          <w:sz w:val="30"/>
          <w:szCs w:val="30"/>
        </w:rPr>
      </w:r>
      <w:r/>
    </w:p>
    <w:p>
      <w:pPr>
        <w:pStyle w:val="740"/>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pStyle w:val="751"/>
      </w:pPr>
      <w:r/>
      <w:r/>
    </w:p>
    <w:p>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睢宁县人民医院灾备数据机房建设项目</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JSZC-320324-SNJC-G2026-0007</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59"/>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 </w:t>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rPr>
          <w:rFonts w:ascii="仿宋" w:hAnsi="仿宋" w:eastAsia="仿宋"/>
          <w:bCs/>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JSZC-320324-SNJC-G2026-0007</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睢宁县人民医院灾备数据机房建设项目</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JSZC-320324-SNJC-G2026-0007</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jc w:val="cente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jc w:val="center"/>
        <w:rPr>
          <w:rFonts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JSZC-320324-SNJC-G2026-0007</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62"/>
      </w:pPr>
      <w:r/>
      <w:r/>
    </w:p>
    <w:p>
      <w:pPr>
        <w:pStyle w:val="762"/>
      </w:pPr>
      <w:r/>
      <w:r/>
    </w:p>
    <w:p>
      <w:pPr>
        <w:pStyle w:val="762"/>
      </w:pPr>
      <w:r/>
      <w:r/>
    </w:p>
    <w:p>
      <w:pPr>
        <w:pStyle w:val="762"/>
      </w:pPr>
      <w:r/>
      <w:r/>
    </w:p>
    <w:p>
      <w:pPr>
        <w:pStyle w:val="762"/>
      </w:pPr>
      <w:r/>
      <w:r/>
    </w:p>
    <w:p>
      <w:pPr>
        <w:pStyle w:val="76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62"/>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JSZC-320324-SNJC-G2026-0007</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40"/>
        <w:ind w:firstLine="2880"/>
        <w:rPr>
          <w:rFonts w:ascii="仿宋" w:hAnsi="仿宋" w:cs="宋体"/>
          <w:sz w:val="30"/>
          <w:szCs w:val="30"/>
        </w:rPr>
      </w:pPr>
      <w:r>
        <w:rPr>
          <w:rFonts w:hint="eastAsia" w:ascii="仿宋" w:hAnsi="仿宋"/>
          <w:sz w:val="24"/>
        </w:rPr>
        <w:t xml:space="preserve">日期：   年  月  日</w:t>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pStyle w:val="74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JSZC-320324-SNJC-G2026-0007</w:t>
      </w:r>
      <w:r/>
    </w:p>
    <w:p>
      <w:pPr>
        <w:rPr>
          <w:rFonts w:ascii="仿宋" w:hAnsi="仿宋" w:eastAsia="仿宋"/>
          <w:sz w:val="24"/>
          <w:u w:val="single"/>
        </w:rPr>
      </w:pPr>
      <w:r>
        <w:rPr>
          <w:rFonts w:ascii="仿宋" w:hAnsi="仿宋" w:eastAsia="仿宋"/>
          <w:sz w:val="24"/>
          <w:u w:val="single"/>
        </w:rPr>
      </w:r>
      <w:r/>
    </w:p>
    <w:tbl>
      <w:tblPr>
        <w:tblStyle w:val="733"/>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480"/>
        <w:gridCol w:w="2765"/>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48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76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w:t>
            </w:r>
            <w:r>
              <w:rPr>
                <w:rFonts w:hint="eastAsia" w:ascii="仿宋" w:hAnsi="仿宋" w:eastAsia="仿宋" w:cs="仿宋"/>
                <w:color w:val="auto"/>
                <w:sz w:val="24"/>
                <w:szCs w:val="24"/>
                <w:highlight w:val="none"/>
                <w:lang w:val="en-US" w:eastAsia="zh-CN" w:bidi="ar"/>
              </w:rPr>
              <w:t xml:space="preserve">UPS系统总功率容量≥125kVA，功率模块高度≤3U</w:t>
            </w:r>
            <w:r>
              <w:rPr>
                <w:rFonts w:hint="eastAsia" w:ascii="仿宋" w:hAnsi="仿宋" w:eastAsia="仿宋"/>
                <w:caps/>
                <w:color w:val="auto"/>
                <w:sz w:val="24"/>
              </w:rPr>
              <w:t xml:space="preserve">”的响应情况</w:t>
            </w:r>
            <w:r/>
          </w:p>
        </w:tc>
        <w:tc>
          <w:tcPr>
            <w:tcBorders>
              <w:top w:val="single" w:color="auto" w:sz="4" w:space="0"/>
            </w:tcBorders>
            <w:tcW w:w="248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采购清单序号一.2第2款及第6款</w:t>
            </w:r>
            <w:r>
              <w:rPr>
                <w:rFonts w:hint="eastAsia" w:ascii="仿宋" w:hAnsi="仿宋" w:eastAsia="仿宋"/>
                <w:caps/>
                <w:sz w:val="24"/>
              </w:rPr>
              <w:t xml:space="preserve">中相关要求</w:t>
            </w:r>
            <w:r/>
          </w:p>
        </w:tc>
        <w:tc>
          <w:tcPr>
            <w:tcBorders>
              <w:top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s="宋体"/>
                <w:color w:val="auto"/>
                <w:sz w:val="24"/>
                <w:lang w:val="en-US" w:eastAsia="zh-CN"/>
              </w:rPr>
              <w:t xml:space="preserve">“</w:t>
            </w:r>
            <w:r>
              <w:rPr>
                <w:rFonts w:hint="eastAsia" w:ascii="仿宋" w:hAnsi="仿宋" w:eastAsia="仿宋" w:cs="仿宋"/>
                <w:color w:val="auto"/>
                <w:sz w:val="24"/>
                <w:szCs w:val="24"/>
                <w:highlight w:val="none"/>
                <w:lang w:val="en-US" w:eastAsia="zh-CN" w:bidi="ar"/>
              </w:rPr>
              <w:t xml:space="preserve">列间空调制冷量≥45kW，显冷量≥45kW，风量≥9000m³/h</w:t>
            </w:r>
            <w:r>
              <w:rPr>
                <w:rFonts w:hint="eastAsia" w:ascii="仿宋" w:hAnsi="仿宋" w:eastAsia="仿宋" w:cs="Times New Roman"/>
                <w:caps/>
                <w:color w:val="auto"/>
                <w:sz w:val="24"/>
              </w:rPr>
              <w:t xml:space="preserve">”</w:t>
            </w:r>
            <w:r>
              <w:rPr>
                <w:rFonts w:hint="eastAsia" w:ascii="仿宋" w:hAnsi="仿宋" w:eastAsia="仿宋"/>
                <w:caps/>
                <w:color w:val="auto"/>
                <w:sz w:val="24"/>
              </w:rPr>
              <w:t xml:space="preserve">的响应情况</w:t>
            </w:r>
            <w:r/>
          </w:p>
        </w:tc>
        <w:tc>
          <w:tcPr>
            <w:tcBorders>
              <w:top w:val="single" w:color="auto" w:sz="4" w:space="0"/>
              <w:bottom w:val="single" w:color="auto" w:sz="4" w:space="0"/>
            </w:tcBorders>
            <w:tcW w:w="248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采购清单序号二.1第1款</w:t>
            </w:r>
            <w:r>
              <w:rPr>
                <w:rFonts w:hint="eastAsia" w:ascii="仿宋" w:hAnsi="仿宋" w:eastAsia="仿宋"/>
                <w:caps/>
                <w:sz w:val="24"/>
              </w:rPr>
              <w:t xml:space="preserve">中相关要求</w:t>
            </w:r>
            <w:r/>
          </w:p>
        </w:tc>
        <w:tc>
          <w:tcPr>
            <w:tcBorders>
              <w:top w:val="single" w:color="auto" w:sz="4" w:space="0"/>
              <w:bottom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宋体"/>
                <w:color w:val="auto"/>
                <w:sz w:val="24"/>
                <w:lang w:val="en-US" w:eastAsia="zh-CN"/>
              </w:rPr>
            </w:pPr>
            <w:r>
              <w:rPr>
                <w:rFonts w:hint="eastAsia" w:ascii="仿宋" w:hAnsi="仿宋" w:eastAsia="仿宋" w:cs="仿宋"/>
                <w:color w:val="auto"/>
                <w:sz w:val="24"/>
                <w:szCs w:val="24"/>
                <w:highlight w:val="none"/>
                <w:lang w:val="en-US" w:eastAsia="zh-CN" w:bidi="ar"/>
              </w:rPr>
              <w:t xml:space="preserve">《整体质保承诺函》</w:t>
            </w:r>
            <w:r/>
          </w:p>
        </w:tc>
        <w:tc>
          <w:tcPr>
            <w:tcBorders>
              <w:top w:val="single" w:color="auto" w:sz="4" w:space="0"/>
              <w:bottom w:val="single" w:color="auto" w:sz="4" w:space="0"/>
            </w:tcBorders>
            <w:tcW w:w="2480"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采购需求第五（一）.1条</w:t>
            </w:r>
            <w:r>
              <w:rPr>
                <w:rFonts w:hint="eastAsia" w:ascii="仿宋" w:hAnsi="仿宋" w:eastAsia="仿宋"/>
                <w:caps/>
                <w:sz w:val="24"/>
              </w:rPr>
              <w:t xml:space="preserve">中相关要求</w:t>
            </w:r>
            <w:r/>
          </w:p>
        </w:tc>
        <w:tc>
          <w:tcPr>
            <w:tcBorders>
              <w:top w:val="single" w:color="auto" w:sz="4" w:space="0"/>
              <w:bottom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4</w:t>
            </w:r>
            <w:r/>
          </w:p>
        </w:tc>
        <w:tc>
          <w:tcPr>
            <w:tcBorders>
              <w:top w:val="single" w:color="auto" w:sz="4" w:space="0"/>
            </w:tcBorders>
            <w:tcW w:w="2977"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节能产品强制采购</w:t>
            </w:r>
            <w:r/>
          </w:p>
        </w:tc>
        <w:tc>
          <w:tcPr>
            <w:tcBorders>
              <w:top w:val="single" w:color="auto" w:sz="4" w:space="0"/>
            </w:tcBorders>
            <w:tcW w:w="2480" w:type="dxa"/>
            <w:vAlign w:val="center"/>
            <w:textDirection w:val="lrTb"/>
            <w:noWrap w:val="false"/>
          </w:tcPr>
          <w:p>
            <w:pPr>
              <w:jc w:val="center"/>
              <w:rPr>
                <w:rFonts w:hint="eastAsia" w:ascii="仿宋" w:hAnsi="仿宋" w:eastAsia="仿宋"/>
                <w:caps/>
                <w:sz w:val="24"/>
              </w:rPr>
            </w:pPr>
            <w:r>
              <w:rPr>
                <w:rFonts w:hint="eastAsia" w:ascii="仿宋" w:hAnsi="仿宋" w:eastAsia="仿宋" w:cs="仿宋"/>
                <w:color w:val="auto"/>
                <w:sz w:val="24"/>
                <w:szCs w:val="24"/>
                <w:highlight w:val="none"/>
                <w:lang w:val="en-US" w:eastAsia="zh-CN" w:bidi="ar"/>
              </w:rPr>
              <w:t xml:space="preserve">本项目涉及的</w:t>
            </w:r>
            <w:r>
              <w:rPr>
                <w:rFonts w:hint="eastAsia" w:ascii="仿宋" w:hAnsi="仿宋" w:eastAsia="仿宋" w:cs="仿宋"/>
                <w:b/>
                <w:bCs/>
                <w:color w:val="auto"/>
                <w:sz w:val="24"/>
                <w:szCs w:val="24"/>
                <w:highlight w:val="none"/>
                <w:lang w:val="en-US" w:eastAsia="zh-CN" w:bidi="ar"/>
              </w:rPr>
              <w:t xml:space="preserve">列间精密空调</w:t>
            </w:r>
            <w:r>
              <w:rPr>
                <w:rFonts w:hint="eastAsia" w:ascii="仿宋" w:hAnsi="仿宋" w:eastAsia="仿宋" w:cs="仿宋"/>
                <w:color w:val="auto"/>
                <w:sz w:val="24"/>
                <w:szCs w:val="24"/>
                <w:highlight w:val="none"/>
                <w:lang w:val="en-US" w:eastAsia="zh-CN" w:bidi="ar"/>
              </w:rPr>
              <w:t xml:space="preserve">属于《节能产品政府采购品目清单》中的政府强制采购节能产品品目。投标人所投上述产品须获得国家确定的认证机构出具的有效期内的节能产品认证证书（CQC或同等），并在投标文件中提供证书复印件加盖投标人电子签章。</w:t>
            </w:r>
            <w:r/>
          </w:p>
        </w:tc>
        <w:tc>
          <w:tcPr>
            <w:tcBorders>
              <w:top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b/>
          <w:bCs/>
          <w:sz w:val="24"/>
        </w:rPr>
      </w:pPr>
      <w:r>
        <w:rPr>
          <w:rFonts w:hint="eastAsia" w:ascii="仿宋" w:hAnsi="仿宋" w:eastAsia="仿宋"/>
          <w:b/>
          <w:bCs/>
          <w:sz w:val="24"/>
        </w:rPr>
        <w:t xml:space="preserve">注：</w:t>
      </w:r>
      <w:r/>
    </w:p>
    <w:p>
      <w:pPr>
        <w:rPr>
          <w:rFonts w:ascii="仿宋" w:hAnsi="仿宋" w:eastAsia="仿宋"/>
          <w:sz w:val="24"/>
          <w:u w:val="single"/>
        </w:rPr>
      </w:pPr>
      <w:r>
        <w:rPr>
          <w:rFonts w:hint="eastAsia" w:ascii="仿宋" w:hAnsi="仿宋" w:eastAsia="仿宋"/>
          <w:b/>
          <w:bCs/>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Times New Roman"/>
          <w:sz w:val="28"/>
          <w:szCs w:val="28"/>
          <w:highlight w:val="none"/>
        </w:rPr>
      </w:pP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关于符合本国产品标准的声明函</w:t>
      </w:r>
      <w:r/>
    </w:p>
    <w:p>
      <w:pPr>
        <w:pStyle w:val="740"/>
        <w:rPr>
          <w:rFonts w:hint="eastAsia"/>
        </w:rPr>
      </w:pPr>
      <w:r>
        <w:rPr>
          <w:rFonts w:hint="eastAsia"/>
        </w:rPr>
      </w:r>
      <w:r/>
    </w:p>
    <w:p>
      <w:pPr>
        <w:pStyle w:val="740"/>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40"/>
        <w:rPr>
          <w:rFonts w:hint="eastAsia"/>
          <w:sz w:val="24"/>
          <w:szCs w:val="24"/>
        </w:rPr>
      </w:pPr>
      <w:r>
        <w:rPr>
          <w:rFonts w:hint="eastAsia"/>
          <w:sz w:val="24"/>
          <w:szCs w:val="24"/>
        </w:rPr>
        <w:t xml:space="preserve">2.</w:t>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t xml:space="preserve">……</w:t>
      </w:r>
      <w:r/>
    </w:p>
    <w:p>
      <w:pPr>
        <w:pStyle w:val="740"/>
        <w:rPr>
          <w:rFonts w:hint="eastAsia"/>
          <w:sz w:val="24"/>
          <w:szCs w:val="24"/>
        </w:rPr>
      </w:pPr>
      <w:r>
        <w:rPr>
          <w:rFonts w:hint="eastAsia"/>
          <w:sz w:val="24"/>
          <w:szCs w:val="24"/>
        </w:rPr>
        <w:t xml:space="preserve">本公司（单位）对上述声明内容的真实性负责。如有虚假，愿承担相应法律责任。</w:t>
      </w:r>
      <w:r/>
    </w:p>
    <w:p>
      <w:pPr>
        <w:pStyle w:val="740"/>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40"/>
        <w:jc w:val="right"/>
        <w:rPr>
          <w:rFonts w:hint="eastAsia"/>
          <w:sz w:val="24"/>
          <w:szCs w:val="24"/>
        </w:rPr>
      </w:pPr>
      <w:r>
        <w:rPr>
          <w:rFonts w:hint="eastAsia"/>
          <w:sz w:val="24"/>
          <w:szCs w:val="24"/>
        </w:rPr>
        <w:t xml:space="preserve">日期：___年____月____日</w:t>
      </w:r>
      <w:r/>
    </w:p>
    <w:p>
      <w:pPr>
        <w:pStyle w:val="740"/>
        <w:jc w:val="right"/>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t xml:space="preserve">1.产品如有型号，请在“产品名称”栏一并填写。</w:t>
      </w:r>
      <w:r/>
    </w:p>
    <w:p>
      <w:pPr>
        <w:pStyle w:val="740"/>
        <w:rPr>
          <w:rFonts w:hint="eastAsia"/>
          <w:sz w:val="24"/>
          <w:szCs w:val="24"/>
        </w:rPr>
      </w:pPr>
      <w:r>
        <w:rPr>
          <w:rFonts w:hint="eastAsia"/>
          <w:sz w:val="24"/>
          <w:szCs w:val="24"/>
        </w:rPr>
        <w:t xml:space="preserve">2.生产厂名与厂址应与生产厂营业执照载明的相关信息保持一致。</w:t>
      </w:r>
      <w:r/>
    </w:p>
    <w:p>
      <w:pPr>
        <w:pStyle w:val="740"/>
        <w:rPr>
          <w:rFonts w:hint="eastAsia"/>
          <w:sz w:val="24"/>
          <w:szCs w:val="24"/>
        </w:rPr>
      </w:pPr>
      <w:r>
        <w:rPr>
          <w:rFonts w:hint="eastAsia"/>
          <w:sz w:val="24"/>
          <w:szCs w:val="24"/>
        </w:rPr>
        <w:t xml:space="preserve">3.该产品的中国境内生产的组件成本占比相关要求实施前，“规定比例”栏可不填，下同。</w:t>
      </w:r>
      <w:r/>
    </w:p>
    <w:p>
      <w:pPr>
        <w:pStyle w:val="740"/>
        <w:rPr>
          <w:rFonts w:hint="eastAsia"/>
          <w:sz w:val="24"/>
          <w:szCs w:val="24"/>
        </w:rPr>
      </w:pPr>
      <w:r>
        <w:rPr>
          <w:rFonts w:hint="eastAsia"/>
          <w:sz w:val="24"/>
          <w:szCs w:val="24"/>
        </w:rPr>
        <w:t xml:space="preserve">4.该产品的关键组件要求实施前，“关键组件”栏可不填，下同。</w:t>
      </w:r>
      <w:r/>
    </w:p>
    <w:p>
      <w:pPr>
        <w:pStyle w:val="740"/>
        <w:rPr>
          <w:rFonts w:hint="eastAsia"/>
          <w:sz w:val="24"/>
          <w:szCs w:val="24"/>
        </w:rPr>
      </w:pPr>
      <w:r>
        <w:rPr>
          <w:rFonts w:hint="eastAsia"/>
          <w:sz w:val="24"/>
          <w:szCs w:val="24"/>
        </w:rPr>
        <w:t xml:space="preserve">5.该产品的关键工序要求实施前，“关键工序”栏可不填，下同。</w:t>
      </w:r>
      <w:r/>
    </w:p>
    <w:p>
      <w:pPr>
        <w:pStyle w:val="740"/>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40"/>
        <w:rPr>
          <w:rFonts w:hint="eastAsia"/>
          <w:sz w:val="24"/>
          <w:szCs w:val="24"/>
        </w:rPr>
      </w:pPr>
      <w:r>
        <w:rPr>
          <w:rFonts w:hint="eastAsia"/>
          <w:sz w:val="24"/>
          <w:szCs w:val="24"/>
        </w:rPr>
      </w:r>
      <w:r/>
    </w:p>
    <w:p>
      <w:pPr>
        <w:pStyle w:val="724"/>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4"/>
          <w:szCs w:val="24"/>
          <w:u w:val="single"/>
          <w:lang w:eastAsia="zh-CN"/>
        </w:rPr>
      </w:pPr>
      <w:r>
        <w:rPr>
          <w:rFonts w:hint="eastAsia" w:ascii="仿宋" w:hAnsi="仿宋" w:eastAsia="仿宋"/>
          <w:sz w:val="24"/>
          <w:szCs w:val="24"/>
        </w:rPr>
        <w:t xml:space="preserve">项目名称：</w:t>
      </w:r>
      <w:r>
        <w:rPr>
          <w:rFonts w:hint="eastAsia" w:ascii="仿宋" w:hAnsi="仿宋" w:eastAsia="仿宋"/>
          <w:sz w:val="24"/>
          <w:u w:val="single"/>
          <w:lang w:eastAsia="zh-CN"/>
        </w:rPr>
        <w:t xml:space="preserve">睢宁县人民医院灾备数据机房建设项目</w:t>
      </w:r>
      <w:r/>
    </w:p>
    <w:p>
      <w:pPr>
        <w:rPr>
          <w:rFonts w:hint="default" w:ascii="仿宋" w:hAnsi="仿宋" w:eastAsia="仿宋"/>
          <w:sz w:val="24"/>
          <w:szCs w:val="24"/>
          <w:u w:val="single"/>
          <w:lang w:val="en-US" w:eastAsia="zh-CN"/>
        </w:rPr>
      </w:pPr>
      <w:r>
        <w:rPr>
          <w:rFonts w:hint="eastAsia" w:ascii="仿宋" w:hAnsi="仿宋" w:eastAsia="仿宋"/>
          <w:sz w:val="24"/>
          <w:szCs w:val="24"/>
        </w:rPr>
        <w:t xml:space="preserve">项目编号：</w:t>
      </w:r>
      <w:r>
        <w:rPr>
          <w:rFonts w:hint="eastAsia" w:ascii="仿宋" w:hAnsi="仿宋" w:eastAsia="仿宋"/>
          <w:sz w:val="24"/>
          <w:szCs w:val="24"/>
          <w:u w:val="single"/>
          <w:lang w:eastAsia="zh-CN"/>
        </w:rPr>
        <w:t xml:space="preserve">JSZC-320324-SNJC-G2026-0007</w:t>
      </w:r>
      <w:r/>
    </w:p>
    <w:p>
      <w:pPr>
        <w:pStyle w:val="738"/>
      </w:pPr>
      <w:r/>
      <w:r/>
    </w:p>
    <w:tbl>
      <w:tblPr>
        <w:tblStyle w:val="733"/>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38"/>
        <w:rPr>
          <w:rFonts w:hint="eastAsia"/>
        </w:rPr>
      </w:pPr>
      <w:r>
        <w:rPr>
          <w:rFonts w:hint="eastAsia"/>
        </w:rPr>
      </w:r>
      <w:r/>
    </w:p>
    <w:p>
      <w:pPr>
        <w:rPr>
          <w:rFonts w:hint="eastAsia"/>
        </w:rPr>
      </w:pPr>
      <w:r>
        <w:rPr>
          <w:rFonts w:hint="eastAsia"/>
        </w:rPr>
      </w:r>
      <w:r/>
    </w:p>
    <w:p>
      <w:pPr>
        <w:pStyle w:val="738"/>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726"/>
        <w:numPr>
          <w:ilvl w:val="3"/>
          <w:numId w:val="0"/>
        </w:numPr>
        <w:rPr>
          <w:rFonts w:hint="eastAsia"/>
        </w:rPr>
      </w:pPr>
      <w:r>
        <w:rPr>
          <w:rFonts w:hint="eastAsia"/>
        </w:rPr>
      </w:r>
      <w:r/>
    </w:p>
    <w:p>
      <w:pPr>
        <w:rPr>
          <w:rFonts w:hint="eastAsia" w:ascii="仿宋" w:hAnsi="仿宋" w:eastAsia="仿宋" w:cs="Times New Roman"/>
          <w:sz w:val="24"/>
        </w:rPr>
      </w:pPr>
      <w:r>
        <w:rPr>
          <w:rFonts w:hint="eastAsia" w:ascii="仿宋" w:hAnsi="仿宋" w:eastAsia="仿宋" w:cs="Times New Roman"/>
          <w:sz w:val="24"/>
        </w:rPr>
      </w:r>
      <w:r/>
    </w:p>
    <w:p>
      <w:pPr>
        <w:ind w:firstLine="60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ind w:firstLine="60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24"/>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质疑函范本</w:t>
      </w:r>
      <w:r/>
    </w:p>
    <w:p>
      <w:pPr>
        <w:keepLines w:val="0"/>
        <w:keepNext w:val="0"/>
        <w:pageBreakBefore w:val="0"/>
        <w:spacing w:before="312"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日期：    </w:t>
      </w:r>
      <w:r/>
    </w:p>
    <w:p>
      <w:pPr>
        <w:keepLines w:val="0"/>
        <w:keepNext w:val="0"/>
        <w:pageBreakBefore w:val="0"/>
        <w:spacing w:line="40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3.质疑供应商若对项目的某一采购包进行质疑，质疑函中应列明具体采购包号。</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both"/>
        <w:spacing w:after="120"/>
        <w:widowControl w:val="off"/>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7.质疑时《投标供应商确认函》与质疑函一并提交；未依照招标公告要求提交《投标供应商确认函》的供应商，视为未参与该项政府采购活动，不具备对该政府采购项目提出质疑的法定权利。详情请查看采购文件第二章、第三章相关内容。</w:t>
      </w:r>
      <w:r/>
    </w:p>
    <w:p>
      <w:pPr>
        <w:pStyle w:val="726"/>
        <w:numPr>
          <w:ilvl w:val="3"/>
          <w:numId w:val="0"/>
        </w:numPr>
        <w:rPr>
          <w:rFonts w:hint="eastAsia"/>
        </w:rPr>
      </w:pPr>
      <w:r>
        <w:rPr>
          <w:rFonts w:hint="eastAsia"/>
        </w:rPr>
      </w:r>
      <w:r/>
    </w:p>
    <w:p>
      <w:pPr>
        <w:pStyle w:val="738"/>
        <w:rPr>
          <w:rFonts w:hint="eastAsia"/>
        </w:rPr>
      </w:pPr>
      <w:r>
        <w:rPr>
          <w:rFonts w:hint="eastAsia"/>
        </w:rPr>
      </w:r>
      <w:r/>
    </w:p>
    <w:p>
      <w:pPr>
        <w:pStyle w:val="759"/>
        <w:ind w:firstLine="480"/>
        <w:spacing w:before="0" w:beforeAutospacing="0" w:after="0" w:afterAutospacing="0"/>
        <w:shd w:val="clear" w:color="auto" w:fill="ffffff"/>
        <w:rPr>
          <w:sz w:val="24"/>
          <w:szCs w:val="24"/>
        </w:rPr>
      </w:pPr>
      <w:r>
        <w:rPr>
          <w:sz w:val="24"/>
          <w:szCs w:val="24"/>
        </w:rPr>
      </w:r>
      <w:r/>
    </w:p>
    <w:sectPr>
      <w:headerReference w:type="default" r:id="rId11"/>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方正仿宋_GBK">
    <w:panose1 w:val="020B0503020202020204"/>
  </w:font>
  <w:font w:name="隶书">
    <w:panose1 w:val="02010509060101010101"/>
  </w:font>
  <w:font w:name="Symbol">
    <w:panose1 w:val="05050102010706020507"/>
  </w:font>
  <w:font w:name="华文楷体">
    <w:panose1 w:val="02010600040101010101"/>
  </w:font>
  <w:font w:name="Wingdings">
    <w:panose1 w:val="05000000000000000000"/>
  </w:font>
  <w:font w:name="方正仿宋_GB2312">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等线">
    <w:panose1 w:val="02010600030101010101"/>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uiPriority w:val="0"/>
    <w:qFormat/>
    <w:pPr>
      <w:keepLines/>
      <w:keepNext/>
      <w:spacing w:before="340" w:after="330" w:line="578" w:lineRule="auto"/>
      <w:outlineLvl w:val="0"/>
    </w:pPr>
    <w:rPr>
      <w:b/>
      <w:bCs/>
      <w:sz w:val="44"/>
      <w:szCs w:val="44"/>
    </w:rPr>
  </w:style>
  <w:style w:type="paragraph" w:styleId="724">
    <w:name w:val="Heading 2"/>
    <w:basedOn w:val="722"/>
    <w:next w:val="722"/>
    <w:link w:val="771"/>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942"/>
    <w:uiPriority w:val="0"/>
    <w:unhideWhenUsed/>
    <w:qFormat/>
    <w:pPr>
      <w:keepLines/>
      <w:keepNext/>
      <w:spacing w:before="260" w:after="260" w:line="416" w:lineRule="auto"/>
      <w:outlineLvl w:val="2"/>
    </w:pPr>
    <w:rPr>
      <w:b/>
      <w:bCs/>
      <w:sz w:val="32"/>
      <w:szCs w:val="32"/>
    </w:rPr>
  </w:style>
  <w:style w:type="paragraph" w:styleId="726">
    <w:name w:val="Heading 4"/>
    <w:basedOn w:val="722"/>
    <w:next w:val="72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7">
    <w:name w:val="Heading 5"/>
    <w:basedOn w:val="722"/>
    <w:next w:val="722"/>
    <w:link w:val="774"/>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5"/>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7"/>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8"/>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Layout w:type="fixed"/>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Normal Indent"/>
    <w:basedOn w:val="722"/>
    <w:uiPriority w:val="0"/>
    <w:qFormat/>
    <w:pPr>
      <w:ind w:firstLine="420"/>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uiPriority w:val="0"/>
    <w:unhideWhenUsed/>
    <w:qFormat/>
    <w:pPr>
      <w:jc w:val="left"/>
    </w:pPr>
  </w:style>
  <w:style w:type="paragraph" w:styleId="738">
    <w:name w:val="Body Text"/>
    <w:basedOn w:val="722"/>
    <w:next w:val="735"/>
    <w:uiPriority w:val="0"/>
    <w:qFormat/>
    <w:rPr>
      <w:rFonts w:ascii="楷体_GB2312" w:hAnsi="Arial" w:eastAsia="楷体_GB2312"/>
      <w:sz w:val="28"/>
      <w:szCs w:val="28"/>
    </w:rPr>
  </w:style>
  <w:style w:type="paragraph" w:styleId="739">
    <w:name w:val="Body Text Indent"/>
    <w:basedOn w:val="722"/>
    <w:link w:val="918"/>
    <w:uiPriority w:val="0"/>
    <w:qFormat/>
    <w:pPr>
      <w:ind w:left="420"/>
      <w:spacing w:after="120"/>
    </w:pPr>
  </w:style>
  <w:style w:type="paragraph" w:styleId="740">
    <w:name w:val="Block Text"/>
    <w:basedOn w:val="722"/>
    <w:uiPriority w:val="6"/>
    <w:qFormat/>
    <w:pPr>
      <w:ind w:left="256" w:right="6" w:firstLine="624"/>
    </w:pPr>
    <w:rPr>
      <w:rFonts w:eastAsia="仿宋"/>
      <w:sz w:val="28"/>
      <w:szCs w:val="20"/>
    </w:rPr>
  </w:style>
  <w:style w:type="paragraph" w:styleId="741">
    <w:name w:val="index 4"/>
    <w:basedOn w:val="722"/>
    <w:next w:val="722"/>
    <w:uiPriority w:val="99"/>
    <w:unhideWhenUsed/>
    <w:qFormat/>
    <w:pPr>
      <w:ind w:left="600"/>
    </w:pPr>
    <w:rPr>
      <w:rFonts w:ascii="Verdana" w:hAnsi="Verdana" w:eastAsia="微软雅黑"/>
      <w:szCs w:val="20"/>
    </w:rPr>
  </w:style>
  <w:style w:type="paragraph" w:styleId="742">
    <w:name w:val="toc 5"/>
    <w:basedOn w:val="722"/>
    <w:next w:val="722"/>
    <w:uiPriority w:val="39"/>
    <w:unhideWhenUsed/>
    <w:qFormat/>
    <w:pPr>
      <w:ind w:left="1134" w:right="0" w:firstLine="0"/>
      <w:spacing w:after="57"/>
    </w:pPr>
  </w:style>
  <w:style w:type="paragraph" w:styleId="743">
    <w:name w:val="toc 3"/>
    <w:basedOn w:val="722"/>
    <w:next w:val="722"/>
    <w:uiPriority w:val="39"/>
    <w:unhideWhenUsed/>
    <w:qFormat/>
    <w:pPr>
      <w:ind w:left="567" w:right="0" w:firstLine="0"/>
      <w:spacing w:after="57"/>
    </w:pPr>
  </w:style>
  <w:style w:type="paragraph" w:styleId="744">
    <w:name w:val="Plain Text"/>
    <w:basedOn w:val="722"/>
    <w:uiPriority w:val="0"/>
    <w:qFormat/>
    <w:rPr>
      <w:rFonts w:ascii="宋体" w:hAnsi="Courier New"/>
      <w:szCs w:val="21"/>
    </w:rPr>
  </w:style>
  <w:style w:type="paragraph" w:styleId="745">
    <w:name w:val="toc 8"/>
    <w:basedOn w:val="722"/>
    <w:next w:val="722"/>
    <w:uiPriority w:val="39"/>
    <w:unhideWhenUsed/>
    <w:qFormat/>
    <w:pPr>
      <w:ind w:left="1984" w:right="0" w:firstLine="0"/>
      <w:spacing w:after="57"/>
    </w:pPr>
  </w:style>
  <w:style w:type="paragraph" w:styleId="746">
    <w:name w:val="Date"/>
    <w:basedOn w:val="722"/>
    <w:next w:val="722"/>
    <w:uiPriority w:val="0"/>
    <w:qFormat/>
    <w:rPr>
      <w:rFonts w:eastAsia="仿宋_GB2312"/>
      <w:sz w:val="28"/>
      <w:szCs w:val="20"/>
    </w:rPr>
  </w:style>
  <w:style w:type="paragraph" w:styleId="747">
    <w:name w:val="Body Text Indent 2"/>
    <w:basedOn w:val="722"/>
    <w:uiPriority w:val="0"/>
    <w:qFormat/>
    <w:pPr>
      <w:ind w:firstLine="475"/>
      <w:spacing w:line="10" w:lineRule="atLeast"/>
    </w:pPr>
    <w:rPr>
      <w:rFonts w:ascii="仿宋_GB2312" w:eastAsia="仿宋_GB2312"/>
      <w:sz w:val="24"/>
    </w:rPr>
  </w:style>
  <w:style w:type="paragraph" w:styleId="748">
    <w:name w:val="endnote text"/>
    <w:basedOn w:val="722"/>
    <w:link w:val="915"/>
    <w:uiPriority w:val="99"/>
    <w:semiHidden/>
    <w:unhideWhenUsed/>
    <w:qFormat/>
    <w:pPr>
      <w:spacing w:after="0" w:line="240" w:lineRule="auto"/>
    </w:pPr>
    <w:rPr>
      <w:sz w:val="20"/>
    </w:rPr>
  </w:style>
  <w:style w:type="paragraph" w:styleId="749">
    <w:name w:val="Footer"/>
    <w:basedOn w:val="722"/>
    <w:uiPriority w:val="0"/>
    <w:qFormat/>
    <w:pPr>
      <w:jc w:val="left"/>
      <w:tabs>
        <w:tab w:val="center" w:pos="4153" w:leader="none"/>
        <w:tab w:val="right" w:pos="8306" w:leader="none"/>
      </w:tabs>
    </w:pPr>
    <w:rPr>
      <w:sz w:val="18"/>
      <w:szCs w:val="18"/>
    </w:rPr>
  </w:style>
  <w:style w:type="paragraph" w:styleId="750">
    <w:name w:val="Header"/>
    <w:basedOn w:val="722"/>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2"/>
    <w:next w:val="722"/>
    <w:uiPriority w:val="39"/>
    <w:unhideWhenUsed/>
    <w:qFormat/>
    <w:pPr>
      <w:jc w:val="left"/>
      <w:spacing w:after="100" w:line="259" w:lineRule="auto"/>
      <w:widowControl/>
    </w:pPr>
    <w:rPr>
      <w:rFonts w:ascii="Calibri" w:hAnsi="Calibri"/>
      <w:sz w:val="22"/>
      <w:szCs w:val="22"/>
    </w:rPr>
  </w:style>
  <w:style w:type="paragraph" w:styleId="752">
    <w:name w:val="toc 4"/>
    <w:basedOn w:val="722"/>
    <w:next w:val="722"/>
    <w:uiPriority w:val="39"/>
    <w:unhideWhenUsed/>
    <w:qFormat/>
    <w:pPr>
      <w:ind w:left="850" w:right="0" w:firstLine="0"/>
      <w:spacing w:after="57"/>
    </w:pPr>
  </w:style>
  <w:style w:type="paragraph" w:styleId="753">
    <w:name w:val="Subtitle"/>
    <w:basedOn w:val="722"/>
    <w:next w:val="722"/>
    <w:link w:val="781"/>
    <w:uiPriority w:val="11"/>
    <w:qFormat/>
    <w:pPr>
      <w:spacing w:before="200" w:after="200"/>
    </w:pPr>
    <w:rPr>
      <w:sz w:val="24"/>
      <w:szCs w:val="24"/>
    </w:rPr>
  </w:style>
  <w:style w:type="paragraph" w:styleId="754">
    <w:name w:val="footnote text"/>
    <w:basedOn w:val="722"/>
    <w:link w:val="914"/>
    <w:uiPriority w:val="99"/>
    <w:semiHidden/>
    <w:unhideWhenUsed/>
    <w:qFormat/>
    <w:pPr>
      <w:spacing w:after="40" w:line="240" w:lineRule="auto"/>
    </w:pPr>
    <w:rPr>
      <w:sz w:val="18"/>
    </w:rPr>
  </w:style>
  <w:style w:type="paragraph" w:styleId="755">
    <w:name w:val="toc 6"/>
    <w:basedOn w:val="722"/>
    <w:next w:val="722"/>
    <w:uiPriority w:val="39"/>
    <w:unhideWhenUsed/>
    <w:qFormat/>
    <w:pPr>
      <w:ind w:left="1417" w:right="0" w:firstLine="0"/>
      <w:spacing w:after="57"/>
    </w:pPr>
  </w:style>
  <w:style w:type="paragraph" w:styleId="756">
    <w:name w:val="table of figures"/>
    <w:basedOn w:val="722"/>
    <w:next w:val="722"/>
    <w:uiPriority w:val="99"/>
    <w:unhideWhenUsed/>
    <w:qFormat/>
    <w:pPr>
      <w:spacing w:after="0" w:afterAutospacing="0"/>
    </w:pPr>
  </w:style>
  <w:style w:type="paragraph" w:styleId="757">
    <w:name w:val="toc 2"/>
    <w:basedOn w:val="722"/>
    <w:next w:val="722"/>
    <w:uiPriority w:val="39"/>
    <w:unhideWhenUsed/>
    <w:qFormat/>
    <w:pPr>
      <w:ind w:left="283" w:right="0" w:firstLine="0"/>
      <w:spacing w:after="57"/>
    </w:pPr>
  </w:style>
  <w:style w:type="paragraph" w:styleId="758">
    <w:name w:val="toc 9"/>
    <w:basedOn w:val="722"/>
    <w:next w:val="722"/>
    <w:uiPriority w:val="39"/>
    <w:unhideWhenUsed/>
    <w:qFormat/>
    <w:pPr>
      <w:ind w:left="2268" w:right="0" w:firstLine="0"/>
      <w:spacing w:after="57"/>
    </w:pPr>
  </w:style>
  <w:style w:type="paragraph" w:styleId="759">
    <w:name w:val="Normal (Web)"/>
    <w:basedOn w:val="722"/>
    <w:uiPriority w:val="99"/>
    <w:qFormat/>
    <w:pPr>
      <w:jc w:val="left"/>
      <w:spacing w:before="100" w:beforeAutospacing="1" w:after="100" w:afterAutospacing="1"/>
      <w:widowControl/>
    </w:pPr>
    <w:rPr>
      <w:rFonts w:ascii="宋体" w:hAnsi="宋体" w:cs="宋体"/>
      <w:sz w:val="24"/>
    </w:rPr>
  </w:style>
  <w:style w:type="paragraph" w:styleId="760">
    <w:name w:val="Title"/>
    <w:basedOn w:val="722"/>
    <w:next w:val="722"/>
    <w:link w:val="780"/>
    <w:uiPriority w:val="10"/>
    <w:qFormat/>
    <w:pPr>
      <w:contextualSpacing/>
      <w:spacing w:before="300" w:after="200"/>
    </w:pPr>
    <w:rPr>
      <w:sz w:val="48"/>
      <w:szCs w:val="48"/>
    </w:rPr>
  </w:style>
  <w:style w:type="paragraph" w:styleId="761">
    <w:name w:val="Body Text First Indent"/>
    <w:basedOn w:val="738"/>
    <w:uiPriority w:val="99"/>
    <w:semiHidden/>
    <w:unhideWhenUsed/>
    <w:qFormat/>
    <w:pPr>
      <w:ind w:firstLine="420"/>
    </w:pPr>
  </w:style>
  <w:style w:type="paragraph" w:styleId="762">
    <w:name w:val="Body Text First Indent 2"/>
    <w:basedOn w:val="739"/>
    <w:link w:val="943"/>
    <w:uiPriority w:val="0"/>
    <w:qFormat/>
    <w:pPr>
      <w:ind w:firstLine="420"/>
    </w:pPr>
  </w:style>
  <w:style w:type="table" w:styleId="763">
    <w:name w:val="Table Grid"/>
    <w:basedOn w:val="73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4">
    <w:name w:val="endnote reference"/>
    <w:basedOn w:val="732"/>
    <w:uiPriority w:val="99"/>
    <w:semiHidden/>
    <w:unhideWhenUsed/>
    <w:qFormat/>
    <w:rPr>
      <w:vertAlign w:val="superscript"/>
    </w:rPr>
  </w:style>
  <w:style w:type="character" w:styleId="765">
    <w:name w:val="page number"/>
    <w:basedOn w:val="732"/>
    <w:uiPriority w:val="0"/>
    <w:qFormat/>
  </w:style>
  <w:style w:type="character" w:styleId="766">
    <w:name w:val="FollowedHyperlink"/>
    <w:basedOn w:val="732"/>
    <w:uiPriority w:val="0"/>
    <w:qFormat/>
    <w:rPr>
      <w:color w:val="800080"/>
      <w:u w:val="single"/>
    </w:rPr>
  </w:style>
  <w:style w:type="character" w:styleId="767">
    <w:name w:val="Emphasis"/>
    <w:basedOn w:val="732"/>
    <w:uiPriority w:val="20"/>
    <w:qFormat/>
    <w:rPr>
      <w:i/>
      <w:iCs/>
    </w:rPr>
  </w:style>
  <w:style w:type="character" w:styleId="768">
    <w:name w:val="Hyperlink"/>
    <w:uiPriority w:val="0"/>
    <w:qFormat/>
    <w:rPr>
      <w:color w:val="0000ff"/>
      <w:u w:val="single"/>
    </w:rPr>
  </w:style>
  <w:style w:type="character" w:styleId="769">
    <w:name w:val="footnote reference"/>
    <w:basedOn w:val="732"/>
    <w:uiPriority w:val="99"/>
    <w:unhideWhenUsed/>
    <w:qFormat/>
    <w:rPr>
      <w:vertAlign w:val="superscript"/>
    </w:rPr>
  </w:style>
  <w:style w:type="character" w:styleId="770" w:customStyle="1">
    <w:name w:val="Heading 1 Char"/>
    <w:basedOn w:val="732"/>
    <w:uiPriority w:val="9"/>
    <w:qFormat/>
    <w:rPr>
      <w:rFonts w:ascii="Arial" w:hAnsi="Arial" w:eastAsia="Arial" w:cs="Arial"/>
      <w:sz w:val="40"/>
      <w:szCs w:val="40"/>
    </w:rPr>
  </w:style>
  <w:style w:type="character" w:styleId="771" w:customStyle="1">
    <w:name w:val="Heading 2 Char"/>
    <w:basedOn w:val="732"/>
    <w:link w:val="724"/>
    <w:uiPriority w:val="9"/>
    <w:qFormat/>
    <w:rPr>
      <w:rFonts w:ascii="Arial" w:hAnsi="Arial" w:eastAsia="Arial" w:cs="Arial"/>
      <w:sz w:val="34"/>
    </w:rPr>
  </w:style>
  <w:style w:type="character" w:styleId="772" w:customStyle="1">
    <w:name w:val="Heading 3 Char"/>
    <w:basedOn w:val="732"/>
    <w:uiPriority w:val="9"/>
    <w:qFormat/>
    <w:rPr>
      <w:rFonts w:ascii="Arial" w:hAnsi="Arial" w:eastAsia="Arial" w:cs="Arial"/>
      <w:sz w:val="30"/>
      <w:szCs w:val="30"/>
    </w:rPr>
  </w:style>
  <w:style w:type="character" w:styleId="773" w:customStyle="1">
    <w:name w:val="Heading 4 Char"/>
    <w:basedOn w:val="732"/>
    <w:uiPriority w:val="9"/>
    <w:qFormat/>
    <w:rPr>
      <w:rFonts w:ascii="Arial" w:hAnsi="Arial" w:eastAsia="Arial" w:cs="Arial"/>
      <w:b/>
      <w:bCs/>
      <w:sz w:val="26"/>
      <w:szCs w:val="26"/>
    </w:rPr>
  </w:style>
  <w:style w:type="character" w:styleId="774" w:customStyle="1">
    <w:name w:val="Heading 5 Char"/>
    <w:basedOn w:val="732"/>
    <w:link w:val="727"/>
    <w:uiPriority w:val="9"/>
    <w:qFormat/>
    <w:rPr>
      <w:rFonts w:ascii="Arial" w:hAnsi="Arial" w:eastAsia="Arial" w:cs="Arial"/>
      <w:b/>
      <w:bCs/>
      <w:sz w:val="24"/>
      <w:szCs w:val="24"/>
    </w:rPr>
  </w:style>
  <w:style w:type="character" w:styleId="775" w:customStyle="1">
    <w:name w:val="Heading 6 Char"/>
    <w:basedOn w:val="732"/>
    <w:link w:val="728"/>
    <w:uiPriority w:val="9"/>
    <w:qFormat/>
    <w:rPr>
      <w:rFonts w:ascii="Arial" w:hAnsi="Arial" w:eastAsia="Arial" w:cs="Arial"/>
      <w:b/>
      <w:bCs/>
      <w:sz w:val="22"/>
      <w:szCs w:val="22"/>
    </w:rPr>
  </w:style>
  <w:style w:type="character" w:styleId="776" w:customStyle="1">
    <w:name w:val="Heading 7 Char"/>
    <w:basedOn w:val="732"/>
    <w:link w:val="729"/>
    <w:uiPriority w:val="9"/>
    <w:qFormat/>
    <w:rPr>
      <w:rFonts w:ascii="Arial" w:hAnsi="Arial" w:eastAsia="Arial" w:cs="Arial"/>
      <w:b/>
      <w:bCs/>
      <w:i/>
      <w:iCs/>
      <w:sz w:val="22"/>
      <w:szCs w:val="22"/>
    </w:rPr>
  </w:style>
  <w:style w:type="character" w:styleId="777" w:customStyle="1">
    <w:name w:val="Heading 8 Char"/>
    <w:basedOn w:val="732"/>
    <w:link w:val="730"/>
    <w:uiPriority w:val="9"/>
    <w:qFormat/>
    <w:rPr>
      <w:rFonts w:ascii="Arial" w:hAnsi="Arial" w:eastAsia="Arial" w:cs="Arial"/>
      <w:i/>
      <w:iCs/>
      <w:sz w:val="22"/>
      <w:szCs w:val="22"/>
    </w:rPr>
  </w:style>
  <w:style w:type="character" w:styleId="778" w:customStyle="1">
    <w:name w:val="Heading 9 Char"/>
    <w:basedOn w:val="732"/>
    <w:link w:val="731"/>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32"/>
    <w:link w:val="760"/>
    <w:uiPriority w:val="10"/>
    <w:qFormat/>
    <w:rPr>
      <w:sz w:val="48"/>
      <w:szCs w:val="48"/>
    </w:rPr>
  </w:style>
  <w:style w:type="character" w:styleId="781" w:customStyle="1">
    <w:name w:val="Subtitle Char"/>
    <w:basedOn w:val="732"/>
    <w:link w:val="753"/>
    <w:uiPriority w:val="11"/>
    <w:qFormat/>
    <w:rPr>
      <w:sz w:val="24"/>
      <w:szCs w:val="24"/>
    </w:rPr>
  </w:style>
  <w:style w:type="paragraph" w:styleId="782">
    <w:name w:val="Quote"/>
    <w:basedOn w:val="722"/>
    <w:next w:val="722"/>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2"/>
    <w:next w:val="72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732"/>
    <w:uiPriority w:val="99"/>
    <w:qFormat/>
  </w:style>
  <w:style w:type="character" w:styleId="787" w:customStyle="1">
    <w:name w:val="Footer Char"/>
    <w:basedOn w:val="732"/>
    <w:uiPriority w:val="99"/>
    <w:qFormat/>
  </w:style>
  <w:style w:type="character" w:styleId="788" w:customStyle="1">
    <w:name w:val="Caption Char"/>
    <w:uiPriority w:val="99"/>
    <w:qFormat/>
  </w:style>
  <w:style w:type="table" w:styleId="789"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0"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basedOn w:val="7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basedOn w:val="7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basedOn w:val="7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basedOn w:val="7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basedOn w:val="7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basedOn w:val="7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3"/>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3"/>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3"/>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3"/>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3"/>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3"/>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basedOn w:val="7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basedOn w:val="7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basedOn w:val="7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basedOn w:val="7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basedOn w:val="7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basedOn w:val="7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basedOn w:val="7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basedOn w:val="7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basedOn w:val="7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basedOn w:val="7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basedOn w:val="73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basedOn w:val="73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basedOn w:val="73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basedOn w:val="73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basedOn w:val="73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basedOn w:val="73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basedOn w:val="73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basedOn w:val="7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basedOn w:val="7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basedOn w:val="7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basedOn w:val="7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basedOn w:val="7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4"/>
    <w:uiPriority w:val="99"/>
    <w:qFormat/>
    <w:rPr>
      <w:sz w:val="18"/>
    </w:rPr>
  </w:style>
  <w:style w:type="character" w:styleId="915" w:customStyle="1">
    <w:name w:val="Endnote Text Char"/>
    <w:link w:val="748"/>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正文缩进1"/>
    <w:basedOn w:val="722"/>
    <w:next w:val="722"/>
    <w:uiPriority w:val="0"/>
    <w:qFormat/>
    <w:pPr>
      <w:ind w:firstLine="420"/>
    </w:pPr>
    <w:rPr>
      <w:sz w:val="20"/>
      <w:szCs w:val="20"/>
    </w:rPr>
  </w:style>
  <w:style w:type="character" w:styleId="918" w:customStyle="1">
    <w:name w:val="正文文本缩进 Char"/>
    <w:basedOn w:val="732"/>
    <w:link w:val="739"/>
    <w:uiPriority w:val="0"/>
    <w:qFormat/>
    <w:rPr>
      <w:sz w:val="21"/>
      <w:szCs w:val="24"/>
    </w:rPr>
  </w:style>
  <w:style w:type="paragraph" w:styleId="919" w:customStyle="1">
    <w:name w:val="默认段落字体 Para Char Char Char Char Char Char Char"/>
    <w:basedOn w:val="722"/>
    <w:uiPriority w:val="0"/>
    <w:qFormat/>
    <w:rPr>
      <w:rFonts w:ascii="Tahoma" w:hAnsi="Tahoma"/>
      <w:sz w:val="24"/>
      <w:szCs w:val="20"/>
    </w:rPr>
  </w:style>
  <w:style w:type="paragraph" w:styleId="920" w:customStyle="1">
    <w:name w:val="Char"/>
    <w:basedOn w:val="722"/>
    <w:uiPriority w:val="0"/>
    <w:qFormat/>
    <w:pPr>
      <w:tabs>
        <w:tab w:val="left" w:pos="360" w:leader="none"/>
      </w:tabs>
    </w:pPr>
    <w:rPr>
      <w:sz w:val="24"/>
    </w:rPr>
  </w:style>
  <w:style w:type="paragraph" w:styleId="921" w:customStyle="1">
    <w:name w:val="普通正文"/>
    <w:basedOn w:val="722"/>
    <w:uiPriority w:val="0"/>
    <w:qFormat/>
    <w:pPr>
      <w:ind w:firstLine="480"/>
      <w:jc w:val="left"/>
      <w:spacing w:before="120" w:after="120" w:line="360" w:lineRule="auto"/>
    </w:pPr>
    <w:rPr>
      <w:rFonts w:ascii="Arial" w:hAnsi="Arial"/>
      <w:sz w:val="24"/>
    </w:rPr>
  </w:style>
  <w:style w:type="paragraph" w:styleId="922" w:customStyle="1">
    <w:name w:val="p0"/>
    <w:basedOn w:val="923"/>
    <w:uiPriority w:val="0"/>
    <w:qFormat/>
    <w:pPr>
      <w:widowControl/>
    </w:pPr>
    <w:rPr>
      <w:szCs w:val="21"/>
    </w:rPr>
  </w:style>
  <w:style w:type="paragraph" w:styleId="923" w:customStyle="1">
    <w:name w:val="正文11"/>
    <w:next w:val="924"/>
    <w:uiPriority w:val="0"/>
    <w:qFormat/>
    <w:pPr>
      <w:jc w:val="both"/>
    </w:pPr>
    <w:rPr>
      <w:rFonts w:hint="default" w:ascii="Times New Roman" w:hAnsi="Times New Roman" w:eastAsia="宋体" w:cs="Times New Roman"/>
      <w:lang w:val="en-US" w:eastAsia="zh-CN" w:bidi="ar-SA"/>
    </w:rPr>
  </w:style>
  <w:style w:type="paragraph" w:styleId="924" w:customStyle="1">
    <w:name w:val="文本块1"/>
    <w:basedOn w:val="923"/>
    <w:next w:val="925"/>
    <w:uiPriority w:val="0"/>
    <w:qFormat/>
    <w:pPr>
      <w:ind w:left="256" w:right="6" w:firstLine="624"/>
    </w:pPr>
    <w:rPr>
      <w:rFonts w:eastAsia="方正仿宋_GB2312"/>
      <w:sz w:val="28"/>
      <w:szCs w:val="20"/>
    </w:rPr>
  </w:style>
  <w:style w:type="paragraph" w:styleId="925" w:customStyle="1">
    <w:name w:val="标题 41"/>
    <w:basedOn w:val="926"/>
    <w:next w:val="923"/>
    <w:uiPriority w:val="0"/>
    <w:qFormat/>
    <w:pPr>
      <w:keepLines/>
      <w:keepNext/>
      <w:spacing w:before="280" w:after="290" w:line="376" w:lineRule="auto"/>
      <w:outlineLvl w:val="3"/>
    </w:pPr>
    <w:rPr>
      <w:rFonts w:ascii="Arial" w:hAnsi="Arial" w:eastAsia="黑体" w:cs="Arial"/>
      <w:b/>
      <w:bCs/>
      <w:sz w:val="28"/>
      <w:szCs w:val="28"/>
    </w:rPr>
  </w:style>
  <w:style w:type="paragraph" w:styleId="926" w:customStyle="1">
    <w:name w:val="正文12"/>
    <w:next w:val="9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7" w:customStyle="1">
    <w:name w:val="文本块11"/>
    <w:basedOn w:val="928"/>
    <w:uiPriority w:val="0"/>
    <w:qFormat/>
    <w:pPr>
      <w:ind w:left="256" w:right="6" w:firstLine="624"/>
    </w:pPr>
    <w:rPr>
      <w:rFonts w:eastAsia="仿宋_GB2312"/>
      <w:sz w:val="28"/>
    </w:rPr>
  </w:style>
  <w:style w:type="paragraph" w:styleId="928" w:customStyle="1">
    <w:name w:val="正文121"/>
    <w:next w:val="929"/>
    <w:uiPriority w:val="0"/>
    <w:qFormat/>
    <w:pPr>
      <w:jc w:val="both"/>
      <w:widowControl w:val="off"/>
    </w:pPr>
    <w:rPr>
      <w:rFonts w:ascii="Calibri" w:hAnsi="Calibri" w:eastAsia="宋体" w:cs="Times New Roman"/>
      <w:sz w:val="21"/>
      <w:szCs w:val="24"/>
      <w:lang w:val="en-US" w:eastAsia="zh-CN" w:bidi="ar-SA"/>
    </w:rPr>
  </w:style>
  <w:style w:type="paragraph" w:styleId="929" w:customStyle="1">
    <w:name w:val="正文首行缩进 211"/>
    <w:basedOn w:val="930"/>
    <w:next w:val="928"/>
    <w:uiPriority w:val="0"/>
    <w:qFormat/>
    <w:pPr>
      <w:ind w:firstLine="420"/>
      <w:tabs>
        <w:tab w:val="left" w:pos="0" w:leader="none"/>
        <w:tab w:val="left" w:pos="993" w:leader="none"/>
        <w:tab w:val="left" w:pos="1134" w:leader="none"/>
      </w:tabs>
    </w:pPr>
  </w:style>
  <w:style w:type="paragraph" w:styleId="930" w:customStyle="1">
    <w:name w:val="正文文本缩进111"/>
    <w:basedOn w:val="928"/>
    <w:next w:val="931"/>
    <w:uiPriority w:val="0"/>
    <w:qFormat/>
    <w:pPr>
      <w:ind w:firstLine="538"/>
      <w:jc w:val="left"/>
    </w:pPr>
    <w:rPr>
      <w:sz w:val="28"/>
      <w:lang w:val="en-US" w:eastAsia="en-US"/>
    </w:rPr>
  </w:style>
  <w:style w:type="paragraph" w:styleId="931" w:customStyle="1">
    <w:name w:val="样式 正文文本缩进 + 首行缩进:  2 字符 行距: 1.5 倍行距"/>
    <w:basedOn w:val="932"/>
    <w:uiPriority w:val="0"/>
    <w:qFormat/>
    <w:pPr>
      <w:ind w:firstLine="645"/>
      <w:spacing w:before="156" w:after="120"/>
    </w:pPr>
    <w:rPr>
      <w:rFonts w:ascii="Calibri" w:hAnsi="Calibri"/>
      <w:sz w:val="28"/>
    </w:rPr>
  </w:style>
  <w:style w:type="paragraph" w:styleId="932" w:customStyle="1">
    <w:name w:val="正文文本缩进1"/>
    <w:basedOn w:val="923"/>
    <w:next w:val="933"/>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33" w:customStyle="1">
    <w:name w:val="寄信人地址1"/>
    <w:basedOn w:val="934"/>
    <w:uiPriority w:val="0"/>
    <w:qFormat/>
    <w:rPr>
      <w:rFonts w:ascii="Arial" w:hAnsi="Arial"/>
      <w:sz w:val="20"/>
      <w:szCs w:val="20"/>
    </w:rPr>
  </w:style>
  <w:style w:type="paragraph" w:styleId="934" w:customStyle="1">
    <w:name w:val="正文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目录 11"/>
    <w:basedOn w:val="923"/>
    <w:next w:val="926"/>
    <w:uiPriority w:val="0"/>
    <w:qFormat/>
    <w:pPr>
      <w:jc w:val="left"/>
      <w:spacing w:after="100" w:line="259" w:lineRule="auto"/>
      <w:widowControl/>
    </w:pPr>
    <w:rPr>
      <w:rFonts w:ascii="Calibri" w:hAnsi="Calibri" w:eastAsia="宋体"/>
      <w:sz w:val="22"/>
      <w:szCs w:val="22"/>
    </w:rPr>
  </w:style>
  <w:style w:type="paragraph" w:styleId="936" w:customStyle="1">
    <w:name w:val="正文1"/>
    <w:basedOn w:val="934"/>
    <w:next w:val="935"/>
    <w:uiPriority w:val="0"/>
    <w:qFormat/>
    <w:pPr>
      <w:jc w:val="both"/>
      <w:widowControl w:val="off"/>
    </w:pPr>
    <w:rPr>
      <w:rFonts w:hint="default" w:ascii="Calibri" w:hAnsi="Calibri" w:eastAsia="宋体" w:cs="Times New Roman"/>
      <w:sz w:val="21"/>
      <w:szCs w:val="24"/>
      <w:lang w:val="en-US" w:eastAsia="zh-CN" w:bidi="ar-SA"/>
    </w:rPr>
  </w:style>
  <w:style w:type="paragraph" w:styleId="937" w:customStyle="1">
    <w:name w:val="首行缩进"/>
    <w:basedOn w:val="936"/>
    <w:next w:val="936"/>
    <w:uiPriority w:val="0"/>
    <w:qFormat/>
    <w:pPr>
      <w:ind w:left="0" w:firstLine="200"/>
      <w:jc w:val="both"/>
      <w:widowControl w:val="off"/>
    </w:pPr>
    <w:rPr>
      <w:rFonts w:ascii="Times New Roman" w:cs="Times New Roman"/>
      <w:sz w:val="20"/>
    </w:rPr>
  </w:style>
  <w:style w:type="paragraph" w:styleId="938" w:customStyle="1">
    <w:name w:val="Default"/>
    <w:basedOn w:val="722"/>
    <w:uiPriority w:val="0"/>
    <w:qFormat/>
    <w:rPr>
      <w:rFonts w:ascii="宋体" w:hAnsi="宋体" w:cs="宋体"/>
      <w:color w:val="000000"/>
      <w:sz w:val="24"/>
    </w:rPr>
  </w:style>
  <w:style w:type="character" w:styleId="939" w:customStyle="1">
    <w:name w:val="16"/>
    <w:basedOn w:val="732"/>
    <w:uiPriority w:val="0"/>
    <w:qFormat/>
    <w:rPr>
      <w:rFonts w:hint="eastAsia" w:ascii="黑体" w:hAnsi="宋体" w:eastAsia="黑体" w:cs="黑体"/>
      <w:color w:val="000000"/>
      <w:sz w:val="44"/>
      <w:szCs w:val="44"/>
    </w:rPr>
  </w:style>
  <w:style w:type="character" w:styleId="940" w:customStyle="1">
    <w:name w:val="15"/>
    <w:basedOn w:val="732"/>
    <w:uiPriority w:val="0"/>
    <w:qFormat/>
    <w:rPr>
      <w:rFonts w:hint="eastAsia" w:ascii="仿宋" w:hAnsi="仿宋" w:eastAsia="仿宋" w:cs="仿宋"/>
      <w:color w:val="000000"/>
      <w:sz w:val="18"/>
      <w:szCs w:val="18"/>
    </w:rPr>
  </w:style>
  <w:style w:type="paragraph" w:styleId="941" w:customStyle="1">
    <w:name w:val="Table Paragraph"/>
    <w:basedOn w:val="722"/>
    <w:uiPriority w:val="1"/>
    <w:qFormat/>
    <w:rPr>
      <w:rFonts w:ascii="宋体" w:hAnsi="宋体" w:cs="宋体"/>
      <w:lang w:val="zh-CN" w:bidi="zh-CN"/>
    </w:rPr>
  </w:style>
  <w:style w:type="character" w:styleId="942" w:customStyle="1">
    <w:name w:val="标题 3 Char"/>
    <w:basedOn w:val="732"/>
    <w:link w:val="725"/>
    <w:uiPriority w:val="0"/>
    <w:qFormat/>
    <w:rPr>
      <w:b/>
      <w:bCs/>
      <w:sz w:val="32"/>
      <w:szCs w:val="32"/>
    </w:rPr>
  </w:style>
  <w:style w:type="character" w:styleId="943" w:customStyle="1">
    <w:name w:val="正文首行缩进 2 Char"/>
    <w:basedOn w:val="918"/>
    <w:link w:val="762"/>
    <w:uiPriority w:val="0"/>
    <w:qFormat/>
  </w:style>
  <w:style w:type="paragraph" w:styleId="944">
    <w:name w:val="List Paragraph"/>
    <w:basedOn w:val="722"/>
    <w:uiPriority w:val="1"/>
    <w:qFormat/>
    <w:pPr>
      <w:ind w:right="-107"/>
    </w:pPr>
  </w:style>
  <w:style w:type="paragraph" w:styleId="9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6" w:customStyle="1">
    <w:name w:val="正文首行缩进 21"/>
    <w:basedOn w:val="932"/>
    <w:uiPriority w:val="0"/>
    <w:qFormat/>
    <w:pPr>
      <w:ind w:left="420" w:firstLine="420"/>
    </w:pPr>
  </w:style>
  <w:style w:type="character" w:styleId="947" w:customStyle="1">
    <w:name w:val="font21"/>
    <w:basedOn w:val="732"/>
    <w:uiPriority w:val="0"/>
    <w:qFormat/>
    <w:rPr>
      <w:rFonts w:hint="eastAsia" w:ascii="宋体" w:hAnsi="宋体" w:eastAsia="宋体" w:cs="宋体"/>
      <w:color w:val="000000"/>
      <w:sz w:val="20"/>
      <w:szCs w:val="20"/>
      <w:u w:val="none"/>
    </w:rPr>
  </w:style>
  <w:style w:type="paragraph" w:styleId="948" w:customStyle="1">
    <w:name w:val="段"/>
    <w:basedOn w:val="936"/>
    <w:next w:val="949"/>
    <w:uiPriority w:val="99"/>
    <w:qFormat/>
    <w:pPr>
      <w:ind w:firstLine="200"/>
      <w:jc w:val="both"/>
    </w:pPr>
    <w:rPr>
      <w:rFonts w:hint="default" w:ascii="宋体" w:hAnsi="Times New Roman" w:eastAsia="Times New Roman" w:cs="Times New Roman"/>
      <w:sz w:val="21"/>
      <w:lang w:val="en-US" w:eastAsia="zh-CN" w:bidi="ar-SA"/>
    </w:rPr>
  </w:style>
  <w:style w:type="paragraph" w:styleId="949" w:customStyle="1">
    <w:name w:val="正文112"/>
    <w:next w:val="950"/>
    <w:uiPriority w:val="0"/>
    <w:qFormat/>
    <w:pPr>
      <w:jc w:val="left"/>
      <w:spacing w:beforeAutospacing="0" w:afterAutospacing="0" w:line="360" w:lineRule="atLeast"/>
      <w:widowControl w:val="off"/>
    </w:pPr>
    <w:rPr>
      <w:rFonts w:hint="default" w:ascii="宋体" w:hAnsi="Calibri" w:eastAsia="宋体" w:cs="Times New Roman"/>
      <w:sz w:val="24"/>
      <w:szCs w:val="20"/>
      <w:lang w:val="en-US" w:eastAsia="zh-CN" w:bidi="ar-SA"/>
    </w:rPr>
  </w:style>
  <w:style w:type="paragraph" w:styleId="950" w:customStyle="1">
    <w:name w:val="正文文本11"/>
    <w:next w:val="95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1" w:customStyle="1">
    <w:name w:val="一级条标题"/>
    <w:basedOn w:val="952"/>
    <w:next w:val="9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94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3" w:customStyle="1">
    <w:name w:val="脚注文本1"/>
    <w:basedOn w:val="936"/>
    <w:next w:val="954"/>
    <w:uiPriority w:val="0"/>
    <w:qFormat/>
    <w:pPr>
      <w:jc w:val="left"/>
    </w:pPr>
    <w:rPr>
      <w:rFonts w:ascii="宋体" w:eastAsia="Times New Roman"/>
      <w:sz w:val="18"/>
      <w:szCs w:val="18"/>
    </w:rPr>
  </w:style>
  <w:style w:type="paragraph" w:styleId="954" w:customStyle="1">
    <w:name w:val="索引 51"/>
    <w:basedOn w:val="936"/>
    <w:next w:val="936"/>
    <w:uiPriority w:val="0"/>
    <w:qFormat/>
    <w:pPr>
      <w:ind w:left="798"/>
      <w:jc w:val="left"/>
    </w:pPr>
    <w:rPr>
      <w:rFonts w:ascii="Calibri" w:hAnsi="Calibri"/>
    </w:rPr>
  </w:style>
  <w:style w:type="character" w:styleId="955" w:customStyle="1">
    <w:name w:val="font31"/>
    <w:basedOn w:val="732"/>
    <w:uiPriority w:val="0"/>
    <w:qFormat/>
    <w:rPr>
      <w:rFonts w:hint="eastAsia" w:ascii="宋体" w:hAnsi="宋体" w:eastAsia="宋体" w:cs="宋体"/>
      <w:color w:val="000000"/>
      <w:sz w:val="20"/>
      <w:szCs w:val="20"/>
      <w:u w:val="none"/>
    </w:rPr>
  </w:style>
  <w:style w:type="paragraph" w:styleId="956" w:customStyle="1">
    <w:name w:val="索引 41"/>
    <w:basedOn w:val="722"/>
    <w:next w:val="722"/>
    <w:uiPriority w:val="0"/>
    <w:semiHidden/>
    <w:qFormat/>
    <w:pPr>
      <w:ind w:left="1260"/>
    </w:pPr>
    <w:rPr>
      <w:rFonts w:ascii="Calibri" w:hAnsi="Calibri" w:eastAsia="Calibri" w:cs="宋体"/>
      <w:sz w:val="20"/>
      <w:lang w:val="zh-CN"/>
    </w:rPr>
  </w:style>
  <w:style w:type="paragraph" w:styleId="957" w:customStyle="1">
    <w:name w:val="标题 31"/>
    <w:basedOn w:val="722"/>
    <w:next w:val="925"/>
    <w:uiPriority w:val="9"/>
    <w:qFormat/>
    <w:pPr>
      <w:ind w:left="720" w:hanging="720"/>
      <w:keepLines/>
      <w:keepNext/>
      <w:spacing w:before="260" w:after="260" w:line="416" w:lineRule="auto"/>
      <w:outlineLvl w:val="2"/>
    </w:pPr>
    <w:rPr>
      <w:rFonts w:ascii="Calibri" w:eastAsia="宋体"/>
      <w:b/>
      <w:bCs/>
      <w:sz w:val="32"/>
      <w:szCs w:val="32"/>
    </w:rPr>
  </w:style>
  <w:style w:type="paragraph" w:styleId="958" w:customStyle="1">
    <w:name w:val="页眉1"/>
    <w:basedOn w:val="722"/>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59" w:customStyle="1">
    <w:name w:val="页脚1"/>
    <w:basedOn w:val="722"/>
    <w:uiPriority w:val="99"/>
    <w:qFormat/>
    <w:pPr>
      <w:jc w:val="left"/>
      <w:tabs>
        <w:tab w:val="center" w:pos="4153" w:leader="none"/>
        <w:tab w:val="right" w:pos="8306" w:leader="none"/>
      </w:tabs>
    </w:pPr>
    <w:rPr>
      <w:rFonts w:ascii="Calibri" w:eastAsia="宋体"/>
      <w:sz w:val="18"/>
      <w:szCs w:val="18"/>
    </w:rPr>
  </w:style>
  <w:style w:type="numbering" w:styleId="14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08D01-A560-4292-8B9B-D88412E460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尹苏梅</cp:lastModifiedBy>
  <cp:revision>102</cp:revision>
  <dcterms:created xsi:type="dcterms:W3CDTF">2025-12-23T08:39:00Z</dcterms:created>
  <dcterms:modified xsi:type="dcterms:W3CDTF">2026-10-19T01:48:25Z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ies>
</file>