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479F3">
      <w:pPr>
        <w:pStyle w:val="26"/>
        <w:numPr>
          <w:ilvl w:val="0"/>
          <w:numId w:val="0"/>
        </w:numPr>
        <w:spacing w:line="360" w:lineRule="auto"/>
        <w:ind w:firstLine="560" w:firstLineChars="200"/>
        <w:jc w:val="left"/>
        <w:outlineLvl w:val="9"/>
        <w:rPr>
          <w:rFonts w:hint="eastAsia" w:ascii="宋体" w:hAnsi="宋体" w:eastAsia="宋体" w:cs="宋体"/>
          <w:color w:val="000000"/>
          <w:sz w:val="28"/>
          <w:szCs w:val="28"/>
          <w:lang w:eastAsia="zh-CN"/>
        </w:rPr>
        <w:sectPr>
          <w:pgSz w:w="11906" w:h="16838"/>
          <w:pgMar w:top="1440" w:right="1800" w:bottom="1440" w:left="1800" w:header="851" w:footer="992" w:gutter="0"/>
          <w:cols w:space="720" w:num="1"/>
          <w:docGrid w:type="lines" w:linePitch="312" w:charSpace="0"/>
        </w:sectPr>
      </w:pPr>
      <w:bookmarkStart w:id="0" w:name="_Toc17977"/>
      <w:r>
        <w:rPr>
          <w:rFonts w:hint="eastAsia" w:ascii="宋体" w:hAnsi="宋体" w:eastAsia="宋体" w:cs="宋体"/>
          <w:b w:val="0"/>
          <w:bCs w:val="0"/>
          <w:color w:val="000000"/>
          <w:sz w:val="28"/>
          <w:szCs w:val="28"/>
        </w:rPr>
        <w:t>如有建议或意见，请以书面形式并加盖公章、注明联系人、联系方式，于202</w:t>
      </w:r>
      <w:r>
        <w:rPr>
          <w:rFonts w:hint="eastAsia" w:ascii="宋体" w:hAnsi="宋体" w:eastAsia="宋体" w:cs="宋体"/>
          <w:b w:val="0"/>
          <w:bCs w:val="0"/>
          <w:color w:val="000000"/>
          <w:sz w:val="28"/>
          <w:szCs w:val="28"/>
          <w:lang w:val="en-US" w:eastAsia="zh-CN"/>
        </w:rPr>
        <w:t>6</w:t>
      </w:r>
      <w:r>
        <w:rPr>
          <w:rFonts w:hint="eastAsia" w:ascii="宋体" w:hAnsi="宋体" w:eastAsia="宋体" w:cs="宋体"/>
          <w:b w:val="0"/>
          <w:bCs w:val="0"/>
          <w:color w:val="000000"/>
          <w:sz w:val="28"/>
          <w:szCs w:val="28"/>
        </w:rPr>
        <w:t>年</w:t>
      </w:r>
      <w:r>
        <w:rPr>
          <w:rFonts w:hint="eastAsia" w:ascii="宋体" w:hAnsi="宋体" w:eastAsia="宋体" w:cs="宋体"/>
          <w:b w:val="0"/>
          <w:bCs w:val="0"/>
          <w:color w:val="000000"/>
          <w:sz w:val="28"/>
          <w:szCs w:val="28"/>
          <w:lang w:val="en-US" w:eastAsia="zh-CN"/>
        </w:rPr>
        <w:t>10</w:t>
      </w:r>
      <w:r>
        <w:rPr>
          <w:rFonts w:hint="eastAsia" w:ascii="宋体" w:hAnsi="宋体" w:eastAsia="宋体" w:cs="宋体"/>
          <w:b w:val="0"/>
          <w:bCs w:val="0"/>
          <w:color w:val="000000"/>
          <w:sz w:val="28"/>
          <w:szCs w:val="28"/>
        </w:rPr>
        <w:t>月</w:t>
      </w:r>
      <w:r>
        <w:rPr>
          <w:rFonts w:hint="eastAsia" w:ascii="宋体" w:hAnsi="宋体" w:eastAsia="宋体" w:cs="宋体"/>
          <w:b w:val="0"/>
          <w:bCs w:val="0"/>
          <w:color w:val="000000"/>
          <w:sz w:val="28"/>
          <w:szCs w:val="28"/>
          <w:lang w:val="en-US" w:eastAsia="zh-CN"/>
        </w:rPr>
        <w:t>23</w:t>
      </w:r>
      <w:r>
        <w:rPr>
          <w:rFonts w:hint="eastAsia" w:ascii="宋体" w:hAnsi="宋体" w:eastAsia="宋体" w:cs="宋体"/>
          <w:b w:val="0"/>
          <w:bCs w:val="0"/>
          <w:color w:val="000000"/>
          <w:sz w:val="28"/>
          <w:szCs w:val="28"/>
        </w:rPr>
        <w:t>日17:00之前送至我单位，逾期不受理（如邮寄，202</w:t>
      </w:r>
      <w:r>
        <w:rPr>
          <w:rFonts w:hint="eastAsia" w:ascii="宋体" w:hAnsi="宋体" w:eastAsia="宋体" w:cs="宋体"/>
          <w:b w:val="0"/>
          <w:bCs w:val="0"/>
          <w:color w:val="000000"/>
          <w:sz w:val="28"/>
          <w:szCs w:val="28"/>
          <w:lang w:val="en-US" w:eastAsia="zh-CN"/>
        </w:rPr>
        <w:t>6</w:t>
      </w:r>
      <w:r>
        <w:rPr>
          <w:rFonts w:hint="eastAsia" w:ascii="宋体" w:hAnsi="宋体" w:eastAsia="宋体" w:cs="宋体"/>
          <w:b w:val="0"/>
          <w:bCs w:val="0"/>
          <w:color w:val="000000"/>
          <w:sz w:val="28"/>
          <w:szCs w:val="28"/>
        </w:rPr>
        <w:t>年</w:t>
      </w:r>
      <w:r>
        <w:rPr>
          <w:rFonts w:hint="eastAsia" w:ascii="宋体" w:hAnsi="宋体" w:eastAsia="宋体" w:cs="宋体"/>
          <w:b w:val="0"/>
          <w:bCs w:val="0"/>
          <w:color w:val="000000"/>
          <w:sz w:val="28"/>
          <w:szCs w:val="28"/>
          <w:lang w:val="en-US" w:eastAsia="zh-CN"/>
        </w:rPr>
        <w:t>10</w:t>
      </w:r>
      <w:r>
        <w:rPr>
          <w:rFonts w:hint="eastAsia" w:ascii="宋体" w:hAnsi="宋体" w:eastAsia="宋体" w:cs="宋体"/>
          <w:b w:val="0"/>
          <w:bCs w:val="0"/>
          <w:color w:val="000000"/>
          <w:sz w:val="28"/>
          <w:szCs w:val="28"/>
        </w:rPr>
        <w:t>月</w:t>
      </w:r>
      <w:r>
        <w:rPr>
          <w:rFonts w:hint="eastAsia" w:ascii="宋体" w:hAnsi="宋体" w:eastAsia="宋体" w:cs="宋体"/>
          <w:b w:val="0"/>
          <w:bCs w:val="0"/>
          <w:color w:val="000000"/>
          <w:sz w:val="28"/>
          <w:szCs w:val="28"/>
          <w:lang w:val="en-US" w:eastAsia="zh-CN"/>
        </w:rPr>
        <w:t>23</w:t>
      </w:r>
      <w:r>
        <w:rPr>
          <w:rFonts w:hint="eastAsia" w:ascii="宋体" w:hAnsi="宋体" w:eastAsia="宋体" w:cs="宋体"/>
          <w:b w:val="0"/>
          <w:bCs w:val="0"/>
          <w:color w:val="000000"/>
          <w:sz w:val="28"/>
          <w:szCs w:val="28"/>
        </w:rPr>
        <w:t>日17:00之后到达</w:t>
      </w:r>
      <w:bookmarkStart w:id="25" w:name="_GoBack"/>
      <w:bookmarkEnd w:id="25"/>
      <w:r>
        <w:rPr>
          <w:rFonts w:hint="eastAsia" w:ascii="宋体" w:hAnsi="宋体" w:eastAsia="宋体" w:cs="宋体"/>
          <w:b w:val="0"/>
          <w:bCs w:val="0"/>
          <w:color w:val="000000"/>
          <w:sz w:val="28"/>
          <w:szCs w:val="28"/>
        </w:rPr>
        <w:t>本公司的邮件将不再受理）</w:t>
      </w:r>
      <w:r>
        <w:rPr>
          <w:rFonts w:hint="eastAsia" w:ascii="宋体" w:hAnsi="宋体" w:eastAsia="宋体" w:cs="宋体"/>
          <w:b w:val="0"/>
          <w:bCs w:val="0"/>
          <w:color w:val="000000"/>
          <w:sz w:val="28"/>
          <w:szCs w:val="28"/>
          <w:lang w:eastAsia="zh-CN"/>
        </w:rPr>
        <w:t>。</w:t>
      </w:r>
    </w:p>
    <w:bookmarkEnd w:id="0"/>
    <w:p w14:paraId="56141D13">
      <w:pPr>
        <w:pStyle w:val="7"/>
        <w:keepNext w:val="0"/>
        <w:keepLines w:val="0"/>
        <w:pageBreakBefore w:val="0"/>
        <w:widowControl/>
        <w:numPr>
          <w:ilvl w:val="0"/>
          <w:numId w:val="0"/>
        </w:numPr>
        <w:kinsoku/>
        <w:wordWrap/>
        <w:overflowPunct/>
        <w:topLinePunct w:val="0"/>
        <w:autoSpaceDE/>
        <w:autoSpaceDN/>
        <w:bidi w:val="0"/>
        <w:adjustRightInd/>
        <w:snapToGrid/>
        <w:spacing w:line="360" w:lineRule="auto"/>
        <w:ind w:left="0"/>
        <w:jc w:val="center"/>
        <w:textAlignment w:val="auto"/>
        <w:outlineLvl w:val="0"/>
        <w:rPr>
          <w:rFonts w:hint="eastAsia" w:ascii="宋体" w:hAnsi="宋体" w:eastAsia="宋体" w:cs="宋体"/>
          <w:b/>
          <w:bCs/>
          <w:color w:val="auto"/>
          <w:sz w:val="32"/>
          <w:szCs w:val="32"/>
          <w:highlight w:val="none"/>
        </w:rPr>
      </w:pPr>
    </w:p>
    <w:p w14:paraId="246C2BF3">
      <w:pPr>
        <w:pStyle w:val="7"/>
        <w:keepNext w:val="0"/>
        <w:keepLines w:val="0"/>
        <w:pageBreakBefore w:val="0"/>
        <w:widowControl/>
        <w:numPr>
          <w:ilvl w:val="0"/>
          <w:numId w:val="0"/>
        </w:numPr>
        <w:kinsoku/>
        <w:wordWrap/>
        <w:overflowPunct/>
        <w:topLinePunct w:val="0"/>
        <w:autoSpaceDE/>
        <w:autoSpaceDN/>
        <w:bidi w:val="0"/>
        <w:adjustRightInd/>
        <w:snapToGrid/>
        <w:spacing w:line="360" w:lineRule="auto"/>
        <w:ind w:left="0"/>
        <w:jc w:val="center"/>
        <w:textAlignment w:val="auto"/>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项目要求（采购需求）</w:t>
      </w:r>
    </w:p>
    <w:p w14:paraId="50082EFA">
      <w:pPr>
        <w:pageBreakBefore w:val="0"/>
        <w:numPr>
          <w:ilvl w:val="0"/>
          <w:numId w:val="0"/>
        </w:numPr>
        <w:spacing w:line="360" w:lineRule="auto"/>
        <w:ind w:firstLine="241" w:firstLineChars="1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一、采购预算</w:t>
      </w:r>
    </w:p>
    <w:p w14:paraId="3C771B5F">
      <w:pPr>
        <w:pageBreakBefore w:val="0"/>
        <w:numPr>
          <w:ilvl w:val="-1"/>
          <w:numId w:val="0"/>
        </w:numPr>
        <w:spacing w:line="360" w:lineRule="auto"/>
        <w:ind w:firstLine="422"/>
        <w:jc w:val="left"/>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本项目不接受</w:t>
      </w:r>
      <w:r>
        <w:rPr>
          <w:rFonts w:hint="eastAsia" w:ascii="宋体" w:hAnsi="宋体" w:cs="宋体"/>
          <w:b/>
          <w:bCs/>
          <w:color w:val="auto"/>
          <w:sz w:val="24"/>
          <w:szCs w:val="24"/>
          <w:highlight w:val="none"/>
          <w:lang w:val="en-US" w:eastAsia="zh-CN" w:bidi="ar-SA"/>
        </w:rPr>
        <w:t>超过163</w:t>
      </w:r>
      <w:r>
        <w:rPr>
          <w:rFonts w:hint="eastAsia" w:ascii="宋体" w:hAnsi="宋体" w:eastAsia="宋体" w:cs="宋体"/>
          <w:b/>
          <w:bCs/>
          <w:color w:val="auto"/>
          <w:sz w:val="24"/>
          <w:szCs w:val="24"/>
          <w:highlight w:val="none"/>
          <w:lang w:val="en-US" w:eastAsia="zh-CN" w:bidi="ar-SA"/>
        </w:rPr>
        <w:t>万元（采购项目预算金额）的投标报价。</w:t>
      </w:r>
    </w:p>
    <w:p w14:paraId="25502DDE">
      <w:pPr>
        <w:keepNext w:val="0"/>
        <w:keepLines w:val="0"/>
        <w:pageBreakBefore w:val="0"/>
        <w:widowControl/>
        <w:suppressLineNumbers w:val="0"/>
        <w:spacing w:line="360" w:lineRule="auto"/>
        <w:ind w:left="0" w:firstLine="422" w:firstLineChars="200"/>
        <w:jc w:val="left"/>
        <w:rPr>
          <w:rFonts w:hint="eastAsia" w:ascii="宋体" w:hAnsi="宋体" w:eastAsia="宋体" w:cs="宋体"/>
          <w:b/>
          <w:bCs/>
          <w:color w:val="auto"/>
          <w:sz w:val="24"/>
          <w:szCs w:val="24"/>
          <w:highlight w:val="none"/>
          <w:lang w:val="en-US" w:eastAsia="zh-CN" w:bidi="ar-SA"/>
        </w:rPr>
      </w:pPr>
      <w:r>
        <w:rPr>
          <w:rFonts w:hint="eastAsia" w:ascii="宋体" w:hAnsi="宋体" w:cs="宋体"/>
          <w:b/>
          <w:bCs/>
          <w:color w:val="auto"/>
          <w:sz w:val="21"/>
          <w:szCs w:val="21"/>
          <w:highlight w:val="none"/>
          <w:lang w:val="en-US" w:eastAsia="zh-CN" w:bidi="ar-SA"/>
        </w:rPr>
        <w:t>本项目分为2个采购包：</w:t>
      </w:r>
    </w:p>
    <w:p w14:paraId="24A110CD">
      <w:pPr>
        <w:widowControl/>
        <w:numPr>
          <w:ilvl w:val="-1"/>
          <w:numId w:val="0"/>
        </w:numPr>
        <w:spacing w:line="360" w:lineRule="auto"/>
        <w:ind w:firstLine="480"/>
        <w:jc w:val="both"/>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其中采购包一不接受超过</w:t>
      </w:r>
      <w:r>
        <w:rPr>
          <w:rFonts w:hint="eastAsia" w:ascii="宋体" w:hAnsi="宋体" w:eastAsia="宋体" w:cs="宋体"/>
          <w:b/>
          <w:bCs/>
          <w:color w:val="auto"/>
          <w:sz w:val="24"/>
          <w:szCs w:val="24"/>
          <w:highlight w:val="none"/>
          <w:lang w:val="en-US" w:eastAsia="zh-CN" w:bidi="ar-SA"/>
        </w:rPr>
        <w:t>823286.49元</w:t>
      </w:r>
      <w:r>
        <w:rPr>
          <w:rFonts w:hint="eastAsia" w:ascii="宋体" w:hAnsi="宋体" w:eastAsia="宋体" w:cs="宋体"/>
          <w:b w:val="0"/>
          <w:bCs w:val="0"/>
          <w:color w:val="auto"/>
          <w:sz w:val="24"/>
          <w:szCs w:val="24"/>
          <w:highlight w:val="none"/>
          <w:lang w:val="en-US" w:eastAsia="zh-CN" w:bidi="ar-SA"/>
        </w:rPr>
        <w:t>的投标报价，采购包一涉及古邳镇、沙集镇、魏集镇、梁集镇、凌城镇、睢城街道、睢河街道、邱集镇、高作镇共</w:t>
      </w:r>
      <w:r>
        <w:rPr>
          <w:rFonts w:hint="eastAsia" w:ascii="宋体" w:hAnsi="宋体" w:cs="宋体"/>
          <w:b w:val="0"/>
          <w:bCs w:val="0"/>
          <w:color w:val="auto"/>
          <w:sz w:val="24"/>
          <w:szCs w:val="24"/>
          <w:highlight w:val="none"/>
          <w:lang w:val="en-US" w:eastAsia="zh-CN" w:bidi="ar-SA"/>
        </w:rPr>
        <w:t>27</w:t>
      </w:r>
      <w:r>
        <w:rPr>
          <w:rFonts w:hint="eastAsia" w:ascii="宋体" w:hAnsi="宋体" w:eastAsia="宋体" w:cs="宋体"/>
          <w:b w:val="0"/>
          <w:bCs w:val="0"/>
          <w:color w:val="auto"/>
          <w:sz w:val="24"/>
          <w:szCs w:val="24"/>
          <w:highlight w:val="none"/>
          <w:lang w:val="en-US" w:eastAsia="zh-CN" w:bidi="ar-SA"/>
        </w:rPr>
        <w:t>个村</w:t>
      </w:r>
      <w:r>
        <w:rPr>
          <w:rFonts w:hint="eastAsia" w:ascii="宋体" w:hAnsi="宋体" w:cs="宋体"/>
          <w:b w:val="0"/>
          <w:bCs w:val="0"/>
          <w:color w:val="auto"/>
          <w:sz w:val="24"/>
          <w:szCs w:val="24"/>
          <w:highlight w:val="none"/>
          <w:lang w:val="en-US" w:eastAsia="zh-CN" w:bidi="ar-SA"/>
        </w:rPr>
        <w:t>及社区(</w:t>
      </w:r>
      <w:r>
        <w:rPr>
          <w:rFonts w:hint="eastAsia" w:ascii="宋体" w:hAnsi="宋体" w:eastAsia="宋体" w:cs="宋体"/>
          <w:color w:val="auto"/>
          <w:sz w:val="24"/>
          <w:szCs w:val="24"/>
          <w:highlight w:val="none"/>
          <w:lang w:eastAsia="zh-CN"/>
        </w:rPr>
        <w:t>承包土地面积87660.692亩</w:t>
      </w:r>
      <w:r>
        <w:rPr>
          <w:rFonts w:hint="eastAsia" w:ascii="宋体" w:hAnsi="宋体" w:cs="宋体"/>
          <w:b w:val="0"/>
          <w:bCs w:val="0"/>
          <w:color w:val="auto"/>
          <w:sz w:val="24"/>
          <w:szCs w:val="24"/>
          <w:highlight w:val="none"/>
          <w:lang w:val="en-US" w:eastAsia="zh-CN" w:bidi="ar-SA"/>
        </w:rPr>
        <w:t>)</w:t>
      </w:r>
      <w:r>
        <w:rPr>
          <w:rFonts w:hint="eastAsia" w:ascii="宋体" w:hAnsi="宋体" w:eastAsia="宋体" w:cs="宋体"/>
          <w:b w:val="0"/>
          <w:bCs w:val="0"/>
          <w:color w:val="auto"/>
          <w:sz w:val="24"/>
          <w:szCs w:val="24"/>
          <w:highlight w:val="none"/>
          <w:lang w:val="en-US" w:eastAsia="zh-CN" w:bidi="ar-SA"/>
        </w:rPr>
        <w:t>；为牵头采购包</w:t>
      </w:r>
      <w:r>
        <w:rPr>
          <w:rFonts w:hint="eastAsia" w:ascii="宋体" w:hAnsi="宋体" w:cs="宋体"/>
          <w:b w:val="0"/>
          <w:bCs w:val="0"/>
          <w:color w:val="auto"/>
          <w:sz w:val="24"/>
          <w:szCs w:val="24"/>
          <w:highlight w:val="none"/>
          <w:lang w:val="en-US" w:eastAsia="zh-CN" w:bidi="ar-SA"/>
        </w:rPr>
        <w:t>。</w:t>
      </w:r>
      <w:r>
        <w:rPr>
          <w:rFonts w:hint="eastAsia" w:ascii="宋体" w:hAnsi="宋体" w:eastAsia="宋体" w:cs="宋体"/>
          <w:b w:val="0"/>
          <w:bCs w:val="0"/>
          <w:color w:val="auto"/>
          <w:sz w:val="24"/>
          <w:szCs w:val="24"/>
          <w:highlight w:val="none"/>
          <w:lang w:val="en-US" w:eastAsia="zh-CN" w:bidi="ar-SA"/>
        </w:rPr>
        <w:t>采购包二不接受超过</w:t>
      </w:r>
      <w:r>
        <w:rPr>
          <w:rFonts w:hint="eastAsia" w:ascii="宋体" w:hAnsi="宋体" w:eastAsia="宋体" w:cs="宋体"/>
          <w:b/>
          <w:bCs/>
          <w:color w:val="auto"/>
          <w:sz w:val="24"/>
          <w:szCs w:val="24"/>
          <w:highlight w:val="none"/>
          <w:lang w:val="en-US" w:eastAsia="zh-CN" w:bidi="ar-SA"/>
        </w:rPr>
        <w:t>806713.51元</w:t>
      </w:r>
      <w:r>
        <w:rPr>
          <w:rFonts w:hint="eastAsia" w:ascii="宋体" w:hAnsi="宋体" w:eastAsia="宋体" w:cs="宋体"/>
          <w:b w:val="0"/>
          <w:bCs w:val="0"/>
          <w:color w:val="auto"/>
          <w:sz w:val="24"/>
          <w:szCs w:val="24"/>
          <w:highlight w:val="none"/>
          <w:lang w:val="en-US" w:eastAsia="zh-CN" w:bidi="ar-SA"/>
        </w:rPr>
        <w:t>的投标报价，涉及</w:t>
      </w:r>
      <w:r>
        <w:rPr>
          <w:rFonts w:hint="eastAsia" w:ascii="宋体" w:hAnsi="宋体" w:eastAsia="宋体" w:cs="宋体"/>
          <w:color w:val="auto"/>
          <w:sz w:val="24"/>
          <w:szCs w:val="24"/>
          <w:highlight w:val="none"/>
          <w:lang w:val="en-US" w:eastAsia="zh-CN"/>
        </w:rPr>
        <w:t>双沟镇、李集镇、金城街道、姚集镇、庆安镇、岚山镇、桃园镇、</w:t>
      </w:r>
      <w:r>
        <w:rPr>
          <w:rFonts w:hint="eastAsia" w:ascii="宋体" w:hAnsi="宋体" w:cs="宋体"/>
          <w:color w:val="auto"/>
          <w:sz w:val="24"/>
          <w:szCs w:val="24"/>
          <w:highlight w:val="none"/>
          <w:lang w:val="en-US" w:eastAsia="zh-CN"/>
        </w:rPr>
        <w:t>王</w:t>
      </w:r>
      <w:r>
        <w:rPr>
          <w:rFonts w:hint="eastAsia" w:ascii="宋体" w:hAnsi="宋体" w:eastAsia="宋体" w:cs="宋体"/>
          <w:color w:val="auto"/>
          <w:sz w:val="24"/>
          <w:szCs w:val="24"/>
          <w:highlight w:val="none"/>
          <w:lang w:val="en-US" w:eastAsia="zh-CN"/>
        </w:rPr>
        <w:t>集镇共</w:t>
      </w:r>
      <w:r>
        <w:rPr>
          <w:rFonts w:hint="eastAsia" w:ascii="宋体" w:hAnsi="宋体" w:cs="宋体"/>
          <w:b w:val="0"/>
          <w:bCs w:val="0"/>
          <w:color w:val="auto"/>
          <w:sz w:val="24"/>
          <w:szCs w:val="24"/>
          <w:highlight w:val="none"/>
          <w:lang w:val="en-US" w:eastAsia="zh-CN" w:bidi="ar-SA"/>
        </w:rPr>
        <w:t>24</w:t>
      </w:r>
      <w:r>
        <w:rPr>
          <w:rFonts w:hint="eastAsia" w:ascii="宋体" w:hAnsi="宋体" w:eastAsia="宋体" w:cs="宋体"/>
          <w:b w:val="0"/>
          <w:bCs w:val="0"/>
          <w:color w:val="auto"/>
          <w:sz w:val="24"/>
          <w:szCs w:val="24"/>
          <w:highlight w:val="none"/>
          <w:lang w:val="en-US" w:eastAsia="zh-CN" w:bidi="ar-SA"/>
        </w:rPr>
        <w:t>个村</w:t>
      </w:r>
      <w:r>
        <w:rPr>
          <w:rFonts w:hint="eastAsia" w:ascii="宋体" w:hAnsi="宋体" w:cs="宋体"/>
          <w:b w:val="0"/>
          <w:bCs w:val="0"/>
          <w:color w:val="auto"/>
          <w:sz w:val="24"/>
          <w:szCs w:val="24"/>
          <w:highlight w:val="none"/>
          <w:lang w:val="en-US" w:eastAsia="zh-CN" w:bidi="ar-SA"/>
        </w:rPr>
        <w:t>及社区(</w:t>
      </w:r>
      <w:r>
        <w:rPr>
          <w:rFonts w:hint="eastAsia" w:ascii="宋体" w:hAnsi="宋体" w:eastAsia="宋体" w:cs="宋体"/>
          <w:color w:val="auto"/>
          <w:sz w:val="24"/>
          <w:szCs w:val="24"/>
          <w:highlight w:val="none"/>
          <w:lang w:eastAsia="zh-CN"/>
        </w:rPr>
        <w:t>承包土地面积85896.0585亩</w:t>
      </w:r>
      <w:r>
        <w:rPr>
          <w:rFonts w:hint="eastAsia" w:ascii="宋体" w:hAnsi="宋体" w:cs="宋体"/>
          <w:b w:val="0"/>
          <w:bCs w:val="0"/>
          <w:color w:val="auto"/>
          <w:sz w:val="24"/>
          <w:szCs w:val="24"/>
          <w:highlight w:val="none"/>
          <w:lang w:val="en-US" w:eastAsia="zh-CN" w:bidi="ar-SA"/>
        </w:rPr>
        <w:t>)</w:t>
      </w:r>
      <w:r>
        <w:rPr>
          <w:rFonts w:hint="eastAsia" w:ascii="宋体" w:hAnsi="宋体" w:eastAsia="宋体" w:cs="宋体"/>
          <w:b w:val="0"/>
          <w:bCs w:val="0"/>
          <w:color w:val="auto"/>
          <w:sz w:val="24"/>
          <w:szCs w:val="24"/>
          <w:highlight w:val="none"/>
          <w:lang w:val="en-US" w:eastAsia="zh-CN" w:bidi="ar-SA"/>
        </w:rPr>
        <w:t>。</w:t>
      </w:r>
    </w:p>
    <w:p w14:paraId="337A738B">
      <w:pPr>
        <w:pageBreakBefore w:val="0"/>
        <w:numPr>
          <w:ilvl w:val="0"/>
          <w:numId w:val="0"/>
        </w:numPr>
        <w:spacing w:line="360" w:lineRule="auto"/>
        <w:ind w:firstLine="420"/>
        <w:jc w:val="left"/>
        <w:rPr>
          <w:rFonts w:hint="eastAsia" w:ascii="宋体" w:hAnsi="宋体" w:eastAsia="宋体" w:cs="宋体"/>
          <w:b/>
          <w:bCs/>
          <w:color w:val="auto"/>
          <w:sz w:val="24"/>
          <w:szCs w:val="24"/>
          <w:highlight w:val="none"/>
        </w:rPr>
      </w:pPr>
      <w:r>
        <w:rPr>
          <w:rFonts w:hint="eastAsia" w:ascii="宋体" w:hAnsi="宋体" w:eastAsia="宋体" w:cs="宋体"/>
          <w:b w:val="0"/>
          <w:bCs w:val="0"/>
          <w:color w:val="auto"/>
          <w:sz w:val="24"/>
          <w:szCs w:val="24"/>
          <w:highlight w:val="none"/>
          <w:lang w:val="en-US" w:eastAsia="zh-CN" w:bidi="ar-SA"/>
        </w:rPr>
        <w:t>报价包含完成该采购项目的直接成本（所有人员</w:t>
      </w:r>
      <w:r>
        <w:rPr>
          <w:rFonts w:hint="eastAsia" w:ascii="宋体" w:hAnsi="宋体" w:cs="宋体"/>
          <w:b w:val="0"/>
          <w:bCs w:val="0"/>
          <w:color w:val="auto"/>
          <w:sz w:val="24"/>
          <w:szCs w:val="24"/>
          <w:highlight w:val="none"/>
          <w:lang w:val="en-US" w:eastAsia="zh-CN" w:bidi="ar-SA"/>
        </w:rPr>
        <w:t>，</w:t>
      </w:r>
      <w:r>
        <w:rPr>
          <w:rFonts w:hint="eastAsia" w:ascii="宋体" w:hAnsi="宋体" w:eastAsia="宋体" w:cs="宋体"/>
          <w:b w:val="0"/>
          <w:bCs w:val="0"/>
          <w:color w:val="auto"/>
          <w:sz w:val="24"/>
          <w:szCs w:val="24"/>
          <w:highlight w:val="none"/>
          <w:lang w:val="en-US" w:eastAsia="zh-CN" w:bidi="ar-SA"/>
        </w:rPr>
        <w:t>包括人员工资、差旅费、误餐费、补助费、津贴、社保、医保、人身保险费用、通讯及交通费等，用于本项目人员的其他专项开支等）、间接成本（公司管理人员工资、行政办公费、业务培训费等）、税金、利润等完成本工作所需的全部费用。应考虑人员、物资（含设备、耗材及正版软件等）、税收、保险、利润和物价等一切因素，采购人不再支付与本项目有关的其他任何工作费用（包括附加工作、额外工作、延期等）等政策性文件规定费用以及在交付合法有效使用过程中的一切不可预见费用。</w:t>
      </w:r>
    </w:p>
    <w:p w14:paraId="323C9DAC">
      <w:pPr>
        <w:pageBreakBefore w:val="0"/>
        <w:numPr>
          <w:ilvl w:val="0"/>
          <w:numId w:val="0"/>
        </w:numPr>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二、项目名称</w:t>
      </w:r>
      <w:bookmarkStart w:id="1" w:name="OLE_LINK1"/>
      <w:bookmarkEnd w:id="1"/>
    </w:p>
    <w:p w14:paraId="69CD1CA2">
      <w:pPr>
        <w:pageBreakBefore w:val="0"/>
        <w:spacing w:line="360" w:lineRule="auto"/>
        <w:ind w:firstLine="420"/>
        <w:jc w:val="left"/>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bidi="ar-SA"/>
        </w:rPr>
        <w:t>2025年度睢宁县第二轮土地承包到期后再延长30年试点项目。</w:t>
      </w:r>
    </w:p>
    <w:p w14:paraId="6D4F1F56">
      <w:pPr>
        <w:pageBreakBefore w:val="0"/>
        <w:numPr>
          <w:ilvl w:val="0"/>
          <w:numId w:val="0"/>
        </w:numPr>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三、服务期限</w:t>
      </w:r>
    </w:p>
    <w:p w14:paraId="18EF20D8">
      <w:pPr>
        <w:pageBreakBefore w:val="0"/>
        <w:spacing w:line="360" w:lineRule="auto"/>
        <w:ind w:firstLine="0"/>
        <w:jc w:val="left"/>
        <w:rPr>
          <w:rFonts w:hint="eastAsia" w:ascii="宋体" w:hAnsi="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　</w:t>
      </w:r>
      <w:r>
        <w:rPr>
          <w:rFonts w:hint="eastAsia" w:ascii="宋体" w:hAnsi="宋体" w:cs="宋体"/>
          <w:b/>
          <w:bCs/>
          <w:color w:val="auto"/>
          <w:sz w:val="24"/>
          <w:szCs w:val="24"/>
          <w:highlight w:val="none"/>
          <w:lang w:val="en-US" w:eastAsia="zh-CN" w:bidi="ar-SA"/>
        </w:rPr>
        <w:t>　延包履行期限为180天。</w:t>
      </w:r>
    </w:p>
    <w:p w14:paraId="3CE105B3">
      <w:pPr>
        <w:pageBreakBefore w:val="0"/>
        <w:numPr>
          <w:ilvl w:val="0"/>
          <w:numId w:val="0"/>
        </w:numPr>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四、采购内容</w:t>
      </w:r>
    </w:p>
    <w:p w14:paraId="50272FC7">
      <w:pPr>
        <w:pBdr>
          <w:top w:val="none" w:color="000000" w:sz="0" w:space="0"/>
          <w:left w:val="none" w:color="000000" w:sz="0" w:space="0"/>
          <w:bottom w:val="none" w:color="000000" w:sz="0" w:space="0"/>
          <w:right w:val="none" w:color="000000" w:sz="0" w:space="0"/>
        </w:pBdr>
        <w:spacing w:before="0" w:after="0" w:line="360" w:lineRule="auto"/>
        <w:ind w:left="0" w:right="0" w:firstLine="420"/>
        <w:rPr>
          <w:sz w:val="24"/>
          <w:szCs w:val="24"/>
        </w:rPr>
      </w:pPr>
      <w:r>
        <w:rPr>
          <w:rFonts w:ascii="宋体" w:hAnsi="宋体" w:eastAsia="宋体" w:cs="宋体"/>
          <w:color w:val="000000"/>
          <w:sz w:val="24"/>
          <w:szCs w:val="24"/>
        </w:rPr>
        <w:t>（一）建设背景</w:t>
      </w:r>
    </w:p>
    <w:p w14:paraId="6BA1F646">
      <w:pPr>
        <w:pBdr>
          <w:top w:val="none" w:color="000000" w:sz="0" w:space="0"/>
          <w:left w:val="none" w:color="000000" w:sz="0" w:space="0"/>
          <w:bottom w:val="none" w:color="000000" w:sz="0" w:space="0"/>
          <w:right w:val="none" w:color="000000" w:sz="0" w:space="0"/>
        </w:pBdr>
        <w:spacing w:before="0" w:after="0" w:line="360" w:lineRule="auto"/>
        <w:ind w:left="0" w:right="0" w:firstLine="420"/>
        <w:rPr>
          <w:sz w:val="24"/>
          <w:szCs w:val="24"/>
        </w:rPr>
      </w:pPr>
      <w:r>
        <w:rPr>
          <w:rFonts w:ascii="宋体" w:hAnsi="宋体" w:eastAsia="宋体" w:cs="宋体"/>
          <w:color w:val="000000"/>
          <w:sz w:val="24"/>
          <w:szCs w:val="24"/>
        </w:rPr>
        <w:t>2019年11月26日，中共中央、国务院发布《关于保持土地承包关系稳定并长久不变的意见》，明确保持土地集体所有、家庭承包经营的基本制度长久不变、保持农户依法承包集体土地的基本权利长久不变，同时在第二轮土地承包到期后再延长三十年。</w:t>
      </w:r>
    </w:p>
    <w:p w14:paraId="5773FB6A">
      <w:pPr>
        <w:pBdr>
          <w:top w:val="none" w:color="000000" w:sz="0" w:space="0"/>
          <w:left w:val="none" w:color="000000" w:sz="0" w:space="0"/>
          <w:bottom w:val="none" w:color="000000" w:sz="0" w:space="0"/>
          <w:right w:val="none" w:color="000000" w:sz="0" w:space="0"/>
        </w:pBdr>
        <w:spacing w:before="0" w:after="0" w:line="360" w:lineRule="auto"/>
        <w:ind w:left="0" w:right="0" w:firstLine="420"/>
        <w:rPr>
          <w:sz w:val="24"/>
          <w:szCs w:val="24"/>
        </w:rPr>
      </w:pPr>
      <w:r>
        <w:rPr>
          <w:rFonts w:ascii="宋体" w:hAnsi="宋体" w:eastAsia="宋体" w:cs="宋体"/>
          <w:color w:val="000000"/>
          <w:sz w:val="24"/>
          <w:szCs w:val="24"/>
        </w:rPr>
        <w:t>按照省农业农村厅《关于组织开展第二轮土地承包到期后再延长三十年省级试点申报工作的通知》（苏农委办〔2024〕4号）、省财政厅《关于下达2025年土地二轮延包试点专项资金的通知》（苏财农改〔2025〕14号）、农业农村部国家档案局关于印发《第二轮土地承包到期后再延长30年试点工作档案管理办法》等文件要求，推进</w:t>
      </w:r>
      <w:r>
        <w:rPr>
          <w:rFonts w:hint="eastAsia" w:ascii="宋体" w:hAnsi="宋体" w:eastAsia="宋体" w:cs="宋体"/>
          <w:color w:val="000000"/>
          <w:sz w:val="24"/>
          <w:szCs w:val="24"/>
        </w:rPr>
        <w:t>李集镇、王集镇等17个镇(街道)所辖51个村(社区)第二轮土地承包到期后再延长30年试点工作</w:t>
      </w:r>
      <w:r>
        <w:rPr>
          <w:rFonts w:ascii="宋体" w:hAnsi="宋体" w:eastAsia="宋体" w:cs="宋体"/>
          <w:color w:val="000000"/>
          <w:sz w:val="24"/>
          <w:szCs w:val="24"/>
        </w:rPr>
        <w:t>。</w:t>
      </w:r>
    </w:p>
    <w:p w14:paraId="04F35D77">
      <w:pPr>
        <w:numPr>
          <w:ilvl w:val="0"/>
          <w:numId w:val="0"/>
        </w:numPr>
        <w:pBdr>
          <w:top w:val="none" w:color="000000" w:sz="0" w:space="0"/>
          <w:left w:val="none" w:color="000000" w:sz="0" w:space="0"/>
          <w:bottom w:val="none" w:color="000000" w:sz="0" w:space="0"/>
          <w:right w:val="none" w:color="000000" w:sz="0" w:space="0"/>
        </w:pBdr>
        <w:spacing w:before="0" w:after="0" w:line="360" w:lineRule="auto"/>
        <w:ind w:left="0" w:leftChars="0" w:right="0" w:rightChars="0" w:firstLine="482" w:firstLineChars="0"/>
        <w:rPr>
          <w:rFonts w:ascii="宋体" w:hAnsi="宋体" w:eastAsia="宋体" w:cs="宋体"/>
          <w:color w:val="000000"/>
          <w:sz w:val="24"/>
          <w:szCs w:val="24"/>
        </w:rPr>
      </w:pPr>
      <w:r>
        <w:rPr>
          <w:rFonts w:hint="eastAsia" w:ascii="宋体" w:hAnsi="宋体" w:eastAsia="宋体" w:cs="宋体"/>
          <w:color w:val="000000"/>
          <w:sz w:val="24"/>
          <w:szCs w:val="24"/>
          <w:lang w:val="en-US" w:eastAsia="zh-CN" w:bidi="ar-SA"/>
        </w:rPr>
        <w:t>（二）</w:t>
      </w:r>
      <w:r>
        <w:rPr>
          <w:rFonts w:ascii="宋体" w:hAnsi="宋体" w:eastAsia="宋体" w:cs="宋体"/>
          <w:color w:val="000000"/>
          <w:sz w:val="24"/>
          <w:szCs w:val="24"/>
        </w:rPr>
        <w:t>建设目标</w:t>
      </w:r>
    </w:p>
    <w:p w14:paraId="336ABE10">
      <w:pPr>
        <w:numPr>
          <w:ilvl w:val="0"/>
          <w:numId w:val="0"/>
        </w:numPr>
        <w:pBdr>
          <w:top w:val="none" w:color="000000" w:sz="0" w:space="0"/>
          <w:left w:val="none" w:color="000000" w:sz="0" w:space="0"/>
          <w:bottom w:val="none" w:color="000000" w:sz="0" w:space="0"/>
          <w:right w:val="none" w:color="000000" w:sz="0" w:space="0"/>
        </w:pBdr>
        <w:spacing w:before="0" w:after="0" w:line="360" w:lineRule="auto"/>
        <w:ind w:left="0" w:leftChars="0" w:right="0" w:rightChars="0" w:firstLine="482" w:firstLineChars="0"/>
        <w:rPr>
          <w:sz w:val="24"/>
          <w:szCs w:val="24"/>
        </w:rPr>
      </w:pPr>
      <w:r>
        <w:rPr>
          <w:rFonts w:ascii="宋体" w:hAnsi="宋体" w:eastAsia="宋体" w:cs="宋体"/>
          <w:color w:val="000000"/>
          <w:sz w:val="24"/>
          <w:szCs w:val="24"/>
        </w:rPr>
        <w:t>根据《关于2025年度睢宁县第二轮土地承包到期后再延长30年试点项目实施方案批复的通知》（睢农批〔2026〕4 号）</w:t>
      </w:r>
      <w:r>
        <w:rPr>
          <w:rFonts w:hint="eastAsia" w:ascii="宋体" w:hAnsi="宋体" w:cs="宋体"/>
          <w:color w:val="000000"/>
          <w:sz w:val="24"/>
          <w:szCs w:val="24"/>
          <w:lang w:eastAsia="zh-CN"/>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关于调整2025年度睢宁县第二轮土地承包到期后再延长30年试点项目部分建设内容批复的通知</w:t>
      </w:r>
      <w:r>
        <w:rPr>
          <w:rFonts w:hint="eastAsia" w:ascii="宋体" w:hAnsi="宋体" w:cs="宋体"/>
          <w:color w:val="auto"/>
          <w:sz w:val="24"/>
          <w:szCs w:val="24"/>
          <w:lang w:eastAsia="zh-CN"/>
        </w:rPr>
        <w:t>》（</w:t>
      </w:r>
      <w:r>
        <w:rPr>
          <w:rFonts w:ascii="宋体" w:hAnsi="宋体" w:eastAsia="宋体" w:cs="宋体"/>
          <w:color w:val="auto"/>
          <w:sz w:val="24"/>
          <w:szCs w:val="24"/>
        </w:rPr>
        <w:t>睢农批〔2026〕</w:t>
      </w:r>
      <w:r>
        <w:rPr>
          <w:rFonts w:hint="eastAsia" w:ascii="宋体" w:hAnsi="宋体" w:cs="宋体"/>
          <w:color w:val="auto"/>
          <w:sz w:val="24"/>
          <w:szCs w:val="24"/>
          <w:lang w:val="en-US" w:eastAsia="zh-CN"/>
        </w:rPr>
        <w:t>32</w:t>
      </w:r>
      <w:r>
        <w:rPr>
          <w:rFonts w:ascii="宋体" w:hAnsi="宋体" w:eastAsia="宋体" w:cs="宋体"/>
          <w:color w:val="auto"/>
          <w:sz w:val="24"/>
          <w:szCs w:val="24"/>
        </w:rPr>
        <w:t xml:space="preserve"> 号</w:t>
      </w:r>
      <w:r>
        <w:rPr>
          <w:rFonts w:hint="eastAsia" w:ascii="宋体" w:hAnsi="宋体" w:cs="宋体"/>
          <w:color w:val="auto"/>
          <w:sz w:val="24"/>
          <w:szCs w:val="24"/>
          <w:lang w:eastAsia="zh-CN"/>
        </w:rPr>
        <w:t>）</w:t>
      </w:r>
      <w:r>
        <w:rPr>
          <w:rFonts w:ascii="宋体" w:hAnsi="宋体" w:eastAsia="宋体" w:cs="宋体"/>
          <w:color w:val="auto"/>
          <w:sz w:val="24"/>
          <w:szCs w:val="24"/>
        </w:rPr>
        <w:t>，按照试点方案，现需聘请具备资质的第三方，对延包试点工作进行服务，包括但不限于：摸底调查和资料收集整理、信息核对、实测指界、补充测绘（含测绘数据入库）、制定延包方案、延包数据处理、公示培训、合同签订（含网签业务、网签系统维护、网签相关材料收集及业务数据处理等）、资料输出打印、数据汇交、档案资料完善和整理等。确保采购人完成上级部门要求的数据整合及汇交等工作，并且完成与不动产登记管理部门的对接工作</w:t>
      </w:r>
      <w:r>
        <w:rPr>
          <w:rFonts w:hint="eastAsia" w:ascii="宋体" w:hAnsi="宋体" w:cs="宋体"/>
          <w:color w:val="auto"/>
          <w:sz w:val="24"/>
          <w:szCs w:val="24"/>
          <w:lang w:val="en-US" w:eastAsia="zh-CN"/>
        </w:rPr>
        <w:t>和数据汇交（接口-由不动产登记管理部门提供准确要求）</w:t>
      </w:r>
      <w:r>
        <w:rPr>
          <w:rFonts w:ascii="宋体" w:hAnsi="宋体" w:eastAsia="宋体" w:cs="宋体"/>
          <w:color w:val="auto"/>
          <w:sz w:val="24"/>
          <w:szCs w:val="24"/>
        </w:rPr>
        <w:t>。</w:t>
      </w:r>
    </w:p>
    <w:p w14:paraId="62E6A02E">
      <w:pPr>
        <w:pageBreakBefore w:val="0"/>
        <w:numPr>
          <w:ilvl w:val="0"/>
          <w:numId w:val="1"/>
        </w:numPr>
        <w:spacing w:line="400" w:lineRule="exact"/>
        <w:jc w:val="left"/>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项目要求具体如下</w:t>
      </w:r>
    </w:p>
    <w:tbl>
      <w:tblPr>
        <w:tblStyle w:val="18"/>
        <w:tblpPr w:leftFromText="180" w:rightFromText="180" w:vertAnchor="text" w:tblpXSpec="center" w:tblpY="1"/>
        <w:tblW w:w="0" w:type="auto"/>
        <w:tblInd w:w="-3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3"/>
        <w:gridCol w:w="1583"/>
        <w:gridCol w:w="6664"/>
      </w:tblGrid>
      <w:tr w14:paraId="028CE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5" w:hRule="atLeast"/>
        </w:trPr>
        <w:tc>
          <w:tcPr>
            <w:tcW w:w="671" w:type="dxa"/>
            <w:noWrap w:val="0"/>
            <w:vAlign w:val="center"/>
          </w:tcPr>
          <w:p w14:paraId="433E19B8">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序号</w:t>
            </w:r>
          </w:p>
        </w:tc>
        <w:tc>
          <w:tcPr>
            <w:tcW w:w="1658" w:type="dxa"/>
            <w:noWrap w:val="0"/>
            <w:vAlign w:val="center"/>
          </w:tcPr>
          <w:p w14:paraId="0035D407">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工作程序</w:t>
            </w:r>
          </w:p>
        </w:tc>
        <w:tc>
          <w:tcPr>
            <w:tcW w:w="7033" w:type="dxa"/>
            <w:noWrap w:val="0"/>
            <w:vAlign w:val="center"/>
          </w:tcPr>
          <w:p w14:paraId="5AD41B19">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具体工作描述</w:t>
            </w:r>
          </w:p>
        </w:tc>
      </w:tr>
      <w:tr w14:paraId="45E50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0" w:hRule="atLeast"/>
        </w:trPr>
        <w:tc>
          <w:tcPr>
            <w:tcW w:w="671" w:type="dxa"/>
            <w:noWrap w:val="0"/>
            <w:vAlign w:val="center"/>
          </w:tcPr>
          <w:p w14:paraId="5CA7BA6E">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1</w:t>
            </w:r>
          </w:p>
        </w:tc>
        <w:tc>
          <w:tcPr>
            <w:tcW w:w="1658" w:type="dxa"/>
            <w:noWrap w:val="0"/>
            <w:vAlign w:val="center"/>
          </w:tcPr>
          <w:p w14:paraId="34BDC191">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方案及培训</w:t>
            </w:r>
          </w:p>
        </w:tc>
        <w:tc>
          <w:tcPr>
            <w:tcW w:w="7033" w:type="dxa"/>
            <w:noWrap w:val="0"/>
            <w:vAlign w:val="center"/>
          </w:tcPr>
          <w:p w14:paraId="6775F287">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协助编制试点工作方案，成立延包工作小组，依据上级工作安排及睢宁县</w:t>
            </w:r>
            <w:r>
              <w:rPr>
                <w:rFonts w:hint="eastAsia" w:ascii="宋体" w:hAnsi="宋体" w:cs="宋体"/>
                <w:color w:val="auto"/>
                <w:sz w:val="22"/>
                <w:szCs w:val="22"/>
                <w:highlight w:val="none"/>
                <w:lang w:val="en-US" w:eastAsia="zh-CN" w:bidi="ar-SA"/>
                <w14:ligatures w14:val="none"/>
              </w:rPr>
              <w:t>第二轮土地承包到期后再延长30年</w:t>
            </w:r>
            <w:r>
              <w:rPr>
                <w:rFonts w:hint="eastAsia" w:ascii="宋体" w:hAnsi="宋体" w:eastAsia="宋体" w:cs="宋体"/>
                <w:color w:val="auto"/>
                <w:sz w:val="22"/>
                <w:szCs w:val="22"/>
                <w:highlight w:val="none"/>
                <w:lang w:val="en-US" w:eastAsia="zh-CN" w:bidi="ar-SA"/>
                <w14:ligatures w14:val="none"/>
              </w:rPr>
              <w:t>试点工作情况制定技术方案，协助开展镇、村技术培训和宣传工作。</w:t>
            </w:r>
          </w:p>
        </w:tc>
      </w:tr>
      <w:tr w14:paraId="6F808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1" w:type="dxa"/>
            <w:noWrap w:val="0"/>
            <w:vAlign w:val="center"/>
          </w:tcPr>
          <w:p w14:paraId="4AFA3CDA">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2</w:t>
            </w:r>
          </w:p>
        </w:tc>
        <w:tc>
          <w:tcPr>
            <w:tcW w:w="1658" w:type="dxa"/>
            <w:noWrap w:val="0"/>
            <w:vAlign w:val="center"/>
          </w:tcPr>
          <w:p w14:paraId="6FFB8A56">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资料收集</w:t>
            </w:r>
            <w:r>
              <w:rPr>
                <w:rFonts w:hint="eastAsia" w:ascii="宋体" w:hAnsi="宋体" w:eastAsia="宋体" w:cs="宋体"/>
                <w:color w:val="auto"/>
                <w:sz w:val="22"/>
                <w:szCs w:val="22"/>
                <w:highlight w:val="none"/>
                <w:lang w:val="en-US" w:eastAsia="zh-CN" w:bidi="ar-SA"/>
                <w14:ligatures w14:val="none"/>
              </w:rPr>
              <w:t>整理</w:t>
            </w:r>
          </w:p>
        </w:tc>
        <w:tc>
          <w:tcPr>
            <w:tcW w:w="7033" w:type="dxa"/>
            <w:noWrap w:val="0"/>
            <w:vAlign w:val="center"/>
          </w:tcPr>
          <w:p w14:paraId="1A32ABA4">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收集最新的行政区划数据、农村土地承包经营权确权登记颁证成果、农村集体产权制度改革成果以及近年来农村土地流转、征收、变更等形成的成果资料。收集整理延包中各阶段形成的文字、图表、声像、数据等文件材料；收集作业区域范围内行政区划名称、最新区划代码、最新的影像图和既有的农村土地承包经营权数据库影像图、汇交库，各类调查表、统计表等，为资料完整做好准备。</w:t>
            </w:r>
          </w:p>
        </w:tc>
      </w:tr>
      <w:tr w14:paraId="5C801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1" w:type="dxa"/>
            <w:noWrap w:val="0"/>
            <w:vAlign w:val="center"/>
          </w:tcPr>
          <w:p w14:paraId="6E8A6233">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3</w:t>
            </w:r>
          </w:p>
        </w:tc>
        <w:tc>
          <w:tcPr>
            <w:tcW w:w="1658" w:type="dxa"/>
            <w:noWrap w:val="0"/>
            <w:vAlign w:val="center"/>
          </w:tcPr>
          <w:p w14:paraId="31C309AF">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开展</w:t>
            </w:r>
            <w:r>
              <w:rPr>
                <w:rFonts w:hint="eastAsia" w:ascii="宋体" w:hAnsi="宋体" w:eastAsia="宋体" w:cs="宋体"/>
                <w:color w:val="auto"/>
                <w:sz w:val="22"/>
                <w:szCs w:val="22"/>
                <w:highlight w:val="none"/>
                <w:lang w:val="en-US" w:eastAsia="en-US" w:bidi="ar-SA"/>
                <w14:ligatures w14:val="none"/>
              </w:rPr>
              <w:t>摸底核实</w:t>
            </w:r>
          </w:p>
        </w:tc>
        <w:tc>
          <w:tcPr>
            <w:tcW w:w="7033" w:type="dxa"/>
            <w:noWrap w:val="0"/>
            <w:vAlign w:val="center"/>
          </w:tcPr>
          <w:p w14:paraId="546AC7F5">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协助指导村、组开展摸底调查工作，全面摸清各村、组第二轮土地承包以来家庭承包人口及承包地变化情况，整户消亡、外嫁女、“五保户”、全家进城落户以及整户无地等情况，承包地确权登记颁证情况，村集体土地利用现状和机动地等情况，矛盾纠纷和历史遗留问题</w:t>
            </w:r>
            <w:r>
              <w:rPr>
                <w:rFonts w:hint="eastAsia" w:ascii="宋体" w:hAnsi="宋体" w:cs="宋体"/>
                <w:color w:val="auto"/>
                <w:sz w:val="22"/>
                <w:szCs w:val="22"/>
                <w:highlight w:val="none"/>
                <w:lang w:val="en-US" w:eastAsia="zh-CN" w:bidi="ar-SA"/>
                <w14:ligatures w14:val="none"/>
              </w:rPr>
              <w:t>，农户延包意愿</w:t>
            </w:r>
            <w:r>
              <w:rPr>
                <w:rFonts w:hint="eastAsia" w:ascii="宋体" w:hAnsi="宋体" w:eastAsia="宋体" w:cs="宋体"/>
                <w:color w:val="auto"/>
                <w:sz w:val="22"/>
                <w:szCs w:val="22"/>
                <w:highlight w:val="none"/>
                <w:lang w:val="en-US" w:eastAsia="zh-CN" w:bidi="ar-SA"/>
                <w14:ligatures w14:val="none"/>
              </w:rPr>
              <w:t>等。</w:t>
            </w:r>
          </w:p>
        </w:tc>
      </w:tr>
      <w:tr w14:paraId="61EE5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atLeast"/>
        </w:trPr>
        <w:tc>
          <w:tcPr>
            <w:tcW w:w="671" w:type="dxa"/>
            <w:noWrap w:val="0"/>
            <w:vAlign w:val="center"/>
          </w:tcPr>
          <w:p w14:paraId="05AF7CAF">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4</w:t>
            </w:r>
          </w:p>
        </w:tc>
        <w:tc>
          <w:tcPr>
            <w:tcW w:w="1658" w:type="dxa"/>
            <w:noWrap w:val="0"/>
            <w:vAlign w:val="center"/>
          </w:tcPr>
          <w:p w14:paraId="0223C8A2">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信息</w:t>
            </w:r>
            <w:r>
              <w:rPr>
                <w:rFonts w:hint="eastAsia" w:ascii="宋体" w:hAnsi="宋体" w:eastAsia="宋体" w:cs="宋体"/>
                <w:color w:val="auto"/>
                <w:sz w:val="22"/>
                <w:szCs w:val="22"/>
                <w:highlight w:val="none"/>
                <w:lang w:val="en-US" w:eastAsia="zh-CN" w:bidi="ar-SA"/>
                <w14:ligatures w14:val="none"/>
              </w:rPr>
              <w:t>分</w:t>
            </w:r>
            <w:r>
              <w:rPr>
                <w:rFonts w:hint="eastAsia" w:ascii="宋体" w:hAnsi="宋体" w:eastAsia="宋体" w:cs="宋体"/>
                <w:color w:val="auto"/>
                <w:sz w:val="22"/>
                <w:szCs w:val="22"/>
                <w:highlight w:val="none"/>
                <w:lang w:val="en-US" w:eastAsia="en-US" w:bidi="ar-SA"/>
                <w14:ligatures w14:val="none"/>
              </w:rPr>
              <w:t>类处理</w:t>
            </w:r>
          </w:p>
        </w:tc>
        <w:tc>
          <w:tcPr>
            <w:tcW w:w="7033" w:type="dxa"/>
            <w:noWrap w:val="0"/>
            <w:vAlign w:val="center"/>
          </w:tcPr>
          <w:p w14:paraId="1CF2B5BC">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根据摸底调查情况，做好直接输出成果、内业图形属性修改后输出成果、需外业实测重新确权或增人确权</w:t>
            </w:r>
            <w:r>
              <w:rPr>
                <w:rFonts w:hint="eastAsia" w:ascii="宋体" w:hAnsi="宋体" w:cs="宋体"/>
                <w:color w:val="auto"/>
                <w:sz w:val="22"/>
                <w:szCs w:val="22"/>
                <w:highlight w:val="none"/>
                <w:lang w:val="en-US" w:eastAsia="zh-CN" w:bidi="ar-SA"/>
                <w14:ligatures w14:val="none"/>
              </w:rPr>
              <w:t>等</w:t>
            </w:r>
            <w:r>
              <w:rPr>
                <w:rFonts w:hint="eastAsia" w:ascii="宋体" w:hAnsi="宋体" w:eastAsia="宋体" w:cs="宋体"/>
                <w:color w:val="auto"/>
                <w:sz w:val="22"/>
                <w:szCs w:val="22"/>
                <w:highlight w:val="none"/>
                <w:lang w:val="en-US" w:eastAsia="zh-CN" w:bidi="ar-SA"/>
                <w14:ligatures w14:val="none"/>
              </w:rPr>
              <w:t>三种类型的数据梳理和信息核对工作。</w:t>
            </w:r>
          </w:p>
        </w:tc>
      </w:tr>
      <w:tr w14:paraId="65BCE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4" w:hRule="atLeast"/>
        </w:trPr>
        <w:tc>
          <w:tcPr>
            <w:tcW w:w="671" w:type="dxa"/>
            <w:noWrap w:val="0"/>
            <w:vAlign w:val="center"/>
          </w:tcPr>
          <w:p w14:paraId="12223648">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5</w:t>
            </w:r>
          </w:p>
        </w:tc>
        <w:tc>
          <w:tcPr>
            <w:tcW w:w="1658" w:type="dxa"/>
            <w:noWrap w:val="0"/>
            <w:vAlign w:val="center"/>
          </w:tcPr>
          <w:p w14:paraId="2DDADE17">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制定</w:t>
            </w:r>
            <w:r>
              <w:rPr>
                <w:rFonts w:hint="eastAsia" w:ascii="宋体" w:hAnsi="宋体" w:eastAsia="宋体" w:cs="宋体"/>
                <w:color w:val="auto"/>
                <w:sz w:val="22"/>
                <w:szCs w:val="22"/>
                <w:highlight w:val="none"/>
                <w:lang w:val="en-US" w:eastAsia="zh-CN" w:bidi="ar-SA"/>
                <w14:ligatures w14:val="none"/>
              </w:rPr>
              <w:t>延包</w:t>
            </w:r>
            <w:r>
              <w:rPr>
                <w:rFonts w:hint="eastAsia" w:ascii="宋体" w:hAnsi="宋体" w:eastAsia="宋体" w:cs="宋体"/>
                <w:color w:val="auto"/>
                <w:sz w:val="22"/>
                <w:szCs w:val="22"/>
                <w:highlight w:val="none"/>
                <w:lang w:val="en-US" w:eastAsia="en-US" w:bidi="ar-SA"/>
                <w14:ligatures w14:val="none"/>
              </w:rPr>
              <w:t>方案</w:t>
            </w:r>
          </w:p>
        </w:tc>
        <w:tc>
          <w:tcPr>
            <w:tcW w:w="7033" w:type="dxa"/>
            <w:noWrap w:val="0"/>
            <w:vAlign w:val="center"/>
          </w:tcPr>
          <w:p w14:paraId="52420097">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根据摸底后的数据，提供制定二轮到期延包方案的数据支撑。指导村、组因地制宜、科学制定延包方案并提交上级审核。确保相关措施符合法律政策和实施方案要求。</w:t>
            </w:r>
          </w:p>
        </w:tc>
      </w:tr>
      <w:tr w14:paraId="42860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1" w:type="dxa"/>
            <w:noWrap w:val="0"/>
            <w:vAlign w:val="center"/>
          </w:tcPr>
          <w:p w14:paraId="3A10B203">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6</w:t>
            </w:r>
          </w:p>
        </w:tc>
        <w:tc>
          <w:tcPr>
            <w:tcW w:w="1658" w:type="dxa"/>
            <w:noWrap w:val="0"/>
            <w:vAlign w:val="center"/>
          </w:tcPr>
          <w:p w14:paraId="5A996CA8">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开展调查</w:t>
            </w:r>
          </w:p>
        </w:tc>
        <w:tc>
          <w:tcPr>
            <w:tcW w:w="7033" w:type="dxa"/>
            <w:noWrap w:val="0"/>
            <w:vAlign w:val="center"/>
          </w:tcPr>
          <w:p w14:paraId="6FB942CA">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根据摸底情况汇总统计需调查测绘的地块信息，安排外业补充测绘，并按原确权要求处理相关测绘数据。</w:t>
            </w:r>
          </w:p>
        </w:tc>
      </w:tr>
      <w:tr w14:paraId="7D610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71" w:type="dxa"/>
            <w:vMerge w:val="restart"/>
            <w:noWrap w:val="0"/>
            <w:vAlign w:val="center"/>
          </w:tcPr>
          <w:p w14:paraId="6EE56F54">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7</w:t>
            </w:r>
          </w:p>
        </w:tc>
        <w:tc>
          <w:tcPr>
            <w:tcW w:w="1658" w:type="dxa"/>
            <w:vMerge w:val="restart"/>
            <w:noWrap w:val="0"/>
            <w:vAlign w:val="center"/>
          </w:tcPr>
          <w:p w14:paraId="7869C3CF">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数据修改入库</w:t>
            </w:r>
          </w:p>
        </w:tc>
        <w:tc>
          <w:tcPr>
            <w:tcW w:w="7033" w:type="dxa"/>
            <w:noWrap w:val="0"/>
            <w:vAlign w:val="center"/>
          </w:tcPr>
          <w:p w14:paraId="1EAA1484">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按照《农村土地承包合同管理办法》《农村土地承包经营权调查规程》（NY/T2537-2014）等有关规定，以农村土地承包经营权成果为基础，对摸底调查表进行入户核实，开展承包经营权调查并修正、完善摸底调查表；对重新确权或新增人确权的数据调查、梳理和信息核对工作。结合摸底数据、二轮到期延包测绘数据、二轮到期延包方案处理、形成最终二轮到期延包数据，并以村为单位制作成质检无错误的汇交包，上传到网签系统；指导并培训其他合作单位处理二轮到期延包数据，统一工作方法及数据成果标准。</w:t>
            </w:r>
          </w:p>
        </w:tc>
      </w:tr>
      <w:tr w14:paraId="3156E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71" w:type="dxa"/>
            <w:vMerge w:val="continue"/>
            <w:noWrap w:val="0"/>
            <w:vAlign w:val="center"/>
          </w:tcPr>
          <w:p w14:paraId="27D7775D">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p>
        </w:tc>
        <w:tc>
          <w:tcPr>
            <w:tcW w:w="1658" w:type="dxa"/>
            <w:vMerge w:val="continue"/>
            <w:noWrap w:val="0"/>
            <w:vAlign w:val="center"/>
          </w:tcPr>
          <w:p w14:paraId="3F46381A">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p>
        </w:tc>
        <w:tc>
          <w:tcPr>
            <w:tcW w:w="7033" w:type="dxa"/>
            <w:noWrap w:val="0"/>
            <w:vAlign w:val="center"/>
          </w:tcPr>
          <w:p w14:paraId="0C545531">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根据外业指界、实测情况，进行内业图形修改、属性修改，将外业填写的统计表中的编号及其他信息填写到数据表中，并以地块编码为连接字段，将地块名称，权利人名称，合同面积，地类，等级等属性进行关联，将调查的地块与户籍信息关联挂接，补全界址点，界址线信息，建立形成完整的数据库。</w:t>
            </w:r>
            <w:r>
              <w:rPr>
                <w:rFonts w:hint="eastAsia" w:ascii="宋体" w:hAnsi="宋体" w:eastAsia="宋体" w:cs="宋体"/>
                <w:color w:val="auto"/>
                <w:sz w:val="22"/>
                <w:szCs w:val="22"/>
                <w:highlight w:val="none"/>
                <w:lang w:val="en-US" w:eastAsia="en-US" w:bidi="ar-SA"/>
                <w14:ligatures w14:val="none"/>
              </w:rPr>
              <w:t>由</w:t>
            </w:r>
            <w:r>
              <w:rPr>
                <w:rFonts w:hint="eastAsia" w:ascii="宋体" w:hAnsi="宋体" w:eastAsia="宋体" w:cs="宋体"/>
                <w:color w:val="auto"/>
                <w:sz w:val="22"/>
                <w:szCs w:val="22"/>
                <w:highlight w:val="none"/>
                <w:lang w:val="en-US" w:eastAsia="zh-CN" w:bidi="ar-SA"/>
                <w14:ligatures w14:val="none"/>
              </w:rPr>
              <w:t>中标</w:t>
            </w:r>
            <w:r>
              <w:rPr>
                <w:rFonts w:hint="eastAsia" w:ascii="宋体" w:hAnsi="宋体" w:eastAsia="宋体" w:cs="宋体"/>
                <w:color w:val="auto"/>
                <w:sz w:val="22"/>
                <w:szCs w:val="22"/>
                <w:highlight w:val="none"/>
                <w:lang w:val="en-US" w:eastAsia="en-US" w:bidi="ar-SA"/>
                <w14:ligatures w14:val="none"/>
              </w:rPr>
              <w:t>供应商完成录入承包合同平台工作。</w:t>
            </w:r>
          </w:p>
        </w:tc>
      </w:tr>
      <w:tr w14:paraId="5EBCF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71" w:type="dxa"/>
            <w:noWrap w:val="0"/>
            <w:vAlign w:val="center"/>
          </w:tcPr>
          <w:p w14:paraId="4DFEE447">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8</w:t>
            </w:r>
          </w:p>
        </w:tc>
        <w:tc>
          <w:tcPr>
            <w:tcW w:w="1658" w:type="dxa"/>
            <w:noWrap w:val="0"/>
            <w:vAlign w:val="center"/>
          </w:tcPr>
          <w:p w14:paraId="3CEA281E">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资料输出打印</w:t>
            </w:r>
          </w:p>
        </w:tc>
        <w:tc>
          <w:tcPr>
            <w:tcW w:w="7033" w:type="dxa"/>
            <w:noWrap w:val="0"/>
            <w:vAlign w:val="center"/>
          </w:tcPr>
          <w:p w14:paraId="391AC601">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根据最终的数据库成果，从系统中输出登记簿、承包方调查表、公示结果归户表、承包合同、地块示意图等图件表格成果，并按照要求份数进行打印。</w:t>
            </w:r>
          </w:p>
        </w:tc>
      </w:tr>
      <w:tr w14:paraId="4F3B7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5" w:hRule="atLeast"/>
        </w:trPr>
        <w:tc>
          <w:tcPr>
            <w:tcW w:w="671" w:type="dxa"/>
            <w:noWrap w:val="0"/>
            <w:vAlign w:val="center"/>
          </w:tcPr>
          <w:p w14:paraId="36EDD66A">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9</w:t>
            </w:r>
          </w:p>
        </w:tc>
        <w:tc>
          <w:tcPr>
            <w:tcW w:w="1658" w:type="dxa"/>
            <w:noWrap w:val="0"/>
            <w:vAlign w:val="center"/>
          </w:tcPr>
          <w:p w14:paraId="22A7545A">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审核公示</w:t>
            </w:r>
          </w:p>
        </w:tc>
        <w:tc>
          <w:tcPr>
            <w:tcW w:w="7033" w:type="dxa"/>
            <w:noWrap w:val="0"/>
            <w:vAlign w:val="center"/>
          </w:tcPr>
          <w:p w14:paraId="0D4AA68C">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培训、指导并协助村组顺利开展二轮到期延包公示工作，按户输出公示调查表和地块位置图，将已经形成的调查成果交延包工作小组审核后进行公示。对相关权利人提出异议的，投标人会同延包工作小组应当进行核实、修正并再次公示，协助村组在承包地完善并修改相关内容，公示归户表要交由农户签字确认。在公示过程中若有信息变动的，在网签系统完善并修改相关内容（每个采购包不少于3人驻场）。</w:t>
            </w:r>
          </w:p>
        </w:tc>
      </w:tr>
      <w:tr w14:paraId="6F9DC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1" w:type="dxa"/>
            <w:noWrap w:val="0"/>
            <w:vAlign w:val="center"/>
          </w:tcPr>
          <w:p w14:paraId="3547EEE9">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10</w:t>
            </w:r>
          </w:p>
        </w:tc>
        <w:tc>
          <w:tcPr>
            <w:tcW w:w="1658" w:type="dxa"/>
            <w:noWrap w:val="0"/>
            <w:vAlign w:val="center"/>
          </w:tcPr>
          <w:p w14:paraId="75297B3F">
            <w:pPr>
              <w:keepNext w:val="0"/>
              <w:keepLines w:val="0"/>
              <w:pageBreakBefore w:val="0"/>
              <w:widowControl w:val="0"/>
              <w:spacing w:line="36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签订合同</w:t>
            </w:r>
          </w:p>
          <w:p w14:paraId="0C771479">
            <w:pPr>
              <w:keepNext w:val="0"/>
              <w:keepLines w:val="0"/>
              <w:pageBreakBefore w:val="0"/>
              <w:widowControl w:val="0"/>
              <w:spacing w:line="36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（网签）</w:t>
            </w:r>
          </w:p>
        </w:tc>
        <w:tc>
          <w:tcPr>
            <w:tcW w:w="7033" w:type="dxa"/>
            <w:noWrap w:val="0"/>
            <w:vAlign w:val="center"/>
          </w:tcPr>
          <w:p w14:paraId="3284B154">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根据公示结果，明确二轮到期后延包的土地承包关系，更新农村土地承包信息数据，开展村级合同网签，主要内容包括生成延包合同、完成村级合同网签、承包合同扫描并上传至延包平台，网签数据库导入、技术培训。网签驻场技术服务（每镇、街道不少于2人驻场）；</w:t>
            </w:r>
            <w:r>
              <w:rPr>
                <w:rFonts w:hint="eastAsia" w:ascii="宋体" w:hAnsi="宋体" w:cs="宋体"/>
                <w:color w:val="auto"/>
                <w:sz w:val="22"/>
                <w:szCs w:val="22"/>
                <w:highlight w:val="none"/>
                <w:lang w:val="en-US" w:eastAsia="zh-CN" w:bidi="ar-SA"/>
                <w14:ligatures w14:val="none"/>
              </w:rPr>
              <w:t>每</w:t>
            </w:r>
            <w:r>
              <w:rPr>
                <w:rFonts w:hint="eastAsia" w:ascii="宋体" w:hAnsi="宋体" w:eastAsia="宋体" w:cs="宋体"/>
                <w:color w:val="auto"/>
                <w:sz w:val="22"/>
                <w:szCs w:val="22"/>
                <w:highlight w:val="none"/>
                <w:lang w:val="en-US" w:eastAsia="zh-CN" w:bidi="ar-SA"/>
                <w14:ligatures w14:val="none"/>
              </w:rPr>
              <w:t>周向镇、县级汇总上报网签工作进度。</w:t>
            </w:r>
          </w:p>
        </w:tc>
      </w:tr>
      <w:tr w14:paraId="231BA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1" w:type="dxa"/>
            <w:noWrap w:val="0"/>
            <w:vAlign w:val="center"/>
          </w:tcPr>
          <w:p w14:paraId="5E315C6B">
            <w:pPr>
              <w:pageBreakBefore w:val="0"/>
              <w:widowControl w:val="0"/>
              <w:spacing w:line="400" w:lineRule="exact"/>
              <w:jc w:val="center"/>
              <w:rPr>
                <w:rFonts w:hint="default" w:ascii="宋体" w:hAnsi="宋体" w:eastAsia="宋体" w:cs="宋体"/>
                <w:color w:val="auto"/>
                <w:sz w:val="22"/>
                <w:szCs w:val="22"/>
                <w:highlight w:val="none"/>
                <w:lang w:val="en-US" w:eastAsia="zh-CN" w:bidi="ar-SA"/>
                <w14:ligatures w14:val="none"/>
              </w:rPr>
            </w:pPr>
            <w:r>
              <w:rPr>
                <w:rFonts w:hint="eastAsia" w:ascii="宋体" w:hAnsi="宋体" w:cs="宋体"/>
                <w:color w:val="auto"/>
                <w:sz w:val="22"/>
                <w:szCs w:val="22"/>
                <w:highlight w:val="none"/>
                <w:lang w:val="en-US" w:eastAsia="zh-CN" w:bidi="ar-SA"/>
                <w14:ligatures w14:val="none"/>
              </w:rPr>
              <w:t>11</w:t>
            </w:r>
          </w:p>
        </w:tc>
        <w:tc>
          <w:tcPr>
            <w:tcW w:w="1658" w:type="dxa"/>
            <w:noWrap w:val="0"/>
            <w:vAlign w:val="center"/>
          </w:tcPr>
          <w:p w14:paraId="6A20DAAF">
            <w:pPr>
              <w:keepNext w:val="0"/>
              <w:keepLines w:val="0"/>
              <w:pageBreakBefore w:val="0"/>
              <w:widowControl w:val="0"/>
              <w:spacing w:line="360" w:lineRule="exact"/>
              <w:jc w:val="center"/>
              <w:rPr>
                <w:rFonts w:hint="default" w:ascii="宋体" w:hAnsi="宋体" w:eastAsia="宋体" w:cs="宋体"/>
                <w:color w:val="auto"/>
                <w:sz w:val="22"/>
                <w:szCs w:val="22"/>
                <w:highlight w:val="none"/>
                <w:lang w:val="en-US" w:eastAsia="zh-CN" w:bidi="ar-SA"/>
                <w14:ligatures w14:val="none"/>
              </w:rPr>
            </w:pPr>
            <w:r>
              <w:rPr>
                <w:rFonts w:hint="eastAsia" w:ascii="宋体" w:hAnsi="宋体" w:cs="宋体"/>
                <w:color w:val="auto"/>
                <w:sz w:val="22"/>
                <w:szCs w:val="22"/>
                <w:highlight w:val="none"/>
                <w:lang w:val="en-US" w:eastAsia="zh-CN" w:bidi="ar-SA"/>
                <w14:ligatures w14:val="none"/>
              </w:rPr>
              <w:t>不动产登记申请书签订</w:t>
            </w:r>
          </w:p>
        </w:tc>
        <w:tc>
          <w:tcPr>
            <w:tcW w:w="7033" w:type="dxa"/>
            <w:noWrap w:val="0"/>
            <w:vAlign w:val="center"/>
          </w:tcPr>
          <w:p w14:paraId="0241C345">
            <w:pPr>
              <w:pageBreakBefore w:val="0"/>
              <w:spacing w:line="400" w:lineRule="exact"/>
              <w:jc w:val="both"/>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rPr>
              <w:t>根据江苏省自然资源厅、江苏省农业农村厅《关于做好第二轮土地承包到期后再延长30年试点不动产登记工作的通知》工作要求，在二轮延包调查中同步开展不动产登记申请要件收集，规范输出不动产登记申请书，并协助发包方、承包户签订不动产登记申请书</w:t>
            </w:r>
            <w:r>
              <w:rPr>
                <w:rFonts w:hint="eastAsia" w:ascii="宋体" w:hAnsi="宋体" w:cs="宋体"/>
                <w:color w:val="auto"/>
                <w:sz w:val="22"/>
                <w:szCs w:val="22"/>
                <w:highlight w:val="none"/>
                <w:lang w:val="en-US" w:eastAsia="zh-CN" w:bidi="ar-SA"/>
              </w:rPr>
              <w:t>。</w:t>
            </w:r>
          </w:p>
        </w:tc>
      </w:tr>
      <w:tr w14:paraId="292D6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1" w:hRule="atLeast"/>
        </w:trPr>
        <w:tc>
          <w:tcPr>
            <w:tcW w:w="671" w:type="dxa"/>
            <w:noWrap w:val="0"/>
            <w:vAlign w:val="center"/>
          </w:tcPr>
          <w:p w14:paraId="02362969">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1</w:t>
            </w:r>
            <w:r>
              <w:rPr>
                <w:rFonts w:hint="eastAsia" w:ascii="宋体" w:hAnsi="宋体" w:cs="宋体"/>
                <w:color w:val="auto"/>
                <w:sz w:val="22"/>
                <w:szCs w:val="22"/>
                <w:highlight w:val="none"/>
                <w:lang w:val="en-US" w:eastAsia="zh-CN" w:bidi="ar-SA"/>
                <w14:ligatures w14:val="none"/>
              </w:rPr>
              <w:t>2</w:t>
            </w:r>
          </w:p>
        </w:tc>
        <w:tc>
          <w:tcPr>
            <w:tcW w:w="1658" w:type="dxa"/>
            <w:noWrap w:val="0"/>
            <w:vAlign w:val="center"/>
          </w:tcPr>
          <w:p w14:paraId="06CCA328">
            <w:pPr>
              <w:keepNext w:val="0"/>
              <w:keepLines w:val="0"/>
              <w:pageBreakBefore w:val="0"/>
              <w:widowControl w:val="0"/>
              <w:spacing w:line="36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系统培训服务</w:t>
            </w:r>
          </w:p>
        </w:tc>
        <w:tc>
          <w:tcPr>
            <w:tcW w:w="7033" w:type="dxa"/>
            <w:noWrap w:val="0"/>
            <w:vAlign w:val="center"/>
          </w:tcPr>
          <w:p w14:paraId="765DA4D4">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提供本项目内镇、村、组相关工作人员针对平台的使用培训（集中培训不少于2次）。</w:t>
            </w:r>
          </w:p>
        </w:tc>
      </w:tr>
      <w:tr w14:paraId="25197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trPr>
        <w:tc>
          <w:tcPr>
            <w:tcW w:w="671" w:type="dxa"/>
            <w:noWrap w:val="0"/>
            <w:vAlign w:val="center"/>
          </w:tcPr>
          <w:p w14:paraId="3F665BA3">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1</w:t>
            </w:r>
            <w:r>
              <w:rPr>
                <w:rFonts w:hint="eastAsia" w:ascii="宋体" w:hAnsi="宋体" w:cs="宋体"/>
                <w:color w:val="auto"/>
                <w:sz w:val="22"/>
                <w:szCs w:val="22"/>
                <w:highlight w:val="none"/>
                <w:lang w:val="en-US" w:eastAsia="zh-CN" w:bidi="ar-SA"/>
                <w14:ligatures w14:val="none"/>
              </w:rPr>
              <w:t>3</w:t>
            </w:r>
          </w:p>
        </w:tc>
        <w:tc>
          <w:tcPr>
            <w:tcW w:w="1658" w:type="dxa"/>
            <w:noWrap w:val="0"/>
            <w:vAlign w:val="center"/>
          </w:tcPr>
          <w:p w14:paraId="413B8CE2">
            <w:pPr>
              <w:keepNext w:val="0"/>
              <w:keepLines w:val="0"/>
              <w:pageBreakBefore w:val="0"/>
              <w:widowControl w:val="0"/>
              <w:spacing w:line="36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不动产发证数据对接共享支持</w:t>
            </w:r>
          </w:p>
        </w:tc>
        <w:tc>
          <w:tcPr>
            <w:tcW w:w="7033" w:type="dxa"/>
            <w:noWrap w:val="0"/>
            <w:vAlign w:val="center"/>
          </w:tcPr>
          <w:p w14:paraId="0707720B">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提供完整二轮到期延包成果数据交予不动产登记管理部门，协助甲方参与数据移交共享工作。</w:t>
            </w:r>
          </w:p>
        </w:tc>
      </w:tr>
      <w:tr w14:paraId="79E0E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1" w:type="dxa"/>
            <w:noWrap w:val="0"/>
            <w:vAlign w:val="center"/>
          </w:tcPr>
          <w:p w14:paraId="4451DD78">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1</w:t>
            </w:r>
            <w:r>
              <w:rPr>
                <w:rFonts w:hint="eastAsia" w:ascii="宋体" w:hAnsi="宋体" w:cs="宋体"/>
                <w:color w:val="auto"/>
                <w:sz w:val="22"/>
                <w:szCs w:val="22"/>
                <w:highlight w:val="none"/>
                <w:lang w:val="en-US" w:eastAsia="zh-CN" w:bidi="ar-SA"/>
                <w14:ligatures w14:val="none"/>
              </w:rPr>
              <w:t>4</w:t>
            </w:r>
          </w:p>
        </w:tc>
        <w:tc>
          <w:tcPr>
            <w:tcW w:w="1658" w:type="dxa"/>
            <w:noWrap w:val="0"/>
            <w:vAlign w:val="center"/>
          </w:tcPr>
          <w:p w14:paraId="68242BA6">
            <w:pPr>
              <w:keepNext w:val="0"/>
              <w:keepLines w:val="0"/>
              <w:pageBreakBefore w:val="0"/>
              <w:widowControl w:val="0"/>
              <w:spacing w:line="36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档案整理</w:t>
            </w:r>
          </w:p>
        </w:tc>
        <w:tc>
          <w:tcPr>
            <w:tcW w:w="7033" w:type="dxa"/>
            <w:noWrap w:val="0"/>
            <w:vAlign w:val="center"/>
          </w:tcPr>
          <w:p w14:paraId="594D5A9A">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按照农业农村部和国家档案局档案关于延包档案试点管理办法要求，整理二轮到期延包档案材料（包括但不限于合同整理打印、签章图制作、归户表制作等延包中各阶段形成的文字、图表、声像、数据文件等材料）</w:t>
            </w:r>
          </w:p>
        </w:tc>
      </w:tr>
      <w:tr w14:paraId="2DD0D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1" w:type="dxa"/>
            <w:noWrap w:val="0"/>
            <w:vAlign w:val="center"/>
          </w:tcPr>
          <w:p w14:paraId="7D1DDECF">
            <w:pPr>
              <w:pageBreakBefore w:val="0"/>
              <w:widowControl w:val="0"/>
              <w:spacing w:line="40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1</w:t>
            </w:r>
            <w:r>
              <w:rPr>
                <w:rFonts w:hint="eastAsia" w:ascii="宋体" w:hAnsi="宋体" w:cs="宋体"/>
                <w:color w:val="auto"/>
                <w:sz w:val="22"/>
                <w:szCs w:val="22"/>
                <w:highlight w:val="none"/>
                <w:lang w:val="en-US" w:eastAsia="zh-CN" w:bidi="ar-SA"/>
                <w14:ligatures w14:val="none"/>
              </w:rPr>
              <w:t>5</w:t>
            </w:r>
          </w:p>
        </w:tc>
        <w:tc>
          <w:tcPr>
            <w:tcW w:w="1658" w:type="dxa"/>
            <w:noWrap w:val="0"/>
            <w:vAlign w:val="center"/>
          </w:tcPr>
          <w:p w14:paraId="5F1061DE">
            <w:pPr>
              <w:keepNext w:val="0"/>
              <w:keepLines w:val="0"/>
              <w:pageBreakBefore w:val="0"/>
              <w:widowControl w:val="0"/>
              <w:spacing w:line="360" w:lineRule="exact"/>
              <w:jc w:val="center"/>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en-US" w:bidi="ar-SA"/>
                <w14:ligatures w14:val="none"/>
              </w:rPr>
              <w:t>资料归档汇交</w:t>
            </w:r>
          </w:p>
        </w:tc>
        <w:tc>
          <w:tcPr>
            <w:tcW w:w="7033" w:type="dxa"/>
            <w:noWrap w:val="0"/>
            <w:vAlign w:val="center"/>
          </w:tcPr>
          <w:p w14:paraId="5EA3FB93">
            <w:pPr>
              <w:pageBreakBefore w:val="0"/>
              <w:widowControl w:val="0"/>
              <w:spacing w:line="400" w:lineRule="exact"/>
              <w:jc w:val="left"/>
              <w:rPr>
                <w:rFonts w:hint="eastAsia" w:ascii="宋体" w:hAnsi="宋体" w:eastAsia="宋体" w:cs="宋体"/>
                <w:color w:val="auto"/>
                <w:sz w:val="22"/>
                <w:szCs w:val="22"/>
                <w:highlight w:val="none"/>
                <w:lang w:val="en-US" w:eastAsia="zh-CN" w:bidi="ar-SA"/>
                <w14:ligatures w14:val="none"/>
              </w:rPr>
            </w:pPr>
            <w:r>
              <w:rPr>
                <w:rFonts w:hint="eastAsia" w:ascii="宋体" w:hAnsi="宋体" w:eastAsia="宋体" w:cs="宋体"/>
                <w:color w:val="auto"/>
                <w:sz w:val="22"/>
                <w:szCs w:val="22"/>
                <w:highlight w:val="none"/>
                <w:lang w:val="en-US" w:eastAsia="zh-CN" w:bidi="ar-SA"/>
                <w14:ligatures w14:val="none"/>
              </w:rPr>
              <w:t>纸质材料成果档案，以镇、村、户为单位，中标供应商分别整理装袋提交甲方；电子档成果数据（包括但不限于测绘数据库、</w:t>
            </w:r>
            <w:r>
              <w:rPr>
                <w:rFonts w:hint="eastAsia" w:ascii="宋体" w:hAnsi="宋体" w:cs="宋体"/>
                <w:color w:val="auto"/>
                <w:sz w:val="22"/>
                <w:szCs w:val="22"/>
                <w:highlight w:val="none"/>
                <w:lang w:val="en-US" w:eastAsia="zh-CN" w:bidi="ar-SA"/>
                <w14:ligatures w14:val="none"/>
              </w:rPr>
              <w:t>矢量图</w:t>
            </w:r>
            <w:r>
              <w:rPr>
                <w:rFonts w:hint="eastAsia" w:ascii="宋体" w:hAnsi="宋体" w:eastAsia="宋体" w:cs="宋体"/>
                <w:color w:val="auto"/>
                <w:sz w:val="22"/>
                <w:szCs w:val="22"/>
                <w:highlight w:val="none"/>
                <w:lang w:val="en-US" w:eastAsia="zh-CN" w:bidi="ar-SA"/>
                <w14:ligatures w14:val="none"/>
              </w:rPr>
              <w:t>、承包方和发包方信息等），中标供应商完成数据库合并，汇交甲方，并负责技术服务，无条件移交给</w:t>
            </w:r>
            <w:r>
              <w:rPr>
                <w:rFonts w:hint="eastAsia" w:ascii="宋体" w:hAnsi="宋体" w:cs="宋体"/>
                <w:color w:val="auto"/>
                <w:sz w:val="22"/>
                <w:szCs w:val="22"/>
                <w:highlight w:val="none"/>
                <w:lang w:val="en-US" w:eastAsia="zh-CN" w:bidi="ar-SA"/>
                <w14:ligatures w14:val="none"/>
              </w:rPr>
              <w:t>采购人</w:t>
            </w:r>
            <w:r>
              <w:rPr>
                <w:rFonts w:hint="eastAsia" w:ascii="宋体" w:hAnsi="宋体" w:eastAsia="宋体" w:cs="宋体"/>
                <w:color w:val="auto"/>
                <w:sz w:val="22"/>
                <w:szCs w:val="22"/>
                <w:highlight w:val="none"/>
                <w:lang w:val="en-US" w:eastAsia="zh-CN" w:bidi="ar-SA"/>
                <w14:ligatures w14:val="none"/>
              </w:rPr>
              <w:t>，达到档案部门入馆要求。</w:t>
            </w:r>
          </w:p>
        </w:tc>
      </w:tr>
    </w:tbl>
    <w:p w14:paraId="3F35BF2E">
      <w:pPr>
        <w:pageBreakBefore w:val="0"/>
        <w:numPr>
          <w:ilvl w:val="0"/>
          <w:numId w:val="0"/>
        </w:numPr>
        <w:spacing w:line="360" w:lineRule="auto"/>
        <w:jc w:val="left"/>
        <w:rPr>
          <w:rFonts w:hint="eastAsia" w:ascii="宋体" w:hAnsi="宋体" w:eastAsia="宋体" w:cs="宋体"/>
          <w:b/>
          <w:bCs/>
          <w:color w:val="auto"/>
          <w:sz w:val="24"/>
          <w:szCs w:val="24"/>
          <w:highlight w:val="none"/>
          <w:lang w:val="en-US" w:eastAsia="zh-CN" w:bidi="ar-SA"/>
        </w:rPr>
      </w:pPr>
      <w:bookmarkStart w:id="2" w:name="_Toc6398"/>
      <w:bookmarkStart w:id="3" w:name="_Toc29554"/>
      <w:bookmarkStart w:id="4" w:name="_Toc3892"/>
      <w:bookmarkStart w:id="5" w:name="_Toc17506"/>
    </w:p>
    <w:p w14:paraId="7D29DA8C">
      <w:pPr>
        <w:pageBreakBefore w:val="0"/>
        <w:numPr>
          <w:ilvl w:val="0"/>
          <w:numId w:val="0"/>
        </w:numPr>
        <w:spacing w:line="360" w:lineRule="auto"/>
        <w:jc w:val="left"/>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六、项目工作量</w:t>
      </w:r>
      <w:bookmarkEnd w:id="2"/>
      <w:bookmarkEnd w:id="3"/>
      <w:bookmarkEnd w:id="4"/>
      <w:bookmarkEnd w:id="5"/>
    </w:p>
    <w:p w14:paraId="1C3096BA">
      <w:pPr>
        <w:keepNext w:val="0"/>
        <w:keepLines w:val="0"/>
        <w:pageBreakBefore w:val="0"/>
        <w:widowControl w:val="0"/>
        <w:spacing w:line="360" w:lineRule="auto"/>
        <w:ind w:firstLine="480"/>
        <w:rPr>
          <w:rFonts w:hint="eastAsia" w:ascii="宋体" w:hAnsi="宋体" w:cs="宋体"/>
          <w:color w:val="auto"/>
          <w:sz w:val="24"/>
          <w:szCs w:val="24"/>
          <w:highlight w:val="none"/>
          <w:lang w:val="en-US" w:eastAsia="zh-CN" w:bidi="ar-SA"/>
        </w:rPr>
      </w:pPr>
      <w:bookmarkStart w:id="6" w:name="_Toc11020"/>
      <w:bookmarkStart w:id="7" w:name="_Toc9368"/>
      <w:bookmarkStart w:id="8" w:name="_Toc10007"/>
      <w:bookmarkStart w:id="9" w:name="_Toc29926"/>
      <w:r>
        <w:rPr>
          <w:rFonts w:hint="eastAsia" w:ascii="宋体" w:hAnsi="宋体" w:eastAsia="宋体" w:cs="宋体"/>
          <w:color w:val="auto"/>
          <w:sz w:val="24"/>
          <w:szCs w:val="24"/>
          <w:highlight w:val="none"/>
          <w:lang w:val="en-US" w:eastAsia="zh-CN" w:bidi="ar-SA"/>
        </w:rPr>
        <w:t>开展</w:t>
      </w:r>
      <w:r>
        <w:rPr>
          <w:rFonts w:ascii="宋体" w:hAnsi="宋体" w:eastAsia="宋体" w:cs="宋体"/>
          <w:color w:val="000000"/>
          <w:sz w:val="24"/>
          <w:szCs w:val="24"/>
        </w:rPr>
        <w:t>2025年度睢宁县第二轮土地承包到期后再延长30年试点项目</w:t>
      </w:r>
      <w:r>
        <w:rPr>
          <w:rFonts w:hint="eastAsia" w:ascii="宋体" w:hAnsi="宋体" w:eastAsia="宋体" w:cs="宋体"/>
          <w:color w:val="000000"/>
          <w:sz w:val="24"/>
          <w:szCs w:val="24"/>
          <w:lang w:eastAsia="zh-CN"/>
        </w:rPr>
        <w:t>，</w:t>
      </w:r>
      <w:r>
        <w:rPr>
          <w:rFonts w:hint="eastAsia" w:ascii="宋体" w:hAnsi="宋体" w:eastAsia="宋体" w:cs="宋体"/>
          <w:b w:val="0"/>
          <w:bCs w:val="0"/>
          <w:color w:val="auto"/>
          <w:sz w:val="24"/>
          <w:szCs w:val="24"/>
          <w:highlight w:val="none"/>
          <w:lang w:val="en-US" w:eastAsia="zh-CN" w:bidi="ar-SA"/>
        </w:rPr>
        <w:t>采购包一涉及古邳镇、沙集镇、魏集镇、梁集镇、凌城镇、睢城街道、睢河街道、邱集镇、高作镇共</w:t>
      </w:r>
      <w:r>
        <w:rPr>
          <w:rFonts w:hint="eastAsia" w:ascii="宋体" w:hAnsi="宋体" w:cs="宋体"/>
          <w:b w:val="0"/>
          <w:bCs w:val="0"/>
          <w:color w:val="auto"/>
          <w:sz w:val="24"/>
          <w:szCs w:val="24"/>
          <w:highlight w:val="none"/>
          <w:lang w:val="en-US" w:eastAsia="zh-CN" w:bidi="ar-SA"/>
        </w:rPr>
        <w:t>27</w:t>
      </w:r>
      <w:r>
        <w:rPr>
          <w:rFonts w:hint="eastAsia" w:ascii="宋体" w:hAnsi="宋体" w:eastAsia="宋体" w:cs="宋体"/>
          <w:b w:val="0"/>
          <w:bCs w:val="0"/>
          <w:color w:val="auto"/>
          <w:sz w:val="24"/>
          <w:szCs w:val="24"/>
          <w:highlight w:val="none"/>
          <w:lang w:val="en-US" w:eastAsia="zh-CN" w:bidi="ar-SA"/>
        </w:rPr>
        <w:t>个村</w:t>
      </w:r>
      <w:r>
        <w:rPr>
          <w:rFonts w:hint="eastAsia" w:ascii="宋体" w:hAnsi="宋体" w:cs="宋体"/>
          <w:b w:val="0"/>
          <w:bCs w:val="0"/>
          <w:color w:val="auto"/>
          <w:sz w:val="24"/>
          <w:szCs w:val="24"/>
          <w:highlight w:val="none"/>
          <w:lang w:val="en-US" w:eastAsia="zh-CN" w:bidi="ar-SA"/>
        </w:rPr>
        <w:t>及社区(</w:t>
      </w:r>
      <w:r>
        <w:rPr>
          <w:rFonts w:hint="eastAsia" w:ascii="宋体" w:hAnsi="宋体" w:eastAsia="宋体" w:cs="宋体"/>
          <w:color w:val="auto"/>
          <w:sz w:val="24"/>
          <w:szCs w:val="24"/>
          <w:highlight w:val="none"/>
          <w:lang w:eastAsia="zh-CN"/>
        </w:rPr>
        <w:t>承包土地面积87660.692亩</w:t>
      </w:r>
      <w:r>
        <w:rPr>
          <w:rFonts w:hint="eastAsia" w:ascii="宋体" w:hAnsi="宋体" w:cs="宋体"/>
          <w:b w:val="0"/>
          <w:bCs w:val="0"/>
          <w:color w:val="auto"/>
          <w:sz w:val="24"/>
          <w:szCs w:val="24"/>
          <w:highlight w:val="none"/>
          <w:lang w:val="en-US" w:eastAsia="zh-CN" w:bidi="ar-SA"/>
        </w:rPr>
        <w:t>)，</w:t>
      </w:r>
      <w:r>
        <w:rPr>
          <w:rFonts w:hint="eastAsia" w:ascii="宋体" w:hAnsi="宋体" w:eastAsia="宋体" w:cs="宋体"/>
          <w:b w:val="0"/>
          <w:bCs w:val="0"/>
          <w:color w:val="auto"/>
          <w:sz w:val="24"/>
          <w:szCs w:val="24"/>
          <w:highlight w:val="none"/>
          <w:lang w:val="en-US" w:eastAsia="zh-CN" w:bidi="ar-SA"/>
        </w:rPr>
        <w:t>为牵头采购包；采购包二涉及</w:t>
      </w:r>
      <w:r>
        <w:rPr>
          <w:rFonts w:hint="eastAsia" w:ascii="宋体" w:hAnsi="宋体" w:eastAsia="宋体" w:cs="宋体"/>
          <w:color w:val="auto"/>
          <w:sz w:val="24"/>
          <w:szCs w:val="24"/>
          <w:highlight w:val="none"/>
          <w:lang w:val="en-US" w:eastAsia="zh-CN"/>
        </w:rPr>
        <w:t>双沟镇、李集镇、金城街道、姚集镇、庆安镇、岚山镇、桃园镇、王集镇共</w:t>
      </w:r>
      <w:r>
        <w:rPr>
          <w:rFonts w:hint="eastAsia" w:ascii="宋体" w:hAnsi="宋体" w:cs="宋体"/>
          <w:b w:val="0"/>
          <w:bCs w:val="0"/>
          <w:color w:val="auto"/>
          <w:sz w:val="24"/>
          <w:szCs w:val="24"/>
          <w:highlight w:val="none"/>
          <w:lang w:val="en-US" w:eastAsia="zh-CN" w:bidi="ar-SA"/>
        </w:rPr>
        <w:t>24</w:t>
      </w:r>
      <w:r>
        <w:rPr>
          <w:rFonts w:hint="eastAsia" w:ascii="宋体" w:hAnsi="宋体" w:eastAsia="宋体" w:cs="宋体"/>
          <w:b w:val="0"/>
          <w:bCs w:val="0"/>
          <w:color w:val="auto"/>
          <w:sz w:val="24"/>
          <w:szCs w:val="24"/>
          <w:highlight w:val="none"/>
          <w:lang w:val="en-US" w:eastAsia="zh-CN" w:bidi="ar-SA"/>
        </w:rPr>
        <w:t>个村</w:t>
      </w:r>
      <w:r>
        <w:rPr>
          <w:rFonts w:hint="eastAsia" w:ascii="宋体" w:hAnsi="宋体" w:cs="宋体"/>
          <w:b w:val="0"/>
          <w:bCs w:val="0"/>
          <w:color w:val="auto"/>
          <w:sz w:val="24"/>
          <w:szCs w:val="24"/>
          <w:highlight w:val="none"/>
          <w:lang w:val="en-US" w:eastAsia="zh-CN" w:bidi="ar-SA"/>
        </w:rPr>
        <w:t>及社区(</w:t>
      </w:r>
      <w:r>
        <w:rPr>
          <w:rFonts w:hint="eastAsia" w:ascii="宋体" w:hAnsi="宋体" w:eastAsia="宋体" w:cs="宋体"/>
          <w:color w:val="auto"/>
          <w:sz w:val="24"/>
          <w:szCs w:val="24"/>
          <w:highlight w:val="none"/>
          <w:lang w:eastAsia="zh-CN"/>
        </w:rPr>
        <w:t>承包土地面积85896.0585亩</w:t>
      </w:r>
      <w:r>
        <w:rPr>
          <w:rFonts w:hint="eastAsia" w:ascii="宋体" w:hAnsi="宋体" w:cs="宋体"/>
          <w:b w:val="0"/>
          <w:bCs w:val="0"/>
          <w:color w:val="auto"/>
          <w:sz w:val="24"/>
          <w:szCs w:val="24"/>
          <w:highlight w:val="none"/>
          <w:lang w:val="en-US" w:eastAsia="zh-CN" w:bidi="ar-SA"/>
        </w:rPr>
        <w:t>)。</w:t>
      </w:r>
      <w:r>
        <w:rPr>
          <w:rFonts w:hint="eastAsia" w:ascii="宋体" w:hAnsi="宋体" w:eastAsia="宋体" w:cs="宋体"/>
          <w:color w:val="auto"/>
          <w:sz w:val="24"/>
          <w:szCs w:val="24"/>
          <w:highlight w:val="none"/>
          <w:lang w:val="en-US" w:eastAsia="zh-CN" w:bidi="ar-SA"/>
        </w:rPr>
        <w:t>包括但不限于</w:t>
      </w:r>
      <w:r>
        <w:rPr>
          <w:rFonts w:hint="eastAsia" w:ascii="宋体" w:hAnsi="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zh-CN" w:bidi="ar-SA"/>
        </w:rPr>
        <w:t>摸底调查、资料收集、补充测绘、完善资料、审核公示、合同签订、数据汇交、资料归档等工作</w:t>
      </w:r>
      <w:r>
        <w:rPr>
          <w:rFonts w:hint="eastAsia" w:ascii="宋体" w:hAnsi="宋体" w:cs="宋体"/>
          <w:color w:val="auto"/>
          <w:sz w:val="24"/>
          <w:szCs w:val="24"/>
          <w:highlight w:val="none"/>
          <w:lang w:val="en-US" w:eastAsia="zh-CN" w:bidi="ar-SA"/>
        </w:rPr>
        <w:t>。</w:t>
      </w:r>
      <w:r>
        <w:rPr>
          <w:rFonts w:hint="eastAsia" w:ascii="宋体" w:hAnsi="宋体" w:eastAsia="宋体" w:cs="宋体"/>
          <w:b/>
          <w:bCs/>
          <w:color w:val="auto"/>
          <w:sz w:val="24"/>
          <w:szCs w:val="24"/>
          <w:highlight w:val="none"/>
          <w:lang w:val="en-US" w:eastAsia="zh-CN"/>
        </w:rPr>
        <w:t>牵头包中标单位</w:t>
      </w:r>
      <w:r>
        <w:rPr>
          <w:rFonts w:hint="eastAsia" w:ascii="宋体" w:hAnsi="宋体" w:eastAsia="宋体" w:cs="宋体"/>
          <w:color w:val="auto"/>
          <w:sz w:val="24"/>
          <w:szCs w:val="24"/>
          <w:highlight w:val="none"/>
          <w:lang w:val="en-US" w:eastAsia="zh-CN"/>
        </w:rPr>
        <w:t>还应提供相关软件管理系统并做好培训，负责技术方案编制、技术支持、协助试点推进、质量管理、其他标段的指导；及时提供上级检查调研所需的各项资料、工作汇报；进行试点数据检查、数据汇交、成果统一，试点经验总结，出具成果分析报告等。</w:t>
      </w:r>
    </w:p>
    <w:p w14:paraId="67EBE0F9">
      <w:pPr>
        <w:pageBreakBefore w:val="0"/>
        <w:spacing w:line="360" w:lineRule="auto"/>
        <w:ind w:firstLine="420"/>
        <w:jc w:val="left"/>
        <w:rPr>
          <w:rFonts w:hint="eastAsia" w:ascii="宋体" w:hAnsi="宋体" w:eastAsia="宋体" w:cs="宋体"/>
          <w:b/>
          <w:bCs/>
          <w:color w:val="0000FF"/>
          <w:sz w:val="24"/>
          <w:szCs w:val="24"/>
          <w:highlight w:val="none"/>
          <w:lang w:val="en-US" w:eastAsia="zh-CN" w:bidi="ar-SA"/>
        </w:rPr>
      </w:pPr>
      <w:r>
        <w:rPr>
          <w:rFonts w:hint="eastAsia" w:ascii="宋体" w:hAnsi="宋体" w:eastAsia="宋体" w:cs="宋体"/>
          <w:b/>
          <w:bCs/>
          <w:color w:val="0000FF"/>
          <w:sz w:val="24"/>
          <w:szCs w:val="24"/>
          <w:highlight w:val="none"/>
          <w:lang w:val="en-US" w:eastAsia="zh-CN" w:bidi="ar-SA"/>
        </w:rPr>
        <w:t>注：最终根据实际工作量进行结算</w:t>
      </w:r>
      <w:r>
        <w:rPr>
          <w:rFonts w:hint="eastAsia" w:ascii="宋体" w:hAnsi="宋体" w:cs="宋体"/>
          <w:b/>
          <w:bCs/>
          <w:color w:val="0000FF"/>
          <w:sz w:val="24"/>
          <w:szCs w:val="24"/>
          <w:highlight w:val="none"/>
          <w:lang w:val="en-US" w:eastAsia="zh-CN" w:bidi="ar-SA"/>
        </w:rPr>
        <w:t>（非中标人原因导致的工作无法继续开展的，据实结算金额=最终投标单价*实际测量亩数）</w:t>
      </w:r>
      <w:r>
        <w:rPr>
          <w:rFonts w:hint="eastAsia" w:ascii="宋体" w:hAnsi="宋体" w:eastAsia="宋体" w:cs="宋体"/>
          <w:b/>
          <w:bCs/>
          <w:color w:val="0000FF"/>
          <w:sz w:val="24"/>
          <w:szCs w:val="24"/>
          <w:highlight w:val="none"/>
          <w:lang w:val="en-US" w:eastAsia="zh-CN" w:bidi="ar-SA"/>
        </w:rPr>
        <w:t>。</w:t>
      </w:r>
    </w:p>
    <w:p w14:paraId="00373F86">
      <w:pPr>
        <w:pageBreakBefore w:val="0"/>
        <w:numPr>
          <w:ilvl w:val="0"/>
          <w:numId w:val="0"/>
        </w:numPr>
        <w:spacing w:line="360" w:lineRule="auto"/>
        <w:jc w:val="left"/>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七、项目要求</w:t>
      </w:r>
    </w:p>
    <w:p w14:paraId="2F71EFD7">
      <w:pPr>
        <w:pageBreakBefore w:val="0"/>
        <w:spacing w:line="360" w:lineRule="auto"/>
        <w:ind w:firstLine="422"/>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 xml:space="preserve"> </w:t>
      </w:r>
      <w:bookmarkStart w:id="10" w:name="_Hlk200555853"/>
      <w:r>
        <w:rPr>
          <w:rFonts w:hint="eastAsia" w:ascii="宋体" w:hAnsi="宋体" w:eastAsia="宋体" w:cs="宋体"/>
          <w:b/>
          <w:bCs/>
          <w:color w:val="auto"/>
          <w:sz w:val="24"/>
          <w:szCs w:val="24"/>
          <w:highlight w:val="none"/>
          <w:lang w:val="en-US" w:eastAsia="zh-CN" w:bidi="ar-SA"/>
        </w:rPr>
        <w:t>1</w:t>
      </w:r>
      <w:bookmarkEnd w:id="10"/>
      <w:r>
        <w:rPr>
          <w:rFonts w:hint="eastAsia" w:ascii="宋体" w:hAnsi="宋体" w:eastAsia="宋体" w:cs="宋体"/>
          <w:b/>
          <w:bCs/>
          <w:color w:val="auto"/>
          <w:sz w:val="24"/>
          <w:szCs w:val="24"/>
          <w:highlight w:val="none"/>
          <w:lang w:val="en-US" w:eastAsia="zh-CN" w:bidi="ar-SA"/>
        </w:rPr>
        <w:t>.成立机构</w:t>
      </w:r>
    </w:p>
    <w:p w14:paraId="1805D727">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由本集体经济组织成员（代表）大会依法选举产生延包工作小组。</w:t>
      </w:r>
    </w:p>
    <w:p w14:paraId="501119A3">
      <w:pPr>
        <w:pageBreakBefore w:val="0"/>
        <w:spacing w:line="360" w:lineRule="auto"/>
        <w:ind w:firstLine="422"/>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2.方案编制</w:t>
      </w:r>
    </w:p>
    <w:p w14:paraId="04655DFC">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根据相关要求，完成</w:t>
      </w:r>
      <w:r>
        <w:rPr>
          <w:rFonts w:hint="eastAsia" w:ascii="宋体" w:hAnsi="宋体" w:cs="宋体"/>
          <w:color w:val="auto"/>
          <w:sz w:val="24"/>
          <w:szCs w:val="24"/>
          <w:highlight w:val="none"/>
          <w:lang w:val="en-US" w:eastAsia="zh-CN" w:bidi="ar-SA"/>
        </w:rPr>
        <w:t>睢宁县李集镇、王集镇等17个镇(街道)所辖51个村(社区)第二轮土地承包到期后再延长30年试点工作和</w:t>
      </w:r>
      <w:r>
        <w:rPr>
          <w:rFonts w:hint="eastAsia" w:ascii="宋体" w:hAnsi="宋体" w:eastAsia="宋体" w:cs="宋体"/>
          <w:color w:val="auto"/>
          <w:sz w:val="24"/>
          <w:szCs w:val="24"/>
          <w:highlight w:val="none"/>
          <w:lang w:val="en-US" w:eastAsia="zh-CN" w:bidi="ar-SA"/>
        </w:rPr>
        <w:t>技术方案的编制，确保方案文本通过上级部门的审核。</w:t>
      </w:r>
    </w:p>
    <w:p w14:paraId="6F0CA3DB">
      <w:pPr>
        <w:pageBreakBefore w:val="0"/>
        <w:spacing w:line="360" w:lineRule="auto"/>
        <w:ind w:firstLine="422"/>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3.摸底核实</w:t>
      </w:r>
    </w:p>
    <w:p w14:paraId="32371E7E">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 xml:space="preserve">利用农村土地承包经营权确权登记颁证成果和农村集体产权制度改革成果等前期数据，结合当前的最新正射影像等数据（对于确权错误或有疑虑的农户，要依据1994年二轮承包时的清册）整理出摸底基础数据，并以村组为单位进行延包摸排，并逐户留影登记。主要摸清第二轮土地承包以来承包农户及家庭成员、承包地变化情况，承包地确权登记颁证情况，新增土地、机动地等情况，存在的纠纷矛盾和历史遗留问题，农户延包意愿等。 </w:t>
      </w:r>
    </w:p>
    <w:p w14:paraId="21B6E427">
      <w:pPr>
        <w:pageBreakBefore w:val="0"/>
        <w:spacing w:line="360" w:lineRule="auto"/>
        <w:ind w:firstLine="422"/>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4.制定</w:t>
      </w:r>
      <w:r>
        <w:rPr>
          <w:rFonts w:hint="eastAsia" w:ascii="宋体" w:hAnsi="宋体" w:cs="宋体"/>
          <w:b/>
          <w:bCs/>
          <w:color w:val="auto"/>
          <w:sz w:val="24"/>
          <w:szCs w:val="24"/>
          <w:highlight w:val="none"/>
          <w:lang w:val="en-US" w:eastAsia="zh-CN" w:bidi="ar-SA"/>
        </w:rPr>
        <w:t>（村级）</w:t>
      </w:r>
      <w:r>
        <w:rPr>
          <w:rFonts w:hint="eastAsia" w:ascii="宋体" w:hAnsi="宋体" w:eastAsia="宋体" w:cs="宋体"/>
          <w:b/>
          <w:bCs/>
          <w:color w:val="auto"/>
          <w:sz w:val="24"/>
          <w:szCs w:val="24"/>
          <w:highlight w:val="none"/>
          <w:lang w:val="en-US" w:eastAsia="zh-CN" w:bidi="ar-SA"/>
        </w:rPr>
        <w:t>延包方案</w:t>
      </w:r>
    </w:p>
    <w:p w14:paraId="090D7D81">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根据前期摸底核实后形成的问题清单列表逐一厘清形成延包方案。针对问题清单中的个性问题、共性问题、重大问题等，写清问题具体情况，处理意见、解决方案、处理结果。问题清单梳理后的内容，需在延包方案中体现。并在所涉集体经济组织范围内张榜公示，期限不少于15天。公示结束后，配合集体经济组织理事会召集、主持召开村（组）集体经济组织成员大会，依法对村（组）延包方案作出决定，并上报镇人民政府（街道办事处）和县级农业农村部门。</w:t>
      </w:r>
    </w:p>
    <w:p w14:paraId="6EE357B6">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bidi="ar-SA"/>
        </w:rPr>
        <w:t>5.补充调查</w:t>
      </w:r>
    </w:p>
    <w:p w14:paraId="0E30692F">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以</w:t>
      </w:r>
      <w:r>
        <w:rPr>
          <w:rFonts w:hint="eastAsia" w:ascii="宋体" w:hAnsi="宋体" w:cs="宋体"/>
          <w:color w:val="auto"/>
          <w:sz w:val="24"/>
          <w:szCs w:val="24"/>
          <w:highlight w:val="none"/>
          <w:lang w:val="en-US" w:eastAsia="zh-CN" w:bidi="ar-SA"/>
        </w:rPr>
        <w:t>2016年</w:t>
      </w:r>
      <w:r>
        <w:rPr>
          <w:rFonts w:hint="eastAsia" w:ascii="宋体" w:hAnsi="宋体" w:eastAsia="宋体" w:cs="宋体"/>
          <w:color w:val="auto"/>
          <w:sz w:val="24"/>
          <w:szCs w:val="24"/>
          <w:highlight w:val="none"/>
          <w:lang w:val="en-US" w:eastAsia="en-US" w:bidi="ar-SA"/>
        </w:rPr>
        <w:t>承包地确权登记颁证成果为基础，根据摸底核实汇总情况及各村（社区）延包工作小组制定的延包方案，对田块和家庭成员等信息有变化的农户，需进行现场指界及走访调查等工作步骤，对地块图形变化部分开展补充测绘，对承包信息变化部分开展信息补充，根据实际情况进行修正；对于未开展土地确权的承包地延包，按照《农村土地承包合同管理办法</w:t>
      </w:r>
      <w:r>
        <w:rPr>
          <w:rFonts w:hint="eastAsia" w:ascii="宋体" w:hAnsi="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农村土地承包经营权调查规程》（NY/T2537）有关规定，开展承包经营权调查，形成二轮延包数据库、信息公示表等调查成果。</w:t>
      </w:r>
    </w:p>
    <w:p w14:paraId="1144277B">
      <w:pPr>
        <w:pageBreakBefore w:val="0"/>
        <w:spacing w:line="360" w:lineRule="auto"/>
        <w:ind w:firstLine="42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6.审核公示</w:t>
      </w:r>
    </w:p>
    <w:p w14:paraId="2430D4F0">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以组为单位形成《农村土地承包经营权调查信息公示表》等成果资料，由各村（居）延包工作小组进行公示。《农村土地承包经营权调查信息公示表》需经延包工作小组核实确认后进行公示，期限不少于15天。相关权利人提出异议的，应当进行核实、修正，并再次公示。 公示期满后，以户为单位制作《农村土地承包经营权公示结果归户表》，并安排相关人员进行签字确认。</w:t>
      </w:r>
    </w:p>
    <w:p w14:paraId="1B9D879E">
      <w:pPr>
        <w:pageBreakBefore w:val="0"/>
        <w:spacing w:line="360" w:lineRule="auto"/>
        <w:ind w:firstLine="42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7.签订合同</w:t>
      </w:r>
    </w:p>
    <w:p w14:paraId="219C1CD4">
      <w:pPr>
        <w:pageBreakBefore w:val="0"/>
        <w:spacing w:line="360" w:lineRule="auto"/>
        <w:ind w:firstLine="440"/>
        <w:jc w:val="left"/>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 xml:space="preserve">根据公示结果，明确二轮承包到期后延包的土地承包关系，更新农村土地承包信息数据库，按照《农村土地（耕地）承包合同（家庭承包方式）示范文本》要求，生成电子合同文本，并组织网签承包合同。 </w:t>
      </w:r>
    </w:p>
    <w:p w14:paraId="538338B6">
      <w:pPr>
        <w:pageBreakBefore w:val="0"/>
        <w:spacing w:line="360" w:lineRule="auto"/>
        <w:ind w:firstLine="420"/>
        <w:jc w:val="left"/>
        <w:rPr>
          <w:rFonts w:hint="default"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8.协助签订不动产登记申请书</w:t>
      </w:r>
    </w:p>
    <w:p w14:paraId="710B4F3D">
      <w:pPr>
        <w:pageBreakBefore w:val="0"/>
        <w:spacing w:line="360" w:lineRule="auto"/>
        <w:ind w:firstLine="44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en-US" w:bidi="ar-SA"/>
        </w:rPr>
        <w:t>根据江苏省自然资源厅、江苏省农业农村厅《关于做好第二轮土地承包到期后再延长30年试点不动产登记工作的通知》工作要求，在二轮延包调查中同步开展不动产登记申请要件收集，规范输出不动产登记申请书，并协助发包方、承包户签订不动产登记申请书</w:t>
      </w:r>
      <w:r>
        <w:rPr>
          <w:rFonts w:hint="eastAsia" w:ascii="宋体" w:hAnsi="宋体" w:cs="宋体"/>
          <w:color w:val="auto"/>
          <w:sz w:val="24"/>
          <w:szCs w:val="24"/>
          <w:highlight w:val="none"/>
          <w:lang w:val="en-US" w:eastAsia="zh-CN" w:bidi="ar-SA"/>
        </w:rPr>
        <w:t>。</w:t>
      </w:r>
    </w:p>
    <w:p w14:paraId="63414801">
      <w:pPr>
        <w:pageBreakBefore w:val="0"/>
        <w:spacing w:line="360" w:lineRule="auto"/>
        <w:ind w:firstLine="420"/>
        <w:jc w:val="left"/>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bidi="ar-SA"/>
        </w:rPr>
        <w:t>9</w:t>
      </w:r>
      <w:r>
        <w:rPr>
          <w:rFonts w:hint="eastAsia" w:ascii="宋体" w:hAnsi="宋体" w:eastAsia="宋体" w:cs="宋体"/>
          <w:b/>
          <w:bCs/>
          <w:color w:val="auto"/>
          <w:sz w:val="24"/>
          <w:szCs w:val="24"/>
          <w:highlight w:val="none"/>
          <w:lang w:val="en-US" w:eastAsia="zh-CN" w:bidi="ar-SA"/>
        </w:rPr>
        <w:t>.资料归档</w:t>
      </w:r>
    </w:p>
    <w:p w14:paraId="56948B33">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延包试点中形成的各种文字、图表、声像、数据等不同形式的文件材料，按照档案管理有关规定，对其进行归档。形成“一村一档”的最终成果，并移交项目乡镇</w:t>
      </w:r>
      <w:r>
        <w:rPr>
          <w:rFonts w:hint="eastAsia" w:ascii="宋体" w:hAnsi="宋体" w:cs="宋体"/>
          <w:color w:val="auto"/>
          <w:sz w:val="24"/>
          <w:szCs w:val="24"/>
          <w:highlight w:val="none"/>
          <w:lang w:val="en-US" w:eastAsia="zh-CN" w:bidi="ar-SA"/>
        </w:rPr>
        <w:t>和县局</w:t>
      </w:r>
      <w:r>
        <w:rPr>
          <w:rFonts w:hint="eastAsia" w:ascii="宋体" w:hAnsi="宋体" w:eastAsia="宋体" w:cs="宋体"/>
          <w:color w:val="auto"/>
          <w:sz w:val="24"/>
          <w:szCs w:val="24"/>
          <w:highlight w:val="none"/>
          <w:lang w:val="en-US" w:eastAsia="en-US" w:bidi="ar-SA"/>
        </w:rPr>
        <w:t>。</w:t>
      </w:r>
    </w:p>
    <w:p w14:paraId="2623E930">
      <w:pPr>
        <w:pageBreakBefore w:val="0"/>
        <w:spacing w:line="360" w:lineRule="auto"/>
        <w:ind w:firstLine="420"/>
        <w:jc w:val="left"/>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bidi="ar-SA"/>
        </w:rPr>
        <w:t>10</w:t>
      </w:r>
      <w:r>
        <w:rPr>
          <w:rFonts w:hint="eastAsia" w:ascii="宋体" w:hAnsi="宋体" w:eastAsia="宋体" w:cs="宋体"/>
          <w:b/>
          <w:bCs/>
          <w:color w:val="auto"/>
          <w:sz w:val="24"/>
          <w:szCs w:val="24"/>
          <w:highlight w:val="none"/>
          <w:lang w:val="en-US" w:eastAsia="zh-CN" w:bidi="ar-SA"/>
        </w:rPr>
        <w:t>.技术核查及数据汇交</w:t>
      </w:r>
    </w:p>
    <w:p w14:paraId="323257E4">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对第二轮土地承包到期后再延长30年试点工作的成果数据进行技术核查，保证数据完整性、空间数学基础与数据格式正确性、标准符合性、空间拓扑、图数一致性等方面的质量。按农业农村部有关数据汇交的要求形成土地延包汇交数据并汇总上报相关部门。</w:t>
      </w:r>
    </w:p>
    <w:p w14:paraId="48205A8E">
      <w:pPr>
        <w:pageBreakBefore w:val="0"/>
        <w:spacing w:line="360" w:lineRule="auto"/>
        <w:ind w:firstLine="42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10</w:t>
      </w:r>
      <w:bookmarkEnd w:id="6"/>
      <w:bookmarkEnd w:id="7"/>
      <w:bookmarkEnd w:id="8"/>
      <w:bookmarkEnd w:id="9"/>
      <w:r>
        <w:rPr>
          <w:rFonts w:hint="eastAsia" w:ascii="宋体" w:hAnsi="宋体" w:eastAsia="宋体" w:cs="宋体"/>
          <w:b/>
          <w:bCs/>
          <w:color w:val="auto"/>
          <w:sz w:val="24"/>
          <w:szCs w:val="24"/>
          <w:highlight w:val="none"/>
          <w:lang w:val="en-US" w:eastAsia="zh-CN" w:bidi="ar-SA"/>
        </w:rPr>
        <w:t xml:space="preserve">.技术标准、指标及依据 </w:t>
      </w:r>
    </w:p>
    <w:p w14:paraId="2FD761EC">
      <w:pPr>
        <w:pageBreakBefore w:val="0"/>
        <w:spacing w:line="360" w:lineRule="auto"/>
        <w:ind w:firstLine="44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en-US" w:bidi="ar-SA"/>
        </w:rPr>
        <w:t>(1)延包合同签订统一采用全国承包地合同网签系统，系统数据初始接入支持按乡镇或村导入数据汇交包，但数据汇交需满足如下规范</w:t>
      </w:r>
      <w:r>
        <w:rPr>
          <w:rFonts w:hint="eastAsia" w:ascii="宋体" w:hAnsi="宋体" w:cs="宋体"/>
          <w:b/>
          <w:bCs/>
          <w:color w:val="auto"/>
          <w:sz w:val="24"/>
          <w:szCs w:val="24"/>
          <w:highlight w:val="none"/>
          <w:lang w:val="en-US" w:eastAsia="zh-CN" w:bidi="ar-SA"/>
        </w:rPr>
        <w:t>：</w:t>
      </w:r>
    </w:p>
    <w:p w14:paraId="34F2EA4E">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1)《农村土地承包经营权调查规程》(NY/T2537-2014)</w:t>
      </w:r>
    </w:p>
    <w:p w14:paraId="089D8D6F">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2)《农村土地承包经营权要素编码规则》(NY/T2538-2014)</w:t>
      </w:r>
    </w:p>
    <w:p w14:paraId="404EA2F3">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3)《农村土地承包经营权确权登记数据库规范》(NY/T2539-2014)</w:t>
      </w:r>
    </w:p>
    <w:p w14:paraId="7ECC68E8">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4)《农村土地承包经营权确权登记颁证成果检查验收办法(试行)》(农办经</w:t>
      </w:r>
      <w:r>
        <w:rPr>
          <w:rFonts w:hint="eastAsia" w:ascii="宋体" w:hAnsi="宋体" w:cs="宋体"/>
          <w:color w:val="auto"/>
          <w:sz w:val="24"/>
          <w:szCs w:val="24"/>
          <w:highlight w:val="none"/>
          <w:lang w:val="en-US" w:eastAsia="zh-CN" w:bidi="ar-SA"/>
        </w:rPr>
        <w:t>〔2015〕5号</w:t>
      </w:r>
      <w:r>
        <w:rPr>
          <w:rFonts w:hint="eastAsia" w:ascii="宋体" w:hAnsi="宋体" w:eastAsia="宋体" w:cs="宋体"/>
          <w:color w:val="auto"/>
          <w:sz w:val="24"/>
          <w:szCs w:val="24"/>
          <w:highlight w:val="none"/>
          <w:lang w:val="en-US" w:eastAsia="en-US" w:bidi="ar-SA"/>
        </w:rPr>
        <w:t>)</w:t>
      </w:r>
    </w:p>
    <w:p w14:paraId="09DE384F">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5)《农村土地承包经营权确权登记数据库建设技术指南(试行)》(农办经</w:t>
      </w:r>
      <w:r>
        <w:rPr>
          <w:rFonts w:hint="eastAsia" w:ascii="宋体" w:hAnsi="宋体" w:cs="宋体"/>
          <w:color w:val="auto"/>
          <w:sz w:val="24"/>
          <w:szCs w:val="24"/>
          <w:highlight w:val="none"/>
          <w:lang w:val="en-US" w:eastAsia="zh-CN" w:bidi="ar-SA"/>
        </w:rPr>
        <w:t>〔2015〕</w:t>
      </w:r>
      <w:r>
        <w:rPr>
          <w:rFonts w:hint="eastAsia" w:ascii="宋体" w:hAnsi="宋体" w:eastAsia="宋体" w:cs="宋体"/>
          <w:color w:val="auto"/>
          <w:sz w:val="24"/>
          <w:szCs w:val="24"/>
          <w:highlight w:val="none"/>
          <w:lang w:val="en-US" w:eastAsia="en-US" w:bidi="ar-SA"/>
        </w:rPr>
        <w:t>13号)</w:t>
      </w:r>
    </w:p>
    <w:p w14:paraId="7E297335">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6)《农村土地承包经营权确权登记数据库成果汇交办法(试行)》(农办经</w:t>
      </w:r>
      <w:r>
        <w:rPr>
          <w:rFonts w:hint="eastAsia" w:ascii="宋体" w:hAnsi="宋体" w:cs="宋体"/>
          <w:color w:val="auto"/>
          <w:sz w:val="24"/>
          <w:szCs w:val="24"/>
          <w:highlight w:val="none"/>
          <w:lang w:val="en-US" w:eastAsia="zh-CN" w:bidi="ar-SA"/>
        </w:rPr>
        <w:t>〔2015〕13号</w:t>
      </w:r>
      <w:r>
        <w:rPr>
          <w:rFonts w:hint="eastAsia" w:ascii="宋体" w:hAnsi="宋体" w:eastAsia="宋体" w:cs="宋体"/>
          <w:color w:val="auto"/>
          <w:sz w:val="24"/>
          <w:szCs w:val="24"/>
          <w:highlight w:val="none"/>
          <w:lang w:val="en-US" w:eastAsia="en-US" w:bidi="ar-SA"/>
        </w:rPr>
        <w:t>)</w:t>
      </w:r>
    </w:p>
    <w:p w14:paraId="6C470088">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此外汇交包需通过农业农村部最新质检软件质检，方可成功接入系统。</w:t>
      </w:r>
    </w:p>
    <w:p w14:paraId="33F73B8E">
      <w:pPr>
        <w:pageBreakBefore w:val="0"/>
        <w:widowControl w:val="0"/>
        <w:spacing w:line="360" w:lineRule="auto"/>
        <w:ind w:firstLine="44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en-US" w:bidi="ar-SA"/>
        </w:rPr>
        <w:t xml:space="preserve">(2)技术标准与依据 </w:t>
      </w:r>
    </w:p>
    <w:p w14:paraId="23DD9859">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w:t>
      </w:r>
      <w:r>
        <w:rPr>
          <w:rFonts w:hint="eastAsia" w:ascii="宋体" w:hAnsi="宋体" w:eastAsia="宋体" w:cs="宋体"/>
          <w:color w:val="auto"/>
          <w:sz w:val="24"/>
          <w:szCs w:val="24"/>
          <w:highlight w:val="none"/>
          <w:lang w:val="en-US" w:eastAsia="en-US" w:bidi="ar-SA"/>
        </w:rPr>
        <w:fldChar w:fldCharType="begin"/>
      </w:r>
      <w:r>
        <w:rPr>
          <w:rFonts w:hint="eastAsia" w:ascii="宋体" w:hAnsi="宋体" w:eastAsia="宋体" w:cs="宋体"/>
          <w:color w:val="auto"/>
          <w:sz w:val="24"/>
          <w:szCs w:val="24"/>
          <w:highlight w:val="none"/>
          <w:lang w:val="en-US" w:eastAsia="en-US" w:bidi="ar-SA"/>
        </w:rPr>
        <w:instrText xml:space="preserve"> HYPERLINK "https://baike.baidu.com/item/%E4%B8%AD%E5%8D%8E%E4%BA%BA%E6%B0%91%E5%85%B1%E5%92%8C%E5%9B%BD%E6%B0%91%E6%B3%95%E5%85%B8/19435116?fromModule=lemma_inlink" \t "https://baike.baidu.com/item/%E4%B8%AD%E5%8D%8E%E4%BA%BA%E6%B0%91%E5%85%B1%E5%92%8C%E5%9B%BD%E7%89%A9%E6%9D%83%E6%B3%95/_blank" </w:instrText>
      </w:r>
      <w:r>
        <w:rPr>
          <w:rFonts w:hint="eastAsia" w:ascii="宋体" w:hAnsi="宋体" w:eastAsia="宋体" w:cs="宋体"/>
          <w:color w:val="auto"/>
          <w:sz w:val="24"/>
          <w:szCs w:val="24"/>
          <w:highlight w:val="none"/>
          <w:lang w:val="en-US" w:eastAsia="en-US" w:bidi="ar-SA"/>
        </w:rPr>
        <w:fldChar w:fldCharType="separate"/>
      </w:r>
      <w:r>
        <w:rPr>
          <w:rFonts w:hint="eastAsia" w:ascii="宋体" w:hAnsi="宋体" w:eastAsia="宋体" w:cs="宋体"/>
          <w:color w:val="auto"/>
          <w:sz w:val="24"/>
          <w:szCs w:val="24"/>
          <w:highlight w:val="none"/>
          <w:lang w:val="en-US" w:eastAsia="en-US" w:bidi="ar-SA"/>
        </w:rPr>
        <w:t>中华人民共和国民法典</w:t>
      </w:r>
      <w:r>
        <w:rPr>
          <w:rFonts w:hint="eastAsia" w:ascii="宋体" w:hAnsi="宋体" w:eastAsia="宋体" w:cs="宋体"/>
          <w:color w:val="auto"/>
          <w:sz w:val="24"/>
          <w:szCs w:val="24"/>
          <w:highlight w:val="none"/>
          <w:lang w:val="en-US" w:eastAsia="en-US" w:bidi="ar-SA"/>
        </w:rPr>
        <w:fldChar w:fldCharType="end"/>
      </w:r>
      <w:r>
        <w:rPr>
          <w:rFonts w:hint="eastAsia" w:ascii="宋体" w:hAnsi="宋体" w:eastAsia="宋体" w:cs="宋体"/>
          <w:color w:val="auto"/>
          <w:sz w:val="24"/>
          <w:szCs w:val="24"/>
          <w:highlight w:val="none"/>
          <w:lang w:val="en-US" w:eastAsia="en-US" w:bidi="ar-SA"/>
        </w:rPr>
        <w:t>》</w:t>
      </w:r>
    </w:p>
    <w:p w14:paraId="51E47D06">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2)《中华人民共和国土地管理法》</w:t>
      </w:r>
    </w:p>
    <w:p w14:paraId="04BFC4DA">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3)《中华人民共和国农村土地承包法》</w:t>
      </w:r>
    </w:p>
    <w:p w14:paraId="2363C251">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4)《中华人民共和国农村集体经济组织法》</w:t>
      </w:r>
    </w:p>
    <w:p w14:paraId="69DDFB5D">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5)《农村土地承包合同管理办法》</w:t>
      </w:r>
    </w:p>
    <w:p w14:paraId="3B84E082">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6)《农村土地承包经营权调查规程》(NY/T2537)</w:t>
      </w:r>
    </w:p>
    <w:p w14:paraId="267BEC4C">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7)《 农村土地(耕地)承包合同(家庭承包方式) 示范文本》</w:t>
      </w:r>
    </w:p>
    <w:p w14:paraId="11F6318E">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8)《第二轮土地承包到期后再延长30年试点工作档案管理办法》</w:t>
      </w:r>
    </w:p>
    <w:p w14:paraId="300814FF">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9)GB/T 21010-2017 土地利用现状分类</w:t>
      </w:r>
    </w:p>
    <w:p w14:paraId="78B95DE9">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10)GB/T 13989-2012 国家基本比例尺地形图分幅与编号</w:t>
      </w:r>
    </w:p>
    <w:p w14:paraId="24D02A8B">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11)GB/T 18314-2009 全球定位系统（GPS）测量规范</w:t>
      </w:r>
    </w:p>
    <w:p w14:paraId="25C9ABB9">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12)CH/T 2009-2010 全球定位系统实时动态测量（RTK）技术规范</w:t>
      </w:r>
    </w:p>
    <w:p w14:paraId="15469079">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13)GB/T 2260-2007 中华人民共和国行政区划代码</w:t>
      </w:r>
    </w:p>
    <w:p w14:paraId="066880F6">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14)GB/T 13923-2006 基础地理信息要素分类与代码</w:t>
      </w:r>
    </w:p>
    <w:p w14:paraId="68C84AB8">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15)GB/T 21010-2017 土地利用现状分类</w:t>
      </w:r>
    </w:p>
    <w:p w14:paraId="06D9D3AF">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16)TD/T 1066-2021 不动产登记数据库标准</w:t>
      </w:r>
    </w:p>
    <w:p w14:paraId="1C3377CD">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17)CH/T 1001-2005 测绘技术总结编写规定</w:t>
      </w:r>
    </w:p>
    <w:p w14:paraId="1F8F6397">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18)CH/T 1004-2005 测绘技术设计规定</w:t>
      </w:r>
    </w:p>
    <w:p w14:paraId="71EDD9A3">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19)GB/T 24356-2009 测绘成果质量检查与验收</w:t>
      </w:r>
    </w:p>
    <w:p w14:paraId="79FE7939">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20)GB/T 18316—2008 数字测绘成果质量检查与验收</w:t>
      </w:r>
    </w:p>
    <w:p w14:paraId="228F5838">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21)GB/T 35958-2018农村土地承包经营权要素编码规则</w:t>
      </w:r>
    </w:p>
    <w:p w14:paraId="7088F826">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22)NY/T 2539-2016 农村土地承包经营权确权登记数据库规范</w:t>
      </w:r>
    </w:p>
    <w:p w14:paraId="2F71F4C4">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23)GB/T 42547-2023《地籍调查规程》</w:t>
      </w:r>
    </w:p>
    <w:p w14:paraId="14106A3F">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24)TD/T 1095-2024 《不动产登记规程》</w:t>
      </w:r>
    </w:p>
    <w:p w14:paraId="019F58EB">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25)CH/T9008.3《基础地理信息数字成果》</w:t>
      </w:r>
    </w:p>
    <w:p w14:paraId="0F60D0F5">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26)GB/T79301:5001:10001:2000《地形图航空摄影测量内业规范》</w:t>
      </w:r>
    </w:p>
    <w:p w14:paraId="335237F6">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27)GB/T79311:5001:10001:2000《地形图航空摄影测量外业规范》</w:t>
      </w:r>
    </w:p>
    <w:p w14:paraId="30F64E44">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28)GB/T20257.1《国家基本比例尺地图图式》</w:t>
      </w:r>
    </w:p>
    <w:p w14:paraId="56043C29">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29)GB/T23236《数字航空摄影测量空中三角测量规范》</w:t>
      </w:r>
    </w:p>
    <w:p w14:paraId="373044BC">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30)《</w:t>
      </w:r>
      <w:r>
        <w:rPr>
          <w:rFonts w:hint="eastAsia" w:ascii="宋体" w:hAnsi="宋体" w:cs="宋体"/>
          <w:color w:val="auto"/>
          <w:sz w:val="24"/>
          <w:szCs w:val="24"/>
          <w:highlight w:val="none"/>
          <w:lang w:val="en-US" w:eastAsia="zh-CN" w:bidi="ar-SA"/>
        </w:rPr>
        <w:t>睢宁县</w:t>
      </w:r>
      <w:r>
        <w:rPr>
          <w:rFonts w:hint="eastAsia" w:ascii="宋体" w:hAnsi="宋体" w:eastAsia="宋体" w:cs="宋体"/>
          <w:color w:val="auto"/>
          <w:sz w:val="24"/>
          <w:szCs w:val="24"/>
          <w:highlight w:val="none"/>
          <w:lang w:val="en-US" w:eastAsia="en-US" w:bidi="ar-SA"/>
        </w:rPr>
        <w:t>第二轮土地承包到期后再延长30年试点工作方案》</w:t>
      </w:r>
    </w:p>
    <w:p w14:paraId="64851CF5">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项目实施过程中，上述标准有更新的，执行最新标准。</w:t>
      </w:r>
    </w:p>
    <w:p w14:paraId="56E021A5">
      <w:pPr>
        <w:pageBreakBefore w:val="0"/>
        <w:widowControl w:val="0"/>
        <w:spacing w:line="360" w:lineRule="auto"/>
        <w:ind w:firstLine="44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en-US" w:bidi="ar-SA"/>
        </w:rPr>
        <w:t>（3）主要技术指标要求</w:t>
      </w:r>
    </w:p>
    <w:p w14:paraId="02E62C76">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1)坐标系统</w:t>
      </w:r>
    </w:p>
    <w:p w14:paraId="3438964D">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采用 2000 国家大地坐标系（CGCS2000）。</w:t>
      </w:r>
    </w:p>
    <w:p w14:paraId="773F045D">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地图投影采用高斯—克吕格投影，3 度分带，中央子午线为120°。</w:t>
      </w:r>
    </w:p>
    <w:p w14:paraId="38A688F2">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2)高程系统</w:t>
      </w:r>
    </w:p>
    <w:p w14:paraId="54D7C770">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采用 1985 国家高程基准。</w:t>
      </w:r>
    </w:p>
    <w:p w14:paraId="66494687">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3)比例尺</w:t>
      </w:r>
    </w:p>
    <w:p w14:paraId="209CDDF5">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比例尺不低于1:2000。</w:t>
      </w:r>
    </w:p>
    <w:p w14:paraId="4D6CA101">
      <w:pPr>
        <w:pageBreakBefore w:val="0"/>
        <w:spacing w:line="360" w:lineRule="auto"/>
        <w:ind w:firstLine="440"/>
        <w:jc w:val="left"/>
        <w:rPr>
          <w:rFonts w:hint="eastAsia" w:ascii="宋体" w:hAnsi="宋体" w:eastAsia="宋体" w:cs="宋体"/>
          <w:color w:val="auto"/>
          <w:sz w:val="24"/>
          <w:szCs w:val="24"/>
          <w:highlight w:val="none"/>
        </w:rPr>
      </w:pPr>
      <w:bookmarkStart w:id="11" w:name="_Toc365462443"/>
      <w:bookmarkStart w:id="12" w:name="_Toc392608054"/>
      <w:bookmarkStart w:id="13" w:name="_Toc365533747"/>
      <w:bookmarkStart w:id="14" w:name="_Toc365380148"/>
      <w:r>
        <w:rPr>
          <w:rFonts w:hint="eastAsia" w:ascii="宋体" w:hAnsi="宋体" w:eastAsia="宋体" w:cs="宋体"/>
          <w:color w:val="auto"/>
          <w:sz w:val="24"/>
          <w:szCs w:val="24"/>
          <w:highlight w:val="none"/>
          <w:lang w:val="en-US" w:eastAsia="en-US" w:bidi="ar-SA"/>
        </w:rPr>
        <w:t>4)主要精度指标</w:t>
      </w:r>
    </w:p>
    <w:p w14:paraId="17B476A8">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地块分布图上界址点相对于邻近控制点的点位中误差和相邻界址点之间的间距中误差原则上不得超过下表的规定。</w:t>
      </w:r>
    </w:p>
    <w:p w14:paraId="578328F1">
      <w:pPr>
        <w:pageBreakBefore w:val="0"/>
        <w:spacing w:line="360" w:lineRule="auto"/>
        <w:ind w:firstLine="44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en-US" w:bidi="ar-SA"/>
        </w:rPr>
        <w:t>界址点精度指标表</w:t>
      </w:r>
      <w:r>
        <w:rPr>
          <w:rFonts w:hint="eastAsia" w:ascii="宋体" w:hAnsi="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界址点相对于邻近控制点的点位中误差和相邻界址点</w:t>
      </w:r>
      <w:r>
        <w:rPr>
          <w:rFonts w:hint="eastAsia" w:ascii="宋体" w:hAnsi="宋体" w:cs="宋体"/>
          <w:color w:val="auto"/>
          <w:sz w:val="24"/>
          <w:szCs w:val="24"/>
          <w:highlight w:val="none"/>
          <w:lang w:val="en-US" w:eastAsia="zh-CN" w:bidi="ar-SA"/>
        </w:rPr>
        <w:t>间</w:t>
      </w:r>
      <w:r>
        <w:rPr>
          <w:rFonts w:hint="eastAsia" w:ascii="宋体" w:hAnsi="宋体" w:eastAsia="宋体" w:cs="宋体"/>
          <w:color w:val="auto"/>
          <w:sz w:val="24"/>
          <w:szCs w:val="24"/>
          <w:highlight w:val="none"/>
          <w:lang w:val="en-US" w:eastAsia="en-US" w:bidi="ar-SA"/>
        </w:rPr>
        <w:t>的间距中误差</w:t>
      </w:r>
    </w:p>
    <w:p w14:paraId="50190FDB">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比例尺1:2000</w:t>
      </w:r>
    </w:p>
    <w:p w14:paraId="69CF8025">
      <w:pPr>
        <w:pageBreakBefore w:val="0"/>
        <w:spacing w:line="360" w:lineRule="auto"/>
        <w:ind w:firstLine="440"/>
        <w:jc w:val="left"/>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平地、丘陵</w:t>
      </w:r>
      <w:r>
        <w:rPr>
          <w:rFonts w:hint="eastAsia" w:ascii="宋体" w:hAnsi="宋体" w:cs="宋体"/>
          <w:color w:val="auto"/>
          <w:sz w:val="24"/>
          <w:szCs w:val="24"/>
          <w:highlight w:val="none"/>
          <w:lang w:val="en-US" w:eastAsia="zh-CN" w:bidi="ar-SA"/>
        </w:rPr>
        <w:t xml:space="preserve"> </w:t>
      </w:r>
      <w:r>
        <w:rPr>
          <w:rFonts w:hint="eastAsia" w:ascii="宋体" w:hAnsi="宋体" w:eastAsia="宋体" w:cs="宋体"/>
          <w:color w:val="auto"/>
          <w:sz w:val="24"/>
          <w:szCs w:val="24"/>
          <w:highlight w:val="none"/>
          <w:lang w:val="en-US" w:eastAsia="en-US" w:bidi="ar-SA"/>
        </w:rPr>
        <w:t>±1.20</w:t>
      </w:r>
      <w:r>
        <w:rPr>
          <w:rFonts w:hint="eastAsia" w:ascii="宋体" w:hAnsi="宋体" w:eastAsia="宋体" w:cs="宋体"/>
          <w:color w:val="auto"/>
          <w:sz w:val="24"/>
          <w:szCs w:val="24"/>
          <w:highlight w:val="none"/>
          <w:lang w:val="en-US" w:eastAsia="en-US" w:bidi="ar-SA"/>
        </w:rPr>
        <w:tab/>
      </w:r>
    </w:p>
    <w:p w14:paraId="2A21A976">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山地、高山地</w:t>
      </w:r>
      <w:r>
        <w:rPr>
          <w:rFonts w:hint="eastAsia" w:ascii="宋体" w:hAnsi="宋体" w:cs="宋体"/>
          <w:color w:val="auto"/>
          <w:sz w:val="24"/>
          <w:szCs w:val="24"/>
          <w:highlight w:val="none"/>
          <w:lang w:val="en-US" w:eastAsia="zh-CN" w:bidi="ar-SA"/>
        </w:rPr>
        <w:t xml:space="preserve"> </w:t>
      </w:r>
      <w:r>
        <w:rPr>
          <w:rFonts w:hint="eastAsia" w:ascii="宋体" w:hAnsi="宋体" w:eastAsia="宋体" w:cs="宋体"/>
          <w:color w:val="auto"/>
          <w:sz w:val="24"/>
          <w:szCs w:val="24"/>
          <w:highlight w:val="none"/>
          <w:lang w:val="en-US" w:eastAsia="en-US" w:bidi="ar-SA"/>
        </w:rPr>
        <w:t>±1.60</w:t>
      </w:r>
    </w:p>
    <w:p w14:paraId="267B625D">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5）计量单位</w:t>
      </w:r>
    </w:p>
    <w:p w14:paraId="56FC6CB6">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①长度单位采用米（m）</w:t>
      </w:r>
      <w:r>
        <w:rPr>
          <w:rFonts w:hint="eastAsia" w:ascii="宋体" w:hAnsi="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小数点后保留两位有效数字（0.01）。</w:t>
      </w:r>
    </w:p>
    <w:p w14:paraId="2D4E49F7">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②面积单位采用平方米（㎡），小数点后保留两位有效数字（0.01）。统计汇总时，面积单位采用公顷（h㎡），小数点后保留两位有效数字（0.01）。</w:t>
      </w:r>
    </w:p>
    <w:p w14:paraId="619DB3C9">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③亩作为辅助面积单位（mu）、小数点后保留两位有效数字（0.01）。</w:t>
      </w:r>
    </w:p>
    <w:p w14:paraId="40D55B70">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④坐标单位采用米（m），保留3位有效数字（0.001）。</w:t>
      </w:r>
    </w:p>
    <w:p w14:paraId="4AD473D0">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6）面积计算</w:t>
      </w:r>
    </w:p>
    <w:p w14:paraId="19D82A4F">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面积计算采用水平投影面积，面积相对误差5%以内。</w:t>
      </w:r>
    </w:p>
    <w:p w14:paraId="642B8407">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7）界址点测量</w:t>
      </w:r>
    </w:p>
    <w:p w14:paraId="28AA0615">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以图解法为基础，辅以实地勘测法进行补充调查确定界址点坐标的方法。即利用工作底图到实地核实解译界址点的正确性，对解译界址点与实地不符的，经实地标绘或测量予以纠正。</w:t>
      </w:r>
    </w:p>
    <w:p w14:paraId="5D6F5D6F">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8）其他要求</w:t>
      </w:r>
    </w:p>
    <w:p w14:paraId="623D6AD2">
      <w:pPr>
        <w:pageBreakBefore w:val="0"/>
        <w:spacing w:line="360" w:lineRule="auto"/>
        <w:ind w:firstLine="440"/>
        <w:jc w:val="both"/>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en-US" w:bidi="ar-SA"/>
        </w:rPr>
        <w:t>为满足延包合同签订后自然资源主管部门农村土地承包经营权纳入不动产统一登记工作需要，基于本次项目</w:t>
      </w:r>
      <w:r>
        <w:rPr>
          <w:rFonts w:hint="eastAsia" w:ascii="宋体" w:hAnsi="宋体" w:cs="宋体"/>
          <w:color w:val="auto"/>
          <w:sz w:val="24"/>
          <w:szCs w:val="24"/>
          <w:highlight w:val="none"/>
          <w:lang w:val="en-US" w:eastAsia="zh-CN" w:bidi="ar-SA"/>
        </w:rPr>
        <w:t>睢宁县</w:t>
      </w:r>
      <w:r>
        <w:rPr>
          <w:rFonts w:hint="eastAsia" w:ascii="宋体" w:hAnsi="宋体" w:eastAsia="宋体" w:cs="宋体"/>
          <w:color w:val="auto"/>
          <w:sz w:val="24"/>
          <w:szCs w:val="24"/>
          <w:highlight w:val="none"/>
          <w:lang w:val="en-US" w:eastAsia="en-US" w:bidi="ar-SA"/>
        </w:rPr>
        <w:t>提供的土地承包经营权确权基础</w:t>
      </w:r>
      <w:r>
        <w:rPr>
          <w:rFonts w:hint="eastAsia" w:ascii="宋体" w:hAnsi="宋体" w:cs="宋体"/>
          <w:color w:val="auto"/>
          <w:sz w:val="24"/>
          <w:szCs w:val="24"/>
          <w:highlight w:val="none"/>
          <w:lang w:val="en-US" w:eastAsia="zh-CN" w:bidi="ar-SA"/>
        </w:rPr>
        <w:t>数据</w:t>
      </w:r>
      <w:r>
        <w:rPr>
          <w:rFonts w:hint="eastAsia" w:ascii="宋体" w:hAnsi="宋体" w:eastAsia="宋体" w:cs="宋体"/>
          <w:color w:val="auto"/>
          <w:sz w:val="24"/>
          <w:szCs w:val="24"/>
          <w:highlight w:val="none"/>
          <w:lang w:val="en-US" w:eastAsia="en-US" w:bidi="ar-SA"/>
        </w:rPr>
        <w:t>，对于面积发生变化的地块(包含分户、合户等情形)进行确权时，应按照《地籍调查规程》(GB/T42547-2023)开展测绘(包括修正测绘、补充测绘、新增测绘等)调查工作，形成地籍调查图、界址点坐标等地籍调查成果，用于登记发证。</w:t>
      </w:r>
      <w:r>
        <w:rPr>
          <w:rFonts w:hint="eastAsia" w:ascii="宋体" w:hAnsi="宋体" w:cs="宋体"/>
          <w:color w:val="auto"/>
          <w:sz w:val="24"/>
          <w:szCs w:val="24"/>
          <w:highlight w:val="none"/>
          <w:lang w:val="en-US" w:eastAsia="zh-CN" w:bidi="ar-SA"/>
        </w:rPr>
        <w:t>另外历史上没有（完成）确权的农户先完成测绘确权等工作同时开展延包工作。</w:t>
      </w:r>
    </w:p>
    <w:p w14:paraId="6390F2D5">
      <w:pPr>
        <w:pStyle w:val="16"/>
        <w:keepNext w:val="0"/>
        <w:keepLines w:val="0"/>
        <w:pageBreakBefore w:val="0"/>
        <w:widowControl w:val="0"/>
        <w:spacing w:before="181" w:after="60" w:line="360" w:lineRule="auto"/>
        <w:ind w:firstLine="198"/>
        <w:jc w:val="left"/>
        <w:rPr>
          <w:rFonts w:hint="eastAsia" w:ascii="宋体" w:hAnsi="宋体" w:eastAsia="宋体" w:cs="宋体"/>
          <w:b/>
          <w:bCs/>
          <w:color w:val="auto"/>
          <w:sz w:val="24"/>
          <w:szCs w:val="24"/>
          <w:highlight w:val="none"/>
          <w:lang w:val="en-US" w:eastAsia="zh-CN" w:bidi="ar-SA"/>
        </w:rPr>
      </w:pPr>
      <w:bookmarkStart w:id="15" w:name="_Toc11291"/>
      <w:bookmarkStart w:id="16" w:name="_Toc15626"/>
      <w:bookmarkStart w:id="17" w:name="_Toc7718"/>
      <w:bookmarkStart w:id="18" w:name="_Toc4221"/>
      <w:r>
        <w:rPr>
          <w:rFonts w:hint="eastAsia" w:ascii="宋体" w:hAnsi="宋体" w:eastAsia="宋体" w:cs="宋体"/>
          <w:b/>
          <w:bCs/>
          <w:color w:val="auto"/>
          <w:sz w:val="24"/>
          <w:szCs w:val="24"/>
          <w:highlight w:val="none"/>
          <w:lang w:val="en-US" w:eastAsia="zh-CN" w:bidi="ar-SA"/>
        </w:rPr>
        <w:t>八、项目成果要求</w:t>
      </w:r>
      <w:bookmarkEnd w:id="15"/>
      <w:bookmarkEnd w:id="16"/>
      <w:bookmarkEnd w:id="17"/>
      <w:bookmarkEnd w:id="18"/>
    </w:p>
    <w:p w14:paraId="42C24AE9">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 xml:space="preserve">提交的成果包括数据库成果、文字成果、图件成果、表格、视频等成果。 </w:t>
      </w:r>
    </w:p>
    <w:p w14:paraId="64389744">
      <w:pPr>
        <w:pageBreakBefore w:val="0"/>
        <w:widowControl w:val="0"/>
        <w:spacing w:line="360" w:lineRule="auto"/>
        <w:ind w:firstLine="44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en-US" w:bidi="ar-SA"/>
        </w:rPr>
        <w:t>1</w:t>
      </w:r>
      <w:r>
        <w:rPr>
          <w:rFonts w:hint="eastAsia" w:ascii="宋体" w:hAnsi="宋体" w:eastAsia="宋体" w:cs="宋体"/>
          <w:b/>
          <w:bCs/>
          <w:color w:val="auto"/>
          <w:sz w:val="24"/>
          <w:szCs w:val="24"/>
          <w:highlight w:val="none"/>
          <w:lang w:val="en-US" w:eastAsia="zh-CN" w:bidi="ar-SA"/>
        </w:rPr>
        <w:t>.</w:t>
      </w:r>
      <w:r>
        <w:rPr>
          <w:rFonts w:hint="eastAsia" w:ascii="宋体" w:hAnsi="宋体" w:eastAsia="宋体" w:cs="宋体"/>
          <w:b/>
          <w:bCs/>
          <w:color w:val="auto"/>
          <w:sz w:val="24"/>
          <w:szCs w:val="24"/>
          <w:highlight w:val="none"/>
          <w:lang w:val="en-US" w:eastAsia="en-US" w:bidi="ar-SA"/>
        </w:rPr>
        <w:t>数据库成果</w:t>
      </w:r>
    </w:p>
    <w:p w14:paraId="565C2C28">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农村土地承包经营权延包数据库、测量数据、元数据、调查成果的电子数据。</w:t>
      </w:r>
    </w:p>
    <w:p w14:paraId="64F9107B">
      <w:pPr>
        <w:pageBreakBefore w:val="0"/>
        <w:widowControl w:val="0"/>
        <w:spacing w:line="360" w:lineRule="auto"/>
        <w:ind w:firstLine="44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en-US" w:bidi="ar-SA"/>
        </w:rPr>
        <w:t>2</w:t>
      </w:r>
      <w:r>
        <w:rPr>
          <w:rFonts w:hint="eastAsia" w:ascii="宋体" w:hAnsi="宋体" w:eastAsia="宋体" w:cs="宋体"/>
          <w:b/>
          <w:bCs/>
          <w:color w:val="auto"/>
          <w:sz w:val="24"/>
          <w:szCs w:val="24"/>
          <w:highlight w:val="none"/>
          <w:lang w:val="en-US" w:eastAsia="zh-CN" w:bidi="ar-SA"/>
        </w:rPr>
        <w:t>.</w:t>
      </w:r>
      <w:r>
        <w:rPr>
          <w:rFonts w:hint="eastAsia" w:ascii="宋体" w:hAnsi="宋体" w:eastAsia="宋体" w:cs="宋体"/>
          <w:b/>
          <w:bCs/>
          <w:color w:val="auto"/>
          <w:sz w:val="24"/>
          <w:szCs w:val="24"/>
          <w:highlight w:val="none"/>
          <w:lang w:val="en-US" w:eastAsia="en-US" w:bidi="ar-SA"/>
        </w:rPr>
        <w:t>图件簿册成果</w:t>
      </w:r>
    </w:p>
    <w:p w14:paraId="155A7630">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1)工作底图；</w:t>
      </w:r>
    </w:p>
    <w:p w14:paraId="617DCDD9">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2)调查草图；</w:t>
      </w:r>
    </w:p>
    <w:p w14:paraId="5B638242">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3)地块分布图；</w:t>
      </w:r>
    </w:p>
    <w:p w14:paraId="08846BA8">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4)地籍图等图件；</w:t>
      </w:r>
    </w:p>
    <w:p w14:paraId="04323953">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5)农村土地承包台账；</w:t>
      </w:r>
    </w:p>
    <w:p w14:paraId="069E6D26">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6)二轮延包合同；</w:t>
      </w:r>
    </w:p>
    <w:p w14:paraId="2EBDFC87">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7)发包方调查表；</w:t>
      </w:r>
    </w:p>
    <w:p w14:paraId="22129E9C">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8)承包方调查表；</w:t>
      </w:r>
    </w:p>
    <w:p w14:paraId="53B58CDB">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9)承包地块调查表；</w:t>
      </w:r>
    </w:p>
    <w:p w14:paraId="50A89214">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10)农村土地承包经营权调查信息公示表；</w:t>
      </w:r>
    </w:p>
    <w:p w14:paraId="3FC1AD20">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11)农村土地承包经营权公示结果归户表等簿册。</w:t>
      </w:r>
    </w:p>
    <w:p w14:paraId="247BAB0A">
      <w:pPr>
        <w:pageBreakBefore w:val="0"/>
        <w:widowControl w:val="0"/>
        <w:spacing w:line="360" w:lineRule="auto"/>
        <w:ind w:firstLine="44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en-US" w:bidi="ar-SA"/>
        </w:rPr>
        <w:t>3</w:t>
      </w:r>
      <w:r>
        <w:rPr>
          <w:rFonts w:hint="eastAsia" w:ascii="宋体" w:hAnsi="宋体" w:eastAsia="宋体" w:cs="宋体"/>
          <w:b/>
          <w:bCs/>
          <w:color w:val="auto"/>
          <w:sz w:val="24"/>
          <w:szCs w:val="24"/>
          <w:highlight w:val="none"/>
          <w:lang w:val="en-US" w:eastAsia="zh-CN" w:bidi="ar-SA"/>
        </w:rPr>
        <w:t>.</w:t>
      </w:r>
      <w:r>
        <w:rPr>
          <w:rFonts w:hint="eastAsia" w:ascii="宋体" w:hAnsi="宋体" w:eastAsia="宋体" w:cs="宋体"/>
          <w:b/>
          <w:bCs/>
          <w:color w:val="auto"/>
          <w:sz w:val="24"/>
          <w:szCs w:val="24"/>
          <w:highlight w:val="none"/>
          <w:lang w:val="en-US" w:eastAsia="en-US" w:bidi="ar-SA"/>
        </w:rPr>
        <w:t>文字报告成果</w:t>
      </w:r>
    </w:p>
    <w:p w14:paraId="5F8C9015">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w:t>
      </w:r>
      <w:r>
        <w:rPr>
          <w:rFonts w:hint="eastAsia" w:ascii="宋体" w:hAnsi="宋体" w:cs="宋体"/>
          <w:color w:val="auto"/>
          <w:sz w:val="24"/>
          <w:szCs w:val="24"/>
          <w:highlight w:val="none"/>
          <w:lang w:val="en-US" w:eastAsia="zh-CN" w:bidi="ar-SA"/>
        </w:rPr>
        <w:t>2025年度睢宁县第二轮土地承包到期后再延长30年试点项目</w:t>
      </w:r>
      <w:r>
        <w:rPr>
          <w:rFonts w:hint="eastAsia" w:ascii="宋体" w:hAnsi="宋体" w:eastAsia="宋体" w:cs="宋体"/>
          <w:color w:val="auto"/>
          <w:sz w:val="24"/>
          <w:szCs w:val="24"/>
          <w:highlight w:val="none"/>
          <w:lang w:val="en-US" w:eastAsia="en-US" w:bidi="ar-SA"/>
        </w:rPr>
        <w:t>实施方案；</w:t>
      </w:r>
    </w:p>
    <w:p w14:paraId="349A14B3">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2）技术设计书；</w:t>
      </w:r>
    </w:p>
    <w:p w14:paraId="517F4F65">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3）纠纷调解协议书；</w:t>
      </w:r>
    </w:p>
    <w:p w14:paraId="22CA853C">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4）检查报告；</w:t>
      </w:r>
    </w:p>
    <w:p w14:paraId="1A2CB28F">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5）申请书；</w:t>
      </w:r>
    </w:p>
    <w:p w14:paraId="4ED259C3">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6）委托书；</w:t>
      </w:r>
    </w:p>
    <w:p w14:paraId="57462A44">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7）决议及会议记录等材料；</w:t>
      </w:r>
    </w:p>
    <w:p w14:paraId="71BB3F43">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8）</w:t>
      </w:r>
      <w:r>
        <w:rPr>
          <w:rFonts w:hint="eastAsia" w:ascii="宋体" w:hAnsi="宋体" w:cs="宋体"/>
          <w:color w:val="auto"/>
          <w:sz w:val="24"/>
          <w:szCs w:val="24"/>
          <w:highlight w:val="none"/>
          <w:lang w:val="en-US" w:eastAsia="zh-CN" w:bidi="ar-SA"/>
        </w:rPr>
        <w:t>2025年度睢宁县第二轮土地承包到期后再延长30年试点项目</w:t>
      </w:r>
      <w:r>
        <w:rPr>
          <w:rFonts w:hint="eastAsia" w:ascii="宋体" w:hAnsi="宋体" w:eastAsia="宋体" w:cs="宋体"/>
          <w:color w:val="auto"/>
          <w:sz w:val="24"/>
          <w:szCs w:val="24"/>
          <w:highlight w:val="none"/>
          <w:lang w:val="en-US" w:eastAsia="en-US" w:bidi="ar-SA"/>
        </w:rPr>
        <w:t>技术方案；</w:t>
      </w:r>
    </w:p>
    <w:p w14:paraId="3C0764CA">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9）</w:t>
      </w:r>
      <w:r>
        <w:rPr>
          <w:rFonts w:hint="eastAsia" w:ascii="宋体" w:hAnsi="宋体" w:cs="宋体"/>
          <w:color w:val="auto"/>
          <w:sz w:val="24"/>
          <w:szCs w:val="24"/>
          <w:highlight w:val="none"/>
          <w:lang w:val="en-US" w:eastAsia="zh-CN" w:bidi="ar-SA"/>
        </w:rPr>
        <w:t>2025年度睢宁县第二轮土地承包到期后再延长30年试点项目</w:t>
      </w:r>
      <w:r>
        <w:rPr>
          <w:rFonts w:hint="eastAsia" w:ascii="宋体" w:hAnsi="宋体" w:eastAsia="宋体" w:cs="宋体"/>
          <w:color w:val="auto"/>
          <w:sz w:val="24"/>
          <w:szCs w:val="24"/>
          <w:highlight w:val="none"/>
          <w:lang w:val="en-US" w:eastAsia="en-US" w:bidi="ar-SA"/>
        </w:rPr>
        <w:t>工作报告；</w:t>
      </w:r>
    </w:p>
    <w:p w14:paraId="6534C3AC">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10）</w:t>
      </w:r>
      <w:r>
        <w:rPr>
          <w:rFonts w:hint="eastAsia" w:ascii="宋体" w:hAnsi="宋体" w:cs="宋体"/>
          <w:color w:val="auto"/>
          <w:sz w:val="24"/>
          <w:szCs w:val="24"/>
          <w:highlight w:val="none"/>
          <w:lang w:val="en-US" w:eastAsia="zh-CN" w:bidi="ar-SA"/>
        </w:rPr>
        <w:t>2025年度睢宁县第二轮土地承包到期后再延长30年试点项目</w:t>
      </w:r>
      <w:r>
        <w:rPr>
          <w:rFonts w:hint="eastAsia" w:ascii="宋体" w:hAnsi="宋体" w:eastAsia="宋体" w:cs="宋体"/>
          <w:color w:val="auto"/>
          <w:sz w:val="24"/>
          <w:szCs w:val="24"/>
          <w:highlight w:val="none"/>
          <w:lang w:val="en-US" w:eastAsia="en-US" w:bidi="ar-SA"/>
        </w:rPr>
        <w:t>技术总结报告。</w:t>
      </w:r>
    </w:p>
    <w:p w14:paraId="763DE767">
      <w:pPr>
        <w:pageBreakBefore w:val="0"/>
        <w:widowControl w:val="0"/>
        <w:spacing w:line="360" w:lineRule="auto"/>
        <w:ind w:firstLine="44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en-US" w:bidi="ar-SA"/>
        </w:rPr>
        <w:t>4</w:t>
      </w:r>
      <w:r>
        <w:rPr>
          <w:rFonts w:hint="eastAsia" w:ascii="宋体" w:hAnsi="宋体" w:eastAsia="宋体" w:cs="宋体"/>
          <w:b/>
          <w:bCs/>
          <w:color w:val="auto"/>
          <w:sz w:val="24"/>
          <w:szCs w:val="24"/>
          <w:highlight w:val="none"/>
          <w:lang w:val="en-US" w:eastAsia="zh-CN" w:bidi="ar-SA"/>
        </w:rPr>
        <w:t>.</w:t>
      </w:r>
      <w:r>
        <w:rPr>
          <w:rFonts w:hint="eastAsia" w:ascii="宋体" w:hAnsi="宋体" w:eastAsia="宋体" w:cs="宋体"/>
          <w:b/>
          <w:bCs/>
          <w:color w:val="auto"/>
          <w:sz w:val="24"/>
          <w:szCs w:val="24"/>
          <w:highlight w:val="none"/>
          <w:lang w:val="en-US" w:eastAsia="en-US" w:bidi="ar-SA"/>
        </w:rPr>
        <w:t>视频成果</w:t>
      </w:r>
    </w:p>
    <w:p w14:paraId="39169092">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二轮延包实施过程中的重要细节，成员会议、成员委托等，形成一村一档，以镇为单位形成存储介质。</w:t>
      </w:r>
    </w:p>
    <w:p w14:paraId="05FA6198">
      <w:pPr>
        <w:pageBreakBefore w:val="0"/>
        <w:spacing w:line="360" w:lineRule="auto"/>
        <w:ind w:firstLine="44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en-US" w:bidi="ar-SA"/>
        </w:rPr>
        <w:t>5</w:t>
      </w:r>
      <w:r>
        <w:rPr>
          <w:rFonts w:hint="eastAsia" w:ascii="宋体" w:hAnsi="宋体" w:eastAsia="宋体" w:cs="宋体"/>
          <w:b/>
          <w:bCs/>
          <w:color w:val="auto"/>
          <w:sz w:val="24"/>
          <w:szCs w:val="24"/>
          <w:highlight w:val="none"/>
          <w:lang w:val="en-US" w:eastAsia="zh-CN" w:bidi="ar-SA"/>
        </w:rPr>
        <w:t>.</w:t>
      </w:r>
      <w:r>
        <w:rPr>
          <w:rFonts w:hint="eastAsia" w:ascii="宋体" w:hAnsi="宋体" w:eastAsia="宋体" w:cs="宋体"/>
          <w:b/>
          <w:bCs/>
          <w:color w:val="auto"/>
          <w:sz w:val="24"/>
          <w:szCs w:val="24"/>
          <w:highlight w:val="none"/>
          <w:lang w:val="en-US" w:eastAsia="en-US" w:bidi="ar-SA"/>
        </w:rPr>
        <w:t>其他成果</w:t>
      </w:r>
    </w:p>
    <w:p w14:paraId="4E1C7E82">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指界通知书存根、法定代表人身份证明书、指界委托书、地籍调查结果公示、政府确认文件、不动产登记委托书、不动产登记核查公告等，纸质1份，电子扫描件各1份，电子版，采用jpg或tif格式。</w:t>
      </w:r>
      <w:bookmarkEnd w:id="11"/>
      <w:bookmarkEnd w:id="12"/>
      <w:bookmarkEnd w:id="13"/>
      <w:bookmarkEnd w:id="14"/>
    </w:p>
    <w:p w14:paraId="19B8CD74">
      <w:pPr>
        <w:pageBreakBefore w:val="0"/>
        <w:numPr>
          <w:ilvl w:val="0"/>
          <w:numId w:val="0"/>
        </w:numPr>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九、档案整理要求</w:t>
      </w:r>
    </w:p>
    <w:p w14:paraId="36064D52">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档案整理内容包括但不限于摸底表、公示表及公示图、归户表、村(组)签章图、承包合同等，最终需符合农业农村部和国家档案局相关要求。</w:t>
      </w:r>
    </w:p>
    <w:p w14:paraId="1CE9E5A2">
      <w:pPr>
        <w:pageBreakBefore w:val="0"/>
        <w:numPr>
          <w:ilvl w:val="0"/>
          <w:numId w:val="0"/>
        </w:numPr>
        <w:spacing w:line="360" w:lineRule="auto"/>
        <w:jc w:val="left"/>
        <w:rPr>
          <w:rFonts w:hint="eastAsia" w:ascii="宋体" w:hAnsi="宋体" w:eastAsia="宋体" w:cs="宋体"/>
          <w:b/>
          <w:bCs/>
          <w:color w:val="auto"/>
          <w:sz w:val="24"/>
          <w:szCs w:val="24"/>
          <w:highlight w:val="none"/>
        </w:rPr>
      </w:pPr>
      <w:bookmarkStart w:id="19" w:name="_Toc15643"/>
      <w:r>
        <w:rPr>
          <w:rFonts w:hint="eastAsia" w:ascii="宋体" w:hAnsi="宋体" w:eastAsia="宋体" w:cs="宋体"/>
          <w:b/>
          <w:bCs/>
          <w:color w:val="auto"/>
          <w:sz w:val="24"/>
          <w:szCs w:val="24"/>
          <w:highlight w:val="none"/>
          <w:lang w:val="en-US" w:eastAsia="zh-CN" w:bidi="ar-SA"/>
        </w:rPr>
        <w:t>十、保密要求</w:t>
      </w:r>
      <w:bookmarkEnd w:id="19"/>
    </w:p>
    <w:p w14:paraId="6A8CD2DD">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1</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成交单位须在合同中进行责任约定；成交单位在工作期间必须遵守业主方的相关保密制度；</w:t>
      </w:r>
    </w:p>
    <w:p w14:paraId="5F4EF1EE">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2</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工作人员不得以任何形式将各项档案资料带出指定工作现场，不得以任何形式进行泄漏、传播；不得无故查看及讨论档案内容；</w:t>
      </w:r>
    </w:p>
    <w:p w14:paraId="6EC53FAC">
      <w:pPr>
        <w:pageBreakBefore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3</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各种档案文件，不得丢失、泄密、损坏。</w:t>
      </w:r>
    </w:p>
    <w:p w14:paraId="44DAB637">
      <w:pPr>
        <w:pageBreakBefore w:val="0"/>
        <w:numPr>
          <w:ilvl w:val="0"/>
          <w:numId w:val="0"/>
        </w:numPr>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十一、人员安排要求</w:t>
      </w:r>
    </w:p>
    <w:p w14:paraId="7772DA84">
      <w:pPr>
        <w:pageBreakBefore w:val="0"/>
        <w:widowControl w:val="0"/>
        <w:spacing w:line="360" w:lineRule="auto"/>
        <w:ind w:firstLine="440"/>
        <w:jc w:val="left"/>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1</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人员保障到位：</w:t>
      </w:r>
      <w:r>
        <w:rPr>
          <w:rFonts w:hint="eastAsia" w:ascii="宋体" w:hAnsi="宋体" w:eastAsia="宋体" w:cs="宋体"/>
          <w:color w:val="auto"/>
          <w:sz w:val="24"/>
          <w:szCs w:val="24"/>
          <w:highlight w:val="none"/>
          <w:lang w:val="en-US" w:eastAsia="zh-CN" w:bidi="ar-SA"/>
        </w:rPr>
        <w:t>（1）</w:t>
      </w:r>
      <w:r>
        <w:rPr>
          <w:rFonts w:hint="eastAsia" w:ascii="宋体" w:hAnsi="宋体" w:eastAsia="宋体" w:cs="宋体"/>
          <w:color w:val="auto"/>
          <w:sz w:val="24"/>
          <w:szCs w:val="24"/>
          <w:highlight w:val="none"/>
          <w:lang w:val="en-US" w:eastAsia="en-US" w:bidi="ar-SA"/>
        </w:rPr>
        <w:t>中标人拟派出的项目负责人、技术负责人等项目组人员必须为</w:t>
      </w:r>
      <w:r>
        <w:rPr>
          <w:rFonts w:hint="eastAsia" w:ascii="宋体" w:hAnsi="宋体" w:cs="宋体"/>
          <w:color w:val="auto"/>
          <w:sz w:val="24"/>
          <w:szCs w:val="24"/>
          <w:highlight w:val="none"/>
          <w:lang w:val="en-US" w:eastAsia="zh-CN" w:bidi="ar-SA"/>
        </w:rPr>
        <w:t>供应商</w:t>
      </w:r>
      <w:r>
        <w:rPr>
          <w:rFonts w:hint="eastAsia" w:ascii="宋体" w:hAnsi="宋体" w:eastAsia="宋体" w:cs="宋体"/>
          <w:color w:val="auto"/>
          <w:sz w:val="24"/>
          <w:szCs w:val="24"/>
          <w:highlight w:val="none"/>
          <w:lang w:val="en-US" w:eastAsia="en-US" w:bidi="ar-SA"/>
        </w:rPr>
        <w:t>正式在职员工，中标后签订合同前提供近6个月的社保证明。本项目要求项目负责人及核心团队必须全程专职在岗，未经招标人同意不得更换或兼任其他项目职务。因特殊情况确需变更的，须经所在镇同意并报</w:t>
      </w:r>
      <w:r>
        <w:rPr>
          <w:rFonts w:hint="eastAsia" w:ascii="宋体" w:hAnsi="宋体" w:eastAsia="宋体" w:cs="宋体"/>
          <w:color w:val="auto"/>
          <w:sz w:val="24"/>
          <w:szCs w:val="24"/>
          <w:highlight w:val="none"/>
          <w:lang w:val="en-US" w:eastAsia="zh-CN" w:bidi="ar-SA"/>
        </w:rPr>
        <w:t>市</w:t>
      </w:r>
      <w:r>
        <w:rPr>
          <w:rFonts w:hint="eastAsia" w:ascii="宋体" w:hAnsi="宋体" w:eastAsia="宋体" w:cs="宋体"/>
          <w:color w:val="auto"/>
          <w:sz w:val="24"/>
          <w:szCs w:val="24"/>
          <w:highlight w:val="none"/>
          <w:lang w:val="en-US" w:eastAsia="en-US" w:bidi="ar-SA"/>
        </w:rPr>
        <w:t>农业农村</w:t>
      </w:r>
      <w:r>
        <w:rPr>
          <w:rFonts w:hint="eastAsia" w:ascii="宋体" w:hAnsi="宋体" w:eastAsia="宋体" w:cs="宋体"/>
          <w:color w:val="auto"/>
          <w:sz w:val="24"/>
          <w:szCs w:val="24"/>
          <w:highlight w:val="none"/>
          <w:lang w:val="en-US" w:eastAsia="zh-CN" w:bidi="ar-SA"/>
        </w:rPr>
        <w:t>局</w:t>
      </w:r>
      <w:r>
        <w:rPr>
          <w:rFonts w:hint="eastAsia" w:ascii="宋体" w:hAnsi="宋体" w:eastAsia="宋体" w:cs="宋体"/>
          <w:color w:val="auto"/>
          <w:sz w:val="24"/>
          <w:szCs w:val="24"/>
          <w:highlight w:val="none"/>
          <w:lang w:val="en-US" w:eastAsia="en-US" w:bidi="ar-SA"/>
        </w:rPr>
        <w:t>确认。变更后的人员须符合招标文件规定的任职条件。</w:t>
      </w:r>
    </w:p>
    <w:p w14:paraId="184A4142">
      <w:pPr>
        <w:pageBreakBefore w:val="0"/>
        <w:widowControl w:val="0"/>
        <w:spacing w:line="360" w:lineRule="auto"/>
        <w:ind w:firstLine="440"/>
        <w:jc w:val="left"/>
        <w:rPr>
          <w:rFonts w:hint="eastAsia" w:ascii="宋体" w:hAnsi="宋体" w:eastAsia="宋体" w:cs="宋体"/>
          <w:color w:val="auto"/>
          <w:sz w:val="24"/>
          <w:szCs w:val="24"/>
          <w:highlight w:val="yellow"/>
          <w:lang w:val="en-US" w:eastAsia="zh-CN" w:bidi="ar-SA"/>
        </w:rPr>
      </w:pPr>
      <w:r>
        <w:rPr>
          <w:rFonts w:hint="eastAsia" w:ascii="宋体" w:hAnsi="宋体" w:eastAsia="宋体" w:cs="宋体"/>
          <w:b/>
          <w:bCs/>
          <w:color w:val="auto"/>
          <w:sz w:val="24"/>
          <w:szCs w:val="24"/>
          <w:highlight w:val="none"/>
          <w:lang w:val="en-US" w:eastAsia="zh-CN" w:bidi="ar-SA"/>
        </w:rPr>
        <w:t>（2）</w:t>
      </w:r>
      <w:r>
        <w:rPr>
          <w:rFonts w:hint="eastAsia" w:ascii="宋体" w:hAnsi="宋体" w:cs="宋体"/>
          <w:b/>
          <w:bCs/>
          <w:color w:val="auto"/>
          <w:sz w:val="24"/>
          <w:szCs w:val="24"/>
          <w:highlight w:val="none"/>
          <w:lang w:val="en-US" w:eastAsia="zh-CN" w:bidi="ar-SA"/>
        </w:rPr>
        <w:t>每镇（街道）</w:t>
      </w:r>
      <w:r>
        <w:rPr>
          <w:rFonts w:hint="eastAsia" w:ascii="宋体" w:hAnsi="宋体" w:eastAsia="宋体" w:cs="宋体"/>
          <w:b/>
          <w:bCs/>
          <w:color w:val="auto"/>
          <w:sz w:val="24"/>
          <w:szCs w:val="24"/>
          <w:highlight w:val="none"/>
          <w:lang w:val="en-US" w:eastAsia="zh-CN" w:bidi="ar-SA"/>
        </w:rPr>
        <w:t>不少于</w:t>
      </w:r>
      <w:r>
        <w:rPr>
          <w:rFonts w:hint="eastAsia" w:ascii="宋体" w:hAnsi="宋体" w:cs="宋体"/>
          <w:b/>
          <w:bCs/>
          <w:color w:val="auto"/>
          <w:sz w:val="24"/>
          <w:szCs w:val="24"/>
          <w:highlight w:val="none"/>
          <w:lang w:val="en-US" w:eastAsia="zh-CN" w:bidi="ar-SA"/>
        </w:rPr>
        <w:t>2</w:t>
      </w:r>
      <w:r>
        <w:rPr>
          <w:rFonts w:hint="eastAsia" w:ascii="宋体" w:hAnsi="宋体" w:eastAsia="宋体" w:cs="宋体"/>
          <w:b/>
          <w:bCs/>
          <w:color w:val="auto"/>
          <w:sz w:val="24"/>
          <w:szCs w:val="24"/>
          <w:highlight w:val="none"/>
          <w:lang w:val="en-US" w:eastAsia="zh-CN" w:bidi="ar-SA"/>
        </w:rPr>
        <w:t>人驻场，驻场时间不少于</w:t>
      </w:r>
      <w:r>
        <w:rPr>
          <w:rFonts w:hint="eastAsia" w:ascii="宋体" w:hAnsi="宋体" w:cs="宋体"/>
          <w:b/>
          <w:bCs/>
          <w:color w:val="auto"/>
          <w:sz w:val="24"/>
          <w:szCs w:val="24"/>
          <w:highlight w:val="none"/>
          <w:lang w:val="en-US" w:eastAsia="zh-CN" w:bidi="ar-SA"/>
        </w:rPr>
        <w:t>6</w:t>
      </w:r>
      <w:r>
        <w:rPr>
          <w:rFonts w:hint="eastAsia" w:ascii="宋体" w:hAnsi="宋体" w:eastAsia="宋体" w:cs="宋体"/>
          <w:b/>
          <w:bCs/>
          <w:color w:val="auto"/>
          <w:sz w:val="24"/>
          <w:szCs w:val="24"/>
          <w:highlight w:val="none"/>
          <w:lang w:val="en-US" w:eastAsia="zh-CN" w:bidi="ar-SA"/>
        </w:rPr>
        <w:t>个月。</w:t>
      </w:r>
    </w:p>
    <w:p w14:paraId="78D98A81">
      <w:pPr>
        <w:pageBreakBefore w:val="0"/>
        <w:widowControl w:val="0"/>
        <w:spacing w:line="360" w:lineRule="auto"/>
        <w:ind w:firstLine="440"/>
        <w:jc w:val="left"/>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2</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无论因何原因项目负责人易人，发包人有权处罚3万元以内罚金；技术负责人、质量负责人，团队其他成员无论因何原因易人，发包人有权处罚1万元以内罚金。如有特殊情况，须经双方协商。</w:t>
      </w:r>
    </w:p>
    <w:p w14:paraId="43A74599">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3</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工作期间，中标单位应打足工作时间，配足工作人员，如果因此延误工作进度，甲方有权扣款处罚。</w:t>
      </w:r>
    </w:p>
    <w:p w14:paraId="5901A64D">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4</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主要管理人员离开工程所在地应书面请假，并由本人签字。项目负责人离开2天以</w:t>
      </w:r>
      <w:r>
        <w:rPr>
          <w:rFonts w:hint="eastAsia" w:ascii="宋体" w:hAnsi="宋体" w:eastAsia="宋体" w:cs="宋体"/>
          <w:color w:val="auto"/>
          <w:sz w:val="24"/>
          <w:szCs w:val="24"/>
          <w:highlight w:val="none"/>
          <w:lang w:val="en-US" w:eastAsia="zh-CN" w:bidi="ar-SA"/>
        </w:rPr>
        <w:t>上</w:t>
      </w:r>
      <w:r>
        <w:rPr>
          <w:rFonts w:hint="eastAsia" w:ascii="宋体" w:hAnsi="宋体" w:eastAsia="宋体" w:cs="宋体"/>
          <w:color w:val="auto"/>
          <w:sz w:val="24"/>
          <w:szCs w:val="24"/>
          <w:highlight w:val="none"/>
          <w:lang w:val="en-US" w:eastAsia="en-US" w:bidi="ar-SA"/>
        </w:rPr>
        <w:t>（含2天）</w:t>
      </w:r>
      <w:r>
        <w:rPr>
          <w:rFonts w:hint="eastAsia" w:ascii="宋体" w:hAnsi="宋体" w:eastAsia="宋体" w:cs="宋体"/>
          <w:color w:val="auto"/>
          <w:sz w:val="24"/>
          <w:szCs w:val="24"/>
          <w:highlight w:val="none"/>
          <w:lang w:val="en-US" w:eastAsia="zh-CN" w:bidi="ar-SA"/>
        </w:rPr>
        <w:t>须</w:t>
      </w:r>
      <w:r>
        <w:rPr>
          <w:rFonts w:hint="eastAsia" w:ascii="宋体" w:hAnsi="宋体" w:eastAsia="宋体" w:cs="宋体"/>
          <w:color w:val="auto"/>
          <w:sz w:val="24"/>
          <w:szCs w:val="24"/>
          <w:highlight w:val="none"/>
          <w:lang w:val="en-US" w:eastAsia="en-US" w:bidi="ar-SA"/>
        </w:rPr>
        <w:t xml:space="preserve">报乡镇核备。 </w:t>
      </w:r>
    </w:p>
    <w:p w14:paraId="32D19460">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5</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需中标单位出席的工作例会等会议，必须按照会议要求的出席人员参会。</w:t>
      </w:r>
    </w:p>
    <w:p w14:paraId="6890815C">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en-US" w:bidi="ar-SA"/>
        </w:rPr>
        <w:t>6</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en-US" w:bidi="ar-SA"/>
        </w:rPr>
        <w:t>工作方面：严格按照国家、省市县政策要求执行，按时保质保量通过上级验收。若无法按时保质保量完成的，甲方有权扣款处罚。</w:t>
      </w:r>
    </w:p>
    <w:p w14:paraId="01F926D6">
      <w:pPr>
        <w:pageBreakBefore w:val="0"/>
        <w:numPr>
          <w:ilvl w:val="0"/>
          <w:numId w:val="0"/>
        </w:numPr>
        <w:spacing w:line="360" w:lineRule="auto"/>
        <w:jc w:val="left"/>
        <w:rPr>
          <w:rFonts w:hint="eastAsia" w:ascii="宋体" w:hAnsi="宋体" w:eastAsia="宋体" w:cs="宋体"/>
          <w:b/>
          <w:bCs/>
          <w:color w:val="auto"/>
          <w:sz w:val="24"/>
          <w:szCs w:val="24"/>
          <w:highlight w:val="none"/>
        </w:rPr>
      </w:pPr>
      <w:bookmarkStart w:id="20" w:name="_Toc7379"/>
      <w:bookmarkStart w:id="21" w:name="_Toc19212"/>
      <w:bookmarkStart w:id="22" w:name="_Toc1428"/>
      <w:bookmarkStart w:id="23" w:name="_Toc23146"/>
      <w:r>
        <w:rPr>
          <w:rFonts w:hint="eastAsia" w:ascii="宋体" w:hAnsi="宋体" w:eastAsia="宋体" w:cs="宋体"/>
          <w:b/>
          <w:bCs/>
          <w:color w:val="auto"/>
          <w:sz w:val="24"/>
          <w:szCs w:val="24"/>
          <w:highlight w:val="none"/>
          <w:lang w:val="en-US" w:eastAsia="zh-CN" w:bidi="ar-SA"/>
        </w:rPr>
        <w:t>十二、工作进度安排要求</w:t>
      </w:r>
      <w:bookmarkEnd w:id="20"/>
      <w:bookmarkEnd w:id="21"/>
      <w:bookmarkEnd w:id="22"/>
      <w:bookmarkEnd w:id="23"/>
    </w:p>
    <w:p w14:paraId="60462E62">
      <w:pPr>
        <w:pageBreakBefore w:val="0"/>
        <w:widowControl w:val="0"/>
        <w:spacing w:line="360" w:lineRule="auto"/>
        <w:ind w:firstLine="44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bidi="ar-SA"/>
        </w:rPr>
        <w:t>项目实施期限为180天，</w:t>
      </w:r>
      <w:r>
        <w:rPr>
          <w:rFonts w:hint="eastAsia" w:ascii="宋体" w:hAnsi="宋体" w:eastAsia="宋体" w:cs="宋体"/>
          <w:color w:val="auto"/>
          <w:sz w:val="24"/>
          <w:szCs w:val="24"/>
          <w:highlight w:val="none"/>
          <w:lang w:val="en-US" w:eastAsia="en-US" w:bidi="ar-SA"/>
        </w:rPr>
        <w:t>项目</w:t>
      </w:r>
      <w:r>
        <w:rPr>
          <w:rFonts w:hint="eastAsia" w:ascii="宋体" w:hAnsi="宋体" w:cs="宋体"/>
          <w:color w:val="auto"/>
          <w:sz w:val="24"/>
          <w:szCs w:val="24"/>
          <w:highlight w:val="none"/>
          <w:lang w:val="en-US" w:eastAsia="zh-CN" w:bidi="ar-SA"/>
        </w:rPr>
        <w:t>服务期限延长至</w:t>
      </w:r>
      <w:r>
        <w:rPr>
          <w:rFonts w:hint="eastAsia" w:ascii="宋体" w:hAnsi="宋体" w:eastAsia="宋体" w:cs="宋体"/>
          <w:color w:val="auto"/>
          <w:sz w:val="24"/>
          <w:szCs w:val="24"/>
          <w:highlight w:val="none"/>
          <w:lang w:val="en-US" w:eastAsia="zh-CN" w:bidi="ar-SA"/>
        </w:rPr>
        <w:t>2028年12月底</w:t>
      </w:r>
      <w:r>
        <w:rPr>
          <w:rFonts w:hint="eastAsia" w:ascii="宋体" w:hAnsi="宋体" w:eastAsia="宋体" w:cs="宋体"/>
          <w:color w:val="auto"/>
          <w:sz w:val="24"/>
          <w:szCs w:val="24"/>
          <w:highlight w:val="none"/>
          <w:lang w:val="en-US" w:eastAsia="en-US" w:bidi="ar-SA"/>
        </w:rPr>
        <w:t>（开始时间以具体签订合同时间为准），具体实施内容及进度根据</w:t>
      </w:r>
      <w:r>
        <w:rPr>
          <w:rFonts w:hint="eastAsia" w:ascii="宋体" w:hAnsi="宋体" w:cs="宋体"/>
          <w:color w:val="auto"/>
          <w:sz w:val="24"/>
          <w:szCs w:val="24"/>
          <w:highlight w:val="none"/>
          <w:lang w:val="en-US" w:eastAsia="zh-CN" w:bidi="ar-SA"/>
        </w:rPr>
        <w:t>睢宁县</w:t>
      </w:r>
      <w:r>
        <w:rPr>
          <w:rFonts w:hint="eastAsia" w:ascii="宋体" w:hAnsi="宋体" w:eastAsia="宋体" w:cs="宋体"/>
          <w:color w:val="auto"/>
          <w:sz w:val="24"/>
          <w:szCs w:val="24"/>
          <w:highlight w:val="none"/>
          <w:lang w:val="en-US" w:eastAsia="en-US" w:bidi="ar-SA"/>
        </w:rPr>
        <w:t>农业农村局实际工作进度安排实施。（具体时间以省、市、县三级实际工作进度要求为准）。</w:t>
      </w:r>
    </w:p>
    <w:p w14:paraId="16020E37">
      <w:pPr>
        <w:pageBreakBefore w:val="0"/>
        <w:numPr>
          <w:ilvl w:val="0"/>
          <w:numId w:val="0"/>
        </w:numPr>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十三、质量要求</w:t>
      </w:r>
    </w:p>
    <w:p w14:paraId="49A1F786">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项目成果需符合国家、省、市行业相关标准和农业农村部要求，并根据要求通过采购人组织的验收。如果在合同履行过程中有新的国家或行业（部）规范和标准出台的，则供应商应确保其合同内容达到并符合新的国家或行业（部）规范和标准。</w:t>
      </w:r>
    </w:p>
    <w:p w14:paraId="736636F8">
      <w:pPr>
        <w:pageBreakBefore w:val="0"/>
        <w:numPr>
          <w:ilvl w:val="0"/>
          <w:numId w:val="0"/>
        </w:numPr>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十四、安全生产要求</w:t>
      </w:r>
    </w:p>
    <w:p w14:paraId="79F95170">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合同履行过程中，</w:t>
      </w:r>
      <w:r>
        <w:rPr>
          <w:rFonts w:hint="eastAsia" w:ascii="宋体" w:hAnsi="宋体" w:cs="宋体"/>
          <w:color w:val="auto"/>
          <w:sz w:val="24"/>
          <w:szCs w:val="24"/>
          <w:highlight w:val="none"/>
          <w:lang w:val="en-US" w:eastAsia="zh-CN" w:bidi="ar-SA"/>
        </w:rPr>
        <w:t>供应商</w:t>
      </w:r>
      <w:r>
        <w:rPr>
          <w:rFonts w:hint="eastAsia" w:ascii="宋体" w:hAnsi="宋体" w:eastAsia="宋体" w:cs="宋体"/>
          <w:strike w:val="0"/>
          <w:color w:val="auto"/>
          <w:sz w:val="24"/>
          <w:szCs w:val="24"/>
          <w:highlight w:val="none"/>
          <w:lang w:val="en-US" w:eastAsia="zh-CN" w:bidi="ar-SA"/>
        </w:rPr>
        <w:t>需</w:t>
      </w:r>
      <w:r>
        <w:rPr>
          <w:rFonts w:hint="eastAsia" w:ascii="宋体" w:hAnsi="宋体" w:eastAsia="宋体" w:cs="宋体"/>
          <w:color w:val="auto"/>
          <w:sz w:val="24"/>
          <w:szCs w:val="24"/>
          <w:highlight w:val="none"/>
          <w:lang w:val="en-US" w:eastAsia="zh-CN" w:bidi="ar-SA"/>
        </w:rPr>
        <w:t>确保</w:t>
      </w:r>
      <w:r>
        <w:rPr>
          <w:rFonts w:hint="eastAsia" w:ascii="宋体" w:hAnsi="宋体" w:cs="宋体"/>
          <w:color w:val="auto"/>
          <w:sz w:val="24"/>
          <w:szCs w:val="24"/>
          <w:highlight w:val="none"/>
          <w:lang w:val="en-US" w:eastAsia="zh-CN" w:bidi="ar-SA"/>
        </w:rPr>
        <w:t>睢宁县</w:t>
      </w:r>
      <w:r>
        <w:rPr>
          <w:rFonts w:hint="eastAsia" w:ascii="宋体" w:hAnsi="宋体" w:eastAsia="宋体" w:cs="宋体"/>
          <w:color w:val="auto"/>
          <w:sz w:val="24"/>
          <w:szCs w:val="24"/>
          <w:highlight w:val="none"/>
          <w:lang w:val="en-US" w:eastAsia="zh-CN" w:bidi="ar-SA"/>
        </w:rPr>
        <w:t>农村土地承包经营权二轮到期延包30年数据的安全和生产人员的人身安全。</w:t>
      </w:r>
    </w:p>
    <w:p w14:paraId="45894807">
      <w:pPr>
        <w:pageBreakBefore w:val="0"/>
        <w:spacing w:line="360" w:lineRule="auto"/>
        <w:ind w:firstLine="42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1.数据安全</w:t>
      </w:r>
    </w:p>
    <w:p w14:paraId="0D27DE0A">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1) 供应商在工作期间必须遵守采购人的相关保密制度；</w:t>
      </w:r>
    </w:p>
    <w:p w14:paraId="142D5819">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2) 工作人员不得以任何形式将各项档案资料带出指定工作现场，不得以任何形式进行泄漏、传播，不得无故查看及讨论档案内容；</w:t>
      </w:r>
    </w:p>
    <w:p w14:paraId="733DDA7E">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3) 各种档案文件，不得丢失、泄密、损坏；</w:t>
      </w:r>
    </w:p>
    <w:p w14:paraId="7EA542B7">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4）项目要求数据建库工作全程在符合保密要求的环境下进行。供应商在实施过程中不能留有承包地块数据、自然资源数据的任何复制产品。</w:t>
      </w:r>
    </w:p>
    <w:p w14:paraId="5F10BD75">
      <w:pPr>
        <w:pageBreakBefore w:val="0"/>
        <w:spacing w:line="360" w:lineRule="auto"/>
        <w:ind w:firstLine="42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2.人身安全</w:t>
      </w:r>
    </w:p>
    <w:p w14:paraId="6C806521">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1) 做好安全生产条件评估和人身安全培训，配备相应的个人防护用品；</w:t>
      </w:r>
    </w:p>
    <w:p w14:paraId="7B07CE16">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2）在工作期间，应避免和农民群众发生冲突，遇到矛盾纠纷及时和延包工作小组联系；</w:t>
      </w:r>
    </w:p>
    <w:p w14:paraId="4E6671D3">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3）农村土地承包经营权二轮到期延包30年数据具备较高的保密性，要求供应商加强对实施人员安全意识的培养。</w:t>
      </w:r>
    </w:p>
    <w:p w14:paraId="3CBFAE65">
      <w:pPr>
        <w:pageBreakBefore w:val="0"/>
        <w:spacing w:line="360" w:lineRule="auto"/>
        <w:ind w:firstLine="42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3.网络安全性</w:t>
      </w:r>
    </w:p>
    <w:p w14:paraId="59F03A5C">
      <w:pPr>
        <w:pageBreakBefore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网络安全包括物理的和逻辑的网络安全。要求供应商在实施的过程中，所使用的终端设备不能连接到外部网络，以免数据被非法修改和复制。</w:t>
      </w:r>
    </w:p>
    <w:p w14:paraId="693189F9">
      <w:pPr>
        <w:pageBreakBefore w:val="0"/>
        <w:spacing w:line="360" w:lineRule="auto"/>
        <w:ind w:firstLine="42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4.其他要求</w:t>
      </w:r>
    </w:p>
    <w:p w14:paraId="652849D9">
      <w:pPr>
        <w:keepNext/>
        <w:keepLines/>
        <w:pageBreakBefore w:val="0"/>
        <w:spacing w:before="0" w:line="360" w:lineRule="auto"/>
        <w:ind w:firstLine="422"/>
        <w:jc w:val="left"/>
        <w:outlineLvl w:val="9"/>
        <w:rPr>
          <w:rFonts w:hint="eastAsia" w:ascii="宋体" w:hAnsi="宋体" w:eastAsia="宋体" w:cs="宋体"/>
          <w:b/>
          <w:bCs/>
          <w:color w:val="auto"/>
          <w:sz w:val="24"/>
          <w:szCs w:val="24"/>
          <w:highlight w:val="none"/>
        </w:rPr>
      </w:pPr>
      <w:bookmarkStart w:id="24" w:name="OLE_LINK7"/>
      <w:r>
        <w:rPr>
          <w:rFonts w:hint="eastAsia" w:ascii="宋体" w:hAnsi="宋体" w:eastAsia="宋体" w:cs="宋体"/>
          <w:b/>
          <w:bCs/>
          <w:color w:val="auto"/>
          <w:sz w:val="24"/>
          <w:szCs w:val="24"/>
          <w:highlight w:val="none"/>
          <w:lang w:val="en-US" w:eastAsia="zh-CN" w:bidi="ar-SA"/>
        </w:rPr>
        <w:t>若调查成果经上级质量核查不合格，由中标供应商负责重新调查整改。直至按照部省要求，完成延包数据汇交、档案归档等工作，并协助不动产登记中心登记发证工作。</w:t>
      </w:r>
      <w:bookmarkEnd w:id="24"/>
    </w:p>
    <w:p w14:paraId="5470D663">
      <w:pPr>
        <w:pageBreakBefore w:val="0"/>
        <w:numPr>
          <w:ilvl w:val="0"/>
          <w:numId w:val="0"/>
        </w:numPr>
        <w:spacing w:line="360" w:lineRule="auto"/>
        <w:jc w:val="left"/>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十五、保密要求</w:t>
      </w:r>
    </w:p>
    <w:p w14:paraId="5E63902B">
      <w:pPr>
        <w:pageBreakBefore w:val="0"/>
        <w:widowControl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1.中标单位须在合同中进行责任约定；中标单位在工作期间必须遵守业主方的相关保密制度；</w:t>
      </w:r>
    </w:p>
    <w:p w14:paraId="6B930725">
      <w:pPr>
        <w:pageBreakBefore w:val="0"/>
        <w:widowControl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2.工作人员不得以任何形式将各项档案资料带出指定工作场所，不得以任何形式进行泄露、传播；不得无故查看及讨论档案内容。</w:t>
      </w:r>
    </w:p>
    <w:p w14:paraId="48BEB656">
      <w:pPr>
        <w:pageBreakBefore w:val="0"/>
        <w:widowControl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3.各种档案文件，不得丢失、泄密、损坏。</w:t>
      </w:r>
    </w:p>
    <w:p w14:paraId="201CD0E2">
      <w:pPr>
        <w:pageBreakBefore w:val="0"/>
        <w:numPr>
          <w:ilvl w:val="0"/>
          <w:numId w:val="0"/>
        </w:numPr>
        <w:spacing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十六、服务质量保证及售后服务要求</w:t>
      </w:r>
    </w:p>
    <w:p w14:paraId="34BAF77D">
      <w:pPr>
        <w:pageBreakBefore w:val="0"/>
        <w:widowControl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1.供应商需严格按采购人规定的时间完成项目的全部工作内容，如在实施的过程中出现错误、误差，需负责及时更正直至采购人（或监理单位）确认合格，供应商在项目进行过程中产生的任何安全、损坏等责任事故一律由供应商自行承担。</w:t>
      </w:r>
    </w:p>
    <w:p w14:paraId="5762C4C9">
      <w:pPr>
        <w:pageBreakBefore w:val="0"/>
        <w:widowControl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2.供应商应按照通过最终成果检验的要求进行质量控制，质量保证措施应全面、具体、安全、合理、切实可行、责任明确。</w:t>
      </w:r>
    </w:p>
    <w:p w14:paraId="5368B247">
      <w:pPr>
        <w:pageBreakBefore w:val="0"/>
        <w:widowControl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3.供应商需提供必要的技术支持，协助采购人完成其他需要供应商配合的服务。</w:t>
      </w:r>
    </w:p>
    <w:p w14:paraId="5ACFA85C">
      <w:pPr>
        <w:pageBreakBefore w:val="0"/>
        <w:widowControl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4.供应商应严格遵守服务合约，项目完成以后，如采购人有需要供应商配合的服务，供应商必须予以配合，协助采购人完善项目内容。</w:t>
      </w:r>
    </w:p>
    <w:p w14:paraId="3250286A">
      <w:pPr>
        <w:pageBreakBefore w:val="0"/>
        <w:widowControl w:val="0"/>
        <w:spacing w:line="360" w:lineRule="auto"/>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5.此项目要求提供多样化技术支持服务，处理出现的各种问题，以保证工作的正常运行。二轮延包完成后质保期延长至</w:t>
      </w:r>
      <w:r>
        <w:rPr>
          <w:rFonts w:hint="eastAsia" w:ascii="宋体" w:hAnsi="宋体" w:cs="宋体"/>
          <w:color w:val="auto"/>
          <w:sz w:val="24"/>
          <w:szCs w:val="24"/>
          <w:highlight w:val="none"/>
          <w:lang w:val="en-US" w:eastAsia="zh-CN" w:bidi="ar-SA"/>
        </w:rPr>
        <w:t>2028</w:t>
      </w:r>
      <w:r>
        <w:rPr>
          <w:rFonts w:hint="eastAsia" w:ascii="宋体" w:hAnsi="宋体" w:eastAsia="宋体" w:cs="宋体"/>
          <w:color w:val="auto"/>
          <w:sz w:val="24"/>
          <w:szCs w:val="24"/>
          <w:highlight w:val="none"/>
          <w:lang w:val="en-US" w:eastAsia="zh-CN" w:bidi="ar-SA"/>
        </w:rPr>
        <w:t>年，质保期内成果存在任何问题或上级部门制定新的成果提交要求，供应商均需按要求对成果进行更新或整改。服务期和质保期内供应商服务响应时间为2小时、一般售后问题时间控制在4小时内、重大售后问题时间控制</w:t>
      </w:r>
      <w:r>
        <w:rPr>
          <w:rFonts w:hint="eastAsia" w:ascii="宋体" w:hAnsi="宋体" w:cs="宋体"/>
          <w:color w:val="auto"/>
          <w:sz w:val="24"/>
          <w:szCs w:val="24"/>
          <w:highlight w:val="none"/>
          <w:lang w:val="en-US" w:eastAsia="zh-CN" w:bidi="ar-SA"/>
        </w:rPr>
        <w:t>在</w:t>
      </w:r>
      <w:r>
        <w:rPr>
          <w:rFonts w:hint="eastAsia" w:ascii="宋体" w:hAnsi="宋体" w:eastAsia="宋体" w:cs="宋体"/>
          <w:color w:val="auto"/>
          <w:sz w:val="24"/>
          <w:szCs w:val="24"/>
          <w:highlight w:val="none"/>
          <w:lang w:val="en-US" w:eastAsia="zh-CN" w:bidi="ar-SA"/>
        </w:rPr>
        <w:t>8小时内。在客户工作需要技术支持情况下，如需现场解决，到达现场时间不超过12小时，特殊情况下不超过24小时。</w:t>
      </w:r>
    </w:p>
    <w:p w14:paraId="3389DBDF">
      <w:pPr>
        <w:pageBreakBefore w:val="0"/>
        <w:widowControl w:val="0"/>
        <w:spacing w:line="360" w:lineRule="auto"/>
        <w:ind w:firstLine="473"/>
        <w:jc w:val="left"/>
        <w:rPr>
          <w:rFonts w:hint="eastAsia" w:ascii="宋体" w:hAnsi="宋体" w:eastAsia="宋体" w:cs="宋体"/>
          <w:color w:val="auto"/>
          <w:sz w:val="24"/>
          <w:szCs w:val="24"/>
          <w:highlight w:val="none"/>
          <w:lang w:val="en-US" w:eastAsia="zh-CN" w:bidi="ar"/>
        </w:rPr>
      </w:pPr>
      <w:r>
        <w:rPr>
          <w:rFonts w:hint="eastAsia" w:ascii="宋体" w:hAnsi="宋体" w:eastAsia="宋体" w:cs="宋体"/>
          <w:b w:val="0"/>
          <w:bCs w:val="0"/>
          <w:color w:val="auto"/>
          <w:sz w:val="24"/>
          <w:szCs w:val="24"/>
          <w:highlight w:val="none"/>
          <w:lang w:val="en-US" w:eastAsia="zh-CN" w:bidi="ar-SA"/>
        </w:rPr>
        <w:t>6.其它要求。</w:t>
      </w:r>
      <w:r>
        <w:rPr>
          <w:rFonts w:hint="eastAsia" w:ascii="宋体" w:hAnsi="宋体" w:eastAsia="宋体" w:cs="宋体"/>
          <w:color w:val="auto"/>
          <w:sz w:val="24"/>
          <w:szCs w:val="24"/>
          <w:highlight w:val="none"/>
          <w:lang w:val="en-US" w:eastAsia="zh-CN" w:bidi="ar"/>
        </w:rPr>
        <w:t>供应商做出的各种方案应细化到具体环节，充分考虑到</w:t>
      </w:r>
      <w:r>
        <w:rPr>
          <w:rFonts w:hint="eastAsia" w:ascii="宋体" w:hAnsi="宋体" w:cs="宋体"/>
          <w:color w:val="auto"/>
          <w:sz w:val="24"/>
          <w:szCs w:val="24"/>
          <w:highlight w:val="none"/>
          <w:lang w:val="en-US" w:eastAsia="zh-CN" w:bidi="ar"/>
        </w:rPr>
        <w:t>睢宁县</w:t>
      </w:r>
      <w:r>
        <w:rPr>
          <w:rFonts w:hint="eastAsia" w:ascii="宋体" w:hAnsi="宋体" w:eastAsia="宋体" w:cs="宋体"/>
          <w:color w:val="auto"/>
          <w:sz w:val="24"/>
          <w:szCs w:val="24"/>
          <w:highlight w:val="none"/>
          <w:lang w:val="en-US" w:eastAsia="zh-CN" w:bidi="ar"/>
        </w:rPr>
        <w:t>二轮延包工作的各个环节，包括时间进度、所需的资源和负责实施方案的人员，同时应顾及短期和长期的需要；供应商应当根据自身的经济条件，考虑选用适宜的、成本效益高的最佳可行技术。</w:t>
      </w:r>
    </w:p>
    <w:p w14:paraId="46ABABBE">
      <w:pPr>
        <w:pageBreakBefore w:val="0"/>
        <w:numPr>
          <w:ilvl w:val="0"/>
          <w:numId w:val="0"/>
        </w:numPr>
        <w:spacing w:line="360" w:lineRule="auto"/>
        <w:ind w:firstLine="482" w:firstLineChars="200"/>
        <w:jc w:val="left"/>
        <w:rPr>
          <w:rFonts w:hint="eastAsia" w:ascii="宋体" w:hAnsi="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十七、其他要求</w:t>
      </w:r>
      <w:r>
        <w:rPr>
          <w:rFonts w:hint="eastAsia" w:ascii="宋体" w:hAnsi="宋体" w:cs="宋体"/>
          <w:b/>
          <w:bCs/>
          <w:color w:val="auto"/>
          <w:sz w:val="24"/>
          <w:szCs w:val="24"/>
          <w:highlight w:val="none"/>
          <w:lang w:val="en-US" w:eastAsia="zh-CN" w:bidi="ar-SA"/>
        </w:rPr>
        <w:t xml:space="preserve"> </w:t>
      </w:r>
    </w:p>
    <w:p w14:paraId="3B76C7EA">
      <w:pPr>
        <w:pageBreakBefore w:val="0"/>
        <w:numPr>
          <w:ilvl w:val="0"/>
          <w:numId w:val="0"/>
        </w:numPr>
        <w:spacing w:line="360" w:lineRule="auto"/>
        <w:ind w:firstLine="480" w:firstLineChars="200"/>
        <w:jc w:val="left"/>
        <w:rPr>
          <w:rFonts w:hint="default" w:ascii="宋体" w:hAnsi="宋体" w:eastAsia="宋体" w:cs="宋体"/>
          <w:b/>
          <w:bCs/>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本项目</w:t>
      </w:r>
      <w:r>
        <w:rPr>
          <w:rFonts w:hint="eastAsia" w:ascii="宋体" w:hAnsi="宋体" w:cs="宋体"/>
          <w:b w:val="0"/>
          <w:bCs w:val="0"/>
          <w:color w:val="auto"/>
          <w:sz w:val="24"/>
          <w:szCs w:val="24"/>
          <w:highlight w:val="none"/>
          <w:lang w:val="en-US" w:eastAsia="zh-CN" w:bidi="ar-SA"/>
        </w:rPr>
        <w:t>要求供应商提供所有人员均为本公司人员（响应文件中需提供所有驻场人员近三个月任意一个月的社保）且</w:t>
      </w:r>
      <w:r>
        <w:rPr>
          <w:rFonts w:hint="eastAsia" w:ascii="宋体" w:hAnsi="宋体" w:eastAsia="宋体" w:cs="宋体"/>
          <w:b w:val="0"/>
          <w:bCs w:val="0"/>
          <w:color w:val="auto"/>
          <w:sz w:val="24"/>
          <w:szCs w:val="24"/>
          <w:highlight w:val="none"/>
          <w:lang w:val="en-US" w:eastAsia="zh-CN" w:bidi="ar-SA"/>
        </w:rPr>
        <w:t>不允许</w:t>
      </w:r>
      <w:r>
        <w:rPr>
          <w:rFonts w:hint="eastAsia" w:ascii="宋体" w:hAnsi="宋体" w:cs="宋体"/>
          <w:b w:val="0"/>
          <w:bCs w:val="0"/>
          <w:color w:val="auto"/>
          <w:sz w:val="24"/>
          <w:szCs w:val="24"/>
          <w:highlight w:val="none"/>
          <w:lang w:val="en-US" w:eastAsia="zh-CN" w:bidi="ar-SA"/>
        </w:rPr>
        <w:t>任何形式的</w:t>
      </w:r>
      <w:r>
        <w:rPr>
          <w:rFonts w:hint="eastAsia" w:ascii="宋体" w:hAnsi="宋体" w:eastAsia="宋体" w:cs="宋体"/>
          <w:b w:val="0"/>
          <w:bCs w:val="0"/>
          <w:color w:val="auto"/>
          <w:sz w:val="24"/>
          <w:szCs w:val="24"/>
          <w:highlight w:val="none"/>
          <w:lang w:val="en-US" w:eastAsia="zh-CN" w:bidi="ar-SA"/>
        </w:rPr>
        <w:t>转包分包</w:t>
      </w:r>
      <w:r>
        <w:rPr>
          <w:rFonts w:hint="eastAsia" w:ascii="宋体" w:hAnsi="宋体" w:cs="宋体"/>
          <w:b w:val="0"/>
          <w:bCs w:val="0"/>
          <w:color w:val="auto"/>
          <w:sz w:val="24"/>
          <w:szCs w:val="24"/>
          <w:highlight w:val="none"/>
          <w:lang w:val="en-US" w:eastAsia="zh-CN" w:bidi="ar-SA"/>
        </w:rPr>
        <w:t>，如发现有此行为，采购人可取消其中标资格。</w:t>
      </w:r>
    </w:p>
    <w:p w14:paraId="485DDD8E">
      <w:pPr>
        <w:pageBreakBefore w:val="0"/>
        <w:numPr>
          <w:ilvl w:val="0"/>
          <w:numId w:val="0"/>
        </w:numPr>
        <w:spacing w:line="360" w:lineRule="auto"/>
        <w:jc w:val="left"/>
        <w:rPr>
          <w:rFonts w:hint="default" w:ascii="宋体" w:hAnsi="宋体" w:eastAsia="宋体" w:cs="宋体"/>
          <w:b/>
          <w:bCs/>
          <w:color w:val="auto"/>
          <w:sz w:val="24"/>
          <w:szCs w:val="24"/>
          <w:highlight w:val="none"/>
          <w:lang w:val="en-US" w:eastAsia="zh-CN" w:bidi="ar-SA"/>
        </w:rPr>
      </w:pPr>
      <w:r>
        <w:rPr>
          <w:rFonts w:hint="eastAsia" w:ascii="宋体" w:hAnsi="宋体" w:cs="宋体"/>
          <w:b/>
          <w:bCs/>
          <w:color w:val="auto"/>
          <w:sz w:val="24"/>
          <w:szCs w:val="24"/>
          <w:highlight w:val="none"/>
          <w:lang w:val="en-US" w:eastAsia="zh-CN" w:bidi="ar-SA"/>
        </w:rPr>
        <w:t xml:space="preserve">  </w:t>
      </w:r>
    </w:p>
    <w:p w14:paraId="330C4248">
      <w:pPr>
        <w:pageBreakBefore w:val="0"/>
        <w:widowControl w:val="0"/>
        <w:spacing w:line="360" w:lineRule="auto"/>
        <w:ind w:firstLine="473"/>
        <w:jc w:val="left"/>
        <w:rPr>
          <w:rFonts w:hint="default" w:ascii="宋体" w:hAnsi="宋体" w:cs="宋体"/>
          <w:color w:val="auto"/>
          <w:sz w:val="24"/>
          <w:szCs w:val="24"/>
          <w:highlight w:val="none"/>
          <w:lang w:val="en-US" w:eastAsia="zh-CN" w:bidi="ar"/>
        </w:rPr>
      </w:pPr>
    </w:p>
    <w:p w14:paraId="0BF5619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62ECE"/>
    <w:multiLevelType w:val="multilevel"/>
    <w:tmpl w:val="03D62ECE"/>
    <w:lvl w:ilvl="0" w:tentative="0">
      <w:start w:val="5"/>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42A49"/>
    <w:rsid w:val="0EBC004D"/>
    <w:rsid w:val="0FED7751"/>
    <w:rsid w:val="10F93ED3"/>
    <w:rsid w:val="192128CC"/>
    <w:rsid w:val="22E7611F"/>
    <w:rsid w:val="2A3D0564"/>
    <w:rsid w:val="2B013C59"/>
    <w:rsid w:val="2BA32F62"/>
    <w:rsid w:val="2DB015B2"/>
    <w:rsid w:val="33284158"/>
    <w:rsid w:val="42674671"/>
    <w:rsid w:val="48953663"/>
    <w:rsid w:val="4BC0573E"/>
    <w:rsid w:val="4CFC2960"/>
    <w:rsid w:val="513720EE"/>
    <w:rsid w:val="58896EB8"/>
    <w:rsid w:val="5BD23CD1"/>
    <w:rsid w:val="5C0D72CA"/>
    <w:rsid w:val="602957CB"/>
    <w:rsid w:val="6074044E"/>
    <w:rsid w:val="61E433B1"/>
    <w:rsid w:val="63A74829"/>
    <w:rsid w:val="63B836D1"/>
    <w:rsid w:val="6590513B"/>
    <w:rsid w:val="66D147D8"/>
    <w:rsid w:val="678C0773"/>
    <w:rsid w:val="685C1EF3"/>
    <w:rsid w:val="6AFC6C3E"/>
    <w:rsid w:val="70AB77D9"/>
    <w:rsid w:val="73F26F2A"/>
    <w:rsid w:val="747328A0"/>
    <w:rsid w:val="7E6D4A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19">
    <w:name w:val="Default Paragraph Font"/>
    <w:semiHidden/>
    <w:uiPriority w:val="0"/>
  </w:style>
  <w:style w:type="table" w:default="1" w:styleId="18">
    <w:name w:val="Normal Table"/>
    <w:semiHidden/>
    <w:uiPriority w:val="0"/>
    <w:tblPr>
      <w:tblCellMar>
        <w:top w:w="0" w:type="dxa"/>
        <w:left w:w="108" w:type="dxa"/>
        <w:bottom w:w="0" w:type="dxa"/>
        <w:right w:w="108" w:type="dxa"/>
      </w:tblCellMar>
    </w:tblPr>
  </w:style>
  <w:style w:type="paragraph" w:customStyle="1" w:styleId="2">
    <w:name w:val="目录 11"/>
    <w:basedOn w:val="3"/>
    <w:next w:val="1"/>
    <w:unhideWhenUsed/>
    <w:qFormat/>
    <w:uiPriority w:val="39"/>
    <w:pPr>
      <w:spacing w:after="57"/>
    </w:pPr>
  </w:style>
  <w:style w:type="paragraph" w:customStyle="1" w:styleId="3">
    <w:name w:val="正文12"/>
    <w:next w:val="4"/>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4">
    <w:name w:val="脚注文本1"/>
    <w:basedOn w:val="5"/>
    <w:next w:val="8"/>
    <w:qFormat/>
    <w:uiPriority w:val="0"/>
    <w:pPr>
      <w:jc w:val="left"/>
    </w:pPr>
    <w:rPr>
      <w:rFonts w:ascii="宋体" w:eastAsia="Times New Roman"/>
      <w:sz w:val="18"/>
      <w:szCs w:val="18"/>
    </w:rPr>
  </w:style>
  <w:style w:type="paragraph" w:customStyle="1" w:styleId="5">
    <w:name w:val="正文1111"/>
    <w:next w:val="6"/>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
    <w:name w:val="标题 211"/>
    <w:basedOn w:val="7"/>
    <w:next w:val="5"/>
    <w:qFormat/>
    <w:uiPriority w:val="0"/>
    <w:pPr>
      <w:keepNext/>
      <w:keepLines/>
      <w:spacing w:before="360" w:after="200"/>
      <w:outlineLvl w:val="1"/>
    </w:pPr>
    <w:rPr>
      <w:rFonts w:hint="default" w:ascii="Arial" w:hAnsi="Arial" w:eastAsia="Arial" w:cs="Times New Roman"/>
      <w:sz w:val="34"/>
      <w:lang w:val="en-US" w:eastAsia="zh-CN" w:bidi="ar-SA"/>
    </w:rPr>
  </w:style>
  <w:style w:type="paragraph" w:customStyle="1" w:styleId="7">
    <w:name w:val="正文11"/>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8">
    <w:name w:val="索引 51"/>
    <w:basedOn w:val="9"/>
    <w:next w:val="12"/>
    <w:qFormat/>
    <w:uiPriority w:val="0"/>
    <w:pPr>
      <w:ind w:left="800"/>
    </w:pPr>
    <w:rPr>
      <w:rFonts w:ascii="Calibri" w:hAnsi="Calibri"/>
      <w:sz w:val="22"/>
      <w:szCs w:val="22"/>
    </w:rPr>
  </w:style>
  <w:style w:type="paragraph" w:customStyle="1" w:styleId="9">
    <w:name w:val="正文111"/>
    <w:next w:val="10"/>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10">
    <w:name w:val="正文文本缩进11"/>
    <w:basedOn w:val="3"/>
    <w:next w:val="11"/>
    <w:qFormat/>
    <w:uiPriority w:val="0"/>
    <w:pPr>
      <w:spacing w:after="120"/>
      <w:ind w:left="420"/>
    </w:pPr>
  </w:style>
  <w:style w:type="paragraph" w:customStyle="1" w:styleId="11">
    <w:name w:val="寄信人地址1"/>
    <w:basedOn w:val="9"/>
    <w:qFormat/>
    <w:uiPriority w:val="0"/>
    <w:rPr>
      <w:rFonts w:ascii="Arial" w:hAnsi="Arial"/>
    </w:rPr>
  </w:style>
  <w:style w:type="paragraph" w:customStyle="1" w:styleId="12">
    <w:name w:val="正文1"/>
    <w:basedOn w:val="7"/>
    <w:next w:val="13"/>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3">
    <w:name w:val="正文文本1"/>
    <w:basedOn w:val="7"/>
    <w:next w:val="14"/>
    <w:qFormat/>
    <w:uiPriority w:val="0"/>
    <w:pPr>
      <w:spacing w:after="120"/>
    </w:pPr>
    <w:rPr>
      <w:lang w:eastAsia="en-US"/>
    </w:rPr>
  </w:style>
  <w:style w:type="paragraph" w:customStyle="1" w:styleId="14">
    <w:name w:val="正文文本 21"/>
    <w:basedOn w:val="9"/>
    <w:qFormat/>
    <w:uiPriority w:val="0"/>
    <w:pPr>
      <w:widowControl/>
      <w:jc w:val="center"/>
    </w:pPr>
    <w:rPr>
      <w:rFonts w:ascii="楷体_GB2312" w:eastAsia="楷体_GB2312"/>
      <w:sz w:val="28"/>
      <w:szCs w:val="28"/>
    </w:rPr>
  </w:style>
  <w:style w:type="paragraph" w:styleId="15">
    <w:name w:val="Body Text"/>
    <w:basedOn w:val="1"/>
    <w:next w:val="16"/>
    <w:qFormat/>
    <w:uiPriority w:val="99"/>
    <w:pPr>
      <w:spacing w:after="120"/>
    </w:pPr>
    <w:rPr>
      <w:rFonts w:ascii="Calibri" w:hAnsi="Calibri"/>
    </w:rPr>
  </w:style>
  <w:style w:type="paragraph" w:styleId="16">
    <w:name w:val="Body Text First Indent"/>
    <w:basedOn w:val="15"/>
    <w:next w:val="17"/>
    <w:qFormat/>
    <w:uiPriority w:val="99"/>
    <w:pPr>
      <w:spacing w:after="120" w:line="440" w:lineRule="exact"/>
      <w:ind w:firstLine="420"/>
    </w:pPr>
    <w:rPr>
      <w:rFonts w:ascii="宋体"/>
    </w:rPr>
  </w:style>
  <w:style w:type="paragraph" w:styleId="17">
    <w:name w:val="toc 6"/>
    <w:basedOn w:val="1"/>
    <w:next w:val="1"/>
    <w:unhideWhenUsed/>
    <w:qFormat/>
    <w:uiPriority w:val="39"/>
    <w:pPr>
      <w:spacing w:after="57"/>
      <w:ind w:left="1417" w:right="0" w:firstLine="0"/>
    </w:pPr>
  </w:style>
  <w:style w:type="paragraph" w:customStyle="1" w:styleId="20">
    <w:name w:val="文本块11"/>
    <w:basedOn w:val="21"/>
    <w:unhideWhenUsed/>
    <w:qFormat/>
    <w:uiPriority w:val="0"/>
    <w:pPr>
      <w:spacing w:after="120"/>
      <w:ind w:left="1440" w:right="1440"/>
    </w:pPr>
  </w:style>
  <w:style w:type="paragraph" w:customStyle="1" w:styleId="21">
    <w:name w:val="正文121"/>
    <w:next w:val="22"/>
    <w:qFormat/>
    <w:uiPriority w:val="0"/>
    <w:rPr>
      <w:rFonts w:hint="default" w:ascii="Times New Roman" w:hAnsi="Times New Roman" w:eastAsia="宋体" w:cs="Times New Roman"/>
    </w:rPr>
  </w:style>
  <w:style w:type="paragraph" w:customStyle="1" w:styleId="22">
    <w:name w:val="正文首行缩进 211"/>
    <w:basedOn w:val="23"/>
    <w:next w:val="21"/>
    <w:qFormat/>
    <w:uiPriority w:val="99"/>
    <w:pPr>
      <w:spacing w:after="0" w:line="360" w:lineRule="auto"/>
      <w:ind w:left="0" w:firstLine="420"/>
    </w:pPr>
    <w:rPr>
      <w:rFonts w:ascii="宋体" w:hAnsi="宋体"/>
    </w:rPr>
  </w:style>
  <w:style w:type="paragraph" w:customStyle="1" w:styleId="23">
    <w:name w:val="正文文本缩进111"/>
    <w:basedOn w:val="21"/>
    <w:next w:val="24"/>
    <w:qFormat/>
    <w:uiPriority w:val="0"/>
    <w:pPr>
      <w:ind w:firstLine="538"/>
      <w:jc w:val="left"/>
    </w:pPr>
    <w:rPr>
      <w:sz w:val="28"/>
      <w:lang w:val="en-US" w:eastAsia="en-US"/>
    </w:rPr>
  </w:style>
  <w:style w:type="paragraph" w:customStyle="1" w:styleId="24">
    <w:name w:val="样式 正文文本缩进 + 首行缩进:  2 字符 行距: 1.5 倍行距"/>
    <w:basedOn w:val="25"/>
    <w:qFormat/>
    <w:uiPriority w:val="0"/>
    <w:pPr>
      <w:spacing w:before="156" w:after="120"/>
      <w:ind w:firstLine="645"/>
      <w:jc w:val="both"/>
    </w:pPr>
    <w:rPr>
      <w:rFonts w:ascii="Calibri" w:hAnsi="Calibri"/>
      <w:sz w:val="28"/>
      <w:lang w:val="en-US" w:eastAsia="zh-CN"/>
    </w:rPr>
  </w:style>
  <w:style w:type="paragraph" w:customStyle="1" w:styleId="25">
    <w:name w:val="正文文本缩进1"/>
    <w:basedOn w:val="12"/>
    <w:next w:val="24"/>
    <w:qFormat/>
    <w:uiPriority w:val="0"/>
    <w:pPr>
      <w:spacing w:after="120"/>
      <w:ind w:left="420"/>
    </w:pPr>
  </w:style>
  <w:style w:type="paragraph" w:customStyle="1" w:styleId="26">
    <w:name w:val="标题 11"/>
    <w:basedOn w:val="9"/>
    <w:next w:val="9"/>
    <w:qFormat/>
    <w:uiPriority w:val="0"/>
    <w:pPr>
      <w:keepNext/>
      <w:keepLines/>
      <w:spacing w:line="520" w:lineRule="exact"/>
      <w:jc w:val="center"/>
      <w:outlineLvl w:val="0"/>
    </w:pPr>
    <w:rPr>
      <w:rFonts w:eastAsia="新宋体"/>
      <w:b/>
      <w:bCs/>
      <w:sz w:val="30"/>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1712</Words>
  <Characters>1790</Characters>
  <Lines>0</Lines>
  <Paragraphs>0</Paragraphs>
  <TotalTime>0</TotalTime>
  <ScaleCrop>false</ScaleCrop>
  <LinksUpToDate>false</LinksUpToDate>
  <CharactersWithSpaces>1794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86159</dc:creator>
  <cp:lastModifiedBy>杨洁</cp:lastModifiedBy>
  <dcterms:modified xsi:type="dcterms:W3CDTF">2026-10-20T03:10:49Z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eyJoZGlkIjoiYTYwMjMwNTM5NzAwNjk2NzVmYTc2ZmVmZGJjZWFkY2IiLCJ1c2VySWQiOiI3NTE2NDcxMzUifQ==</vt:lpwstr>
  </property>
  <property fmtid="{D5CDD505-2E9C-101B-9397-08002B2CF9AE}" pid="4" name="ICV">
    <vt:lpwstr>107A20CF402742D684B9B9392872DCCF_12</vt:lpwstr>
  </property>
</Properties>
</file>