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7728F">
      <w:pPr>
        <w:pStyle w:val="37"/>
        <w:jc w:val="left"/>
        <w:rPr>
          <w:rFonts w:hint="eastAsia" w:ascii="宋体" w:hAnsi="宋体" w:cs="宋体"/>
          <w:b/>
          <w:color w:val="auto"/>
          <w:kern w:val="0"/>
          <w:sz w:val="28"/>
          <w:szCs w:val="28"/>
          <w:highlight w:val="none"/>
        </w:rPr>
      </w:pPr>
      <w:r>
        <w:rPr>
          <w:rFonts w:ascii="宋体" w:hAnsi="宋体" w:eastAsia="宋体" w:cs="宋体"/>
          <w:color w:val="auto"/>
          <w:sz w:val="24"/>
          <w:szCs w:val="24"/>
          <w:highlight w:val="none"/>
        </w:rPr>
        <w:t>如有建议或意见，请以书面形式并加盖公章、注明联系人、联系方式，于202</w:t>
      </w:r>
      <w:r>
        <w:rPr>
          <w:rFonts w:hint="eastAsia" w:hAnsi="宋体" w:eastAsia="宋体" w:cs="宋体"/>
          <w:color w:val="auto"/>
          <w:sz w:val="24"/>
          <w:szCs w:val="24"/>
          <w:highlight w:val="none"/>
          <w:lang w:val="en-US" w:eastAsia="zh-CN"/>
        </w:rPr>
        <w:t>6</w:t>
      </w:r>
      <w:r>
        <w:rPr>
          <w:rFonts w:ascii="宋体" w:hAnsi="宋体" w:eastAsia="宋体" w:cs="宋体"/>
          <w:color w:val="auto"/>
          <w:sz w:val="24"/>
          <w:szCs w:val="24"/>
          <w:highlight w:val="none"/>
        </w:rPr>
        <w:t>年</w:t>
      </w:r>
      <w:r>
        <w:rPr>
          <w:rFonts w:hint="eastAsia"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hAnsi="宋体" w:eastAsia="宋体" w:cs="宋体"/>
          <w:color w:val="auto"/>
          <w:sz w:val="24"/>
          <w:szCs w:val="24"/>
          <w:highlight w:val="none"/>
          <w:lang w:val="en-US" w:eastAsia="zh-CN"/>
        </w:rPr>
        <w:t>28</w:t>
      </w:r>
      <w:r>
        <w:rPr>
          <w:rFonts w:ascii="宋体" w:hAnsi="宋体" w:eastAsia="宋体" w:cs="宋体"/>
          <w:color w:val="auto"/>
          <w:sz w:val="24"/>
          <w:szCs w:val="24"/>
          <w:highlight w:val="none"/>
        </w:rPr>
        <w:t>日17:00 之前送至我单位，逾期不受理（如邮寄，202</w:t>
      </w:r>
      <w:r>
        <w:rPr>
          <w:rFonts w:hint="eastAsia" w:hAnsi="宋体" w:eastAsia="宋体" w:cs="宋体"/>
          <w:color w:val="auto"/>
          <w:sz w:val="24"/>
          <w:szCs w:val="24"/>
          <w:highlight w:val="none"/>
          <w:lang w:val="en-US" w:eastAsia="zh-CN"/>
        </w:rPr>
        <w:t>6</w:t>
      </w:r>
      <w:r>
        <w:rPr>
          <w:rFonts w:ascii="宋体" w:hAnsi="宋体" w:eastAsia="宋体" w:cs="宋体"/>
          <w:color w:val="auto"/>
          <w:sz w:val="24"/>
          <w:szCs w:val="24"/>
          <w:highlight w:val="none"/>
        </w:rPr>
        <w:t>年</w:t>
      </w:r>
      <w:r>
        <w:rPr>
          <w:rFonts w:hint="eastAsia"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hAnsi="宋体" w:eastAsia="宋体" w:cs="宋体"/>
          <w:color w:val="auto"/>
          <w:sz w:val="24"/>
          <w:szCs w:val="24"/>
          <w:highlight w:val="none"/>
          <w:lang w:val="en-US" w:eastAsia="zh-CN"/>
        </w:rPr>
        <w:t>28</w:t>
      </w:r>
      <w:r>
        <w:rPr>
          <w:rFonts w:ascii="宋体" w:hAnsi="宋体" w:eastAsia="宋体" w:cs="宋体"/>
          <w:color w:val="auto"/>
          <w:sz w:val="24"/>
          <w:szCs w:val="24"/>
          <w:highlight w:val="none"/>
        </w:rPr>
        <w:t>日17:00之后到达本单位的邮件将不再受理）。</w:t>
      </w:r>
    </w:p>
    <w:p w14:paraId="7032FC1E">
      <w:pPr>
        <w:jc w:val="left"/>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br w:type="page"/>
      </w:r>
    </w:p>
    <w:p w14:paraId="2290DB10">
      <w:pPr>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采购需求征求意见公示</w:t>
      </w:r>
    </w:p>
    <w:p w14:paraId="64E3633F">
      <w:pPr>
        <w:spacing w:line="480" w:lineRule="exact"/>
        <w:jc w:val="center"/>
        <w:rPr>
          <w:rStyle w:val="39"/>
          <w:rFonts w:hint="eastAsia" w:ascii="仿宋" w:hAnsi="仿宋" w:eastAsia="仿宋" w:cs="仿宋"/>
          <w:b/>
          <w:bCs/>
          <w:color w:val="auto"/>
          <w:sz w:val="24"/>
          <w:szCs w:val="24"/>
          <w:highlight w:val="none"/>
          <w:lang w:val="en-US"/>
        </w:rPr>
      </w:pPr>
      <w:bookmarkStart w:id="0" w:name="_Hlk70340535"/>
      <w:r>
        <w:rPr>
          <w:rFonts w:hint="eastAsia" w:ascii="宋体" w:hAnsi="宋体" w:eastAsia="宋体" w:cs="宋体"/>
          <w:b/>
          <w:bCs/>
          <w:color w:val="auto"/>
          <w:sz w:val="28"/>
          <w:szCs w:val="28"/>
          <w:highlight w:val="none"/>
          <w:lang w:bidi="ar"/>
        </w:rPr>
        <w:t>项目要求（采购需求）</w:t>
      </w:r>
      <w:bookmarkEnd w:id="0"/>
    </w:p>
    <w:p w14:paraId="0C07C4B9">
      <w:pPr>
        <w:rPr>
          <w:rFonts w:hint="eastAsia" w:ascii="宋体" w:hAnsi="宋体" w:eastAsia="宋体" w:cs="宋体"/>
          <w:b/>
          <w:bCs/>
          <w:color w:val="auto"/>
          <w:kern w:val="0"/>
          <w:szCs w:val="28"/>
          <w:highlight w:val="none"/>
        </w:rPr>
      </w:pPr>
    </w:p>
    <w:p w14:paraId="3387A075">
      <w:pPr>
        <w:pStyle w:val="27"/>
        <w:spacing w:line="360" w:lineRule="auto"/>
        <w:jc w:val="left"/>
        <w:rPr>
          <w:rFonts w:hint="eastAsia" w:ascii="宋体" w:hAnsi="宋体" w:eastAsia="宋体" w:cs="宋体"/>
          <w:sz w:val="24"/>
          <w:szCs w:val="24"/>
          <w:highlight w:val="none"/>
        </w:rPr>
      </w:pPr>
      <w:bookmarkStart w:id="1" w:name="_Toc481146123"/>
      <w:r>
        <w:rPr>
          <w:rStyle w:val="39"/>
          <w:rFonts w:hint="eastAsia" w:ascii="宋体" w:hAnsi="宋体" w:eastAsia="宋体" w:cs="宋体"/>
          <w:b/>
          <w:bCs/>
          <w:color w:val="auto"/>
          <w:sz w:val="24"/>
          <w:szCs w:val="24"/>
          <w:highlight w:val="none"/>
          <w:lang w:val="en-US"/>
        </w:rPr>
        <w:t>一、</w:t>
      </w:r>
      <w:r>
        <w:rPr>
          <w:rFonts w:hint="eastAsia" w:ascii="宋体" w:hAnsi="宋体" w:eastAsia="宋体" w:cs="宋体"/>
          <w:b/>
          <w:bCs/>
          <w:sz w:val="24"/>
          <w:szCs w:val="24"/>
          <w:highlight w:val="none"/>
        </w:rPr>
        <w:t>本项目采购不接受超过</w:t>
      </w:r>
      <w:r>
        <w:rPr>
          <w:rFonts w:hint="eastAsia" w:ascii="宋体" w:hAnsi="宋体" w:eastAsia="宋体" w:cs="宋体"/>
          <w:b/>
          <w:bCs/>
          <w:sz w:val="24"/>
          <w:szCs w:val="24"/>
          <w:highlight w:val="none"/>
          <w:lang w:val="en-US" w:eastAsia="zh-CN"/>
        </w:rPr>
        <w:t>1048</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50</w:t>
      </w:r>
      <w:r>
        <w:rPr>
          <w:rFonts w:hint="eastAsia" w:ascii="宋体" w:hAnsi="宋体" w:eastAsia="宋体" w:cs="宋体"/>
          <w:b/>
          <w:bCs/>
          <w:sz w:val="24"/>
          <w:szCs w:val="24"/>
          <w:highlight w:val="none"/>
        </w:rPr>
        <w:t>万元人民币（采购项目预算金额）的投标报价，报价包括人员经费、设备租赁费、材料购置费、维护费，企业利润、税金</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代理服务费</w:t>
      </w:r>
      <w:r>
        <w:rPr>
          <w:rFonts w:hint="eastAsia" w:ascii="宋体" w:hAnsi="宋体" w:eastAsia="宋体" w:cs="宋体"/>
          <w:b/>
          <w:bCs/>
          <w:sz w:val="24"/>
          <w:szCs w:val="24"/>
          <w:highlight w:val="none"/>
        </w:rPr>
        <w:t>等，采购人不再支付报价以外的任何费用</w:t>
      </w:r>
      <w:bookmarkStart w:id="3" w:name="_GoBack"/>
      <w:bookmarkEnd w:id="3"/>
      <w:r>
        <w:rPr>
          <w:rFonts w:hint="eastAsia" w:ascii="宋体" w:hAnsi="宋体" w:eastAsia="宋体" w:cs="宋体"/>
          <w:b/>
          <w:bCs/>
          <w:sz w:val="24"/>
          <w:szCs w:val="24"/>
          <w:highlight w:val="none"/>
        </w:rPr>
        <w:t>。</w:t>
      </w:r>
    </w:p>
    <w:p w14:paraId="54720169">
      <w:pPr>
        <w:spacing w:line="360" w:lineRule="auto"/>
        <w:rPr>
          <w:rFonts w:hint="eastAsia" w:ascii="宋体" w:hAnsi="宋体" w:cs="宋体"/>
          <w:sz w:val="24"/>
        </w:rPr>
      </w:pPr>
      <w:r>
        <w:rPr>
          <w:rFonts w:hint="eastAsia" w:ascii="宋体" w:hAnsi="宋体" w:cs="宋体"/>
          <w:b/>
          <w:bCs/>
          <w:sz w:val="24"/>
          <w:lang w:val="en-US" w:eastAsia="zh-CN"/>
        </w:rPr>
        <w:t>二</w:t>
      </w:r>
      <w:r>
        <w:rPr>
          <w:rFonts w:hint="eastAsia" w:ascii="宋体" w:hAnsi="宋体" w:cs="宋体"/>
          <w:b/>
          <w:bCs/>
          <w:sz w:val="24"/>
        </w:rPr>
        <w:t>、</w:t>
      </w:r>
      <w:r>
        <w:rPr>
          <w:rFonts w:hint="eastAsia" w:ascii="宋体" w:hAnsi="宋体" w:cs="宋体"/>
          <w:b/>
          <w:bCs/>
          <w:sz w:val="24"/>
          <w:lang w:val="zh-CN"/>
        </w:rPr>
        <w:t>项目</w:t>
      </w:r>
      <w:r>
        <w:rPr>
          <w:rFonts w:hint="eastAsia" w:ascii="宋体" w:hAnsi="宋体" w:cs="宋体"/>
          <w:b/>
          <w:bCs/>
          <w:sz w:val="24"/>
        </w:rPr>
        <w:t>概况：</w:t>
      </w:r>
    </w:p>
    <w:p w14:paraId="1BFAB973">
      <w:pPr>
        <w:spacing w:line="360" w:lineRule="auto"/>
        <w:ind w:firstLine="480"/>
        <w:rPr>
          <w:rFonts w:hint="eastAsia" w:ascii="宋体" w:hAnsi="宋体" w:cs="宋体"/>
          <w:sz w:val="24"/>
        </w:rPr>
      </w:pPr>
      <w:r>
        <w:rPr>
          <w:rFonts w:hint="eastAsia" w:ascii="宋体" w:hAnsi="宋体" w:cs="宋体"/>
          <w:sz w:val="24"/>
        </w:rPr>
        <w:t>为持续深入践行习近平生态文明思想，全面落实习近平总书记对江苏工作的系列重要指示精神，紧扣“十五五”生态环境保护规划目标和空气质量持续改善方向要求，在前期“金龙湖绿网”大数据空气监测平台建设运行成效基础上，拟持续开展空气质量改善提升服务项目，保障各项工作稳定推进，进一步完善本地监测能力、提升数据应用水平，摸清污染家底、科学分析，开展污染专项整治；协同本地监测系统开展运行维护工作，建立技术支撑保障制度，确保各设备系统稳定可靠运行、监测数据完整有效；依托第三方专家驻场团队，深化PM2.5与O3协同管控，推进大气精细化管控，优化管控方案，科学支撑经开区大气污染防治工作，助力污染物浓度持续下降、空气质量稳定达标。</w:t>
      </w:r>
    </w:p>
    <w:p w14:paraId="2B7A2BAE">
      <w:pPr>
        <w:widowControl w:val="0"/>
        <w:spacing w:beforeAutospacing="0" w:afterAutospacing="0" w:line="360" w:lineRule="auto"/>
        <w:jc w:val="both"/>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lang w:val="en-US" w:eastAsia="zh-CN" w:bidi="ar-SA"/>
        </w:rPr>
        <w:t>三、服务内容要求：</w:t>
      </w:r>
    </w:p>
    <w:p w14:paraId="08DCD998">
      <w:pPr>
        <w:widowControl w:val="0"/>
        <w:spacing w:beforeAutospacing="0" w:afterAutospacing="0" w:line="360" w:lineRule="auto"/>
        <w:ind w:firstLine="482"/>
        <w:jc w:val="both"/>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lang w:val="en-US" w:eastAsia="zh-CN" w:bidi="ar-SA"/>
        </w:rPr>
        <w:t>（一）服务要求清单：</w:t>
      </w:r>
    </w:p>
    <w:tbl>
      <w:tblPr>
        <w:tblStyle w:val="14"/>
        <w:tblW w:w="80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7"/>
        <w:gridCol w:w="3064"/>
        <w:gridCol w:w="2859"/>
        <w:gridCol w:w="1095"/>
      </w:tblGrid>
      <w:tr w14:paraId="08059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top w:val="single" w:color="000000" w:sz="4" w:space="0"/>
              <w:left w:val="single" w:color="000000" w:sz="4" w:space="0"/>
              <w:bottom w:val="single" w:color="000000" w:sz="4" w:space="0"/>
              <w:right w:val="single" w:color="000000" w:sz="4" w:space="0"/>
            </w:tcBorders>
            <w:vAlign w:val="center"/>
          </w:tcPr>
          <w:p w14:paraId="6C652B4D">
            <w:pPr>
              <w:keepNext w:val="0"/>
              <w:keepLines w:val="0"/>
              <w:suppressLineNumbers w:val="0"/>
              <w:spacing w:before="0" w:beforeAutospacing="0" w:after="0" w:afterAutospacing="0"/>
              <w:ind w:left="0" w:right="0"/>
              <w:rPr>
                <w:rFonts w:hint="eastAsia" w:ascii="宋体" w:hAnsi="宋体" w:cs="宋体"/>
                <w:sz w:val="24"/>
              </w:rPr>
            </w:pPr>
            <w:bookmarkStart w:id="2" w:name="_Toc12660"/>
            <w:r>
              <w:rPr>
                <w:rFonts w:hint="eastAsia" w:ascii="宋体" w:hAnsi="宋体" w:cs="宋体"/>
                <w:sz w:val="24"/>
              </w:rPr>
              <w:t>序号</w:t>
            </w:r>
          </w:p>
        </w:tc>
        <w:tc>
          <w:tcPr>
            <w:tcW w:w="3064" w:type="dxa"/>
            <w:tcBorders>
              <w:top w:val="single" w:color="000000" w:sz="4" w:space="0"/>
              <w:left w:val="single" w:color="000000" w:sz="4" w:space="0"/>
              <w:bottom w:val="single" w:color="000000" w:sz="4" w:space="0"/>
              <w:right w:val="single" w:color="000000" w:sz="4" w:space="0"/>
            </w:tcBorders>
            <w:vAlign w:val="center"/>
          </w:tcPr>
          <w:p w14:paraId="5A40D3C1">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项目类别</w:t>
            </w:r>
          </w:p>
        </w:tc>
        <w:tc>
          <w:tcPr>
            <w:tcW w:w="2859" w:type="dxa"/>
            <w:tcBorders>
              <w:top w:val="single" w:color="000000" w:sz="4" w:space="0"/>
              <w:left w:val="single" w:color="000000" w:sz="4" w:space="0"/>
              <w:bottom w:val="single" w:color="000000" w:sz="4" w:space="0"/>
              <w:right w:val="single" w:color="000000" w:sz="4" w:space="0"/>
            </w:tcBorders>
            <w:vAlign w:val="center"/>
          </w:tcPr>
          <w:p w14:paraId="791C65E1">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项目类容</w:t>
            </w:r>
          </w:p>
        </w:tc>
        <w:tc>
          <w:tcPr>
            <w:tcW w:w="1095" w:type="dxa"/>
            <w:tcBorders>
              <w:top w:val="single" w:color="000000" w:sz="4" w:space="0"/>
              <w:left w:val="single" w:color="000000" w:sz="4" w:space="0"/>
              <w:bottom w:val="single" w:color="000000" w:sz="4" w:space="0"/>
              <w:right w:val="single" w:color="000000" w:sz="4" w:space="0"/>
            </w:tcBorders>
            <w:vAlign w:val="center"/>
          </w:tcPr>
          <w:p w14:paraId="5BECE5CB">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数量</w:t>
            </w:r>
          </w:p>
        </w:tc>
      </w:tr>
      <w:tr w14:paraId="7BD9E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top w:val="single" w:color="000000" w:sz="4" w:space="0"/>
              <w:left w:val="single" w:color="000000" w:sz="4" w:space="0"/>
              <w:bottom w:val="single" w:color="000000" w:sz="4" w:space="0"/>
              <w:right w:val="single" w:color="000000" w:sz="4" w:space="0"/>
            </w:tcBorders>
            <w:vAlign w:val="center"/>
          </w:tcPr>
          <w:p w14:paraId="381CA8A7">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w:t>
            </w:r>
          </w:p>
        </w:tc>
        <w:tc>
          <w:tcPr>
            <w:tcW w:w="3064" w:type="dxa"/>
            <w:vMerge w:val="restart"/>
            <w:tcBorders>
              <w:top w:val="single" w:color="000000" w:sz="4" w:space="0"/>
              <w:left w:val="single" w:color="000000" w:sz="4" w:space="0"/>
              <w:right w:val="single" w:color="000000" w:sz="4" w:space="0"/>
            </w:tcBorders>
            <w:vAlign w:val="center"/>
          </w:tcPr>
          <w:p w14:paraId="26AD82E9">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精细化改善提升服务</w:t>
            </w:r>
          </w:p>
        </w:tc>
        <w:tc>
          <w:tcPr>
            <w:tcW w:w="2859" w:type="dxa"/>
            <w:tcBorders>
              <w:top w:val="single" w:color="000000" w:sz="4" w:space="0"/>
              <w:left w:val="single" w:color="000000" w:sz="4" w:space="0"/>
              <w:bottom w:val="single" w:color="000000" w:sz="4" w:space="0"/>
              <w:right w:val="single" w:color="000000" w:sz="4" w:space="0"/>
            </w:tcBorders>
            <w:vAlign w:val="center"/>
          </w:tcPr>
          <w:p w14:paraId="33072ECA">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第三方技术管控服务</w:t>
            </w:r>
          </w:p>
        </w:tc>
        <w:tc>
          <w:tcPr>
            <w:tcW w:w="1095" w:type="dxa"/>
            <w:tcBorders>
              <w:top w:val="single" w:color="000000" w:sz="4" w:space="0"/>
              <w:left w:val="single" w:color="000000" w:sz="4" w:space="0"/>
              <w:bottom w:val="single" w:color="000000" w:sz="4" w:space="0"/>
              <w:right w:val="single" w:color="000000" w:sz="4" w:space="0"/>
            </w:tcBorders>
            <w:vAlign w:val="center"/>
          </w:tcPr>
          <w:p w14:paraId="462FCB16">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1项</w:t>
            </w:r>
          </w:p>
        </w:tc>
      </w:tr>
      <w:tr w14:paraId="2FF5D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top w:val="single" w:color="000000" w:sz="4" w:space="0"/>
              <w:left w:val="single" w:color="000000" w:sz="4" w:space="0"/>
              <w:right w:val="single" w:color="000000" w:sz="4" w:space="0"/>
            </w:tcBorders>
            <w:vAlign w:val="center"/>
          </w:tcPr>
          <w:p w14:paraId="2A8A3110">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2</w:t>
            </w:r>
          </w:p>
        </w:tc>
        <w:tc>
          <w:tcPr>
            <w:tcW w:w="3064" w:type="dxa"/>
            <w:vMerge w:val="continue"/>
            <w:tcBorders>
              <w:left w:val="single" w:color="000000" w:sz="4" w:space="0"/>
              <w:right w:val="single" w:color="000000" w:sz="4" w:space="0"/>
            </w:tcBorders>
            <w:vAlign w:val="center"/>
          </w:tcPr>
          <w:p w14:paraId="790871CB">
            <w:pPr>
              <w:keepNext w:val="0"/>
              <w:keepLines w:val="0"/>
              <w:suppressLineNumbers w:val="0"/>
              <w:spacing w:before="0" w:beforeAutospacing="0" w:after="0" w:afterAutospacing="0"/>
              <w:ind w:left="0" w:right="0"/>
              <w:rPr>
                <w:rFonts w:hint="eastAsia" w:ascii="宋体" w:hAnsi="宋体" w:cs="宋体"/>
                <w:sz w:val="24"/>
              </w:rPr>
            </w:pPr>
          </w:p>
        </w:tc>
        <w:tc>
          <w:tcPr>
            <w:tcW w:w="2859" w:type="dxa"/>
            <w:tcBorders>
              <w:top w:val="single" w:color="000000" w:sz="4" w:space="0"/>
              <w:left w:val="single" w:color="000000" w:sz="4" w:space="0"/>
              <w:bottom w:val="single" w:color="000000" w:sz="4" w:space="0"/>
              <w:right w:val="single" w:color="000000" w:sz="4" w:space="0"/>
            </w:tcBorders>
            <w:vAlign w:val="center"/>
          </w:tcPr>
          <w:p w14:paraId="1B6BF905">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VOCs走航监测服务</w:t>
            </w:r>
          </w:p>
        </w:tc>
        <w:tc>
          <w:tcPr>
            <w:tcW w:w="1095" w:type="dxa"/>
            <w:tcBorders>
              <w:top w:val="single" w:color="000000" w:sz="4" w:space="0"/>
              <w:left w:val="single" w:color="000000" w:sz="4" w:space="0"/>
              <w:bottom w:val="single" w:color="000000" w:sz="4" w:space="0"/>
              <w:right w:val="single" w:color="000000" w:sz="4" w:space="0"/>
            </w:tcBorders>
            <w:vAlign w:val="center"/>
          </w:tcPr>
          <w:p w14:paraId="3100528F">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1项</w:t>
            </w:r>
          </w:p>
        </w:tc>
      </w:tr>
      <w:tr w14:paraId="340F6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top w:val="single" w:color="000000" w:sz="4" w:space="0"/>
              <w:left w:val="single" w:color="000000" w:sz="4" w:space="0"/>
              <w:right w:val="single" w:color="000000" w:sz="4" w:space="0"/>
            </w:tcBorders>
            <w:vAlign w:val="center"/>
          </w:tcPr>
          <w:p w14:paraId="2D7DB4FB">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3</w:t>
            </w:r>
          </w:p>
        </w:tc>
        <w:tc>
          <w:tcPr>
            <w:tcW w:w="3064" w:type="dxa"/>
            <w:vMerge w:val="continue"/>
            <w:tcBorders>
              <w:left w:val="single" w:color="000000" w:sz="4" w:space="0"/>
              <w:right w:val="single" w:color="000000" w:sz="4" w:space="0"/>
            </w:tcBorders>
            <w:vAlign w:val="center"/>
          </w:tcPr>
          <w:p w14:paraId="67974A7C">
            <w:pPr>
              <w:keepNext w:val="0"/>
              <w:keepLines w:val="0"/>
              <w:suppressLineNumbers w:val="0"/>
              <w:spacing w:before="0" w:beforeAutospacing="0" w:after="0" w:afterAutospacing="0"/>
              <w:ind w:left="0" w:right="0"/>
              <w:rPr>
                <w:rFonts w:hint="eastAsia" w:ascii="宋体" w:hAnsi="宋体" w:cs="宋体"/>
                <w:sz w:val="24"/>
              </w:rPr>
            </w:pPr>
          </w:p>
        </w:tc>
        <w:tc>
          <w:tcPr>
            <w:tcW w:w="2859" w:type="dxa"/>
            <w:tcBorders>
              <w:top w:val="single" w:color="000000" w:sz="4" w:space="0"/>
              <w:left w:val="single" w:color="000000" w:sz="4" w:space="0"/>
              <w:bottom w:val="single" w:color="000000" w:sz="4" w:space="0"/>
              <w:right w:val="single" w:color="000000" w:sz="4" w:space="0"/>
            </w:tcBorders>
            <w:vAlign w:val="center"/>
          </w:tcPr>
          <w:p w14:paraId="70757971">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颗粒物组分分析服务</w:t>
            </w:r>
          </w:p>
        </w:tc>
        <w:tc>
          <w:tcPr>
            <w:tcW w:w="1095" w:type="dxa"/>
            <w:tcBorders>
              <w:top w:val="single" w:color="000000" w:sz="4" w:space="0"/>
              <w:left w:val="single" w:color="000000" w:sz="4" w:space="0"/>
              <w:bottom w:val="single" w:color="000000" w:sz="4" w:space="0"/>
              <w:right w:val="single" w:color="000000" w:sz="4" w:space="0"/>
            </w:tcBorders>
            <w:vAlign w:val="center"/>
          </w:tcPr>
          <w:p w14:paraId="5AE67A17">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1项</w:t>
            </w:r>
          </w:p>
        </w:tc>
      </w:tr>
      <w:tr w14:paraId="1CB8D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left w:val="single" w:color="000000" w:sz="4" w:space="0"/>
              <w:bottom w:val="single" w:color="000000" w:sz="4" w:space="0"/>
              <w:right w:val="single" w:color="000000" w:sz="4" w:space="0"/>
            </w:tcBorders>
            <w:vAlign w:val="center"/>
          </w:tcPr>
          <w:p w14:paraId="7041E572">
            <w:pPr>
              <w:keepNext w:val="0"/>
              <w:keepLines w:val="0"/>
              <w:suppressLineNumbers w:val="0"/>
              <w:spacing w:before="0" w:beforeAutospacing="0" w:after="0" w:afterAutospacing="0"/>
              <w:ind w:left="0" w:right="0"/>
              <w:rPr>
                <w:rFonts w:hint="eastAsia" w:ascii="宋体" w:hAnsi="宋体" w:cs="宋体"/>
                <w:sz w:val="24"/>
              </w:rPr>
            </w:pPr>
            <w:r>
              <w:rPr>
                <w:rFonts w:hint="default" w:ascii="宋体" w:hAnsi="宋体" w:cs="宋体"/>
                <w:sz w:val="24"/>
              </w:rPr>
              <w:t>4</w:t>
            </w:r>
          </w:p>
        </w:tc>
        <w:tc>
          <w:tcPr>
            <w:tcW w:w="3064" w:type="dxa"/>
            <w:vMerge w:val="continue"/>
            <w:tcBorders>
              <w:left w:val="single" w:color="000000" w:sz="4" w:space="0"/>
              <w:bottom w:val="single" w:color="000000" w:sz="4" w:space="0"/>
              <w:right w:val="single" w:color="000000" w:sz="4" w:space="0"/>
            </w:tcBorders>
            <w:vAlign w:val="center"/>
          </w:tcPr>
          <w:p w14:paraId="00BD0034">
            <w:pPr>
              <w:keepNext w:val="0"/>
              <w:keepLines w:val="0"/>
              <w:suppressLineNumbers w:val="0"/>
              <w:spacing w:before="0" w:beforeAutospacing="0" w:after="0" w:afterAutospacing="0"/>
              <w:ind w:left="0" w:right="0"/>
              <w:rPr>
                <w:rFonts w:hint="eastAsia" w:ascii="宋体" w:hAnsi="宋体" w:cs="宋体"/>
                <w:sz w:val="24"/>
              </w:rPr>
            </w:pPr>
          </w:p>
        </w:tc>
        <w:tc>
          <w:tcPr>
            <w:tcW w:w="2859" w:type="dxa"/>
            <w:tcBorders>
              <w:top w:val="single" w:color="000000" w:sz="4" w:space="0"/>
              <w:left w:val="single" w:color="000000" w:sz="4" w:space="0"/>
              <w:bottom w:val="single" w:color="000000" w:sz="4" w:space="0"/>
              <w:right w:val="single" w:color="000000" w:sz="4" w:space="0"/>
            </w:tcBorders>
            <w:vAlign w:val="center"/>
          </w:tcPr>
          <w:p w14:paraId="058E151A">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便携设备监测服务</w:t>
            </w:r>
          </w:p>
        </w:tc>
        <w:tc>
          <w:tcPr>
            <w:tcW w:w="1095" w:type="dxa"/>
            <w:tcBorders>
              <w:top w:val="single" w:color="000000" w:sz="4" w:space="0"/>
              <w:left w:val="single" w:color="000000" w:sz="4" w:space="0"/>
              <w:bottom w:val="single" w:color="000000" w:sz="4" w:space="0"/>
              <w:right w:val="single" w:color="000000" w:sz="4" w:space="0"/>
            </w:tcBorders>
            <w:vAlign w:val="center"/>
          </w:tcPr>
          <w:p w14:paraId="7AEE7488">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1项</w:t>
            </w:r>
          </w:p>
        </w:tc>
      </w:tr>
      <w:tr w14:paraId="2108E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jc w:val="center"/>
        </w:trPr>
        <w:tc>
          <w:tcPr>
            <w:tcW w:w="987" w:type="dxa"/>
            <w:tcBorders>
              <w:top w:val="single" w:color="000000" w:sz="4" w:space="0"/>
              <w:left w:val="single" w:color="000000" w:sz="4" w:space="0"/>
              <w:bottom w:val="single" w:color="000000" w:sz="4" w:space="0"/>
              <w:right w:val="single" w:color="000000" w:sz="4" w:space="0"/>
            </w:tcBorders>
            <w:vAlign w:val="center"/>
          </w:tcPr>
          <w:p w14:paraId="6EB2314F">
            <w:pPr>
              <w:keepNext w:val="0"/>
              <w:keepLines w:val="0"/>
              <w:suppressLineNumbers w:val="0"/>
              <w:spacing w:before="0" w:beforeAutospacing="0" w:after="0" w:afterAutospacing="0"/>
              <w:ind w:left="0" w:right="0"/>
              <w:rPr>
                <w:rFonts w:hint="eastAsia" w:ascii="宋体" w:hAnsi="宋体" w:cs="宋体"/>
                <w:sz w:val="24"/>
              </w:rPr>
            </w:pPr>
            <w:r>
              <w:rPr>
                <w:rFonts w:hint="default" w:ascii="宋体" w:hAnsi="宋体" w:cs="宋体"/>
                <w:sz w:val="24"/>
              </w:rPr>
              <w:t>5</w:t>
            </w:r>
          </w:p>
        </w:tc>
        <w:tc>
          <w:tcPr>
            <w:tcW w:w="3064" w:type="dxa"/>
            <w:tcBorders>
              <w:left w:val="single" w:color="000000" w:sz="4" w:space="0"/>
              <w:bottom w:val="single" w:color="000000" w:sz="4" w:space="0"/>
              <w:right w:val="single" w:color="000000" w:sz="4" w:space="0"/>
            </w:tcBorders>
            <w:vAlign w:val="center"/>
          </w:tcPr>
          <w:p w14:paraId="5EC9F974">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监测系统运行维护服务</w:t>
            </w:r>
          </w:p>
        </w:tc>
        <w:tc>
          <w:tcPr>
            <w:tcW w:w="2859" w:type="dxa"/>
            <w:tcBorders>
              <w:top w:val="single" w:color="000000" w:sz="4" w:space="0"/>
              <w:left w:val="single" w:color="000000" w:sz="4" w:space="0"/>
              <w:bottom w:val="single" w:color="000000" w:sz="4" w:space="0"/>
              <w:right w:val="single" w:color="000000" w:sz="4" w:space="0"/>
            </w:tcBorders>
            <w:vAlign w:val="center"/>
          </w:tcPr>
          <w:p w14:paraId="2877A432">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本地监测系统运行维护服务</w:t>
            </w:r>
          </w:p>
        </w:tc>
        <w:tc>
          <w:tcPr>
            <w:tcW w:w="1095" w:type="dxa"/>
            <w:tcBorders>
              <w:top w:val="single" w:color="000000" w:sz="4" w:space="0"/>
              <w:left w:val="single" w:color="000000" w:sz="4" w:space="0"/>
              <w:bottom w:val="single" w:color="000000" w:sz="4" w:space="0"/>
              <w:right w:val="single" w:color="000000" w:sz="4" w:space="0"/>
            </w:tcBorders>
            <w:vAlign w:val="center"/>
          </w:tcPr>
          <w:p w14:paraId="0D38DD96">
            <w:pPr>
              <w:keepNext w:val="0"/>
              <w:keepLines w:val="0"/>
              <w:suppressLineNumbers w:val="0"/>
              <w:spacing w:before="0" w:beforeAutospacing="0" w:after="0" w:afterAutospacing="0"/>
              <w:ind w:left="0" w:right="0"/>
              <w:rPr>
                <w:rFonts w:hint="eastAsia" w:ascii="宋体" w:hAnsi="宋体" w:cs="宋体"/>
                <w:sz w:val="24"/>
              </w:rPr>
            </w:pPr>
            <w:r>
              <w:rPr>
                <w:rFonts w:hint="eastAsia" w:ascii="宋体" w:hAnsi="宋体" w:cs="宋体"/>
                <w:sz w:val="24"/>
              </w:rPr>
              <w:t>1项</w:t>
            </w:r>
          </w:p>
        </w:tc>
      </w:tr>
    </w:tbl>
    <w:p w14:paraId="5219E109">
      <w:pPr>
        <w:widowControl w:val="0"/>
        <w:spacing w:beforeAutospacing="0" w:afterAutospacing="0" w:line="360" w:lineRule="auto"/>
        <w:ind w:firstLine="482"/>
        <w:jc w:val="both"/>
        <w:rPr>
          <w:rFonts w:hint="eastAsia" w:ascii="宋体" w:hAnsi="宋体" w:eastAsia="宋体" w:cs="宋体"/>
          <w:b/>
          <w:color w:val="000000"/>
          <w:sz w:val="24"/>
          <w:szCs w:val="24"/>
          <w:lang w:val="en-US" w:eastAsia="zh-CN" w:bidi="ar-SA"/>
        </w:rPr>
      </w:pPr>
      <w:r>
        <w:rPr>
          <w:rFonts w:hint="eastAsia" w:ascii="宋体" w:hAnsi="宋体" w:eastAsia="宋体" w:cs="宋体"/>
          <w:b/>
          <w:color w:val="000000"/>
          <w:sz w:val="24"/>
          <w:szCs w:val="24"/>
          <w:lang w:val="en-US" w:eastAsia="zh-CN" w:bidi="ar-SA"/>
        </w:rPr>
        <w:t>（二）服务采购内容：</w:t>
      </w:r>
    </w:p>
    <w:p w14:paraId="43D14BBD">
      <w:pPr>
        <w:spacing w:line="360" w:lineRule="auto"/>
        <w:ind w:firstLine="482"/>
        <w:rPr>
          <w:rFonts w:hint="eastAsia" w:ascii="宋体" w:hAnsi="宋体" w:cs="宋体"/>
          <w:b/>
          <w:sz w:val="24"/>
        </w:rPr>
      </w:pPr>
      <w:r>
        <w:rPr>
          <w:rFonts w:hint="default" w:ascii="宋体" w:hAnsi="宋体" w:cs="宋体"/>
          <w:b/>
          <w:sz w:val="24"/>
        </w:rPr>
        <w:t>1、</w:t>
      </w:r>
      <w:r>
        <w:rPr>
          <w:rFonts w:hint="eastAsia" w:ascii="宋体" w:hAnsi="宋体" w:cs="宋体"/>
          <w:b/>
          <w:sz w:val="24"/>
        </w:rPr>
        <w:t>精细化改善提升服务</w:t>
      </w:r>
    </w:p>
    <w:p w14:paraId="49DB39E5">
      <w:pPr>
        <w:spacing w:line="360" w:lineRule="auto"/>
        <w:ind w:firstLine="482"/>
        <w:rPr>
          <w:rFonts w:hint="eastAsia" w:ascii="宋体" w:hAnsi="宋体" w:cs="宋体"/>
          <w:b/>
          <w:sz w:val="24"/>
        </w:rPr>
      </w:pPr>
      <w:r>
        <w:rPr>
          <w:rFonts w:hint="eastAsia" w:ascii="宋体" w:hAnsi="宋体" w:cs="宋体"/>
          <w:b/>
          <w:sz w:val="24"/>
        </w:rPr>
        <w:t>（1）第三方技术管控服务</w:t>
      </w:r>
    </w:p>
    <w:p w14:paraId="31FF1480">
      <w:pPr>
        <w:spacing w:line="360" w:lineRule="auto"/>
        <w:ind w:firstLine="480"/>
        <w:rPr>
          <w:rFonts w:hint="eastAsia" w:ascii="宋体" w:hAnsi="宋体" w:cs="宋体"/>
          <w:sz w:val="24"/>
        </w:rPr>
      </w:pPr>
      <w:r>
        <w:rPr>
          <w:rFonts w:hint="eastAsia" w:ascii="宋体" w:hAnsi="宋体" w:cs="宋体"/>
          <w:sz w:val="24"/>
        </w:rPr>
        <w:t>组织专业化服务团队支撑我区空气质量深入改善提升服务，其中需安排13人驻点徐州经济技术开发区，基于现有的工作组织架构，优化运行机制、完善工作内容、明确责任分工，全方位多手段深层次协助开展各项工作。</w:t>
      </w:r>
    </w:p>
    <w:p w14:paraId="63890781">
      <w:pPr>
        <w:spacing w:line="360" w:lineRule="auto"/>
        <w:ind w:firstLine="480"/>
        <w:rPr>
          <w:rFonts w:hint="eastAsia" w:ascii="宋体" w:hAnsi="宋体" w:cs="宋体"/>
          <w:sz w:val="24"/>
        </w:rPr>
      </w:pPr>
      <w:r>
        <w:rPr>
          <w:rFonts w:hint="eastAsia" w:ascii="宋体" w:hAnsi="宋体" w:cs="宋体"/>
          <w:sz w:val="24"/>
        </w:rPr>
        <w:t>1）工作机制建立与优化</w:t>
      </w:r>
    </w:p>
    <w:p w14:paraId="22423D82">
      <w:pPr>
        <w:spacing w:line="360" w:lineRule="auto"/>
        <w:ind w:firstLine="480"/>
        <w:rPr>
          <w:rFonts w:hint="eastAsia" w:ascii="宋体" w:hAnsi="宋体" w:cs="宋体"/>
          <w:sz w:val="24"/>
        </w:rPr>
      </w:pPr>
      <w:r>
        <w:rPr>
          <w:rFonts w:hint="eastAsia" w:ascii="宋体" w:hAnsi="宋体" w:cs="宋体"/>
          <w:sz w:val="24"/>
        </w:rPr>
        <w:t>为健全经开区大气污染防治工作制度、运行机制、考核机制提供建议，形成各项保障机制，确保大气污染防治措施能够在健全的组织架构下得到落实。</w:t>
      </w:r>
    </w:p>
    <w:p w14:paraId="4233A603">
      <w:pPr>
        <w:spacing w:line="360" w:lineRule="auto"/>
        <w:ind w:firstLine="480"/>
        <w:rPr>
          <w:rFonts w:hint="eastAsia" w:ascii="宋体" w:hAnsi="宋体" w:cs="宋体"/>
          <w:sz w:val="24"/>
        </w:rPr>
      </w:pPr>
      <w:r>
        <w:rPr>
          <w:rFonts w:hint="eastAsia" w:ascii="宋体" w:hAnsi="宋体" w:cs="宋体"/>
          <w:sz w:val="24"/>
        </w:rPr>
        <w:t>2）空气质量达标规划</w:t>
      </w:r>
    </w:p>
    <w:p w14:paraId="431590A2">
      <w:pPr>
        <w:spacing w:line="360" w:lineRule="auto"/>
        <w:ind w:firstLine="480"/>
        <w:rPr>
          <w:rFonts w:hint="eastAsia" w:ascii="宋体" w:hAnsi="宋体" w:cs="宋体"/>
          <w:sz w:val="24"/>
        </w:rPr>
      </w:pPr>
      <w:r>
        <w:rPr>
          <w:rFonts w:hint="eastAsia" w:ascii="宋体" w:hAnsi="宋体" w:cs="宋体"/>
          <w:sz w:val="24"/>
        </w:rPr>
        <w:t>围绕经开区年度空气质量改善需求，根据年度空气质量考核目标分解达标路径，开展空气质量改善目标压力分解，结合我区达标路径、本地污染特征等制定项目团队工作计划。</w:t>
      </w:r>
    </w:p>
    <w:p w14:paraId="4F4ADD46">
      <w:pPr>
        <w:spacing w:line="360" w:lineRule="auto"/>
        <w:ind w:firstLine="480"/>
        <w:rPr>
          <w:rFonts w:hint="eastAsia" w:ascii="宋体" w:hAnsi="宋体" w:cs="宋体"/>
          <w:sz w:val="24"/>
        </w:rPr>
      </w:pPr>
      <w:r>
        <w:rPr>
          <w:rFonts w:hint="eastAsia" w:ascii="宋体" w:hAnsi="宋体" w:cs="宋体"/>
          <w:sz w:val="24"/>
        </w:rPr>
        <w:t>3）数据监控分析与常态化方案制定</w:t>
      </w:r>
    </w:p>
    <w:p w14:paraId="09663452">
      <w:pPr>
        <w:spacing w:line="360" w:lineRule="auto"/>
        <w:ind w:firstLine="480"/>
        <w:rPr>
          <w:rFonts w:hint="eastAsia" w:ascii="宋体" w:hAnsi="宋体" w:cs="宋体"/>
          <w:sz w:val="24"/>
        </w:rPr>
      </w:pPr>
      <w:r>
        <w:rPr>
          <w:rFonts w:hint="eastAsia" w:ascii="宋体" w:hAnsi="宋体" w:cs="宋体"/>
          <w:sz w:val="24"/>
        </w:rPr>
        <w:t>开展空气环境质量的日常监控研判，分析现状和演变趋势，研究明确针对性的措施，为大气污染防治提供技术支持，提高科学治气、精准治气水平，持续有效改善空气质量：</w:t>
      </w:r>
    </w:p>
    <w:p w14:paraId="6B92D0AE">
      <w:pPr>
        <w:spacing w:line="360" w:lineRule="auto"/>
        <w:ind w:firstLine="480"/>
        <w:rPr>
          <w:rFonts w:hint="eastAsia" w:ascii="宋体" w:hAnsi="宋体" w:cs="宋体"/>
          <w:sz w:val="24"/>
        </w:rPr>
      </w:pPr>
      <w:r>
        <w:rPr>
          <w:rFonts w:hint="eastAsia" w:ascii="宋体" w:hAnsi="宋体" w:cs="宋体"/>
          <w:sz w:val="24"/>
        </w:rPr>
        <w:t>日常推送：基于本地各类型空气质量监测数据、预报预测结果等信息，对当日空气质量情况、污染物浓度、首要污染物等内容进行推送，推送至微信交流群。</w:t>
      </w:r>
    </w:p>
    <w:p w14:paraId="334C68CB">
      <w:pPr>
        <w:spacing w:line="360" w:lineRule="auto"/>
        <w:ind w:firstLine="480"/>
        <w:rPr>
          <w:rFonts w:hint="eastAsia" w:ascii="宋体" w:hAnsi="宋体" w:cs="宋体"/>
          <w:sz w:val="24"/>
        </w:rPr>
      </w:pPr>
      <w:r>
        <w:rPr>
          <w:rFonts w:hint="eastAsia" w:ascii="宋体" w:hAnsi="宋体" w:cs="宋体"/>
          <w:sz w:val="24"/>
        </w:rPr>
        <w:t>数据分析报告：提供空气质量日报、周报、月报以及污染专项分析报告撰写。通过对前一日、前一周、前一月以及近期存在的典型问题进行及时的分析和总结，并结合现场巡查情况，抓住主要矛盾，提出科学性、可行性强的管控方案。</w:t>
      </w:r>
    </w:p>
    <w:p w14:paraId="2B8926D5">
      <w:pPr>
        <w:spacing w:line="360" w:lineRule="auto"/>
        <w:ind w:firstLine="480"/>
        <w:rPr>
          <w:rFonts w:hint="eastAsia" w:ascii="宋体" w:hAnsi="宋体" w:cs="宋体"/>
          <w:sz w:val="24"/>
        </w:rPr>
      </w:pPr>
      <w:r>
        <w:rPr>
          <w:rFonts w:hint="eastAsia" w:ascii="宋体" w:hAnsi="宋体" w:cs="宋体"/>
          <w:sz w:val="24"/>
        </w:rPr>
        <w:t>4</w:t>
      </w:r>
      <w:r>
        <w:rPr>
          <w:rFonts w:hint="default" w:ascii="宋体" w:hAnsi="宋体" w:cs="宋体"/>
          <w:sz w:val="24"/>
        </w:rPr>
        <w:t>）</w:t>
      </w:r>
      <w:r>
        <w:rPr>
          <w:rFonts w:hint="eastAsia" w:ascii="宋体" w:hAnsi="宋体" w:cs="宋体"/>
          <w:sz w:val="24"/>
        </w:rPr>
        <w:t>大气污染溯源巡查</w:t>
      </w:r>
    </w:p>
    <w:p w14:paraId="02B27F98">
      <w:pPr>
        <w:spacing w:line="360" w:lineRule="auto"/>
        <w:ind w:firstLine="480"/>
        <w:rPr>
          <w:rFonts w:hint="eastAsia" w:ascii="宋体" w:hAnsi="宋体" w:cs="宋体"/>
          <w:sz w:val="24"/>
        </w:rPr>
      </w:pPr>
      <w:r>
        <w:rPr>
          <w:rFonts w:hint="eastAsia" w:ascii="宋体" w:hAnsi="宋体" w:cs="宋体"/>
          <w:sz w:val="24"/>
        </w:rPr>
        <w:t>开展本地污染巡查，划定重点管控区域，结合现有激光雷达、污染物因子、走航监测等监测数据，进行分析，识别制约空气质量目标完成的重点时段、重点区域、重点因子和重点对象，并配便携式颗粒物检测仪辅助开展工作，通过现场调研和无人机巡航的方式开展地毯式巡查，查找管控措施不到位的点位，滚动排查解决散、乱、污问题，明确异常污染源点位和具体的整改管控措施，形成污染源地图、及时交办、跟进落实、着重通报，推动管控措施落实落细，实现污染源排放有效管控。</w:t>
      </w:r>
    </w:p>
    <w:p w14:paraId="2339BD4C">
      <w:pPr>
        <w:spacing w:line="360" w:lineRule="auto"/>
        <w:ind w:firstLine="480"/>
        <w:rPr>
          <w:rFonts w:hint="eastAsia" w:ascii="宋体" w:hAnsi="宋体" w:cs="宋体"/>
          <w:sz w:val="24"/>
        </w:rPr>
      </w:pPr>
      <w:r>
        <w:rPr>
          <w:rFonts w:hint="eastAsia" w:ascii="宋体" w:hAnsi="宋体" w:cs="宋体"/>
          <w:sz w:val="24"/>
        </w:rPr>
        <w:t>5）污染应急管控方案</w:t>
      </w:r>
    </w:p>
    <w:p w14:paraId="57EBA150">
      <w:pPr>
        <w:spacing w:line="360" w:lineRule="auto"/>
        <w:ind w:firstLine="480"/>
        <w:rPr>
          <w:rFonts w:hint="eastAsia" w:ascii="宋体" w:hAnsi="宋体" w:cs="宋体"/>
          <w:sz w:val="24"/>
        </w:rPr>
      </w:pPr>
      <w:r>
        <w:rPr>
          <w:rFonts w:hint="eastAsia" w:ascii="宋体" w:hAnsi="宋体" w:cs="宋体"/>
          <w:sz w:val="24"/>
        </w:rPr>
        <w:t>开展污染应急管控，规划应急管控流程，总结管控问题。应急管控期间支撑应急会商、污染提前预警、污染应急管控建议和措施、管控期间问题核查，对应对管控效果进行核实评估，及时优化调整管控措施。</w:t>
      </w:r>
    </w:p>
    <w:p w14:paraId="2B8DF4FB">
      <w:pPr>
        <w:spacing w:line="360" w:lineRule="auto"/>
        <w:ind w:firstLine="480"/>
        <w:rPr>
          <w:rFonts w:hint="eastAsia" w:ascii="宋体" w:hAnsi="宋体" w:cs="宋体"/>
          <w:sz w:val="24"/>
        </w:rPr>
      </w:pPr>
      <w:r>
        <w:rPr>
          <w:rFonts w:hint="eastAsia" w:ascii="宋体" w:hAnsi="宋体" w:cs="宋体"/>
          <w:sz w:val="24"/>
        </w:rPr>
        <w:t>6）专项管控评估</w:t>
      </w:r>
    </w:p>
    <w:p w14:paraId="3EB451AC">
      <w:pPr>
        <w:spacing w:line="360" w:lineRule="auto"/>
        <w:ind w:firstLine="480"/>
        <w:rPr>
          <w:rFonts w:hint="eastAsia" w:ascii="宋体" w:hAnsi="宋体" w:cs="宋体"/>
          <w:sz w:val="24"/>
        </w:rPr>
      </w:pPr>
      <w:r>
        <w:rPr>
          <w:rFonts w:hint="eastAsia" w:ascii="宋体" w:hAnsi="宋体" w:cs="宋体"/>
          <w:sz w:val="24"/>
        </w:rPr>
        <w:t>规划不同时间段的重点管控方向，制定专项管控制度，根据情况开展相应专项管控，总结专项问题。专项内容包括餐饮生活源、扬尘源、移动源等主要污染源。</w:t>
      </w:r>
    </w:p>
    <w:p w14:paraId="0BFCA380">
      <w:pPr>
        <w:spacing w:line="360" w:lineRule="auto"/>
        <w:ind w:firstLine="480"/>
        <w:rPr>
          <w:rFonts w:hint="eastAsia" w:ascii="宋体" w:hAnsi="宋体" w:cs="宋体"/>
          <w:sz w:val="24"/>
        </w:rPr>
      </w:pPr>
      <w:r>
        <w:rPr>
          <w:rFonts w:hint="eastAsia" w:ascii="宋体" w:hAnsi="宋体" w:cs="宋体"/>
          <w:sz w:val="24"/>
        </w:rPr>
        <w:t>7）定期开展会商总结</w:t>
      </w:r>
    </w:p>
    <w:p w14:paraId="10FC4783">
      <w:pPr>
        <w:spacing w:line="360" w:lineRule="auto"/>
        <w:ind w:firstLine="480"/>
        <w:rPr>
          <w:rFonts w:hint="eastAsia" w:ascii="宋体" w:hAnsi="宋体" w:cs="宋体"/>
          <w:sz w:val="24"/>
        </w:rPr>
      </w:pPr>
      <w:r>
        <w:rPr>
          <w:rFonts w:hint="eastAsia" w:ascii="宋体" w:hAnsi="宋体" w:cs="宋体"/>
          <w:sz w:val="24"/>
        </w:rPr>
        <w:t>定期进行空气质量会商，分析阶段时间污染形势，达标压力，通过现场溯源，评估污染问题管控成效，提供对重点协同部门工作的管控建议。督促主要责任部门重点问题整改。</w:t>
      </w:r>
    </w:p>
    <w:p w14:paraId="4242CE2E">
      <w:pPr>
        <w:spacing w:line="360" w:lineRule="auto"/>
        <w:ind w:firstLine="480"/>
        <w:rPr>
          <w:rFonts w:hint="eastAsia" w:ascii="宋体" w:hAnsi="宋体" w:cs="宋体"/>
          <w:b/>
          <w:sz w:val="24"/>
        </w:rPr>
      </w:pPr>
      <w:r>
        <w:rPr>
          <w:rFonts w:hint="eastAsia" w:ascii="宋体" w:hAnsi="宋体" w:cs="宋体"/>
          <w:b/>
          <w:sz w:val="24"/>
        </w:rPr>
        <w:t>（2）VOCs走航监测服务</w:t>
      </w:r>
    </w:p>
    <w:p w14:paraId="40B92C8F">
      <w:pPr>
        <w:spacing w:line="360" w:lineRule="auto"/>
        <w:ind w:firstLine="480"/>
        <w:rPr>
          <w:rFonts w:hint="eastAsia" w:ascii="宋体" w:hAnsi="宋体" w:cs="宋体"/>
          <w:sz w:val="24"/>
        </w:rPr>
      </w:pPr>
      <w:r>
        <w:rPr>
          <w:rFonts w:hint="eastAsia" w:ascii="宋体" w:hAnsi="宋体" w:cs="宋体"/>
          <w:sz w:val="24"/>
        </w:rPr>
        <w:t>配置一台VOCs走航监测系统，在臭氧高值期间，利用高时空分辨率走航监测车开展VOCs走航监测，共计走航</w:t>
      </w:r>
      <w:r>
        <w:rPr>
          <w:rFonts w:hint="default" w:ascii="宋体" w:hAnsi="宋体" w:cs="宋体"/>
          <w:sz w:val="24"/>
        </w:rPr>
        <w:t>10</w:t>
      </w:r>
      <w:r>
        <w:rPr>
          <w:rFonts w:hint="eastAsia" w:ascii="宋体" w:hAnsi="宋体" w:cs="宋体"/>
          <w:sz w:val="24"/>
        </w:rPr>
        <w:t>天。服务期间，采取连续走航观测的方式，对站点及重点污染源周边开展摸底式走航监测工作，摸清区域VOCs整体污染状况、污染分布、浓度水平，了解区域特征污染因子及其变化规律，快速发现和标记问题区域、问题点位，锁定经开区VOCs重点排放区域，为下一步精准治污提供方向和科学依据。</w:t>
      </w:r>
    </w:p>
    <w:p w14:paraId="715937E1">
      <w:pPr>
        <w:spacing w:line="360" w:lineRule="auto"/>
        <w:ind w:firstLine="480"/>
        <w:rPr>
          <w:rFonts w:hint="eastAsia" w:ascii="宋体" w:hAnsi="宋体" w:cs="宋体"/>
          <w:b/>
          <w:sz w:val="24"/>
        </w:rPr>
      </w:pPr>
      <w:r>
        <w:rPr>
          <w:rFonts w:hint="default" w:ascii="宋体" w:hAnsi="宋体" w:cs="宋体"/>
          <w:b/>
          <w:sz w:val="24"/>
        </w:rPr>
        <w:t>（3）</w:t>
      </w:r>
      <w:r>
        <w:rPr>
          <w:rFonts w:hint="eastAsia" w:ascii="宋体" w:hAnsi="宋体" w:cs="宋体"/>
          <w:b/>
          <w:sz w:val="24"/>
        </w:rPr>
        <w:t>颗粒物组分分析服务</w:t>
      </w:r>
    </w:p>
    <w:p w14:paraId="0ACEE80D">
      <w:pPr>
        <w:spacing w:line="360" w:lineRule="auto"/>
        <w:ind w:firstLine="480"/>
        <w:rPr>
          <w:rFonts w:hint="eastAsia" w:ascii="宋体" w:hAnsi="宋体" w:cs="宋体"/>
          <w:sz w:val="24"/>
        </w:rPr>
      </w:pPr>
      <w:r>
        <w:rPr>
          <w:rFonts w:hint="eastAsia" w:ascii="宋体" w:hAnsi="宋体" w:cs="宋体"/>
          <w:sz w:val="24"/>
        </w:rPr>
        <w:t>为进一步揭示经开区区域颗粒物组分特征与成因，配置</w:t>
      </w:r>
      <w:r>
        <w:rPr>
          <w:rFonts w:hint="default" w:ascii="宋体" w:hAnsi="宋体" w:cs="宋体"/>
          <w:sz w:val="24"/>
        </w:rPr>
        <w:t>1</w:t>
      </w:r>
      <w:r>
        <w:rPr>
          <w:rFonts w:hint="eastAsia" w:ascii="宋体" w:hAnsi="宋体" w:cs="宋体"/>
          <w:sz w:val="24"/>
        </w:rPr>
        <w:t>台颗粒物组分在线监测系统，针对经开区重点区域开展颗粒物组分监测，并基于受体模型等开展来源解析；针对颗粒物组分进行特征和成因分析，开展经开区颗粒物污染排放特征、污染影响评估、污染特征分析以及污染来源分析，评估区域重点污染源特征，探寻当地不同污染源类贡献，指明污染管控方向，提供综合分析报告。在颗粒物污染严重或污染过程期间开展1次颗粒物组分在线监测，共计监测7天。监测结束后提供分析报告。</w:t>
      </w:r>
    </w:p>
    <w:p w14:paraId="4CE3615E">
      <w:pPr>
        <w:spacing w:line="360" w:lineRule="auto"/>
        <w:ind w:firstLine="480"/>
        <w:rPr>
          <w:rFonts w:hint="eastAsia" w:ascii="宋体" w:hAnsi="宋体" w:cs="宋体"/>
          <w:b/>
          <w:sz w:val="24"/>
        </w:rPr>
      </w:pPr>
      <w:r>
        <w:rPr>
          <w:rFonts w:hint="eastAsia" w:ascii="宋体" w:hAnsi="宋体" w:cs="宋体"/>
          <w:b/>
          <w:sz w:val="24"/>
        </w:rPr>
        <w:t>（4）便携设备监测服务</w:t>
      </w:r>
    </w:p>
    <w:p w14:paraId="0420DF43">
      <w:pPr>
        <w:spacing w:line="360" w:lineRule="auto"/>
        <w:ind w:firstLine="482"/>
        <w:rPr>
          <w:rFonts w:hint="eastAsia" w:ascii="宋体" w:hAnsi="宋体" w:cs="宋体"/>
          <w:sz w:val="24"/>
        </w:rPr>
      </w:pPr>
      <w:r>
        <w:rPr>
          <w:rFonts w:hint="eastAsia" w:ascii="宋体" w:hAnsi="宋体" w:cs="宋体"/>
          <w:sz w:val="24"/>
        </w:rPr>
        <w:t>1）便携式VOC监测仪</w:t>
      </w:r>
    </w:p>
    <w:p w14:paraId="27291775">
      <w:pPr>
        <w:spacing w:line="360" w:lineRule="auto"/>
        <w:ind w:firstLine="480"/>
        <w:rPr>
          <w:rFonts w:hint="eastAsia" w:ascii="宋体" w:hAnsi="宋体" w:cs="宋体"/>
          <w:sz w:val="24"/>
        </w:rPr>
      </w:pPr>
      <w:r>
        <w:rPr>
          <w:rFonts w:hint="eastAsia" w:ascii="宋体" w:hAnsi="宋体" w:cs="宋体"/>
          <w:sz w:val="24"/>
        </w:rPr>
        <w:t>配置1台便携式VOCs（PID），对重点区域的挥发性有机化合物进行定点监测。</w:t>
      </w:r>
    </w:p>
    <w:p w14:paraId="3DE65124">
      <w:pPr>
        <w:spacing w:line="360" w:lineRule="auto"/>
        <w:ind w:firstLine="482"/>
        <w:rPr>
          <w:rFonts w:hint="eastAsia" w:ascii="宋体" w:hAnsi="宋体" w:cs="宋体"/>
          <w:sz w:val="24"/>
        </w:rPr>
      </w:pPr>
      <w:r>
        <w:rPr>
          <w:rFonts w:hint="eastAsia" w:ascii="宋体" w:hAnsi="宋体" w:cs="宋体"/>
          <w:sz w:val="24"/>
        </w:rPr>
        <w:t>2）多参数监测无人机</w:t>
      </w:r>
    </w:p>
    <w:p w14:paraId="19B1926E">
      <w:pPr>
        <w:spacing w:line="360" w:lineRule="auto"/>
        <w:ind w:firstLine="480"/>
        <w:rPr>
          <w:rFonts w:hint="eastAsia" w:ascii="宋体" w:hAnsi="宋体" w:cs="宋体"/>
          <w:sz w:val="24"/>
        </w:rPr>
      </w:pPr>
      <w:r>
        <w:rPr>
          <w:rFonts w:hint="eastAsia" w:ascii="宋体" w:hAnsi="宋体" w:cs="宋体"/>
          <w:sz w:val="24"/>
        </w:rPr>
        <w:t>配置1台多参数监测无人机对高值区域进行巡查监测时开展高空取证。根据城市高值报警情况和污染区域，开展多参数无人机飞行与巡查，每次飞行走航结束，并入当期现场巡查结果。</w:t>
      </w:r>
    </w:p>
    <w:p w14:paraId="7BC5E49F">
      <w:pPr>
        <w:spacing w:line="360" w:lineRule="auto"/>
        <w:ind w:firstLine="480"/>
        <w:rPr>
          <w:rFonts w:hint="eastAsia" w:ascii="宋体" w:hAnsi="宋体" w:cs="宋体"/>
          <w:sz w:val="24"/>
        </w:rPr>
      </w:pPr>
      <w:r>
        <w:rPr>
          <w:rFonts w:hint="eastAsia" w:ascii="宋体" w:hAnsi="宋体" w:cs="宋体"/>
          <w:sz w:val="24"/>
        </w:rPr>
        <w:t>监测参数：PM2.5、PM10、CO、NO2、O3、VOCs。</w:t>
      </w:r>
    </w:p>
    <w:p w14:paraId="5BDCCFAB">
      <w:pPr>
        <w:spacing w:line="360" w:lineRule="auto"/>
        <w:ind w:firstLine="480"/>
        <w:rPr>
          <w:rFonts w:hint="eastAsia" w:ascii="宋体" w:hAnsi="宋体" w:cs="宋体"/>
          <w:sz w:val="24"/>
        </w:rPr>
      </w:pPr>
      <w:r>
        <w:rPr>
          <w:rFonts w:hint="eastAsia" w:ascii="宋体" w:hAnsi="宋体" w:cs="宋体"/>
          <w:sz w:val="24"/>
        </w:rPr>
        <w:t>测量范围：</w:t>
      </w:r>
    </w:p>
    <w:p w14:paraId="6CBE3364">
      <w:pPr>
        <w:spacing w:line="360" w:lineRule="auto"/>
        <w:ind w:firstLine="480"/>
        <w:rPr>
          <w:rFonts w:hint="eastAsia" w:ascii="宋体" w:hAnsi="宋体" w:cs="宋体"/>
          <w:sz w:val="24"/>
        </w:rPr>
      </w:pPr>
      <w:r>
        <w:rPr>
          <w:rFonts w:hint="eastAsia" w:ascii="宋体" w:hAnsi="宋体" w:cs="宋体"/>
          <w:sz w:val="24"/>
        </w:rPr>
        <w:t>PM2.5：0～1000μg/m3；</w:t>
      </w:r>
    </w:p>
    <w:p w14:paraId="509A69D3">
      <w:pPr>
        <w:spacing w:line="360" w:lineRule="auto"/>
        <w:ind w:firstLine="480"/>
        <w:rPr>
          <w:rFonts w:hint="eastAsia" w:ascii="宋体" w:hAnsi="宋体" w:cs="宋体"/>
          <w:sz w:val="24"/>
        </w:rPr>
      </w:pPr>
      <w:r>
        <w:rPr>
          <w:rFonts w:hint="eastAsia" w:ascii="宋体" w:hAnsi="宋体" w:cs="宋体"/>
          <w:sz w:val="24"/>
        </w:rPr>
        <w:t>PM10：0～1000μg/m3；</w:t>
      </w:r>
    </w:p>
    <w:p w14:paraId="7D174709">
      <w:pPr>
        <w:spacing w:line="360" w:lineRule="auto"/>
        <w:ind w:firstLine="480"/>
        <w:rPr>
          <w:rFonts w:hint="eastAsia" w:ascii="宋体" w:hAnsi="宋体" w:cs="宋体"/>
          <w:sz w:val="24"/>
        </w:rPr>
      </w:pPr>
      <w:r>
        <w:rPr>
          <w:rFonts w:hint="eastAsia" w:ascii="宋体" w:hAnsi="宋体" w:cs="宋体"/>
          <w:sz w:val="24"/>
        </w:rPr>
        <w:t>NO2：0～10ppm；</w:t>
      </w:r>
    </w:p>
    <w:p w14:paraId="1687C212">
      <w:pPr>
        <w:spacing w:line="360" w:lineRule="auto"/>
        <w:ind w:firstLine="480"/>
        <w:rPr>
          <w:rFonts w:hint="eastAsia" w:ascii="宋体" w:hAnsi="宋体" w:cs="宋体"/>
          <w:sz w:val="24"/>
        </w:rPr>
      </w:pPr>
      <w:r>
        <w:rPr>
          <w:rFonts w:hint="eastAsia" w:ascii="宋体" w:hAnsi="宋体" w:cs="宋体"/>
          <w:sz w:val="24"/>
        </w:rPr>
        <w:t>CO：0～10ppm；</w:t>
      </w:r>
    </w:p>
    <w:p w14:paraId="681B05A2">
      <w:pPr>
        <w:spacing w:line="360" w:lineRule="auto"/>
        <w:ind w:firstLine="480"/>
        <w:rPr>
          <w:rFonts w:hint="eastAsia" w:ascii="宋体" w:hAnsi="宋体" w:cs="宋体"/>
          <w:sz w:val="24"/>
        </w:rPr>
      </w:pPr>
      <w:r>
        <w:rPr>
          <w:rFonts w:hint="eastAsia" w:ascii="宋体" w:hAnsi="宋体" w:cs="宋体"/>
          <w:sz w:val="24"/>
        </w:rPr>
        <w:t>O3：0～10ppm</w:t>
      </w:r>
    </w:p>
    <w:p w14:paraId="4A32B292">
      <w:pPr>
        <w:spacing w:line="360" w:lineRule="auto"/>
        <w:ind w:firstLine="480"/>
        <w:rPr>
          <w:rFonts w:hint="eastAsia" w:ascii="宋体" w:hAnsi="宋体" w:cs="宋体"/>
          <w:sz w:val="24"/>
        </w:rPr>
      </w:pPr>
      <w:r>
        <w:rPr>
          <w:rFonts w:hint="eastAsia" w:ascii="宋体" w:hAnsi="宋体" w:cs="宋体"/>
          <w:sz w:val="24"/>
        </w:rPr>
        <w:t>VOCs模块：0～50ppm。</w:t>
      </w:r>
    </w:p>
    <w:p w14:paraId="3ADA1C30">
      <w:pPr>
        <w:spacing w:line="360" w:lineRule="auto"/>
        <w:ind w:firstLine="480"/>
        <w:rPr>
          <w:rFonts w:hint="eastAsia" w:ascii="宋体" w:hAnsi="宋体" w:cs="宋体"/>
          <w:sz w:val="24"/>
        </w:rPr>
      </w:pPr>
      <w:r>
        <w:rPr>
          <w:rFonts w:hint="eastAsia" w:ascii="宋体" w:hAnsi="宋体" w:cs="宋体"/>
          <w:sz w:val="24"/>
        </w:rPr>
        <w:t>实时生成三维点云污染物浓度分布热力图，且视角可调，可点击精确显示采样点的经纬度与相对高度。</w:t>
      </w:r>
    </w:p>
    <w:p w14:paraId="4447F1B6">
      <w:pPr>
        <w:spacing w:line="360" w:lineRule="auto"/>
        <w:ind w:firstLine="482"/>
        <w:rPr>
          <w:rFonts w:hint="eastAsia" w:ascii="宋体" w:hAnsi="宋体" w:cs="宋体"/>
          <w:sz w:val="24"/>
        </w:rPr>
      </w:pPr>
      <w:r>
        <w:rPr>
          <w:rFonts w:hint="eastAsia" w:ascii="宋体" w:hAnsi="宋体" w:cs="宋体"/>
          <w:sz w:val="24"/>
        </w:rPr>
        <w:t>3）巡查无人机</w:t>
      </w:r>
    </w:p>
    <w:p w14:paraId="612CC3DB">
      <w:pPr>
        <w:spacing w:line="360" w:lineRule="auto"/>
        <w:ind w:firstLine="480"/>
        <w:rPr>
          <w:rFonts w:hint="eastAsia" w:ascii="宋体" w:hAnsi="宋体" w:cs="宋体"/>
          <w:sz w:val="24"/>
        </w:rPr>
      </w:pPr>
      <w:r>
        <w:rPr>
          <w:rFonts w:hint="eastAsia" w:ascii="宋体" w:hAnsi="宋体" w:cs="宋体"/>
          <w:sz w:val="24"/>
        </w:rPr>
        <w:t>配置</w:t>
      </w:r>
      <w:r>
        <w:rPr>
          <w:rFonts w:hint="default" w:ascii="宋体" w:hAnsi="宋体" w:cs="宋体"/>
          <w:sz w:val="24"/>
        </w:rPr>
        <w:t>1</w:t>
      </w:r>
      <w:r>
        <w:rPr>
          <w:rFonts w:hint="eastAsia" w:ascii="宋体" w:hAnsi="宋体" w:cs="宋体"/>
          <w:sz w:val="24"/>
        </w:rPr>
        <w:t>台小无人机针对城市污染区域开展无人机飞行与巡查，通过使用无人机，快速、精确地对辖区黄土裸露区域广、建筑垃圾存量大的重点区域进行空中巡查，并进行巡查拍照取证。</w:t>
      </w:r>
    </w:p>
    <w:p w14:paraId="419AA7DF">
      <w:pPr>
        <w:spacing w:line="360" w:lineRule="auto"/>
        <w:ind w:firstLine="482"/>
        <w:rPr>
          <w:rFonts w:hint="eastAsia" w:ascii="宋体" w:hAnsi="宋体" w:cs="宋体"/>
          <w:b/>
          <w:sz w:val="24"/>
        </w:rPr>
      </w:pPr>
      <w:r>
        <w:rPr>
          <w:rFonts w:hint="eastAsia" w:ascii="宋体" w:hAnsi="宋体" w:cs="宋体"/>
          <w:b/>
          <w:sz w:val="24"/>
        </w:rPr>
        <w:t>2、监测系统运行维护服务</w:t>
      </w:r>
    </w:p>
    <w:p w14:paraId="63B7DE4D">
      <w:pPr>
        <w:spacing w:line="360" w:lineRule="auto"/>
        <w:ind w:firstLine="480"/>
        <w:rPr>
          <w:rFonts w:hint="eastAsia" w:ascii="宋体" w:hAnsi="宋体" w:cs="宋体"/>
          <w:sz w:val="24"/>
        </w:rPr>
      </w:pPr>
      <w:r>
        <w:rPr>
          <w:rFonts w:hint="eastAsia" w:ascii="宋体" w:hAnsi="宋体" w:cs="宋体"/>
          <w:sz w:val="24"/>
        </w:rPr>
        <w:t>当前我区现有的1套环境信息综合监测管理平台、3套国标站、1辆大气环境走航车、2台气溶胶激光雷达以及1套无人化智能飞行走航车，为保障设备与系统稳定有效运转，开展仪器设备与平台系统的运行维护工作，需组织人员、建立技术支撑制度保障各设备系统的稳定可靠运行，通过运行维护确保各仪器检测的数据完整，为测量数据的获取做好技术保障工作。</w:t>
      </w:r>
    </w:p>
    <w:p w14:paraId="6A08CEDE">
      <w:pPr>
        <w:widowControl w:val="0"/>
        <w:spacing w:after="120" w:line="360" w:lineRule="auto"/>
        <w:ind w:left="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表 运维系统清单</w:t>
      </w:r>
    </w:p>
    <w:tbl>
      <w:tblPr>
        <w:tblStyle w:val="15"/>
        <w:tblW w:w="8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5604"/>
        <w:gridCol w:w="813"/>
        <w:gridCol w:w="1069"/>
      </w:tblGrid>
      <w:tr w14:paraId="2F63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7D77F0B1">
            <w:pPr>
              <w:keepNext w:val="0"/>
              <w:keepLines w:val="0"/>
              <w:suppressLineNumbers w:val="0"/>
              <w:spacing w:before="0" w:beforeAutospacing="0" w:after="0" w:afterAutospacing="0" w:line="360" w:lineRule="auto"/>
              <w:ind w:left="0" w:right="0"/>
              <w:rPr>
                <w:rFonts w:hint="eastAsia" w:ascii="宋体" w:hAnsi="宋体" w:cs="宋体"/>
                <w:b/>
                <w:sz w:val="24"/>
              </w:rPr>
            </w:pPr>
            <w:r>
              <w:rPr>
                <w:rFonts w:hint="eastAsia" w:ascii="宋体" w:hAnsi="宋体" w:cs="宋体"/>
                <w:b/>
                <w:sz w:val="24"/>
              </w:rPr>
              <w:t>序号</w:t>
            </w:r>
          </w:p>
        </w:tc>
        <w:tc>
          <w:tcPr>
            <w:tcW w:w="5604" w:type="dxa"/>
            <w:vAlign w:val="center"/>
          </w:tcPr>
          <w:p w14:paraId="536D2563">
            <w:pPr>
              <w:keepNext w:val="0"/>
              <w:keepLines w:val="0"/>
              <w:suppressLineNumbers w:val="0"/>
              <w:spacing w:before="0" w:beforeAutospacing="0" w:after="0" w:afterAutospacing="0" w:line="360" w:lineRule="auto"/>
              <w:ind w:left="0" w:right="0"/>
              <w:rPr>
                <w:rFonts w:hint="eastAsia" w:ascii="宋体" w:hAnsi="宋体" w:cs="宋体"/>
                <w:b/>
                <w:sz w:val="24"/>
              </w:rPr>
            </w:pPr>
            <w:r>
              <w:rPr>
                <w:rFonts w:hint="eastAsia" w:ascii="宋体" w:hAnsi="宋体" w:cs="宋体"/>
                <w:b/>
                <w:sz w:val="24"/>
              </w:rPr>
              <w:t>运维系统</w:t>
            </w:r>
          </w:p>
        </w:tc>
        <w:tc>
          <w:tcPr>
            <w:tcW w:w="813" w:type="dxa"/>
            <w:vAlign w:val="center"/>
          </w:tcPr>
          <w:p w14:paraId="5F6EEA3C">
            <w:pPr>
              <w:keepNext w:val="0"/>
              <w:keepLines w:val="0"/>
              <w:suppressLineNumbers w:val="0"/>
              <w:spacing w:before="0" w:beforeAutospacing="0" w:after="0" w:afterAutospacing="0" w:line="360" w:lineRule="auto"/>
              <w:ind w:left="0" w:right="0"/>
              <w:rPr>
                <w:rFonts w:hint="eastAsia" w:ascii="宋体" w:hAnsi="宋体" w:cs="宋体"/>
                <w:b/>
                <w:sz w:val="24"/>
              </w:rPr>
            </w:pPr>
            <w:r>
              <w:rPr>
                <w:rFonts w:hint="eastAsia" w:ascii="宋体" w:hAnsi="宋体" w:cs="宋体"/>
                <w:b/>
                <w:sz w:val="24"/>
              </w:rPr>
              <w:t>数量</w:t>
            </w:r>
          </w:p>
        </w:tc>
        <w:tc>
          <w:tcPr>
            <w:tcW w:w="1069" w:type="dxa"/>
            <w:vAlign w:val="center"/>
          </w:tcPr>
          <w:p w14:paraId="0887B831">
            <w:pPr>
              <w:keepNext w:val="0"/>
              <w:keepLines w:val="0"/>
              <w:suppressLineNumbers w:val="0"/>
              <w:spacing w:before="0" w:beforeAutospacing="0" w:after="0" w:afterAutospacing="0" w:line="360" w:lineRule="auto"/>
              <w:ind w:left="0" w:right="0"/>
              <w:rPr>
                <w:rFonts w:hint="eastAsia" w:ascii="宋体" w:hAnsi="宋体" w:cs="宋体"/>
                <w:b/>
                <w:sz w:val="24"/>
              </w:rPr>
            </w:pPr>
            <w:r>
              <w:rPr>
                <w:rFonts w:hint="eastAsia" w:ascii="宋体" w:hAnsi="宋体" w:cs="宋体"/>
                <w:b/>
                <w:sz w:val="24"/>
              </w:rPr>
              <w:t>单位</w:t>
            </w:r>
          </w:p>
        </w:tc>
      </w:tr>
      <w:tr w14:paraId="19B2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160AA45E">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1</w:t>
            </w:r>
          </w:p>
        </w:tc>
        <w:tc>
          <w:tcPr>
            <w:tcW w:w="5604" w:type="dxa"/>
            <w:vAlign w:val="center"/>
          </w:tcPr>
          <w:p w14:paraId="521D25F6">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信息化平台</w:t>
            </w:r>
          </w:p>
        </w:tc>
        <w:tc>
          <w:tcPr>
            <w:tcW w:w="813" w:type="dxa"/>
            <w:vAlign w:val="center"/>
          </w:tcPr>
          <w:p w14:paraId="0E444540">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1</w:t>
            </w:r>
          </w:p>
        </w:tc>
        <w:tc>
          <w:tcPr>
            <w:tcW w:w="1069" w:type="dxa"/>
            <w:vAlign w:val="center"/>
          </w:tcPr>
          <w:p w14:paraId="31C33DFD">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项</w:t>
            </w:r>
          </w:p>
        </w:tc>
      </w:tr>
      <w:tr w14:paraId="4AA5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44A1461A">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2</w:t>
            </w:r>
          </w:p>
        </w:tc>
        <w:tc>
          <w:tcPr>
            <w:tcW w:w="5604" w:type="dxa"/>
            <w:vAlign w:val="center"/>
          </w:tcPr>
          <w:p w14:paraId="1231BB13">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六参数国标站</w:t>
            </w:r>
          </w:p>
        </w:tc>
        <w:tc>
          <w:tcPr>
            <w:tcW w:w="813" w:type="dxa"/>
            <w:vAlign w:val="center"/>
          </w:tcPr>
          <w:p w14:paraId="688E6CB7">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3</w:t>
            </w:r>
          </w:p>
        </w:tc>
        <w:tc>
          <w:tcPr>
            <w:tcW w:w="1069" w:type="dxa"/>
            <w:vAlign w:val="center"/>
          </w:tcPr>
          <w:p w14:paraId="29998376">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套</w:t>
            </w:r>
          </w:p>
        </w:tc>
      </w:tr>
      <w:tr w14:paraId="0B5F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1448828F">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3</w:t>
            </w:r>
          </w:p>
        </w:tc>
        <w:tc>
          <w:tcPr>
            <w:tcW w:w="5604" w:type="dxa"/>
            <w:vAlign w:val="center"/>
          </w:tcPr>
          <w:p w14:paraId="065FF14D">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大气环境质量保障走航车</w:t>
            </w:r>
            <w:r>
              <w:rPr>
                <w:rFonts w:hint="eastAsia" w:ascii="宋体" w:hAnsi="宋体" w:cs="宋体"/>
                <w:color w:val="000000"/>
                <w:sz w:val="24"/>
              </w:rPr>
              <w:t>（颗粒物激光雷达+国标六参）</w:t>
            </w:r>
          </w:p>
        </w:tc>
        <w:tc>
          <w:tcPr>
            <w:tcW w:w="813" w:type="dxa"/>
            <w:vAlign w:val="center"/>
          </w:tcPr>
          <w:p w14:paraId="186CFA42">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1</w:t>
            </w:r>
          </w:p>
        </w:tc>
        <w:tc>
          <w:tcPr>
            <w:tcW w:w="1069" w:type="dxa"/>
            <w:vAlign w:val="center"/>
          </w:tcPr>
          <w:p w14:paraId="384BFC6B">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套</w:t>
            </w:r>
          </w:p>
        </w:tc>
      </w:tr>
      <w:tr w14:paraId="4507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6072FDB7">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4</w:t>
            </w:r>
          </w:p>
        </w:tc>
        <w:tc>
          <w:tcPr>
            <w:tcW w:w="5604" w:type="dxa"/>
            <w:vAlign w:val="center"/>
          </w:tcPr>
          <w:p w14:paraId="54A0A634">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color w:val="000000"/>
                <w:sz w:val="24"/>
              </w:rPr>
              <w:t>颗粒物激光雷达</w:t>
            </w:r>
          </w:p>
        </w:tc>
        <w:tc>
          <w:tcPr>
            <w:tcW w:w="813" w:type="dxa"/>
            <w:vAlign w:val="center"/>
          </w:tcPr>
          <w:p w14:paraId="2A7B218D">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2</w:t>
            </w:r>
          </w:p>
        </w:tc>
        <w:tc>
          <w:tcPr>
            <w:tcW w:w="1069" w:type="dxa"/>
            <w:vAlign w:val="center"/>
          </w:tcPr>
          <w:p w14:paraId="732DC345">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套</w:t>
            </w:r>
          </w:p>
        </w:tc>
      </w:tr>
      <w:tr w14:paraId="4E0F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dxa"/>
            <w:vAlign w:val="center"/>
          </w:tcPr>
          <w:p w14:paraId="778860F0">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5</w:t>
            </w:r>
          </w:p>
        </w:tc>
        <w:tc>
          <w:tcPr>
            <w:tcW w:w="5604" w:type="dxa"/>
            <w:vAlign w:val="center"/>
          </w:tcPr>
          <w:p w14:paraId="06658508">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无人化智能飞行走航车</w:t>
            </w:r>
          </w:p>
        </w:tc>
        <w:tc>
          <w:tcPr>
            <w:tcW w:w="813" w:type="dxa"/>
            <w:vAlign w:val="center"/>
          </w:tcPr>
          <w:p w14:paraId="2B7775AB">
            <w:pPr>
              <w:keepNext w:val="0"/>
              <w:keepLines w:val="0"/>
              <w:suppressLineNumbers w:val="0"/>
              <w:spacing w:before="0" w:beforeAutospacing="0" w:after="0" w:afterAutospacing="0" w:line="360" w:lineRule="auto"/>
              <w:ind w:left="0" w:right="0"/>
              <w:rPr>
                <w:rFonts w:hint="eastAsia" w:ascii="宋体" w:hAnsi="宋体" w:cs="宋体"/>
                <w:sz w:val="24"/>
              </w:rPr>
            </w:pPr>
            <w:r>
              <w:rPr>
                <w:rFonts w:hint="eastAsia" w:ascii="宋体" w:hAnsi="宋体" w:cs="宋体"/>
                <w:sz w:val="24"/>
              </w:rPr>
              <w:t>1</w:t>
            </w:r>
          </w:p>
        </w:tc>
        <w:tc>
          <w:tcPr>
            <w:tcW w:w="1069" w:type="dxa"/>
            <w:vAlign w:val="center"/>
          </w:tcPr>
          <w:p w14:paraId="07B0EDD5">
            <w:pPr>
              <w:keepNext w:val="0"/>
              <w:keepLines w:val="0"/>
              <w:suppressLineNumbers w:val="0"/>
              <w:spacing w:before="0" w:beforeAutospacing="0" w:after="0" w:afterAutospacing="0" w:line="360" w:lineRule="auto"/>
              <w:ind w:left="0" w:right="0"/>
              <w:rPr>
                <w:rFonts w:hint="eastAsia" w:ascii="宋体" w:hAnsi="宋体" w:cs="宋体"/>
                <w:sz w:val="24"/>
              </w:rPr>
            </w:pPr>
            <w:r>
              <w:rPr>
                <w:rFonts w:hint="default" w:ascii="宋体" w:hAnsi="宋体" w:cs="宋体"/>
                <w:sz w:val="24"/>
              </w:rPr>
              <w:t>套</w:t>
            </w:r>
          </w:p>
        </w:tc>
      </w:tr>
    </w:tbl>
    <w:p w14:paraId="6E11BBBB">
      <w:pPr>
        <w:spacing w:line="360" w:lineRule="auto"/>
        <w:ind w:firstLine="420"/>
        <w:rPr>
          <w:rFonts w:hint="eastAsia" w:ascii="宋体" w:hAnsi="宋体" w:cs="宋体"/>
          <w:b/>
          <w:sz w:val="24"/>
        </w:rPr>
      </w:pPr>
      <w:r>
        <w:rPr>
          <w:rFonts w:hint="eastAsia" w:ascii="宋体" w:hAnsi="宋体" w:cs="宋体"/>
          <w:b/>
          <w:sz w:val="24"/>
        </w:rPr>
        <w:t>（1）信息化平台运维</w:t>
      </w:r>
    </w:p>
    <w:p w14:paraId="0487B9D3">
      <w:pPr>
        <w:spacing w:line="360" w:lineRule="auto"/>
        <w:ind w:firstLine="480"/>
        <w:rPr>
          <w:rFonts w:hint="eastAsia" w:ascii="宋体" w:hAnsi="宋体" w:cs="宋体"/>
          <w:sz w:val="24"/>
        </w:rPr>
      </w:pPr>
      <w:r>
        <w:rPr>
          <w:rFonts w:hint="eastAsia" w:ascii="宋体" w:hAnsi="宋体" w:cs="宋体"/>
          <w:sz w:val="24"/>
        </w:rPr>
        <w:t>对信息化平台运行情况进行维护，及时对故障问题进行检查、调试。主要包含平台服务期租赁与日常平台运行维护，包括定期查看操作系统运行状态、检查磁盘空间、检查数据备份工作、查看平台系统是否可以正常访问、各个功能模块是否正常展示、维护公共数据传输情况以及相关问题及时修复解决。</w:t>
      </w:r>
    </w:p>
    <w:p w14:paraId="4525C120">
      <w:pPr>
        <w:spacing w:line="360" w:lineRule="auto"/>
        <w:ind w:firstLine="480"/>
        <w:rPr>
          <w:rFonts w:hint="eastAsia" w:ascii="宋体" w:hAnsi="宋体" w:cs="宋体"/>
          <w:b/>
          <w:sz w:val="24"/>
        </w:rPr>
      </w:pPr>
      <w:r>
        <w:rPr>
          <w:rFonts w:hint="eastAsia" w:ascii="宋体" w:hAnsi="宋体" w:cs="宋体"/>
          <w:b/>
          <w:sz w:val="24"/>
        </w:rPr>
        <w:t>（2）六参数国标站运维</w:t>
      </w:r>
    </w:p>
    <w:p w14:paraId="3B9C7E4C">
      <w:pPr>
        <w:spacing w:line="360" w:lineRule="auto"/>
        <w:ind w:firstLine="480"/>
        <w:rPr>
          <w:rFonts w:hint="eastAsia" w:ascii="宋体" w:hAnsi="宋体" w:cs="宋体"/>
          <w:sz w:val="24"/>
        </w:rPr>
      </w:pPr>
      <w:r>
        <w:rPr>
          <w:rFonts w:hint="eastAsia" w:ascii="宋体" w:hAnsi="宋体" w:cs="宋体"/>
          <w:sz w:val="24"/>
        </w:rPr>
        <w:t>1）常规气体分析仪（CO、SO2、NOX、03分析仪）运维</w:t>
      </w:r>
    </w:p>
    <w:p w14:paraId="2A873CBA">
      <w:pPr>
        <w:spacing w:line="360" w:lineRule="auto"/>
        <w:ind w:firstLine="480"/>
        <w:rPr>
          <w:rFonts w:hint="eastAsia" w:ascii="宋体" w:hAnsi="宋体" w:cs="宋体"/>
          <w:sz w:val="24"/>
        </w:rPr>
      </w:pPr>
      <w:r>
        <w:rPr>
          <w:rFonts w:hint="eastAsia" w:ascii="宋体" w:hAnsi="宋体" w:cs="宋体"/>
          <w:sz w:val="24"/>
        </w:rPr>
        <w:t>每日检查监测仪器的运行状况和工作状态参数是否正常。</w:t>
      </w:r>
    </w:p>
    <w:p w14:paraId="782F3B4C">
      <w:pPr>
        <w:spacing w:line="360" w:lineRule="auto"/>
        <w:ind w:firstLine="480"/>
        <w:rPr>
          <w:rFonts w:hint="eastAsia" w:ascii="宋体" w:hAnsi="宋体" w:cs="宋体"/>
          <w:sz w:val="24"/>
        </w:rPr>
      </w:pPr>
      <w:r>
        <w:rPr>
          <w:rFonts w:hint="eastAsia" w:ascii="宋体" w:hAnsi="宋体" w:cs="宋体"/>
          <w:sz w:val="24"/>
        </w:rPr>
        <w:t>每日检查仪器数采集及平台数据是否一致。</w:t>
      </w:r>
    </w:p>
    <w:p w14:paraId="786542FD">
      <w:pPr>
        <w:spacing w:line="360" w:lineRule="auto"/>
        <w:ind w:firstLine="480"/>
        <w:rPr>
          <w:rFonts w:hint="eastAsia" w:ascii="宋体" w:hAnsi="宋体" w:cs="宋体"/>
          <w:sz w:val="24"/>
        </w:rPr>
      </w:pPr>
      <w:r>
        <w:rPr>
          <w:rFonts w:hint="eastAsia" w:ascii="宋体" w:hAnsi="宋体" w:cs="宋体"/>
          <w:sz w:val="24"/>
        </w:rPr>
        <w:t>每周1次检查外部环境是否正常，有没有对测定结果或运行环境存在明显影响的污染源。</w:t>
      </w:r>
    </w:p>
    <w:p w14:paraId="1AA0A0AE">
      <w:pPr>
        <w:spacing w:line="360" w:lineRule="auto"/>
        <w:ind w:firstLine="480"/>
        <w:rPr>
          <w:rFonts w:hint="eastAsia" w:ascii="宋体" w:hAnsi="宋体" w:cs="宋体"/>
          <w:sz w:val="24"/>
        </w:rPr>
      </w:pPr>
      <w:r>
        <w:rPr>
          <w:rFonts w:hint="eastAsia" w:ascii="宋体" w:hAnsi="宋体" w:cs="宋体"/>
          <w:sz w:val="24"/>
        </w:rPr>
        <w:t>每周1次更换监测仪器的采样气态物过滤膜。</w:t>
      </w:r>
    </w:p>
    <w:p w14:paraId="4A20700F">
      <w:pPr>
        <w:spacing w:line="360" w:lineRule="auto"/>
        <w:ind w:firstLine="480"/>
        <w:rPr>
          <w:rFonts w:hint="eastAsia" w:ascii="宋体" w:hAnsi="宋体" w:cs="宋体"/>
          <w:sz w:val="24"/>
        </w:rPr>
      </w:pPr>
      <w:r>
        <w:rPr>
          <w:rFonts w:hint="eastAsia" w:ascii="宋体" w:hAnsi="宋体" w:cs="宋体"/>
          <w:sz w:val="24"/>
        </w:rPr>
        <w:t>每周1次对进行零点及标点检查，根据情况进行校准，并对仪器的状态进行记录。</w:t>
      </w:r>
    </w:p>
    <w:p w14:paraId="005EE56F">
      <w:pPr>
        <w:spacing w:line="360" w:lineRule="auto"/>
        <w:ind w:firstLine="480"/>
        <w:rPr>
          <w:rFonts w:hint="eastAsia" w:ascii="宋体" w:hAnsi="宋体" w:cs="宋体"/>
          <w:sz w:val="24"/>
        </w:rPr>
      </w:pPr>
      <w:r>
        <w:rPr>
          <w:rFonts w:hint="eastAsia" w:ascii="宋体" w:hAnsi="宋体" w:cs="宋体"/>
          <w:sz w:val="24"/>
        </w:rPr>
        <w:t>每月1次对仪器显示数据和数据采集仪之间的一致性进行检查，并对数据进行备份。</w:t>
      </w:r>
    </w:p>
    <w:p w14:paraId="1E2E4099">
      <w:pPr>
        <w:spacing w:line="360" w:lineRule="auto"/>
        <w:ind w:firstLine="480"/>
        <w:rPr>
          <w:rFonts w:hint="eastAsia" w:ascii="宋体" w:hAnsi="宋体" w:cs="宋体"/>
          <w:sz w:val="24"/>
        </w:rPr>
      </w:pPr>
      <w:r>
        <w:rPr>
          <w:rFonts w:hint="eastAsia" w:ascii="宋体" w:hAnsi="宋体" w:cs="宋体"/>
          <w:sz w:val="24"/>
        </w:rPr>
        <w:t>每季度1次采样管路进行清洗。</w:t>
      </w:r>
    </w:p>
    <w:p w14:paraId="5BF66FB3">
      <w:pPr>
        <w:spacing w:line="360" w:lineRule="auto"/>
        <w:ind w:firstLine="480"/>
        <w:rPr>
          <w:rFonts w:hint="eastAsia" w:ascii="宋体" w:hAnsi="宋体" w:cs="宋体"/>
          <w:sz w:val="24"/>
        </w:rPr>
      </w:pPr>
      <w:r>
        <w:rPr>
          <w:rFonts w:hint="eastAsia" w:ascii="宋体" w:hAnsi="宋体" w:cs="宋体"/>
          <w:sz w:val="24"/>
        </w:rPr>
        <w:t>每季度1次流量及精密度。</w:t>
      </w:r>
    </w:p>
    <w:p w14:paraId="0125D195">
      <w:pPr>
        <w:spacing w:line="360" w:lineRule="auto"/>
        <w:ind w:firstLine="480"/>
        <w:rPr>
          <w:rFonts w:hint="eastAsia" w:ascii="宋体" w:hAnsi="宋体" w:cs="宋体"/>
          <w:sz w:val="24"/>
        </w:rPr>
      </w:pPr>
      <w:r>
        <w:rPr>
          <w:rFonts w:hint="eastAsia" w:ascii="宋体" w:hAnsi="宋体" w:cs="宋体"/>
          <w:sz w:val="24"/>
        </w:rPr>
        <w:t>每季度1次多点线性检查。</w:t>
      </w:r>
    </w:p>
    <w:p w14:paraId="2B6FF73E">
      <w:pPr>
        <w:spacing w:line="360" w:lineRule="auto"/>
        <w:ind w:firstLine="480"/>
        <w:rPr>
          <w:rFonts w:hint="eastAsia" w:ascii="宋体" w:hAnsi="宋体" w:cs="宋体"/>
          <w:sz w:val="24"/>
        </w:rPr>
      </w:pPr>
      <w:r>
        <w:rPr>
          <w:rFonts w:hint="eastAsia" w:ascii="宋体" w:hAnsi="宋体" w:cs="宋体"/>
          <w:sz w:val="24"/>
        </w:rPr>
        <w:t>半年1次对分析仪钼炉转化率（NOX)进行检查。</w:t>
      </w:r>
    </w:p>
    <w:p w14:paraId="69300FC5">
      <w:pPr>
        <w:spacing w:line="360" w:lineRule="auto"/>
        <w:ind w:firstLine="480"/>
        <w:rPr>
          <w:rFonts w:hint="eastAsia" w:ascii="宋体" w:hAnsi="宋体" w:cs="宋体"/>
          <w:sz w:val="24"/>
        </w:rPr>
      </w:pPr>
      <w:r>
        <w:rPr>
          <w:rFonts w:hint="eastAsia" w:ascii="宋体" w:hAnsi="宋体" w:cs="宋体"/>
          <w:sz w:val="24"/>
        </w:rPr>
        <w:t>每年1次更换标气，进行准确度检查。</w:t>
      </w:r>
    </w:p>
    <w:p w14:paraId="360754D7">
      <w:pPr>
        <w:spacing w:line="360" w:lineRule="auto"/>
        <w:ind w:firstLine="480"/>
        <w:rPr>
          <w:rFonts w:hint="eastAsia" w:ascii="宋体" w:hAnsi="宋体" w:cs="宋体"/>
          <w:sz w:val="24"/>
        </w:rPr>
      </w:pPr>
      <w:r>
        <w:rPr>
          <w:rFonts w:hint="eastAsia" w:ascii="宋体" w:hAnsi="宋体" w:cs="宋体"/>
          <w:sz w:val="24"/>
        </w:rPr>
        <w:t>每年1次对所有的仪器进行预防性维护包括线性、零点漂移、量程漂移、精密度、准确度检查，按说明书的要求更换备件。</w:t>
      </w:r>
    </w:p>
    <w:p w14:paraId="24C9ADFB">
      <w:pPr>
        <w:spacing w:line="360" w:lineRule="auto"/>
        <w:ind w:firstLine="480"/>
        <w:rPr>
          <w:rFonts w:hint="eastAsia" w:ascii="宋体" w:hAnsi="宋体" w:cs="宋体"/>
          <w:sz w:val="24"/>
        </w:rPr>
      </w:pPr>
      <w:r>
        <w:rPr>
          <w:rFonts w:hint="eastAsia" w:ascii="宋体" w:hAnsi="宋体" w:cs="宋体"/>
          <w:sz w:val="24"/>
        </w:rPr>
        <w:t>2）颗粒物监测仪（PM2.5、PM10）运维</w:t>
      </w:r>
    </w:p>
    <w:p w14:paraId="08362CAD">
      <w:pPr>
        <w:spacing w:line="360" w:lineRule="auto"/>
        <w:ind w:firstLine="480"/>
        <w:rPr>
          <w:rFonts w:hint="eastAsia" w:ascii="宋体" w:hAnsi="宋体" w:cs="宋体"/>
          <w:sz w:val="24"/>
        </w:rPr>
      </w:pPr>
      <w:r>
        <w:rPr>
          <w:rFonts w:hint="eastAsia" w:ascii="宋体" w:hAnsi="宋体" w:cs="宋体"/>
          <w:sz w:val="24"/>
        </w:rPr>
        <w:t>每日检查监测仪器的运行状况和工作状态参数是否正常。</w:t>
      </w:r>
    </w:p>
    <w:p w14:paraId="40D96704">
      <w:pPr>
        <w:spacing w:line="360" w:lineRule="auto"/>
        <w:ind w:firstLine="480"/>
        <w:rPr>
          <w:rFonts w:hint="eastAsia" w:ascii="宋体" w:hAnsi="宋体" w:cs="宋体"/>
          <w:sz w:val="24"/>
        </w:rPr>
      </w:pPr>
      <w:r>
        <w:rPr>
          <w:rFonts w:hint="eastAsia" w:ascii="宋体" w:hAnsi="宋体" w:cs="宋体"/>
          <w:sz w:val="24"/>
        </w:rPr>
        <w:t>每日检查仪器数采集及平台数据是否一致。</w:t>
      </w:r>
    </w:p>
    <w:p w14:paraId="69A0C154">
      <w:pPr>
        <w:spacing w:line="360" w:lineRule="auto"/>
        <w:ind w:firstLine="480"/>
        <w:rPr>
          <w:rFonts w:hint="eastAsia" w:ascii="宋体" w:hAnsi="宋体" w:cs="宋体"/>
          <w:sz w:val="24"/>
        </w:rPr>
      </w:pPr>
      <w:r>
        <w:rPr>
          <w:rFonts w:hint="eastAsia" w:ascii="宋体" w:hAnsi="宋体" w:cs="宋体"/>
          <w:sz w:val="24"/>
        </w:rPr>
        <w:t>每周1次详细检查仪器各项参数包括温湿度、流量以及报警状态，纸带剩余情况。</w:t>
      </w:r>
    </w:p>
    <w:p w14:paraId="3DD8511C">
      <w:pPr>
        <w:spacing w:line="360" w:lineRule="auto"/>
        <w:ind w:firstLine="480"/>
        <w:rPr>
          <w:rFonts w:hint="eastAsia" w:ascii="宋体" w:hAnsi="宋体" w:cs="宋体"/>
          <w:sz w:val="24"/>
        </w:rPr>
      </w:pPr>
      <w:r>
        <w:rPr>
          <w:rFonts w:hint="eastAsia" w:ascii="宋体" w:hAnsi="宋体" w:cs="宋体"/>
          <w:sz w:val="24"/>
        </w:rPr>
        <w:t>每月1次对采样切割头进行清洗。</w:t>
      </w:r>
    </w:p>
    <w:p w14:paraId="7837D7D4">
      <w:pPr>
        <w:spacing w:line="360" w:lineRule="auto"/>
        <w:ind w:firstLine="480"/>
        <w:rPr>
          <w:rFonts w:hint="eastAsia" w:ascii="宋体" w:hAnsi="宋体" w:cs="宋体"/>
          <w:sz w:val="24"/>
        </w:rPr>
      </w:pPr>
      <w:r>
        <w:rPr>
          <w:rFonts w:hint="eastAsia" w:ascii="宋体" w:hAnsi="宋体" w:cs="宋体"/>
          <w:sz w:val="24"/>
        </w:rPr>
        <w:t>每月1次对仪器流量进行校准。</w:t>
      </w:r>
    </w:p>
    <w:p w14:paraId="4FCF5242">
      <w:pPr>
        <w:spacing w:line="360" w:lineRule="auto"/>
        <w:ind w:firstLine="480"/>
        <w:rPr>
          <w:rFonts w:hint="eastAsia" w:ascii="宋体" w:hAnsi="宋体" w:cs="宋体"/>
          <w:sz w:val="24"/>
        </w:rPr>
      </w:pPr>
      <w:r>
        <w:rPr>
          <w:rFonts w:hint="eastAsia" w:ascii="宋体" w:hAnsi="宋体" w:cs="宋体"/>
          <w:sz w:val="24"/>
        </w:rPr>
        <w:t>每季度用标准膜进行校准质量。</w:t>
      </w:r>
    </w:p>
    <w:p w14:paraId="584E07E5">
      <w:pPr>
        <w:spacing w:line="360" w:lineRule="auto"/>
        <w:ind w:firstLine="480"/>
        <w:rPr>
          <w:rFonts w:hint="eastAsia" w:ascii="宋体" w:hAnsi="宋体" w:cs="宋体"/>
          <w:sz w:val="24"/>
        </w:rPr>
      </w:pPr>
      <w:r>
        <w:rPr>
          <w:rFonts w:hint="eastAsia" w:ascii="宋体" w:hAnsi="宋体" w:cs="宋体"/>
          <w:sz w:val="24"/>
        </w:rPr>
        <w:t>半年1次对采样管路清理。</w:t>
      </w:r>
    </w:p>
    <w:p w14:paraId="7B76399C">
      <w:pPr>
        <w:spacing w:line="360" w:lineRule="auto"/>
        <w:ind w:firstLine="480"/>
        <w:rPr>
          <w:rFonts w:hint="eastAsia" w:ascii="宋体" w:hAnsi="宋体" w:cs="宋体"/>
          <w:sz w:val="24"/>
        </w:rPr>
      </w:pPr>
      <w:r>
        <w:rPr>
          <w:rFonts w:hint="eastAsia" w:ascii="宋体" w:hAnsi="宋体" w:cs="宋体"/>
          <w:sz w:val="24"/>
        </w:rPr>
        <w:t>每年对泵进行大保养（泵膜更换、碳刷更换）。</w:t>
      </w:r>
    </w:p>
    <w:p w14:paraId="5AB0E9A3">
      <w:pPr>
        <w:spacing w:line="360" w:lineRule="auto"/>
        <w:ind w:firstLine="480"/>
        <w:rPr>
          <w:rFonts w:hint="eastAsia" w:ascii="宋体" w:hAnsi="宋体" w:cs="宋体"/>
          <w:sz w:val="24"/>
        </w:rPr>
      </w:pPr>
      <w:r>
        <w:rPr>
          <w:rFonts w:hint="eastAsia" w:ascii="宋体" w:hAnsi="宋体" w:cs="宋体"/>
          <w:sz w:val="24"/>
        </w:rPr>
        <w:t>每年1次对所有的仪器进行预防性维护。</w:t>
      </w:r>
    </w:p>
    <w:p w14:paraId="62C61DA0">
      <w:pPr>
        <w:spacing w:line="360" w:lineRule="auto"/>
        <w:ind w:firstLine="482"/>
        <w:rPr>
          <w:rFonts w:hint="eastAsia" w:ascii="宋体" w:hAnsi="宋体" w:cs="宋体"/>
          <w:b/>
          <w:sz w:val="24"/>
        </w:rPr>
      </w:pPr>
      <w:r>
        <w:rPr>
          <w:rFonts w:hint="eastAsia" w:ascii="宋体" w:hAnsi="宋体" w:cs="宋体"/>
          <w:b/>
          <w:sz w:val="24"/>
        </w:rPr>
        <w:t>（3）大气环境质量保障走航车运维</w:t>
      </w:r>
    </w:p>
    <w:p w14:paraId="041D6A83">
      <w:pPr>
        <w:spacing w:line="360" w:lineRule="auto"/>
        <w:ind w:firstLine="480"/>
        <w:rPr>
          <w:rFonts w:hint="eastAsia" w:ascii="宋体" w:hAnsi="宋体" w:cs="宋体"/>
          <w:sz w:val="24"/>
        </w:rPr>
      </w:pPr>
      <w:r>
        <w:rPr>
          <w:rFonts w:hint="eastAsia" w:ascii="宋体" w:hAnsi="宋体" w:cs="宋体"/>
          <w:sz w:val="24"/>
        </w:rPr>
        <w:t>对大气环境质量保障走航车进行维护，及时对故障问题进行检查、调试。主要包含走航车车辆保险、保养与油费以及车载国标六参数监测系统与颗粒物激光雷达监测系统日常运行维护。</w:t>
      </w:r>
    </w:p>
    <w:p w14:paraId="4BA3A2FD">
      <w:pPr>
        <w:spacing w:line="360" w:lineRule="auto"/>
        <w:ind w:firstLine="480"/>
        <w:rPr>
          <w:rFonts w:hint="eastAsia" w:ascii="宋体" w:hAnsi="宋体" w:cs="宋体"/>
          <w:sz w:val="24"/>
        </w:rPr>
      </w:pPr>
      <w:r>
        <w:rPr>
          <w:rFonts w:hint="eastAsia" w:ascii="宋体" w:hAnsi="宋体" w:cs="宋体"/>
          <w:sz w:val="24"/>
        </w:rPr>
        <w:t>1）六参数监测系统运维（仪器运行期间按六参数国标站运维）</w:t>
      </w:r>
    </w:p>
    <w:p w14:paraId="4F881A97">
      <w:pPr>
        <w:spacing w:line="360" w:lineRule="auto"/>
        <w:ind w:firstLine="480"/>
        <w:rPr>
          <w:rFonts w:hint="eastAsia" w:ascii="宋体" w:hAnsi="宋体" w:cs="宋体"/>
          <w:sz w:val="24"/>
        </w:rPr>
      </w:pPr>
      <w:r>
        <w:rPr>
          <w:rFonts w:hint="eastAsia" w:ascii="宋体" w:hAnsi="宋体" w:cs="宋体"/>
          <w:sz w:val="24"/>
        </w:rPr>
        <w:t>2）颗粒物激光雷达运维</w:t>
      </w:r>
    </w:p>
    <w:p w14:paraId="474A4455">
      <w:pPr>
        <w:spacing w:line="360" w:lineRule="auto"/>
        <w:ind w:firstLine="480"/>
        <w:rPr>
          <w:rFonts w:hint="eastAsia" w:ascii="宋体" w:hAnsi="宋体" w:cs="宋体"/>
          <w:sz w:val="24"/>
        </w:rPr>
      </w:pPr>
      <w:r>
        <w:rPr>
          <w:rFonts w:hint="eastAsia" w:ascii="宋体" w:hAnsi="宋体" w:cs="宋体"/>
          <w:sz w:val="24"/>
        </w:rPr>
        <w:t>每周进行一次状态巡检，检查光学镜面，查看激光器出光状态、回波信号质量和软件运行状态，并做好原始记录。</w:t>
      </w:r>
    </w:p>
    <w:p w14:paraId="2187BBF0">
      <w:pPr>
        <w:spacing w:line="360" w:lineRule="auto"/>
        <w:ind w:firstLine="480"/>
        <w:rPr>
          <w:rFonts w:hint="eastAsia" w:ascii="宋体" w:hAnsi="宋体" w:cs="宋体"/>
          <w:sz w:val="24"/>
        </w:rPr>
      </w:pPr>
      <w:r>
        <w:rPr>
          <w:rFonts w:hint="eastAsia" w:ascii="宋体" w:hAnsi="宋体" w:cs="宋体"/>
          <w:sz w:val="24"/>
        </w:rPr>
        <w:t>每周检查光学天窗，检查并清洁激光雷达窗口玻璃，雨天、雾天、雪天及其它特殊天气需及时清洁窗口玻璃，吹扫采样口玻璃。</w:t>
      </w:r>
    </w:p>
    <w:p w14:paraId="0F102E99">
      <w:pPr>
        <w:spacing w:line="360" w:lineRule="auto"/>
        <w:ind w:firstLine="480"/>
        <w:rPr>
          <w:rFonts w:hint="eastAsia" w:ascii="宋体" w:hAnsi="宋体" w:cs="宋体"/>
          <w:sz w:val="24"/>
        </w:rPr>
      </w:pPr>
      <w:r>
        <w:rPr>
          <w:rFonts w:hint="eastAsia" w:ascii="宋体" w:hAnsi="宋体" w:cs="宋体"/>
          <w:sz w:val="24"/>
        </w:rPr>
        <w:t>每月检查激光光斑形状，并查看是否出现位移，有偏差应及时调整。</w:t>
      </w:r>
    </w:p>
    <w:p w14:paraId="3CAB0543">
      <w:pPr>
        <w:spacing w:line="360" w:lineRule="auto"/>
        <w:ind w:firstLine="480"/>
        <w:rPr>
          <w:rFonts w:hint="eastAsia" w:ascii="宋体" w:hAnsi="宋体" w:cs="宋体"/>
          <w:sz w:val="24"/>
        </w:rPr>
      </w:pPr>
      <w:r>
        <w:rPr>
          <w:rFonts w:hint="eastAsia" w:ascii="宋体" w:hAnsi="宋体" w:cs="宋体"/>
          <w:sz w:val="24"/>
        </w:rPr>
        <w:t>每月检查输出能量大小及稳定性，如出现能量波动异常需及时检查维修激光器。</w:t>
      </w:r>
    </w:p>
    <w:p w14:paraId="2555067D">
      <w:pPr>
        <w:spacing w:line="360" w:lineRule="auto"/>
        <w:ind w:firstLine="480"/>
        <w:rPr>
          <w:rFonts w:hint="eastAsia" w:ascii="宋体" w:hAnsi="宋体" w:cs="宋体"/>
          <w:sz w:val="24"/>
        </w:rPr>
      </w:pPr>
      <w:r>
        <w:rPr>
          <w:rFonts w:hint="eastAsia" w:ascii="宋体" w:hAnsi="宋体" w:cs="宋体"/>
          <w:sz w:val="24"/>
        </w:rPr>
        <w:t>每半年进行数据备份。</w:t>
      </w:r>
    </w:p>
    <w:p w14:paraId="4D894B87">
      <w:pPr>
        <w:spacing w:line="360" w:lineRule="auto"/>
        <w:ind w:firstLine="480"/>
        <w:rPr>
          <w:rFonts w:hint="eastAsia" w:ascii="宋体" w:hAnsi="宋体" w:cs="宋体"/>
          <w:sz w:val="24"/>
        </w:rPr>
      </w:pPr>
      <w:r>
        <w:rPr>
          <w:rFonts w:hint="eastAsia" w:ascii="宋体" w:hAnsi="宋体" w:cs="宋体"/>
          <w:sz w:val="24"/>
        </w:rPr>
        <w:t>每半年进行一次整体光路系统调整，包括激光器发射系统，望远镜接收系统以及后继光学接收系统。</w:t>
      </w:r>
    </w:p>
    <w:p w14:paraId="201FEBFA">
      <w:pPr>
        <w:spacing w:line="360" w:lineRule="auto"/>
        <w:ind w:firstLine="480"/>
        <w:rPr>
          <w:rFonts w:hint="eastAsia" w:ascii="宋体" w:hAnsi="宋体" w:cs="宋体"/>
          <w:sz w:val="24"/>
        </w:rPr>
      </w:pPr>
      <w:r>
        <w:rPr>
          <w:rFonts w:hint="eastAsia" w:ascii="宋体" w:hAnsi="宋体" w:cs="宋体"/>
          <w:sz w:val="24"/>
        </w:rPr>
        <w:t>根据实际消耗，更换或维护光电探测器、扩束管、激光器等。</w:t>
      </w:r>
      <w:bookmarkEnd w:id="2"/>
    </w:p>
    <w:p w14:paraId="50A8A2FA">
      <w:pPr>
        <w:spacing w:line="360" w:lineRule="auto"/>
        <w:ind w:firstLine="482"/>
        <w:rPr>
          <w:rFonts w:hint="eastAsia" w:ascii="宋体" w:hAnsi="宋体" w:cs="宋体"/>
          <w:b/>
          <w:sz w:val="24"/>
        </w:rPr>
      </w:pPr>
      <w:r>
        <w:rPr>
          <w:rFonts w:hint="eastAsia" w:ascii="宋体" w:hAnsi="宋体" w:cs="宋体"/>
          <w:b/>
          <w:sz w:val="24"/>
        </w:rPr>
        <w:t>（4）颗粒物激光雷达运维</w:t>
      </w:r>
    </w:p>
    <w:p w14:paraId="506BB76B">
      <w:pPr>
        <w:spacing w:line="360" w:lineRule="auto"/>
        <w:ind w:firstLine="480"/>
        <w:rPr>
          <w:rFonts w:hint="eastAsia" w:ascii="宋体" w:hAnsi="宋体" w:cs="宋体"/>
          <w:sz w:val="24"/>
        </w:rPr>
      </w:pPr>
      <w:r>
        <w:rPr>
          <w:rFonts w:hint="eastAsia" w:ascii="宋体" w:hAnsi="宋体" w:cs="宋体"/>
          <w:sz w:val="24"/>
        </w:rPr>
        <w:t>每周进行一次状态巡检，检查光学镜面，查看激光器出光状态、回波信号质量和软件运行状态，并做好原始记录。</w:t>
      </w:r>
    </w:p>
    <w:p w14:paraId="7D51F496">
      <w:pPr>
        <w:spacing w:line="360" w:lineRule="auto"/>
        <w:ind w:firstLine="480"/>
        <w:rPr>
          <w:rFonts w:hint="eastAsia" w:ascii="宋体" w:hAnsi="宋体" w:cs="宋体"/>
          <w:sz w:val="24"/>
        </w:rPr>
      </w:pPr>
      <w:r>
        <w:rPr>
          <w:rFonts w:hint="eastAsia" w:ascii="宋体" w:hAnsi="宋体" w:cs="宋体"/>
          <w:sz w:val="24"/>
        </w:rPr>
        <w:t>每周检查光学天窗，检查并清洁激光雷达窗口玻璃，雨天、雾天、雪天及其它特殊天气需及时清洁窗口玻璃，吹扫采样口玻璃。</w:t>
      </w:r>
    </w:p>
    <w:p w14:paraId="448D8337">
      <w:pPr>
        <w:spacing w:line="360" w:lineRule="auto"/>
        <w:ind w:firstLine="480"/>
        <w:rPr>
          <w:rFonts w:hint="eastAsia" w:ascii="宋体" w:hAnsi="宋体" w:cs="宋体"/>
          <w:sz w:val="24"/>
        </w:rPr>
      </w:pPr>
      <w:r>
        <w:rPr>
          <w:rFonts w:hint="eastAsia" w:ascii="宋体" w:hAnsi="宋体" w:cs="宋体"/>
          <w:sz w:val="24"/>
        </w:rPr>
        <w:t>每月检查激光光斑形状，并查看是否出现位移，有偏差应及时调整。</w:t>
      </w:r>
    </w:p>
    <w:p w14:paraId="06CD105E">
      <w:pPr>
        <w:spacing w:line="360" w:lineRule="auto"/>
        <w:ind w:firstLine="480"/>
        <w:rPr>
          <w:rFonts w:hint="eastAsia" w:ascii="宋体" w:hAnsi="宋体" w:cs="宋体"/>
          <w:sz w:val="24"/>
        </w:rPr>
      </w:pPr>
      <w:r>
        <w:rPr>
          <w:rFonts w:hint="eastAsia" w:ascii="宋体" w:hAnsi="宋体" w:cs="宋体"/>
          <w:sz w:val="24"/>
        </w:rPr>
        <w:t>每月检查输出能量大小及稳定性，如出现能量波动异常需及时检查维修激光器。</w:t>
      </w:r>
    </w:p>
    <w:p w14:paraId="6B1691A0">
      <w:pPr>
        <w:spacing w:line="360" w:lineRule="auto"/>
        <w:ind w:firstLine="480"/>
        <w:rPr>
          <w:rFonts w:hint="eastAsia" w:ascii="宋体" w:hAnsi="宋体" w:cs="宋体"/>
          <w:sz w:val="24"/>
        </w:rPr>
      </w:pPr>
      <w:r>
        <w:rPr>
          <w:rFonts w:hint="eastAsia" w:ascii="宋体" w:hAnsi="宋体" w:cs="宋体"/>
          <w:sz w:val="24"/>
        </w:rPr>
        <w:t>每半年进行数据备份。</w:t>
      </w:r>
    </w:p>
    <w:p w14:paraId="0C24E2E9">
      <w:pPr>
        <w:spacing w:line="360" w:lineRule="auto"/>
        <w:ind w:firstLine="480"/>
        <w:rPr>
          <w:rFonts w:hint="eastAsia" w:ascii="宋体" w:hAnsi="宋体" w:cs="宋体"/>
          <w:sz w:val="24"/>
        </w:rPr>
      </w:pPr>
      <w:r>
        <w:rPr>
          <w:rFonts w:hint="eastAsia" w:ascii="宋体" w:hAnsi="宋体" w:cs="宋体"/>
          <w:sz w:val="24"/>
        </w:rPr>
        <w:t>每半年进行一次整体光路系统调整，包括激光器发射系统，望远镜接收系统以及后继光学接收系统。</w:t>
      </w:r>
    </w:p>
    <w:p w14:paraId="3CC4160F">
      <w:pPr>
        <w:spacing w:line="360" w:lineRule="auto"/>
        <w:ind w:firstLine="480"/>
        <w:rPr>
          <w:rFonts w:hint="eastAsia" w:ascii="宋体" w:hAnsi="宋体" w:cs="宋体"/>
          <w:sz w:val="24"/>
        </w:rPr>
      </w:pPr>
      <w:r>
        <w:rPr>
          <w:rFonts w:hint="eastAsia" w:ascii="宋体" w:hAnsi="宋体" w:cs="宋体"/>
          <w:sz w:val="24"/>
        </w:rPr>
        <w:t>根据实际消耗，更换或维护光电探测器、扩束管、激光器等。</w:t>
      </w:r>
    </w:p>
    <w:p w14:paraId="273D7322">
      <w:pPr>
        <w:spacing w:line="360" w:lineRule="auto"/>
        <w:ind w:firstLine="480"/>
        <w:rPr>
          <w:rFonts w:hint="eastAsia" w:ascii="宋体" w:hAnsi="宋体" w:cs="宋体"/>
          <w:b/>
          <w:sz w:val="24"/>
        </w:rPr>
      </w:pPr>
      <w:r>
        <w:rPr>
          <w:rFonts w:hint="default" w:ascii="宋体" w:hAnsi="宋体" w:cs="宋体"/>
          <w:b/>
          <w:sz w:val="24"/>
        </w:rPr>
        <w:t>（</w:t>
      </w:r>
      <w:r>
        <w:rPr>
          <w:rFonts w:hint="eastAsia" w:ascii="宋体" w:hAnsi="宋体" w:cs="宋体"/>
          <w:b/>
          <w:sz w:val="24"/>
        </w:rPr>
        <w:t>5</w:t>
      </w:r>
      <w:r>
        <w:rPr>
          <w:rFonts w:hint="default" w:ascii="宋体" w:hAnsi="宋体" w:cs="宋体"/>
          <w:b/>
          <w:sz w:val="24"/>
        </w:rPr>
        <w:t>）</w:t>
      </w:r>
      <w:r>
        <w:rPr>
          <w:rFonts w:hint="eastAsia" w:ascii="宋体" w:hAnsi="宋体" w:cs="宋体"/>
          <w:b/>
          <w:sz w:val="24"/>
        </w:rPr>
        <w:t>无人化智能飞行走航车运维</w:t>
      </w:r>
    </w:p>
    <w:p w14:paraId="688285A1">
      <w:pPr>
        <w:spacing w:line="360" w:lineRule="auto"/>
        <w:ind w:firstLine="480"/>
        <w:rPr>
          <w:rFonts w:hint="eastAsia" w:ascii="宋体" w:hAnsi="宋体" w:cs="宋体"/>
          <w:sz w:val="24"/>
        </w:rPr>
      </w:pPr>
      <w:r>
        <w:rPr>
          <w:rFonts w:hint="default" w:ascii="宋体" w:hAnsi="宋体" w:cs="宋体"/>
          <w:sz w:val="24"/>
        </w:rPr>
        <w:t>针对经开区</w:t>
      </w:r>
      <w:r>
        <w:rPr>
          <w:rFonts w:hint="eastAsia" w:ascii="宋体" w:hAnsi="宋体" w:cs="宋体"/>
          <w:sz w:val="24"/>
        </w:rPr>
        <w:t>无人化智能飞行走航车，搭载设备包括空气质量监测仪、噪声监测仪、视频监控平台以及无人机场提供运行维护服务，包括无人车F</w:t>
      </w:r>
      <w:r>
        <w:rPr>
          <w:rFonts w:hint="default" w:ascii="宋体" w:hAnsi="宋体" w:cs="宋体"/>
          <w:sz w:val="24"/>
        </w:rPr>
        <w:t>SD服务、</w:t>
      </w:r>
      <w:r>
        <w:rPr>
          <w:rFonts w:hint="eastAsia" w:ascii="宋体" w:hAnsi="宋体" w:cs="宋体"/>
          <w:sz w:val="24"/>
        </w:rPr>
        <w:t>车辆24小时维护服务、</w:t>
      </w:r>
      <w:r>
        <w:rPr>
          <w:rFonts w:hint="default" w:ascii="宋体" w:hAnsi="宋体" w:cs="宋体"/>
          <w:sz w:val="24"/>
        </w:rPr>
        <w:t>设备运行维护、无人机场平台租赁、以及无人机场保险，保障系统稳定有效运行。</w:t>
      </w:r>
    </w:p>
    <w:bookmarkEnd w:id="1"/>
    <w:p w14:paraId="454CBF09">
      <w:pPr>
        <w:spacing w:line="240" w:lineRule="auto"/>
        <w:jc w:val="left"/>
        <w:outlineLvl w:val="9"/>
        <w:rPr>
          <w:color w:val="auto"/>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3814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1301F9">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36</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B1301F9">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36</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E5060">
    <w:pPr>
      <w:pBdr>
        <w:bottom w:val="none" w:color="auto" w:sz="0" w:space="0"/>
      </w:pBdr>
      <w:jc w:val="right"/>
      <w:rPr>
        <w:i/>
        <w:iCs/>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1"/>
      <w:numFmt w:val="decimal"/>
      <w:pStyle w:val="46"/>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zY2YyOWNlNzFmNzAwMTg3MDgxZThlYmJkYzhlNDYifQ=="/>
  </w:docVars>
  <w:rsids>
    <w:rsidRoot w:val="17BE717B"/>
    <w:rsid w:val="00B03A0F"/>
    <w:rsid w:val="01730582"/>
    <w:rsid w:val="09E16D67"/>
    <w:rsid w:val="0CFD36D0"/>
    <w:rsid w:val="0E3C1CFB"/>
    <w:rsid w:val="0E611762"/>
    <w:rsid w:val="172A51BE"/>
    <w:rsid w:val="17BE717B"/>
    <w:rsid w:val="183563AE"/>
    <w:rsid w:val="19EF7E30"/>
    <w:rsid w:val="1BC936AF"/>
    <w:rsid w:val="1D98092E"/>
    <w:rsid w:val="1E221044"/>
    <w:rsid w:val="20E26732"/>
    <w:rsid w:val="247D2708"/>
    <w:rsid w:val="25422B96"/>
    <w:rsid w:val="25D07DA6"/>
    <w:rsid w:val="25F27CCD"/>
    <w:rsid w:val="27914A0E"/>
    <w:rsid w:val="28DA26A7"/>
    <w:rsid w:val="2E600B9F"/>
    <w:rsid w:val="2F9A33B7"/>
    <w:rsid w:val="32F25DBA"/>
    <w:rsid w:val="35E46651"/>
    <w:rsid w:val="36493B9A"/>
    <w:rsid w:val="3C2F7DFC"/>
    <w:rsid w:val="3E4B3711"/>
    <w:rsid w:val="3E772758"/>
    <w:rsid w:val="4297794A"/>
    <w:rsid w:val="45464C32"/>
    <w:rsid w:val="477F5373"/>
    <w:rsid w:val="504E6C15"/>
    <w:rsid w:val="5384316F"/>
    <w:rsid w:val="546020E6"/>
    <w:rsid w:val="5B527A35"/>
    <w:rsid w:val="5E8C1087"/>
    <w:rsid w:val="6037262E"/>
    <w:rsid w:val="65D83457"/>
    <w:rsid w:val="66CA3CF3"/>
    <w:rsid w:val="6772532F"/>
    <w:rsid w:val="69E51CDF"/>
    <w:rsid w:val="6F733E53"/>
    <w:rsid w:val="6FBD6DA3"/>
    <w:rsid w:val="74EE0630"/>
    <w:rsid w:val="755A5ECC"/>
    <w:rsid w:val="773E269C"/>
    <w:rsid w:val="78191067"/>
    <w:rsid w:val="7A774EEF"/>
    <w:rsid w:val="7B441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Body Text Indent 2"/>
    <w:basedOn w:val="1"/>
    <w:semiHidden/>
    <w:unhideWhenUsed/>
    <w:qFormat/>
    <w:uiPriority w:val="99"/>
    <w:pPr>
      <w:spacing w:after="120" w:line="480" w:lineRule="auto"/>
      <w:ind w:left="420" w:leftChars="200"/>
    </w:pPr>
  </w:style>
  <w:style w:type="paragraph" w:styleId="3">
    <w:name w:val="Body Text"/>
    <w:basedOn w:val="1"/>
    <w:next w:val="1"/>
    <w:autoRedefine/>
    <w:qFormat/>
    <w:uiPriority w:val="99"/>
    <w:pPr>
      <w:spacing w:after="120"/>
    </w:pPr>
    <w:rPr>
      <w:rFonts w:ascii="Calibri" w:hAnsi="Calibri"/>
    </w:rPr>
  </w:style>
  <w:style w:type="paragraph" w:styleId="4">
    <w:name w:val="Body Text Indent"/>
    <w:basedOn w:val="1"/>
    <w:autoRedefine/>
    <w:qFormat/>
    <w:uiPriority w:val="0"/>
    <w:pPr>
      <w:spacing w:after="120"/>
      <w:ind w:left="420"/>
    </w:pPr>
    <w:rPr>
      <w:rFonts w:ascii="Calibri" w:hAnsi="Calibri"/>
    </w:rPr>
  </w:style>
  <w:style w:type="paragraph" w:styleId="5">
    <w:name w:val="Block Text"/>
    <w:basedOn w:val="1"/>
    <w:next w:val="1"/>
    <w:autoRedefine/>
    <w:unhideWhenUsed/>
    <w:qFormat/>
    <w:uiPriority w:val="99"/>
    <w:pPr>
      <w:spacing w:after="120"/>
      <w:ind w:left="1440" w:right="1440"/>
    </w:pPr>
  </w:style>
  <w:style w:type="paragraph" w:styleId="6">
    <w:name w:val="Plain Text"/>
    <w:basedOn w:val="1"/>
    <w:qFormat/>
    <w:uiPriority w:val="0"/>
    <w:rPr>
      <w:rFonts w:ascii="宋体" w:hAnsi="Courier New"/>
    </w:rPr>
  </w:style>
  <w:style w:type="paragraph" w:styleId="7">
    <w:name w:val="endnote text"/>
    <w:basedOn w:val="1"/>
    <w:semiHidden/>
    <w:unhideWhenUsed/>
    <w:qFormat/>
    <w:uiPriority w:val="99"/>
    <w:rPr>
      <w:sz w:val="20"/>
    </w:rPr>
  </w:style>
  <w:style w:type="paragraph" w:styleId="8">
    <w:name w:val="footer"/>
    <w:basedOn w:val="1"/>
    <w:autoRedefine/>
    <w:qFormat/>
    <w:uiPriority w:val="99"/>
    <w:pPr>
      <w:tabs>
        <w:tab w:val="center" w:pos="4153"/>
        <w:tab w:val="right" w:pos="8306"/>
      </w:tabs>
      <w:jc w:val="left"/>
    </w:pPr>
    <w:rPr>
      <w:sz w:val="18"/>
      <w:szCs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style>
  <w:style w:type="paragraph" w:styleId="11">
    <w:name w:val="Normal (Web)"/>
    <w:basedOn w:val="1"/>
    <w:qFormat/>
    <w:uiPriority w:val="99"/>
    <w:pPr>
      <w:spacing w:beforeAutospacing="1" w:afterAutospacing="1"/>
      <w:jc w:val="left"/>
    </w:pPr>
    <w:rPr>
      <w:sz w:val="24"/>
    </w:rPr>
  </w:style>
  <w:style w:type="paragraph" w:styleId="12">
    <w:name w:val="Body Text First Indent"/>
    <w:basedOn w:val="3"/>
    <w:next w:val="13"/>
    <w:qFormat/>
    <w:uiPriority w:val="0"/>
    <w:pPr>
      <w:ind w:firstLine="420"/>
    </w:pPr>
    <w:rPr>
      <w:lang w:val="en-US"/>
    </w:rPr>
  </w:style>
  <w:style w:type="paragraph" w:styleId="13">
    <w:name w:val="Body Text First Indent 2"/>
    <w:basedOn w:val="4"/>
    <w:autoRedefine/>
    <w:qFormat/>
    <w:uiPriority w:val="0"/>
    <w:pPr>
      <w:spacing w:line="360" w:lineRule="auto"/>
      <w:ind w:firstLine="420"/>
    </w:pPr>
    <w:rPr>
      <w:color w:val="000000"/>
      <w:sz w:val="20"/>
    </w:rPr>
  </w:style>
  <w:style w:type="table" w:styleId="15">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7">
    <w:name w:val="信息标题1"/>
    <w:basedOn w:val="1"/>
    <w:next w:val="18"/>
    <w:qFormat/>
    <w:uiPriority w:val="99"/>
    <w:pPr>
      <w:pBdr>
        <w:top w:val="none" w:color="000000" w:sz="0" w:space="1"/>
        <w:left w:val="none" w:color="000000" w:sz="0" w:space="1"/>
        <w:bottom w:val="none" w:color="000000" w:sz="0" w:space="1"/>
        <w:right w:val="none" w:color="000000" w:sz="0" w:space="1"/>
      </w:pBdr>
      <w:shd w:val="pct20" w:color="auto" w:fill="auto"/>
    </w:pPr>
    <w:rPr>
      <w:rFonts w:ascii="Arial" w:hAnsi="Arial"/>
      <w:color w:val="000000"/>
      <w:szCs w:val="22"/>
    </w:rPr>
  </w:style>
  <w:style w:type="paragraph" w:customStyle="1" w:styleId="18">
    <w:name w:val="正文文本12"/>
    <w:basedOn w:val="1"/>
    <w:next w:val="1"/>
    <w:qFormat/>
    <w:uiPriority w:val="99"/>
    <w:pPr>
      <w:spacing w:after="120"/>
    </w:pPr>
  </w:style>
  <w:style w:type="paragraph" w:customStyle="1" w:styleId="19">
    <w:name w:val="正文1"/>
    <w:basedOn w:val="20"/>
    <w:next w:val="30"/>
    <w:link w:val="39"/>
    <w:autoRedefine/>
    <w:qFormat/>
    <w:uiPriority w:val="0"/>
    <w:pPr>
      <w:adjustRightInd w:val="0"/>
      <w:spacing w:line="360" w:lineRule="atLeast"/>
      <w:jc w:val="left"/>
    </w:pPr>
    <w:rPr>
      <w:rFonts w:hint="eastAsia" w:ascii="宋体" w:hAnsi="Times New Roman" w:eastAsia="宋体" w:cs="Times New Roman"/>
      <w:kern w:val="0"/>
      <w:sz w:val="24"/>
      <w:szCs w:val="20"/>
    </w:rPr>
  </w:style>
  <w:style w:type="paragraph" w:customStyle="1" w:styleId="20">
    <w:name w:val="正文111"/>
    <w:next w:val="21"/>
    <w:autoRedefine/>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1">
    <w:name w:val="正文首行缩进11"/>
    <w:basedOn w:val="22"/>
    <w:qFormat/>
    <w:uiPriority w:val="0"/>
    <w:pPr>
      <w:ind w:firstLine="420"/>
    </w:pPr>
    <w:rPr>
      <w:rFonts w:ascii="仿宋_GB2312" w:eastAsia="仿宋_GB2312"/>
      <w:sz w:val="30"/>
      <w:szCs w:val="30"/>
    </w:rPr>
  </w:style>
  <w:style w:type="paragraph" w:customStyle="1" w:styleId="22">
    <w:name w:val="正文文本11"/>
    <w:basedOn w:val="23"/>
    <w:next w:val="1"/>
    <w:qFormat/>
    <w:uiPriority w:val="99"/>
    <w:pPr>
      <w:spacing w:after="120"/>
    </w:pPr>
    <w:rPr>
      <w:rFonts w:ascii="Calibri" w:hAnsi="Calibri"/>
    </w:rPr>
  </w:style>
  <w:style w:type="paragraph" w:customStyle="1" w:styleId="23">
    <w:name w:val="正文112"/>
    <w:next w:val="2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
    <w:name w:val="正文首行缩进1"/>
    <w:basedOn w:val="22"/>
    <w:next w:val="25"/>
    <w:qFormat/>
    <w:uiPriority w:val="0"/>
    <w:pPr>
      <w:spacing w:line="360" w:lineRule="auto"/>
      <w:ind w:firstLine="200"/>
    </w:pPr>
    <w:rPr>
      <w:rFonts w:ascii="仿宋_GB2312" w:eastAsia="仿宋_GB2312"/>
      <w:sz w:val="30"/>
      <w:szCs w:val="30"/>
    </w:rPr>
  </w:style>
  <w:style w:type="paragraph" w:customStyle="1" w:styleId="25">
    <w:name w:val="正文首行缩进 211"/>
    <w:basedOn w:val="26"/>
    <w:next w:val="23"/>
    <w:qFormat/>
    <w:uiPriority w:val="0"/>
    <w:pPr>
      <w:ind w:firstLine="420"/>
    </w:pPr>
    <w:rPr>
      <w:rFonts w:ascii="Times New Roman" w:hAnsi="Times New Roman"/>
    </w:rPr>
  </w:style>
  <w:style w:type="paragraph" w:customStyle="1" w:styleId="26">
    <w:name w:val="正文文本缩进11"/>
    <w:basedOn w:val="27"/>
    <w:next w:val="29"/>
    <w:qFormat/>
    <w:uiPriority w:val="0"/>
    <w:pPr>
      <w:spacing w:after="120"/>
      <w:ind w:left="420"/>
    </w:pPr>
    <w:rPr>
      <w:rFonts w:ascii="Calibri" w:hAnsi="Calibri"/>
    </w:rPr>
  </w:style>
  <w:style w:type="paragraph" w:customStyle="1" w:styleId="27">
    <w:name w:val="正文11"/>
    <w:next w:val="2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
    <w:name w:val="文本块1"/>
    <w:basedOn w:val="19"/>
    <w:autoRedefine/>
    <w:qFormat/>
    <w:uiPriority w:val="0"/>
    <w:pPr>
      <w:ind w:left="420" w:right="33"/>
      <w:jc w:val="left"/>
    </w:pPr>
    <w:rPr>
      <w:sz w:val="24"/>
      <w:szCs w:val="20"/>
    </w:rPr>
  </w:style>
  <w:style w:type="paragraph" w:customStyle="1" w:styleId="29">
    <w:name w:val="寄信人地址11"/>
    <w:basedOn w:val="1"/>
    <w:qFormat/>
    <w:uiPriority w:val="0"/>
    <w:rPr>
      <w:rFonts w:ascii="Arial" w:hAnsi="Arial"/>
    </w:rPr>
  </w:style>
  <w:style w:type="paragraph" w:customStyle="1" w:styleId="30">
    <w:name w:val="正文文本1"/>
    <w:basedOn w:val="19"/>
    <w:next w:val="31"/>
    <w:qFormat/>
    <w:uiPriority w:val="0"/>
    <w:pPr>
      <w:spacing w:after="120"/>
    </w:pPr>
    <w:rPr>
      <w:rFonts w:ascii="Calibri" w:hAnsi="Calibri"/>
    </w:rPr>
  </w:style>
  <w:style w:type="paragraph" w:customStyle="1" w:styleId="31">
    <w:name w:val="正文12"/>
    <w:next w:val="30"/>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32">
    <w:name w:val="正文文本 21"/>
    <w:basedOn w:val="27"/>
    <w:qFormat/>
    <w:uiPriority w:val="0"/>
    <w:pPr>
      <w:spacing w:after="120" w:line="480" w:lineRule="auto"/>
    </w:pPr>
  </w:style>
  <w:style w:type="paragraph" w:customStyle="1" w:styleId="33">
    <w:name w:val="正文文本缩进1"/>
    <w:basedOn w:val="34"/>
    <w:next w:val="36"/>
    <w:qFormat/>
    <w:uiPriority w:val="0"/>
    <w:pPr>
      <w:widowControl w:val="0"/>
      <w:spacing w:after="120"/>
      <w:ind w:left="420"/>
      <w:jc w:val="both"/>
    </w:pPr>
    <w:rPr>
      <w:rFonts w:hint="default" w:ascii="Times New Roman" w:hAnsi="Times New Roman" w:eastAsia="宋体" w:cs="Times New Roman"/>
      <w:sz w:val="21"/>
      <w:szCs w:val="24"/>
      <w:lang w:val="en-US" w:eastAsia="zh-CN" w:bidi="ar-SA"/>
    </w:rPr>
  </w:style>
  <w:style w:type="paragraph" w:customStyle="1" w:styleId="34">
    <w:name w:val="正文1111"/>
    <w:next w:val="3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5">
    <w:name w:val="标题 211"/>
    <w:basedOn w:val="34"/>
    <w:next w:val="34"/>
    <w:qFormat/>
    <w:uiPriority w:val="0"/>
    <w:pPr>
      <w:keepNext/>
      <w:keepLines/>
      <w:spacing w:before="260" w:after="260" w:line="416" w:lineRule="auto"/>
      <w:outlineLvl w:val="1"/>
    </w:pPr>
    <w:rPr>
      <w:rFonts w:ascii="Calibri Light" w:hAnsi="Calibri Light"/>
      <w:bCs/>
      <w:sz w:val="32"/>
      <w:szCs w:val="32"/>
    </w:rPr>
  </w:style>
  <w:style w:type="paragraph" w:customStyle="1" w:styleId="36">
    <w:name w:val="寄信人地址1"/>
    <w:basedOn w:val="27"/>
    <w:qFormat/>
    <w:uiPriority w:val="0"/>
    <w:rPr>
      <w:rFonts w:ascii="Arial" w:hAnsi="Arial"/>
    </w:rPr>
  </w:style>
  <w:style w:type="paragraph" w:customStyle="1" w:styleId="37">
    <w:name w:val="脚注文本1"/>
    <w:basedOn w:val="19"/>
    <w:next w:val="38"/>
    <w:autoRedefine/>
    <w:qFormat/>
    <w:uiPriority w:val="0"/>
    <w:pPr>
      <w:jc w:val="left"/>
    </w:pPr>
    <w:rPr>
      <w:rFonts w:ascii="宋体" w:eastAsia="Times New Roman"/>
      <w:sz w:val="18"/>
      <w:szCs w:val="18"/>
    </w:rPr>
  </w:style>
  <w:style w:type="paragraph" w:customStyle="1" w:styleId="38">
    <w:name w:val="索引 51"/>
    <w:basedOn w:val="19"/>
    <w:next w:val="19"/>
    <w:autoRedefine/>
    <w:qFormat/>
    <w:uiPriority w:val="0"/>
    <w:pPr>
      <w:ind w:left="798"/>
      <w:jc w:val="left"/>
    </w:pPr>
    <w:rPr>
      <w:rFonts w:ascii="Calibri" w:hAnsi="Calibri"/>
    </w:rPr>
  </w:style>
  <w:style w:type="character" w:customStyle="1" w:styleId="39">
    <w:name w:val="NormalCharacter"/>
    <w:link w:val="19"/>
    <w:autoRedefine/>
    <w:semiHidden/>
    <w:qFormat/>
    <w:uiPriority w:val="0"/>
    <w:rPr>
      <w:rFonts w:hint="eastAsia" w:ascii="宋体" w:hAnsi="Times New Roman" w:eastAsia="宋体" w:cs="Times New Roman"/>
      <w:kern w:val="0"/>
      <w:sz w:val="24"/>
      <w:szCs w:val="20"/>
    </w:rPr>
  </w:style>
  <w:style w:type="paragraph" w:customStyle="1" w:styleId="40">
    <w:name w:val="BodyText1I2"/>
    <w:basedOn w:val="41"/>
    <w:autoRedefine/>
    <w:qFormat/>
    <w:uiPriority w:val="0"/>
    <w:pPr>
      <w:widowControl/>
      <w:spacing w:line="360" w:lineRule="auto"/>
      <w:ind w:firstLine="420"/>
    </w:pPr>
    <w:rPr>
      <w:rFonts w:ascii="宋体" w:hAnsi="宋体" w:cstheme="minorBidi"/>
      <w:sz w:val="20"/>
      <w:szCs w:val="20"/>
    </w:rPr>
  </w:style>
  <w:style w:type="paragraph" w:customStyle="1" w:styleId="41">
    <w:name w:val="BodyTextIndent"/>
    <w:basedOn w:val="1"/>
    <w:next w:val="42"/>
    <w:autoRedefine/>
    <w:qFormat/>
    <w:uiPriority w:val="0"/>
    <w:pPr>
      <w:spacing w:after="120"/>
      <w:ind w:left="420"/>
    </w:pPr>
  </w:style>
  <w:style w:type="paragraph" w:customStyle="1" w:styleId="42">
    <w:name w:val="EnvelopeReturn"/>
    <w:basedOn w:val="1"/>
    <w:autoRedefine/>
    <w:qFormat/>
    <w:uiPriority w:val="0"/>
    <w:rPr>
      <w:rFonts w:ascii="Arial" w:hAnsi="Arial"/>
    </w:rPr>
  </w:style>
  <w:style w:type="paragraph" w:customStyle="1" w:styleId="43">
    <w:name w:val="首行缩进"/>
    <w:basedOn w:val="1"/>
    <w:next w:val="1"/>
    <w:autoRedefine/>
    <w:qFormat/>
    <w:uiPriority w:val="0"/>
    <w:pPr>
      <w:spacing w:line="360" w:lineRule="auto"/>
      <w:ind w:firstLine="480"/>
    </w:pPr>
    <w:rPr>
      <w:rFonts w:ascii="宋体" w:hAnsi="宋体" w:cs="宋体"/>
      <w:kern w:val="0"/>
      <w:sz w:val="24"/>
    </w:rPr>
  </w:style>
  <w:style w:type="paragraph" w:customStyle="1" w:styleId="44">
    <w:name w:val="Default"/>
    <w:next w:val="1"/>
    <w:qFormat/>
    <w:uiPriority w:val="0"/>
    <w:pPr>
      <w:widowControl w:val="0"/>
    </w:pPr>
    <w:rPr>
      <w:rFonts w:ascii="宋体" w:hAnsi="Times New Roman" w:eastAsia="宋体" w:cs="Times New Roman"/>
      <w:color w:val="000000"/>
      <w:sz w:val="24"/>
      <w:szCs w:val="24"/>
      <w:lang w:val="en-US" w:eastAsia="zh-CN" w:bidi="ar-SA"/>
    </w:rPr>
  </w:style>
  <w:style w:type="paragraph" w:customStyle="1" w:styleId="45">
    <w:name w:val="图片居中"/>
    <w:basedOn w:val="6"/>
    <w:qFormat/>
    <w:uiPriority w:val="0"/>
    <w:pPr>
      <w:spacing w:after="50"/>
      <w:jc w:val="center"/>
    </w:pPr>
    <w:rPr>
      <w:rFonts w:cs="Courier New"/>
      <w:sz w:val="24"/>
      <w:szCs w:val="21"/>
    </w:rPr>
  </w:style>
  <w:style w:type="paragraph" w:customStyle="1" w:styleId="46">
    <w:name w:val="正文表标题"/>
    <w:next w:val="1"/>
    <w:qFormat/>
    <w:uiPriority w:val="0"/>
    <w:pPr>
      <w:numPr>
        <w:ilvl w:val="0"/>
        <w:numId w:val="1"/>
      </w:numPr>
      <w:tabs>
        <w:tab w:val="left" w:pos="360"/>
      </w:tabs>
      <w:spacing w:before="156" w:after="156"/>
      <w:jc w:val="center"/>
    </w:pPr>
    <w:rPr>
      <w:rFonts w:ascii="黑体" w:hAnsi="Times New Roman" w:eastAsia="黑体" w:cs="Times New Roman"/>
      <w:sz w:val="21"/>
      <w:lang w:val="en-US" w:eastAsia="zh-CN" w:bidi="ar-SA"/>
    </w:rPr>
  </w:style>
  <w:style w:type="paragraph" w:styleId="47">
    <w:name w:val="List Paragraph"/>
    <w:basedOn w:val="1"/>
    <w:next w:val="7"/>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91</Words>
  <Characters>105</Characters>
  <Lines>0</Lines>
  <Paragraphs>0</Paragraphs>
  <TotalTime>0</TotalTime>
  <ScaleCrop>false</ScaleCrop>
  <LinksUpToDate>false</LinksUpToDate>
  <CharactersWithSpaces>106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2022-11-21T08:38:00Z</dcterms:created>
  <dc:creator>Ling01</dc:creator>
  <cp:lastModifiedBy>Ling01</cp:lastModifiedBy>
  <cp:lastPrinted>2023-07-12T07:01:00Z</cp:lastPrinted>
  <dcterms:modified xsi:type="dcterms:W3CDTF">2026-10-22T07:04:31Z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5A2999B5FD264E7495950748E3244E38</vt:lpwstr>
  </property>
  <property fmtid="{D5CDD505-2E9C-101B-9397-08002B2CF9AE}" pid="4" name="KSOTemplateDocerSaveRecord">
    <vt:lpwstr>eyJoZGlkIjoiMWYzY2YyOWNlNzFmNzAwMTg3MDgxZThlYmJkYzhlNDYiLCJ1c2VySWQiOiIxMTQwNTc1MTUwIn0=</vt:lpwstr>
  </property>
</Properties>
</file>