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p>
      <w:pPr>
        <w:jc w:val="both"/>
        <w:rPr>
          <w:rFonts w:hint="eastAsia" w:ascii="宋体" w:hAnsi="宋体" w:eastAsia="宋体" w:cs="宋体"/>
          <w:spacing w:val="76"/>
          <w:sz w:val="72"/>
          <w:szCs w:val="16"/>
        </w:rPr>
      </w:pPr>
      <w:r>
        <w:rPr>
          <w:rFonts w:hint="eastAsia" w:ascii="宋体" w:hAnsi="宋体" w:eastAsia="宋体" w:cs="宋体"/>
          <w:spacing w:val="76"/>
          <w:sz w:val="72"/>
          <w:szCs w:val="16"/>
        </w:rPr>
      </w:r>
      <w:r/>
    </w:p>
    <w:p>
      <w:pPr>
        <w:jc w:val="center"/>
        <w:spacing w:line="240" w:lineRule="auto"/>
        <w:rPr>
          <w:rFonts w:hint="eastAsia" w:ascii="宋体" w:hAnsi="宋体" w:eastAsia="宋体" w:cs="宋体"/>
          <w:sz w:val="36"/>
          <w:szCs w:val="36"/>
        </w:rPr>
      </w:pPr>
      <w:r>
        <w:rPr>
          <w:rFonts w:hint="eastAsia" w:ascii="宋体" w:hAnsi="宋体" w:eastAsia="宋体" w:cs="宋体"/>
          <w:spacing w:val="76"/>
          <w:sz w:val="144"/>
        </w:rPr>
        <w:t xml:space="preserve">招标文件</w:t>
      </w:r>
      <w:r/>
    </w:p>
    <w:p>
      <w:pPr>
        <w:pStyle w:val="835"/>
        <w:rPr>
          <w:rFonts w:hint="eastAsia" w:ascii="宋体" w:hAnsi="宋体" w:eastAsia="宋体" w:cs="宋体"/>
        </w:rPr>
      </w:pPr>
      <w:r>
        <w:rPr>
          <w:rFonts w:hint="eastAsia" w:ascii="宋体" w:hAnsi="宋体" w:eastAsia="宋体" w:cs="宋体"/>
        </w:rPr>
      </w:r>
      <w:r>
        <w:tab/>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left="3196" w:hanging="160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项目名称：丰县生活垃圾填埋场第三方日常运维政府购买服务项目</w:t>
      </w:r>
      <w:r/>
    </w:p>
    <w:p>
      <w:pPr>
        <w:ind w:left="3196" w:hanging="1600"/>
        <w:spacing w:line="360" w:lineRule="auto"/>
        <w:rPr>
          <w:rFonts w:hint="eastAsia" w:ascii="宋体" w:hAnsi="宋体" w:eastAsia="宋体" w:cs="宋体"/>
          <w:sz w:val="32"/>
          <w:szCs w:val="32"/>
          <w:highlight w:val="yellow"/>
        </w:rPr>
      </w:pPr>
      <w:r>
        <w:rPr>
          <w:rFonts w:hint="eastAsia" w:ascii="宋体" w:hAnsi="宋体" w:eastAsia="宋体" w:cs="宋体"/>
          <w:sz w:val="32"/>
          <w:szCs w:val="32"/>
        </w:rPr>
        <w:t xml:space="preserve">项目编号：JSZC-320321-GSGS-G2026-0001</w:t>
      </w:r>
      <w:r/>
    </w:p>
    <w:p>
      <w:pPr>
        <w:ind w:left="3196" w:hanging="1600"/>
        <w:spacing w:line="360" w:lineRule="auto"/>
        <w:rPr>
          <w:rFonts w:hint="eastAsia" w:ascii="宋体" w:hAnsi="宋体" w:eastAsia="宋体" w:cs="宋体"/>
          <w:sz w:val="32"/>
          <w:szCs w:val="32"/>
        </w:rPr>
      </w:pPr>
      <w:r>
        <w:rPr>
          <w:rFonts w:hint="eastAsia" w:ascii="宋体" w:hAnsi="宋体" w:eastAsia="宋体" w:cs="宋体"/>
          <w:sz w:val="32"/>
          <w:szCs w:val="32"/>
        </w:rPr>
        <w:t xml:space="preserve">招 标 人：丰县城市管理局</w:t>
      </w:r>
      <w:r/>
    </w:p>
    <w:p>
      <w:pPr>
        <w:rPr>
          <w:rFonts w:hint="eastAsia" w:ascii="宋体" w:hAnsi="宋体" w:eastAsia="宋体" w:cs="宋体"/>
          <w:sz w:val="32"/>
          <w:szCs w:val="32"/>
        </w:rPr>
      </w:pPr>
      <w:r>
        <w:rPr>
          <w:rFonts w:hint="eastAsia" w:ascii="宋体" w:hAnsi="宋体" w:eastAsia="宋体" w:cs="宋体"/>
          <w:sz w:val="32"/>
          <w:szCs w:val="32"/>
        </w:rPr>
      </w:r>
      <w:r/>
    </w:p>
    <w:p>
      <w:pPr>
        <w:pStyle w:val="860"/>
        <w:jc w:val="cente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28"/>
        <w:ind w:left="0"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28"/>
        <w:ind w:left="0" w:firstLine="0"/>
        <w:jc w:val="center"/>
        <w:rPr>
          <w:rFonts w:hint="eastAsia" w:ascii="宋体" w:hAnsi="宋体" w:eastAsia="宋体" w:cs="宋体"/>
        </w:rPr>
      </w:pPr>
      <w:r>
        <w:rPr>
          <w:rFonts w:hint="eastAsia" w:ascii="宋体" w:hAnsi="宋体" w:eastAsia="宋体" w:cs="宋体"/>
          <w:sz w:val="32"/>
          <w:szCs w:val="32"/>
        </w:rPr>
        <w:t xml:space="preserve">采购代理机构：江苏国双项目管理有限公司</w:t>
      </w:r>
      <w:r/>
    </w:p>
    <w:p>
      <w:pPr>
        <w:jc w:val="center"/>
        <w:rPr>
          <w:rFonts w:hint="eastAsia" w:ascii="宋体" w:hAnsi="宋体" w:eastAsia="宋体" w:cs="宋体"/>
          <w:sz w:val="32"/>
          <w:szCs w:val="32"/>
        </w:rPr>
      </w:pPr>
      <w:r>
        <w:rPr>
          <w:rFonts w:hint="eastAsia" w:ascii="宋体" w:hAnsi="宋体" w:eastAsia="宋体" w:cs="宋体"/>
          <w:sz w:val="32"/>
          <w:szCs w:val="32"/>
        </w:rPr>
        <w:t xml:space="preserve">二〇二六年</w:t>
      </w:r>
      <w:r>
        <w:rPr>
          <w:rFonts w:hint="eastAsia" w:ascii="宋体" w:hAnsi="宋体" w:eastAsia="宋体" w:cs="宋体"/>
          <w:sz w:val="32"/>
          <w:szCs w:val="32"/>
        </w:rPr>
        <w:t xml:space="preserve">十</w:t>
      </w:r>
      <w:r>
        <w:rPr>
          <w:rFonts w:hint="eastAsia" w:ascii="宋体" w:hAnsi="宋体" w:eastAsia="宋体" w:cs="宋体"/>
          <w:sz w:val="32"/>
          <w:szCs w:val="32"/>
        </w:rPr>
        <w:t xml:space="preserve">月</w:t>
      </w:r>
      <w:r/>
    </w:p>
    <w:p>
      <w:pPr>
        <w:jc w:val="center"/>
        <w:rPr>
          <w:rFonts w:hint="eastAsia" w:ascii="宋体" w:hAnsi="宋体" w:eastAsia="宋体" w:cs="宋体"/>
          <w:b/>
          <w:sz w:val="44"/>
          <w:szCs w:val="44"/>
        </w:rPr>
      </w:pPr>
      <w:r>
        <w:rPr>
          <w:rFonts w:hint="eastAsia" w:ascii="宋体" w:hAnsi="宋体" w:eastAsia="宋体" w:cs="宋体"/>
          <w:b/>
          <w:sz w:val="44"/>
          <w:szCs w:val="44"/>
        </w:rPr>
      </w:r>
      <w:r/>
    </w:p>
    <w:p>
      <w:pPr>
        <w:jc w:val="center"/>
        <w:rPr>
          <w:rFonts w:hint="eastAsia" w:ascii="宋体" w:hAnsi="宋体" w:eastAsia="宋体" w:cs="宋体"/>
          <w:b/>
          <w:sz w:val="44"/>
          <w:szCs w:val="44"/>
        </w:rPr>
        <w:sectPr>
          <w:footerReference w:type="default" r:id="rId10"/>
          <w:footnotePr/>
          <w:endnotePr/>
          <w:type w:val="nextPage"/>
          <w:pgSz w:w="11906" w:h="16838" w:orient="portrait"/>
          <w:pgMar w:top="1134" w:right="1134" w:bottom="1134" w:left="1134" w:header="851" w:footer="992" w:gutter="283"/>
          <w:cols w:num="1" w:sep="0" w:space="720" w:equalWidth="1"/>
          <w:docGrid w:linePitch="360"/>
        </w:sectPr>
      </w:pPr>
      <w:r>
        <w:rPr>
          <w:rFonts w:hint="eastAsia" w:ascii="宋体" w:hAnsi="宋体" w:eastAsia="宋体" w:cs="宋体"/>
          <w:b/>
          <w:sz w:val="44"/>
          <w:szCs w:val="44"/>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rPr>
          <w:rFonts w:hint="eastAsia" w:ascii="宋体" w:hAnsi="宋体" w:eastAsia="宋体" w:cs="宋体"/>
        </w:rPr>
      </w:pPr>
      <w:r>
        <w:rPr>
          <w:rFonts w:hint="eastAsia" w:ascii="宋体" w:hAnsi="宋体" w:eastAsia="宋体" w:cs="宋体"/>
        </w:rPr>
      </w:r>
      <w:r/>
    </w:p>
    <w:p>
      <w:pPr>
        <w:pStyle w:val="842"/>
        <w:tabs>
          <w:tab w:val="right" w:pos="9355" w:leader="dot"/>
        </w:tabs>
        <w:rPr>
          <w:rFonts w:hint="eastAsia" w:ascii="宋体" w:hAnsi="宋体" w:eastAsia="宋体" w:cs="宋体"/>
        </w:rPr>
      </w:pP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TOC \o "1-1" \h \u </w:instrText>
      </w:r>
      <w:r>
        <w:rPr>
          <w:rFonts w:hint="eastAsia" w:ascii="宋体" w:hAnsi="宋体" w:eastAsia="宋体" w:cs="宋体"/>
          <w:sz w:val="28"/>
          <w:szCs w:val="21"/>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"_Toc428" </w:instrText>
      </w:r>
      <w:r>
        <w:rPr>
          <w:rFonts w:hint="eastAsia" w:ascii="宋体" w:hAnsi="宋体" w:eastAsia="宋体" w:cs="宋体"/>
        </w:rPr>
        <w:fldChar w:fldCharType="separate"/>
      </w:r>
      <w:r>
        <w:rPr>
          <w:rFonts w:hint="eastAsia" w:ascii="宋体" w:hAnsi="宋体" w:eastAsia="宋体" w:cs="宋体"/>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_Toc428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"_Toc14611" </w:instrText>
      </w:r>
      <w:r>
        <w:rPr>
          <w:rFonts w:hint="eastAsia" w:ascii="宋体" w:hAnsi="宋体" w:eastAsia="宋体" w:cs="宋体"/>
        </w:rPr>
        <w:fldChar w:fldCharType="separate"/>
      </w:r>
      <w:r>
        <w:rPr>
          <w:rFonts w:hint="eastAsia" w:ascii="宋体" w:hAnsi="宋体" w:eastAsia="宋体" w:cs="宋体"/>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_Toc14611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"_Toc20443" </w:instrText>
      </w:r>
      <w:r>
        <w:rPr>
          <w:rFonts w:hint="eastAsia" w:ascii="宋体" w:hAnsi="宋体" w:eastAsia="宋体" w:cs="宋体"/>
        </w:rPr>
        <w:fldChar w:fldCharType="separate"/>
      </w:r>
      <w:r>
        <w:rPr>
          <w:rFonts w:hint="eastAsia" w:ascii="宋体" w:hAnsi="宋体" w:eastAsia="宋体" w:cs="宋体"/>
        </w:rPr>
        <w:t xml:space="preserve">第三章 投标资料表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_Toc20443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"_Toc9589" </w:instrText>
      </w:r>
      <w:r>
        <w:rPr>
          <w:rFonts w:hint="eastAsia" w:ascii="宋体" w:hAnsi="宋体" w:eastAsia="宋体" w:cs="宋体"/>
        </w:rPr>
        <w:fldChar w:fldCharType="separate"/>
      </w:r>
      <w:r>
        <w:rPr>
          <w:rFonts w:hint="eastAsia" w:ascii="宋体" w:hAnsi="宋体" w:eastAsia="宋体" w:cs="宋体"/>
        </w:rPr>
        <w:t xml:space="preserve">第四章 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_Toc9589 </w:instrText>
      </w:r>
      <w:r>
        <w:rPr>
          <w:rFonts w:hint="eastAsia" w:ascii="宋体" w:hAnsi="宋体" w:eastAsia="宋体" w:cs="宋体"/>
        </w:rPr>
        <w:fldChar w:fldCharType="separate"/>
      </w:r>
      <w:r>
        <w:rPr>
          <w:rFonts w:hint="eastAsia" w:ascii="宋体" w:hAnsi="宋体" w:eastAsia="宋体" w:cs="宋体"/>
        </w:rPr>
        <w:t xml:space="preserve">25</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"_Toc9219" </w:instrText>
      </w:r>
      <w:r>
        <w:rPr>
          <w:rFonts w:hint="eastAsia" w:ascii="宋体" w:hAnsi="宋体" w:eastAsia="宋体" w:cs="宋体"/>
        </w:rPr>
        <w:fldChar w:fldCharType="separate"/>
      </w:r>
      <w:r>
        <w:rPr>
          <w:rFonts w:hint="eastAsia" w:ascii="宋体" w:hAnsi="宋体" w:eastAsia="宋体" w:cs="宋体"/>
          <w:szCs w:val="40"/>
        </w:rPr>
        <w:t xml:space="preserve">第五章 </w:t>
      </w:r>
      <w:r>
        <w:rPr>
          <w:rFonts w:hint="eastAsia" w:ascii="宋体" w:hAnsi="宋体" w:eastAsia="宋体" w:cs="宋体"/>
        </w:rPr>
        <w:t xml:space="preserve">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_Toc9219 </w:instrText>
      </w:r>
      <w:r>
        <w:rPr>
          <w:rFonts w:hint="eastAsia" w:ascii="宋体" w:hAnsi="宋体" w:eastAsia="宋体" w:cs="宋体"/>
        </w:rPr>
        <w:fldChar w:fldCharType="separate"/>
      </w:r>
      <w:r>
        <w:rPr>
          <w:rFonts w:hint="eastAsia" w:ascii="宋体" w:hAnsi="宋体" w:eastAsia="宋体" w:cs="宋体"/>
        </w:rPr>
        <w:t xml:space="preserve">30</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"_Toc697" </w:instrText>
      </w:r>
      <w:r>
        <w:rPr>
          <w:rFonts w:hint="eastAsia" w:ascii="宋体" w:hAnsi="宋体" w:eastAsia="宋体" w:cs="宋体"/>
        </w:rPr>
        <w:fldChar w:fldCharType="separate"/>
      </w:r>
      <w:r>
        <w:rPr>
          <w:rFonts w:hint="eastAsia" w:ascii="宋体" w:hAnsi="宋体" w:eastAsia="宋体" w:cs="宋体"/>
        </w:rPr>
        <w:t xml:space="preserve">第六章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_Toc697 </w:instrText>
      </w:r>
      <w:r>
        <w:rPr>
          <w:rFonts w:hint="eastAsia" w:ascii="宋体" w:hAnsi="宋体" w:eastAsia="宋体" w:cs="宋体"/>
        </w:rPr>
        <w:fldChar w:fldCharType="separate"/>
      </w:r>
      <w:r>
        <w:rPr>
          <w:rFonts w:hint="eastAsia" w:ascii="宋体" w:hAnsi="宋体" w:eastAsia="宋体" w:cs="宋体"/>
        </w:rPr>
        <w:t xml:space="preserve">37</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"_Toc3629" </w:instrText>
      </w:r>
      <w:r>
        <w:rPr>
          <w:rFonts w:hint="eastAsia" w:ascii="宋体" w:hAnsi="宋体" w:eastAsia="宋体" w:cs="宋体"/>
        </w:rPr>
        <w:fldChar w:fldCharType="separate"/>
      </w:r>
      <w:r>
        <w:rPr>
          <w:rFonts w:hint="eastAsia" w:ascii="宋体" w:hAnsi="宋体" w:eastAsia="宋体" w:cs="宋体"/>
        </w:rPr>
        <w:t xml:space="preserve">第七章 投标文件相关格式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_Toc3629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rPr>
        <w:fldChar w:fldCharType="end"/>
      </w:r>
      <w:r/>
    </w:p>
    <w:p>
      <w:pPr>
        <w:spacing w:line="480" w:lineRule="auto"/>
        <w:rPr>
          <w:rFonts w:hint="eastAsia" w:ascii="宋体" w:hAnsi="宋体" w:eastAsia="宋体" w:cs="宋体"/>
        </w:rPr>
      </w:pPr>
      <w:r>
        <w:rPr>
          <w:rFonts w:hint="eastAsia" w:ascii="宋体" w:hAnsi="宋体" w:eastAsia="宋体" w:cs="宋体"/>
          <w:szCs w:val="21"/>
        </w:rPr>
        <w:fldChar w:fldCharType="end"/>
      </w:r>
      <w:r/>
    </w:p>
    <w:p>
      <w:pPr>
        <w:pStyle w:val="866"/>
        <w:jc w:val="center"/>
        <w:spacing w:line="520" w:lineRule="exact"/>
        <w:rPr>
          <w:rFonts w:hint="eastAsia" w:ascii="宋体" w:hAnsi="宋体" w:eastAsia="宋体" w:cs="宋体"/>
          <w:b/>
          <w:sz w:val="44"/>
          <w:szCs w:val="44"/>
        </w:rPr>
        <w:sectPr>
          <w:footerReference w:type="default" r:id="rId11"/>
          <w:footnotePr/>
          <w:endnotePr/>
          <w:type w:val="nextPage"/>
          <w:pgSz w:w="11906" w:h="16838" w:orient="portrait"/>
          <w:pgMar w:top="1134" w:right="1134" w:bottom="1134" w:left="1134" w:header="851" w:footer="992" w:gutter="283"/>
          <w:cols w:num="1" w:sep="0" w:space="720" w:equalWidth="1"/>
          <w:docGrid w:linePitch="360"/>
        </w:sectPr>
      </w:pPr>
      <w:r/>
      <w:bookmarkStart w:id="44" w:name="_GoBack"/>
      <w:r/>
      <w:bookmarkEnd w:id="44"/>
      <w:r/>
      <w:r/>
    </w:p>
    <w:p>
      <w:pPr>
        <w:pStyle w:val="866"/>
        <w:jc w:val="center"/>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丰县城市管理局</w:t>
      </w:r>
      <w:r/>
    </w:p>
    <w:p>
      <w:pPr>
        <w:pStyle w:val="866"/>
        <w:jc w:val="center"/>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《丰县生活垃圾填埋场第三方日常运维政府购买服务项目》</w:t>
      </w:r>
      <w:r/>
    </w:p>
    <w:p>
      <w:pPr>
        <w:pStyle w:val="866"/>
        <w:jc w:val="center"/>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招标文件</w:t>
      </w:r>
      <w:r/>
    </w:p>
    <w:p>
      <w:pPr>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eastAsia="宋体" w:cs="宋体"/>
        </w:rPr>
      </w:pPr>
      <w:r>
        <w:rPr>
          <w:rFonts w:hint="eastAsia" w:ascii="宋体" w:hAnsi="宋体" w:eastAsia="宋体" w:cs="宋体"/>
        </w:rPr>
      </w:r>
      <w:r/>
    </w:p>
    <w:p>
      <w:pPr>
        <w:pStyle w:val="877"/>
        <w:ind w:left="0" w:firstLine="0"/>
        <w:jc w:val="center"/>
        <w:spacing w:line="360" w:lineRule="auto"/>
        <w:rPr>
          <w:rFonts w:hint="eastAsia" w:ascii="宋体" w:hAnsi="宋体" w:eastAsia="宋体" w:cs="宋体"/>
        </w:rPr>
      </w:pPr>
      <w:r/>
      <w:bookmarkStart w:id="0" w:name="_Toc428"/>
      <w:r/>
      <w:bookmarkStart w:id="1" w:name="_Toc523404695"/>
      <w:r>
        <w:rPr>
          <w:rFonts w:hint="eastAsia" w:ascii="宋体" w:hAnsi="宋体" w:eastAsia="宋体" w:cs="宋体"/>
        </w:rPr>
        <w:t xml:space="preserve">第一章 投标邀请</w:t>
      </w:r>
      <w:bookmarkEnd w:id="0"/>
      <w:r/>
      <w:bookmarkEnd w:id="1"/>
      <w:r/>
      <w:r/>
    </w:p>
    <w:p>
      <w:pPr>
        <w:ind w:firstLine="480"/>
        <w:spacing w:line="360" w:lineRule="auto"/>
        <w:rPr>
          <w:rFonts w:hint="eastAsia" w:ascii="宋体" w:hAnsi="宋体" w:eastAsia="宋体" w:cs="宋体"/>
        </w:rPr>
      </w:pPr>
      <w:r>
        <w:rPr>
          <w:rFonts w:hint="eastAsia" w:ascii="宋体" w:hAnsi="宋体" w:eastAsia="宋体" w:cs="宋体"/>
        </w:rPr>
        <w:t xml:space="preserve">江苏国双项目管理有限公司对丰县城市管理局“丰县生活垃圾填埋场第三方日常运维政府购买服务项目”进行公开招标采购，现邀请符合相关条件的供应商投标。</w:t>
      </w:r>
      <w:r/>
    </w:p>
    <w:p>
      <w:pPr>
        <w:spacing w:line="360" w:lineRule="auto"/>
        <w:rPr>
          <w:rFonts w:hint="eastAsia" w:ascii="宋体" w:hAnsi="宋体" w:eastAsia="宋体" w:cs="宋体"/>
          <w:b/>
          <w:bCs/>
        </w:rPr>
      </w:pPr>
      <w:r>
        <w:rPr>
          <w:rFonts w:hint="eastAsia" w:ascii="宋体" w:hAnsi="宋体" w:eastAsia="宋体" w:cs="宋体"/>
          <w:b/>
          <w:bCs/>
        </w:rPr>
        <w:t xml:space="preserve">一、项目名称和项目编号</w:t>
      </w:r>
      <w:r/>
    </w:p>
    <w:p>
      <w:pPr>
        <w:ind w:firstLine="480"/>
        <w:spacing w:line="360" w:lineRule="auto"/>
        <w:rPr>
          <w:rFonts w:hint="eastAsia" w:ascii="宋体" w:hAnsi="宋体" w:eastAsia="宋体" w:cs="宋体"/>
        </w:rPr>
      </w:pPr>
      <w:r>
        <w:rPr>
          <w:rFonts w:hint="eastAsia" w:ascii="宋体" w:hAnsi="宋体" w:eastAsia="宋体" w:cs="宋体"/>
        </w:rPr>
        <w:t xml:space="preserve">(一)项目名称：丰县生活垃圾填埋场第三方日常运维政府购买服务项目</w:t>
      </w:r>
      <w:r/>
    </w:p>
    <w:p>
      <w:pPr>
        <w:ind w:firstLine="480"/>
        <w:spacing w:line="360" w:lineRule="auto"/>
        <w:rPr>
          <w:rFonts w:hint="eastAsia" w:ascii="宋体" w:hAnsi="宋体" w:eastAsia="宋体" w:cs="宋体"/>
        </w:rPr>
      </w:pPr>
      <w:r>
        <w:rPr>
          <w:rFonts w:hint="eastAsia" w:ascii="宋体" w:hAnsi="宋体" w:eastAsia="宋体" w:cs="宋体"/>
        </w:rPr>
        <w:t xml:space="preserve">(二)项目编号：JSZC-320321-GSGS-G2026-0001</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二、对投标人的资格要求</w:t>
      </w:r>
      <w:r/>
    </w:p>
    <w:p>
      <w:pPr>
        <w:ind w:firstLine="480"/>
        <w:spacing w:line="360" w:lineRule="auto"/>
        <w:rPr>
          <w:rFonts w:hint="eastAsia" w:ascii="宋体" w:hAnsi="宋体" w:eastAsia="宋体" w:cs="宋体"/>
        </w:rPr>
      </w:pPr>
      <w:r>
        <w:rPr>
          <w:rFonts w:hint="eastAsia" w:ascii="宋体" w:hAnsi="宋体" w:eastAsia="宋体" w:cs="宋体"/>
        </w:rPr>
        <w:t xml:space="preserve">详见本项目公开招标公告。</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三、获取招标文件</w:t>
      </w:r>
      <w:r/>
    </w:p>
    <w:p>
      <w:pPr>
        <w:ind w:firstLine="480"/>
        <w:spacing w:line="360" w:lineRule="auto"/>
        <w:rPr>
          <w:rFonts w:hint="eastAsia" w:ascii="宋体" w:hAnsi="宋体" w:eastAsia="宋体" w:cs="宋体"/>
        </w:rPr>
      </w:pPr>
      <w:r>
        <w:rPr>
          <w:rFonts w:hint="eastAsia" w:ascii="宋体" w:hAnsi="宋体" w:eastAsia="宋体" w:cs="宋体"/>
        </w:rPr>
        <w:t xml:space="preserve"> （一）潜在投标人访问电子招标投标交易平台的网络地址和方法：</w:t>
      </w:r>
      <w:r/>
    </w:p>
    <w:p>
      <w:pPr>
        <w:ind w:firstLine="480"/>
        <w:spacing w:line="360" w:lineRule="auto"/>
        <w:rPr>
          <w:rFonts w:hint="eastAsia" w:ascii="宋体" w:hAnsi="宋体" w:eastAsia="宋体" w:cs="宋体"/>
        </w:rPr>
      </w:pPr>
      <w:r>
        <w:rPr>
          <w:rFonts w:hint="eastAsia" w:ascii="宋体" w:hAnsi="宋体" w:eastAsia="宋体" w:cs="宋体"/>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rPr>
      </w:pPr>
      <w:r>
        <w:rPr>
          <w:rFonts w:hint="eastAsia" w:ascii="宋体" w:hAnsi="宋体" w:eastAsia="宋体" w:cs="宋体"/>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480"/>
        <w:spacing w:line="360" w:lineRule="auto"/>
        <w:rPr>
          <w:rFonts w:hint="eastAsia" w:ascii="宋体" w:hAnsi="宋体" w:eastAsia="宋体" w:cs="宋体"/>
        </w:rPr>
      </w:pPr>
      <w:r>
        <w:rPr>
          <w:rFonts w:hint="eastAsia" w:ascii="宋体" w:hAnsi="宋体" w:eastAsia="宋体" w:cs="宋体"/>
        </w:rPr>
        <w:t xml:space="preserve">（3）“CA数字证书”的获取：</w:t>
      </w:r>
      <w:r/>
    </w:p>
    <w:p>
      <w:pPr>
        <w:ind w:firstLine="480"/>
        <w:spacing w:line="360" w:lineRule="auto"/>
        <w:rPr>
          <w:rFonts w:hint="eastAsia" w:ascii="宋体" w:hAnsi="宋体" w:eastAsia="宋体" w:cs="宋体"/>
        </w:rPr>
      </w:pPr>
      <w:r>
        <w:rPr>
          <w:rFonts w:hint="eastAsia" w:ascii="宋体" w:hAnsi="宋体" w:eastAsia="宋体" w:cs="宋体"/>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eastAsia="宋体" w:cs="宋体"/>
        </w:rPr>
      </w:pPr>
      <w:r>
        <w:rPr>
          <w:rFonts w:hint="eastAsia" w:ascii="宋体" w:hAnsi="宋体" w:eastAsia="宋体" w:cs="宋体"/>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spacing w:line="360" w:lineRule="auto"/>
        <w:rPr>
          <w:rFonts w:hint="eastAsia" w:ascii="宋体" w:hAnsi="宋体" w:eastAsia="宋体" w:cs="宋体"/>
        </w:rPr>
      </w:pPr>
      <w:r>
        <w:rPr>
          <w:rFonts w:hint="eastAsia" w:ascii="宋体" w:hAnsi="宋体" w:eastAsia="宋体" w:cs="宋体"/>
        </w:rPr>
        <w:t xml:space="preserve">（二）采购代理机构将数据电文形式的招标文件加载至电子招标投标交易平台，供潜在投标人下载或者查阅。</w:t>
      </w:r>
      <w:r/>
    </w:p>
    <w:p>
      <w:pPr>
        <w:ind w:firstLine="480"/>
        <w:spacing w:line="360" w:lineRule="auto"/>
        <w:rPr>
          <w:rFonts w:hint="eastAsia" w:ascii="宋体" w:hAnsi="宋体" w:eastAsia="宋体" w:cs="宋体"/>
        </w:rPr>
      </w:pPr>
      <w:r>
        <w:rPr>
          <w:rFonts w:hint="eastAsia" w:ascii="宋体" w:hAnsi="宋体" w:eastAsia="宋体" w:cs="宋体"/>
        </w:rPr>
        <w:t xml:space="preserve">（三）售价：免费。</w:t>
      </w:r>
      <w:r/>
    </w:p>
    <w:p>
      <w:pPr>
        <w:spacing w:line="360" w:lineRule="auto"/>
        <w:rPr>
          <w:rFonts w:hint="eastAsia" w:ascii="宋体" w:hAnsi="宋体" w:eastAsia="宋体" w:cs="宋体"/>
          <w:b/>
          <w:bCs/>
          <w:szCs w:val="22"/>
          <w:highlight w:val="none"/>
        </w:rPr>
      </w:pPr>
      <w:r>
        <w:rPr>
          <w:rFonts w:hint="eastAsia" w:ascii="宋体" w:hAnsi="宋体" w:eastAsia="宋体" w:cs="宋体"/>
          <w:b/>
          <w:bCs/>
          <w:szCs w:val="22"/>
        </w:rPr>
        <w:t xml:space="preserve">四</w:t>
      </w:r>
      <w:r>
        <w:rPr>
          <w:rFonts w:hint="eastAsia" w:ascii="宋体" w:hAnsi="宋体" w:eastAsia="宋体" w:cs="宋体"/>
          <w:b/>
          <w:bCs/>
          <w:szCs w:val="22"/>
          <w:highlight w:val="none"/>
        </w:rPr>
        <w:t xml:space="preserve">、投标有关信息</w:t>
      </w:r>
      <w:r>
        <w:rPr>
          <w:highlight w:val="none"/>
        </w:rPr>
      </w:r>
      <w:r/>
    </w:p>
    <w:p>
      <w:pPr>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（一）</w:t>
      </w:r>
      <w:r>
        <w:rPr>
          <w:rFonts w:hint="eastAsia" w:ascii="宋体" w:hAnsi="宋体" w:eastAsia="宋体" w:cs="宋体"/>
          <w:b/>
          <w:bCs/>
          <w:highlight w:val="none"/>
        </w:rPr>
        <w:t xml:space="preserve">投标截止时间：2026年11月04日北京时间09：30。</w:t>
      </w:r>
      <w:r>
        <w:rPr>
          <w:highlight w:val="none"/>
        </w:rPr>
      </w:r>
      <w:r/>
    </w:p>
    <w:p>
      <w:pPr>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（二）开标时间：2026年11月04日北京时间09：30。</w:t>
      </w:r>
      <w:r>
        <w:rPr>
          <w:highlight w:val="none"/>
        </w:rPr>
      </w:r>
      <w:r/>
    </w:p>
    <w:p>
      <w:pPr>
        <w:ind w:firstLine="480"/>
        <w:spacing w:line="360" w:lineRule="auto"/>
        <w:rPr>
          <w:rFonts w:hint="eastAsia" w:ascii="宋体" w:hAnsi="宋体" w:eastAsia="宋体" w:cs="宋体"/>
        </w:rPr>
      </w:pPr>
      <w:r>
        <w:rPr>
          <w:rFonts w:hint="eastAsia" w:ascii="宋体" w:hAnsi="宋体" w:eastAsia="宋体" w:cs="宋体"/>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五、采购人</w:t>
      </w:r>
      <w:r/>
    </w:p>
    <w:p>
      <w:pPr>
        <w:ind w:firstLine="480"/>
        <w:spacing w:line="360" w:lineRule="auto"/>
        <w:rPr>
          <w:rFonts w:hint="eastAsia" w:ascii="宋体" w:hAnsi="宋体" w:eastAsia="宋体" w:cs="宋体"/>
        </w:rPr>
      </w:pPr>
      <w:r>
        <w:rPr>
          <w:rFonts w:hint="eastAsia" w:ascii="宋体" w:hAnsi="宋体" w:eastAsia="宋体" w:cs="宋体"/>
        </w:rPr>
        <w:t xml:space="preserve">（一）名称：丰县城市管理局</w:t>
      </w:r>
      <w:r/>
    </w:p>
    <w:p>
      <w:pPr>
        <w:ind w:firstLine="480"/>
        <w:spacing w:line="360" w:lineRule="auto"/>
        <w:rPr>
          <w:rFonts w:hint="eastAsia" w:ascii="宋体" w:hAnsi="宋体" w:eastAsia="宋体" w:cs="宋体"/>
          <w:color w:val="auto"/>
          <w:lang w:val="en-US" w:eastAsia="zh-CN"/>
        </w:rPr>
      </w:pPr>
      <w:r>
        <w:rPr>
          <w:rFonts w:hint="eastAsia" w:ascii="宋体" w:hAnsi="宋体" w:eastAsia="宋体" w:cs="宋体"/>
          <w:color w:val="auto"/>
        </w:rPr>
        <w:t xml:space="preserve">（二）地址：徐州市丰县</w:t>
      </w:r>
      <w:r>
        <w:rPr>
          <w:rFonts w:hint="eastAsia" w:ascii="宋体" w:hAnsi="宋体" w:eastAsia="宋体" w:cs="宋体"/>
          <w:color w:val="auto"/>
          <w:lang w:eastAsia="zh-CN"/>
        </w:rPr>
        <w:t xml:space="preserve">中阳大道西段</w:t>
      </w:r>
      <w:r>
        <w:rPr>
          <w:rFonts w:hint="eastAsia" w:ascii="宋体" w:hAnsi="宋体" w:eastAsia="宋体" w:cs="宋体"/>
          <w:color w:val="auto"/>
          <w:lang w:val="en-US" w:eastAsia="zh-CN"/>
        </w:rPr>
        <w:t xml:space="preserve">237号</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（三）联系方式： 18952126728</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（四）采购项目联系人：贾永佳</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六、采购代理机构</w:t>
      </w:r>
      <w:r/>
    </w:p>
    <w:p>
      <w:pPr>
        <w:ind w:firstLine="480"/>
        <w:spacing w:line="360" w:lineRule="auto"/>
        <w:rPr>
          <w:rFonts w:hint="eastAsia" w:ascii="宋体" w:hAnsi="宋体" w:eastAsia="宋体" w:cs="宋体"/>
        </w:rPr>
      </w:pPr>
      <w:r>
        <w:rPr>
          <w:rFonts w:hint="eastAsia" w:ascii="宋体" w:hAnsi="宋体" w:eastAsia="宋体" w:cs="宋体"/>
        </w:rPr>
        <w:t xml:space="preserve">（一）名称：江苏国双项目管理有限公司</w:t>
      </w:r>
      <w:r/>
    </w:p>
    <w:p>
      <w:pPr>
        <w:ind w:firstLine="480"/>
        <w:spacing w:line="360" w:lineRule="auto"/>
        <w:rPr>
          <w:rFonts w:hint="eastAsia" w:ascii="宋体" w:hAnsi="宋体" w:eastAsia="宋体" w:cs="宋体"/>
        </w:rPr>
      </w:pPr>
      <w:r>
        <w:rPr>
          <w:rFonts w:hint="eastAsia" w:ascii="宋体" w:hAnsi="宋体" w:eastAsia="宋体" w:cs="宋体"/>
        </w:rPr>
        <w:t xml:space="preserve">（二）地址：宿迁市沭阳县马厂镇工业园区49号</w:t>
      </w:r>
      <w:r/>
    </w:p>
    <w:p>
      <w:pPr>
        <w:ind w:firstLine="480"/>
        <w:spacing w:line="360" w:lineRule="auto"/>
        <w:rPr>
          <w:rFonts w:hint="eastAsia" w:ascii="宋体" w:hAnsi="宋体" w:eastAsia="宋体" w:cs="宋体"/>
        </w:rPr>
      </w:pPr>
      <w:r>
        <w:rPr>
          <w:rFonts w:hint="eastAsia" w:ascii="宋体" w:hAnsi="宋体" w:eastAsia="宋体" w:cs="宋体"/>
        </w:rPr>
        <w:t xml:space="preserve">（三）联系方法：18361777153</w:t>
      </w:r>
      <w:r/>
    </w:p>
    <w:p>
      <w:pPr>
        <w:ind w:firstLine="480"/>
        <w:spacing w:line="360" w:lineRule="auto"/>
        <w:rPr>
          <w:rFonts w:hint="eastAsia" w:ascii="宋体" w:hAnsi="宋体" w:eastAsia="宋体" w:cs="宋体"/>
        </w:rPr>
      </w:pPr>
      <w:r>
        <w:rPr>
          <w:rFonts w:hint="eastAsia" w:ascii="宋体" w:hAnsi="宋体" w:eastAsia="宋体" w:cs="宋体"/>
        </w:rPr>
        <w:t xml:space="preserve">（四）采购项目联系人：叶利国</w:t>
      </w:r>
      <w:r>
        <w:rPr>
          <w:rFonts w:hint="eastAsia" w:ascii="宋体" w:hAnsi="宋体" w:eastAsia="宋体" w:cs="宋体"/>
        </w:rPr>
        <w:br w:type="page" w:clear="all"/>
      </w:r>
      <w:r/>
    </w:p>
    <w:p>
      <w:pPr>
        <w:pStyle w:val="877"/>
        <w:ind w:left="0" w:firstLine="0"/>
        <w:jc w:val="center"/>
        <w:spacing w:line="360" w:lineRule="auto"/>
        <w:rPr>
          <w:rFonts w:hint="eastAsia" w:ascii="宋体" w:hAnsi="宋体" w:eastAsia="宋体" w:cs="宋体"/>
        </w:rPr>
      </w:pPr>
      <w:r/>
      <w:bookmarkStart w:id="2" w:name="_Toc14611"/>
      <w:r>
        <w:rPr>
          <w:rFonts w:hint="eastAsia" w:ascii="宋体" w:hAnsi="宋体" w:eastAsia="宋体" w:cs="宋体"/>
        </w:rPr>
        <w:t xml:space="preserve">第二章 投标人须知</w:t>
      </w:r>
      <w:bookmarkEnd w:id="2"/>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一、总则</w:t>
      </w:r>
      <w:r/>
    </w:p>
    <w:p>
      <w:pPr>
        <w:ind w:firstLine="480"/>
        <w:spacing w:line="360" w:lineRule="auto"/>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ind w:firstLine="480"/>
        <w:spacing w:line="360" w:lineRule="auto"/>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rPr>
      </w:pPr>
      <w:r>
        <w:rPr>
          <w:rFonts w:hint="eastAsia" w:ascii="宋体" w:hAnsi="宋体" w:eastAsia="宋体" w:cs="宋体"/>
        </w:rPr>
        <w:t xml:space="preserve">（六）投标人的资格条件：</w:t>
      </w:r>
      <w:r/>
    </w:p>
    <w:p>
      <w:pPr>
        <w:ind w:firstLine="480"/>
        <w:spacing w:line="360" w:lineRule="auto"/>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ind w:firstLine="480"/>
        <w:spacing w:line="360" w:lineRule="auto"/>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ind w:firstLine="480"/>
        <w:spacing w:line="360" w:lineRule="auto"/>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二、招标</w:t>
      </w:r>
      <w:r/>
    </w:p>
    <w:p>
      <w:pPr>
        <w:ind w:firstLine="480"/>
        <w:spacing w:line="360" w:lineRule="auto"/>
        <w:rPr>
          <w:rFonts w:hint="eastAsia" w:ascii="宋体" w:hAnsi="宋体" w:eastAsia="宋体" w:cs="宋体"/>
        </w:rPr>
      </w:pPr>
      <w:r>
        <w:rPr>
          <w:rFonts w:hint="eastAsia" w:ascii="宋体" w:hAnsi="宋体" w:eastAsia="宋体" w:cs="宋体"/>
        </w:rPr>
        <w:t xml:space="preserve">（八）招标文件应包括以下内容：</w:t>
      </w:r>
      <w:r/>
    </w:p>
    <w:p>
      <w:pPr>
        <w:ind w:firstLine="480"/>
        <w:spacing w:line="360" w:lineRule="auto"/>
        <w:rPr>
          <w:rFonts w:hint="eastAsia" w:ascii="宋体" w:hAnsi="宋体" w:eastAsia="宋体" w:cs="宋体"/>
        </w:rPr>
      </w:pPr>
      <w:r>
        <w:rPr>
          <w:rFonts w:hint="eastAsia" w:ascii="宋体" w:hAnsi="宋体" w:eastAsia="宋体" w:cs="宋体"/>
        </w:rPr>
        <w:t xml:space="preserve">第一章，投标邀请；</w:t>
      </w:r>
      <w:r/>
    </w:p>
    <w:p>
      <w:pPr>
        <w:ind w:firstLine="480"/>
        <w:spacing w:line="360" w:lineRule="auto"/>
        <w:rPr>
          <w:rFonts w:hint="eastAsia" w:ascii="宋体" w:hAnsi="宋体" w:eastAsia="宋体" w:cs="宋体"/>
        </w:rPr>
      </w:pPr>
      <w:r>
        <w:rPr>
          <w:rFonts w:hint="eastAsia" w:ascii="宋体" w:hAnsi="宋体" w:eastAsia="宋体" w:cs="宋体"/>
        </w:rPr>
        <w:t xml:space="preserve">第二章，投标人须知；</w:t>
      </w:r>
      <w:r/>
    </w:p>
    <w:p>
      <w:pPr>
        <w:ind w:firstLine="480"/>
        <w:spacing w:line="360" w:lineRule="auto"/>
        <w:rPr>
          <w:rFonts w:hint="eastAsia" w:ascii="宋体" w:hAnsi="宋体" w:eastAsia="宋体" w:cs="宋体"/>
        </w:rPr>
      </w:pPr>
      <w:r>
        <w:rPr>
          <w:rFonts w:hint="eastAsia" w:ascii="宋体" w:hAnsi="宋体" w:eastAsia="宋体" w:cs="宋体"/>
        </w:rPr>
        <w:t xml:space="preserve">第三章，投标资料表；</w:t>
      </w:r>
      <w:r/>
    </w:p>
    <w:p>
      <w:pPr>
        <w:ind w:firstLine="480"/>
        <w:spacing w:line="360" w:lineRule="auto"/>
        <w:rPr>
          <w:rFonts w:hint="eastAsia" w:ascii="宋体" w:hAnsi="宋体" w:eastAsia="宋体" w:cs="宋体"/>
        </w:rPr>
      </w:pPr>
      <w:r>
        <w:rPr>
          <w:rFonts w:hint="eastAsia" w:ascii="宋体" w:hAnsi="宋体" w:eastAsia="宋体" w:cs="宋体"/>
        </w:rPr>
        <w:t xml:space="preserve">第四章，评标标准；</w:t>
      </w:r>
      <w:r/>
    </w:p>
    <w:p>
      <w:pPr>
        <w:ind w:firstLine="480"/>
        <w:spacing w:line="360" w:lineRule="auto"/>
        <w:rPr>
          <w:rFonts w:hint="eastAsia" w:ascii="宋体" w:hAnsi="宋体" w:eastAsia="宋体" w:cs="宋体"/>
        </w:rPr>
      </w:pPr>
      <w:r>
        <w:rPr>
          <w:rFonts w:hint="eastAsia" w:ascii="宋体" w:hAnsi="宋体" w:eastAsia="宋体" w:cs="宋体"/>
        </w:rPr>
        <w:t xml:space="preserve">第五章，拟签订的合同文本；</w:t>
      </w:r>
      <w:r/>
    </w:p>
    <w:p>
      <w:pPr>
        <w:ind w:firstLine="480"/>
        <w:spacing w:line="360" w:lineRule="auto"/>
        <w:rPr>
          <w:rFonts w:hint="eastAsia" w:ascii="宋体" w:hAnsi="宋体" w:eastAsia="宋体" w:cs="宋体"/>
        </w:rPr>
      </w:pPr>
      <w:r>
        <w:rPr>
          <w:rFonts w:hint="eastAsia" w:ascii="宋体" w:hAnsi="宋体" w:eastAsia="宋体" w:cs="宋体"/>
        </w:rPr>
        <w:t xml:space="preserve">第六章，采购需求；</w:t>
      </w:r>
      <w:r/>
    </w:p>
    <w:p>
      <w:pPr>
        <w:ind w:firstLine="480"/>
        <w:spacing w:line="360" w:lineRule="auto"/>
        <w:rPr>
          <w:rFonts w:hint="eastAsia" w:ascii="宋体" w:hAnsi="宋体" w:eastAsia="宋体" w:cs="宋体"/>
        </w:rPr>
      </w:pPr>
      <w:r>
        <w:rPr>
          <w:rFonts w:hint="eastAsia" w:ascii="宋体" w:hAnsi="宋体" w:eastAsia="宋体" w:cs="宋体"/>
        </w:rPr>
        <w:t xml:space="preserve">第七章，投标文件相关格式。</w:t>
      </w:r>
      <w:r/>
    </w:p>
    <w:p>
      <w:pPr>
        <w:ind w:firstLine="480"/>
        <w:spacing w:line="360" w:lineRule="auto"/>
        <w:rPr>
          <w:rFonts w:hint="eastAsia" w:ascii="宋体" w:hAnsi="宋体" w:eastAsia="宋体" w:cs="宋体"/>
        </w:rPr>
      </w:pPr>
      <w:r>
        <w:rPr>
          <w:rFonts w:hint="eastAsia" w:ascii="宋体" w:hAnsi="宋体" w:eastAsia="宋体" w:cs="宋体"/>
        </w:rPr>
        <w:t xml:space="preserve">（九）招标文件澄清或者修改：</w:t>
      </w:r>
      <w:r/>
    </w:p>
    <w:p>
      <w:pPr>
        <w:ind w:firstLine="480"/>
        <w:spacing w:line="360" w:lineRule="auto"/>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三、投标</w:t>
      </w:r>
      <w:r/>
    </w:p>
    <w:p>
      <w:pPr>
        <w:ind w:firstLine="480"/>
        <w:spacing w:line="360" w:lineRule="auto"/>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eastAsia="宋体" w:cs="宋体"/>
        </w:rPr>
      </w:pPr>
      <w:r>
        <w:rPr>
          <w:rFonts w:hint="eastAsia" w:ascii="宋体" w:hAnsi="宋体" w:eastAsia="宋体" w:cs="宋体"/>
        </w:rPr>
        <w:t xml:space="preserve">（十二）投标文件的构成：</w:t>
      </w:r>
      <w:r/>
    </w:p>
    <w:p>
      <w:pPr>
        <w:ind w:firstLine="480"/>
        <w:spacing w:line="360" w:lineRule="auto"/>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ind w:firstLine="480"/>
        <w:spacing w:line="360" w:lineRule="auto"/>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（十四）投标报价要求：</w:t>
      </w:r>
      <w:r/>
    </w:p>
    <w:p>
      <w:pPr>
        <w:ind w:firstLine="480"/>
        <w:spacing w:line="360" w:lineRule="auto"/>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ind w:firstLine="480"/>
        <w:spacing w:line="360" w:lineRule="auto"/>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 采购人不支付报价以外的任何费用。本项目代理费由中标人支付，投标报价应当包含代理费；代理费由中标人支付；按照《徐州政府采购代理服务费行业指导价格》的64.3%收取，标准及确立标准的依据详见第七章第十条。</w:t>
      </w:r>
      <w:r/>
    </w:p>
    <w:p>
      <w:pPr>
        <w:ind w:firstLine="480"/>
        <w:spacing w:line="360" w:lineRule="auto"/>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（十六）投标有效期：</w:t>
      </w:r>
      <w:r/>
    </w:p>
    <w:p>
      <w:pPr>
        <w:ind w:firstLine="480"/>
        <w:spacing w:line="360" w:lineRule="auto"/>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ind w:firstLine="480"/>
        <w:spacing w:line="360" w:lineRule="auto"/>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rPr>
      </w:pPr>
      <w:r>
        <w:rPr>
          <w:rFonts w:hint="eastAsia" w:ascii="宋体" w:hAnsi="宋体" w:eastAsia="宋体" w:cs="宋体"/>
        </w:rPr>
        <w:t xml:space="preserve">（十七）投标文件的编制要求和签署要求</w:t>
      </w:r>
      <w:r/>
    </w:p>
    <w:p>
      <w:pPr>
        <w:ind w:firstLine="480"/>
        <w:spacing w:line="360" w:lineRule="auto"/>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rPr>
      </w:pPr>
      <w:r>
        <w:rPr>
          <w:rFonts w:hint="eastAsia" w:ascii="宋体" w:hAnsi="宋体" w:eastAsia="宋体" w:cs="宋体"/>
        </w:rPr>
        <w:t xml:space="preserve">（十八）投标文件的盖章要求：</w:t>
      </w:r>
      <w:r/>
    </w:p>
    <w:p>
      <w:pPr>
        <w:ind w:firstLine="480"/>
        <w:spacing w:line="360" w:lineRule="auto"/>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ind w:firstLine="480"/>
        <w:spacing w:line="360" w:lineRule="auto"/>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宋体" w:hAnsi="宋体" w:eastAsia="宋体" w:cs="宋体"/>
        </w:rPr>
      </w:pPr>
      <w:r>
        <w:rPr>
          <w:rFonts w:hint="eastAsia" w:ascii="宋体" w:hAnsi="宋体" w:eastAsia="宋体" w:cs="宋体"/>
        </w:rPr>
        <w:t xml:space="preserve">（二十二）本项目不允许分包。</w:t>
      </w:r>
      <w:r/>
    </w:p>
    <w:p>
      <w:pPr>
        <w:ind w:firstLine="480"/>
        <w:spacing w:line="360" w:lineRule="auto"/>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rPr>
      </w:pPr>
      <w:r>
        <w:rPr>
          <w:rFonts w:hint="eastAsia" w:ascii="宋体" w:hAnsi="宋体" w:eastAsia="宋体" w:cs="宋体"/>
        </w:rPr>
        <w:t xml:space="preserve">（二十四）有下列情形之一的，其投标无效。</w:t>
      </w:r>
      <w:r/>
    </w:p>
    <w:p>
      <w:pPr>
        <w:ind w:firstLine="480"/>
        <w:spacing w:line="360" w:lineRule="auto"/>
        <w:rPr>
          <w:rFonts w:hint="eastAsia" w:ascii="宋体" w:hAnsi="宋体" w:eastAsia="宋体" w:cs="宋体"/>
        </w:rPr>
      </w:pPr>
      <w:r>
        <w:rPr>
          <w:rFonts w:hint="eastAsia" w:ascii="宋体" w:hAnsi="宋体" w:eastAsia="宋体" w:cs="宋体"/>
        </w:rPr>
        <w:t xml:space="preserve">1.不同投标人的投标文件，由同一单位或者个人编制；</w:t>
      </w:r>
      <w:r/>
    </w:p>
    <w:p>
      <w:pPr>
        <w:ind w:firstLine="480"/>
        <w:spacing w:line="360" w:lineRule="auto"/>
        <w:rPr>
          <w:rFonts w:hint="eastAsia" w:ascii="宋体" w:hAnsi="宋体" w:eastAsia="宋体" w:cs="宋体"/>
        </w:rPr>
      </w:pPr>
      <w:r>
        <w:rPr>
          <w:rFonts w:hint="eastAsia" w:ascii="宋体" w:hAnsi="宋体" w:eastAsia="宋体" w:cs="宋体"/>
        </w:rPr>
        <w:t xml:space="preserve">2.不同投标人委托同一单位或者个人办理投标事宜；</w:t>
      </w:r>
      <w:r/>
    </w:p>
    <w:p>
      <w:pPr>
        <w:ind w:firstLine="480"/>
        <w:spacing w:line="360" w:lineRule="auto"/>
        <w:rPr>
          <w:rFonts w:hint="eastAsia" w:ascii="宋体" w:hAnsi="宋体" w:eastAsia="宋体" w:cs="宋体"/>
        </w:rPr>
      </w:pPr>
      <w:r>
        <w:rPr>
          <w:rFonts w:hint="eastAsia" w:ascii="宋体" w:hAnsi="宋体" w:eastAsia="宋体" w:cs="宋体"/>
        </w:rPr>
        <w:t xml:space="preserve">3.不同投标人的投标文件中，所载明的项目管理成员或联系人为同一人；</w:t>
      </w:r>
      <w:r/>
    </w:p>
    <w:p>
      <w:pPr>
        <w:ind w:firstLine="480"/>
        <w:spacing w:line="360" w:lineRule="auto"/>
        <w:rPr>
          <w:rFonts w:hint="eastAsia" w:ascii="宋体" w:hAnsi="宋体" w:eastAsia="宋体" w:cs="宋体"/>
        </w:rPr>
      </w:pPr>
      <w:r>
        <w:rPr>
          <w:rFonts w:hint="eastAsia" w:ascii="宋体" w:hAnsi="宋体" w:eastAsia="宋体" w:cs="宋体"/>
        </w:rPr>
        <w:t xml:space="preserve">4.不同投标人的投标文件，异常一致或者投标报价呈规律性差异；</w:t>
      </w:r>
      <w:r/>
    </w:p>
    <w:p>
      <w:pPr>
        <w:ind w:firstLine="480"/>
        <w:spacing w:line="360" w:lineRule="auto"/>
        <w:rPr>
          <w:rFonts w:hint="eastAsia" w:ascii="宋体" w:hAnsi="宋体" w:eastAsia="宋体" w:cs="宋体"/>
        </w:rPr>
      </w:pPr>
      <w:r>
        <w:rPr>
          <w:rFonts w:hint="eastAsia" w:ascii="宋体" w:hAnsi="宋体" w:eastAsia="宋体" w:cs="宋体"/>
        </w:rPr>
        <w:t xml:space="preserve">5.不同投标人的投标文件相互混装；</w:t>
      </w:r>
      <w:r/>
    </w:p>
    <w:p>
      <w:pPr>
        <w:ind w:firstLine="480"/>
        <w:spacing w:line="360" w:lineRule="auto"/>
        <w:rPr>
          <w:rFonts w:hint="eastAsia" w:ascii="宋体" w:hAnsi="宋体" w:eastAsia="宋体" w:cs="宋体"/>
        </w:rPr>
      </w:pPr>
      <w:r>
        <w:rPr>
          <w:rFonts w:hint="eastAsia" w:ascii="宋体" w:hAnsi="宋体" w:eastAsia="宋体" w:cs="宋体"/>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rPr>
      </w:pPr>
      <w:r>
        <w:rPr>
          <w:rFonts w:hint="eastAsia" w:ascii="宋体" w:hAnsi="宋体" w:eastAsia="宋体" w:cs="宋体"/>
        </w:rPr>
        <w:t xml:space="preserve">7.电子投标文件未按规定期限投标的；</w:t>
      </w:r>
      <w:r/>
    </w:p>
    <w:p>
      <w:pPr>
        <w:ind w:firstLine="480"/>
        <w:spacing w:line="360" w:lineRule="auto"/>
        <w:rPr>
          <w:rFonts w:hint="eastAsia" w:ascii="宋体" w:hAnsi="宋体" w:eastAsia="宋体" w:cs="宋体"/>
        </w:rPr>
      </w:pPr>
      <w:r>
        <w:rPr>
          <w:rFonts w:hint="eastAsia" w:ascii="宋体" w:hAnsi="宋体" w:eastAsia="宋体" w:cs="宋体"/>
        </w:rPr>
        <w:t xml:space="preserve">8.电子投标文件未按招标文件要求签章的；</w:t>
      </w:r>
      <w:r/>
    </w:p>
    <w:p>
      <w:pPr>
        <w:ind w:firstLine="480"/>
        <w:spacing w:line="360" w:lineRule="auto"/>
        <w:rPr>
          <w:rFonts w:hint="eastAsia" w:ascii="宋体" w:hAnsi="宋体" w:eastAsia="宋体" w:cs="宋体"/>
        </w:rPr>
      </w:pPr>
      <w:r>
        <w:rPr>
          <w:rFonts w:hint="eastAsia" w:ascii="宋体" w:hAnsi="宋体" w:eastAsia="宋体" w:cs="宋体"/>
        </w:rPr>
        <w:t xml:space="preserve">9.投标人未在规定时间内解密电子投标文件的；</w:t>
      </w:r>
      <w:r/>
    </w:p>
    <w:p>
      <w:pPr>
        <w:ind w:firstLine="480"/>
        <w:spacing w:line="360" w:lineRule="auto"/>
        <w:rPr>
          <w:rFonts w:hint="eastAsia" w:ascii="宋体" w:hAnsi="宋体" w:eastAsia="宋体" w:cs="宋体"/>
        </w:rPr>
      </w:pPr>
      <w:r>
        <w:rPr>
          <w:rFonts w:hint="eastAsia" w:ascii="宋体" w:hAnsi="宋体" w:eastAsia="宋体" w:cs="宋体"/>
        </w:rPr>
        <w:t xml:space="preserve">10.投标文件未按招标文件规定的内容和要求填写的；没有在投标系统指定位置上传对应文件、材料的。</w:t>
      </w:r>
      <w:r/>
    </w:p>
    <w:p>
      <w:pPr>
        <w:ind w:firstLine="480"/>
        <w:spacing w:line="360" w:lineRule="auto"/>
        <w:rPr>
          <w:rFonts w:hint="eastAsia" w:ascii="宋体" w:hAnsi="宋体" w:eastAsia="宋体" w:cs="宋体"/>
        </w:rPr>
      </w:pPr>
      <w:r>
        <w:rPr>
          <w:rFonts w:hint="eastAsia" w:ascii="宋体" w:hAnsi="宋体" w:eastAsia="宋体" w:cs="宋体"/>
        </w:rPr>
        <w:t xml:space="preserve">11.投标文件未按招标文件要求签署、盖章的；</w:t>
      </w:r>
      <w:r/>
    </w:p>
    <w:p>
      <w:pPr>
        <w:ind w:firstLine="480"/>
        <w:spacing w:line="360" w:lineRule="auto"/>
        <w:rPr>
          <w:rFonts w:hint="eastAsia" w:ascii="宋体" w:hAnsi="宋体" w:eastAsia="宋体" w:cs="宋体"/>
        </w:rPr>
      </w:pPr>
      <w:r>
        <w:rPr>
          <w:rFonts w:hint="eastAsia" w:ascii="宋体" w:hAnsi="宋体" w:eastAsia="宋体" w:cs="宋体"/>
        </w:rPr>
        <w:t xml:space="preserve">12.不具备招标文件中规定的资格要求的；</w:t>
      </w:r>
      <w:r/>
    </w:p>
    <w:p>
      <w:pPr>
        <w:ind w:firstLine="480"/>
        <w:spacing w:line="360" w:lineRule="auto"/>
        <w:rPr>
          <w:rFonts w:hint="eastAsia" w:ascii="宋体" w:hAnsi="宋体" w:eastAsia="宋体" w:cs="宋体"/>
        </w:rPr>
      </w:pPr>
      <w:r>
        <w:rPr>
          <w:rFonts w:hint="eastAsia" w:ascii="宋体" w:hAnsi="宋体" w:eastAsia="宋体" w:cs="宋体"/>
        </w:rPr>
        <w:t xml:space="preserve">13.报价超过招标文件中规定的预算金额或者最高限价的；</w:t>
      </w:r>
      <w:r/>
    </w:p>
    <w:p>
      <w:pPr>
        <w:ind w:firstLine="480"/>
        <w:spacing w:line="360" w:lineRule="auto"/>
        <w:rPr>
          <w:rFonts w:hint="eastAsia" w:ascii="宋体" w:hAnsi="宋体" w:eastAsia="宋体" w:cs="宋体"/>
        </w:rPr>
      </w:pPr>
      <w:r>
        <w:rPr>
          <w:rFonts w:hint="eastAsia" w:ascii="宋体" w:hAnsi="宋体" w:eastAsia="宋体" w:cs="宋体"/>
        </w:rPr>
        <w:t xml:space="preserve">14.投标文件含有采购人不能接受的附加条件的；</w:t>
      </w:r>
      <w:r/>
    </w:p>
    <w:p>
      <w:pPr>
        <w:ind w:firstLine="480"/>
        <w:spacing w:line="360" w:lineRule="auto"/>
        <w:rPr>
          <w:rFonts w:hint="eastAsia" w:ascii="宋体" w:hAnsi="宋体" w:eastAsia="宋体" w:cs="宋体"/>
        </w:rPr>
      </w:pPr>
      <w:r>
        <w:rPr>
          <w:rFonts w:hint="eastAsia" w:ascii="宋体" w:hAnsi="宋体" w:eastAsia="宋体" w:cs="宋体"/>
        </w:rPr>
        <w:t xml:space="preserve">15.法律、法规和招标文件规定的其他无效情形。</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四、开标</w:t>
      </w:r>
      <w:r/>
    </w:p>
    <w:p>
      <w:pPr>
        <w:ind w:firstLine="480"/>
        <w:spacing w:line="360" w:lineRule="auto"/>
        <w:rPr>
          <w:rFonts w:hint="eastAsia" w:ascii="宋体" w:hAnsi="宋体" w:eastAsia="宋体" w:cs="宋体"/>
        </w:rPr>
      </w:pPr>
      <w:r>
        <w:rPr>
          <w:rFonts w:hint="eastAsia" w:ascii="宋体" w:hAnsi="宋体" w:eastAsia="宋体" w:cs="宋体"/>
        </w:rPr>
        <w:t xml:space="preserve">（二十五）开标：</w:t>
      </w:r>
      <w:r/>
    </w:p>
    <w:p>
      <w:pPr>
        <w:ind w:firstLine="480"/>
        <w:spacing w:line="360" w:lineRule="auto"/>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ind w:firstLine="480"/>
        <w:spacing w:line="360" w:lineRule="auto"/>
        <w:rPr>
          <w:rFonts w:hint="eastAsia" w:ascii="宋体" w:hAnsi="宋体" w:eastAsia="宋体" w:cs="宋体"/>
        </w:rPr>
      </w:pPr>
      <w:r>
        <w:rPr>
          <w:rFonts w:hint="eastAsia" w:ascii="宋体" w:hAnsi="宋体" w:eastAsia="宋体" w:cs="宋体"/>
        </w:rPr>
        <w:t xml:space="preserve">2. 由电子招标投标交易平台主持，邀请投标人参加。</w:t>
      </w:r>
      <w:r/>
    </w:p>
    <w:p>
      <w:pPr>
        <w:ind w:firstLine="480"/>
        <w:spacing w:line="360" w:lineRule="auto"/>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ind w:firstLine="480"/>
        <w:spacing w:line="360" w:lineRule="auto"/>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spacing w:line="360" w:lineRule="auto"/>
        <w:rPr>
          <w:rFonts w:hint="eastAsia" w:ascii="宋体" w:hAnsi="宋体" w:eastAsia="宋体" w:cs="宋体"/>
          <w:b/>
          <w:bCs/>
        </w:rPr>
      </w:pPr>
      <w:r>
        <w:rPr>
          <w:rFonts w:hint="eastAsia" w:ascii="宋体" w:hAnsi="宋体" w:eastAsia="宋体" w:cs="宋体"/>
          <w:b/>
          <w:bCs/>
        </w:rPr>
        <w:t xml:space="preserve">五、评标</w:t>
      </w:r>
      <w:r/>
    </w:p>
    <w:p>
      <w:pPr>
        <w:ind w:firstLine="480"/>
        <w:spacing w:line="360" w:lineRule="auto"/>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ind w:firstLine="480"/>
        <w:spacing w:line="360" w:lineRule="auto"/>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rPr>
      </w:pPr>
      <w:r>
        <w:rPr>
          <w:rFonts w:hint="eastAsia" w:ascii="宋体" w:hAnsi="宋体" w:eastAsia="宋体" w:cs="宋体"/>
        </w:rPr>
        <w:t xml:space="preserve">（2）宣布评标纪律；</w:t>
      </w:r>
      <w:r/>
    </w:p>
    <w:p>
      <w:pPr>
        <w:ind w:firstLine="480"/>
        <w:spacing w:line="360" w:lineRule="auto"/>
        <w:rPr>
          <w:rFonts w:hint="eastAsia" w:ascii="宋体" w:hAnsi="宋体" w:eastAsia="宋体" w:cs="宋体"/>
        </w:rPr>
      </w:pPr>
      <w:r>
        <w:rPr>
          <w:rFonts w:hint="eastAsia" w:ascii="宋体" w:hAnsi="宋体" w:eastAsia="宋体" w:cs="宋体"/>
        </w:rPr>
        <w:t xml:space="preserve">（3）公布投标人名单，告知评审专家应当回避的情形；</w:t>
      </w:r>
      <w:r/>
    </w:p>
    <w:p>
      <w:pPr>
        <w:ind w:firstLine="480"/>
        <w:spacing w:line="360" w:lineRule="auto"/>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ind w:firstLine="480"/>
        <w:spacing w:line="360" w:lineRule="auto"/>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ind w:firstLine="480"/>
        <w:spacing w:line="360" w:lineRule="auto"/>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ind w:firstLine="480"/>
        <w:spacing w:line="360" w:lineRule="auto"/>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rPr>
      </w:pPr>
      <w:r>
        <w:rPr>
          <w:rFonts w:hint="eastAsia" w:ascii="宋体" w:hAnsi="宋体" w:eastAsia="宋体" w:cs="宋体"/>
        </w:rPr>
        <w:t xml:space="preserve">（10）处理与评标有关的其他事项。</w:t>
      </w:r>
      <w:r/>
    </w:p>
    <w:p>
      <w:pPr>
        <w:ind w:firstLine="480"/>
        <w:spacing w:line="360" w:lineRule="auto"/>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ind w:firstLine="480"/>
        <w:spacing w:line="360" w:lineRule="auto"/>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ind w:firstLine="480"/>
        <w:spacing w:line="360" w:lineRule="auto"/>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ind w:firstLine="480"/>
        <w:spacing w:line="360" w:lineRule="auto"/>
        <w:rPr>
          <w:rFonts w:hint="eastAsia" w:ascii="宋体" w:hAnsi="宋体" w:eastAsia="宋体" w:cs="宋体"/>
        </w:rPr>
      </w:pPr>
      <w:r>
        <w:rPr>
          <w:rFonts w:hint="eastAsia" w:ascii="宋体" w:hAnsi="宋体" w:eastAsia="宋体" w:cs="宋体"/>
        </w:rPr>
        <w:t xml:space="preserve">（3）对投标文件进行比较和评价；</w:t>
      </w:r>
      <w:r/>
    </w:p>
    <w:p>
      <w:pPr>
        <w:ind w:firstLine="480"/>
        <w:spacing w:line="360" w:lineRule="auto"/>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ind w:firstLine="480"/>
        <w:spacing w:line="360" w:lineRule="auto"/>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ind w:firstLine="480"/>
        <w:spacing w:line="360" w:lineRule="auto"/>
        <w:rPr>
          <w:rFonts w:hint="eastAsia" w:ascii="宋体" w:hAnsi="宋体" w:eastAsia="宋体" w:cs="宋体"/>
        </w:rPr>
      </w:pPr>
      <w:r>
        <w:rPr>
          <w:rFonts w:hint="eastAsia" w:ascii="宋体" w:hAnsi="宋体" w:eastAsia="宋体" w:cs="宋体"/>
        </w:rPr>
        <w:t xml:space="preserve">（二十七）评标方法分为最低评标价法和综合评分法。</w:t>
      </w:r>
      <w:r/>
    </w:p>
    <w:p>
      <w:pPr>
        <w:ind w:firstLine="480"/>
        <w:spacing w:line="360" w:lineRule="auto"/>
        <w:rPr>
          <w:rFonts w:hint="eastAsia" w:ascii="宋体" w:hAnsi="宋体" w:eastAsia="宋体" w:cs="宋体"/>
        </w:rPr>
      </w:pPr>
      <w:r>
        <w:rPr>
          <w:rFonts w:hint="eastAsia" w:ascii="宋体" w:hAnsi="宋体" w:eastAsia="宋体" w:cs="宋体"/>
        </w:rPr>
        <w:t xml:space="preserve">（二十八）评标</w:t>
      </w:r>
      <w:r/>
    </w:p>
    <w:p>
      <w:pPr>
        <w:ind w:firstLine="480"/>
        <w:spacing w:line="360" w:lineRule="auto"/>
        <w:rPr>
          <w:rFonts w:hint="eastAsia" w:ascii="宋体" w:hAnsi="宋体" w:eastAsia="宋体" w:cs="宋体"/>
        </w:rPr>
      </w:pPr>
      <w:r>
        <w:rPr>
          <w:rFonts w:hint="eastAsia" w:ascii="宋体" w:hAnsi="宋体" w:eastAsia="宋体" w:cs="宋体"/>
        </w:rPr>
        <w:t xml:space="preserve">1. 评标工作程序：</w:t>
      </w:r>
      <w:r/>
    </w:p>
    <w:p>
      <w:pPr>
        <w:ind w:firstLine="480"/>
        <w:spacing w:line="360" w:lineRule="auto"/>
        <w:rPr>
          <w:rFonts w:hint="eastAsia" w:ascii="宋体" w:hAnsi="宋体" w:eastAsia="宋体" w:cs="宋体"/>
        </w:rPr>
      </w:pPr>
      <w:r>
        <w:rPr>
          <w:rFonts w:hint="eastAsia" w:ascii="宋体" w:hAnsi="宋体" w:eastAsia="宋体" w:cs="宋体"/>
        </w:rPr>
        <w:t xml:space="preserve">（1）投标文件初审。</w:t>
      </w:r>
      <w:r/>
    </w:p>
    <w:p>
      <w:pPr>
        <w:ind w:left="480" w:firstLine="480"/>
        <w:spacing w:line="360" w:lineRule="auto"/>
        <w:rPr>
          <w:rFonts w:hint="eastAsia" w:ascii="宋体" w:hAnsi="宋体" w:eastAsia="宋体" w:cs="宋体"/>
        </w:rPr>
      </w:pPr>
      <w:r>
        <w:rPr>
          <w:rFonts w:hint="eastAsia" w:ascii="宋体" w:hAnsi="宋体" w:eastAsia="宋体" w:cs="宋体"/>
        </w:rPr>
        <w:t xml:space="preserve">①资格性审查。</w:t>
      </w:r>
      <w:r/>
    </w:p>
    <w:p>
      <w:pPr>
        <w:ind w:left="480" w:firstLine="480"/>
        <w:spacing w:line="360" w:lineRule="auto"/>
        <w:rPr>
          <w:rFonts w:hint="eastAsia" w:ascii="宋体" w:hAnsi="宋体" w:eastAsia="宋体" w:cs="宋体"/>
        </w:rPr>
      </w:pPr>
      <w:r>
        <w:rPr>
          <w:rFonts w:hint="eastAsia" w:ascii="宋体" w:hAnsi="宋体" w:eastAsia="宋体" w:cs="宋体"/>
        </w:rPr>
        <w:t xml:space="preserve">②符合性审查。</w:t>
      </w:r>
      <w:r/>
    </w:p>
    <w:p>
      <w:pPr>
        <w:ind w:firstLine="480"/>
        <w:spacing w:line="360" w:lineRule="auto"/>
        <w:rPr>
          <w:rFonts w:hint="eastAsia" w:ascii="宋体" w:hAnsi="宋体" w:eastAsia="宋体" w:cs="宋体"/>
        </w:rPr>
      </w:pPr>
      <w:r>
        <w:rPr>
          <w:rFonts w:hint="eastAsia" w:ascii="宋体" w:hAnsi="宋体" w:eastAsia="宋体" w:cs="宋体"/>
        </w:rPr>
        <w:t xml:space="preserve">（2）澄清有关问题。</w:t>
      </w:r>
      <w:r/>
    </w:p>
    <w:p>
      <w:pPr>
        <w:ind w:firstLine="480"/>
        <w:spacing w:line="360" w:lineRule="auto"/>
        <w:rPr>
          <w:rFonts w:hint="eastAsia" w:ascii="宋体" w:hAnsi="宋体" w:eastAsia="宋体" w:cs="宋体"/>
        </w:rPr>
      </w:pPr>
      <w:r>
        <w:rPr>
          <w:rFonts w:hint="eastAsia" w:ascii="宋体" w:hAnsi="宋体" w:eastAsia="宋体" w:cs="宋体"/>
        </w:rPr>
        <w:t xml:space="preserve">（3）比较与评价。</w:t>
      </w:r>
      <w:r/>
    </w:p>
    <w:p>
      <w:pPr>
        <w:ind w:firstLine="480"/>
        <w:spacing w:line="360" w:lineRule="auto"/>
        <w:rPr>
          <w:rFonts w:hint="eastAsia" w:ascii="宋体" w:hAnsi="宋体" w:eastAsia="宋体" w:cs="宋体"/>
        </w:rPr>
      </w:pPr>
      <w:r>
        <w:rPr>
          <w:rFonts w:hint="eastAsia" w:ascii="宋体" w:hAnsi="宋体" w:eastAsia="宋体" w:cs="宋体"/>
        </w:rPr>
        <w:t xml:space="preserve">（4）推荐中标候选供应商名单。</w:t>
      </w:r>
      <w:r/>
    </w:p>
    <w:p>
      <w:pPr>
        <w:pStyle w:val="828"/>
        <w:spacing w:line="360" w:lineRule="auto"/>
        <w:rPr>
          <w:rFonts w:hint="eastAsia" w:ascii="宋体" w:hAnsi="宋体" w:eastAsia="宋体" w:cs="宋体"/>
        </w:rPr>
      </w:pPr>
      <w:r>
        <w:rPr>
          <w:rFonts w:hint="eastAsia" w:ascii="宋体" w:hAnsi="宋体" w:eastAsia="宋体" w:cs="宋体"/>
        </w:rPr>
        <w:t xml:space="preserve">（5）编写评审报告（评标报告）。</w:t>
      </w:r>
      <w:r/>
    </w:p>
    <w:p>
      <w:pPr>
        <w:pStyle w:val="828"/>
        <w:spacing w:line="360" w:lineRule="auto"/>
        <w:rPr>
          <w:rFonts w:hint="eastAsia" w:ascii="宋体" w:hAnsi="宋体" w:eastAsia="宋体" w:cs="宋体"/>
        </w:rPr>
      </w:pPr>
      <w:r>
        <w:rPr>
          <w:rFonts w:hint="eastAsia" w:ascii="宋体" w:hAnsi="宋体" w:eastAsia="宋体" w:cs="宋体"/>
        </w:rPr>
        <w:t xml:space="preserve">2. 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宋体" w:hAnsi="宋体" w:eastAsia="宋体" w:cs="宋体"/>
        </w:rPr>
      </w:pPr>
      <w:r>
        <w:rPr>
          <w:rFonts w:hint="eastAsia" w:ascii="宋体" w:hAnsi="宋体" w:eastAsia="宋体" w:cs="宋体"/>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宋体" w:hAnsi="宋体" w:eastAsia="宋体" w:cs="宋体"/>
        </w:rPr>
      </w:pPr>
      <w:r>
        <w:rPr>
          <w:rFonts w:hint="eastAsia" w:ascii="宋体" w:hAnsi="宋体" w:eastAsia="宋体" w:cs="宋体"/>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宋体" w:hAnsi="宋体" w:eastAsia="宋体" w:cs="宋体"/>
        </w:rPr>
      </w:pPr>
      <w:r>
        <w:rPr>
          <w:rFonts w:hint="eastAsia" w:ascii="宋体" w:hAnsi="宋体" w:eastAsia="宋体" w:cs="宋体"/>
        </w:rPr>
        <w:t xml:space="preserve">5. 非单一产品采购项目，多家投标人提供的核心产品品牌相同的，按前两款规定处理。</w:t>
      </w:r>
      <w:r/>
    </w:p>
    <w:p>
      <w:pPr>
        <w:ind w:firstLine="480"/>
        <w:spacing w:line="360" w:lineRule="auto"/>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p>
    <w:p>
      <w:pPr>
        <w:ind w:firstLine="480"/>
        <w:spacing w:line="360" w:lineRule="auto"/>
        <w:rPr>
          <w:rFonts w:hint="eastAsia" w:ascii="宋体" w:hAnsi="宋体" w:eastAsia="宋体" w:cs="宋体"/>
        </w:rPr>
      </w:pPr>
      <w:r>
        <w:rPr>
          <w:rFonts w:hint="eastAsia" w:ascii="宋体" w:hAnsi="宋体" w:eastAsia="宋体" w:cs="宋体"/>
        </w:rPr>
        <w:t xml:space="preserve">1. 投标文件中开标一览表（报价表）内容与投标文件中相应内容不一致的，以开标一览表（报价表）为准；</w:t>
      </w:r>
      <w:r/>
    </w:p>
    <w:p>
      <w:pPr>
        <w:ind w:firstLine="480"/>
        <w:spacing w:line="360" w:lineRule="auto"/>
        <w:rPr>
          <w:rFonts w:hint="eastAsia" w:ascii="宋体" w:hAnsi="宋体" w:eastAsia="宋体" w:cs="宋体"/>
        </w:rPr>
      </w:pPr>
      <w:r>
        <w:rPr>
          <w:rFonts w:hint="eastAsia" w:ascii="宋体" w:hAnsi="宋体" w:eastAsia="宋体" w:cs="宋体"/>
        </w:rPr>
        <w:t xml:space="preserve">2. 大写金额和小写金额不一致的，以大写金额为准；</w:t>
      </w:r>
      <w:r/>
    </w:p>
    <w:p>
      <w:pPr>
        <w:ind w:firstLine="480"/>
        <w:spacing w:line="360" w:lineRule="auto"/>
        <w:rPr>
          <w:rFonts w:hint="eastAsia" w:ascii="宋体" w:hAnsi="宋体" w:eastAsia="宋体" w:cs="宋体"/>
        </w:rPr>
      </w:pPr>
      <w:r>
        <w:rPr>
          <w:rFonts w:hint="eastAsia" w:ascii="宋体" w:hAnsi="宋体" w:eastAsia="宋体" w:cs="宋体"/>
        </w:rPr>
        <w:t xml:space="preserve">3. 单价金额小数点或者百分比有明显错位的，以开标一览表的总价为准，并修改单价；</w:t>
      </w:r>
      <w:r/>
    </w:p>
    <w:p>
      <w:pPr>
        <w:ind w:firstLine="480"/>
        <w:spacing w:line="360" w:lineRule="auto"/>
        <w:rPr>
          <w:rFonts w:hint="eastAsia" w:ascii="宋体" w:hAnsi="宋体" w:eastAsia="宋体" w:cs="宋体"/>
        </w:rPr>
      </w:pPr>
      <w:r>
        <w:rPr>
          <w:rFonts w:hint="eastAsia" w:ascii="宋体" w:hAnsi="宋体" w:eastAsia="宋体" w:cs="宋体"/>
        </w:rPr>
        <w:t xml:space="preserve">4. 总价金额与按单价合计金额不一致的，以单价金额计算结果为准。</w:t>
      </w:r>
      <w:r/>
    </w:p>
    <w:p>
      <w:pPr>
        <w:ind w:firstLine="480"/>
        <w:spacing w:line="360" w:lineRule="auto"/>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eastAsia="宋体" w:cs="宋体"/>
        </w:rPr>
      </w:pPr>
      <w:r>
        <w:rPr>
          <w:rFonts w:hint="eastAsia" w:ascii="宋体" w:hAnsi="宋体" w:eastAsia="宋体" w:cs="宋体"/>
        </w:rPr>
        <w:t xml:space="preserve">评标中需要投标人对投标文件澄清或者说明的，应当通过“苏采云”系统交换数据电文。在评标期间，请投标人保持在线。</w:t>
      </w:r>
      <w:r/>
    </w:p>
    <w:p>
      <w:pPr>
        <w:ind w:firstLine="480"/>
        <w:spacing w:line="360" w:lineRule="auto"/>
        <w:rPr>
          <w:rFonts w:hint="eastAsia" w:ascii="宋体" w:hAnsi="宋体" w:eastAsia="宋体" w:cs="宋体"/>
          <w:b/>
          <w:bCs/>
        </w:rPr>
      </w:pPr>
      <w:r>
        <w:rPr>
          <w:rFonts w:hint="eastAsia" w:ascii="宋体" w:hAnsi="宋体" w:eastAsia="宋体" w:cs="宋体"/>
        </w:rPr>
        <w:t xml:space="preserve">（三十）</w:t>
      </w:r>
      <w:r>
        <w:rPr>
          <w:rFonts w:hint="eastAsia" w:ascii="宋体" w:hAnsi="宋体" w:eastAsia="宋体" w:cs="宋体"/>
          <w:b/>
          <w:bCs/>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line="360" w:lineRule="auto"/>
        <w:widowControl w:val="off"/>
        <w:rPr>
          <w:rFonts w:hint="eastAsia" w:ascii="宋体" w:hAnsi="宋体" w:eastAsia="宋体" w:cs="宋体"/>
          <w:b/>
          <w:bCs/>
          <w:szCs w:val="24"/>
        </w:rPr>
      </w:pPr>
      <w:r>
        <w:rPr>
          <w:rFonts w:hint="eastAsia" w:ascii="宋体" w:hAnsi="宋体" w:eastAsia="宋体" w:cs="宋体"/>
          <w:b/>
          <w:bCs/>
          <w:szCs w:val="24"/>
        </w:rPr>
        <w:t xml:space="preserve">评标过程中出现下列情形之一的，评标委员会应当启动异常低价投标审查程序：</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③投标（响应）报价低于采购项目最高限价45%的，即投标（响应）报价（采购项目最高限价×45%）；</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④评标委员会基于专业判断，认为供应商报价过低、有可能影响产品质量或者不能诚信履约的其他情形。</w:t>
      </w:r>
      <w:r/>
    </w:p>
    <w:p>
      <w:pPr>
        <w:ind w:firstLine="480"/>
        <w:spacing w:line="360" w:lineRule="auto"/>
        <w:rPr>
          <w:rFonts w:hint="eastAsia" w:ascii="宋体" w:hAnsi="宋体" w:eastAsia="宋体" w:cs="宋体"/>
        </w:rPr>
      </w:pPr>
      <w:r>
        <w:rPr>
          <w:rFonts w:hint="eastAsia" w:ascii="宋体" w:hAnsi="宋体" w:eastAsia="宋体" w:cs="宋体"/>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360" w:lineRule="auto"/>
        <w:rPr>
          <w:rFonts w:hint="eastAsia" w:ascii="宋体" w:hAnsi="宋体" w:eastAsia="宋体" w:cs="宋体"/>
        </w:rPr>
      </w:pPr>
      <w:r>
        <w:rPr>
          <w:rFonts w:hint="eastAsia" w:ascii="宋体" w:hAnsi="宋体" w:eastAsia="宋体" w:cs="宋体"/>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rPr>
      </w:pPr>
      <w:r>
        <w:rPr>
          <w:rFonts w:hint="eastAsia" w:ascii="宋体" w:hAnsi="宋体" w:eastAsia="宋体" w:cs="宋体"/>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rPr>
      </w:pPr>
      <w:r>
        <w:rPr>
          <w:rFonts w:hint="eastAsia" w:ascii="宋体" w:hAnsi="宋体" w:eastAsia="宋体" w:cs="宋体"/>
        </w:rPr>
        <w:t xml:space="preserve">（三十二）废标条款：</w:t>
      </w:r>
      <w:r/>
    </w:p>
    <w:p>
      <w:pPr>
        <w:ind w:firstLine="480"/>
        <w:spacing w:line="360" w:lineRule="auto"/>
        <w:rPr>
          <w:rFonts w:hint="eastAsia" w:ascii="宋体" w:hAnsi="宋体" w:eastAsia="宋体" w:cs="宋体"/>
        </w:rPr>
      </w:pPr>
      <w:r>
        <w:rPr>
          <w:rFonts w:hint="eastAsia" w:ascii="宋体" w:hAnsi="宋体" w:eastAsia="宋体" w:cs="宋体"/>
        </w:rPr>
        <w:t xml:space="preserve">出现下列情形之一的，应予废标。</w:t>
      </w:r>
      <w:r/>
    </w:p>
    <w:p>
      <w:pPr>
        <w:ind w:firstLine="480"/>
        <w:spacing w:line="360" w:lineRule="auto"/>
        <w:rPr>
          <w:rFonts w:hint="eastAsia" w:ascii="宋体" w:hAnsi="宋体" w:eastAsia="宋体" w:cs="宋体"/>
        </w:rPr>
      </w:pPr>
      <w:r>
        <w:rPr>
          <w:rFonts w:hint="eastAsia" w:ascii="宋体" w:hAnsi="宋体" w:eastAsia="宋体" w:cs="宋体"/>
        </w:rPr>
        <w:t xml:space="preserve">1. 符合专业条件的供应商或者对招标文件作实质响应的供应商不足三家的；</w:t>
      </w:r>
      <w:r/>
    </w:p>
    <w:p>
      <w:pPr>
        <w:ind w:firstLine="480"/>
        <w:spacing w:line="360" w:lineRule="auto"/>
        <w:rPr>
          <w:rFonts w:hint="eastAsia" w:ascii="宋体" w:hAnsi="宋体" w:eastAsia="宋体" w:cs="宋体"/>
        </w:rPr>
      </w:pPr>
      <w:r>
        <w:rPr>
          <w:rFonts w:hint="eastAsia" w:ascii="宋体" w:hAnsi="宋体" w:eastAsia="宋体" w:cs="宋体"/>
        </w:rPr>
        <w:t xml:space="preserve">2. 出现影响采购公正的违法、违规行为的；</w:t>
      </w:r>
      <w:r/>
    </w:p>
    <w:p>
      <w:pPr>
        <w:ind w:firstLine="480"/>
        <w:spacing w:line="360" w:lineRule="auto"/>
        <w:rPr>
          <w:rFonts w:hint="eastAsia" w:ascii="宋体" w:hAnsi="宋体" w:eastAsia="宋体" w:cs="宋体"/>
        </w:rPr>
      </w:pPr>
      <w:r>
        <w:rPr>
          <w:rFonts w:hint="eastAsia" w:ascii="宋体" w:hAnsi="宋体" w:eastAsia="宋体" w:cs="宋体"/>
        </w:rPr>
        <w:t xml:space="preserve">3. 投标人的报价均超过了采购预算，采购人不能支付的；</w:t>
      </w:r>
      <w:r/>
    </w:p>
    <w:p>
      <w:pPr>
        <w:ind w:firstLine="480"/>
        <w:spacing w:line="360" w:lineRule="auto"/>
        <w:rPr>
          <w:rFonts w:hint="eastAsia" w:ascii="宋体" w:hAnsi="宋体" w:eastAsia="宋体" w:cs="宋体"/>
        </w:rPr>
      </w:pPr>
      <w:r>
        <w:rPr>
          <w:rFonts w:hint="eastAsia" w:ascii="宋体" w:hAnsi="宋体" w:eastAsia="宋体" w:cs="宋体"/>
        </w:rPr>
        <w:t xml:space="preserve">4. 因重大变故，采购任务取消的。</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六、定标</w:t>
      </w:r>
      <w:r/>
    </w:p>
    <w:p>
      <w:pPr>
        <w:ind w:firstLine="480"/>
        <w:spacing w:line="360" w:lineRule="auto"/>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p>
    <w:p>
      <w:pPr>
        <w:ind w:firstLine="480"/>
        <w:spacing w:line="360" w:lineRule="auto"/>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p>
    <w:p>
      <w:pPr>
        <w:ind w:firstLine="480"/>
        <w:jc w:val="both"/>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（三十五）采购人有权对投标人投标文件的真实性进行核实，如果投标人不能在采购人规定的时间内向采购人提供有效的证明文件，</w:t>
      </w:r>
      <w:r>
        <w:rPr>
          <w:rFonts w:hint="eastAsia" w:ascii="宋体" w:hAnsi="宋体" w:eastAsia="宋体" w:cs="宋体"/>
          <w:color w:val="000000"/>
          <w:sz w:val="24"/>
          <w:szCs w:val="24"/>
          <w:highlight w:val="none"/>
        </w:rPr>
        <w:t xml:space="preserve">将被采购人视为放弃中标资格。</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七、政府采购合同</w:t>
      </w:r>
      <w:r/>
    </w:p>
    <w:p>
      <w:pPr>
        <w:ind w:firstLine="480"/>
        <w:spacing w:line="360" w:lineRule="auto"/>
        <w:rPr>
          <w:rFonts w:hint="eastAsia" w:ascii="宋体" w:hAnsi="宋体" w:eastAsia="宋体" w:cs="宋体"/>
        </w:rPr>
      </w:pPr>
      <w:r>
        <w:rPr>
          <w:rFonts w:hint="eastAsia" w:ascii="宋体" w:hAnsi="宋体" w:eastAsia="宋体" w:cs="宋体"/>
        </w:rPr>
        <w:t xml:space="preserve">（三十六）签订政府采购合同（合同签订方式）：</w:t>
      </w:r>
      <w:r/>
    </w:p>
    <w:p>
      <w:pPr>
        <w:ind w:firstLine="480"/>
        <w:spacing w:line="360" w:lineRule="auto"/>
        <w:rPr>
          <w:rFonts w:hint="eastAsia" w:ascii="宋体" w:hAnsi="宋体" w:eastAsia="宋体" w:cs="宋体"/>
        </w:rPr>
      </w:pPr>
      <w:r>
        <w:rPr>
          <w:rFonts w:hint="eastAsia" w:ascii="宋体" w:hAnsi="宋体" w:eastAsia="宋体" w:cs="宋体"/>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ind w:firstLine="480"/>
        <w:spacing w:line="360" w:lineRule="auto"/>
        <w:rPr>
          <w:rFonts w:hint="eastAsia" w:ascii="宋体" w:hAnsi="宋体" w:eastAsia="宋体" w:cs="宋体"/>
        </w:rPr>
      </w:pPr>
      <w:r>
        <w:rPr>
          <w:rFonts w:hint="eastAsia" w:ascii="宋体" w:hAnsi="宋体" w:eastAsia="宋体" w:cs="宋体"/>
        </w:rPr>
        <w:t xml:space="preserve">2. 中标供应商拒绝与采购人签订合同的，采购人可以按照评审报告推荐的中标候选人名单排序，确定下一个候选人为中标供应商，也可以重新开展政府采购活动。</w:t>
      </w:r>
      <w:r/>
    </w:p>
    <w:p>
      <w:pPr>
        <w:ind w:firstLine="480"/>
        <w:spacing w:line="360" w:lineRule="auto"/>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宋体" w:hAnsi="宋体" w:eastAsia="宋体" w:cs="宋体"/>
        </w:rPr>
      </w:pPr>
      <w:r>
        <w:rPr>
          <w:rFonts w:hint="eastAsia" w:ascii="宋体" w:hAnsi="宋体" w:eastAsia="宋体" w:cs="宋体"/>
        </w:rPr>
        <w:t xml:space="preserve">（三十八）腐败和欺诈行为：</w:t>
      </w:r>
      <w:r/>
    </w:p>
    <w:p>
      <w:pPr>
        <w:ind w:firstLine="480"/>
        <w:spacing w:line="360" w:lineRule="auto"/>
        <w:rPr>
          <w:rFonts w:hint="eastAsia" w:ascii="宋体" w:hAnsi="宋体" w:eastAsia="宋体" w:cs="宋体"/>
        </w:rPr>
      </w:pPr>
      <w:r>
        <w:rPr>
          <w:rFonts w:hint="eastAsia" w:ascii="宋体" w:hAnsi="宋体" w:eastAsia="宋体" w:cs="宋体"/>
        </w:rPr>
        <w:t xml:space="preserve">1. 采购代理机构、采购人、投标人等参与招投标的各方，均应在招标、采购、合同执行等过程中保持廉洁和最高的道德水准。</w:t>
      </w:r>
      <w:r/>
    </w:p>
    <w:p>
      <w:pPr>
        <w:ind w:firstLine="480"/>
        <w:spacing w:line="360" w:lineRule="auto"/>
        <w:rPr>
          <w:rFonts w:hint="eastAsia" w:ascii="宋体" w:hAnsi="宋体" w:eastAsia="宋体" w:cs="宋体"/>
        </w:rPr>
      </w:pPr>
      <w:r>
        <w:rPr>
          <w:rFonts w:hint="eastAsia" w:ascii="宋体" w:hAnsi="宋体" w:eastAsia="宋体" w:cs="宋体"/>
        </w:rPr>
        <w:t xml:space="preserve">（1）腐败和欺诈行为的含义：</w:t>
      </w:r>
      <w:r/>
    </w:p>
    <w:p>
      <w:pPr>
        <w:ind w:firstLine="480"/>
        <w:spacing w:line="360" w:lineRule="auto"/>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p>
    <w:p>
      <w:pPr>
        <w:ind w:firstLine="480"/>
        <w:spacing w:line="360" w:lineRule="auto"/>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八、询问和质疑</w:t>
      </w:r>
      <w:r/>
    </w:p>
    <w:p>
      <w:pPr>
        <w:ind w:firstLine="48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三十九</w:t>
      </w:r>
      <w:r>
        <w:rPr>
          <w:rFonts w:hint="eastAsia" w:ascii="宋体" w:hAnsi="宋体" w:eastAsia="宋体" w:cs="宋体"/>
        </w:rPr>
        <w:t xml:space="preserve">）询问和质疑</w:t>
      </w:r>
      <w:r/>
    </w:p>
    <w:p>
      <w:pPr>
        <w:pStyle w:val="828"/>
        <w:spacing w:line="360" w:lineRule="auto"/>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w:t>
      </w:r>
      <w:r/>
    </w:p>
    <w:p>
      <w:pPr>
        <w:spacing w:line="360" w:lineRule="auto"/>
        <w:rPr>
          <w:rFonts w:hint="eastAsia" w:ascii="宋体" w:hAnsi="宋体" w:eastAsia="宋体" w:cs="宋体"/>
        </w:rPr>
      </w:pPr>
      <w:r>
        <w:rPr>
          <w:rFonts w:hint="eastAsia" w:ascii="宋体" w:hAnsi="宋体" w:eastAsia="宋体" w:cs="宋体"/>
        </w:rPr>
        <w:t xml:space="preserve">件、采购过程和中标、中标结果使自己的权益受到损害的，可以在知道或者应知其权益受到损害之日起，七个工作日内以书面形式向采购人或者采购代理机构提出质疑。询问和质疑由采购代理机构依法处理。</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九、电子招标投标交易平台</w:t>
      </w:r>
      <w:r/>
    </w:p>
    <w:p>
      <w:pPr>
        <w:ind w:firstLine="480"/>
        <w:spacing w:line="360" w:lineRule="auto"/>
        <w:rPr>
          <w:rFonts w:hint="eastAsia" w:ascii="宋体" w:hAnsi="宋体" w:eastAsia="宋体" w:cs="宋体"/>
        </w:rPr>
      </w:pPr>
      <w:r>
        <w:rPr>
          <w:rFonts w:hint="eastAsia" w:ascii="宋体" w:hAnsi="宋体" w:eastAsia="宋体" w:cs="宋体"/>
        </w:rPr>
        <w:t xml:space="preserve">（四十）电子招标投标交易平台（即“苏采云”系统，网址：http://jszfcg. jsczt. cn/）相关要求是本招标文件的组成部分。</w:t>
      </w:r>
      <w:r/>
    </w:p>
    <w:p>
      <w:pPr>
        <w:rPr>
          <w:rFonts w:hint="eastAsia" w:ascii="宋体" w:hAnsi="宋体" w:eastAsia="宋体" w:cs="宋体"/>
        </w:rPr>
      </w:pPr>
      <w:r/>
      <w:bookmarkStart w:id="3" w:name="_Toc20443"/>
      <w:r/>
      <w:r/>
    </w:p>
    <w:p>
      <w:pPr>
        <w:pStyle w:val="877"/>
        <w:ind w:left="0" w:firstLine="0"/>
        <w:jc w:val="center"/>
        <w:spacing w:line="360" w:lineRule="auto"/>
        <w:rPr>
          <w:rFonts w:hint="eastAsia" w:ascii="宋体" w:hAnsi="宋体" w:eastAsia="宋体" w:cs="宋体"/>
        </w:rPr>
      </w:pPr>
      <w:r>
        <w:rPr>
          <w:rFonts w:hint="eastAsia" w:ascii="宋体" w:hAnsi="宋体" w:eastAsia="宋体" w:cs="宋体"/>
        </w:rPr>
        <w:t xml:space="preserve">第三章 投标资料表</w:t>
      </w:r>
      <w:bookmarkEnd w:id="3"/>
      <w:r/>
      <w:r/>
    </w:p>
    <w:p>
      <w:pPr>
        <w:ind w:firstLine="480"/>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p>
    <w:tbl>
      <w:tblPr>
        <w:tblStyle w:val="821"/>
        <w:tblW w:w="10094" w:type="dxa"/>
        <w:tblInd w:w="-284"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b/>
                <w:sz w:val="24"/>
              </w:rPr>
            </w:pPr>
            <w:r>
              <w:rPr>
                <w:rFonts w:hint="eastAsia" w:ascii="宋体" w:hAnsi="宋体" w:eastAsia="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400" w:lineRule="exact"/>
              <w:rPr>
                <w:rFonts w:hint="eastAsia" w:ascii="宋体" w:hAnsi="宋体" w:eastAsia="宋体" w:cs="宋体"/>
                <w:b/>
                <w:sz w:val="24"/>
              </w:rPr>
            </w:pPr>
            <w:r>
              <w:rPr>
                <w:rFonts w:hint="eastAsia" w:ascii="宋体" w:hAnsi="宋体" w:eastAsia="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本项目采购人：丰县城市管理局</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本项目采购代理机构：江苏国双项目管理有限公司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投标人的资格条件：</w:t>
            </w:r>
            <w:r/>
          </w:p>
          <w:p>
            <w:pPr>
              <w:pStyle w:val="866"/>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bCs/>
                <w:sz w:val="24"/>
              </w:rPr>
              <w:t xml:space="preserve">一、符合《中华人民共和国政府采购法》第二十二条的规定；</w:t>
            </w:r>
            <w:r/>
          </w:p>
          <w:p>
            <w:pPr>
              <w:pStyle w:val="866"/>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bCs/>
                <w:sz w:val="24"/>
              </w:rPr>
              <w:t xml:space="preserve">二、本项目属于专门面向中小微企业采购的项目：政府采购促进中小企业发展:促进残疾人就业政府采购政策;政府采购支持监狱企业发展等。</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b/>
                <w:bCs/>
                <w:sz w:val="24"/>
              </w:rPr>
              <w:t xml:space="preserve">三、本项目特定资格条件：无</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同时明确相关事项如下：</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一、本项目不接受联合体参与采购活动。</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二、单位负责人为同一人或者存在直接控股、管理关系的不同供应商，不得参加同一合同项下的政府采购活动。</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三、为本采购项目提供整体设计、规范编制或者项目管理、监理、检测等服务的供应商，不得再参加本采购项目的采购活动。</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四、查询及使用供应商信用记录：</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(一)由采购人查询信用信息。</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(二)查询渠道包括：</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2. 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3.“信用江苏”网（http://credit.jiangsu.gov.cn/）；</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4.“信用中国(江苏徐州)”网（http://www.xuzhoucredit.gov.cn）；</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(三)截止时点（查询环节）：资格审查结束前。</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(四)信用信息查询记录和证据留存的具体方式：网页截屏打印，与其他采购文件一并保存。</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(五)信用信息的使用规则：</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二</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tabs>
                <w:tab w:val="left" w:pos="5760" w:leader="none"/>
              </w:tabs>
              <w:rPr>
                <w:rFonts w:hint="eastAsia" w:ascii="宋体" w:hAnsi="宋体" w:eastAsia="宋体" w:cs="宋体"/>
                <w:sz w:val="24"/>
                <w:lang w:eastAsia="zh-CN"/>
              </w:rPr>
            </w:pPr>
            <w:r>
              <w:rPr>
                <w:rFonts w:hint="eastAsia" w:ascii="宋体" w:hAnsi="宋体" w:eastAsia="宋体" w:cs="宋体"/>
                <w:sz w:val="24"/>
                <w:lang w:eastAsia="zh-CN"/>
              </w:rPr>
              <w:t xml:space="preserve">本项目不组织统一现场踏勘，投标人可自行踏勘现场，所产生的一切费用、安全责任由投标人自行承担。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(十二)1</w:t>
            </w:r>
            <w:r/>
          </w:p>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线上投标文件编制要求：</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请按照以下要求（包括但不限于以下要求）制作：</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一、基本目录</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1.《开标一览表》（加盖电子签章，政府采购客户端工具输入报价自动生成）。</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2.所投产品的环境标志产品认证证书原件的扫描件（如有）。</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（2）环境标志产品认证证书是否符合要求，采购人评标时查询中国政府采购网（www.ccgp.gov.cn）相关内容后确定。</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3.所投产品的节能产品认证证书原件的扫描件（如有）。</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（2）节能产品认证证书是否符合要求，采购人评标时查询中国政府采购网（www.ccgp.gov.cn）相关内容后确定。</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4.</w:t>
            </w:r>
            <w:r>
              <w:rPr>
                <w:rFonts w:hint="eastAsia" w:ascii="宋体" w:hAnsi="宋体" w:eastAsia="宋体" w:cs="宋体"/>
                <w:bCs/>
                <w:sz w:val="24"/>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sz w:val="24"/>
                <w:szCs w:val="18"/>
              </w:rPr>
              <w:t xml:space="preserve">）</w:t>
            </w:r>
            <w:r/>
          </w:p>
          <w:p>
            <w:pPr>
              <w:pStyle w:val="866"/>
              <w:spacing w:line="360" w:lineRule="auto"/>
              <w:widowControl/>
              <w:rPr>
                <w:rFonts w:hint="eastAsia" w:ascii="宋体" w:hAnsi="宋体" w:eastAsia="宋体" w:cs="宋体"/>
              </w:rPr>
            </w:pPr>
            <w:r>
              <w:rPr>
                <w:rFonts w:hint="eastAsia" w:ascii="宋体" w:hAnsi="宋体" w:eastAsia="宋体" w:cs="宋体"/>
                <w:sz w:val="24"/>
                <w:szCs w:val="18"/>
              </w:rPr>
              <w:t xml:space="preserve">5.投标人认为制作投标文件需要提供的其他材料(如有）</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二、资格条件（1-6必须提供；否则投标无效）</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1.具有独立承担民事责任的能力，提供投标人合法有效的法人的营业执照或事业法人证或其他组织应提供合法证明文件；</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2.财务状况报告：即提供投标人的本项目开标时间前6个月内</w:t>
            </w:r>
            <w:r>
              <w:rPr>
                <w:rFonts w:hint="eastAsia" w:ascii="宋体" w:hAnsi="宋体" w:eastAsia="宋体" w:cs="宋体"/>
                <w:b/>
                <w:bCs/>
                <w:sz w:val="24"/>
              </w:rPr>
              <w:t xml:space="preserve">（不含“投标文件提交的截止时间”当月）</w:t>
            </w:r>
            <w:r>
              <w:rPr>
                <w:rFonts w:hint="eastAsia" w:ascii="宋体" w:hAnsi="宋体" w:eastAsia="宋体" w:cs="宋体"/>
                <w:b/>
                <w:bCs/>
                <w:sz w:val="24"/>
                <w:szCs w:val="18"/>
              </w:rPr>
              <w:t xml:space="preserve">任何时间的资产负债表、利润表各一份或合法有效的经第三方机构审计的上一年度财务审计报告或投标人的本项目开标时间前6个月内</w:t>
            </w:r>
            <w:r>
              <w:rPr>
                <w:rFonts w:hint="eastAsia" w:ascii="宋体" w:hAnsi="宋体" w:eastAsia="宋体" w:cs="宋体"/>
                <w:b/>
                <w:bCs/>
                <w:sz w:val="24"/>
              </w:rPr>
              <w:t xml:space="preserve">（不含“投标文件提交的截止时间”当月）</w:t>
            </w:r>
            <w:r>
              <w:rPr>
                <w:rFonts w:hint="eastAsia" w:ascii="宋体" w:hAnsi="宋体" w:eastAsia="宋体" w:cs="宋体"/>
                <w:b/>
                <w:bCs/>
                <w:sz w:val="24"/>
                <w:szCs w:val="18"/>
              </w:rPr>
              <w:t xml:space="preserve">银行出具的资信证明扫描件；</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3.投标人的本项目开标时间前6个月内任何时间（不含“投标文件提交的截止时间”当月）的依法缴纳税收和社会保障资金的相关材料扫描件（依法免税或不需要缴纳社会保障资金的供应商,提供相应文件证明其依法免税或不需要缴纳社会保障资金)；</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4.具备履行合同所必需的设备和专业技术能力的书面声明；（加盖电子签章，格式见招标文件第七章《投标文件相关格式》）；</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5.投标人参加政府采购活动前3年内在经营活动中没有重大违法记录的书面声明；（加盖电子签章，格式见招标文件第七章《投标文件相关格式》）。</w:t>
            </w:r>
            <w:r/>
          </w:p>
          <w:p>
            <w:pPr>
              <w:pStyle w:val="866"/>
              <w:spacing w:line="360" w:lineRule="auto"/>
              <w:widowControl/>
              <w:rPr>
                <w:rFonts w:hint="eastAsia" w:ascii="宋体" w:hAnsi="宋体" w:eastAsia="宋体" w:cs="宋体"/>
              </w:rPr>
            </w:pPr>
            <w:r>
              <w:rPr>
                <w:rFonts w:hint="eastAsia" w:ascii="宋体" w:hAnsi="宋体" w:eastAsia="宋体" w:cs="宋体"/>
                <w:b/>
                <w:bCs/>
                <w:sz w:val="24"/>
                <w:szCs w:val="18"/>
              </w:rPr>
              <w:t xml:space="preserve">6.本项目属于专门面向中小微企业采购的项目，投标人应为中小微企业、监狱企业、残疾人福利性单位，提供《中小企业声明函》（加盖电子签章，填写完整。格式见招标文件第七章《投标文件相关格式》）。</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三、符合条件（必须提供，否则投标无效）</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(一)报价</w:t>
            </w:r>
            <w:r/>
          </w:p>
          <w:p>
            <w:pPr>
              <w:pStyle w:val="865"/>
              <w:spacing w:line="360" w:lineRule="auto"/>
              <w:rPr>
                <w:rFonts w:hint="eastAsia" w:ascii="宋体" w:hAnsi="宋体" w:eastAsia="宋体" w:cs="宋体"/>
                <w:sz w:val="24"/>
              </w:rPr>
            </w:pPr>
            <w:r>
              <w:rPr>
                <w:rFonts w:hint="eastAsia" w:ascii="宋体" w:hAnsi="宋体" w:eastAsia="宋体" w:cs="宋体"/>
                <w:sz w:val="24"/>
              </w:rPr>
              <w:t xml:space="preserve">1.《报价符合性审查》。属于投标（响应）报价低于采购项目最高限价45%的，即投标（响应）报价&lt;采购项目最高限价×45%，供应商可随投标（响应）文件一并提交相关书面说明及必要的证明材料。</w:t>
            </w:r>
            <w:r/>
          </w:p>
          <w:p>
            <w:pPr>
              <w:pStyle w:val="865"/>
              <w:spacing w:line="360" w:lineRule="auto"/>
              <w:rPr>
                <w:rFonts w:hint="eastAsia" w:ascii="宋体" w:hAnsi="宋体" w:eastAsia="宋体" w:cs="宋体"/>
                <w:sz w:val="24"/>
              </w:rPr>
            </w:pPr>
            <w:r>
              <w:rPr>
                <w:rFonts w:hint="eastAsia" w:ascii="宋体" w:hAnsi="宋体" w:eastAsia="宋体" w:cs="宋体"/>
                <w:sz w:val="24"/>
              </w:rPr>
              <w:t xml:space="preserve">2.《开标一览表》（加盖电子签章，格式见招标文件第七章《投标文件相关格式》。）</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3.《分项价格表》（加盖电子签章，格式见招标文件第七章《投标文件相关格式》。）</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（二）商务资信</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1.《投标函》（加盖电子签章，格式见招标文件第七章《投标文件相关格式》。）</w:t>
            </w:r>
            <w:r/>
          </w:p>
          <w:p>
            <w:pPr>
              <w:pStyle w:val="865"/>
              <w:spacing w:line="360" w:lineRule="auto"/>
              <w:rPr>
                <w:rFonts w:hint="eastAsia" w:ascii="宋体" w:hAnsi="宋体" w:eastAsia="宋体" w:cs="宋体"/>
                <w:sz w:val="24"/>
              </w:rPr>
            </w:pPr>
            <w:r>
              <w:rPr>
                <w:rFonts w:hint="eastAsia" w:ascii="宋体" w:hAnsi="宋体" w:eastAsia="宋体" w:cs="宋体"/>
                <w:sz w:val="24"/>
              </w:rPr>
              <w:t xml:space="preserve">2.《法定代表人授权书》（加盖电子签章，格式见招标文件第七章《投标文件相关格式》。如为法定代表人本人参加投标活动，则提供《法定代表人身份证明书》。）</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（三）技术响应</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1.《偏离表》（加盖电子签章，格式见招标文件第七章《投标文件相关格式》。）</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highlight w:val="none"/>
              </w:rPr>
              <w:t xml:space="preserve">2.《采购需求中要求上传的承诺书》</w:t>
            </w:r>
            <w:r>
              <w:rPr>
                <w:rFonts w:hint="eastAsia" w:ascii="宋体" w:hAnsi="宋体" w:eastAsia="宋体" w:cs="宋体"/>
                <w:sz w:val="24"/>
                <w:szCs w:val="18"/>
                <w:highlight w:val="none"/>
                <w:lang w:eastAsia="zh-CN"/>
              </w:rPr>
              <w:t xml:space="preserve">（</w:t>
            </w:r>
            <w:r>
              <w:rPr>
                <w:rFonts w:hint="eastAsia" w:ascii="宋体" w:hAnsi="宋体" w:eastAsia="宋体" w:cs="宋体"/>
                <w:sz w:val="24"/>
                <w:szCs w:val="18"/>
                <w:highlight w:val="none"/>
                <w:lang w:val="en-US" w:eastAsia="zh-CN"/>
              </w:rPr>
              <w:t xml:space="preserve">如有）</w:t>
            </w:r>
            <w:r>
              <w:rPr>
                <w:rFonts w:hint="eastAsia" w:ascii="宋体" w:hAnsi="宋体" w:eastAsia="宋体" w:cs="宋体"/>
                <w:sz w:val="24"/>
                <w:szCs w:val="18"/>
              </w:rPr>
              <w:t xml:space="preserve">（加盖电子签章，格式自拟。）</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四、综合评审评分项</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（一）技术部分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详见本文件第六章《采购需求》及第四章《评标标准》。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（二）商务部分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详见本文件第四章《评标标准》。</w:t>
            </w:r>
            <w:r/>
          </w:p>
          <w:p>
            <w:pPr>
              <w:pStyle w:val="866"/>
              <w:numPr>
                <w:ilvl w:val="0"/>
                <w:numId w:val="1"/>
              </w:numPr>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其他部分：</w:t>
            </w:r>
            <w:r/>
          </w:p>
          <w:p>
            <w:pPr>
              <w:pStyle w:val="866"/>
              <w:spacing w:line="360" w:lineRule="auto"/>
              <w:rPr>
                <w:rFonts w:hint="eastAsia" w:ascii="宋体" w:hAnsi="宋体" w:eastAsia="宋体" w:cs="宋体"/>
                <w:b w:val="0"/>
                <w:bCs w:val="0"/>
                <w:sz w:val="24"/>
                <w:szCs w:val="18"/>
              </w:rPr>
            </w:pPr>
            <w:r>
              <w:rPr>
                <w:rFonts w:hint="eastAsia" w:ascii="宋体" w:hAnsi="宋体" w:eastAsia="宋体" w:cs="宋体"/>
                <w:b w:val="0"/>
                <w:bCs w:val="0"/>
                <w:sz w:val="24"/>
                <w:szCs w:val="18"/>
              </w:rPr>
              <w:t xml:space="preserve">（一）投标人《关于符合本国产品标准的声明函》（填写完整，加盖公章，格式见招标文件第七章《投标文件相关格式》）（请填写完整，如不填写完整或未按要求填写的，视为非本国产品）。</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1、本国产品应当符合以下条件：</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（一）在中国境内生产</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产品应当在中国境内生产，即在中华人民共和国关境内实现从原材料、组件到产品的属性改变。</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属性改变是指经过制造、加工或者组装等工序，产生完全不同于原材料、组件的新产品，并具有新的名称和特征（用途）。属性改变不包括以下细微操作：</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1.为确保产品在运输或者储存期间保持某种状态而进行的操作；</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2.为产品运输或者销售进行的包装或者展示；</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3.在产品或者其包装上粘贴或者印刷品牌、标志、标识以及其他用于区别的标记；</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4.简单的上漆、磨光和分装；</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5.其他不属于属性改变的情形。</w:t>
            </w:r>
            <w:r/>
          </w:p>
          <w:p>
            <w:pPr>
              <w:pStyle w:val="866"/>
              <w:spacing w:line="360" w:lineRule="auto"/>
              <w:rPr>
                <w:rFonts w:hint="eastAsia" w:ascii="宋体" w:hAnsi="宋体" w:eastAsia="宋体" w:cs="宋体"/>
              </w:rPr>
            </w:pPr>
            <w:r>
              <w:rPr>
                <w:rFonts w:hint="eastAsia" w:ascii="宋体" w:hAnsi="宋体" w:eastAsia="宋体" w:cs="宋体"/>
                <w:sz w:val="24"/>
                <w:szCs w:val="18"/>
              </w:rPr>
              <w:t xml:space="preserve">（二）在中国境内生产的组件成本占比达到规定比例</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产品在中国境内生产的组件成本占比应当达到规定比例，计算公式为：</w:t>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bCs/>
                <w:szCs w:val="24"/>
              </w:rPr>
              <mc:AlternateContent>
                <mc:Choice Requires="wpg">
                  <w:drawing>
                    <wp:inline xmlns:wp="http://schemas.openxmlformats.org/drawingml/2006/wordprocessingDrawing" distT="0" distB="0" distL="0" distR="0">
                      <wp:extent cx="3276600" cy="49530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eastAsia="宋体" w:cs="宋体"/>
              </w:rPr>
            </w:pPr>
            <w:r>
              <w:rPr>
                <w:rFonts w:hint="eastAsia" w:ascii="宋体" w:hAnsi="宋体" w:eastAsia="宋体" w:cs="宋体"/>
              </w:rPr>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（三）特定产品的关键组件、关键工序符合相关要求</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1、对特定产品，在符合本通知第一条第（一）项和第（二）项条件的基础上，应当符合财政部会同有关行业主管部门确定的其关键组件、关键工序在中国境内生产、完成等要求。</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2、本国产品标准的适用范围</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3、对本国产品的支持政策</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政府采购活动中既有本国产品又有非本国产品参与竞争的，依法对本国产品给予价格评审优惠，对本国产品的报价给予20%的价格扣除，用扣除后的价格参与评审。</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具体以《国务院办公厅关于在政府采购中实施本国产品标准及相关政策的通知》（国办发〔2025〕34号）规定为准。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注：中国境内生产的组件成本核算基本规则</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一、产品的一级组件是指直接组成产品的组件。产品的二级组件是指直接组成产品一级组件的组件。一级组件不可分解的，视同二级组件。</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二、二级组件在中国境内生产的，其全部成本计入中国境内生产的组件成本；二级组件不在中国境内生产的，其成本不计入中国境内生产的组件成本。</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三、产品总成本和组件成本以相关会计核算数据、采购合同、进货记录等为基础进行计算。</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四、需要对成本核算规则予以进一步明确的其他有关事项，由财政部会同有关部门另行规定。</w:t>
            </w:r>
            <w:r/>
          </w:p>
          <w:p>
            <w:pPr>
              <w:pStyle w:val="866"/>
              <w:spacing w:line="360" w:lineRule="auto"/>
              <w:widowControl/>
              <w:rPr>
                <w:rFonts w:hint="eastAsia" w:ascii="宋体" w:hAnsi="宋体" w:eastAsia="宋体" w:cs="宋体"/>
                <w:b w:val="0"/>
                <w:bCs w:val="0"/>
                <w:sz w:val="24"/>
                <w:szCs w:val="18"/>
              </w:rPr>
            </w:pPr>
            <w:r>
              <w:rPr>
                <w:rFonts w:hint="eastAsia" w:ascii="宋体" w:hAnsi="宋体" w:eastAsia="宋体" w:cs="宋体"/>
                <w:b w:val="0"/>
                <w:bCs w:val="0"/>
                <w:sz w:val="24"/>
                <w:szCs w:val="18"/>
              </w:rPr>
              <w:t xml:space="preserve">（二）企业报价折扣证明：</w:t>
            </w:r>
            <w:r/>
          </w:p>
          <w:p>
            <w:pPr>
              <w:pStyle w:val="866"/>
              <w:spacing w:line="360" w:lineRule="auto"/>
              <w:widowControl/>
              <w:rPr>
                <w:rFonts w:hint="eastAsia" w:ascii="宋体" w:hAnsi="宋体" w:eastAsia="宋体" w:cs="宋体"/>
                <w:b w:val="0"/>
                <w:bCs w:val="0"/>
                <w:sz w:val="24"/>
                <w:szCs w:val="18"/>
              </w:rPr>
            </w:pPr>
            <w:r>
              <w:rPr>
                <w:rFonts w:hint="eastAsia" w:ascii="宋体" w:hAnsi="宋体" w:eastAsia="宋体" w:cs="宋体"/>
                <w:b w:val="0"/>
                <w:bCs w:val="0"/>
                <w:sz w:val="24"/>
                <w:szCs w:val="18"/>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2、投标人为监狱企业的，提供省级以上监狱管理局、戒毒管理局（含新疆生产建设兵团）出具的属于监狱企业的证明文件原件的扫描件。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注：具体以《财政部 司法部关于政府采购支持监狱企业发展有关问题的通知》（财库〔2014〕68号）的规定为准。 </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3、投标人为享受政府采购支持政策的残疾人福利性单位的，提供《残疾人福利性单位声明函》（加盖电子签章，格式见招标文件第七章《投标文件相关格式》）。</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享受政府采购支持政策的残疾人福利性单位应当同时满足以下条件：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（一）安置的残疾人占本单位在职职工人数的比例不低于25%（含25%），并且安置的残疾人人数不少于10人（含10人）；</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（二）依法与安置的每位残疾人签订了一年以上（含一年）的劳动合同或服务协议；</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（三）为安置的每位残疾人按月足额缴纳了基本养老保险、基本医疗保险、失业保险、工伤保险和生育保险等社会保险费；</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（四）通过银行等金融机构向安置的每位残疾人，按月支付了不低于单位所在区县适用的经省级人民政府批准的月最低工资标准的工资；</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（五）提供本单位制造的货物、承担的工程或者服务（以下简称产品），或者提供其他残疾人福利性单位制造的货物（不包括使用非残疾人福利性单位注册商标的货物）。</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具体以《三部门联合发布关于促进残疾人就业政府采购政策的通知》（财库〔2017〕141号）规定为准。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注：</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 投标人应对以上文件的合法性、真实性负责。</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widowControl/>
              <w:rPr>
                <w:rFonts w:hint="eastAsia" w:ascii="宋体" w:hAnsi="宋体" w:eastAsia="宋体" w:cs="宋体"/>
                <w:sz w:val="24"/>
              </w:rPr>
            </w:pPr>
            <w:r>
              <w:rPr>
                <w:rFonts w:hint="eastAsia" w:ascii="宋体" w:hAnsi="宋体" w:eastAsia="宋体" w:cs="宋体"/>
                <w:sz w:val="24"/>
              </w:rPr>
              <w:t xml:space="preserve">商务条件见：</w:t>
            </w:r>
            <w:r/>
          </w:p>
          <w:p>
            <w:pPr>
              <w:pStyle w:val="866"/>
              <w:spacing w:line="360" w:lineRule="auto"/>
              <w:widowControl/>
              <w:rPr>
                <w:rFonts w:hint="eastAsia" w:ascii="宋体" w:hAnsi="宋体" w:eastAsia="宋体" w:cs="宋体"/>
                <w:sz w:val="24"/>
              </w:rPr>
            </w:pPr>
            <w:r>
              <w:rPr>
                <w:rFonts w:hint="eastAsia" w:ascii="宋体" w:hAnsi="宋体" w:eastAsia="宋体" w:cs="宋体"/>
                <w:sz w:val="24"/>
              </w:rPr>
              <w:t xml:space="preserve">一、本文件第四章《评标标准》中《评分细则》。</w:t>
            </w:r>
            <w:r/>
          </w:p>
          <w:p>
            <w:pPr>
              <w:pStyle w:val="866"/>
              <w:spacing w:line="360" w:lineRule="auto"/>
              <w:rPr>
                <w:rFonts w:hint="eastAsia" w:ascii="宋体" w:hAnsi="宋体" w:eastAsia="宋体" w:cs="宋体"/>
                <w:bCs/>
                <w:sz w:val="24"/>
              </w:rPr>
            </w:pPr>
            <w:r>
              <w:rPr>
                <w:rFonts w:hint="eastAsia" w:ascii="宋体" w:hAnsi="宋体" w:eastAsia="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widowControl/>
              <w:rPr>
                <w:rFonts w:hint="eastAsia" w:ascii="宋体" w:hAnsi="宋体" w:eastAsia="宋体" w:cs="宋体"/>
                <w:sz w:val="24"/>
              </w:rPr>
            </w:pPr>
            <w:r>
              <w:rPr>
                <w:rFonts w:hint="eastAsia" w:ascii="宋体" w:hAnsi="宋体" w:eastAsia="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5"/>
              <w:numPr>
                <w:ilvl w:val="0"/>
                <w:numId w:val="2"/>
              </w:numPr>
              <w:spacing w:line="360" w:lineRule="auto"/>
              <w:rPr>
                <w:rFonts w:hint="eastAsia" w:ascii="宋体" w:hAnsi="宋体" w:eastAsia="宋体" w:cs="宋体"/>
              </w:rPr>
            </w:pPr>
            <w:r>
              <w:rPr>
                <w:rFonts w:hint="eastAsia" w:ascii="宋体" w:hAnsi="宋体" w:eastAsia="宋体" w:cs="宋体"/>
                <w:sz w:val="24"/>
                <w:szCs w:val="24"/>
              </w:rPr>
              <w:t xml:space="preserve">本项目</w:t>
            </w:r>
            <w:r>
              <w:rPr>
                <w:rFonts w:hint="eastAsia" w:ascii="宋体" w:hAnsi="宋体" w:eastAsia="宋体" w:cs="宋体"/>
                <w:b/>
                <w:bCs/>
                <w:sz w:val="24"/>
                <w:szCs w:val="24"/>
              </w:rPr>
              <w:t xml:space="preserve">不接受超过249万元人民币（采购项目预算金额）的投标报价。</w:t>
            </w:r>
            <w:r/>
          </w:p>
          <w:p>
            <w:pPr>
              <w:pStyle w:val="865"/>
              <w:spacing w:line="360" w:lineRule="auto"/>
              <w:rPr>
                <w:rFonts w:hint="eastAsia" w:ascii="宋体" w:hAnsi="宋体" w:eastAsia="宋体" w:cs="宋体"/>
              </w:rPr>
            </w:pPr>
            <w:r>
              <w:rPr>
                <w:rFonts w:hint="eastAsia" w:ascii="宋体" w:hAnsi="宋体" w:eastAsia="宋体" w:cs="宋体"/>
                <w:sz w:val="24"/>
              </w:rPr>
              <w:t xml:space="preserve">投标人应当根据采购项目的要求进行报价，“报价”如无特别说明，均指含税价格，包含增值税税款及其他所有税费，发票为增值税发票。投标人报价应包括为完成本项目的标的所产生的一切费用，包括但不限于人工、耗材、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Cs/>
                <w:sz w:val="24"/>
              </w:rPr>
            </w:pPr>
            <w:r>
              <w:rPr>
                <w:rFonts w:hint="eastAsia" w:ascii="宋体" w:hAnsi="宋体" w:eastAsia="宋体" w:cs="宋体"/>
                <w:bCs/>
                <w:sz w:val="24"/>
              </w:rPr>
              <w:t xml:space="preserve">（十七）（1）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pStyle w:val="866"/>
              <w:spacing w:line="360" w:lineRule="auto"/>
              <w:rPr>
                <w:rFonts w:hint="eastAsia" w:ascii="宋体" w:hAnsi="宋体" w:eastAsia="宋体" w:cs="宋体"/>
                <w:bCs/>
                <w:sz w:val="24"/>
              </w:rPr>
            </w:pPr>
            <w:r>
              <w:rPr>
                <w:rFonts w:hint="eastAsia" w:ascii="宋体" w:hAnsi="宋体" w:eastAsia="宋体" w:cs="宋体"/>
                <w:sz w:val="24"/>
              </w:rPr>
              <w:t xml:space="preserve">特别说明：政府采购客户端工具需要导出加密的投标文件（后缀名为zip）。投标文件不得超过150M！名为“.kedt”）后，离线编制投标文件。采购文件（后缀名为“.kedt”）。</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(十八)</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投标文件的提交与接收： </w:t>
            </w:r>
            <w:r/>
          </w:p>
          <w:p>
            <w:pPr>
              <w:pStyle w:val="866"/>
              <w:spacing w:line="360" w:lineRule="auto"/>
              <w:rPr>
                <w:rFonts w:hint="eastAsia" w:ascii="宋体" w:hAnsi="宋体" w:eastAsia="宋体" w:cs="宋体"/>
                <w:b/>
                <w:bCs/>
                <w:sz w:val="24"/>
              </w:rPr>
            </w:pPr>
            <w:r>
              <w:rPr>
                <w:rFonts w:hint="eastAsia" w:ascii="宋体" w:hAnsi="宋体" w:eastAsia="宋体" w:cs="宋体"/>
                <w:sz w:val="24"/>
              </w:rPr>
              <w:t xml:space="preserve">1.投标文件提交与接收时间：</w:t>
            </w:r>
            <w:r>
              <w:rPr>
                <w:rFonts w:hint="eastAsia" w:ascii="宋体" w:hAnsi="宋体" w:eastAsia="宋体" w:cs="宋体"/>
                <w:b/>
                <w:bCs/>
                <w:sz w:val="24"/>
              </w:rPr>
              <w:t xml:space="preserve">提交投标文件截止时间（20</w:t>
            </w:r>
            <w:r>
              <w:rPr>
                <w:rFonts w:hint="eastAsia" w:ascii="宋体" w:hAnsi="宋体" w:eastAsia="宋体" w:cs="宋体"/>
                <w:b/>
                <w:bCs/>
                <w:sz w:val="24"/>
                <w:highlight w:val="none"/>
              </w:rPr>
              <w:t xml:space="preserve">26年</w:t>
            </w:r>
            <w:r>
              <w:rPr>
                <w:rFonts w:hint="eastAsia" w:ascii="宋体" w:hAnsi="宋体" w:eastAsia="宋体" w:cs="宋体"/>
                <w:b/>
                <w:bCs/>
                <w:sz w:val="24"/>
                <w:highlight w:val="none"/>
              </w:rPr>
              <w:t xml:space="preserve">11月</w:t>
            </w:r>
            <w:r>
              <w:rPr>
                <w:rFonts w:hint="eastAsia" w:ascii="宋体" w:hAnsi="宋体" w:eastAsia="宋体" w:cs="宋体"/>
                <w:b/>
                <w:bCs/>
                <w:sz w:val="24"/>
                <w:highlight w:val="none"/>
              </w:rPr>
              <w:t xml:space="preserve">04</w:t>
            </w:r>
            <w:r>
              <w:rPr>
                <w:rFonts w:hint="eastAsia" w:ascii="宋体" w:hAnsi="宋体" w:eastAsia="宋体" w:cs="宋体"/>
                <w:b/>
                <w:bCs/>
                <w:sz w:val="24"/>
                <w:highlight w:val="none"/>
              </w:rPr>
              <w:t xml:space="preserve">日</w:t>
            </w:r>
            <w:r>
              <w:rPr>
                <w:rFonts w:hint="eastAsia" w:ascii="宋体" w:hAnsi="宋体" w:eastAsia="宋体" w:cs="宋体"/>
                <w:b/>
                <w:bCs/>
                <w:sz w:val="24"/>
              </w:rPr>
              <w:t xml:space="preserve">09:30）前。</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2. 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66"/>
              <w:spacing w:line="360" w:lineRule="auto"/>
              <w:rPr>
                <w:rFonts w:hint="eastAsia" w:ascii="宋体" w:hAnsi="宋体" w:eastAsia="宋体" w:cs="宋体"/>
                <w:b/>
                <w:bCs/>
                <w:sz w:val="24"/>
              </w:rPr>
            </w:pPr>
            <w:r>
              <w:rPr>
                <w:rFonts w:hint="eastAsia" w:ascii="宋体" w:hAnsi="宋体" w:eastAsia="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highlight w:val="none"/>
              </w:rPr>
            </w:pPr>
            <w:r>
              <w:rPr>
                <w:rFonts w:hint="eastAsia" w:ascii="宋体" w:hAnsi="宋体" w:eastAsia="宋体" w:cs="宋体"/>
                <w:sz w:val="24"/>
              </w:rPr>
              <w:t xml:space="preserve">开标</w:t>
            </w:r>
            <w:r>
              <w:rPr>
                <w:rFonts w:hint="eastAsia" w:ascii="宋体" w:hAnsi="宋体" w:eastAsia="宋体" w:cs="宋体"/>
                <w:sz w:val="24"/>
                <w:highlight w:val="none"/>
              </w:rPr>
              <w:t xml:space="preserve">时间及地点：</w:t>
            </w:r>
            <w:r>
              <w:rPr>
                <w:highlight w:val="none"/>
              </w:rPr>
            </w:r>
            <w:r/>
          </w:p>
          <w:p>
            <w:pPr>
              <w:pStyle w:val="866"/>
              <w:spacing w:line="360" w:lineRule="auto"/>
              <w:rPr>
                <w:rFonts w:hint="eastAsia" w:ascii="宋体" w:hAnsi="宋体" w:eastAsia="宋体" w:cs="宋体"/>
                <w:b/>
                <w:bCs/>
                <w:sz w:val="24"/>
              </w:rPr>
            </w:pPr>
            <w:r>
              <w:rPr>
                <w:rFonts w:hint="eastAsia" w:ascii="宋体" w:hAnsi="宋体" w:eastAsia="宋体" w:cs="宋体"/>
                <w:b/>
                <w:bCs/>
                <w:sz w:val="24"/>
                <w:highlight w:val="none"/>
              </w:rPr>
              <w:t xml:space="preserve">1. 开标时间：</w:t>
            </w:r>
            <w:r>
              <w:rPr>
                <w:rFonts w:hint="eastAsia" w:ascii="宋体" w:hAnsi="宋体" w:eastAsia="宋体" w:cs="宋体"/>
                <w:b/>
                <w:bCs/>
                <w:sz w:val="24"/>
                <w:szCs w:val="32"/>
                <w:highlight w:val="none"/>
              </w:rPr>
              <w:t xml:space="preserve">2026年</w:t>
            </w:r>
            <w:r>
              <w:rPr>
                <w:rFonts w:hint="eastAsia" w:ascii="宋体" w:hAnsi="宋体" w:eastAsia="宋体" w:cs="宋体"/>
                <w:b/>
                <w:bCs/>
                <w:sz w:val="24"/>
                <w:szCs w:val="32"/>
                <w:highlight w:val="none"/>
              </w:rPr>
              <w:t xml:space="preserve">11月</w:t>
            </w:r>
            <w:r>
              <w:rPr>
                <w:rFonts w:hint="eastAsia" w:ascii="宋体" w:hAnsi="宋体" w:eastAsia="宋体" w:cs="宋体"/>
                <w:b/>
                <w:bCs/>
                <w:sz w:val="24"/>
                <w:szCs w:val="32"/>
                <w:highlight w:val="none"/>
              </w:rPr>
              <w:t xml:space="preserve">04</w:t>
            </w:r>
            <w:r>
              <w:rPr>
                <w:rFonts w:hint="eastAsia" w:ascii="宋体" w:hAnsi="宋体" w:eastAsia="宋体" w:cs="宋体"/>
                <w:b/>
                <w:bCs/>
                <w:sz w:val="24"/>
                <w:szCs w:val="32"/>
                <w:highlight w:val="none"/>
              </w:rPr>
              <w:t xml:space="preserve">日09:30</w:t>
            </w:r>
            <w:r>
              <w:rPr>
                <w:rFonts w:hint="eastAsia" w:ascii="宋体" w:hAnsi="宋体" w:eastAsia="宋体" w:cs="宋体"/>
                <w:b/>
                <w:bCs/>
                <w:sz w:val="24"/>
                <w:highlight w:val="none"/>
              </w:rPr>
              <w:t xml:space="preserve">（标</w:t>
            </w:r>
            <w:r>
              <w:rPr>
                <w:rFonts w:hint="eastAsia" w:ascii="宋体" w:hAnsi="宋体" w:eastAsia="宋体" w:cs="宋体"/>
                <w:b/>
                <w:bCs/>
                <w:sz w:val="24"/>
              </w:rPr>
              <w:t xml:space="preserve">准时间）</w:t>
            </w:r>
            <w:r/>
          </w:p>
          <w:p>
            <w:pPr>
              <w:pStyle w:val="830"/>
              <w:ind w:left="0"/>
              <w:spacing w:line="360" w:lineRule="auto"/>
              <w:rPr>
                <w:rFonts w:hint="eastAsia" w:ascii="宋体" w:hAnsi="宋体" w:eastAsia="宋体" w:cs="宋体"/>
              </w:rPr>
            </w:pPr>
            <w:r>
              <w:rPr>
                <w:rFonts w:hint="eastAsia" w:ascii="宋体" w:hAnsi="宋体" w:eastAsia="宋体" w:cs="宋体"/>
              </w:rPr>
              <w:t xml:space="preserve">2. 开标地点：“苏采云”系统（网址： http://jszfcg.jsczt.cn/）“开标大厅”或进入徐州政府采购网（网址：https://czj.xz.gov.cn/zfcg/index.html）--办事指南--供应商--供应商登录入口，点击“苏采云”进入系统“开标大厅”。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(二十八)1</w:t>
            </w:r>
            <w:r/>
          </w:p>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pStyle w:val="866"/>
              <w:spacing w:line="360" w:lineRule="auto"/>
              <w:rPr>
                <w:rFonts w:hint="eastAsia" w:ascii="宋体" w:hAnsi="宋体" w:eastAsia="宋体" w:cs="宋体"/>
              </w:rPr>
            </w:pPr>
            <w:r>
              <w:rPr>
                <w:rFonts w:hint="eastAsia" w:ascii="宋体" w:hAnsi="宋体" w:eastAsia="宋体" w:cs="宋体"/>
                <w:sz w:val="24"/>
              </w:rPr>
              <w:t xml:space="preserve">二、采用综合评分法的，按评审后得分由高到低顺序排列。得分相同的，按投标报价由低到高顺序排列。得分且投标报价相同的，按技术部分得分由高到低顺序排列。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（二十九）</w:t>
            </w:r>
            <w:r/>
          </w:p>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b/>
                <w:bCs/>
                <w:sz w:val="24"/>
              </w:rPr>
            </w:pPr>
            <w:r>
              <w:rPr>
                <w:rFonts w:hint="eastAsia" w:ascii="宋体" w:hAnsi="宋体" w:eastAsia="宋体" w:cs="宋体"/>
                <w:b/>
                <w:bCs/>
                <w:sz w:val="24"/>
              </w:rPr>
              <w:t xml:space="preserve">1. 评标中需要投标人对投标文件澄清或者说明的，应当通过“苏采云”系统交换数据电文。在评标期间，请投标人保持在线。</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2. 对于投标文件中含义不明确、同类问题表述不一致或者有明显文字和计算错误的内容，评标委员会通过“苏采云”系统要求投标人作出必要的澄清、说明或者补正，并规定回复时间。</w:t>
            </w:r>
            <w:r/>
          </w:p>
          <w:p>
            <w:pPr>
              <w:pStyle w:val="866"/>
              <w:jc w:val="left"/>
              <w:spacing w:line="360" w:lineRule="auto"/>
              <w:rPr>
                <w:rFonts w:hint="eastAsia" w:ascii="宋体" w:hAnsi="宋体" w:eastAsia="宋体" w:cs="宋体"/>
                <w:sz w:val="24"/>
              </w:rPr>
            </w:pPr>
            <w:r>
              <w:rPr>
                <w:rFonts w:hint="eastAsia" w:ascii="宋体" w:hAnsi="宋体" w:eastAsia="宋体" w:cs="宋体"/>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b/>
                <w:bCs/>
              </w:rPr>
            </w:pPr>
            <w:r>
              <w:rPr>
                <w:rFonts w:hint="eastAsia" w:ascii="宋体" w:hAnsi="宋体" w:eastAsia="宋体" w:cs="宋体"/>
                <w:b/>
                <w:bCs/>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jc w:val="both"/>
              <w:spacing w:line="360" w:lineRule="auto"/>
              <w:widowControl w:val="off"/>
              <w:rPr>
                <w:rFonts w:hint="eastAsia" w:ascii="宋体" w:hAnsi="宋体" w:eastAsia="宋体" w:cs="宋体"/>
                <w:sz w:val="24"/>
                <w:szCs w:val="24"/>
                <w:lang w:val="en-US" w:eastAsia="zh-CN" w:bidi="ar-SA"/>
              </w:rPr>
            </w:pPr>
            <w:r/>
            <w:bookmarkStart w:id="4" w:name="OLE_LINK7"/>
            <w:r/>
            <w:bookmarkStart w:id="5" w:name="OLE_LINK4"/>
            <w:r>
              <w:rPr>
                <w:rFonts w:hint="eastAsia" w:ascii="宋体" w:hAnsi="宋体" w:eastAsia="宋体" w:cs="宋体"/>
                <w:sz w:val="24"/>
                <w:szCs w:val="24"/>
                <w:lang w:val="en-US" w:eastAsia="zh-CN" w:bidi="ar-SA"/>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bookmarkEnd w:id="4"/>
            <w:r/>
            <w:bookmarkEnd w:id="5"/>
            <w:r/>
            <w:r/>
          </w:p>
          <w:p>
            <w:pPr>
              <w:jc w:val="both"/>
              <w:spacing w:line="360" w:lineRule="auto"/>
              <w:rPr>
                <w:rFonts w:hint="eastAsia" w:ascii="宋体" w:hAnsi="宋体" w:eastAsia="宋体" w:cs="宋体"/>
                <w:b/>
                <w:bCs/>
              </w:rPr>
            </w:pPr>
            <w:r>
              <w:rPr>
                <w:rFonts w:hint="eastAsia" w:ascii="宋体" w:hAnsi="宋体" w:eastAsia="宋体" w:cs="宋体"/>
                <w:b/>
                <w:szCs w:val="24"/>
              </w:rPr>
              <w:t xml:space="preserve">特别说明：“苏采云”系统通过“江苏省政府采购一体化不见面开标大厅</w:t>
            </w:r>
            <w:r>
              <w:rPr>
                <w:rFonts w:hint="eastAsia" w:ascii="宋体" w:hAnsi="宋体" w:eastAsia="宋体" w:cs="宋体"/>
                <w:b/>
                <w:bCs/>
                <w:szCs w:val="24"/>
              </w:rPr>
              <w:t xml:space="preserve">”</w:t>
            </w:r>
            <w:r>
              <w:rPr>
                <w:rFonts w:hint="eastAsia" w:ascii="宋体" w:hAnsi="宋体" w:eastAsia="宋体" w:cs="宋体"/>
                <w:b/>
                <w:szCs w:val="24"/>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b/>
                <w:bCs/>
                <w:sz w:val="24"/>
              </w:rPr>
            </w:pPr>
            <w:r>
              <w:rPr>
                <w:rFonts w:hint="eastAsia" w:ascii="宋体" w:hAnsi="宋体" w:eastAsia="宋体" w:cs="宋体"/>
                <w:b/>
                <w:bCs/>
                <w:sz w:val="24"/>
              </w:rPr>
              <w:t xml:space="preserve">七</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采购人与中标供应商应当在中标通知书发出之日起30日内，按照采购文件确定的事项签订政府采购合同。</w:t>
            </w:r>
            <w:r/>
          </w:p>
        </w:tc>
      </w:tr>
      <w:tr>
        <w:trPr>
          <w:trHeight w:val="351"/>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pStyle w:val="866"/>
              <w:jc w:val="both"/>
              <w:spacing w:line="360" w:lineRule="auto"/>
              <w:rPr>
                <w:rFonts w:hint="eastAsia" w:ascii="宋体" w:hAnsi="宋体" w:eastAsia="宋体" w:cs="宋体"/>
              </w:rPr>
            </w:pPr>
            <w:r>
              <w:rPr>
                <w:rFonts w:hint="eastAsia" w:ascii="宋体" w:hAnsi="宋体" w:eastAsia="宋体" w:cs="宋体"/>
                <w:sz w:val="24"/>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二、供应商在法定质疑期内一次性提出针对同一采购程序环节的质疑。</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质疑接收人：叶利国；  联系电话：18361777153；</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办公地址：宿迁市沭阳县马厂镇工业园区49号</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1、中标人在领取中标通知书前，须向采购代理机构提交一正两副投标文件、《开标一览表》和《分项价格表》的数据文件（WORD格式）。</w:t>
            </w:r>
            <w:r/>
          </w:p>
          <w:p>
            <w:pPr>
              <w:pStyle w:val="865"/>
              <w:spacing w:line="360" w:lineRule="auto"/>
              <w:rPr>
                <w:rFonts w:hint="eastAsia" w:ascii="宋体" w:hAnsi="宋体" w:eastAsia="宋体" w:cs="宋体"/>
                <w:b/>
                <w:sz w:val="24"/>
                <w:szCs w:val="22"/>
                <w:lang w:eastAsia="en-US"/>
              </w:rPr>
            </w:pPr>
            <w:r>
              <w:rPr>
                <w:rFonts w:hint="eastAsia" w:ascii="宋体" w:hAnsi="宋体" w:eastAsia="宋体" w:cs="宋体"/>
                <w:b w:val="0"/>
                <w:bCs w:val="0"/>
                <w:color w:val="auto"/>
                <w:sz w:val="24"/>
                <w:szCs w:val="24"/>
              </w:rPr>
              <w:t xml:space="preserve">2、中标人在领取中标通知书前一次性向代理机构缴纳代理服务费</w:t>
            </w:r>
            <w:r>
              <w:rPr>
                <w:rFonts w:hint="eastAsia" w:ascii="宋体" w:hAnsi="宋体" w:eastAsia="宋体" w:cs="宋体"/>
                <w:b/>
                <w:bCs/>
                <w:color w:val="auto"/>
                <w:sz w:val="24"/>
                <w:szCs w:val="24"/>
              </w:rPr>
              <w:t xml:space="preserve">。</w:t>
            </w:r>
            <w:r/>
          </w:p>
        </w:tc>
      </w:tr>
    </w:tbl>
    <w:p>
      <w:pPr>
        <w:jc w:val="center"/>
        <w:spacing w:line="360" w:lineRule="auto"/>
        <w:rPr>
          <w:rFonts w:hint="eastAsia" w:ascii="宋体" w:hAnsi="宋体" w:eastAsia="宋体" w:cs="宋体"/>
          <w:highlight w:val="yellow"/>
        </w:rPr>
      </w:pPr>
      <w:r>
        <w:rPr>
          <w:rFonts w:hint="eastAsia" w:ascii="宋体" w:hAnsi="宋体" w:eastAsia="宋体" w:cs="宋体"/>
        </w:rPr>
        <w:br w:type="page" w:clear="all"/>
      </w:r>
      <w:bookmarkStart w:id="6" w:name="_Toc9589"/>
      <w:r>
        <w:rPr>
          <w:rFonts w:hint="eastAsia" w:ascii="宋体" w:hAnsi="宋体" w:eastAsia="宋体" w:cs="宋体"/>
          <w:b/>
          <w:sz w:val="36"/>
          <w:szCs w:val="40"/>
          <w:lang w:val="en-US" w:eastAsia="zh-CN" w:bidi="ar-SA"/>
        </w:rPr>
        <w:t xml:space="preserve">第四章 评标标准</w:t>
      </w:r>
      <w:bookmarkEnd w:id="6"/>
      <w:r/>
      <w:r/>
    </w:p>
    <w:p>
      <w:pPr>
        <w:ind w:firstLine="420"/>
        <w:jc w:val="both"/>
        <w:spacing w:line="360" w:lineRule="auto"/>
        <w:widowControl w:val="off"/>
        <w:rPr>
          <w:rFonts w:hint="eastAsia" w:ascii="宋体" w:hAnsi="宋体" w:eastAsia="宋体" w:cs="宋体"/>
          <w:b/>
          <w:bCs/>
          <w:sz w:val="24"/>
          <w:szCs w:val="24"/>
        </w:rPr>
      </w:pPr>
      <w:r/>
      <w:bookmarkStart w:id="7" w:name="_Toc400722722"/>
      <w:r/>
      <w:bookmarkStart w:id="8" w:name="_Toc402966376"/>
      <w:r>
        <w:rPr>
          <w:rFonts w:hint="eastAsia" w:ascii="宋体" w:hAnsi="宋体" w:eastAsia="宋体" w:cs="宋体"/>
          <w:sz w:val="24"/>
          <w:szCs w:val="24"/>
        </w:rPr>
        <w:t xml:space="preserve">本项目采用综合评分法。综合评分法是指在最大限度地满足招标文件实质性要求前</w:t>
      </w:r>
      <w:r>
        <w:rPr>
          <w:rFonts w:hint="eastAsia" w:ascii="宋体" w:hAnsi="宋体" w:eastAsia="宋体" w:cs="宋体"/>
          <w:sz w:val="24"/>
          <w:szCs w:val="24"/>
          <w:lang w:val="en-US" w:eastAsia="zh-CN"/>
        </w:rPr>
        <w:t xml:space="preserve">提下</w:t>
      </w:r>
      <w:r>
        <w:rPr>
          <w:rFonts w:hint="eastAsia" w:ascii="宋体" w:hAnsi="宋体" w:eastAsia="宋体" w:cs="宋体"/>
          <w:sz w:val="24"/>
          <w:szCs w:val="24"/>
        </w:rPr>
        <w:t xml:space="preserve">，按照招标文件中规定的各项因素进行综合评审后，以评标总得分最高的供应商作为中标供应商的评标方法。</w:t>
      </w:r>
      <w:bookmarkEnd w:id="7"/>
      <w:r/>
      <w:bookmarkEnd w:id="8"/>
      <w:r/>
      <w:r/>
    </w:p>
    <w:tbl>
      <w:tblPr>
        <w:tblStyle w:val="821"/>
        <w:tblW w:w="96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1217"/>
        <w:gridCol w:w="6979"/>
      </w:tblGrid>
      <w:tr>
        <w:trPr>
          <w:jc w:val="center"/>
          <w:trHeight w:val="472"/>
        </w:trPr>
        <w:tc>
          <w:tcPr>
            <w:tcW w:w="1414"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评审因素</w:t>
            </w:r>
            <w:r/>
          </w:p>
        </w:tc>
        <w:tc>
          <w:tcPr>
            <w:gridSpan w:val="2"/>
            <w:tcW w:w="8196" w:type="dxa"/>
            <w:vAlign w:val="center"/>
            <w:textDirection w:val="lrTb"/>
            <w:noWrap w:val="false"/>
          </w:tcPr>
          <w:p>
            <w:pPr>
              <w:ind w:firstLine="480"/>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评审细则</w:t>
            </w:r>
            <w:r/>
          </w:p>
        </w:tc>
      </w:tr>
      <w:tr>
        <w:trPr>
          <w:jc w:val="center"/>
          <w:trHeight w:val="1173"/>
        </w:trPr>
        <w:tc>
          <w:tcPr>
            <w:tcW w:w="1414"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投标报价</w:t>
            </w:r>
            <w:r/>
          </w:p>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w:t>
            </w:r>
            <w:r>
              <w:rPr>
                <w:rFonts w:hint="eastAsia" w:ascii="宋体" w:hAnsi="宋体" w:eastAsia="宋体" w:cs="宋体"/>
                <w:bCs/>
                <w:szCs w:val="24"/>
                <w:lang w:val="en-US" w:eastAsia="zh-CN"/>
              </w:rPr>
              <w:t xml:space="preserve">15</w:t>
            </w:r>
            <w:r>
              <w:rPr>
                <w:rFonts w:hint="eastAsia" w:ascii="宋体" w:hAnsi="宋体" w:eastAsia="宋体" w:cs="宋体"/>
                <w:bCs/>
                <w:szCs w:val="24"/>
              </w:rPr>
              <w:t xml:space="preserve">分</w:t>
            </w:r>
            <w:r>
              <w:rPr>
                <w:rFonts w:hint="eastAsia" w:ascii="宋体" w:hAnsi="宋体" w:eastAsia="宋体" w:cs="宋体"/>
                <w:bCs/>
                <w:szCs w:val="24"/>
                <w:lang w:val="zh-CN"/>
              </w:rPr>
              <w:t xml:space="preserve">）</w:t>
            </w:r>
            <w:r/>
          </w:p>
        </w:tc>
        <w:tc>
          <w:tcPr>
            <w:gridSpan w:val="2"/>
            <w:tcW w:w="8196" w:type="dxa"/>
            <w:vAlign w:val="center"/>
            <w:textDirection w:val="lrTb"/>
            <w:noWrap w:val="false"/>
          </w:tcPr>
          <w:p>
            <w:pPr>
              <w:spacing w:line="360" w:lineRule="auto"/>
              <w:rPr>
                <w:rFonts w:hint="eastAsia" w:ascii="宋体" w:hAnsi="宋体" w:eastAsia="宋体" w:cs="宋体"/>
                <w:bCs/>
                <w:szCs w:val="24"/>
                <w:lang w:val="en-US" w:eastAsia="zh-CN"/>
              </w:rPr>
            </w:pPr>
            <w:r>
              <w:rPr>
                <w:rFonts w:hint="eastAsia" w:ascii="宋体" w:hAnsi="宋体" w:eastAsia="宋体" w:cs="宋体"/>
                <w:bCs/>
                <w:szCs w:val="24"/>
                <w:lang w:val="zh-CN"/>
              </w:rPr>
              <w:t xml:space="preserve">各投标人价格得分=最低报价（投标人的最低评审价格）÷各投标人评审价格×</w:t>
            </w:r>
            <w:r>
              <w:rPr>
                <w:rFonts w:hint="eastAsia" w:ascii="宋体" w:hAnsi="宋体" w:eastAsia="宋体" w:cs="宋体"/>
                <w:bCs/>
                <w:szCs w:val="24"/>
                <w:lang w:val="en-US" w:eastAsia="zh-CN"/>
              </w:rPr>
              <w:t xml:space="preserve">15</w:t>
            </w:r>
            <w:r/>
          </w:p>
          <w:p>
            <w:pPr>
              <w:spacing w:line="360" w:lineRule="auto"/>
              <w:rPr>
                <w:rFonts w:hint="eastAsia" w:ascii="宋体" w:hAnsi="宋体" w:eastAsia="宋体" w:cs="宋体"/>
                <w:bCs/>
                <w:szCs w:val="24"/>
                <w:lang w:val="zh-CN"/>
              </w:rPr>
            </w:pPr>
            <w:r>
              <w:rPr>
                <w:rFonts w:hint="eastAsia" w:ascii="宋体" w:hAnsi="宋体" w:eastAsia="宋体" w:cs="宋体"/>
                <w:b/>
                <w:szCs w:val="24"/>
              </w:rPr>
              <w:t xml:space="preserve">注：得分四舍五入保留小数点后2位。</w:t>
            </w:r>
            <w:r/>
          </w:p>
        </w:tc>
      </w:tr>
      <w:tr>
        <w:trPr>
          <w:jc w:val="center"/>
          <w:trHeight w:val="1782"/>
        </w:trPr>
        <w:tc>
          <w:tcPr>
            <w:tcW w:w="1414" w:type="dxa"/>
            <w:vAlign w:val="center"/>
            <w:vMerge w:val="restart"/>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rPr>
              <w:t xml:space="preserve">商务部分（</w:t>
            </w:r>
            <w:r>
              <w:rPr>
                <w:rFonts w:hint="eastAsia" w:ascii="宋体" w:hAnsi="宋体" w:eastAsia="宋体" w:cs="宋体"/>
                <w:bCs/>
                <w:szCs w:val="24"/>
                <w:lang w:val="en-US" w:eastAsia="zh-CN"/>
              </w:rPr>
              <w:t xml:space="preserve">20</w:t>
            </w:r>
            <w:r>
              <w:rPr>
                <w:rFonts w:hint="eastAsia" w:ascii="宋体" w:hAnsi="宋体" w:eastAsia="宋体" w:cs="宋体"/>
                <w:bCs/>
                <w:szCs w:val="24"/>
              </w:rPr>
              <w:t xml:space="preserve">分）</w:t>
            </w:r>
            <w:r/>
          </w:p>
        </w:tc>
        <w:tc>
          <w:tcPr>
            <w:tcW w:w="1217"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业绩</w:t>
            </w:r>
            <w:r/>
          </w:p>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w:t>
            </w:r>
            <w:r>
              <w:rPr>
                <w:rFonts w:hint="eastAsia" w:ascii="宋体" w:hAnsi="宋体" w:eastAsia="宋体" w:cs="宋体"/>
                <w:bCs/>
                <w:szCs w:val="24"/>
              </w:rPr>
              <w:t xml:space="preserve">4分</w:t>
            </w:r>
            <w:r>
              <w:rPr>
                <w:rFonts w:hint="eastAsia" w:ascii="宋体" w:hAnsi="宋体" w:eastAsia="宋体" w:cs="宋体"/>
                <w:bCs/>
                <w:szCs w:val="24"/>
                <w:lang w:val="zh-CN"/>
              </w:rPr>
              <w:t xml:space="preserve">）</w:t>
            </w:r>
            <w:r/>
          </w:p>
        </w:tc>
        <w:tc>
          <w:tcPr>
            <w:tcW w:w="6979" w:type="dxa"/>
            <w:vAlign w:val="center"/>
            <w:textDirection w:val="lrTb"/>
            <w:noWrap w:val="false"/>
          </w:tcPr>
          <w:p>
            <w:pPr>
              <w:spacing w:line="360" w:lineRule="auto"/>
            </w:pPr>
            <w:r>
              <w:rPr>
                <w:rFonts w:hint="eastAsia" w:ascii="宋体" w:hAnsi="宋体" w:eastAsia="宋体" w:cs="宋体"/>
                <w:bCs/>
                <w:szCs w:val="24"/>
                <w:lang w:val="zh-CN"/>
              </w:rPr>
              <w:t xml:space="preserve">投标人自2023年1月1日（含）</w:t>
            </w:r>
            <w:r>
              <w:rPr>
                <w:rFonts w:hint="eastAsia" w:ascii="宋体" w:hAnsi="宋体" w:eastAsia="宋体" w:cs="宋体"/>
                <w:highlight w:val="none"/>
              </w:rPr>
              <w:t xml:space="preserve">以来承接过</w:t>
            </w:r>
            <w:r>
              <w:rPr>
                <w:rFonts w:hint="eastAsia" w:ascii="宋体" w:hAnsi="宋体" w:eastAsia="宋体" w:cs="宋体"/>
                <w:highlight w:val="none"/>
                <w:lang w:val="en-US" w:eastAsia="zh-CN"/>
              </w:rPr>
              <w:t xml:space="preserve">类似项目的</w:t>
            </w:r>
            <w:r>
              <w:rPr>
                <w:rFonts w:hint="eastAsia" w:ascii="宋体" w:hAnsi="宋体" w:eastAsia="宋体" w:cs="宋体"/>
                <w:highlight w:val="none"/>
              </w:rPr>
              <w:t xml:space="preserve">，每提供1个得2分；本项最多得4分，没有不得分。</w:t>
            </w: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bCs/>
                <w:highlight w:val="none"/>
              </w:rPr>
              <w:t xml:space="preserve">须提供</w:t>
            </w:r>
            <w:r>
              <w:rPr>
                <w:rFonts w:hint="eastAsia" w:ascii="宋体" w:hAnsi="宋体" w:eastAsia="宋体" w:cs="宋体"/>
                <w:b/>
                <w:bCs/>
                <w:highlight w:val="none"/>
                <w:lang w:val="en-US" w:eastAsia="zh-CN"/>
              </w:rPr>
              <w:t xml:space="preserve">中标通知书</w:t>
            </w:r>
            <w:r>
              <w:rPr>
                <w:rFonts w:hint="eastAsia" w:ascii="宋体" w:hAnsi="宋体" w:eastAsia="宋体" w:cs="宋体"/>
                <w:b/>
                <w:bCs/>
                <w:color w:val="auto"/>
                <w:highlight w:val="none"/>
                <w:lang w:val="en-US" w:eastAsia="zh-CN"/>
              </w:rPr>
              <w:t xml:space="preserve">、中标结果公示截图、</w:t>
            </w:r>
            <w:r>
              <w:rPr>
                <w:rFonts w:hint="eastAsia" w:ascii="宋体" w:hAnsi="宋体" w:eastAsia="宋体" w:cs="宋体"/>
                <w:b/>
                <w:bCs/>
                <w:highlight w:val="none"/>
              </w:rPr>
              <w:t xml:space="preserve">合同原件扫描件并加盖公章，否则不予得分。</w:t>
            </w:r>
            <w:r>
              <w:rPr>
                <w:rFonts w:hint="eastAsia" w:ascii="宋体" w:hAnsi="宋体" w:eastAsia="宋体" w:cs="宋体"/>
                <w:szCs w:val="24"/>
                <w:lang w:val="zh-CN"/>
              </w:rPr>
            </w:r>
            <w:r/>
          </w:p>
        </w:tc>
      </w:tr>
      <w:tr>
        <w:trPr>
          <w:jc w:val="center"/>
          <w:trHeight w:val="544"/>
        </w:trPr>
        <w:tc>
          <w:tcPr>
            <w:tcW w:w="1414" w:type="dxa"/>
            <w:vAlign w:val="center"/>
            <w:vMerge w:val="continue"/>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rPr>
            </w:r>
            <w:r/>
          </w:p>
        </w:tc>
        <w:tc>
          <w:tcPr>
            <w:tcW w:w="1217" w:type="dxa"/>
            <w:vAlign w:val="center"/>
            <w:textDirection w:val="lrTb"/>
            <w:noWrap w:val="false"/>
          </w:tcPr>
          <w:p>
            <w:pPr>
              <w:jc w:val="cente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项目人员配置（</w:t>
            </w:r>
            <w:r>
              <w:rPr>
                <w:rFonts w:hint="eastAsia" w:ascii="宋体" w:hAnsi="宋体" w:eastAsia="宋体" w:cs="宋体"/>
                <w:bCs/>
                <w:sz w:val="24"/>
                <w:szCs w:val="24"/>
                <w:lang w:val="en-US" w:eastAsia="zh-CN" w:bidi="zh-CN"/>
              </w:rPr>
              <w:t xml:space="preserve">10</w:t>
            </w:r>
            <w:r>
              <w:rPr>
                <w:rFonts w:hint="eastAsia" w:ascii="宋体" w:hAnsi="宋体" w:eastAsia="宋体" w:cs="宋体"/>
                <w:bCs/>
                <w:sz w:val="24"/>
                <w:szCs w:val="24"/>
                <w:lang w:val="zh-CN" w:eastAsia="zh-CN" w:bidi="zh-CN"/>
              </w:rPr>
              <w:t xml:space="preserve">分）</w:t>
            </w:r>
            <w:r/>
          </w:p>
        </w:tc>
        <w:tc>
          <w:tcPr>
            <w:tcW w:w="6979" w:type="dxa"/>
            <w:vAlign w:val="center"/>
            <w:textDirection w:val="lrTb"/>
            <w:noWrap w:val="false"/>
          </w:tcPr>
          <w:p>
            <w:pPr>
              <w:spacing w:line="360" w:lineRule="auto"/>
            </w:pPr>
            <w:r>
              <w:rPr>
                <w:rFonts w:hint="eastAsia" w:ascii="宋体" w:hAnsi="宋体" w:eastAsia="宋体" w:cs="宋体"/>
                <w:bCs/>
                <w:sz w:val="24"/>
                <w:szCs w:val="24"/>
                <w:lang w:val="zh-CN" w:eastAsia="zh-CN" w:bidi="zh-CN"/>
              </w:rPr>
              <w:t xml:space="preserve">（1）拟配备的驻厂运营负责人具备环境、环保、安全、市政、园林等相关专业职称证书的，初级得1分，中级得2分，副高级及以上得3分。</w:t>
            </w:r>
            <w:r>
              <w:rPr>
                <w:rFonts w:hint="eastAsia" w:ascii="宋体" w:hAnsi="宋体" w:eastAsia="宋体" w:cs="宋体"/>
                <w:bCs/>
                <w:sz w:val="24"/>
                <w:szCs w:val="24"/>
                <w:lang w:val="zh-CN" w:eastAsia="zh-CN" w:bidi="zh-CN"/>
              </w:rPr>
            </w:r>
            <w:r/>
          </w:p>
          <w:p>
            <w:pPr>
              <w:spacing w:line="360" w:lineRule="auto"/>
            </w:pPr>
            <w:r>
              <w:rPr>
                <w:rFonts w:hint="eastAsia" w:ascii="宋体" w:hAnsi="宋体" w:eastAsia="宋体" w:cs="宋体"/>
                <w:bCs/>
                <w:sz w:val="24"/>
                <w:szCs w:val="24"/>
                <w:lang w:val="zh-CN" w:eastAsia="zh-CN" w:bidi="zh-CN"/>
              </w:rPr>
              <w:t xml:space="preserve">（2）拟配备的技术员具有环境、环保、安全、市政等相关专业职称证书的，初级得1分，中级得2分，副高级及以上得3分。</w:t>
            </w:r>
            <w:r>
              <w:rPr>
                <w:rFonts w:hint="eastAsia" w:ascii="宋体" w:hAnsi="宋体" w:eastAsia="宋体" w:cs="宋体"/>
                <w:bCs/>
                <w:sz w:val="24"/>
                <w:szCs w:val="24"/>
                <w:lang w:val="zh-CN" w:eastAsia="zh-CN" w:bidi="zh-CN"/>
              </w:rPr>
            </w:r>
            <w:r/>
          </w:p>
          <w:p>
            <w:pPr>
              <w:spacing w:line="360" w:lineRule="auto"/>
            </w:pPr>
            <w:r>
              <w:rPr>
                <w:rFonts w:hint="eastAsia" w:ascii="宋体" w:hAnsi="宋体" w:eastAsia="宋体" w:cs="宋体"/>
                <w:bCs/>
                <w:sz w:val="24"/>
                <w:szCs w:val="24"/>
                <w:lang w:val="zh-CN" w:eastAsia="zh-CN" w:bidi="zh-CN"/>
              </w:rPr>
              <w:t xml:space="preserve">注：同一人持有多项职称证书的，按最高级别计分，不重复得分。</w:t>
            </w:r>
            <w:r>
              <w:rPr>
                <w:rFonts w:hint="eastAsia" w:ascii="宋体" w:hAnsi="宋体" w:eastAsia="宋体" w:cs="宋体"/>
                <w:bCs/>
                <w:sz w:val="24"/>
                <w:szCs w:val="24"/>
                <w:lang w:val="zh-CN" w:eastAsia="zh-CN" w:bidi="zh-CN"/>
              </w:rPr>
            </w:r>
            <w:r/>
          </w:p>
          <w:p>
            <w:pPr>
              <w:spacing w:line="360" w:lineRule="auto"/>
            </w:pPr>
            <w:r>
              <w:rPr>
                <w:rFonts w:hint="eastAsia" w:ascii="宋体" w:hAnsi="宋体" w:eastAsia="宋体" w:cs="宋体"/>
                <w:bCs/>
                <w:sz w:val="24"/>
                <w:szCs w:val="24"/>
                <w:lang w:val="zh-CN" w:eastAsia="zh-CN" w:bidi="zh-CN"/>
              </w:rPr>
              <w:t xml:space="preserve">（3）运营服务人员（4分）：拟派本项目服务人员持有电工证书、安全员证书（应急管理部门或住建主管部门核发的有效证书），每个证书得2分，一人多证不重复得分，本项最高得4分；（安全员岗位可由驻厂运营负责人或技术员兼任，但已按第（1）（2）项安全类职称计分的兼任人员，其安全员证书不再重复计分）。</w:t>
            </w:r>
            <w:r>
              <w:rPr>
                <w:rFonts w:hint="eastAsia" w:ascii="宋体" w:hAnsi="宋体" w:eastAsia="宋体" w:cs="宋体"/>
                <w:bCs/>
                <w:sz w:val="24"/>
                <w:szCs w:val="24"/>
                <w:lang w:val="zh-CN" w:eastAsia="zh-CN" w:bidi="zh-CN"/>
              </w:rPr>
            </w:r>
            <w:r/>
          </w:p>
          <w:p>
            <w:pP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注：提供人员证书扫描件及投标人为其缴纳的本项目开标时间前6个月内任意一月（不含投标截止时间当月）的社保证明材料复印件加盖公章，退休人员可提供退休证明及聘用合同替代社保证，否则视为未提供。</w:t>
            </w:r>
            <w:r>
              <w:rPr>
                <w:rFonts w:hint="eastAsia" w:ascii="宋体" w:hAnsi="宋体" w:eastAsia="宋体" w:cs="宋体"/>
                <w:bCs/>
                <w:sz w:val="24"/>
                <w:szCs w:val="24"/>
                <w:lang w:val="zh-CN" w:eastAsia="zh-CN" w:bidi="zh-CN"/>
              </w:rPr>
            </w:r>
            <w:r/>
          </w:p>
        </w:tc>
      </w:tr>
      <w:tr>
        <w:trPr>
          <w:jc w:val="center"/>
          <w:trHeight w:val="35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rPr>
              <w:t xml:space="preserve">企业综合实力（6分）</w:t>
            </w:r>
            <w:r/>
          </w:p>
        </w:tc>
        <w:tc>
          <w:tcPr>
            <w:tcW w:w="6979" w:type="dxa"/>
            <w:vAlign w:val="center"/>
            <w:textDirection w:val="lrTb"/>
            <w:noWrap w:val="false"/>
          </w:tcPr>
          <w:p>
            <w:pPr>
              <w:pStyle w:val="851"/>
              <w:spacing w:before="0" w:beforeAutospacing="0" w:after="0" w:afterAutospacing="0" w:line="360" w:lineRule="auto"/>
              <w:widowControl w:val="off"/>
              <w:rPr>
                <w:rFonts w:hint="eastAsia" w:ascii="宋体" w:hAnsi="宋体" w:eastAsia="宋体" w:cs="宋体"/>
                <w:bCs/>
                <w:szCs w:val="24"/>
              </w:rPr>
            </w:pPr>
            <w:r>
              <w:rPr>
                <w:rFonts w:hint="eastAsia" w:ascii="宋体" w:hAnsi="宋体" w:eastAsia="宋体" w:cs="宋体"/>
                <w:bCs/>
                <w:szCs w:val="24"/>
              </w:rPr>
              <w:t xml:space="preserve">投标文件中提供投标人有效的环境管理体系认证证书、职业健康安全管理体系认证证书、质量管理体系认证证书的，每项得2分，本项最高得6分。</w:t>
            </w:r>
            <w:r/>
          </w:p>
          <w:p>
            <w:pPr>
              <w:pStyle w:val="851"/>
              <w:spacing w:before="0" w:beforeAutospacing="0" w:after="0" w:afterAutospacing="0" w:line="360" w:lineRule="auto"/>
              <w:widowControl w:val="off"/>
              <w:rPr>
                <w:rFonts w:hint="eastAsia" w:ascii="宋体" w:hAnsi="宋体" w:eastAsia="宋体" w:cs="宋体"/>
                <w:bCs/>
                <w:szCs w:val="24"/>
              </w:rPr>
            </w:pPr>
            <w:r>
              <w:rPr>
                <w:rFonts w:hint="eastAsia" w:ascii="宋体" w:hAnsi="宋体" w:eastAsia="宋体" w:cs="宋体"/>
                <w:bCs/>
                <w:szCs w:val="24"/>
              </w:rPr>
              <w:t xml:space="preserve">注：投标文件中提供的体系认证证书在全国认证认可信息公共服务平台（http://cx.cnca.cn/CertECloud/index/index/page）查询证书有效截图（须同时具备），不提供或提供内容模糊不清该项不得分。</w:t>
            </w:r>
            <w:r/>
          </w:p>
        </w:tc>
      </w:tr>
      <w:tr>
        <w:trPr>
          <w:jc w:val="center"/>
          <w:trHeight w:val="90"/>
        </w:trPr>
        <w:tc>
          <w:tcPr>
            <w:tcW w:w="1414" w:type="dxa"/>
            <w:vAlign w:val="center"/>
            <w:vMerge w:val="restart"/>
            <w:textDirection w:val="lrTb"/>
            <w:noWrap w:val="false"/>
          </w:tcPr>
          <w:p>
            <w:pPr>
              <w:jc w:val="both"/>
              <w:spacing w:line="360" w:lineRule="auto"/>
              <w:rPr>
                <w:rFonts w:hint="eastAsia" w:ascii="宋体" w:hAnsi="宋体" w:eastAsia="宋体" w:cs="宋体"/>
                <w:bCs/>
                <w:szCs w:val="24"/>
                <w:lang w:val="zh-CN"/>
              </w:rPr>
            </w:pPr>
            <w:r>
              <w:rPr>
                <w:rFonts w:hint="eastAsia" w:ascii="宋体" w:hAnsi="宋体" w:eastAsia="宋体" w:cs="宋体"/>
                <w:bCs/>
                <w:szCs w:val="24"/>
              </w:rPr>
              <w:t xml:space="preserve">技术部分（6</w:t>
            </w:r>
            <w:r>
              <w:rPr>
                <w:rFonts w:hint="eastAsia" w:ascii="宋体" w:hAnsi="宋体" w:eastAsia="宋体" w:cs="宋体"/>
                <w:bCs/>
                <w:szCs w:val="24"/>
                <w:lang w:val="en-US" w:eastAsia="zh-CN"/>
              </w:rPr>
              <w:t xml:space="preserve">5</w:t>
            </w:r>
            <w:r>
              <w:rPr>
                <w:rFonts w:hint="eastAsia" w:ascii="宋体" w:hAnsi="宋体" w:eastAsia="宋体" w:cs="宋体"/>
                <w:bCs/>
                <w:szCs w:val="24"/>
              </w:rPr>
              <w:t xml:space="preserve">分）</w:t>
            </w:r>
            <w:r/>
          </w:p>
        </w:tc>
        <w:tc>
          <w:tcPr>
            <w:tcW w:w="1217"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rPr>
              <w:t xml:space="preserve">运行管理服务总体方案（1</w:t>
            </w:r>
            <w:r>
              <w:rPr>
                <w:rFonts w:hint="eastAsia" w:ascii="宋体" w:hAnsi="宋体" w:eastAsia="宋体" w:cs="宋体"/>
                <w:bCs/>
                <w:szCs w:val="24"/>
                <w:lang w:val="en-US" w:eastAsia="zh-CN"/>
              </w:rPr>
              <w:t xml:space="preserve">1</w:t>
            </w:r>
            <w:r>
              <w:rPr>
                <w:rFonts w:hint="eastAsia" w:ascii="宋体" w:hAnsi="宋体" w:eastAsia="宋体" w:cs="宋体"/>
                <w:bCs/>
                <w:szCs w:val="24"/>
              </w:rPr>
              <w:t xml:space="preserve">分）</w:t>
            </w:r>
            <w:r/>
          </w:p>
        </w:tc>
        <w:tc>
          <w:tcPr>
            <w:tcW w:w="6979" w:type="dxa"/>
            <w:vAlign w:val="top"/>
            <w:textDirection w:val="lrTb"/>
            <w:noWrap w:val="false"/>
          </w:tcPr>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根据投标人对填埋场现场实际状况与项目需求的理解编写运行管理服务总体方案，要求方案内容全面，涵盖场区全部运行管理内容（不含渗滤液处理），对方案内容的全面性、可行性、针对性进行评价。</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内容的全面性（4分）：全面具体详实得4分；较全面得2分；存在漏项或缺陷得1分。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可行性（4分）：切实可行得4分；较切实可行得2分；可行性欠缺得1分。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针对性（3分）：针对性强得3分；针对性较强的得2分；针对性不强得1分。</w:t>
            </w:r>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未提供的得0分，本项最高得11分，最低得0分。</w:t>
            </w:r>
            <w:r/>
          </w:p>
        </w:tc>
      </w:tr>
      <w:tr>
        <w:trPr>
          <w:jc w:val="center"/>
          <w:trHeight w:val="111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lang w:val="zh-CN"/>
              </w:rPr>
              <w:t xml:space="preserve">渗滤液收集与合规处置方案（</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0</w:t>
            </w:r>
            <w:r>
              <w:rPr>
                <w:rFonts w:hint="eastAsia" w:ascii="宋体" w:hAnsi="宋体" w:eastAsia="宋体" w:cs="宋体"/>
                <w:bCs/>
                <w:szCs w:val="24"/>
              </w:rPr>
              <w:t xml:space="preserve">分</w:t>
            </w:r>
            <w:r>
              <w:rPr>
                <w:rFonts w:hint="eastAsia" w:ascii="宋体" w:hAnsi="宋体" w:eastAsia="宋体" w:cs="宋体"/>
                <w:bCs/>
                <w:szCs w:val="24"/>
                <w:lang w:val="zh-CN"/>
              </w:rPr>
              <w:t xml:space="preserve">）</w:t>
            </w:r>
            <w:r/>
          </w:p>
        </w:tc>
        <w:tc>
          <w:tcPr>
            <w:tcW w:w="6979" w:type="dxa"/>
            <w:vAlign w:val="top"/>
            <w:textDirection w:val="lrTb"/>
            <w:noWrap w:val="false"/>
          </w:tcPr>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根据投标人对填埋场渗滤液产生、收集及转运实际状况的理解编写渗滤液收集与合规处置方案，要求方案内容全面，涵盖渗滤液收集转运流程、台账计量管理、调节池及液位管理、防外排与溢流应急拦截措施等，对方案内容的全面性、可行性、针对性进行评价。</w:t>
            </w:r>
            <w:r/>
          </w:p>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内容的全面性（4分）：全面具体详实得4分；较全面得2分；存在漏项或缺陷得1分。</w:t>
            </w:r>
            <w:r/>
          </w:p>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可行性（3分）：切实可行得3分；较切实可行得2分；可行性欠缺得1分。</w:t>
            </w:r>
            <w:r/>
          </w:p>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针对性（3分）：针对性强得3分；针对性较强的得2分；针对性不强得1分。</w:t>
            </w:r>
            <w:r/>
          </w:p>
          <w:p>
            <w:pPr>
              <w:spacing w:line="360" w:lineRule="auto"/>
              <w:rPr>
                <w:rFonts w:hint="eastAsia" w:ascii="宋体" w:hAnsi="宋体" w:eastAsia="宋体" w:cs="宋体"/>
                <w:bCs/>
                <w:szCs w:val="24"/>
              </w:rPr>
            </w:pPr>
            <w:r>
              <w:rPr>
                <w:rFonts w:hint="eastAsia" w:ascii="宋体" w:hAnsi="宋体" w:eastAsia="宋体" w:cs="宋体"/>
                <w:bCs/>
                <w:szCs w:val="24"/>
              </w:rPr>
              <w:t xml:space="preserve">未供</w:t>
            </w:r>
            <w:r>
              <w:rPr>
                <w:rFonts w:hint="eastAsia" w:ascii="宋体" w:hAnsi="宋体" w:eastAsia="宋体" w:cs="宋体"/>
                <w:bCs/>
                <w:szCs w:val="24"/>
              </w:rPr>
              <w:t xml:space="preserve">提</w:t>
            </w:r>
            <w:r>
              <w:rPr>
                <w:rFonts w:hint="eastAsia" w:ascii="宋体" w:hAnsi="宋体" w:eastAsia="宋体" w:cs="宋体"/>
                <w:bCs/>
                <w:szCs w:val="24"/>
              </w:rPr>
              <w:t xml:space="preserve">的得0分，本项最高得10分，最低得0分。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填埋气导排与臭气控制方案（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979" w:type="dxa"/>
            <w:vAlign w:val="center"/>
            <w:textDirection w:val="lrTb"/>
            <w:noWrap w:val="false"/>
          </w:tcPr>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根据投标人对填埋场填埋气及异味产生状况的理解编写填埋气导排与臭气控制方案，要求方案内容全面，涵盖导排井及收集系统维护、点火燃烧处置、场区除臭与巡查、气体浓度监测配合等，对方案内容的全面性、可行性、针对性进行评价。</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内容的全面性（3分）：全面具体详实得3分；较全面得2分；存在漏项或缺陷得1分。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可行性（3分）：切实可行得3分；较切实可行得2分；可行性欠缺得1分。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针对性（2分）：针对性强得2分；针对性较强的得1分；针对性不强得0分。</w:t>
            </w:r>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未提供的得0分，本项最高得8分，最低得0分。</w:t>
            </w:r>
            <w:r/>
          </w:p>
        </w:tc>
      </w:tr>
      <w:tr>
        <w:trPr>
          <w:jc w:val="center"/>
          <w:trHeight w:val="2721"/>
        </w:trPr>
        <w:tc>
          <w:tcPr>
            <w:tcW w:w="1414" w:type="dxa"/>
            <w:vAlign w:val="center"/>
            <w:vMerge w:val="continue"/>
            <w:textDirection w:val="lrTb"/>
            <w:noWrap w:val="false"/>
          </w:tcPr>
          <w:p>
            <w:pPr>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ind w:firstLine="200"/>
              <w:jc w:val="center"/>
              <w:spacing w:line="360" w:lineRule="auto"/>
              <w:widowControl w:val="off"/>
              <w:rPr>
                <w:rFonts w:hint="eastAsia" w:ascii="宋体" w:hAnsi="宋体" w:eastAsia="宋体" w:cs="宋体"/>
                <w:szCs w:val="24"/>
              </w:rPr>
            </w:pPr>
            <w:r>
              <w:rPr>
                <w:rFonts w:hint="eastAsia" w:ascii="宋体" w:hAnsi="宋体" w:eastAsia="宋体" w:cs="宋体"/>
                <w:szCs w:val="24"/>
              </w:rPr>
              <w:t xml:space="preserve">雨污分流与膜防渗巡查方案（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979" w:type="dxa"/>
            <w:vAlign w:val="center"/>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填埋场雨污分流及防渗系统实际状况的理解编写雨污分流与膜防渗巡查方案，要求方案内容全面，涵盖雨水明沟清理维护、膜面防渗巡查、地下水监测井配合、膜破损修复流程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内容的全面性（3分）：全面具体详实得3分；较全面得2分；存在漏项或缺陷得1分。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可行性（3分）：切实可行得3分；较切实可行得2分；可行性欠缺得1分。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未提供的得0分，本项最高得8分，最低得0分。</w:t>
            </w:r>
            <w:r/>
          </w:p>
        </w:tc>
      </w:tr>
      <w:tr>
        <w:trPr>
          <w:jc w:val="center"/>
          <w:trHeight w:val="626"/>
        </w:trPr>
        <w:tc>
          <w:tcPr>
            <w:tcW w:w="1414" w:type="dxa"/>
            <w:vAlign w:val="center"/>
            <w:vMerge w:val="continue"/>
            <w:textDirection w:val="lrTb"/>
            <w:noWrap w:val="false"/>
          </w:tcPr>
          <w:p>
            <w:pPr>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设备维护与备品备件保障方案（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tc>
        <w:tc>
          <w:tcPr>
            <w:tcW w:w="6979" w:type="dxa"/>
            <w:vAlign w:val="center"/>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填埋场现有设备实际状况的理解编写设备维护与备品备件保障方案，要求方案内容全面，涵盖关键设备清单、维护保养周期与责任人、备品备件库存承诺、故障应急响应时限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内容的全面性（3分）：全面具体详实得3分；较全面得2分；存在漏项或缺陷得1分。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可行性（3分）：切实可行得3分；较切实可行得2分；可行性欠缺得1分。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未提供的得0分，本项最高得8分，最低得0分。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安全生产与应急管理方案（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tc>
        <w:tc>
          <w:tcPr>
            <w:tcW w:w="6979" w:type="dxa"/>
            <w:vAlign w:val="center"/>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填埋场安全管理要求及风险点的理解编写安全生产与应急管理方案，要求方案内容全面，涵盖安全管理制度与作业规程、应急演练计划、应急物资清单、24小时值守与响应安排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内容的全面性（3分）：全面具体详实得3分；较全面得2分；存在漏项或缺陷得1分。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可行性（3分）：切实可行得3分；较切实可行得2分；可行性欠缺得1分。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未提供的得0分，本项最高得8分，最低得0分。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人员配置与到岗保障方案（</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分）</w:t>
            </w:r>
            <w:r/>
          </w:p>
        </w:tc>
        <w:tc>
          <w:tcPr>
            <w:tcW w:w="6979" w:type="dxa"/>
            <w:vAlign w:val="top"/>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本项目人员需求的理解编写人员配置与到岗保障方案，要求方案内容全面，涵盖岗位配置与排班计划、到岗率保障（建议不低于95%）、考勤与人员更换审批机制、培训计划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内容的全面性（2分）：全面具体详实得2分；较全面得1分；存在漏项或缺陷得0分。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可行性（2分）：切实可行得2分；较切实可行得1分；可行性欠缺得0分。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未提供的得0分，本项最高得6分，最低得0分。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考核响应与服务承诺方案（</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分）</w:t>
            </w:r>
            <w:r/>
          </w:p>
        </w:tc>
        <w:tc>
          <w:tcPr>
            <w:tcW w:w="6979" w:type="dxa"/>
            <w:vAlign w:val="top"/>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本项目考核办法及服务要求的理解编写考核响应与服务承诺方案，要求方案内容全面，涵盖对月度、季度考核及扣款规则的响应性安排、整改时限承诺、投诉与舆情响应、数据台账与资料报送配合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内容的全面性（2分）：全面具体详实得2分；较全面得1分；存在漏项或缺陷得0分。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可行性（2分）：切实可行得2分；较切实可行得1分；可行性欠缺得0分。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未提供的得0分，本项最高得6分，最低得0分。</w:t>
            </w:r>
            <w:r/>
          </w:p>
        </w:tc>
      </w:tr>
    </w:tbl>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30"/>
        <w:ind w:left="0"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本项目采用综合评分法。</w:t>
      </w:r>
      <w:r/>
    </w:p>
    <w:p>
      <w:pPr>
        <w:pStyle w:val="83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spacing w:line="360" w:lineRule="auto"/>
        <w:rPr>
          <w:rFonts w:hint="eastAsia" w:ascii="宋体" w:hAnsi="宋体" w:eastAsia="宋体" w:cs="宋体"/>
          <w:b/>
          <w:sz w:val="36"/>
          <w:szCs w:val="40"/>
        </w:rPr>
      </w:pPr>
      <w:r>
        <w:rPr>
          <w:rFonts w:hint="eastAsia" w:ascii="宋体" w:hAnsi="宋体" w:eastAsia="宋体" w:cs="宋体"/>
          <w:b/>
          <w:sz w:val="36"/>
          <w:szCs w:val="40"/>
        </w:rPr>
      </w:r>
      <w:r/>
    </w:p>
    <w:p>
      <w:pPr>
        <w:pStyle w:val="830"/>
        <w:spacing w:line="360" w:lineRule="auto"/>
        <w:rPr>
          <w:rFonts w:hint="eastAsia" w:ascii="宋体" w:hAnsi="宋体" w:eastAsia="宋体" w:cs="宋体"/>
          <w:b/>
          <w:sz w:val="36"/>
          <w:szCs w:val="40"/>
        </w:rPr>
      </w:pPr>
      <w:r>
        <w:rPr>
          <w:rFonts w:hint="eastAsia" w:ascii="宋体" w:hAnsi="宋体" w:eastAsia="宋体" w:cs="宋体"/>
          <w:b/>
          <w:sz w:val="36"/>
          <w:szCs w:val="40"/>
        </w:rPr>
      </w:r>
      <w:r/>
    </w:p>
    <w:p>
      <w:pPr>
        <w:spacing w:line="360" w:lineRule="auto"/>
        <w:rPr>
          <w:rFonts w:hint="eastAsia" w:ascii="宋体" w:hAnsi="宋体" w:eastAsia="宋体" w:cs="宋体"/>
        </w:rPr>
      </w:pPr>
      <w:r/>
      <w:bookmarkStart w:id="9" w:name="_Toc9219"/>
      <w:r>
        <w:rPr>
          <w:rFonts w:hint="eastAsia" w:ascii="宋体" w:hAnsi="宋体" w:eastAsia="宋体" w:cs="宋体"/>
        </w:rPr>
        <w:br w:type="page" w:clear="all"/>
      </w:r>
      <w:r/>
    </w:p>
    <w:p>
      <w:pPr>
        <w:pStyle w:val="877"/>
        <w:ind w:left="0"/>
        <w:spacing w:line="360" w:lineRule="auto"/>
        <w:rPr>
          <w:rFonts w:hint="eastAsia" w:ascii="宋体" w:hAnsi="宋体" w:eastAsia="宋体" w:cs="宋体"/>
          <w:b/>
          <w:szCs w:val="24"/>
        </w:rPr>
      </w:pPr>
      <w:r>
        <w:rPr>
          <w:rFonts w:hint="eastAsia" w:ascii="宋体" w:hAnsi="宋体" w:eastAsia="宋体" w:cs="宋体"/>
          <w:b/>
          <w:sz w:val="36"/>
          <w:szCs w:val="40"/>
          <w:lang w:val="en-US" w:eastAsia="zh-CN" w:bidi="ar-SA"/>
        </w:rPr>
        <w:t xml:space="preserve">第五章 拟签订的合同文本</w:t>
      </w:r>
      <w:bookmarkEnd w:id="9"/>
      <w:r/>
      <w:r/>
    </w:p>
    <w:p>
      <w:pPr>
        <w:pStyle w:val="860"/>
        <w:ind w:firstLine="960"/>
        <w:spacing w:line="360" w:lineRule="auto"/>
        <w:rPr>
          <w:rFonts w:hint="eastAsia" w:ascii="宋体" w:hAnsi="宋体" w:eastAsia="宋体" w:cs="宋体"/>
          <w:bCs/>
          <w:sz w:val="24"/>
        </w:rPr>
      </w:pPr>
      <w:r>
        <w:rPr>
          <w:rFonts w:hint="eastAsia" w:ascii="宋体" w:hAnsi="宋体" w:eastAsia="宋体" w:cs="宋体"/>
          <w:sz w:val="24"/>
        </w:rPr>
        <w:t xml:space="preserve">项目名称：</w:t>
      </w:r>
      <w:r>
        <w:rPr>
          <w:rFonts w:hint="eastAsia" w:ascii="宋体" w:hAnsi="宋体" w:eastAsia="宋体" w:cs="宋体"/>
          <w:bCs/>
          <w:sz w:val="24"/>
        </w:rPr>
        <w:t xml:space="preserve">丰县生活垃圾填埋场第三方日常运维政府购买服务项目</w:t>
      </w:r>
      <w:r/>
    </w:p>
    <w:p>
      <w:pPr>
        <w:pStyle w:val="860"/>
        <w:ind w:firstLine="960"/>
        <w:spacing w:line="360" w:lineRule="auto"/>
        <w:rPr>
          <w:rFonts w:hint="eastAsia" w:ascii="宋体" w:hAnsi="宋体" w:eastAsia="宋体" w:cs="宋体"/>
          <w:sz w:val="24"/>
        </w:rPr>
      </w:pPr>
      <w:r>
        <w:rPr>
          <w:rFonts w:hint="eastAsia" w:ascii="宋体" w:hAnsi="宋体" w:eastAsia="宋体" w:cs="宋体"/>
          <w:sz w:val="24"/>
        </w:rPr>
        <w:t xml:space="preserve">项目编号：JSZC-320321-GSGS-G2026-0001</w:t>
      </w:r>
      <w:r/>
    </w:p>
    <w:p>
      <w:pPr>
        <w:spacing w:line="360" w:lineRule="auto"/>
        <w:rPr>
          <w:rFonts w:hint="eastAsia" w:ascii="宋体" w:hAnsi="宋体" w:eastAsia="宋体" w:cs="宋体"/>
        </w:rPr>
      </w:pPr>
      <w:r>
        <w:rPr>
          <w:rFonts w:hint="eastAsia" w:ascii="宋体" w:hAnsi="宋体" w:eastAsia="宋体" w:cs="宋体"/>
        </w:rPr>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同</w:t>
      </w:r>
      <w:r/>
    </w:p>
    <w:p>
      <w:pPr>
        <w:pStyle w:val="860"/>
        <w:spacing w:line="360" w:lineRule="auto"/>
        <w:rPr>
          <w:rFonts w:hint="eastAsia" w:ascii="宋体" w:hAnsi="宋体" w:eastAsia="宋体" w:cs="宋体"/>
          <w:sz w:val="24"/>
        </w:rPr>
      </w:pPr>
      <w:r>
        <w:rPr>
          <w:rFonts w:hint="eastAsia" w:ascii="宋体" w:hAnsi="宋体" w:eastAsia="宋体" w:cs="宋体"/>
          <w:sz w:val="24"/>
        </w:rPr>
        <w:t xml:space="preserve">甲方（采  购  人）：</w:t>
      </w:r>
      <w:r/>
    </w:p>
    <w:p>
      <w:pPr>
        <w:spacing w:line="360" w:lineRule="auto"/>
        <w:rPr>
          <w:rFonts w:hint="eastAsia" w:ascii="宋体" w:hAnsi="宋体" w:eastAsia="宋体" w:cs="宋体"/>
        </w:rPr>
      </w:pPr>
      <w:r>
        <w:rPr>
          <w:rFonts w:hint="eastAsia" w:ascii="宋体" w:hAnsi="宋体" w:eastAsia="宋体" w:cs="宋体"/>
        </w:rPr>
      </w:r>
      <w:r/>
    </w:p>
    <w:p>
      <w:pPr>
        <w:pStyle w:val="860"/>
        <w:spacing w:line="360" w:lineRule="auto"/>
        <w:rPr>
          <w:rFonts w:hint="eastAsia" w:ascii="宋体" w:hAnsi="宋体" w:eastAsia="宋体" w:cs="宋体"/>
          <w:sz w:val="24"/>
        </w:rPr>
      </w:pPr>
      <w:r>
        <w:rPr>
          <w:rFonts w:hint="eastAsia" w:ascii="宋体" w:hAnsi="宋体" w:eastAsia="宋体" w:cs="宋体"/>
          <w:sz w:val="24"/>
        </w:rPr>
        <w:t xml:space="preserve">乙方（中标供应商）：</w:t>
      </w:r>
      <w:r/>
    </w:p>
    <w:p>
      <w:pPr>
        <w:spacing w:line="360" w:lineRule="auto"/>
        <w:rPr>
          <w:rFonts w:hint="eastAsia" w:ascii="宋体" w:hAnsi="宋体" w:eastAsia="宋体" w:cs="宋体"/>
        </w:rPr>
      </w:pPr>
      <w:r>
        <w:rPr>
          <w:rFonts w:hint="eastAsia" w:ascii="宋体" w:hAnsi="宋体" w:eastAsia="宋体" w:cs="宋体"/>
        </w:rPr>
      </w:r>
      <w:r/>
    </w:p>
    <w:p>
      <w:pPr>
        <w:pStyle w:val="860"/>
        <w:spacing w:line="360" w:lineRule="auto"/>
        <w:rPr>
          <w:rFonts w:hint="eastAsia" w:ascii="宋体" w:hAnsi="宋体" w:eastAsia="宋体" w:cs="宋体"/>
        </w:rPr>
      </w:pPr>
      <w:r>
        <w:rPr>
          <w:rFonts w:hint="eastAsia" w:ascii="宋体" w:hAnsi="宋体" w:eastAsia="宋体" w:cs="宋体"/>
          <w:sz w:val="24"/>
        </w:rPr>
        <w:t xml:space="preserve">合同签订日期： 年 月 日</w:t>
      </w:r>
      <w:r/>
    </w:p>
    <w:p>
      <w:pPr>
        <w:pStyle w:val="860"/>
        <w:spacing w:line="360" w:lineRule="auto"/>
        <w:rPr>
          <w:rFonts w:hint="eastAsia" w:ascii="宋体" w:hAnsi="宋体" w:eastAsia="宋体" w:cs="宋体"/>
          <w:b/>
          <w:bCs/>
          <w:sz w:val="24"/>
        </w:rPr>
      </w:pPr>
      <w:r>
        <w:rPr>
          <w:rFonts w:hint="eastAsia" w:ascii="宋体" w:hAnsi="宋体" w:eastAsia="宋体" w:cs="宋体"/>
          <w:b/>
          <w:bCs/>
          <w:sz w:val="24"/>
        </w:rPr>
        <w:t xml:space="preserve">友情提醒：采购人与中标供应商应当在中标通知书发出之日起三十日内，按照采购文件确定的事项签订政府采购合同。</w:t>
      </w:r>
      <w:r/>
    </w:p>
    <w:p>
      <w:pPr>
        <w:pStyle w:val="860"/>
        <w:spacing w:line="360" w:lineRule="auto"/>
        <w:rPr>
          <w:rFonts w:hint="eastAsia" w:ascii="宋体" w:hAnsi="宋体" w:eastAsia="宋体" w:cs="宋体"/>
        </w:rPr>
      </w:pPr>
      <w:r>
        <w:rPr>
          <w:rFonts w:hint="eastAsia" w:ascii="宋体" w:hAnsi="宋体" w:eastAsia="宋体" w:cs="宋体"/>
          <w:b/>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spacing w:line="360" w:lineRule="auto"/>
        <w:rPr>
          <w:rFonts w:hint="eastAsia" w:ascii="宋体" w:hAnsi="宋体" w:eastAsia="宋体" w:cs="宋体"/>
          <w:b/>
          <w:bCs/>
          <w:szCs w:val="24"/>
        </w:rPr>
      </w:pPr>
      <w:r>
        <w:rPr>
          <w:rFonts w:hint="eastAsia" w:ascii="宋体" w:hAnsi="宋体" w:eastAsia="宋体" w:cs="宋体"/>
          <w:b/>
          <w:bCs/>
          <w:szCs w:val="24"/>
        </w:rPr>
        <w:t xml:space="preserve">甲方：丰县城市管理局</w:t>
      </w:r>
      <w:r>
        <w:rPr>
          <w:rFonts w:hint="eastAsia" w:ascii="宋体" w:hAnsi="宋体" w:eastAsia="宋体" w:cs="宋体"/>
          <w:b/>
          <w:bCs/>
          <w:szCs w:val="24"/>
        </w:rPr>
        <w:tab/>
      </w:r>
      <w:r>
        <w:rPr>
          <w:rFonts w:hint="eastAsia" w:ascii="宋体" w:hAnsi="宋体" w:eastAsia="宋体" w:cs="宋体"/>
          <w:b/>
          <w:bCs/>
          <w:szCs w:val="24"/>
        </w:rPr>
        <w:tab/>
      </w:r>
      <w:r>
        <w:rPr>
          <w:rFonts w:hint="eastAsia" w:ascii="宋体" w:hAnsi="宋体" w:eastAsia="宋体" w:cs="宋体"/>
          <w:b/>
          <w:bCs/>
          <w:szCs w:val="24"/>
        </w:rPr>
        <w:tab/>
      </w:r>
      <w:r>
        <w:rPr>
          <w:rFonts w:hint="eastAsia" w:ascii="宋体" w:hAnsi="宋体" w:eastAsia="宋体" w:cs="宋体"/>
          <w:b/>
          <w:bCs/>
          <w:szCs w:val="24"/>
        </w:rPr>
        <w:tab/>
      </w:r>
      <w:r>
        <w:rPr>
          <w:rFonts w:hint="eastAsia" w:ascii="宋体" w:hAnsi="宋体" w:eastAsia="宋体" w:cs="宋体"/>
          <w:b/>
          <w:bCs/>
          <w:szCs w:val="24"/>
        </w:rPr>
        <w:tab/>
      </w:r>
      <w:r/>
    </w:p>
    <w:p>
      <w:pPr>
        <w:ind w:right="-288" w:firstLine="200"/>
        <w:jc w:val="both"/>
        <w:spacing w:line="360" w:lineRule="auto"/>
        <w:widowControl w:val="off"/>
        <w:tabs>
          <w:tab w:val="left" w:pos="420" w:leader="none"/>
        </w:tabs>
        <w:rPr>
          <w:rFonts w:hint="eastAsia" w:ascii="宋体" w:hAnsi="宋体" w:eastAsia="宋体" w:cs="宋体"/>
          <w:szCs w:val="24"/>
        </w:rPr>
      </w:pPr>
      <w:r>
        <w:rPr>
          <w:rFonts w:hint="eastAsia" w:ascii="宋体" w:hAnsi="宋体" w:eastAsia="宋体" w:cs="宋体"/>
          <w:szCs w:val="24"/>
        </w:rPr>
        <w:t xml:space="preserve">地址：</w:t>
      </w:r>
      <w:r/>
    </w:p>
    <w:p>
      <w:pPr>
        <w:ind w:right="-288" w:firstLine="200"/>
        <w:jc w:val="both"/>
        <w:spacing w:line="360" w:lineRule="auto"/>
        <w:widowControl w:val="off"/>
        <w:tabs>
          <w:tab w:val="left" w:pos="420" w:leader="none"/>
        </w:tabs>
        <w:rPr>
          <w:rFonts w:hint="eastAsia" w:ascii="宋体" w:hAnsi="宋体" w:eastAsia="宋体" w:cs="宋体"/>
          <w:bCs/>
          <w:szCs w:val="24"/>
        </w:rPr>
      </w:pPr>
      <w:r>
        <w:rPr>
          <w:rFonts w:hint="eastAsia" w:ascii="宋体" w:hAnsi="宋体" w:eastAsia="宋体" w:cs="宋体"/>
          <w:bCs/>
          <w:szCs w:val="24"/>
        </w:rPr>
        <w:t xml:space="preserve">法定代表人或授权代表人：</w:t>
      </w:r>
      <w:r/>
    </w:p>
    <w:p>
      <w:pPr>
        <w:ind w:right="-288" w:firstLine="200"/>
        <w:jc w:val="both"/>
        <w:spacing w:line="360" w:lineRule="auto"/>
        <w:widowControl w:val="off"/>
        <w:tabs>
          <w:tab w:val="left" w:pos="420" w:leader="none"/>
        </w:tabs>
        <w:rPr>
          <w:rFonts w:hint="eastAsia" w:ascii="宋体" w:hAnsi="宋体" w:eastAsia="宋体" w:cs="宋体"/>
          <w:szCs w:val="24"/>
        </w:rPr>
      </w:pPr>
      <w:r>
        <w:rPr>
          <w:rFonts w:hint="eastAsia" w:ascii="宋体" w:hAnsi="宋体" w:eastAsia="宋体" w:cs="宋体"/>
          <w:szCs w:val="24"/>
        </w:rPr>
        <w:t xml:space="preserve">电话：</w:t>
      </w:r>
      <w:r/>
    </w:p>
    <w:p>
      <w:pPr>
        <w:ind w:firstLine="200"/>
        <w:spacing w:line="360" w:lineRule="auto"/>
        <w:widowControl w:val="off"/>
        <w:rPr>
          <w:rFonts w:hint="eastAsia" w:ascii="宋体" w:hAnsi="宋体" w:eastAsia="宋体" w:cs="宋体"/>
          <w:b/>
          <w:bCs/>
          <w:szCs w:val="24"/>
        </w:rPr>
      </w:pPr>
      <w:r>
        <w:rPr>
          <w:rFonts w:hint="eastAsia" w:ascii="宋体" w:hAnsi="宋体" w:eastAsia="宋体" w:cs="宋体"/>
          <w:b/>
          <w:bCs/>
          <w:szCs w:val="24"/>
        </w:rPr>
      </w:r>
      <w:r/>
    </w:p>
    <w:p>
      <w:pPr>
        <w:ind w:firstLine="200"/>
        <w:jc w:val="both"/>
        <w:spacing w:line="360" w:lineRule="auto"/>
        <w:widowControl w:val="off"/>
        <w:rPr>
          <w:rFonts w:hint="eastAsia" w:ascii="宋体" w:hAnsi="宋体" w:eastAsia="宋体" w:cs="宋体"/>
          <w:b/>
          <w:bCs/>
          <w:szCs w:val="24"/>
          <w:lang w:val="zh-CN"/>
        </w:rPr>
      </w:pPr>
      <w:r>
        <w:rPr>
          <w:rFonts w:hint="eastAsia" w:ascii="宋体" w:hAnsi="宋体" w:eastAsia="宋体" w:cs="宋体"/>
          <w:b/>
          <w:bCs/>
          <w:szCs w:val="24"/>
          <w:lang w:val="zh-CN"/>
        </w:rPr>
        <w:t xml:space="preserve">乙方： </w:t>
      </w:r>
      <w:r/>
    </w:p>
    <w:p>
      <w:pPr>
        <w:ind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地址：</w:t>
      </w:r>
      <w:r/>
    </w:p>
    <w:p>
      <w:pPr>
        <w:ind w:firstLine="200"/>
        <w:jc w:val="both"/>
        <w:spacing w:line="360" w:lineRule="auto"/>
        <w:widowControl w:val="off"/>
        <w:rPr>
          <w:rFonts w:hint="eastAsia" w:ascii="宋体" w:hAnsi="宋体" w:eastAsia="宋体" w:cs="宋体"/>
          <w:bCs/>
          <w:szCs w:val="24"/>
        </w:rPr>
      </w:pPr>
      <w:r>
        <w:rPr>
          <w:rFonts w:hint="eastAsia" w:ascii="宋体" w:hAnsi="宋体" w:eastAsia="宋体" w:cs="宋体"/>
          <w:bCs/>
          <w:szCs w:val="24"/>
        </w:rPr>
        <w:t xml:space="preserve">法定代表人或授权代表人：</w:t>
      </w:r>
      <w:r/>
    </w:p>
    <w:p>
      <w:pPr>
        <w:ind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联系电话：</w:t>
      </w:r>
      <w:r/>
    </w:p>
    <w:p>
      <w:pPr>
        <w:ind w:firstLine="200"/>
        <w:spacing w:line="360" w:lineRule="auto"/>
        <w:widowControl w:val="off"/>
        <w:rPr>
          <w:rFonts w:hint="eastAsia" w:ascii="宋体" w:hAnsi="宋体" w:eastAsia="宋体" w:cs="宋体"/>
          <w:szCs w:val="24"/>
        </w:rPr>
      </w:pPr>
      <w:r>
        <w:rPr>
          <w:rFonts w:hint="eastAsia" w:ascii="宋体" w:hAnsi="宋体" w:eastAsia="宋体" w:cs="宋体"/>
          <w:szCs w:val="24"/>
        </w:rPr>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根据《中华人民共和国民法典》及相关法律、法规的规定，甲方和乙方就丰县生活垃圾填埋场第三方日常运维政府购买服务项目（以下称“服务”）事宜，经友好协商，订立本丰县生活垃圾填埋场第三方日常运维政府购买服务合同（以下称“本合同”）。</w:t>
      </w:r>
      <w:r/>
    </w:p>
    <w:p>
      <w:pPr>
        <w:ind w:firstLine="480"/>
        <w:jc w:val="center"/>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第一条 </w:t>
      </w:r>
      <w:r>
        <w:rPr>
          <w:rFonts w:hint="eastAsia" w:ascii="宋体" w:hAnsi="宋体" w:eastAsia="宋体" w:cs="宋体"/>
          <w:b/>
          <w:bCs/>
          <w:sz w:val="28"/>
          <w:szCs w:val="28"/>
        </w:rPr>
        <w:t xml:space="preserve">服务的范围</w:t>
      </w:r>
      <w:r>
        <w:rPr>
          <w:rFonts w:hint="eastAsia" w:ascii="宋体" w:hAnsi="宋体" w:eastAsia="宋体" w:cs="宋体"/>
          <w:b/>
          <w:bCs/>
          <w:sz w:val="28"/>
          <w:szCs w:val="28"/>
          <w:lang w:val="en-GB"/>
        </w:rPr>
        <w:t xml:space="preserve">及要求</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本合同项下，乙方为甲方提供的服务的范围及要求，见本合同</w:t>
      </w:r>
      <w:r>
        <w:rPr>
          <w:rFonts w:hint="eastAsia" w:ascii="宋体" w:hAnsi="宋体" w:eastAsia="宋体" w:cs="宋体"/>
          <w:color w:val="auto"/>
          <w:szCs w:val="24"/>
        </w:rPr>
        <w:t xml:space="preserve">附件</w:t>
      </w:r>
      <w:r>
        <w:rPr>
          <w:rFonts w:hint="eastAsia" w:ascii="宋体" w:hAnsi="宋体" w:eastAsia="宋体" w:cs="宋体"/>
          <w:color w:val="auto"/>
          <w:szCs w:val="24"/>
          <w:lang w:val="en-US" w:eastAsia="zh-CN"/>
        </w:rPr>
        <w:t xml:space="preserve">(采购需求)</w:t>
      </w:r>
      <w:r>
        <w:rPr>
          <w:rFonts w:hint="eastAsia" w:ascii="宋体" w:hAnsi="宋体" w:eastAsia="宋体" w:cs="宋体"/>
          <w:color w:val="auto"/>
          <w:szCs w:val="24"/>
        </w:rPr>
        <w:t xml:space="preserve">。</w:t>
      </w:r>
      <w:bookmarkStart w:id="10" w:name="_Hlt70759036"/>
      <w:r/>
      <w:bookmarkEnd w:id="10"/>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乙方负责提供履行本合同项下义务所需用的设备、材料、安全防护用品及人员（以下称“乙方人员”）并自行解决乙方人员的食宿。因此发生的费用已包括在本合同服务费中。</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乙方应按照本合同约定提供服务。当甲方认为乙方不能按本合同约定提供服务时，甲方有权另行委托第三方提供服务，甲方因此发生的费用和损失由乙方承担，甲方有权将前述费用和损失从应支付乙方的服务费中扣除。</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在乙方提供服务过程中，甲方可根据具体情况规定乙方完成服务的期限（以下称“甲方指示期限”），乙方应在甲方指示期限内完成。如乙方未在指示期限内完成，甲方将在考核时对乙方进行考核并处罚。</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本项目不得进行分包和转包。</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color w:val="auto"/>
          <w:szCs w:val="24"/>
        </w:rPr>
        <w:t xml:space="preserve">采购人提供预制定做板房5间供乙方在本项目服务期内无偿使用，使用条</w:t>
      </w:r>
      <w:r>
        <w:rPr>
          <w:rFonts w:hint="eastAsia" w:ascii="宋体" w:hAnsi="宋体" w:eastAsia="宋体" w:cs="宋体"/>
          <w:szCs w:val="24"/>
        </w:rPr>
        <w:t xml:space="preserve">件及费用承担按招标文件第六章约定执行。合同期满或解除后，乙方应在10日内腾退并保持房屋完好（正常使用磨损除外）；逾期未腾退的，甲方有权从应付服务费中扣除相应占用费用。</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第二条 </w:t>
      </w:r>
      <w:r>
        <w:rPr>
          <w:rFonts w:hint="eastAsia" w:ascii="宋体" w:hAnsi="宋体" w:eastAsia="宋体" w:cs="宋体"/>
          <w:b/>
          <w:bCs/>
          <w:sz w:val="28"/>
          <w:szCs w:val="28"/>
        </w:rPr>
        <w:t xml:space="preserve">服务的期限以及乙方义务</w:t>
      </w:r>
      <w:r/>
    </w:p>
    <w:p>
      <w:pPr>
        <w:numPr>
          <w:ilvl w:val="0"/>
          <w:numId w:val="4"/>
        </w:numPr>
        <w:ind w:right="-288" w:firstLine="200"/>
        <w:jc w:val="both"/>
        <w:spacing w:line="360" w:lineRule="auto"/>
        <w:widowControl w:val="off"/>
        <w:tabs>
          <w:tab w:val="left" w:pos="928" w:leader="none"/>
        </w:tabs>
        <w:rPr>
          <w:rFonts w:hint="eastAsia" w:ascii="宋体" w:hAnsi="宋体" w:eastAsia="宋体" w:cs="宋体"/>
          <w:szCs w:val="24"/>
        </w:rPr>
      </w:pPr>
      <w:r>
        <w:rPr>
          <w:rFonts w:hint="eastAsia" w:ascii="宋体" w:hAnsi="宋体" w:eastAsia="宋体" w:cs="宋体"/>
          <w:szCs w:val="24"/>
        </w:rPr>
        <w:t xml:space="preserve">本合同项下的服务期限为3年，自____年__月__日起至____年__月__日止（与采购需求“自合同签订之日起三年”一致），服务期内，因国家政策调整、项目取消、预算终止或乙方根本违约等法定、约定事由，甲方有权书面通知乙方解除本合同；解除通知自送达之日起30日后生效（涉及安全生产、环保应急等紧急情形的除外）。合同解除的，甲方应按乙方已实际提供服务对应的服务费予以结算；因非乙方原因解除的，甲方应就乙方为履约已投入的直接损失给予合理补偿</w:t>
      </w:r>
      <w:r/>
    </w:p>
    <w:p>
      <w:pPr>
        <w:numPr>
          <w:ilvl w:val="0"/>
          <w:numId w:val="4"/>
        </w:numPr>
        <w:ind w:right="-288" w:firstLine="200"/>
        <w:jc w:val="both"/>
        <w:spacing w:line="360" w:lineRule="auto"/>
        <w:widowControl w:val="off"/>
        <w:tabs>
          <w:tab w:val="left" w:pos="928" w:leader="none"/>
        </w:tabs>
        <w:rPr>
          <w:rFonts w:hint="eastAsia" w:ascii="宋体" w:hAnsi="宋体" w:eastAsia="宋体" w:cs="宋体"/>
          <w:szCs w:val="24"/>
        </w:rPr>
      </w:pPr>
      <w:r>
        <w:rPr>
          <w:rFonts w:hint="eastAsia" w:ascii="宋体" w:hAnsi="宋体" w:eastAsia="宋体" w:cs="宋体"/>
          <w:szCs w:val="24"/>
        </w:rPr>
        <w:t xml:space="preserve">乙方义务</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2.1乙方应根据甲方的需要，对乙方人员进行特殊岗位上岗培训。</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2.2乙方应保证乙方人员在本合同履行期间严格按安全标准组织运营和设备维护保养服务，严格遵守甲方的各项规章制度及安全操作规程，采取必要的安全防护措施，消除事故隐患。</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2.3乙方及其现场人员保证其具有履行本合同项下义务的法定资质和专业能力，否则甲方有权随时解除合同。</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2.4乙方履行本合同项下有关义务所需资料、仪器和设备，由乙方负责提供和安排。</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2.5乙方应严格按照国家、地方、行业有关标准、安全生产、质量、环保以及技术标准和规范履行本合同项下义务。</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bookmarkStart w:id="11" w:name="_Toc71789042"/>
      <w:r>
        <w:rPr>
          <w:rFonts w:hint="eastAsia" w:ascii="宋体" w:hAnsi="宋体" w:eastAsia="宋体" w:cs="宋体"/>
          <w:b/>
          <w:bCs/>
          <w:sz w:val="28"/>
          <w:szCs w:val="28"/>
          <w:lang w:val="en-US" w:eastAsia="zh-CN"/>
        </w:rPr>
        <w:t xml:space="preserve">第三条 </w:t>
      </w:r>
      <w:r>
        <w:rPr>
          <w:rFonts w:hint="eastAsia" w:ascii="宋体" w:hAnsi="宋体" w:eastAsia="宋体" w:cs="宋体"/>
          <w:b/>
          <w:bCs/>
          <w:sz w:val="28"/>
          <w:szCs w:val="28"/>
        </w:rPr>
        <w:t xml:space="preserve">双方代表和其他相关人员</w:t>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甲方代表</w:t>
      </w:r>
      <w:bookmarkEnd w:id="11"/>
      <w:r>
        <w:rPr>
          <w:rFonts w:hint="eastAsia" w:ascii="宋体" w:hAnsi="宋体" w:eastAsia="宋体" w:cs="宋体"/>
          <w:szCs w:val="24"/>
        </w:rPr>
        <w:t xml:space="preserve">和其他甲方人员</w:t>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甲方可指定1名甲方代表，代表甲方根据本合同与乙方进行沟通与联络，并下达甲方指示。甲方应将甲方代表的姓名、联系方式和授权范围通知乙方。本合同履行期间，甲方代表根据甲方的授权，代表甲方行使本合同项下的权利。如果甲方希望替换任何已指定的甲方代表，该替换在甲方将替换人的姓名联系方式和授权范围、以及任命日期以书面形式通知乙方后对乙方生效。</w:t>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甲方或甲方代表可随时指派和委托其他人员行使甲方或甲方代表的部分和全部权力，也可撤销这些指派和委托。</w:t>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甲方指示</w:t>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甲方和甲方代表向乙方发出乙方根据本合同履行义务而采取具体行为的指示。</w:t>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bookmarkStart w:id="12" w:name="_Toc71789049"/>
      <w:r>
        <w:rPr>
          <w:rFonts w:hint="eastAsia" w:ascii="宋体" w:hAnsi="宋体" w:eastAsia="宋体" w:cs="宋体"/>
          <w:szCs w:val="24"/>
        </w:rPr>
        <w:t xml:space="preserve">乙方代表</w:t>
      </w:r>
      <w:bookmarkEnd w:id="12"/>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乙方应指定一名乙方代表和一名技术负责人。本合同履行期间，乙方代表根据乙方的授权，代表乙方行使本合同项下的权利。乙方应在本合同签署之日，将其拟指定为乙方代表和技术负责人的姓名和履历、资质证书、联系方式和授权范围以及能证明其具备履行合同所需要的各项能力的证明文件提交给甲方审核与备案。乙方撤销或替换乙方代表和技术负责人的任命，应事先以书面形式征求甲方意见并同时将拟接任人员的姓名和履历、资质证书、责权范围以及能证明其具备履行合同所需要的各项能力的证明文件提交甲方审核与备案。</w:t>
      </w:r>
      <w:r>
        <w:rPr>
          <w:rFonts w:hint="eastAsia" w:ascii="宋体" w:hAnsi="宋体" w:eastAsia="宋体" w:cs="宋体"/>
          <w:szCs w:val="24"/>
        </w:rPr>
        <w:tab/>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乙方人员</w:t>
      </w:r>
      <w:r/>
    </w:p>
    <w:p>
      <w:pPr>
        <w:numPr>
          <w:ilvl w:val="0"/>
          <w:numId w:val="6"/>
        </w:numPr>
        <w:ind w:left="0" w:firstLine="42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乙方应根据甲方要求安排人员到甲方填埋场（以</w:t>
      </w:r>
      <w:r>
        <w:rPr>
          <w:rFonts w:hint="eastAsia" w:ascii="宋体" w:hAnsi="宋体" w:eastAsia="宋体" w:cs="宋体"/>
          <w:color w:val="auto"/>
          <w:szCs w:val="24"/>
          <w:highlight w:val="none"/>
          <w:lang w:eastAsia="zh-CN"/>
        </w:rPr>
        <w:t xml:space="preserve">下简</w:t>
      </w:r>
      <w:r>
        <w:rPr>
          <w:rFonts w:hint="eastAsia" w:ascii="宋体" w:hAnsi="宋体" w:eastAsia="宋体" w:cs="宋体"/>
          <w:color w:val="auto"/>
          <w:szCs w:val="24"/>
          <w:highlight w:val="none"/>
        </w:rPr>
        <w:t xml:space="preserve">称“现场”），安排经甲方事先确认的乙方人员，由甲方安排在现场或外出指定地点提供服务或按照本合同约定提供服务。乙方人员须为已与乙方签订劳动合同的具有完全民事行为能力的自然人。乙方人员具有提供服务的能力和知识，身体健康、经健康体检合格、能够胜任岗位要求</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并能够满足甲方岗位的要求。乙方应在本合同签署后3日内将乙方人员名单提交甲方确认。</w:t>
      </w:r>
      <w:r/>
    </w:p>
    <w:p>
      <w:pPr>
        <w:numPr>
          <w:ilvl w:val="0"/>
          <w:numId w:val="6"/>
        </w:numPr>
        <w:ind w:left="0" w:firstLine="42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所有派驻现场作业人员须身体健康，能够适应露天作业、24小时应急值守、高温雨雪等恶劣环境作业，无高血压、心脏病、癫痫等不适宜户外体力作业的职业禁忌疾病，需提供有效体检报告。中标单位自主负责用工合规，承担全部用工、人身安全及工伤风险，采购人有权对人员身体条件进行核查，不符合岗位作业条件的人员须限期更换。</w:t>
      </w:r>
      <w:r/>
    </w:p>
    <w:p>
      <w:pPr>
        <w:numPr>
          <w:ilvl w:val="0"/>
          <w:numId w:val="6"/>
        </w:numPr>
        <w:ind w:left="0" w:firstLine="42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本合同履行期间，乙方为参与现场服务人员投保本合同第五条约定的人身意外伤害保险和</w:t>
      </w:r>
      <w:r>
        <w:rPr>
          <w:rFonts w:hint="eastAsia" w:ascii="宋体" w:hAnsi="宋体" w:eastAsia="宋体" w:cs="宋体"/>
          <w:bCs/>
          <w:szCs w:val="24"/>
        </w:rPr>
        <w:t xml:space="preserve">雇主责任险</w:t>
      </w:r>
      <w:r>
        <w:rPr>
          <w:rFonts w:hint="eastAsia" w:ascii="宋体" w:hAnsi="宋体" w:eastAsia="宋体" w:cs="宋体"/>
          <w:szCs w:val="24"/>
        </w:rPr>
        <w:t xml:space="preserve">。本合同履行期间，乙方保证乙方人员人数满足提供服务的需要。在甲方进行生产调整时，应提前5日要求乙方增加或减少乙方人员人数，乙方应在接到甲方书面通知之日起3日内，按照甲方的要求调整乙方人员人数。</w:t>
      </w:r>
      <w:r/>
    </w:p>
    <w:p>
      <w:pPr>
        <w:numPr>
          <w:ilvl w:val="0"/>
          <w:numId w:val="6"/>
        </w:numPr>
        <w:ind w:left="0" w:firstLine="480"/>
        <w:spacing w:line="360" w:lineRule="auto"/>
        <w:widowControl w:val="off"/>
        <w:rPr>
          <w:rFonts w:hint="eastAsia" w:ascii="宋体" w:hAnsi="宋体" w:eastAsia="宋体" w:cs="宋体"/>
          <w:szCs w:val="24"/>
        </w:rPr>
      </w:pPr>
      <w:r>
        <w:rPr>
          <w:rFonts w:hint="eastAsia" w:ascii="宋体" w:hAnsi="宋体" w:eastAsia="宋体" w:cs="宋体"/>
          <w:szCs w:val="24"/>
        </w:rPr>
        <w:t xml:space="preserve">乙方应保证乙方人员在服务中严格遵守安全标准和甲方的各项规章制度及安全操作规程，采取必要的安全防护措施，消除事故隐患。</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第四条 </w:t>
      </w:r>
      <w:r>
        <w:rPr>
          <w:rFonts w:hint="eastAsia" w:ascii="宋体" w:hAnsi="宋体" w:eastAsia="宋体" w:cs="宋体"/>
          <w:b/>
          <w:bCs/>
          <w:sz w:val="28"/>
          <w:szCs w:val="28"/>
        </w:rPr>
        <w:t xml:space="preserve">服务费及支付方式</w:t>
      </w:r>
      <w:r/>
    </w:p>
    <w:p>
      <w:pPr>
        <w:ind w:firstLine="200"/>
        <w:jc w:val="both"/>
        <w:spacing w:line="360" w:lineRule="auto"/>
        <w:widowControl w:val="off"/>
        <w:rPr>
          <w:rFonts w:hint="eastAsia" w:ascii="宋体" w:hAnsi="宋体" w:eastAsia="宋体" w:cs="宋体"/>
          <w:szCs w:val="24"/>
        </w:rPr>
      </w:pPr>
      <w:r/>
      <w:bookmarkStart w:id="13" w:name="_Toc71789167"/>
      <w:r>
        <w:rPr>
          <w:rFonts w:hint="eastAsia" w:ascii="宋体" w:hAnsi="宋体" w:eastAsia="宋体" w:cs="宋体"/>
          <w:szCs w:val="24"/>
        </w:rPr>
        <w:t xml:space="preserve">1、本合同下服务费（含税）为 </w:t>
      </w:r>
      <w:r>
        <w:rPr>
          <w:rFonts w:hint="eastAsia" w:ascii="宋体" w:hAnsi="宋体" w:eastAsia="宋体" w:cs="宋体"/>
          <w:szCs w:val="24"/>
          <w:u w:val="single"/>
        </w:rPr>
        <w:t xml:space="preserve">        </w:t>
      </w:r>
      <w:r>
        <w:rPr>
          <w:rFonts w:hint="eastAsia" w:ascii="宋体" w:hAnsi="宋体" w:eastAsia="宋体" w:cs="宋体"/>
          <w:szCs w:val="24"/>
        </w:rPr>
        <w:t xml:space="preserve">，本合同下服务期：3年（自本合同签订之日起）；费用包含乙方因履行本合同而需支付的各项成本税费以及利润。在合同履行过程中，如果乙方未完全履行合同义务或履行的合同义务不符合约定的，则未履行或履行不符合合同约定的内容所对应的服务费金额应当从上述约定的服务费中扣除。超过服务工作范围的认定，必须经甲方代表审核认可，方可作为乙方承接其工作和另外结算费用的根据。</w:t>
      </w:r>
      <w:r/>
    </w:p>
    <w:p>
      <w:pPr>
        <w:ind w:right="-288" w:firstLine="200"/>
        <w:jc w:val="both"/>
        <w:spacing w:line="360" w:lineRule="auto"/>
        <w:widowControl w:val="off"/>
        <w:rPr>
          <w:rFonts w:hint="eastAsia" w:ascii="宋体" w:hAnsi="宋体" w:eastAsia="宋体" w:cs="宋体"/>
          <w:color w:val="ff0000"/>
          <w:szCs w:val="24"/>
        </w:rPr>
      </w:pPr>
      <w:r>
        <w:rPr>
          <w:rFonts w:hint="eastAsia" w:ascii="宋体" w:hAnsi="宋体" w:eastAsia="宋体" w:cs="宋体"/>
          <w:szCs w:val="24"/>
        </w:rPr>
        <w:t xml:space="preserve">1.1 支付方式</w:t>
      </w:r>
      <w:bookmarkEnd w:id="13"/>
      <w:r/>
      <w:r/>
    </w:p>
    <w:p>
      <w:pPr>
        <w:numPr>
          <w:ilvl w:val="0"/>
          <w:numId w:val="7"/>
        </w:numPr>
        <w:ind w:left="0" w:firstLine="426"/>
        <w:jc w:val="both"/>
        <w:spacing w:line="360" w:lineRule="auto"/>
        <w:widowControl w:val="off"/>
        <w:tabs>
          <w:tab w:val="left" w:pos="851" w:leader="none"/>
        </w:tabs>
        <w:rPr>
          <w:rFonts w:hint="eastAsia" w:ascii="宋体" w:hAnsi="宋体" w:eastAsia="宋体" w:cs="宋体"/>
          <w:color w:val="auto"/>
          <w:szCs w:val="24"/>
        </w:rPr>
      </w:pPr>
      <w:r>
        <w:rPr>
          <w:rFonts w:hint="eastAsia" w:ascii="宋体" w:hAnsi="宋体" w:eastAsia="宋体" w:cs="宋体"/>
          <w:color w:val="auto"/>
          <w:szCs w:val="24"/>
        </w:rPr>
        <w:t xml:space="preserve">本合同签订生效后，</w:t>
      </w:r>
      <w:r>
        <w:rPr>
          <w:rFonts w:hint="eastAsia" w:ascii="宋体" w:hAnsi="宋体" w:eastAsia="宋体" w:cs="宋体"/>
          <w:bCs/>
          <w:color w:val="auto"/>
          <w:szCs w:val="24"/>
        </w:rPr>
        <w:t xml:space="preserve">管理服务</w:t>
      </w:r>
      <w:r>
        <w:rPr>
          <w:rFonts w:hint="eastAsia" w:ascii="宋体" w:hAnsi="宋体" w:eastAsia="宋体" w:cs="宋体"/>
          <w:color w:val="auto"/>
          <w:szCs w:val="24"/>
        </w:rPr>
        <w:t xml:space="preserve">费用按</w:t>
      </w:r>
      <w:r>
        <w:rPr>
          <w:rFonts w:hint="eastAsia" w:ascii="宋体" w:hAnsi="宋体" w:eastAsia="宋体" w:cs="宋体"/>
          <w:color w:val="auto"/>
          <w:szCs w:val="24"/>
          <w:lang w:val="en-US" w:eastAsia="zh-CN"/>
        </w:rPr>
        <w:t xml:space="preserve">季度</w:t>
      </w:r>
      <w:r>
        <w:rPr>
          <w:rFonts w:hint="eastAsia" w:ascii="宋体" w:hAnsi="宋体" w:eastAsia="宋体" w:cs="宋体"/>
          <w:color w:val="auto"/>
          <w:szCs w:val="24"/>
        </w:rPr>
        <w:t xml:space="preserve">支付，每</w:t>
      </w:r>
      <w:r>
        <w:rPr>
          <w:rFonts w:hint="eastAsia" w:ascii="宋体" w:hAnsi="宋体" w:eastAsia="宋体" w:cs="宋体"/>
          <w:color w:val="auto"/>
          <w:szCs w:val="24"/>
          <w:lang w:val="en-US" w:eastAsia="zh-CN"/>
        </w:rPr>
        <w:t xml:space="preserve">季度结束20日</w:t>
      </w:r>
      <w:r>
        <w:rPr>
          <w:rFonts w:hint="eastAsia" w:ascii="宋体" w:hAnsi="宋体" w:eastAsia="宋体" w:cs="宋体"/>
          <w:color w:val="auto"/>
          <w:szCs w:val="24"/>
        </w:rPr>
        <w:t xml:space="preserve">之前甲方根据考核结果向</w:t>
      </w:r>
      <w:r>
        <w:rPr>
          <w:rFonts w:hint="eastAsia" w:ascii="宋体" w:hAnsi="宋体" w:eastAsia="宋体" w:cs="宋体"/>
          <w:color w:val="auto"/>
          <w:szCs w:val="24"/>
          <w:lang w:val="en-US" w:eastAsia="zh-CN"/>
        </w:rPr>
        <w:t xml:space="preserve">财政部门申报</w:t>
      </w:r>
      <w:r>
        <w:rPr>
          <w:rFonts w:hint="eastAsia" w:ascii="宋体" w:hAnsi="宋体" w:eastAsia="宋体" w:cs="宋体"/>
          <w:color w:val="auto"/>
          <w:szCs w:val="24"/>
        </w:rPr>
        <w:t xml:space="preserve">上</w:t>
      </w:r>
      <w:r>
        <w:rPr>
          <w:rFonts w:hint="eastAsia" w:ascii="宋体" w:hAnsi="宋体" w:eastAsia="宋体" w:cs="宋体"/>
          <w:color w:val="auto"/>
          <w:szCs w:val="24"/>
          <w:lang w:val="en-US" w:eastAsia="zh-CN"/>
        </w:rPr>
        <w:t xml:space="preserve">季度</w:t>
      </w:r>
      <w:r>
        <w:rPr>
          <w:rFonts w:hint="eastAsia" w:ascii="宋体" w:hAnsi="宋体" w:eastAsia="宋体" w:cs="宋体"/>
          <w:color w:val="auto"/>
          <w:szCs w:val="24"/>
        </w:rPr>
        <w:t xml:space="preserve">服务费，每</w:t>
      </w:r>
      <w:r>
        <w:rPr>
          <w:rFonts w:hint="eastAsia" w:ascii="宋体" w:hAnsi="宋体" w:eastAsia="宋体" w:cs="宋体"/>
          <w:color w:val="auto"/>
          <w:szCs w:val="24"/>
          <w:lang w:val="en-US" w:eastAsia="zh-CN"/>
        </w:rPr>
        <w:t xml:space="preserve">季度</w:t>
      </w:r>
      <w:r>
        <w:rPr>
          <w:rFonts w:hint="eastAsia" w:ascii="宋体" w:hAnsi="宋体" w:eastAsia="宋体" w:cs="宋体"/>
          <w:color w:val="auto"/>
          <w:szCs w:val="24"/>
        </w:rPr>
        <w:t xml:space="preserve">支付的服务费，不足一个月时，按服务日给予支付相应费用</w:t>
      </w:r>
      <w:bookmarkStart w:id="14" w:name="_Hlk510621484"/>
      <w:r>
        <w:rPr>
          <w:rFonts w:hint="eastAsia" w:ascii="宋体" w:hAnsi="宋体" w:eastAsia="宋体" w:cs="宋体"/>
          <w:color w:val="auto"/>
          <w:szCs w:val="24"/>
        </w:rPr>
        <w:t xml:space="preserve">。在甲方支付服务费之前，乙方应开具等额增值税专用发票</w:t>
      </w:r>
      <w:r>
        <w:rPr>
          <w:rFonts w:hint="eastAsia" w:ascii="宋体" w:hAnsi="宋体" w:eastAsia="宋体" w:cs="宋体"/>
          <w:color w:val="auto"/>
          <w:szCs w:val="24"/>
          <w:lang w:eastAsia="zh-CN"/>
        </w:rPr>
        <w:t xml:space="preserve">，</w:t>
      </w:r>
      <w:r>
        <w:rPr>
          <w:rFonts w:hint="eastAsia" w:ascii="宋体" w:hAnsi="宋体" w:eastAsia="宋体" w:cs="宋体"/>
          <w:color w:val="auto"/>
          <w:szCs w:val="24"/>
          <w:lang w:val="en-US" w:eastAsia="zh-CN"/>
        </w:rPr>
        <w:t xml:space="preserve">根据财政部门拨付进度进行支付</w:t>
      </w:r>
      <w:r>
        <w:rPr>
          <w:rFonts w:hint="eastAsia" w:ascii="宋体" w:hAnsi="宋体" w:eastAsia="宋体" w:cs="宋体"/>
          <w:color w:val="auto"/>
          <w:szCs w:val="24"/>
        </w:rPr>
        <w:t xml:space="preserve">。</w:t>
      </w:r>
      <w:r/>
    </w:p>
    <w:p>
      <w:pPr>
        <w:numPr>
          <w:ilvl w:val="0"/>
          <w:numId w:val="7"/>
        </w:numPr>
        <w:ind w:left="0" w:firstLine="426"/>
        <w:jc w:val="both"/>
        <w:spacing w:line="360" w:lineRule="auto"/>
        <w:widowControl w:val="off"/>
        <w:tabs>
          <w:tab w:val="left" w:pos="851" w:leader="none"/>
        </w:tabs>
        <w:rPr>
          <w:rFonts w:hint="eastAsia" w:ascii="宋体" w:hAnsi="宋体" w:eastAsia="宋体" w:cs="宋体"/>
          <w:szCs w:val="24"/>
        </w:rPr>
      </w:pPr>
      <w:r/>
      <w:bookmarkStart w:id="15" w:name="_Hlk515464074"/>
      <w:r>
        <w:rPr>
          <w:rFonts w:hint="eastAsia" w:ascii="宋体" w:hAnsi="宋体" w:eastAsia="宋体" w:cs="宋体"/>
          <w:szCs w:val="24"/>
        </w:rPr>
        <w:t xml:space="preserve">乙方收款账户信息：</w:t>
      </w:r>
      <w:r/>
    </w:p>
    <w:p>
      <w:pPr>
        <w:ind w:firstLine="424"/>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账户名称：</w:t>
      </w:r>
      <w:r/>
    </w:p>
    <w:p>
      <w:pPr>
        <w:ind w:firstLine="424"/>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开户银行：</w:t>
      </w:r>
      <w:r/>
    </w:p>
    <w:p>
      <w:pPr>
        <w:ind w:firstLine="424"/>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银行账号：</w:t>
      </w:r>
      <w:bookmarkEnd w:id="14"/>
      <w:r/>
      <w:bookmarkEnd w:id="15"/>
      <w:r/>
      <w:r/>
    </w:p>
    <w:p>
      <w:pPr>
        <w:ind w:firstLine="177"/>
        <w:spacing w:line="360" w:lineRule="auto"/>
        <w:rPr>
          <w:rFonts w:hint="eastAsia" w:ascii="宋体" w:hAnsi="宋体" w:eastAsia="宋体" w:cs="宋体"/>
          <w:b/>
          <w:color w:val="ff0000"/>
          <w:szCs w:val="24"/>
        </w:rPr>
      </w:pPr>
      <w:r>
        <w:rPr>
          <w:rFonts w:hint="eastAsia" w:ascii="宋体" w:hAnsi="宋体" w:eastAsia="宋体" w:cs="宋体"/>
          <w:szCs w:val="24"/>
        </w:rPr>
        <w:t xml:space="preserve">2、考核。</w:t>
      </w:r>
      <w:r>
        <w:rPr>
          <w:rFonts w:hint="eastAsia" w:ascii="宋体" w:hAnsi="宋体" w:eastAsia="宋体" w:cs="宋体"/>
          <w:bCs/>
          <w:color w:val="auto"/>
          <w:szCs w:val="24"/>
        </w:rPr>
        <w:t xml:space="preserve">月考核基础分为100分,月考核得分为基础分减去当月随机检查中发现的考核扣分项累计分数。90分(含)以上为良好，无需扣款;90分以下每扣1分则扣减运行</w:t>
      </w:r>
      <w:r>
        <w:rPr>
          <w:rFonts w:hint="eastAsia" w:ascii="宋体" w:hAnsi="宋体" w:eastAsia="宋体" w:cs="宋体"/>
          <w:bCs/>
          <w:color w:val="auto"/>
          <w:szCs w:val="24"/>
          <w:lang w:val="en-US" w:eastAsia="zh-CN"/>
        </w:rPr>
        <w:t xml:space="preserve">费1</w:t>
      </w:r>
      <w:r>
        <w:rPr>
          <w:rFonts w:hint="eastAsia" w:ascii="宋体" w:hAnsi="宋体" w:eastAsia="宋体" w:cs="宋体"/>
          <w:bCs/>
          <w:color w:val="auto"/>
          <w:szCs w:val="24"/>
        </w:rPr>
        <w:t xml:space="preserve">000元;另外采购人要求乙方进行整改，并将整改情况报采购人审核。连续三个月考核均为60分以下，采购人不予支付考核不合格费用，并有权与乙方解除合同。由于乙方未能发出相关预警,出现2次重大或1次特大安全生产事故或环境污染事故的，采购人有权单方终止合同。事故等级按照《生产安全事故报告和调查处理条例》界定。</w:t>
      </w:r>
      <w:r>
        <w:rPr>
          <w:rFonts w:hint="eastAsia" w:ascii="宋体" w:hAnsi="宋体" w:eastAsia="宋体" w:cs="宋体"/>
          <w:color w:val="auto"/>
          <w:szCs w:val="24"/>
        </w:rPr>
        <w:t xml:space="preserve">月度考核扣款最高不超过当月应付运维服务费总额。具体考核内容见附件2。</w:t>
      </w:r>
      <w:r/>
    </w:p>
    <w:p>
      <w:pPr>
        <w:numPr>
          <w:ilvl w:val="0"/>
          <w:numId w:val="0"/>
        </w:numPr>
        <w:ind w:right="-288"/>
        <w:jc w:val="center"/>
        <w:spacing w:line="360" w:lineRule="auto"/>
        <w:widowControl w:val="off"/>
        <w:tabs>
          <w:tab w:val="left" w:pos="42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第五条 社保、工资及相关待遇</w:t>
      </w:r>
      <w:r/>
    </w:p>
    <w:p>
      <w:pPr>
        <w:numPr>
          <w:ilvl w:val="0"/>
          <w:numId w:val="0"/>
        </w:numPr>
        <w:ind w:right="-288"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对于乙方人员，乙方除依法为其投保各项法定社会保险之外，还必须为其购买人身意外伤害保险。在该购买的人身意外伤害保险项下，被保险人因意外伤害死亡时的赔偿金额应不低于每人100</w:t>
      </w:r>
      <w:r>
        <w:rPr>
          <w:rFonts w:hint="eastAsia" w:ascii="宋体" w:hAnsi="宋体" w:eastAsia="宋体" w:cs="宋体"/>
          <w:szCs w:val="24"/>
          <w:lang w:eastAsia="zh-CN"/>
        </w:rPr>
        <w:t xml:space="preserve">万元</w:t>
      </w:r>
      <w:r>
        <w:rPr>
          <w:rFonts w:hint="eastAsia" w:ascii="宋体" w:hAnsi="宋体" w:eastAsia="宋体" w:cs="宋体"/>
          <w:szCs w:val="24"/>
        </w:rPr>
        <w:t xml:space="preserve">人民币，保险期限不短于本合同有效期间。</w:t>
      </w:r>
      <w:r>
        <w:rPr>
          <w:rFonts w:hint="eastAsia" w:ascii="宋体" w:hAnsi="宋体" w:eastAsia="宋体" w:cs="宋体"/>
          <w:bCs/>
          <w:szCs w:val="24"/>
        </w:rPr>
        <w:t xml:space="preserve">乙方需同时购买100</w:t>
      </w:r>
      <w:r>
        <w:rPr>
          <w:rFonts w:hint="eastAsia" w:ascii="宋体" w:hAnsi="宋体" w:eastAsia="宋体" w:cs="宋体"/>
          <w:bCs/>
          <w:szCs w:val="24"/>
          <w:lang w:eastAsia="zh-CN"/>
        </w:rPr>
        <w:t xml:space="preserve">万元</w:t>
      </w:r>
      <w:r>
        <w:rPr>
          <w:rFonts w:hint="eastAsia" w:ascii="宋体" w:hAnsi="宋体" w:eastAsia="宋体" w:cs="宋体"/>
          <w:bCs/>
          <w:szCs w:val="24"/>
        </w:rPr>
        <w:t xml:space="preserve">雇</w:t>
      </w:r>
      <w:r>
        <w:rPr>
          <w:rFonts w:hint="eastAsia" w:ascii="宋体" w:hAnsi="宋体" w:eastAsia="宋体" w:cs="宋体"/>
          <w:bCs/>
          <w:color w:val="auto"/>
          <w:szCs w:val="24"/>
        </w:rPr>
        <w:t xml:space="preserve">主责任险。</w:t>
      </w:r>
      <w:r>
        <w:rPr>
          <w:rFonts w:hint="eastAsia" w:ascii="宋体" w:hAnsi="宋体" w:eastAsia="宋体" w:cs="宋体"/>
          <w:color w:val="auto"/>
          <w:szCs w:val="24"/>
        </w:rPr>
        <w:t xml:space="preserve">乙方因此发生的保险费已包括在本合同服务费中。</w:t>
      </w:r>
      <w:r/>
    </w:p>
    <w:p>
      <w:pPr>
        <w:numPr>
          <w:ilvl w:val="0"/>
          <w:numId w:val="0"/>
        </w:numPr>
        <w:ind w:right="-288"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2.工资发放。人员工资不低于当地最低工资标准，次月15日前发放到位，不得拖欠。</w:t>
      </w:r>
      <w:r/>
    </w:p>
    <w:p>
      <w:pPr>
        <w:numPr>
          <w:ilvl w:val="0"/>
          <w:numId w:val="0"/>
        </w:numPr>
        <w:ind w:right="-288"/>
        <w:jc w:val="both"/>
        <w:spacing w:line="360" w:lineRule="auto"/>
        <w:widowControl w:val="off"/>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根据相关文件，合同签订之日起30日内建立“环卫工人工资专用账户”，并签订资金三方协议(采购单位、中标企业、银行)，根据考勤结果，核定工资单由银行通过专户代发。</w:t>
      </w:r>
      <w:r/>
    </w:p>
    <w:p>
      <w:pPr>
        <w:numPr>
          <w:ilvl w:val="0"/>
          <w:numId w:val="0"/>
        </w:numPr>
        <w:ind w:right="-288" w:firstLine="480"/>
        <w:jc w:val="both"/>
        <w:spacing w:line="360" w:lineRule="auto"/>
        <w:widowControl w:val="off"/>
        <w:rPr>
          <w:rFonts w:hint="eastAsia" w:ascii="宋体" w:hAnsi="宋体" w:eastAsia="宋体" w:cs="宋体"/>
          <w:color w:val="ff0000"/>
          <w:szCs w:val="24"/>
          <w:lang w:val="en-US" w:eastAsia="zh-CN"/>
        </w:rPr>
      </w:pPr>
      <w:r>
        <w:rPr>
          <w:rFonts w:hint="eastAsia" w:ascii="宋体" w:hAnsi="宋体" w:eastAsia="宋体" w:cs="宋体"/>
          <w:color w:val="auto"/>
          <w:szCs w:val="24"/>
          <w:lang w:val="en-US" w:eastAsia="zh-CN"/>
        </w:rPr>
        <w:t xml:space="preserve">3、按照相关规定为环卫工人提供必要的劳动保护用品，保证环卫工人每周至少休息1天，每年组织职工至少1次体检。</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第六条 </w:t>
      </w:r>
      <w:r>
        <w:rPr>
          <w:rFonts w:hint="eastAsia" w:ascii="宋体" w:hAnsi="宋体" w:eastAsia="宋体" w:cs="宋体"/>
          <w:b/>
          <w:bCs/>
          <w:sz w:val="28"/>
          <w:szCs w:val="28"/>
        </w:rPr>
        <w:t xml:space="preserve">保密</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乙方及乙方人员应对因履行本合同而了解到的所有甲方及甲方关联公司的商业秘密</w:t>
      </w:r>
      <w:r>
        <w:rPr>
          <w:rFonts w:hint="eastAsia" w:ascii="宋体" w:hAnsi="宋体" w:eastAsia="宋体" w:cs="宋体"/>
          <w:bCs/>
          <w:szCs w:val="24"/>
        </w:rPr>
        <w:t xml:space="preserve">（包括但不限于甲方及甲方关联公司技术情况、销售渠道、厂房布局、组织结构、规章制度等甲方未对外公开的所有资料、技术、信息内容）</w:t>
      </w:r>
      <w:r>
        <w:rPr>
          <w:rFonts w:hint="eastAsia" w:ascii="宋体" w:hAnsi="宋体" w:eastAsia="宋体" w:cs="宋体"/>
          <w:szCs w:val="24"/>
          <w:lang w:eastAsia="zh-CN"/>
        </w:rPr>
        <w:t xml:space="preserve">负有</w:t>
      </w:r>
      <w:r>
        <w:rPr>
          <w:rFonts w:hint="eastAsia" w:ascii="宋体" w:hAnsi="宋体" w:eastAsia="宋体" w:cs="宋体"/>
          <w:szCs w:val="24"/>
        </w:rPr>
        <w:t xml:space="preserve">保密义务，保密期限自本合同签订之日起至本合同终止后5年止（依法应予保密且未进入公有领域的信息除外）。本条约定在本合同终止后继续有效且不因合同的无效而无效。</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乙方不得将甲方提供的资料用于本合同以外的其他目的，并应在本合同履行完毕后及时向甲方归还或按照甲方指示销毁。</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第七条 </w:t>
      </w:r>
      <w:r>
        <w:rPr>
          <w:rFonts w:hint="eastAsia" w:ascii="宋体" w:hAnsi="宋体" w:eastAsia="宋体" w:cs="宋体"/>
          <w:b/>
          <w:bCs/>
          <w:sz w:val="28"/>
          <w:szCs w:val="28"/>
        </w:rPr>
        <w:t xml:space="preserve">不可抗力</w:t>
      </w:r>
      <w:bookmarkStart w:id="16" w:name="_Toc71789168"/>
      <w:r/>
      <w:bookmarkEnd w:id="16"/>
      <w:r/>
      <w:r/>
    </w:p>
    <w:p>
      <w:pPr>
        <w:numPr>
          <w:ilvl w:val="0"/>
          <w:numId w:val="0"/>
        </w:numPr>
        <w:ind w:left="420"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甲、乙任何一方由于战争、严重的火灾、台风、地震、水灾和其它不能预见、不可避免和不能克服的不可抗力事件而影响其履行本合同所约定义务的，受影响的一方对因不可抗力事件而不能履行或延迟履行本合同义务不承担违约责任。</w:t>
      </w:r>
      <w:r/>
    </w:p>
    <w:p>
      <w:pPr>
        <w:numPr>
          <w:ilvl w:val="0"/>
          <w:numId w:val="0"/>
        </w:numPr>
        <w:ind w:left="420"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甲、乙双方在不可抗力事件停止后或影响消除后应立即恢复履行各自的合同义务，履行期限相应延伸，如果不可抗力事件持续九十天以上时，甲、乙任何一方有权书面通知对方解除本合同。本合同因不可抗力事件解除时，甲、乙双方应协商解决因此产生的所有问题。</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第八条 </w:t>
      </w:r>
      <w:r>
        <w:rPr>
          <w:rFonts w:hint="eastAsia" w:ascii="宋体" w:hAnsi="宋体" w:eastAsia="宋体" w:cs="宋体"/>
          <w:b/>
          <w:bCs/>
          <w:sz w:val="28"/>
          <w:szCs w:val="28"/>
        </w:rPr>
        <w:t xml:space="preserve">违约责任</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环保合规责任</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乙方运营期间，因乙方未按本合同及国家、地方环保标准运营导致的环境违法行为，产生的行政处罚、罚款、整改费用、生态损害赔偿及第三方索赔，由乙方承担全部责任；甲方作为排污许可持证主体先行承担或垫付的，有权向乙方全额追偿。乙方应在收到环保部门检查、整改、处罚等文书后24小时内书面报告甲方。</w:t>
      </w:r>
      <w:r/>
    </w:p>
    <w:p>
      <w:pPr>
        <w:numPr>
          <w:ilvl w:val="0"/>
          <w:numId w:val="0"/>
        </w:numPr>
        <w:ind w:left="420" w:right="-288"/>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3.</w:t>
      </w:r>
      <w:r>
        <w:rPr>
          <w:rFonts w:hint="eastAsia" w:ascii="宋体" w:hAnsi="宋体" w:eastAsia="宋体" w:cs="宋体"/>
          <w:color w:val="auto"/>
          <w:szCs w:val="24"/>
        </w:rPr>
        <w:t xml:space="preserve">服务费</w:t>
      </w:r>
      <w:r>
        <w:rPr>
          <w:rFonts w:hint="eastAsia" w:ascii="宋体" w:hAnsi="宋体" w:eastAsia="宋体" w:cs="宋体"/>
          <w:color w:val="auto"/>
          <w:szCs w:val="24"/>
          <w:lang w:val="en-US" w:eastAsia="zh-CN"/>
        </w:rPr>
        <w:t xml:space="preserve">甲方按照财政拨款进度拨付</w:t>
      </w:r>
      <w:r>
        <w:rPr>
          <w:rFonts w:hint="eastAsia" w:ascii="宋体" w:hAnsi="宋体" w:eastAsia="宋体" w:cs="宋体"/>
          <w:color w:val="auto"/>
          <w:szCs w:val="24"/>
        </w:rPr>
        <w:t xml:space="preserve">，</w:t>
      </w:r>
      <w:r>
        <w:rPr>
          <w:rFonts w:hint="eastAsia" w:ascii="宋体" w:hAnsi="宋体" w:eastAsia="宋体" w:cs="宋体"/>
          <w:color w:val="auto"/>
          <w:szCs w:val="24"/>
          <w:lang w:val="en-US" w:eastAsia="zh-CN"/>
        </w:rPr>
        <w:t xml:space="preserve">逾期</w:t>
      </w:r>
      <w:r>
        <w:rPr>
          <w:rFonts w:hint="eastAsia" w:ascii="宋体" w:hAnsi="宋体" w:eastAsia="宋体" w:cs="宋体"/>
          <w:color w:val="auto"/>
          <w:szCs w:val="24"/>
        </w:rPr>
        <w:t xml:space="preserve">甲方</w:t>
      </w:r>
      <w:r>
        <w:rPr>
          <w:rFonts w:hint="eastAsia" w:ascii="宋体" w:hAnsi="宋体" w:eastAsia="宋体" w:cs="宋体"/>
          <w:color w:val="auto"/>
          <w:szCs w:val="24"/>
          <w:lang w:val="en-US" w:eastAsia="zh-CN"/>
        </w:rPr>
        <w:t xml:space="preserve">不承担</w:t>
      </w:r>
      <w:r>
        <w:rPr>
          <w:rFonts w:hint="eastAsia" w:ascii="宋体" w:hAnsi="宋体" w:eastAsia="宋体" w:cs="宋体"/>
          <w:color w:val="auto"/>
          <w:szCs w:val="24"/>
        </w:rPr>
        <w:t xml:space="preserve">迟延履行的违约责任</w:t>
      </w:r>
      <w:r>
        <w:rPr>
          <w:rFonts w:hint="eastAsia" w:ascii="宋体" w:hAnsi="宋体" w:eastAsia="宋体" w:cs="宋体"/>
          <w:color w:val="auto"/>
          <w:szCs w:val="24"/>
          <w:lang w:eastAsia="zh-CN"/>
        </w:rPr>
        <w:t xml:space="preserve">。</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如果乙方未在本合同约定的或甲方指示期限内完成服务的，乙方应当承担迟延履行的违约责任，每逾期一日，乙方应向甲方支付人民币叁仟元整（RMB3,000.00）违约金；违约金累计不超过合同总服务费的10%，违约金不足以弥补甲方直接损失的，甲方有权就不足部分另行主张。逾期天数以乙方实际完成服务的日期超过本合同约定的或甲方指示期限的天数计算。</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5.</w:t>
      </w:r>
      <w:r>
        <w:rPr>
          <w:rFonts w:hint="eastAsia" w:ascii="宋体" w:hAnsi="宋体" w:eastAsia="宋体" w:cs="宋体"/>
          <w:szCs w:val="24"/>
        </w:rPr>
        <w:t xml:space="preserve">本合同项下任何违约责任的承担不解除乙方完成服务的义务，或合同规定的其可能承担的其他责任、义务。</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除本合同另有约定外，如果乙方违反或拒绝履行本合同的约定，甲方有权以书面形式通知乙方做出改正，乙方应在接到通知后7天内完成甲方通知事项的改正。如乙方认为7天内来不及改正时，应提出改正计划并需得到甲方认可。如无正当理由不改正或提不出改正计划，甲方有权解除合同，合同因此解除的，甲方有权要求乙方赔偿甲方因此所遭受的全部损失。</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7.</w:t>
      </w:r>
      <w:r>
        <w:rPr>
          <w:rFonts w:hint="eastAsia" w:ascii="宋体" w:hAnsi="宋体" w:eastAsia="宋体" w:cs="宋体"/>
          <w:szCs w:val="24"/>
        </w:rPr>
        <w:t xml:space="preserve">乙方不履行本合同项下义务，甲方有权解除本合同，停止向乙方支付服务费。</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8.</w:t>
      </w:r>
      <w:r>
        <w:rPr>
          <w:rFonts w:hint="eastAsia" w:ascii="宋体" w:hAnsi="宋体" w:eastAsia="宋体" w:cs="宋体"/>
          <w:szCs w:val="24"/>
        </w:rPr>
        <w:t xml:space="preserve">甲方无故解除本合同的，应按乙方已实际提供服务对应的服务费予以结算支付，并赔偿乙方因此遭受的直接损失。</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9.</w:t>
      </w:r>
      <w:r>
        <w:rPr>
          <w:rFonts w:hint="eastAsia" w:ascii="宋体" w:hAnsi="宋体" w:eastAsia="宋体" w:cs="宋体"/>
          <w:szCs w:val="24"/>
        </w:rPr>
        <w:t xml:space="preserve">乙方违反本合同项下保密义务，并赔偿甲方因此所遭受的一切损失。</w:t>
      </w:r>
      <w:r/>
    </w:p>
    <w:p>
      <w:pPr>
        <w:pStyle w:val="819"/>
        <w:numPr>
          <w:ilvl w:val="0"/>
          <w:numId w:val="0"/>
        </w:numPr>
        <w:ind w:right="-288"/>
        <w:jc w:val="center"/>
        <w:spacing w:line="360" w:lineRule="auto"/>
        <w:tabs>
          <w:tab w:val="left" w:pos="420" w:leader="none"/>
        </w:tabs>
        <w:rPr>
          <w:rFonts w:hint="eastAsia" w:ascii="宋体" w:hAnsi="宋体" w:eastAsia="宋体" w:cs="宋体"/>
          <w:b/>
          <w:bCs/>
          <w:sz w:val="28"/>
          <w:szCs w:val="28"/>
        </w:rPr>
      </w:pPr>
      <w:r/>
      <w:bookmarkStart w:id="17" w:name="_Toc12396"/>
      <w:r/>
      <w:bookmarkStart w:id="18" w:name="_Toc28676"/>
      <w:r>
        <w:rPr>
          <w:rFonts w:hint="eastAsia" w:ascii="宋体" w:hAnsi="宋体" w:eastAsia="宋体" w:cs="宋体"/>
          <w:b/>
          <w:bCs/>
          <w:sz w:val="28"/>
          <w:szCs w:val="28"/>
          <w:lang w:val="en-US" w:eastAsia="zh-CN"/>
        </w:rPr>
        <w:t xml:space="preserve">第九条 </w:t>
      </w:r>
      <w:r>
        <w:rPr>
          <w:rFonts w:hint="eastAsia" w:ascii="宋体" w:hAnsi="宋体" w:eastAsia="宋体" w:cs="宋体"/>
          <w:b/>
          <w:bCs/>
          <w:sz w:val="28"/>
          <w:szCs w:val="28"/>
        </w:rPr>
        <w:t xml:space="preserve">争议解决</w:t>
      </w:r>
      <w:bookmarkEnd w:id="17"/>
      <w:r/>
      <w:bookmarkEnd w:id="18"/>
      <w:r/>
      <w:r/>
    </w:p>
    <w:p>
      <w:pPr>
        <w:ind w:firstLine="480"/>
        <w:jc w:val="both"/>
        <w:spacing w:line="360" w:lineRule="auto"/>
        <w:widowControl w:val="off"/>
        <w:tabs>
          <w:tab w:val="left" w:pos="420" w:leader="none"/>
        </w:tabs>
        <w:rPr>
          <w:rFonts w:hint="eastAsia" w:ascii="宋体" w:hAnsi="宋体" w:eastAsia="宋体" w:cs="宋体"/>
          <w:szCs w:val="24"/>
        </w:rPr>
      </w:pPr>
      <w:r>
        <w:rPr>
          <w:rFonts w:hint="eastAsia" w:ascii="宋体" w:hAnsi="宋体" w:eastAsia="宋体" w:cs="宋体"/>
          <w:szCs w:val="24"/>
        </w:rPr>
        <w:t xml:space="preserve">因本合同的履行引起的或与本合同有关的任何争议，双方应友好协商解决，协商不成或不愿协商的，任何一方均有权向甲方所在地有管辖权的人民法院提起诉讼，由人民法院依法裁判。诉讼期间，除有争议的部分外，双方应继续履行本合同所约定的义务。</w:t>
      </w:r>
      <w:r/>
    </w:p>
    <w:p>
      <w:pPr>
        <w:pStyle w:val="819"/>
        <w:numPr>
          <w:ilvl w:val="0"/>
          <w:numId w:val="0"/>
        </w:numPr>
        <w:ind w:right="-288"/>
        <w:jc w:val="center"/>
        <w:spacing w:line="360" w:lineRule="auto"/>
        <w:tabs>
          <w:tab w:val="left" w:pos="420" w:leader="none"/>
        </w:tabs>
        <w:rPr>
          <w:rFonts w:hint="eastAsia" w:ascii="宋体" w:hAnsi="宋体" w:eastAsia="宋体" w:cs="宋体"/>
          <w:b/>
          <w:bCs/>
          <w:sz w:val="28"/>
          <w:szCs w:val="28"/>
        </w:rPr>
      </w:pPr>
      <w:r/>
      <w:bookmarkStart w:id="19" w:name="_Toc23828"/>
      <w:r/>
      <w:bookmarkStart w:id="20" w:name="_Toc5264"/>
      <w:r>
        <w:rPr>
          <w:rFonts w:hint="eastAsia" w:ascii="宋体" w:hAnsi="宋体" w:eastAsia="宋体" w:cs="宋体"/>
          <w:b/>
          <w:bCs/>
          <w:sz w:val="28"/>
          <w:szCs w:val="28"/>
          <w:lang w:val="en-US" w:eastAsia="zh-CN"/>
        </w:rPr>
        <w:t xml:space="preserve">第十条 </w:t>
      </w:r>
      <w:r>
        <w:rPr>
          <w:rFonts w:hint="eastAsia" w:ascii="宋体" w:hAnsi="宋体" w:eastAsia="宋体" w:cs="宋体"/>
          <w:b/>
          <w:bCs/>
          <w:sz w:val="28"/>
          <w:szCs w:val="28"/>
        </w:rPr>
        <w:t xml:space="preserve">其它</w:t>
      </w:r>
      <w:bookmarkEnd w:id="19"/>
      <w:r/>
      <w:bookmarkEnd w:id="20"/>
      <w:r/>
      <w:r/>
    </w:p>
    <w:p>
      <w:pPr>
        <w:numPr>
          <w:ilvl w:val="0"/>
          <w:numId w:val="0"/>
        </w:numPr>
        <w:ind w:left="420" w:right="-288"/>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本合同经双方签署盖章后立即生效。</w:t>
      </w:r>
      <w:r/>
    </w:p>
    <w:p>
      <w:pPr>
        <w:numPr>
          <w:ilvl w:val="0"/>
          <w:numId w:val="0"/>
        </w:numPr>
        <w:ind w:left="420" w:right="-288"/>
        <w:jc w:val="both"/>
        <w:spacing w:line="360" w:lineRule="auto"/>
        <w:widowControl w:val="off"/>
        <w:rPr>
          <w:rFonts w:hint="eastAsia" w:ascii="宋体" w:hAnsi="宋体" w:eastAsia="宋体" w:cs="宋体"/>
          <w:color w:val="auto"/>
          <w:szCs w:val="24"/>
        </w:rPr>
      </w:pPr>
      <w:r>
        <w:rPr>
          <w:rFonts w:hint="eastAsia" w:ascii="宋体" w:hAnsi="宋体" w:eastAsia="宋体" w:cs="宋体"/>
          <w:bCs/>
          <w:szCs w:val="24"/>
        </w:rPr>
        <w:t xml:space="preserve">本协议一式捌份，甲方执肆份、乙方执贰份、采购代理机构存贰份，每份具有同等法律效</w:t>
      </w:r>
      <w:r>
        <w:rPr>
          <w:rFonts w:hint="eastAsia" w:ascii="宋体" w:hAnsi="宋体" w:eastAsia="宋体" w:cs="宋体"/>
          <w:bCs/>
          <w:color w:val="auto"/>
          <w:szCs w:val="24"/>
        </w:rPr>
        <w:t xml:space="preserve">力。</w:t>
      </w:r>
      <w:r/>
    </w:p>
    <w:p>
      <w:pPr>
        <w:numPr>
          <w:ilvl w:val="0"/>
          <w:numId w:val="0"/>
        </w:numPr>
        <w:ind w:right="-288" w:firstLine="480"/>
        <w:jc w:val="both"/>
        <w:spacing w:line="360" w:lineRule="auto"/>
        <w:widowControl w:val="off"/>
        <w:rPr>
          <w:rFonts w:hint="eastAsia" w:ascii="宋体" w:hAnsi="宋体" w:eastAsia="宋体" w:cs="宋体"/>
          <w:b/>
          <w:bCs/>
          <w:color w:val="auto"/>
          <w:szCs w:val="24"/>
        </w:rPr>
      </w:pP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本合同附件为：附件1：项目要求（内容见招标文件第六章《采购需求》，签订合同时随合同附后）；附件2：填埋场日常运营项目考核表（内容见招标文件第六章第2.15条，签订合同时随合同附后）。本合同附件为本合同的有效组成部分，与本合同条款具有同等效力。其中与本合同条款相冲突的条款，本合同条款的效力优先。如附件约定的标准更为严格的，按附件约定的标准执行。（以下无正文）</w:t>
      </w:r>
      <w:r/>
    </w:p>
    <w:p>
      <w:pPr>
        <w:ind w:right="-288" w:firstLine="200"/>
        <w:jc w:val="both"/>
        <w:spacing w:line="360" w:lineRule="auto"/>
        <w:widowControl w:val="off"/>
        <w:rPr>
          <w:rFonts w:hint="eastAsia" w:ascii="宋体" w:hAnsi="宋体" w:eastAsia="宋体" w:cs="宋体"/>
          <w:b/>
          <w:bCs/>
          <w:szCs w:val="24"/>
          <w:lang w:val="en-US" w:eastAsia="zh-CN"/>
        </w:rPr>
      </w:pPr>
      <w:r>
        <w:rPr>
          <w:rFonts w:hint="eastAsia" w:ascii="宋体" w:hAnsi="宋体" w:eastAsia="宋体" w:cs="宋体"/>
          <w:b/>
          <w:bCs/>
          <w:szCs w:val="24"/>
          <w:lang w:val="en-US" w:eastAsia="zh-CN"/>
        </w:rPr>
      </w:r>
      <w:r/>
    </w:p>
    <w:p>
      <w:pPr>
        <w:ind w:right="-288"/>
        <w:jc w:val="both"/>
        <w:spacing w:line="360" w:lineRule="auto"/>
        <w:widowControl w:val="off"/>
        <w:rPr>
          <w:rFonts w:hint="eastAsia" w:ascii="宋体" w:hAnsi="宋体" w:eastAsia="宋体" w:cs="宋体"/>
          <w:b/>
          <w:bCs/>
          <w:szCs w:val="24"/>
        </w:rPr>
      </w:pPr>
      <w:r>
        <w:rPr>
          <w:rFonts w:hint="eastAsia" w:ascii="宋体" w:hAnsi="宋体" w:eastAsia="宋体" w:cs="宋体"/>
          <w:b/>
          <w:bCs/>
          <w:szCs w:val="24"/>
        </w:rPr>
      </w:r>
      <w:r/>
    </w:p>
    <w:p>
      <w:pPr>
        <w:ind w:right="-288" w:firstLine="200"/>
        <w:jc w:val="both"/>
        <w:spacing w:line="360" w:lineRule="auto"/>
        <w:widowControl w:val="off"/>
        <w:rPr>
          <w:rFonts w:hint="eastAsia" w:ascii="宋体" w:hAnsi="宋体" w:eastAsia="宋体" w:cs="宋体"/>
          <w:bCs/>
          <w:szCs w:val="24"/>
        </w:rPr>
      </w:pPr>
      <w:r>
        <w:rPr>
          <w:rFonts w:hint="eastAsia" w:ascii="宋体" w:hAnsi="宋体" w:eastAsia="宋体" w:cs="宋体"/>
          <w:b/>
          <w:bCs/>
          <w:spacing w:val="-10"/>
          <w:szCs w:val="24"/>
        </w:rPr>
        <w:t xml:space="preserve">甲方：</w:t>
      </w:r>
      <w:r>
        <w:rPr>
          <w:rFonts w:hint="eastAsia" w:ascii="宋体" w:hAnsi="宋体" w:eastAsia="宋体" w:cs="宋体"/>
          <w:b/>
          <w:bCs/>
          <w:szCs w:val="24"/>
        </w:rPr>
        <w:t xml:space="preserve">丰县城市管理局</w:t>
      </w:r>
      <w:r/>
    </w:p>
    <w:p>
      <w:pPr>
        <w:ind w:firstLine="200"/>
        <w:spacing w:line="360" w:lineRule="auto"/>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法定代表人或授权代表人：</w:t>
      </w:r>
      <w:r/>
    </w:p>
    <w:p>
      <w:pPr>
        <w:ind w:firstLine="200"/>
        <w:jc w:val="both"/>
        <w:spacing w:line="360" w:lineRule="auto"/>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日期：</w:t>
      </w:r>
      <w:r/>
    </w:p>
    <w:p>
      <w:pPr>
        <w:ind w:firstLine="20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r>
      <w:r/>
    </w:p>
    <w:p>
      <w:pPr>
        <w:ind w:firstLine="200"/>
        <w:jc w:val="both"/>
        <w:spacing w:line="360" w:lineRule="auto"/>
        <w:widowControl w:val="off"/>
        <w:rPr>
          <w:rFonts w:hint="eastAsia" w:ascii="宋体" w:hAnsi="宋体" w:eastAsia="宋体" w:cs="宋体"/>
          <w:bCs/>
          <w:color w:val="auto"/>
          <w:szCs w:val="24"/>
        </w:rPr>
      </w:pPr>
      <w:r>
        <w:rPr>
          <w:rFonts w:hint="eastAsia" w:ascii="宋体" w:hAnsi="宋体" w:eastAsia="宋体" w:cs="宋体"/>
          <w:b/>
          <w:bCs/>
          <w:color w:val="auto"/>
          <w:spacing w:val="-10"/>
          <w:szCs w:val="24"/>
        </w:rPr>
        <w:t xml:space="preserve">乙方：</w:t>
      </w:r>
      <w:r>
        <w:rPr>
          <w:rFonts w:hint="eastAsia" w:ascii="宋体" w:hAnsi="宋体" w:eastAsia="宋体" w:cs="宋体"/>
          <w:bCs/>
          <w:color w:val="auto"/>
          <w:szCs w:val="24"/>
        </w:rPr>
        <w:t xml:space="preserve"> </w:t>
      </w:r>
      <w:r/>
    </w:p>
    <w:p>
      <w:pPr>
        <w:ind w:firstLine="200"/>
        <w:jc w:val="both"/>
        <w:spacing w:line="360" w:lineRule="auto"/>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法定代表人或授权代表人：</w:t>
      </w:r>
      <w:r/>
    </w:p>
    <w:p>
      <w:pPr>
        <w:ind w:firstLine="200"/>
        <w:spacing w:line="360" w:lineRule="auto"/>
        <w:widowControl w:val="off"/>
        <w:rPr>
          <w:rFonts w:hint="eastAsia" w:ascii="宋体" w:hAnsi="宋体" w:eastAsia="宋体" w:cs="宋体"/>
          <w:bCs/>
          <w:szCs w:val="24"/>
        </w:rPr>
      </w:pPr>
      <w:r>
        <w:rPr>
          <w:rFonts w:hint="eastAsia" w:ascii="宋体" w:hAnsi="宋体" w:eastAsia="宋体" w:cs="宋体"/>
          <w:bCs/>
          <w:szCs w:val="24"/>
        </w:rPr>
        <w:t xml:space="preserve">日期：</w:t>
      </w:r>
      <w:r/>
    </w:p>
    <w:p>
      <w:pPr>
        <w:spacing w:line="360" w:lineRule="auto"/>
        <w:rPr>
          <w:rFonts w:hint="eastAsia" w:ascii="宋体" w:hAnsi="宋体" w:eastAsia="宋体" w:cs="宋体"/>
        </w:rPr>
      </w:pPr>
      <w:r>
        <w:rPr>
          <w:rFonts w:hint="eastAsia" w:ascii="宋体" w:hAnsi="宋体" w:eastAsia="宋体" w:cs="宋体"/>
        </w:rPr>
      </w:r>
      <w:r/>
    </w:p>
    <w:p>
      <w:pPr>
        <w:pStyle w:val="877"/>
        <w:ind w:left="0"/>
        <w:jc w:val="center"/>
        <w:spacing w:line="360" w:lineRule="auto"/>
        <w:rPr>
          <w:rFonts w:hint="eastAsia" w:ascii="宋体" w:hAnsi="宋体" w:eastAsia="宋体" w:cs="宋体"/>
          <w:sz w:val="20"/>
          <w:szCs w:val="22"/>
        </w:rPr>
      </w:pPr>
      <w:r/>
      <w:bookmarkStart w:id="21" w:name="_Toc697"/>
      <w:r>
        <w:rPr>
          <w:rFonts w:hint="eastAsia" w:ascii="宋体" w:hAnsi="宋体" w:eastAsia="宋体" w:cs="宋体"/>
        </w:rPr>
        <w:br w:type="page" w:clear="all"/>
      </w:r>
      <w:r>
        <w:rPr>
          <w:rFonts w:hint="eastAsia" w:ascii="宋体" w:hAnsi="宋体" w:eastAsia="宋体" w:cs="宋体"/>
          <w:b/>
          <w:sz w:val="36"/>
          <w:szCs w:val="40"/>
          <w:lang w:val="en-US" w:eastAsia="zh-CN" w:bidi="ar-SA"/>
        </w:rPr>
        <w:t xml:space="preserve">第六章 采购需求</w:t>
      </w:r>
      <w:bookmarkEnd w:id="21"/>
      <w:r/>
      <w:r/>
    </w:p>
    <w:p>
      <w:pPr>
        <w:jc w:val="both"/>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一、采购项目说明</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1.采购人：丰县城市管理局</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2.项目名称：丰县生活垃圾填埋场第三方日常运维政府购买服务项目</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3.本项目不接受超过249万元（采购项目预算金额）的投标报价（报价包括完成项目的所有费用，采购人不再支付报价以外的任何费用）。本项目采购预算中未列支采购代理服务费，代理费由中标人支付，</w:t>
      </w:r>
      <w:r>
        <w:rPr>
          <w:rFonts w:hint="eastAsia" w:ascii="宋体" w:hAnsi="宋体" w:eastAsia="宋体" w:cs="宋体"/>
          <w:szCs w:val="24"/>
          <w:lang w:eastAsia="zh-CN"/>
        </w:rPr>
        <w:t xml:space="preserve">按照</w:t>
      </w:r>
      <w:r>
        <w:rPr>
          <w:rFonts w:hint="eastAsia" w:ascii="宋体" w:hAnsi="宋体" w:eastAsia="宋体" w:cs="宋体"/>
          <w:szCs w:val="24"/>
        </w:rPr>
        <w:t xml:space="preserve">《</w:t>
      </w:r>
      <w:r>
        <w:rPr>
          <w:rFonts w:hint="eastAsia" w:ascii="宋体" w:hAnsi="宋体" w:eastAsia="宋体" w:cs="宋体"/>
          <w:szCs w:val="24"/>
          <w:lang w:eastAsia="zh-CN"/>
        </w:rPr>
        <w:t xml:space="preserve">徐州政府采购</w:t>
      </w:r>
      <w:r>
        <w:rPr>
          <w:rFonts w:hint="eastAsia" w:ascii="宋体" w:hAnsi="宋体" w:eastAsia="宋体" w:cs="宋体"/>
          <w:szCs w:val="24"/>
        </w:rPr>
        <w:t xml:space="preserve">代理</w:t>
      </w:r>
      <w:r>
        <w:rPr>
          <w:rFonts w:hint="eastAsia" w:ascii="宋体" w:hAnsi="宋体" w:eastAsia="宋体" w:cs="宋体"/>
          <w:szCs w:val="24"/>
          <w:lang w:eastAsia="zh-CN"/>
        </w:rPr>
        <w:t xml:space="preserve">服务</w:t>
      </w:r>
      <w:r>
        <w:rPr>
          <w:rFonts w:hint="eastAsia" w:ascii="宋体" w:hAnsi="宋体" w:eastAsia="宋体" w:cs="宋体"/>
          <w:szCs w:val="24"/>
        </w:rPr>
        <w:t xml:space="preserve">费</w:t>
      </w:r>
      <w:r>
        <w:rPr>
          <w:rFonts w:hint="eastAsia" w:ascii="宋体" w:hAnsi="宋体" w:eastAsia="宋体" w:cs="宋体"/>
          <w:szCs w:val="24"/>
          <w:lang w:eastAsia="zh-CN"/>
        </w:rPr>
        <w:t xml:space="preserve">行业指导价格</w:t>
      </w:r>
      <w:r>
        <w:rPr>
          <w:rFonts w:hint="eastAsia" w:ascii="宋体" w:hAnsi="宋体" w:eastAsia="宋体" w:cs="宋体"/>
          <w:szCs w:val="24"/>
        </w:rPr>
        <w:t xml:space="preserve">》</w:t>
      </w:r>
      <w:r>
        <w:rPr>
          <w:rFonts w:hint="eastAsia" w:ascii="宋体" w:hAnsi="宋体" w:eastAsia="宋体" w:cs="宋体"/>
          <w:szCs w:val="24"/>
          <w:lang w:eastAsia="zh-CN"/>
        </w:rPr>
        <w:t xml:space="preserve">的</w:t>
      </w:r>
      <w:r>
        <w:rPr>
          <w:rFonts w:hint="eastAsia" w:ascii="宋体" w:hAnsi="宋体" w:eastAsia="宋体" w:cs="宋体"/>
          <w:szCs w:val="24"/>
          <w:lang w:val="en-US" w:eastAsia="zh-CN"/>
        </w:rPr>
        <w:t xml:space="preserve">64.3%</w:t>
      </w:r>
      <w:r>
        <w:rPr>
          <w:rFonts w:hint="eastAsia" w:ascii="宋体" w:hAnsi="宋体" w:eastAsia="宋体" w:cs="宋体"/>
          <w:szCs w:val="24"/>
        </w:rPr>
        <w:t xml:space="preserve">收取</w:t>
      </w:r>
      <w:r>
        <w:rPr>
          <w:rFonts w:hint="eastAsia" w:ascii="宋体" w:hAnsi="宋体" w:eastAsia="宋体" w:cs="宋体"/>
          <w:szCs w:val="24"/>
          <w:lang w:eastAsia="zh-CN"/>
        </w:rPr>
        <w:t xml:space="preserve">，</w:t>
      </w:r>
      <w:r>
        <w:rPr>
          <w:rFonts w:hint="eastAsia" w:ascii="宋体" w:hAnsi="宋体" w:eastAsia="宋体" w:cs="宋体"/>
          <w:szCs w:val="24"/>
        </w:rPr>
        <w:t xml:space="preserve">投标报价应当包含代理费。</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4.本项目为专门面向中小企业的项目。</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5.服务期限：自合同签订之日起三年</w:t>
      </w:r>
      <w:r/>
    </w:p>
    <w:p>
      <w:pPr>
        <w:jc w:val="both"/>
        <w:spacing w:line="360" w:lineRule="auto"/>
        <w:widowControl w:val="off"/>
        <w:rPr>
          <w:rFonts w:hint="eastAsia" w:ascii="宋体" w:hAnsi="宋体" w:eastAsia="宋体" w:cs="宋体"/>
          <w:b/>
          <w:bCs/>
          <w:sz w:val="28"/>
          <w:szCs w:val="28"/>
        </w:rPr>
      </w:pPr>
      <w:r/>
      <w:bookmarkStart w:id="22" w:name="OLE_LINK1"/>
      <w:r>
        <w:rPr>
          <w:rFonts w:hint="eastAsia" w:ascii="宋体" w:hAnsi="宋体" w:eastAsia="宋体" w:cs="宋体"/>
          <w:b/>
          <w:bCs/>
          <w:sz w:val="28"/>
          <w:szCs w:val="28"/>
        </w:rPr>
        <w:t xml:space="preserve">二、服务内容</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b/>
          <w:szCs w:val="24"/>
        </w:rPr>
        <w:t xml:space="preserve">一、项目概况</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丰县生活垃圾卫生填埋场、丰县生活垃圾应急填埋场两个场区，位于丰县支农北路路东、原国丰新能源西、北环路路北。全区域占地约 216 亩，丰县生活垃圾卫生填埋场2021年底启动生态修复封场项目，2023 年1月完成项目竣工验收；丰县生活垃圾应急填埋场为应急填埋库区备用，平时做好日常维护，做好应急接收生活垃圾的准备工作（如应急接收生活垃圾，费用另行结算）。</w:t>
      </w:r>
      <w:r/>
    </w:p>
    <w:p>
      <w:pPr>
        <w:ind w:left="240"/>
        <w:spacing w:line="360" w:lineRule="auto"/>
        <w:widowControl w:val="off"/>
        <w:rPr>
          <w:rFonts w:hint="eastAsia" w:ascii="宋体" w:hAnsi="宋体" w:eastAsia="宋体" w:cs="宋体"/>
          <w:szCs w:val="24"/>
        </w:rPr>
        <w:outlineLvl w:val="1"/>
      </w:pPr>
      <w:r/>
      <w:bookmarkStart w:id="23" w:name="heading_1"/>
      <w:r>
        <w:rPr>
          <w:rFonts w:hint="eastAsia" w:ascii="宋体" w:hAnsi="宋体" w:eastAsia="宋体" w:cs="宋体"/>
          <w:b/>
          <w:szCs w:val="24"/>
        </w:rPr>
        <w:t xml:space="preserve">二、日常运营管理内容</w:t>
      </w:r>
      <w:bookmarkEnd w:id="23"/>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丰县生活垃圾卫生填埋场、丰县生活垃圾应急填埋场的管理服务工作。工作内容按照国家和地方的相关法律、法规和标准进行，包括但不限于：《劳动法》《安全生产法》《环境保护法》《生活垃圾卫生填埋处理技术标准》GB 50869‑2013、《生活垃圾填埋场污染控制标准》GB16889‑2024 、《危险废物填埋污染控制标准》GB18598‑2019、《生活垃圾卫生填埋场运行维护技术规程》CJJ93‑2011、《生活垃圾卫生填埋场封场技术规范》GB51220‑2017、填埋场排污许可证等，符合相关主管部门和</w:t>
      </w:r>
      <w:r>
        <w:rPr>
          <w:rFonts w:hint="eastAsia" w:ascii="宋体" w:hAnsi="宋体" w:cs="宋体"/>
          <w:szCs w:val="24"/>
          <w:lang w:val="en-US" w:eastAsia="zh-CN"/>
        </w:rPr>
        <w:t xml:space="preserve">采购人</w:t>
      </w:r>
      <w:r>
        <w:rPr>
          <w:rFonts w:hint="eastAsia" w:ascii="宋体" w:hAnsi="宋体" w:eastAsia="宋体" w:cs="宋体"/>
          <w:szCs w:val="24"/>
        </w:rPr>
        <w:t xml:space="preserve">制定的管理规范。工作范围包含现场环境简易自行检测、渗滤液收集和输送、填埋气体收集处理、雨水倒排系统维护、堆体管理养护、绿化养护、除草、雨污分流导排及雨季防汛、清扫保洁、运营台账记录及保管、配合技术改造、安保等。</w:t>
      </w:r>
      <w:r/>
    </w:p>
    <w:p>
      <w:pPr>
        <w:ind w:left="240"/>
        <w:spacing w:line="360" w:lineRule="auto"/>
        <w:widowControl w:val="off"/>
        <w:rPr>
          <w:rFonts w:hint="eastAsia" w:ascii="宋体" w:hAnsi="宋体" w:eastAsia="宋体" w:cs="宋体"/>
          <w:szCs w:val="24"/>
        </w:rPr>
        <w:outlineLvl w:val="2"/>
      </w:pPr>
      <w:r/>
      <w:bookmarkStart w:id="24" w:name="heading_2"/>
      <w:r>
        <w:rPr>
          <w:rFonts w:hint="eastAsia" w:ascii="宋体" w:hAnsi="宋体" w:eastAsia="宋体" w:cs="宋体"/>
          <w:b/>
          <w:szCs w:val="24"/>
        </w:rPr>
        <w:t xml:space="preserve">2.1 渗滤液收集和运输</w:t>
      </w:r>
      <w:bookmarkEnd w:id="24"/>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负责生活垃圾卫生填埋场封场 A、B 库区及应急填埋场渗滤液收集（包括渗滤液导排系统、提升泵、调节池、输送管道等附属设施）维护，渗滤液通过管道输送至光大垃圾焚烧厂处置，同时做好渗滤液台账资料。</w:t>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若光大垃圾焚烧厂无法接收渗滤液，乙方须第一时间启用场内调节池应急储存，做好台账，同步向采购人报告，严禁发生渗滤液外溢。</w:t>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负责调节池及 1 号库区膜上雨水要及时进行抽排，抽排时应备有安全带、踏步、扶手、救生绳、挂钩、吊带等安全用品，确保安全，如发现膜破裂等要及时修补更换，防止雨水进入。</w:t>
      </w:r>
      <w:r/>
    </w:p>
    <w:p>
      <w:pPr>
        <w:ind w:left="240"/>
        <w:spacing w:line="360" w:lineRule="auto"/>
        <w:widowControl w:val="off"/>
        <w:rPr>
          <w:rFonts w:hint="eastAsia" w:ascii="宋体" w:hAnsi="宋体" w:eastAsia="宋体" w:cs="宋体"/>
          <w:b/>
          <w:szCs w:val="24"/>
        </w:rPr>
      </w:pPr>
      <w:r>
        <w:rPr>
          <w:rFonts w:hint="eastAsia" w:ascii="宋体" w:hAnsi="宋体" w:eastAsia="宋体" w:cs="宋体"/>
          <w:b/>
          <w:szCs w:val="24"/>
        </w:rPr>
        <w:t xml:space="preserve">安全操作</w:t>
      </w:r>
      <w:r/>
    </w:p>
    <w:p>
      <w:pPr>
        <w:ind w:left="240" w:firstLine="480"/>
        <w:spacing w:line="360" w:lineRule="auto"/>
        <w:widowControl w:val="off"/>
        <w:rPr>
          <w:rFonts w:hint="eastAsia" w:ascii="宋体" w:hAnsi="宋体" w:eastAsia="宋体" w:cs="宋体"/>
          <w:szCs w:val="24"/>
        </w:rPr>
      </w:pPr>
      <w:r>
        <w:rPr>
          <w:rFonts w:hint="eastAsia" w:ascii="宋体" w:hAnsi="宋体" w:eastAsia="宋体" w:cs="宋体"/>
          <w:szCs w:val="24"/>
        </w:rPr>
        <w:t xml:space="preserve">渗滤液导排管及压缩空气管维修前必须检测堆体上空 2m 以下范围内的甲烷气体浓度，浓度应小于 5%，避免维修器械产生火花引起闪爆；维修人员应穿戴防爆防护装备，严禁烟火。</w:t>
      </w:r>
      <w:r/>
    </w:p>
    <w:p>
      <w:pPr>
        <w:ind w:left="240"/>
        <w:spacing w:line="360" w:lineRule="auto"/>
        <w:widowControl w:val="off"/>
        <w:rPr>
          <w:rFonts w:hint="eastAsia" w:ascii="宋体" w:hAnsi="宋体" w:eastAsia="宋体" w:cs="宋体"/>
          <w:szCs w:val="24"/>
        </w:rPr>
        <w:outlineLvl w:val="2"/>
      </w:pPr>
      <w:r/>
      <w:bookmarkStart w:id="25" w:name="heading_3"/>
      <w:r>
        <w:rPr>
          <w:rFonts w:hint="eastAsia" w:ascii="宋体" w:hAnsi="宋体" w:eastAsia="宋体" w:cs="宋体"/>
          <w:b/>
          <w:szCs w:val="24"/>
        </w:rPr>
        <w:t xml:space="preserve">2.2 填埋气收集和处理</w:t>
      </w:r>
      <w:bookmarkEnd w:id="25"/>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负责填埋气导排系统和利用设施（燃烧火炬）的运行和维护，做好火炬燃烧日常运营台账记录。填埋气经处理后需满足《大气污染物综合排放标准》（GB 16297‑1996）。</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火炬燃烧系统：该填埋场填埋气体采用主动导排系统，气体抽排启动时抽风机流量应从小到大缓慢调整，直至抽气与产气基本平衡，防止抽入过多的空气。抽气流量与气体产生速率保持基本平衡可按以下条件综合判断：1 是负压管网气密性试验合格，无漏气发生；2 是气体氧含量保持在 1% 以下；3 是气体甲烷含量保持稳定。</w:t>
      </w:r>
      <w:r/>
    </w:p>
    <w:p>
      <w:pPr>
        <w:ind w:left="240"/>
        <w:jc w:val="both"/>
        <w:spacing w:before="120" w:after="120" w:line="360" w:lineRule="auto"/>
        <w:widowControl w:val="off"/>
        <w:rPr>
          <w:rFonts w:hint="eastAsia" w:ascii="宋体" w:hAnsi="宋体" w:eastAsia="宋体" w:cs="宋体"/>
          <w:szCs w:val="24"/>
        </w:rPr>
      </w:pPr>
      <w:r>
        <w:rPr>
          <w:rFonts w:hint="eastAsia" w:ascii="宋体" w:hAnsi="宋体" w:eastAsia="宋体" w:cs="宋体"/>
          <w:b/>
          <w:szCs w:val="24"/>
        </w:rPr>
        <w:t xml:space="preserve">维护保养</w:t>
      </w:r>
      <w:r>
        <w:rPr>
          <w:rFonts w:hint="eastAsia" w:ascii="宋体" w:hAnsi="宋体" w:eastAsia="宋体" w:cs="宋体"/>
          <w:szCs w:val="24"/>
        </w:rPr>
        <w:t xml:space="preserve">：封场后填埋堆体存在不同程度的沉降，应加强集气导排井及附属管网的巡查，发现沉降及时处置，防止拉裂管道；填埋气体产生速率呈逐渐下降趋势，应定期调整抽气风机的流量，使抽气流量与气体产生速率保持基本动态平衡；可燃气体在线监测报警设备应定期校核和标定，保持其正常运行。气体收集未达到燃烧条件，须及时向采购人及属地生态环境主管部门报备，并留存报备记录。</w:t>
      </w:r>
      <w:r/>
    </w:p>
    <w:p>
      <w:pPr>
        <w:ind w:left="240"/>
        <w:jc w:val="both"/>
        <w:spacing w:before="120" w:after="120" w:line="360" w:lineRule="auto"/>
        <w:widowControl w:val="off"/>
        <w:rPr>
          <w:rFonts w:hint="eastAsia" w:ascii="宋体" w:hAnsi="宋体" w:eastAsia="宋体" w:cs="宋体"/>
          <w:b/>
          <w:szCs w:val="24"/>
        </w:rPr>
      </w:pPr>
      <w:r>
        <w:rPr>
          <w:rFonts w:hint="eastAsia" w:ascii="宋体" w:hAnsi="宋体" w:eastAsia="宋体" w:cs="宋体"/>
          <w:b/>
          <w:szCs w:val="24"/>
        </w:rPr>
        <w:t xml:space="preserve">安全操作</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集气导液井及附属管道维修前必须检测堆体上空 2m 以下范围内的甲烷气体浓度，浓度应小于5%；维修人员应穿戴防爆防护装备，严禁烟火；火炬燃烧系统启动、运行、关闭应严格按照产品说明书进行操作，严禁违规操作。</w:t>
      </w:r>
      <w:r/>
    </w:p>
    <w:p>
      <w:pPr>
        <w:ind w:left="240"/>
        <w:jc w:val="both"/>
        <w:spacing w:line="360" w:lineRule="auto"/>
        <w:widowControl w:val="off"/>
        <w:rPr>
          <w:rFonts w:hint="eastAsia" w:ascii="宋体" w:hAnsi="宋体" w:eastAsia="宋体" w:cs="宋体"/>
          <w:szCs w:val="24"/>
        </w:rPr>
        <w:outlineLvl w:val="2"/>
      </w:pPr>
      <w:r/>
      <w:bookmarkStart w:id="26" w:name="heading_4"/>
      <w:r>
        <w:rPr>
          <w:rFonts w:hint="eastAsia" w:ascii="宋体" w:hAnsi="宋体" w:eastAsia="宋体" w:cs="宋体"/>
          <w:b/>
          <w:szCs w:val="24"/>
        </w:rPr>
        <w:t xml:space="preserve">2.3 雨污分流导排及雨季防汛</w:t>
      </w:r>
      <w:bookmarkEnd w:id="26"/>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负责场区所有雨污分流设施的维护，雨、污水的有序引排，确保所有设施时刻发挥有效功能，严禁雨水进入库区或污水泄漏出库区，造成雨污混流；对全场导排泵进行一周一次的清理维护，对场区雨水收集沟渠进行清淤。汛期前提前疏通排查雨水收集系统，对堆体的导排系统要规范安排，定期清除现有沟渠内的垃圾、杂物，对损坏之处进行维修加固防止坍塌，保证流水畅通。观察水流阻断，不通畅的区域，重新开挖沟渠。</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 乙方编制汛期专项应急预案、汛期值班表，编制完成后报送采购人备案；汛期安排专人值班（不低于 2 人），降雨天气保证不间断检查雨水抽排系统是否正常运行；做好地下水倒排工作，防止防渗底膜漂浮。</w:t>
      </w:r>
      <w:r/>
    </w:p>
    <w:p>
      <w:pPr>
        <w:ind w:left="240"/>
        <w:jc w:val="both"/>
        <w:spacing w:line="360" w:lineRule="auto"/>
        <w:widowControl w:val="off"/>
        <w:rPr>
          <w:rFonts w:hint="eastAsia" w:ascii="宋体" w:hAnsi="宋体" w:eastAsia="宋体" w:cs="宋体"/>
          <w:b/>
          <w:szCs w:val="24"/>
        </w:rPr>
      </w:pPr>
      <w:r>
        <w:rPr>
          <w:rFonts w:hint="eastAsia" w:ascii="宋体" w:hAnsi="宋体" w:eastAsia="宋体" w:cs="宋体"/>
          <w:b/>
          <w:szCs w:val="24"/>
        </w:rPr>
        <w:t xml:space="preserve">安全操作</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排水设施维修前必须检测堆体上空 2m 以下范围内的甲烷气体浓度，浓度应小于 5%，避免维修器械产生火花引起闪爆；维修人员应穿戴防爆防护装备，严禁烟火。</w:t>
      </w:r>
      <w:r/>
    </w:p>
    <w:p>
      <w:pPr>
        <w:ind w:left="240"/>
        <w:jc w:val="both"/>
        <w:spacing w:line="360" w:lineRule="auto"/>
        <w:widowControl w:val="off"/>
        <w:rPr>
          <w:rFonts w:hint="eastAsia" w:ascii="宋体" w:hAnsi="宋体" w:eastAsia="宋体" w:cs="宋体"/>
          <w:szCs w:val="24"/>
        </w:rPr>
        <w:outlineLvl w:val="2"/>
      </w:pPr>
      <w:r/>
      <w:bookmarkStart w:id="27" w:name="heading_5"/>
      <w:r>
        <w:rPr>
          <w:rFonts w:hint="eastAsia" w:ascii="宋体" w:hAnsi="宋体" w:eastAsia="宋体" w:cs="宋体"/>
          <w:b/>
          <w:szCs w:val="24"/>
        </w:rPr>
        <w:t xml:space="preserve">2.4 堆体管理养护</w:t>
      </w:r>
      <w:bookmarkEnd w:id="27"/>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做好日常巡查，对堆体、火炬、监测井等重点设施每日开展巡检并做好巡检台账记录，如发现安全隐患或设备故障等问题，需及时维修并落实整改措施。对堆体防渗工程进行维护，要定期开展堆体稳定性排查工作，按要求做好堆体沉降监测，防渗土工膜如有破损应及时修复。</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封场后填埋堆体存在不同程度的沉降，应及时对堆体进行巡查监测，如发生较大沉降的区域应对覆盖土层进行修复，防止形成积水点造成滑塌。</w:t>
      </w:r>
      <w:r/>
    </w:p>
    <w:p>
      <w:pPr>
        <w:ind w:left="240"/>
        <w:jc w:val="both"/>
        <w:spacing w:line="360" w:lineRule="auto"/>
        <w:widowControl w:val="off"/>
        <w:rPr>
          <w:rFonts w:hint="eastAsia" w:ascii="宋体" w:hAnsi="宋体" w:eastAsia="宋体" w:cs="宋体"/>
          <w:szCs w:val="24"/>
        </w:rPr>
        <w:outlineLvl w:val="2"/>
      </w:pPr>
      <w:r/>
      <w:bookmarkStart w:id="28" w:name="heading_6"/>
      <w:r>
        <w:rPr>
          <w:rFonts w:hint="eastAsia" w:ascii="宋体" w:hAnsi="宋体" w:eastAsia="宋体" w:cs="宋体"/>
          <w:b/>
          <w:szCs w:val="24"/>
        </w:rPr>
        <w:t xml:space="preserve">2.5 绿化养护</w:t>
      </w:r>
      <w:bookmarkEnd w:id="28"/>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两个场区绿化面积约 58000 平方米，做好日常养护工作，草坪应及时修剪，保持整齐干净，及时清理杂草及有害生物，及时补种死亡植株，养护要求参照</w:t>
      </w:r>
      <w:r>
        <w:rPr>
          <w:rFonts w:hint="eastAsia" w:ascii="宋体" w:hAnsi="宋体" w:eastAsia="宋体" w:cs="宋体"/>
        </w:rPr>
        <w:t xml:space="preserve">《园林绿化养护标准》CJJ/T 287-2018</w:t>
      </w:r>
      <w:r>
        <w:rPr>
          <w:rFonts w:hint="eastAsia" w:ascii="宋体" w:hAnsi="宋体" w:eastAsia="宋体" w:cs="宋体"/>
          <w:szCs w:val="24"/>
        </w:rPr>
        <w:t xml:space="preserve">规定的相应标准。灌木修剪应预留枝条长度大于 30cm，绿篱、色块及造型整形修剪应整齐。损伤断枝、枯枝及严重病虫苗木应及时清除并更换，更换及补栽的植物材料应和原植株的种类、规格一致。定期进行植物病虫害防治，应采用生物防治方法和生物农药及高效低毒农药，严禁使用剧毒农药。及时对草坪、绿植进行科学施肥、浇水。</w:t>
      </w:r>
      <w:r/>
    </w:p>
    <w:p>
      <w:pPr>
        <w:ind w:left="240"/>
        <w:jc w:val="both"/>
        <w:spacing w:line="360" w:lineRule="auto"/>
        <w:widowControl w:val="off"/>
        <w:rPr>
          <w:rFonts w:hint="eastAsia" w:ascii="宋体" w:hAnsi="宋体" w:eastAsia="宋体" w:cs="宋体"/>
          <w:szCs w:val="24"/>
        </w:rPr>
        <w:outlineLvl w:val="2"/>
      </w:pPr>
      <w:r/>
      <w:bookmarkStart w:id="29" w:name="heading_7"/>
      <w:r>
        <w:rPr>
          <w:rFonts w:hint="eastAsia" w:ascii="宋体" w:hAnsi="宋体" w:eastAsia="宋体" w:cs="宋体"/>
          <w:b/>
          <w:szCs w:val="24"/>
        </w:rPr>
        <w:t xml:space="preserve">2.6 运营和安全制度建立</w:t>
      </w:r>
      <w:bookmarkEnd w:id="29"/>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根据《生活垃圾填埋场污染控制标准》（GB16889‑2024）、《生活垃圾卫生填埋场运行维护技术规程》（CJJ93‑2011）等规范要求，制定相应运营制度和安全制度，并严格按照制度执行。</w:t>
      </w:r>
      <w:r/>
    </w:p>
    <w:p>
      <w:pPr>
        <w:ind w:left="240"/>
        <w:jc w:val="both"/>
        <w:spacing w:line="360" w:lineRule="auto"/>
        <w:widowControl w:val="off"/>
        <w:rPr>
          <w:rFonts w:hint="eastAsia" w:ascii="宋体" w:hAnsi="宋体" w:eastAsia="宋体" w:cs="宋体"/>
          <w:szCs w:val="24"/>
        </w:rPr>
        <w:outlineLvl w:val="2"/>
      </w:pPr>
      <w:r/>
      <w:bookmarkStart w:id="30" w:name="heading_8"/>
      <w:r>
        <w:rPr>
          <w:rFonts w:hint="eastAsia" w:ascii="宋体" w:hAnsi="宋体" w:eastAsia="宋体" w:cs="宋体"/>
          <w:b/>
          <w:szCs w:val="24"/>
        </w:rPr>
        <w:t xml:space="preserve">2.7 场区其他附属设施维护</w:t>
      </w:r>
      <w:bookmarkEnd w:id="30"/>
      <w:r/>
      <w:r/>
    </w:p>
    <w:p>
      <w:pPr>
        <w:ind w:left="240"/>
        <w:jc w:val="both"/>
        <w:spacing w:line="360" w:lineRule="auto"/>
        <w:widowControl w:val="off"/>
        <w:rPr>
          <w:rFonts w:hint="eastAsia" w:ascii="宋体" w:hAnsi="宋体" w:eastAsia="宋体" w:cs="宋体"/>
          <w:szCs w:val="24"/>
        </w:rPr>
        <w:outlineLvl w:val="3"/>
      </w:pPr>
      <w:r/>
      <w:bookmarkStart w:id="31" w:name="heading_9"/>
      <w:r>
        <w:rPr>
          <w:rFonts w:hint="eastAsia" w:ascii="宋体" w:hAnsi="宋体" w:eastAsia="宋体" w:cs="宋体"/>
          <w:b/>
          <w:szCs w:val="24"/>
        </w:rPr>
        <w:t xml:space="preserve">2.7.1 运行管理</w:t>
      </w:r>
      <w:bookmarkEnd w:id="31"/>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场区其他设施包括场内道路、公厕、空地、围墙、铁艺围栏、围挡、供电、供水、照明及消防等。应建立定期巡查制度，及时发现问题并修复，对场内供电、供水、照明及消防设施建立检修台账，及时更换过期或老化设施。</w:t>
      </w:r>
      <w:r/>
    </w:p>
    <w:p>
      <w:pPr>
        <w:ind w:left="240"/>
        <w:jc w:val="both"/>
        <w:spacing w:line="360" w:lineRule="auto"/>
        <w:widowControl w:val="off"/>
        <w:rPr>
          <w:rFonts w:hint="eastAsia" w:ascii="宋体" w:hAnsi="宋体" w:eastAsia="宋体" w:cs="宋体"/>
          <w:szCs w:val="24"/>
        </w:rPr>
        <w:outlineLvl w:val="3"/>
      </w:pPr>
      <w:r/>
      <w:bookmarkStart w:id="32" w:name="heading_10"/>
      <w:r>
        <w:rPr>
          <w:rFonts w:hint="eastAsia" w:ascii="宋体" w:hAnsi="宋体" w:eastAsia="宋体" w:cs="宋体"/>
          <w:b/>
          <w:szCs w:val="24"/>
        </w:rPr>
        <w:t xml:space="preserve">2.7.2 维护保养</w:t>
      </w:r>
      <w:bookmarkEnd w:id="32"/>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对封场库区和一号库区场围栏周围每周巡检不少于两次，发现基础沉降、围界破损应及时修复，防止外来人员非法闯入，避免造成设施损坏及安全事故。</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场区公厕、道路、护坡、绿化带应做到每日清扫保洁，捡拾漂浮垃圾及杂物，对于道路、路基、护坡发生沉降、裂缝或塌陷的区域及时进行修复，保持道路畅通和整洁。</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填埋库区、火炬燃烧系统及管理区应配置足量的消防沙袋及灭火器等消防设施，并对破损的消防沙袋及时更换，过期的灭火器应及时替换。</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调节池和应急库区覆盖膜定期巡检，发现破损、渗漏及时修补更换。及时抽排膜上积水，漂浮物、垃圾清理等。</w:t>
      </w:r>
      <w:r/>
    </w:p>
    <w:p>
      <w:pPr>
        <w:ind w:left="240"/>
        <w:jc w:val="both"/>
        <w:spacing w:line="360" w:lineRule="auto"/>
        <w:widowControl w:val="off"/>
        <w:rPr>
          <w:rFonts w:hint="eastAsia" w:ascii="宋体" w:hAnsi="宋体" w:eastAsia="宋体" w:cs="宋体"/>
          <w:szCs w:val="24"/>
        </w:rPr>
        <w:outlineLvl w:val="3"/>
      </w:pPr>
      <w:r/>
      <w:bookmarkStart w:id="33" w:name="heading_11"/>
      <w:r>
        <w:rPr>
          <w:rFonts w:hint="eastAsia" w:ascii="宋体" w:hAnsi="宋体" w:eastAsia="宋体" w:cs="宋体"/>
          <w:b/>
          <w:szCs w:val="24"/>
        </w:rPr>
        <w:t xml:space="preserve">2.7.3 安全操作</w:t>
      </w:r>
      <w:bookmarkEnd w:id="33"/>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场区供电线缆、用电设施维修时应穿戴防触电装备，先关闭电源再进行维修作业，供水管线维修应关闭阀门，维修操作过程中防止水污染。</w:t>
      </w:r>
      <w:r/>
    </w:p>
    <w:p>
      <w:pPr>
        <w:ind w:left="240"/>
        <w:jc w:val="both"/>
        <w:spacing w:line="360" w:lineRule="auto"/>
        <w:widowControl w:val="off"/>
        <w:rPr>
          <w:rFonts w:hint="eastAsia" w:ascii="宋体" w:hAnsi="宋体" w:eastAsia="宋体" w:cs="宋体"/>
          <w:szCs w:val="24"/>
        </w:rPr>
        <w:outlineLvl w:val="2"/>
      </w:pPr>
      <w:r/>
      <w:bookmarkStart w:id="34" w:name="heading_12"/>
      <w:r>
        <w:rPr>
          <w:rFonts w:hint="eastAsia" w:ascii="宋体" w:hAnsi="宋体" w:eastAsia="宋体" w:cs="宋体"/>
          <w:b/>
          <w:szCs w:val="24"/>
        </w:rPr>
        <w:t xml:space="preserve">2.8 环境自行检测</w:t>
      </w:r>
      <w:bookmarkEnd w:id="34"/>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填埋场现场自行检测是以强化日常管理和污染控制为目的。本项目运维单位仅负责现场简易观测类监测工作，实验室分析类检测（需出具CMA正式报告的项目）不属于本运维服务范围，由采购人另行单独委托具备CMA资质的第三方检测机构开展实施。</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1. 乙方（运维单位）现场自行检测工作内容：气象条件、填埋气体现场甲烷浓度检测、降水记录、堆体沉降观测、垃圾堆体内渗沥液水位监测、边坡稳定性巡查评估、苍蝇密度调查统计等。</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 乙方须配备合格的现场检测仪器设备，按规范频次开展现场观测，做好原始记录，建立完整监测台账，台账资料保存不少于5年；各监测点做好维护，保障监测点位完好可用，各检测点及易燃易爆物、化学品、药品等储存点应设置醒目安全标识。</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3. 乙方配合第三方检测义务：采购人另行委托的CMA第三方机构进场采样检测时，乙方须无条件予以配合：负责打开监测井、落实现场安全防护、提供现场工况资料、协助采样，提供作业便利，不得设置障碍；对监测井、采样点位进行日常管护，保证采样点位可正常使用。梳理、保存检测报告，及时向甲方汇报检测结果。</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4. 排污许可证、相关规范要求需要实验室化验、出具CMA检测报告的指标（渗滤液水质、地下水水质、场界废气、臭气等），由采购人另行采购第三方检测服务，相关费用不含在本项目合同总价内。</w:t>
      </w:r>
      <w:r/>
    </w:p>
    <w:p>
      <w:pPr>
        <w:ind w:left="240"/>
        <w:jc w:val="both"/>
        <w:spacing w:line="360" w:lineRule="auto"/>
        <w:widowControl w:val="off"/>
        <w:rPr>
          <w:rFonts w:hint="eastAsia" w:ascii="宋体" w:hAnsi="宋体" w:eastAsia="宋体" w:cs="宋体"/>
          <w:szCs w:val="24"/>
        </w:rPr>
        <w:outlineLvl w:val="2"/>
      </w:pPr>
      <w:r/>
      <w:bookmarkStart w:id="35" w:name="heading_13"/>
      <w:r>
        <w:rPr>
          <w:rFonts w:hint="eastAsia" w:ascii="宋体" w:hAnsi="宋体" w:eastAsia="宋体" w:cs="宋体"/>
          <w:b/>
          <w:szCs w:val="24"/>
        </w:rPr>
        <w:t xml:space="preserve">2.9 人员要求</w:t>
      </w:r>
      <w:bookmarkEnd w:id="35"/>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r>
      <w:r>
        <w:rPr>
          <w:rFonts w:hint="eastAsia" w:ascii="宋体" w:hAnsi="宋体" w:eastAsia="宋体" w:cs="宋体"/>
          <w:szCs w:val="24"/>
        </w:rPr>
        <w:t xml:space="preserve">本项目要求全年值班，驻厂运营负责人 1 名（专科及以上学历，3 年及以上相关运营管理资历）；技术员（兼职资料员）1 名（具有环境、环保、安全等专业相关职称证书）；电工 1 人（需持证上岗）；维护和清扫保洁人员 6 名；门岗安保人员 1 名等。投标人须对岗位人员配置要求进行逐条响应，承诺履约期足额配置上述人员，关键岗位人员资质满足采购需求要求；需提供承诺书，未提供完整响应承诺的，投标无效。</w:t>
      </w:r>
      <w:r>
        <w:rPr>
          <w:rFonts w:hint="eastAsia" w:ascii="宋体" w:hAnsi="宋体" w:eastAsia="宋体" w:cs="宋体"/>
          <w:szCs w:val="24"/>
        </w:rPr>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 所有驻场作业人员（含驻厂运营负责人、技术员、电工、维护及保洁人员、门岗安保人员）须在正式上岗前向采购人提供有效的健康体检报告，未提供或体检不合格者不得上岗。</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投标阶段须提供技术员职称证书复印件；合同履约期内关键岗位人员不得擅自更换；确需更换人员，替代人员资质条件不得低于原岗位。采购人有权对关键岗位人员进行在岗核查。</w:t>
      </w:r>
      <w:r/>
    </w:p>
    <w:p>
      <w:pPr>
        <w:ind w:left="240"/>
        <w:jc w:val="both"/>
        <w:spacing w:line="360" w:lineRule="auto"/>
        <w:widowControl w:val="off"/>
        <w:rPr>
          <w:rFonts w:hint="eastAsia" w:ascii="宋体" w:hAnsi="宋体" w:eastAsia="宋体" w:cs="宋体"/>
          <w:szCs w:val="24"/>
        </w:rPr>
        <w:outlineLvl w:val="2"/>
      </w:pPr>
      <w:r/>
      <w:bookmarkStart w:id="36" w:name="heading_14"/>
      <w:r>
        <w:rPr>
          <w:rFonts w:hint="eastAsia" w:ascii="宋体" w:hAnsi="宋体" w:eastAsia="宋体" w:cs="宋体"/>
          <w:b/>
          <w:szCs w:val="24"/>
        </w:rPr>
        <w:t xml:space="preserve">2.10 主要设施设备配备</w:t>
      </w:r>
      <w:bookmarkEnd w:id="36"/>
      <w:r/>
      <w:r/>
    </w:p>
    <w:p>
      <w:pPr>
        <w:ind w:left="240" w:firstLine="480"/>
        <w:jc w:val="both"/>
        <w:spacing w:line="360" w:lineRule="auto"/>
        <w:widowControl w:val="off"/>
        <w:rPr>
          <w:rFonts w:hint="eastAsia" w:ascii="宋体" w:hAnsi="宋体" w:eastAsia="宋体" w:cs="宋体"/>
          <w:color w:val="auto"/>
          <w:szCs w:val="24"/>
          <w:lang w:eastAsia="zh-CN"/>
        </w:rPr>
      </w:pPr>
      <w:r>
        <w:rPr>
          <w:rFonts w:hint="eastAsia" w:ascii="宋体" w:hAnsi="宋体" w:eastAsia="宋体" w:cs="宋体"/>
          <w:szCs w:val="24"/>
        </w:rPr>
        <w:t xml:space="preserve">配置充足的雨水抽排泵，确保能满足丰雨期连续暴雨时雨水抽排工作，配备厂区照明和移动照明设备。配备应急和移动电源。配备足够的日常保洁工具和绿化修剪工具。</w:t>
      </w:r>
      <w:bookmarkStart w:id="37" w:name="OLE_LINK2"/>
      <w:r>
        <w:rPr>
          <w:rFonts w:hint="eastAsia" w:ascii="宋体" w:hAnsi="宋体" w:eastAsia="宋体" w:cs="宋体"/>
          <w:color w:val="auto"/>
          <w:szCs w:val="24"/>
          <w:lang w:val="en-US" w:eastAsia="zh-CN"/>
        </w:rPr>
        <w:t xml:space="preserve">正常</w:t>
      </w:r>
      <w:r>
        <w:rPr>
          <w:rFonts w:hint="eastAsia" w:ascii="宋体" w:hAnsi="宋体" w:eastAsia="宋体" w:cs="宋体"/>
          <w:color w:val="auto"/>
          <w:szCs w:val="24"/>
        </w:rPr>
        <w:t xml:space="preserve">配备不低于6台</w:t>
      </w:r>
      <w:r>
        <w:rPr>
          <w:rFonts w:hint="eastAsia" w:ascii="宋体" w:hAnsi="宋体" w:eastAsia="宋体" w:cs="宋体"/>
          <w:color w:val="auto"/>
          <w:szCs w:val="24"/>
          <w:lang w:val="en-US" w:eastAsia="zh-CN"/>
        </w:rPr>
        <w:t xml:space="preserve">高效</w:t>
      </w:r>
      <w:r>
        <w:rPr>
          <w:rFonts w:hint="eastAsia" w:ascii="宋体" w:hAnsi="宋体" w:eastAsia="宋体" w:cs="宋体"/>
          <w:color w:val="auto"/>
          <w:szCs w:val="24"/>
        </w:rPr>
        <w:t xml:space="preserve">的打草机，堆体打草每月不低于</w:t>
      </w:r>
      <w:r>
        <w:rPr>
          <w:rFonts w:hint="eastAsia" w:ascii="宋体" w:hAnsi="宋体" w:eastAsia="宋体" w:cs="宋体"/>
          <w:color w:val="auto"/>
          <w:szCs w:val="24"/>
          <w:lang w:val="en-US" w:eastAsia="zh-CN"/>
        </w:rPr>
        <w:t xml:space="preserve">1</w:t>
      </w:r>
      <w:r>
        <w:rPr>
          <w:rFonts w:hint="eastAsia" w:ascii="宋体" w:hAnsi="宋体" w:eastAsia="宋体" w:cs="宋体"/>
          <w:color w:val="auto"/>
          <w:szCs w:val="24"/>
        </w:rPr>
        <w:t xml:space="preserve">次，可视情况增加次数。每年根据季节和绿化情况进行施肥养护</w:t>
      </w:r>
      <w:r>
        <w:rPr>
          <w:rFonts w:hint="eastAsia" w:ascii="宋体" w:hAnsi="宋体" w:eastAsia="宋体" w:cs="宋体"/>
          <w:color w:val="auto"/>
          <w:szCs w:val="24"/>
          <w:lang w:val="en-US" w:eastAsia="zh-CN"/>
        </w:rPr>
        <w:t xml:space="preserve">或补缺以及</w:t>
      </w:r>
      <w:r>
        <w:rPr>
          <w:rFonts w:hint="eastAsia" w:ascii="宋体" w:hAnsi="宋体" w:eastAsia="宋体" w:cs="宋体"/>
          <w:color w:val="auto"/>
          <w:szCs w:val="24"/>
        </w:rPr>
        <w:t xml:space="preserve">打药除虫，每年不低于4次，可</w:t>
      </w:r>
      <w:r>
        <w:rPr>
          <w:rFonts w:hint="eastAsia" w:ascii="宋体" w:hAnsi="宋体" w:eastAsia="宋体" w:cs="宋体"/>
          <w:color w:val="auto"/>
          <w:szCs w:val="24"/>
          <w:lang w:val="en-US" w:eastAsia="zh-CN"/>
        </w:rPr>
        <w:t xml:space="preserve">视</w:t>
      </w:r>
      <w:r>
        <w:rPr>
          <w:rFonts w:hint="eastAsia" w:ascii="宋体" w:hAnsi="宋体" w:eastAsia="宋体" w:cs="宋体"/>
          <w:color w:val="auto"/>
          <w:szCs w:val="24"/>
        </w:rPr>
        <w:t xml:space="preserve">情况增加次数和时间调整。配备电动三轮作业车</w:t>
      </w: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辆，堆体沉降观测仪器（北斗测量仪）1台。手持气体检测仪器1台。</w:t>
      </w:r>
      <w:r>
        <w:rPr>
          <w:rFonts w:hint="eastAsia" w:ascii="宋体" w:hAnsi="宋体" w:eastAsia="宋体" w:cs="宋体"/>
          <w:color w:val="auto"/>
          <w:szCs w:val="24"/>
          <w:lang w:val="en-US" w:eastAsia="zh-CN"/>
        </w:rPr>
        <w:t xml:space="preserve">配备地下水提升泵3套，</w:t>
      </w:r>
      <w:r>
        <w:rPr>
          <w:rFonts w:hint="eastAsia" w:ascii="宋体" w:hAnsi="宋体" w:eastAsia="宋体" w:cs="宋体"/>
          <w:color w:val="auto"/>
          <w:szCs w:val="24"/>
        </w:rPr>
        <w:t xml:space="preserve">8台雨水抽排泵和配套水管、电线，和</w:t>
      </w: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台便携式抽水泵。</w:t>
      </w: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台便携式消杀工具。按要求配备各类应急物资</w:t>
      </w:r>
      <w:r>
        <w:rPr>
          <w:rFonts w:hint="eastAsia" w:ascii="宋体" w:hAnsi="宋体" w:eastAsia="宋体" w:cs="宋体"/>
          <w:color w:val="auto"/>
          <w:szCs w:val="24"/>
          <w:lang w:eastAsia="zh-CN"/>
        </w:rPr>
        <w:t xml:space="preserve">和其他运维所需工具。</w:t>
      </w:r>
      <w:bookmarkEnd w:id="37"/>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  乙方负责采购、安装场区监控设备，保障两个场区全覆盖；监控设备产权归属采购人，服务期内乙方负责维护维修，合同期满完好移交甲方。</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根据《安全标志及其使用导则》（GB2894‑2008）等规范要求，制作安装标识牌；根据《消防设施通用规范》（GB 55036‑2022）等消防规范要求，配备消防设备设施。并保证仓库有足够备用品。</w:t>
      </w:r>
      <w:r>
        <w:rPr>
          <w:rFonts w:hint="eastAsia" w:ascii="宋体" w:hAnsi="宋体" w:eastAsia="宋体" w:cs="宋体"/>
          <w:color w:val="auto"/>
          <w:szCs w:val="24"/>
          <w:lang w:eastAsia="zh-CN"/>
        </w:rPr>
        <w:t xml:space="preserve">乙方需配备手推车型灭火器</w:t>
      </w:r>
      <w:r>
        <w:rPr>
          <w:rFonts w:hint="eastAsia" w:ascii="宋体" w:hAnsi="宋体" w:eastAsia="宋体" w:cs="宋体"/>
          <w:color w:val="auto"/>
          <w:szCs w:val="24"/>
          <w:lang w:val="en-US" w:eastAsia="zh-CN"/>
        </w:rPr>
        <w:t xml:space="preserve">6台，手提式灭火器24个，消防沙袋若干个，合理规范配备消防沙池。</w:t>
      </w:r>
      <w:r>
        <w:rPr>
          <w:rFonts w:hint="eastAsia" w:ascii="宋体" w:hAnsi="宋体" w:eastAsia="宋体" w:cs="宋体"/>
          <w:color w:val="auto"/>
          <w:szCs w:val="24"/>
        </w:rPr>
        <w:t xml:space="preserve">按照相关要求配备各项应急物资。</w:t>
      </w:r>
      <w:r/>
    </w:p>
    <w:p>
      <w:pPr>
        <w:ind w:left="240"/>
        <w:jc w:val="both"/>
        <w:spacing w:line="360" w:lineRule="auto"/>
        <w:widowControl w:val="off"/>
        <w:rPr>
          <w:rFonts w:hint="eastAsia" w:ascii="宋体" w:hAnsi="宋体" w:eastAsia="宋体" w:cs="宋体"/>
          <w:color w:val="auto"/>
          <w:szCs w:val="24"/>
        </w:rPr>
        <w:outlineLvl w:val="2"/>
      </w:pPr>
      <w:r/>
      <w:bookmarkStart w:id="38" w:name="heading_15"/>
      <w:r>
        <w:rPr>
          <w:rFonts w:hint="eastAsia" w:ascii="宋体" w:hAnsi="宋体" w:eastAsia="宋体" w:cs="宋体"/>
          <w:b/>
          <w:color w:val="auto"/>
          <w:szCs w:val="24"/>
        </w:rPr>
        <w:t xml:space="preserve">2.11 填埋场现有设备清单</w:t>
      </w:r>
      <w:bookmarkEnd w:id="38"/>
      <w:r/>
      <w:r/>
    </w:p>
    <w:p>
      <w:pPr>
        <w:ind w:left="240"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color w:val="auto"/>
          <w:szCs w:val="24"/>
          <w:highlight w:val="none"/>
        </w:rPr>
        <w:t xml:space="preserve">250 千瓦箱变 1 套、污水提升泵 9 台、地下水提升泵 3台、清水泵18台（1</w:t>
      </w:r>
      <w:r>
        <w:rPr>
          <w:rFonts w:hint="eastAsia" w:ascii="宋体" w:hAnsi="宋体" w:eastAsia="宋体" w:cs="宋体"/>
          <w:szCs w:val="24"/>
          <w:highlight w:val="none"/>
        </w:rPr>
        <w:t xml:space="preserve">1台损坏），预制定做板房5间。</w:t>
      </w:r>
      <w:r/>
    </w:p>
    <w:p>
      <w:pPr>
        <w:ind w:left="240" w:firstLine="480"/>
        <w:jc w:val="both"/>
        <w:spacing w:line="360" w:lineRule="auto"/>
        <w:widowControl w:val="off"/>
        <w:rPr>
          <w:rFonts w:hint="eastAsia" w:ascii="宋体" w:hAnsi="宋体" w:eastAsia="宋体" w:cs="宋体"/>
          <w:szCs w:val="24"/>
          <w:highlight w:val="none"/>
        </w:rPr>
      </w:pPr>
      <w:r>
        <w:rPr>
          <w:rFonts w:hint="eastAsia" w:ascii="宋体" w:hAnsi="宋体" w:cs="宋体"/>
          <w:szCs w:val="24"/>
          <w:highlight w:val="none"/>
          <w:lang w:val="en-US" w:eastAsia="zh-CN"/>
        </w:rPr>
        <w:t xml:space="preserve">甲方</w:t>
      </w:r>
      <w:r>
        <w:rPr>
          <w:rFonts w:hint="eastAsia" w:ascii="宋体" w:hAnsi="宋体" w:eastAsia="宋体" w:cs="宋体"/>
          <w:szCs w:val="24"/>
          <w:highlight w:val="none"/>
        </w:rPr>
        <w:t xml:space="preserve">提供预制定做板房5间（位于场区内，用途限办公、值班、物资存放），供</w:t>
      </w:r>
      <w:r>
        <w:rPr>
          <w:rFonts w:hint="eastAsia" w:ascii="宋体" w:hAnsi="宋体" w:cs="宋体"/>
          <w:szCs w:val="24"/>
          <w:highlight w:val="none"/>
          <w:lang w:val="en-US" w:eastAsia="zh-CN"/>
        </w:rPr>
        <w:t xml:space="preserve">乙方</w:t>
      </w:r>
      <w:r>
        <w:rPr>
          <w:rFonts w:hint="eastAsia" w:ascii="宋体" w:hAnsi="宋体" w:eastAsia="宋体" w:cs="宋体"/>
          <w:szCs w:val="24"/>
          <w:highlight w:val="none"/>
        </w:rPr>
        <w:t xml:space="preserve">本项目服务期内无偿使用；板房使用成本已计入本项目采购预算及服务费报价，</w:t>
      </w:r>
      <w:r>
        <w:rPr>
          <w:rFonts w:hint="eastAsia" w:ascii="宋体" w:hAnsi="宋体" w:cs="宋体"/>
          <w:szCs w:val="24"/>
          <w:highlight w:val="none"/>
          <w:lang w:val="en-US" w:eastAsia="zh-CN"/>
        </w:rPr>
        <w:t xml:space="preserve">甲方</w:t>
      </w:r>
      <w:r>
        <w:rPr>
          <w:rFonts w:hint="eastAsia" w:ascii="宋体" w:hAnsi="宋体" w:eastAsia="宋体" w:cs="宋体"/>
          <w:szCs w:val="24"/>
          <w:highlight w:val="none"/>
        </w:rPr>
        <w:t xml:space="preserve">不另行收取使用费用。</w:t>
      </w:r>
      <w:r>
        <w:rPr>
          <w:rFonts w:hint="eastAsia" w:ascii="宋体" w:hAnsi="宋体" w:cs="宋体"/>
          <w:szCs w:val="24"/>
          <w:highlight w:val="none"/>
          <w:lang w:val="en-US" w:eastAsia="zh-CN"/>
        </w:rPr>
        <w:t xml:space="preserve">乙方</w:t>
      </w:r>
      <w:r>
        <w:rPr>
          <w:rFonts w:hint="eastAsia" w:ascii="宋体" w:hAnsi="宋体" w:eastAsia="宋体" w:cs="宋体"/>
          <w:szCs w:val="24"/>
          <w:highlight w:val="none"/>
        </w:rPr>
        <w:t xml:space="preserve">使用期间应遵守：①仅限本项目服务使用，不得转租、出借、改变用途或用于经营性活动；②水、电、网络、通讯、燃气、日常维修、保洁、安全防护等费用由</w:t>
      </w:r>
      <w:r>
        <w:rPr>
          <w:rFonts w:hint="eastAsia" w:ascii="宋体" w:hAnsi="宋体" w:cs="宋体"/>
          <w:szCs w:val="24"/>
          <w:highlight w:val="none"/>
          <w:lang w:val="en-US" w:eastAsia="zh-CN"/>
        </w:rPr>
        <w:t xml:space="preserve">乙方</w:t>
      </w:r>
      <w:r>
        <w:rPr>
          <w:rFonts w:hint="eastAsia" w:ascii="宋体" w:hAnsi="宋体" w:eastAsia="宋体" w:cs="宋体"/>
          <w:szCs w:val="24"/>
          <w:highlight w:val="none"/>
        </w:rPr>
        <w:t xml:space="preserve">自行承担；③合同期满或解除后10日内腾退，并保持房屋完好（正常使用磨损除外）。</w:t>
      </w:r>
      <w:r/>
    </w:p>
    <w:p>
      <w:pPr>
        <w:ind w:left="240"/>
        <w:jc w:val="both"/>
        <w:spacing w:line="360" w:lineRule="auto"/>
        <w:widowControl w:val="off"/>
        <w:rPr>
          <w:rFonts w:hint="eastAsia" w:ascii="宋体" w:hAnsi="宋体" w:eastAsia="宋体" w:cs="宋体"/>
          <w:szCs w:val="24"/>
        </w:rPr>
        <w:outlineLvl w:val="2"/>
      </w:pPr>
      <w:r/>
      <w:bookmarkStart w:id="39" w:name="heading_16"/>
      <w:r>
        <w:rPr>
          <w:rFonts w:hint="eastAsia" w:ascii="宋体" w:hAnsi="宋体" w:eastAsia="宋体" w:cs="宋体"/>
          <w:b/>
          <w:szCs w:val="24"/>
        </w:rPr>
        <w:t xml:space="preserve">2.12、项目运营管理要求</w:t>
      </w:r>
      <w:bookmarkEnd w:id="39"/>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派遣有能力、有经验的管理团队负责填埋场运营管理，岗位编制和组织构架满足运行管理需要。</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负责填埋场运营和建立健全各项安全制度，编制填埋场应急预案，报送采购人备案，定期开展安全演练，提高操作人员处理突发情况能力。</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负责操作人员的培训管理，操作人员应具备一定专业知识和实践操作技能（特殊工种需有技能作业证），负责运行人员的各种保险及福利，符合国家有关法律。</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负责填埋场安全管理，危险化学品管理，危废的外委处置。需符合相关危化品管理规定。检修记录、实验检测，运营报表等相关台账资料保存</w:t>
      </w:r>
      <w:r>
        <w:rPr>
          <w:rFonts w:hint="eastAsia" w:ascii="宋体" w:hAnsi="宋体" w:eastAsia="宋体" w:cs="宋体"/>
          <w:b/>
          <w:color w:val="auto"/>
          <w:szCs w:val="24"/>
        </w:rPr>
        <w:t xml:space="preserve">不少于5年</w:t>
      </w:r>
      <w:r>
        <w:rPr>
          <w:rFonts w:hint="eastAsia" w:ascii="宋体" w:hAnsi="宋体" w:eastAsia="宋体" w:cs="宋体"/>
          <w:color w:val="auto"/>
          <w:szCs w:val="24"/>
        </w:rPr>
        <w:t xml:space="preserve">。</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负责填埋场道路清洁，场区内的绿化种植及养护；负责填埋场的水电费缴纳（包含驻场监管人员水电费）及变压器等设备的维护保养工作。</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定期及时开展清扫保洁、除草、灭蝇，确保环境整洁，办公区域需每天进行保洁，配合例行监督检查。</w:t>
      </w:r>
      <w:r/>
    </w:p>
    <w:p>
      <w:pPr>
        <w:ind w:left="240" w:firstLine="480"/>
        <w:jc w:val="both"/>
        <w:spacing w:line="360" w:lineRule="auto"/>
        <w:widowControl w:val="off"/>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运行期间发生人员安全事故，由</w:t>
      </w:r>
      <w:r>
        <w:rPr>
          <w:rFonts w:hint="eastAsia" w:ascii="宋体" w:hAnsi="宋体" w:cs="宋体"/>
          <w:color w:val="auto"/>
          <w:szCs w:val="24"/>
          <w:lang w:val="en-US" w:eastAsia="zh-CN"/>
        </w:rPr>
        <w:t xml:space="preserve">乙方</w:t>
      </w:r>
      <w:r>
        <w:rPr>
          <w:rFonts w:hint="eastAsia" w:ascii="宋体" w:hAnsi="宋体" w:eastAsia="宋体" w:cs="宋体"/>
          <w:color w:val="auto"/>
          <w:szCs w:val="24"/>
          <w:lang w:eastAsia="zh-CN"/>
        </w:rPr>
        <w:t xml:space="preserve">承担全部责任，</w:t>
      </w:r>
      <w:r>
        <w:rPr>
          <w:rFonts w:hint="eastAsia" w:ascii="宋体" w:hAnsi="宋体" w:cs="宋体"/>
          <w:color w:val="auto"/>
          <w:szCs w:val="24"/>
          <w:lang w:val="en-US" w:eastAsia="zh-CN"/>
        </w:rPr>
        <w:t xml:space="preserve">甲方</w:t>
      </w:r>
      <w:r>
        <w:rPr>
          <w:rFonts w:hint="eastAsia" w:ascii="宋体" w:hAnsi="宋体" w:eastAsia="宋体" w:cs="宋体"/>
          <w:color w:val="auto"/>
          <w:szCs w:val="24"/>
          <w:lang w:eastAsia="zh-CN"/>
        </w:rPr>
        <w:t xml:space="preserve">不承担任何责任。</w:t>
      </w:r>
      <w:r/>
    </w:p>
    <w:p>
      <w:pPr>
        <w:ind w:left="240"/>
        <w:jc w:val="both"/>
        <w:spacing w:line="360" w:lineRule="auto"/>
        <w:widowControl w:val="off"/>
        <w:rPr>
          <w:rFonts w:hint="eastAsia" w:ascii="宋体" w:hAnsi="宋体" w:eastAsia="宋体" w:cs="宋体"/>
          <w:color w:val="auto"/>
          <w:szCs w:val="24"/>
        </w:rPr>
        <w:outlineLvl w:val="2"/>
      </w:pPr>
      <w:r/>
      <w:bookmarkStart w:id="40" w:name="heading_17"/>
      <w:r>
        <w:rPr>
          <w:rFonts w:hint="eastAsia" w:ascii="宋体" w:hAnsi="宋体" w:eastAsia="宋体" w:cs="宋体"/>
          <w:b/>
          <w:color w:val="auto"/>
          <w:szCs w:val="24"/>
        </w:rPr>
        <w:t xml:space="preserve">2.13、安保要求</w:t>
      </w:r>
      <w:bookmarkEnd w:id="40"/>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b/>
          <w:bCs/>
          <w:color w:val="auto"/>
          <w:szCs w:val="24"/>
        </w:rPr>
        <w:t xml:space="preserve">2.13.1</w:t>
      </w:r>
      <w:r>
        <w:rPr>
          <w:rFonts w:hint="eastAsia" w:ascii="宋体" w:hAnsi="宋体" w:eastAsia="宋体" w:cs="宋体"/>
          <w:color w:val="auto"/>
          <w:szCs w:val="24"/>
        </w:rPr>
        <w:t xml:space="preserve"> 按照标准要求配备安全消防设施，落实</w:t>
      </w:r>
      <w:r>
        <w:rPr>
          <w:rFonts w:hint="eastAsia" w:ascii="宋体" w:hAnsi="宋体" w:eastAsia="宋体" w:cs="宋体"/>
          <w:szCs w:val="24"/>
        </w:rPr>
        <w:t xml:space="preserve">专人加强日常巡查，及时消除安全隐患，场区围栏出现破损及时修复；</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b/>
          <w:bCs/>
          <w:szCs w:val="24"/>
        </w:rPr>
        <w:t xml:space="preserve">2.13.2</w:t>
      </w:r>
      <w:r>
        <w:rPr>
          <w:rFonts w:hint="eastAsia" w:ascii="宋体" w:hAnsi="宋体" w:eastAsia="宋体" w:cs="宋体"/>
          <w:szCs w:val="24"/>
        </w:rPr>
        <w:t xml:space="preserve"> 建立《安保服务管理制度》《安保人员管理制度》《安保岗位责任制度》等，保障全年 365 天 24 小时值班和定时巡逻，做好详细的交接班记录、值班巡逻记录。白天大门开启，出入场区人员有台账记录。晚上大门关闭，值班人员能及时联系。严禁无关人员入内，防止闲杂人员进入场内偷窃。夜间对场内所有地方巡查，防止明火、漏电等安全事故发生，并做好记录。</w:t>
      </w:r>
      <w:r/>
    </w:p>
    <w:p>
      <w:pPr>
        <w:ind w:left="240"/>
        <w:jc w:val="both"/>
        <w:spacing w:line="360" w:lineRule="auto"/>
        <w:widowControl w:val="off"/>
        <w:rPr>
          <w:rFonts w:hint="eastAsia" w:ascii="宋体" w:hAnsi="宋体" w:eastAsia="宋体" w:cs="宋体"/>
          <w:szCs w:val="24"/>
        </w:rPr>
        <w:outlineLvl w:val="2"/>
      </w:pPr>
      <w:r/>
      <w:bookmarkStart w:id="41" w:name="heading_18"/>
      <w:r>
        <w:rPr>
          <w:rFonts w:hint="eastAsia" w:ascii="宋体" w:hAnsi="宋体" w:eastAsia="宋体" w:cs="宋体"/>
          <w:b/>
          <w:szCs w:val="24"/>
        </w:rPr>
        <w:t xml:space="preserve">2.14、办公及后勤保障</w:t>
      </w:r>
      <w:bookmarkEnd w:id="41"/>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运行期内，</w:t>
      </w:r>
      <w:r>
        <w:rPr>
          <w:rFonts w:hint="eastAsia" w:ascii="宋体" w:hAnsi="宋体" w:cs="宋体"/>
          <w:szCs w:val="24"/>
          <w:lang w:val="en-US" w:eastAsia="zh-CN"/>
        </w:rPr>
        <w:t xml:space="preserve">乙方</w:t>
      </w:r>
      <w:r>
        <w:rPr>
          <w:rFonts w:hint="eastAsia" w:ascii="宋体" w:hAnsi="宋体" w:eastAsia="宋体" w:cs="宋体"/>
          <w:szCs w:val="24"/>
        </w:rPr>
        <w:t xml:space="preserve">负责项目运行所需的电脑、空调、打印机等办公用品保障；负责项目内管理人员和作业人员的食宿、劳保等后勤保障。</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遇重大迎检活动时，需积极配合采购方做好迎检工作，做到参观厂区路线有标识引导，进入厂区有标牌、内容讲解详细、技术资料齐全，树立填埋场良好的公众形象。因乙方运营不当引发周边群众投诉、纠纷，由乙方牵头处置，承担由此产生全部直接费用及责任；因第三方、不可抗力造成的矛盾除外。</w:t>
      </w:r>
      <w:bookmarkEnd w:id="22"/>
      <w:r/>
      <w:r/>
    </w:p>
    <w:p>
      <w:pPr>
        <w:ind w:left="240"/>
        <w:spacing w:before="300" w:after="120" w:line="360" w:lineRule="auto"/>
        <w:widowControl w:val="off"/>
        <w:rPr>
          <w:rFonts w:hint="eastAsia" w:ascii="宋体" w:hAnsi="宋体" w:eastAsia="宋体" w:cs="宋体"/>
          <w:szCs w:val="24"/>
        </w:rPr>
        <w:outlineLvl w:val="2"/>
      </w:pPr>
      <w:r/>
      <w:bookmarkStart w:id="42" w:name="heading_19"/>
      <w:r>
        <w:rPr>
          <w:rFonts w:hint="eastAsia" w:ascii="宋体" w:hAnsi="宋体" w:eastAsia="宋体" w:cs="宋体"/>
          <w:b/>
          <w:szCs w:val="24"/>
        </w:rPr>
        <w:t xml:space="preserve">2.15 附件：填埋场日常运营项目考核表</w:t>
      </w:r>
      <w:bookmarkEnd w:id="42"/>
      <w:r/>
      <w:r/>
    </w:p>
    <w:tbl>
      <w:tblPr>
        <w:tblStyle w:val="821"/>
        <w:tblW w:w="9840" w:type="dxa"/>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097"/>
        <w:gridCol w:w="967"/>
        <w:gridCol w:w="3542"/>
        <w:gridCol w:w="3148"/>
        <w:gridCol w:w="1086"/>
      </w:tblGrid>
      <w:tr>
        <w:trPr>
          <w:trHeight w:val="32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考评项目</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考评内容</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扣分标准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考核分值</w:t>
            </w:r>
            <w:r/>
          </w:p>
        </w:tc>
      </w:tr>
      <w:tr>
        <w:trPr>
          <w:trHeight w:val="3478"/>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20" w:type="dxa"/>
              <w:top w:w="60" w:type="dxa"/>
              <w:right w:w="120" w:type="dxa"/>
              <w:bottom w:w="30" w:type="dxa"/>
            </w:tcMar>
            <w:tcW w:w="967" w:type="dxa"/>
            <w:vAlign w:val="top"/>
            <w:textDirection w:val="lrTb"/>
            <w:noWrap w:val="false"/>
          </w:tcPr>
          <w:p>
            <w:pPr>
              <w:jc w:val="cente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渗沥液管理（20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1、每日及时抽送渗滤液；</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2、定期检查渗滤液输送管道，无破损、堵塞、跑冒滴漏，无臭味外溢；</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3、渗滤液运输台账齐全，数据统计准确无误；</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4、场内流量计、记录仪等过程监管设备运行正常，传输数据正确、有效；</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5、保证设施平稳运营，发生设施故障或事故时，按相关规定及时上报；</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6、场区内照明、事故照明、警示牌、指示灯完善无损坏。</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1、渗滤液无故未抽送的，发现一次扣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2、管道损坏、堵塞未及时维修处置影响渗滤液转运的，发现一次扣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3、未建立渗滤液转运台账的，扣 5 分；数据记录失实的，每发现一次扣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4、如监管设备出现故障，运营方应及时向监管方报备，如未向监管方报备的每次扣 1 分，24 小时内未修复的扣 2 分；计量设备需进行年度校准，未进行年度校准，发现一次扣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5、处置设施在运行过程中且在工作时段内发生一般故障或事故应在 30 分钟以内上报，未按时上报扣 1 分；发生影响生产等重大故障或事故时，应立即上报，未按时上报的扣 3 分。发现不报或瞒报情况时，直接扣 5 分（在考核年份内，可追溯）；</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6、发现照明、事故照明、警示牌、指示灯有损坏，未及时修复的，每次扣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w:t>
            </w:r>
            <w:r/>
          </w:p>
        </w:tc>
      </w:tr>
      <w:tr>
        <w:trPr>
          <w:trHeight w:val="1114"/>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沼气收集与运行（10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1、场内沼气收集管网设施设备完好，沼气收集燃烧系统正常作业；</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2、落实沼气收集系统的巡检及定期维护，保障系统正常运行；</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3、气体浓度未达到运行条件应及时向采购人及属地生态环境主管部门申请报备。</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1、未按照标准操作沼气收集燃烧系统作业的，每起扣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2、运营方未进行巡检与定期维护的，发现一次扣 1 分；因此操作不当导致系统不能正常运行的，发现一次扣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3、未及时报备扣 5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w:t>
            </w:r>
            <w:r/>
          </w:p>
        </w:tc>
      </w:tr>
      <w:tr>
        <w:trPr>
          <w:trHeight w:val="1186"/>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自行检测（5 分）</w:t>
            </w:r>
            <w:r/>
          </w:p>
        </w:tc>
        <w:tc>
          <w:tcPr>
            <w:tcMar>
              <w:left w:w="120" w:type="dxa"/>
              <w:top w:w="60" w:type="dxa"/>
              <w:right w:w="120" w:type="dxa"/>
              <w:bottom w:w="30" w:type="dxa"/>
            </w:tcMar>
            <w:tcW w:w="3542" w:type="dxa"/>
            <w:vAlign w:val="top"/>
            <w:textDirection w:val="lrTb"/>
            <w:noWrap w:val="false"/>
          </w:tcPr>
          <w:p>
            <w:pPr>
              <w:numPr>
                <w:ilvl w:val="0"/>
                <w:numId w:val="8"/>
              </w:num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按规范落实本合同约定的现场简易自行观测检测工作； </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2、落实观测井、监测点位巡检维护，保障采购人委托第三方机构可正常开展采样工作。</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1、未按时开展现场观测检测，每发现一次扣2分；现场监测项目缺失每一项扣1分；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2.监测点位未巡检维护，造成第三方无法采样，每发现一次扣2分。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3.监测定位设施损坏，未及时修复扣1分。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122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绿化管理（15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1、按照季节对填埋区进行绿化、修剪、养护；</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2、落实专人进行绿化养护；</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3、绿化保存率、病虫害防治、施肥浇水、养护人员及设施管理。</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1、未进行该项工作的，发现一次扣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2、未有专人进行绿化养护的，发现一次扣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3、绿化保存率≤95%、杂草多、有病虫害危害迹象、干旱萎蔫、作业清场不及时、设施不干净不整洁，养护人员需做好个人安全防护，每起扣 2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r>
      <w:tr>
        <w:trPr>
          <w:trHeight w:val="77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人员管理（5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1、按照合同要求定额配备人员。</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2、保证场区全年 24 小时有值班人员，汛期增加值班人手。</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3、遵守《中华人民共和国劳动法》。</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1、未足额配备作业人员的，每人次扣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2、人员缺岗的，每发现一次扣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3、未按照劳动法为作业人员购买社保、组织定期体检的，每人次扣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212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场区管理（15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1、场区雨水明沟及雨水口定期清理，保障排水通畅；</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2、场区雨水沟裂缝、漏点需及时维修，雨水沟内无明显积水；</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3、场区围栏无破损，出现破损及时修复，严禁外人随意进出；</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4、场区内道路需干净、整洁；</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5、场区内干净、整洁，无杂物堆积；</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6、调节池上无明显垃圾；</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7、场区无明显臭味；</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8、场区内沟渠盖板、格栅等需完好无损。</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9、场区无明显蚊蝇。</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10、地下水未倒排，造成膜漂浮。</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运营方未达到要求的，每次扣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r>
      <w:tr>
        <w:trPr>
          <w:trHeight w:val="1416"/>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安全管理（20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1、建立安全管理制度并严格落实；建立并备案环保预案，安全预案，突发应急演练等。</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2、各类消防安全设施保持完好，定期消防安全检查应贯彻落实；</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3、作业区域禁止吸烟和携带火种进入；</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4、严格执行安全生产检查、安全教育等制度；</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5、运营方应每年举行一次突发事件应急处置演习；</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6、严格遵守工作操作规程。</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7、人员作业时应遵守各项操作规程及安全规定。</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1、安全制度缺失扣 3 分。安全管理制度未落实的，发现一次扣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2、消防安全设施损坏未及时修复的、未定期消防安全检查的，每起扣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3、作业区域有吸烟行为的，每起扣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4、安全生产检查、安全教育制度执行不到位，发现一次扣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5、未按时举行演习的，于当年度扣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6、未遵守工作操作规程，包括不限于未正确佩戴安全防护器具、未正确使用相关工具、未确保临时用电安全等，每起扣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w:t>
            </w:r>
            <w:r/>
          </w:p>
        </w:tc>
      </w:tr>
      <w:tr>
        <w:trPr>
          <w:trHeight w:val="2465"/>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8</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管理制度（5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1、制定各项管理制度并上墙公示，如：管理守则、安全生产制度、文明生产制度、岗位责任制度以及内部管理考核制度等；</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2、制定各项应急处置预案，确保正常运转；</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3、建立相关（运营、安全、环保、培训及演练）台账，并确保记录齐全，真实可靠；</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4、定期检查及维护相关标识标牌，无缺失损坏；</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5、运营方应制定年度总结及年度计划并提交环卫处及监管方；</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6、每季度进行技术及安全培训。</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1、每缺一项规章制度的扣 3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2、未制定应急处置预案的，每项扣 2 分；应急预案落实不到位的，每起扣 1 分；未定期更新应急预案每次扣 2 分（3 年）；</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3、未建立相关台帐的扣 5 分；记录不齐的，每起扣 1 分；记录错误的，每起扣 0.5 分；数据作假的，每起扣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4、标识标牌脱落或损坏未及时修整，每次扣 1 分；标识标牌缺失，未及时进行补缺的，每次扣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5、未制定年度总结及年度计划每次扣 1 分，未及时提交的每次扣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6、未定期进行技术及安全培训的，每次扣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1564"/>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9</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监督管理（5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1、建立投诉处理和舆情处理快速反应机制，及时落实整改措施，提高市民满意度；</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2、配合相关管理部门开展日常监督检查与执法工作，确保各类环保要求落实。</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1、出现垃圾渗滤液擅自外排等责任投诉的，每起扣 5 分，情节严重或造成重大影响的按照相关法律法规移交相关部门处理；对投诉处理与舆情处理等反映迟缓、整改落实不及时的，每起扣 3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2、出现不配合相关管理部门开展日常监督检查与执法工作的，每起扣 5 分；相关环保要求落实不到位的，每起扣 2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215"/>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合计</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100</w:t>
            </w:r>
            <w:r/>
          </w:p>
        </w:tc>
      </w:tr>
    </w:tbl>
    <w:p>
      <w:pPr>
        <w:jc w:val="both"/>
        <w:spacing w:line="360" w:lineRule="auto"/>
        <w:widowControl w:val="off"/>
        <w:rPr>
          <w:rFonts w:hint="eastAsia" w:ascii="宋体" w:hAnsi="宋体" w:eastAsia="宋体" w:cs="宋体"/>
          <w:szCs w:val="24"/>
        </w:rPr>
      </w:pPr>
      <w:r>
        <w:rPr>
          <w:rFonts w:hint="eastAsia" w:ascii="宋体" w:hAnsi="宋体" w:eastAsia="宋体" w:cs="宋体"/>
          <w:szCs w:val="24"/>
        </w:rPr>
      </w:r>
      <w:r/>
    </w:p>
    <w:tbl>
      <w:tblPr>
        <w:tblStyle w:val="821"/>
        <w:tblW w:w="984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 w:type="dxa"/>
          <w:top w:w="0" w:type="dxa"/>
          <w:right w:w="10" w:type="dxa"/>
          <w:bottom w:w="0" w:type="dxa"/>
        </w:tblCellMar>
        <w:tblLook w:val="04A0" w:firstRow="1" w:lastRow="0" w:firstColumn="1" w:lastColumn="0" w:noHBand="0" w:noVBand="1"/>
      </w:tblPr>
      <w:tblGrid>
        <w:gridCol w:w="9840"/>
      </w:tblGrid>
      <w:tr>
        <w:trPr>
          <w:trHeight w:val="500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840" w:type="dxa"/>
            <w:vAlign w:val="top"/>
            <w:textDirection w:val="lrTb"/>
            <w:noWrap w:val="false"/>
          </w:tcPr>
          <w:p>
            <w:pPr>
              <w:spacing w:before="120" w:after="120" w:line="360" w:lineRule="auto"/>
              <w:widowControl w:val="off"/>
              <w:rPr>
                <w:rFonts w:hint="eastAsia" w:ascii="宋体" w:hAnsi="宋体" w:eastAsia="宋体" w:cs="宋体"/>
                <w:b/>
                <w:bCs w:val="0"/>
                <w:color w:val="auto"/>
                <w:szCs w:val="24"/>
              </w:rPr>
            </w:pPr>
            <w:r>
              <w:rPr>
                <w:rFonts w:hint="eastAsia" w:ascii="宋体" w:hAnsi="宋体" w:eastAsia="宋体" w:cs="宋体"/>
                <w:b/>
                <w:bCs w:val="0"/>
                <w:color w:val="auto"/>
                <w:szCs w:val="24"/>
              </w:rPr>
              <w:t xml:space="preserve">考核扣款规则</w:t>
            </w:r>
            <w:r/>
          </w:p>
          <w:p>
            <w:pPr>
              <w:ind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月考核基础分为 100 分，月考核得分为基础分减去当月随机检查中发现的考核扣分项累计分数。</w:t>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月考核基础分为100分,月考核得分为基础分减去当月随机检查中发现的考核扣分项累计分数。90分(含)以上为良好，无需扣款;90分以下每扣1分则扣减运行</w:t>
            </w:r>
            <w:r>
              <w:rPr>
                <w:rFonts w:hint="eastAsia" w:ascii="宋体" w:hAnsi="宋体" w:eastAsia="宋体" w:cs="宋体"/>
                <w:szCs w:val="24"/>
                <w:lang w:val="en-US" w:eastAsia="zh-CN"/>
              </w:rPr>
              <w:t xml:space="preserve">费1</w:t>
            </w:r>
            <w:r>
              <w:rPr>
                <w:rFonts w:hint="eastAsia" w:ascii="宋体" w:hAnsi="宋体" w:eastAsia="宋体" w:cs="宋体"/>
                <w:szCs w:val="24"/>
              </w:rPr>
              <w:t xml:space="preserve">000元;另外采购人要求乙方进行整改，并将整改情况报采购人审核。连续三个月考核均为60分以下，采购人不予支付考核不合格费用，并有权与乙方解除合同。由于乙方未能发出相关预警,出现2次重大或1次特大安全生产事故或环境污染事故的，采购人有权单方终止合同。事故等级按照《生产安全事故报告和调查处理条例》界定。月度考核扣款最高不超过当月应付运维服务费总额。具体考核内容见附件2。</w:t>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连续三个月月度考核得分均低于 60 分，采购人有权不予支付对应不合格月份运维服务费，并有权单方解除合同。</w:t>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由于乙方未能发出相关预警，出现 2 次重大或 1 次特大安全生产事故或环境污染事故的，采购人有权单方终止合同。事故等级按照《生产安全事故报告和调查处理条例》界定。</w:t>
            </w:r>
            <w:r/>
          </w:p>
          <w:p>
            <w:pPr>
              <w:ind w:firstLine="480"/>
              <w:jc w:val="both"/>
              <w:spacing w:line="360" w:lineRule="auto"/>
              <w:widowControl w:val="off"/>
              <w:rPr>
                <w:rFonts w:hint="eastAsia" w:ascii="宋体" w:hAnsi="宋体" w:eastAsia="宋体" w:cs="宋体"/>
                <w:b/>
                <w:szCs w:val="24"/>
              </w:rPr>
            </w:pPr>
            <w:r>
              <w:rPr>
                <w:rFonts w:hint="eastAsia" w:ascii="宋体" w:hAnsi="宋体" w:eastAsia="宋体" w:cs="宋体"/>
                <w:szCs w:val="24"/>
              </w:rPr>
              <w:t xml:space="preserve">遭遇不可抗力情形，经采购人确认后，对应考核项可酌情予以豁免。</w:t>
            </w:r>
            <w:r/>
          </w:p>
        </w:tc>
      </w:tr>
    </w:tbl>
    <w:p>
      <w:pPr>
        <w:numPr>
          <w:ilvl w:val="0"/>
          <w:numId w:val="0"/>
        </w:numPr>
        <w:spacing w:line="360" w:lineRule="auto"/>
        <w:rPr>
          <w:rFonts w:hint="eastAsia" w:ascii="宋体" w:hAnsi="宋体" w:eastAsia="宋体" w:cs="宋体"/>
          <w:b/>
          <w:bCs/>
          <w:sz w:val="28"/>
          <w:szCs w:val="28"/>
          <w:lang w:eastAsia="zh-CN"/>
        </w:rPr>
      </w:pPr>
      <w:r>
        <w:rPr>
          <w:rFonts w:hint="eastAsia" w:ascii="宋体" w:hAnsi="宋体" w:cs="宋体"/>
          <w:b/>
          <w:bCs/>
          <w:sz w:val="28"/>
          <w:szCs w:val="28"/>
          <w:lang w:val="en-US" w:eastAsia="zh-CN"/>
        </w:rPr>
        <w:t xml:space="preserve">三、</w:t>
      </w:r>
      <w:r>
        <w:rPr>
          <w:rFonts w:hint="eastAsia" w:ascii="宋体" w:hAnsi="宋体" w:eastAsia="宋体" w:cs="宋体"/>
          <w:b/>
          <w:bCs/>
          <w:sz w:val="28"/>
          <w:szCs w:val="28"/>
          <w:lang w:eastAsia="zh-CN"/>
        </w:rPr>
        <w:t xml:space="preserve">现场踏勘：</w:t>
      </w:r>
      <w:r>
        <w:rPr>
          <w:rFonts w:hint="eastAsia" w:ascii="宋体" w:hAnsi="宋体" w:eastAsia="宋体" w:cs="宋体"/>
          <w:b w:val="0"/>
          <w:bCs w:val="0"/>
          <w:sz w:val="24"/>
          <w:szCs w:val="24"/>
          <w:lang w:eastAsia="zh-CN"/>
        </w:rPr>
        <w:t xml:space="preserve">本项目不组织统一现场踏勘，投标人可自行踏勘项目现场。投标人可在投标截止时间前自行前往项目现场踏勘，踏勘所产生的一切费用、安全责任由投标人自行承担。投标人应充分自行了解项目现场现状、作业环境、场区条件、作业风险、水电条件、工作量等全部情况，中标后不得以不了解现场情况为由，提出调整报价、增加费用或延长服务期限等要求</w:t>
      </w:r>
      <w:r>
        <w:rPr>
          <w:rFonts w:hint="eastAsia" w:ascii="宋体" w:hAnsi="宋体" w:eastAsia="宋体" w:cs="宋体"/>
          <w:b w:val="0"/>
          <w:bCs w:val="0"/>
          <w:sz w:val="28"/>
          <w:szCs w:val="28"/>
          <w:lang w:eastAsia="zh-CN"/>
        </w:rPr>
        <w:t xml:space="preserve">。</w:t>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四、其他要求：见招标文件第五章</w:t>
      </w: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拟签订的合同文本</w:t>
      </w: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w:t>
      </w:r>
      <w:bookmarkStart w:id="43" w:name="_Toc3629"/>
      <w:r/>
      <w:r/>
    </w:p>
    <w:p>
      <w:pPr>
        <w:numPr>
          <w:ilvl w:val="0"/>
          <w:numId w:val="0"/>
        </w:numPr>
        <w:jc w:val="center"/>
        <w:spacing w:line="360" w:lineRule="auto"/>
        <w:rPr>
          <w:rFonts w:hint="eastAsia" w:ascii="宋体" w:hAnsi="宋体" w:eastAsia="宋体" w:cs="宋体"/>
        </w:rPr>
      </w:pPr>
      <w:r>
        <w:rPr>
          <w:rFonts w:hint="eastAsia" w:ascii="宋体" w:hAnsi="宋体" w:eastAsia="宋体" w:cs="宋体"/>
          <w:b/>
          <w:sz w:val="36"/>
          <w:szCs w:val="40"/>
          <w:lang w:val="en-US" w:eastAsia="zh-CN" w:bidi="ar-SA"/>
        </w:rPr>
        <w:t xml:space="preserve">第七章 投标文件相关格式</w:t>
      </w:r>
      <w:bookmarkEnd w:id="43"/>
      <w:r/>
      <w:r/>
    </w:p>
    <w:p>
      <w:pPr>
        <w:pStyle w:val="886"/>
        <w:spacing w:line="360" w:lineRule="auto"/>
        <w:rPr>
          <w:rFonts w:hint="eastAsia" w:ascii="宋体" w:hAnsi="宋体" w:eastAsia="宋体" w:cs="宋体"/>
        </w:rPr>
      </w:pPr>
      <w:r>
        <w:rPr>
          <w:rFonts w:hint="eastAsia" w:ascii="宋体" w:hAnsi="宋体" w:eastAsia="宋体" w:cs="宋体"/>
        </w:rPr>
        <w:t xml:space="preserve">一、投标函</w:t>
      </w:r>
      <w:r/>
    </w:p>
    <w:p>
      <w:pPr>
        <w:ind w:firstLine="480"/>
        <w:spacing w:line="360" w:lineRule="auto"/>
        <w:rPr>
          <w:rFonts w:hint="eastAsia" w:ascii="宋体" w:hAnsi="宋体" w:eastAsia="宋体" w:cs="宋体"/>
        </w:rPr>
      </w:pPr>
      <w:r>
        <w:rPr>
          <w:rFonts w:hint="eastAsia" w:ascii="宋体" w:hAnsi="宋体" w:eastAsia="宋体" w:cs="宋体"/>
        </w:rPr>
        <w:t xml:space="preserve">致：</w:t>
      </w:r>
      <w:r/>
    </w:p>
    <w:p>
      <w:pPr>
        <w:ind w:firstLine="480"/>
        <w:spacing w:line="360" w:lineRule="auto"/>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u w:val="single"/>
        </w:rPr>
        <w:t xml:space="preserve">          </w:t>
      </w:r>
      <w:r>
        <w:rPr>
          <w:rFonts w:hint="eastAsia" w:ascii="宋体" w:hAnsi="宋体" w:eastAsia="宋体" w:cs="宋体"/>
        </w:rPr>
        <w:t xml:space="preserve">项目[项目编号：</w:t>
      </w:r>
      <w:r>
        <w:rPr>
          <w:rFonts w:hint="eastAsia" w:ascii="宋体" w:hAnsi="宋体" w:eastAsia="宋体" w:cs="宋体"/>
          <w:u w:val="single"/>
        </w:rPr>
        <w:t xml:space="preserve">      </w:t>
      </w:r>
      <w:r>
        <w:rPr>
          <w:rFonts w:hint="eastAsia" w:ascii="宋体" w:hAnsi="宋体" w:eastAsia="宋体" w:cs="宋体"/>
        </w:rPr>
        <w:t xml:space="preserve">]招标文件，</w:t>
      </w:r>
      <w:r>
        <w:rPr>
          <w:rFonts w:hint="eastAsia" w:ascii="宋体" w:hAnsi="宋体" w:eastAsia="宋体" w:cs="宋体"/>
          <w:u w:val="single"/>
        </w:rPr>
        <w:t xml:space="preserve">          </w:t>
      </w:r>
      <w:r>
        <w:rPr>
          <w:rFonts w:hint="eastAsia" w:ascii="宋体" w:hAnsi="宋体" w:eastAsia="宋体" w:cs="宋体"/>
        </w:rPr>
        <w:t xml:space="preserve">(姓名)代表我方</w:t>
      </w:r>
      <w:r>
        <w:rPr>
          <w:rFonts w:hint="eastAsia" w:ascii="宋体" w:hAnsi="宋体" w:eastAsia="宋体" w:cs="宋体"/>
          <w:u w:val="single"/>
        </w:rPr>
        <w:t xml:space="preserve">     </w:t>
      </w:r>
      <w:r>
        <w:rPr>
          <w:rFonts w:hint="eastAsia" w:ascii="宋体" w:hAnsi="宋体" w:eastAsia="宋体" w:cs="宋体"/>
        </w:rPr>
        <w:t xml:space="preserve">（投标人的名称）全权处理本次投标的有关事宜。</w:t>
      </w:r>
      <w:r/>
    </w:p>
    <w:p>
      <w:pPr>
        <w:ind w:firstLine="480"/>
        <w:spacing w:line="360" w:lineRule="auto"/>
        <w:rPr>
          <w:rFonts w:hint="eastAsia" w:ascii="宋体" w:hAnsi="宋体" w:eastAsia="宋体" w:cs="宋体"/>
        </w:rPr>
      </w:pPr>
      <w:r>
        <w:rPr>
          <w:rFonts w:hint="eastAsia" w:ascii="宋体" w:hAnsi="宋体" w:eastAsia="宋体" w:cs="宋体"/>
        </w:rPr>
        <w:t xml:space="preserve">据此函，投标人承诺并同意如下： </w:t>
      </w:r>
      <w:r/>
    </w:p>
    <w:p>
      <w:pPr>
        <w:ind w:firstLine="480"/>
        <w:spacing w:line="360" w:lineRule="auto"/>
        <w:rPr>
          <w:rFonts w:hint="eastAsia" w:ascii="宋体" w:hAnsi="宋体" w:eastAsia="宋体" w:cs="宋体"/>
        </w:rPr>
      </w:pPr>
      <w:r>
        <w:rPr>
          <w:rFonts w:hint="eastAsia" w:ascii="宋体" w:hAnsi="宋体" w:eastAsia="宋体" w:cs="宋体"/>
        </w:rPr>
        <w:t xml:space="preserve">1.  投标人唯一投标报价见《开标一览表》。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2.  投标人将按招标文件的规定履行合同责任和义务。</w:t>
      </w:r>
      <w:r/>
    </w:p>
    <w:p>
      <w:pPr>
        <w:ind w:firstLine="480"/>
        <w:spacing w:line="360" w:lineRule="auto"/>
        <w:rPr>
          <w:rFonts w:hint="eastAsia" w:ascii="宋体" w:hAnsi="宋体" w:eastAsia="宋体" w:cs="宋体"/>
        </w:rPr>
      </w:pPr>
      <w:r>
        <w:rPr>
          <w:rFonts w:hint="eastAsia" w:ascii="宋体" w:hAnsi="宋体" w:eastAsia="宋体" w:cs="宋体"/>
        </w:rPr>
        <w:t xml:space="preserve">3.  投标人已详细审查全部招标文件，包括第[插入编号] [补遗书][如果有的话]。投标人完全理解并同意放弃对这方面有不明及误解的权利。</w:t>
      </w:r>
      <w:r/>
    </w:p>
    <w:p>
      <w:pPr>
        <w:ind w:firstLine="480"/>
        <w:spacing w:line="360" w:lineRule="auto"/>
        <w:rPr>
          <w:rFonts w:hint="eastAsia" w:ascii="宋体" w:hAnsi="宋体" w:eastAsia="宋体" w:cs="宋体"/>
        </w:rPr>
      </w:pPr>
      <w:r>
        <w:rPr>
          <w:rFonts w:hint="eastAsia" w:ascii="宋体" w:hAnsi="宋体" w:eastAsia="宋体" w:cs="宋体"/>
        </w:rPr>
        <w:t xml:space="preserve">4.  投标有效期为开标之日后90天。</w:t>
      </w:r>
      <w:r/>
    </w:p>
    <w:p>
      <w:pPr>
        <w:ind w:firstLine="480"/>
        <w:spacing w:line="360" w:lineRule="auto"/>
        <w:rPr>
          <w:rFonts w:hint="eastAsia" w:ascii="宋体" w:hAnsi="宋体" w:eastAsia="宋体" w:cs="宋体"/>
        </w:rPr>
      </w:pPr>
      <w:r>
        <w:rPr>
          <w:rFonts w:hint="eastAsia" w:ascii="宋体" w:hAnsi="宋体" w:eastAsia="宋体" w:cs="宋体"/>
        </w:rPr>
        <w:t xml:space="preserve">5.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rPr>
      </w:pPr>
      <w:r>
        <w:rPr>
          <w:rFonts w:hint="eastAsia" w:ascii="宋体" w:hAnsi="宋体" w:eastAsia="宋体" w:cs="宋体"/>
        </w:rPr>
        <w:t xml:space="preserve">6.  投标人同意在授予合同后，按照有关规定支付公证费(如有)。</w:t>
      </w:r>
      <w:r/>
    </w:p>
    <w:p>
      <w:pPr>
        <w:ind w:firstLine="480"/>
        <w:spacing w:line="360" w:lineRule="auto"/>
        <w:rPr>
          <w:rFonts w:hint="eastAsia" w:ascii="宋体" w:hAnsi="宋体" w:eastAsia="宋体" w:cs="宋体"/>
        </w:rPr>
      </w:pPr>
      <w:r>
        <w:rPr>
          <w:rFonts w:hint="eastAsia" w:ascii="宋体" w:hAnsi="宋体" w:eastAsia="宋体" w:cs="宋体"/>
        </w:rPr>
        <w:t xml:space="preserve">7.  江苏国双项目管理有限公司有权将我单位本项目的《开标一览表》和《分项价格表》予以公示，公示的方式由江苏国双项目管理有限公司确定。</w:t>
      </w:r>
      <w:r/>
    </w:p>
    <w:p>
      <w:pPr>
        <w:ind w:firstLine="480"/>
        <w:spacing w:line="360" w:lineRule="auto"/>
        <w:rPr>
          <w:rFonts w:hint="eastAsia" w:ascii="宋体" w:hAnsi="宋体" w:eastAsia="宋体" w:cs="宋体"/>
        </w:rPr>
      </w:pPr>
      <w:r>
        <w:rPr>
          <w:rFonts w:hint="eastAsia" w:ascii="宋体" w:hAnsi="宋体" w:eastAsia="宋体" w:cs="宋体"/>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rPr>
      </w:pPr>
      <w:r>
        <w:rPr>
          <w:rFonts w:hint="eastAsia" w:ascii="宋体" w:hAnsi="宋体" w:eastAsia="宋体" w:cs="宋体"/>
        </w:rPr>
        <w:t xml:space="preserve">9.  与本投标有关的一切正式往来信函请寄：</w:t>
      </w:r>
      <w:r/>
    </w:p>
    <w:p>
      <w:pPr>
        <w:ind w:firstLine="480"/>
        <w:spacing w:line="360" w:lineRule="auto"/>
        <w:rPr>
          <w:rFonts w:hint="eastAsia" w:ascii="宋体" w:hAnsi="宋体" w:eastAsia="宋体" w:cs="宋体"/>
        </w:rPr>
      </w:pPr>
      <w:r>
        <w:rPr>
          <w:rFonts w:hint="eastAsia" w:ascii="宋体" w:hAnsi="宋体" w:eastAsia="宋体" w:cs="宋体"/>
        </w:rPr>
        <w:t xml:space="preserve">地址： </w:t>
      </w:r>
      <w:r/>
    </w:p>
    <w:p>
      <w:pPr>
        <w:ind w:firstLine="480"/>
        <w:spacing w:line="360" w:lineRule="auto"/>
        <w:rPr>
          <w:rFonts w:hint="eastAsia" w:ascii="宋体" w:hAnsi="宋体" w:eastAsia="宋体" w:cs="宋体"/>
        </w:rPr>
      </w:pPr>
      <w:r>
        <w:rPr>
          <w:rFonts w:hint="eastAsia" w:ascii="宋体" w:hAnsi="宋体" w:eastAsia="宋体" w:cs="宋体"/>
        </w:rPr>
        <w:t xml:space="preserve">移动电话： </w:t>
      </w:r>
      <w:r/>
    </w:p>
    <w:p>
      <w:pPr>
        <w:ind w:firstLine="480"/>
        <w:spacing w:line="360" w:lineRule="auto"/>
        <w:rPr>
          <w:rFonts w:hint="eastAsia" w:ascii="宋体" w:hAnsi="宋体" w:eastAsia="宋体" w:cs="宋体"/>
        </w:rPr>
      </w:pPr>
      <w:r>
        <w:rPr>
          <w:rFonts w:hint="eastAsia" w:ascii="宋体" w:hAnsi="宋体" w:eastAsia="宋体" w:cs="宋体"/>
        </w:rPr>
        <w:t xml:space="preserve">传真： </w:t>
      </w:r>
      <w:r/>
    </w:p>
    <w:p>
      <w:pPr>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pStyle w:val="886"/>
        <w:spacing w:line="360" w:lineRule="auto"/>
        <w:rPr>
          <w:rFonts w:hint="eastAsia" w:ascii="宋体" w:hAnsi="宋体" w:eastAsia="宋体" w:cs="宋体"/>
        </w:rPr>
      </w:pPr>
      <w:r>
        <w:rPr>
          <w:rFonts w:hint="eastAsia" w:ascii="宋体" w:hAnsi="宋体" w:eastAsia="宋体" w:cs="宋体"/>
        </w:rPr>
        <w:t xml:space="preserve">二、开标一览表</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w:t>
      </w:r>
      <w:r/>
    </w:p>
    <w:p>
      <w:pPr>
        <w:spacing w:line="360" w:lineRule="auto"/>
        <w:rPr>
          <w:rFonts w:hint="eastAsia" w:ascii="宋体" w:hAnsi="宋体" w:eastAsia="宋体" w:cs="宋体"/>
        </w:rPr>
      </w:pPr>
      <w:r>
        <w:rPr>
          <w:rFonts w:hint="eastAsia" w:ascii="宋体" w:hAnsi="宋体" w:eastAsia="宋体" w:cs="宋体"/>
        </w:rPr>
        <w:t xml:space="preserve">项目编号：JSZC-320321-GSGS-G2026-0001</w:t>
      </w:r>
      <w:r/>
    </w:p>
    <w:p>
      <w:pPr>
        <w:jc w:val="right"/>
        <w:spacing w:line="360" w:lineRule="auto"/>
        <w:rPr>
          <w:rFonts w:hint="eastAsia" w:ascii="宋体" w:hAnsi="宋体" w:eastAsia="宋体" w:cs="宋体"/>
        </w:rPr>
      </w:pPr>
      <w:r>
        <w:rPr>
          <w:rFonts w:hint="eastAsia" w:ascii="宋体" w:hAnsi="宋体" w:eastAsia="宋体" w:cs="宋体"/>
        </w:rPr>
        <w:t xml:space="preserve">货币单位：人民币元</w:t>
      </w:r>
      <w:r/>
    </w:p>
    <w:p>
      <w:pPr>
        <w:jc w:val="right"/>
        <w:spacing w:line="360" w:lineRule="auto"/>
        <w:rPr>
          <w:rFonts w:hint="eastAsia" w:ascii="宋体" w:hAnsi="宋体" w:eastAsia="宋体" w:cs="宋体"/>
        </w:rPr>
      </w:pPr>
      <w:r>
        <w:rPr>
          <w:rFonts w:hint="eastAsia" w:ascii="宋体" w:hAnsi="宋体" w:eastAsia="宋体" w:cs="宋体"/>
        </w:rPr>
      </w:r>
      <w:r/>
    </w:p>
    <w:tbl>
      <w:tblPr>
        <w:tblStyle w:val="821"/>
        <w:tblW w:w="84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2702" w:type="dxa"/>
            <w:vAlign w:val="center"/>
            <w:textDirection w:val="lrTb"/>
            <w:noWrap w:val="false"/>
          </w:tcPr>
          <w:p>
            <w:pPr>
              <w:jc w:val="center"/>
              <w:spacing w:line="36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服务期限</w:t>
            </w:r>
            <w:r/>
          </w:p>
        </w:tc>
        <w:tc>
          <w:tcPr>
            <w:tcW w:w="282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总价（小写）</w:t>
            </w:r>
            <w:r/>
          </w:p>
        </w:tc>
      </w:tr>
      <w:tr>
        <w:trPr>
          <w:cantSplit/>
          <w:jc w:val="center"/>
          <w:trHeight w:val="2138"/>
        </w:trPr>
        <w:tc>
          <w:tcPr>
            <w:tcW w:w="29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丰县生活垃圾填埋场第三方日常运维政府购买服务项目</w:t>
            </w:r>
            <w:r/>
          </w:p>
        </w:tc>
        <w:tc>
          <w:tcPr>
            <w:tcBorders>
              <w:right w:val="single" w:color="auto" w:sz="4" w:space="0"/>
            </w:tcBorders>
            <w:tcW w:w="2702" w:type="dxa"/>
            <w:vAlign w:val="center"/>
            <w:textDirection w:val="lrTb"/>
            <w:noWrap w:val="false"/>
          </w:tcPr>
          <w:p>
            <w:pPr>
              <w:jc w:val="center"/>
              <w:spacing w:line="360" w:lineRule="auto"/>
              <w:rPr>
                <w:rFonts w:hint="eastAsia" w:ascii="宋体" w:hAnsi="宋体" w:eastAsia="宋体" w:cs="宋体"/>
                <w:bCs/>
                <w:szCs w:val="24"/>
                <w:highlight w:val="none"/>
                <w:u w:val="none"/>
                <w:lang w:val="en-US" w:eastAsia="zh-CN"/>
              </w:rPr>
            </w:pPr>
            <w:r>
              <w:rPr>
                <w:rFonts w:hint="eastAsia" w:ascii="宋体" w:hAnsi="宋体" w:eastAsia="宋体" w:cs="宋体"/>
                <w:bCs/>
                <w:szCs w:val="24"/>
                <w:highlight w:val="none"/>
                <w:u w:val="none"/>
                <w:lang w:val="en-US" w:eastAsia="zh-CN"/>
              </w:rPr>
              <w:t xml:space="preserve">三年</w:t>
            </w:r>
            <w:r/>
          </w:p>
        </w:tc>
        <w:tc>
          <w:tcPr>
            <w:tcBorders>
              <w:left w:val="single" w:color="auto" w:sz="4" w:space="0"/>
            </w:tcBorders>
            <w:tcW w:w="282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1135"/>
        </w:trPr>
        <w:tc>
          <w:tcPr>
            <w:tcW w:w="29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总价（大写）：</w:t>
            </w:r>
            <w:r/>
          </w:p>
        </w:tc>
        <w:tc>
          <w:tcPr>
            <w:gridSpan w:val="2"/>
            <w:tcW w:w="5526"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866"/>
        <w:spacing w:line="360" w:lineRule="auto"/>
        <w:rPr>
          <w:rFonts w:hint="eastAsia" w:ascii="宋体" w:hAnsi="宋体" w:eastAsia="宋体" w:cs="宋体"/>
          <w:b/>
          <w:sz w:val="24"/>
        </w:rPr>
      </w:pPr>
      <w:r>
        <w:rPr>
          <w:rFonts w:hint="eastAsia" w:ascii="宋体" w:hAnsi="宋体" w:eastAsia="宋体" w:cs="宋体"/>
          <w:b/>
          <w:sz w:val="24"/>
        </w:rPr>
      </w:r>
      <w:r/>
    </w:p>
    <w:p>
      <w:pPr>
        <w:pStyle w:val="861"/>
        <w:spacing w:line="360" w:lineRule="auto"/>
        <w:rPr>
          <w:rFonts w:hint="eastAsia" w:ascii="宋体" w:hAnsi="宋体" w:eastAsia="宋体" w:cs="宋体"/>
          <w:b/>
          <w:bCs/>
          <w:sz w:val="24"/>
        </w:rPr>
      </w:pPr>
      <w:r>
        <w:rPr>
          <w:rFonts w:hint="eastAsia" w:ascii="宋体" w:hAnsi="宋体" w:eastAsia="宋体" w:cs="宋体"/>
          <w:b/>
          <w:bCs/>
          <w:sz w:val="24"/>
        </w:rPr>
        <w:t xml:space="preserve">供应商承诺：本报价（总价）为供应商本企业提供的服务。</w:t>
      </w:r>
      <w:r/>
    </w:p>
    <w:p>
      <w:pPr>
        <w:pStyle w:val="866"/>
        <w:spacing w:line="360" w:lineRule="auto"/>
        <w:rPr>
          <w:rFonts w:hint="eastAsia" w:ascii="宋体" w:hAnsi="宋体" w:eastAsia="宋体" w:cs="宋体"/>
          <w:sz w:val="24"/>
        </w:rPr>
      </w:pPr>
      <w:r>
        <w:rPr>
          <w:rFonts w:hint="eastAsia" w:ascii="宋体" w:hAnsi="宋体" w:eastAsia="宋体" w:cs="宋体"/>
          <w:sz w:val="24"/>
        </w:rPr>
      </w:r>
      <w:r/>
    </w:p>
    <w:p>
      <w:pPr>
        <w:pStyle w:val="861"/>
        <w:spacing w:line="360" w:lineRule="auto"/>
        <w:rPr>
          <w:rFonts w:hint="eastAsia" w:ascii="宋体" w:hAnsi="宋体" w:eastAsia="宋体" w:cs="宋体"/>
          <w:b/>
          <w:bCs/>
          <w:sz w:val="24"/>
        </w:rPr>
      </w:pPr>
      <w:r>
        <w:rPr>
          <w:rFonts w:hint="eastAsia" w:ascii="宋体" w:hAnsi="宋体" w:eastAsia="宋体" w:cs="宋体"/>
          <w:b/>
          <w:bCs/>
          <w:sz w:val="24"/>
        </w:rPr>
        <w:t xml:space="preserve">报价说明：</w:t>
      </w:r>
      <w:r/>
    </w:p>
    <w:p>
      <w:pPr>
        <w:pStyle w:val="861"/>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b/>
          <w:bCs/>
          <w:sz w:val="24"/>
          <w:highlight w:val="none"/>
        </w:rPr>
        <w:t xml:space="preserve">报价应包括全部内容（含采购代理服务费，本项目代理费由中标人支付），以及为完成上述内容所需的全部费用。</w:t>
      </w:r>
      <w:r/>
    </w:p>
    <w:p>
      <w:pPr>
        <w:pStyle w:val="861"/>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highlight w:val="none"/>
        </w:rPr>
        <w:t xml:space="preserve">报价以总价为准，大小写不一致以大写为准</w:t>
      </w:r>
      <w:r>
        <w:rPr>
          <w:rFonts w:hint="eastAsia" w:ascii="宋体" w:hAnsi="宋体" w:eastAsia="宋体" w:cs="宋体"/>
          <w:sz w:val="24"/>
        </w:rPr>
        <w:t xml:space="preserve">；</w:t>
      </w:r>
      <w:r/>
    </w:p>
    <w:p>
      <w:pPr>
        <w:pStyle w:val="861"/>
        <w:jc w:val="left"/>
        <w:spacing w:line="360" w:lineRule="auto"/>
        <w:rPr>
          <w:rFonts w:hint="eastAsia" w:ascii="宋体" w:hAnsi="宋体" w:eastAsia="宋体" w:cs="宋体"/>
          <w:sz w:val="24"/>
        </w:rPr>
      </w:pPr>
      <w:r>
        <w:rPr>
          <w:rFonts w:hint="eastAsia" w:ascii="宋体" w:hAnsi="宋体" w:eastAsia="宋体" w:cs="宋体"/>
          <w:sz w:val="24"/>
        </w:rPr>
        <w:t xml:space="preserve">3、偏离说明：详见《偏离表》；</w:t>
      </w:r>
      <w:r/>
    </w:p>
    <w:p>
      <w:pPr>
        <w:spacing w:line="360" w:lineRule="auto"/>
        <w:rPr>
          <w:rFonts w:hint="eastAsia" w:ascii="宋体" w:hAnsi="宋体" w:eastAsia="宋体" w:cs="宋体"/>
        </w:rPr>
      </w:pPr>
      <w:r>
        <w:rPr>
          <w:rFonts w:hint="eastAsia" w:ascii="宋体" w:hAnsi="宋体" w:eastAsia="宋体" w:cs="宋体"/>
        </w:rPr>
      </w:r>
      <w:r/>
    </w:p>
    <w:p>
      <w:pPr>
        <w:pStyle w:val="866"/>
        <w:spacing w:line="360" w:lineRule="auto"/>
        <w:rPr>
          <w:rFonts w:hint="eastAsia" w:ascii="宋体" w:hAnsi="宋体" w:eastAsia="宋体" w:cs="宋体"/>
          <w:sz w:val="24"/>
        </w:rPr>
      </w:pPr>
      <w:r>
        <w:rPr>
          <w:rFonts w:hint="eastAsia" w:ascii="宋体" w:hAnsi="宋体" w:eastAsia="宋体" w:cs="宋体"/>
          <w:sz w:val="24"/>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t xml:space="preserve">三、分项价格表</w:t>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  </w:t>
      </w:r>
      <w:r/>
    </w:p>
    <w:p>
      <w:pPr>
        <w:spacing w:line="360" w:lineRule="auto"/>
        <w:rPr>
          <w:rFonts w:hint="eastAsia" w:ascii="宋体" w:hAnsi="宋体" w:eastAsia="宋体" w:cs="宋体"/>
        </w:rPr>
      </w:pPr>
      <w:r>
        <w:rPr>
          <w:rFonts w:hint="eastAsia" w:ascii="宋体" w:hAnsi="宋体" w:eastAsia="宋体" w:cs="宋体"/>
        </w:rPr>
        <w:t xml:space="preserve">项目编号：JSZC-320321-GSGS-G2026-0001      货币单位：人民币元</w:t>
      </w:r>
      <w:r/>
    </w:p>
    <w:p>
      <w:pPr>
        <w:jc w:val="center"/>
        <w:spacing w:line="360" w:lineRule="auto"/>
        <w:rPr>
          <w:rFonts w:hint="eastAsia" w:ascii="宋体" w:hAnsi="宋体" w:eastAsia="宋体" w:cs="宋体"/>
          <w:sz w:val="44"/>
          <w:szCs w:val="32"/>
        </w:rPr>
      </w:pPr>
      <w:r>
        <w:rPr>
          <w:rFonts w:hint="eastAsia" w:ascii="宋体" w:hAnsi="宋体" w:eastAsia="宋体" w:cs="宋体"/>
          <w:sz w:val="44"/>
          <w:szCs w:val="32"/>
        </w:rPr>
      </w:r>
      <w:r/>
    </w:p>
    <w:p>
      <w:pPr>
        <w:jc w:val="center"/>
        <w:spacing w:line="360" w:lineRule="auto"/>
        <w:rPr>
          <w:rFonts w:hint="eastAsia" w:ascii="宋体" w:hAnsi="宋体" w:eastAsia="宋体" w:cs="宋体"/>
          <w:sz w:val="24"/>
          <w:szCs w:val="20"/>
        </w:rPr>
      </w:pPr>
      <w:r>
        <w:rPr>
          <w:rFonts w:hint="eastAsia" w:ascii="宋体" w:hAnsi="宋体" w:eastAsia="宋体" w:cs="宋体"/>
          <w:sz w:val="24"/>
          <w:szCs w:val="20"/>
        </w:rPr>
        <w:t xml:space="preserve">格式自拟</w:t>
      </w:r>
      <w:r/>
    </w:p>
    <w:p>
      <w:pPr>
        <w:jc w:val="right"/>
        <w:spacing w:line="360" w:lineRule="auto"/>
        <w:rPr>
          <w:rFonts w:hint="eastAsia" w:ascii="宋体" w:hAnsi="宋体" w:eastAsia="宋体" w:cs="宋体"/>
        </w:rPr>
      </w:pPr>
      <w:r>
        <w:rPr>
          <w:rFonts w:hint="eastAsia" w:ascii="宋体" w:hAnsi="宋体" w:eastAsia="宋体" w:cs="宋体"/>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t xml:space="preserve">说明：</w:t>
      </w:r>
      <w:r/>
    </w:p>
    <w:p>
      <w:pPr>
        <w:ind w:firstLine="480"/>
        <w:spacing w:line="360" w:lineRule="auto"/>
        <w:rPr>
          <w:rFonts w:hint="eastAsia" w:ascii="宋体" w:hAnsi="宋体" w:eastAsia="宋体" w:cs="宋体"/>
        </w:rPr>
      </w:pPr>
      <w:r>
        <w:rPr>
          <w:rFonts w:hint="eastAsia" w:ascii="宋体" w:hAnsi="宋体" w:eastAsia="宋体" w:cs="宋体"/>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eastAsia="宋体" w:cs="宋体"/>
        </w:rPr>
      </w:pPr>
      <w:r>
        <w:rPr>
          <w:rFonts w:hint="eastAsia" w:ascii="宋体" w:hAnsi="宋体" w:eastAsia="宋体" w:cs="宋体"/>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360" w:lineRule="auto"/>
        <w:rPr>
          <w:rFonts w:hint="eastAsia" w:ascii="宋体" w:hAnsi="宋体" w:eastAsia="宋体" w:cs="宋体"/>
        </w:rPr>
      </w:pPr>
      <w:r>
        <w:rPr>
          <w:rFonts w:hint="eastAsia" w:ascii="宋体" w:hAnsi="宋体" w:eastAsia="宋体" w:cs="宋体"/>
        </w:rPr>
        <w:t xml:space="preserve">3. 享受政府采购支持政策的残疾人福利性单位的条件以《三部门联合发布关于促进残疾人就业政府采购政策的通知》（财库〔2017〕141号）规定为准。</w:t>
      </w:r>
      <w:r/>
    </w:p>
    <w:p>
      <w:pPr>
        <w:spacing w:line="360" w:lineRule="auto"/>
        <w:rPr>
          <w:rFonts w:hint="eastAsia" w:ascii="宋体" w:hAnsi="宋体" w:eastAsia="宋体" w:cs="宋体"/>
        </w:rPr>
      </w:pPr>
      <w:r>
        <w:rPr>
          <w:rFonts w:hint="eastAsia" w:ascii="宋体" w:hAnsi="宋体" w:eastAsia="宋体" w:cs="宋体"/>
        </w:rPr>
        <w:t xml:space="preserve">注：</w:t>
      </w:r>
      <w:r/>
    </w:p>
    <w:p>
      <w:pPr>
        <w:ind w:firstLine="480"/>
        <w:spacing w:line="360" w:lineRule="auto"/>
        <w:rPr>
          <w:rFonts w:hint="eastAsia" w:ascii="宋体" w:hAnsi="宋体" w:eastAsia="宋体" w:cs="宋体"/>
        </w:rPr>
      </w:pPr>
      <w:r>
        <w:rPr>
          <w:rFonts w:hint="eastAsia" w:ascii="宋体" w:hAnsi="宋体" w:eastAsia="宋体" w:cs="宋体"/>
        </w:rPr>
        <w:t xml:space="preserve">1.如果不提供详细分项报价将视为没有实质性响应招标文件。</w:t>
      </w:r>
      <w:r/>
    </w:p>
    <w:p>
      <w:pPr>
        <w:ind w:firstLine="480"/>
        <w:spacing w:line="360" w:lineRule="auto"/>
        <w:rPr>
          <w:rFonts w:hint="eastAsia" w:ascii="宋体" w:hAnsi="宋体" w:eastAsia="宋体" w:cs="宋体"/>
        </w:rPr>
      </w:pPr>
      <w:r>
        <w:rPr>
          <w:rFonts w:hint="eastAsia" w:ascii="宋体" w:hAnsi="宋体" w:eastAsia="宋体" w:cs="宋体"/>
        </w:rPr>
        <w:t xml:space="preserve">2.投标人对以上数据的真实性负责。</w:t>
      </w:r>
      <w:r/>
    </w:p>
    <w:p>
      <w:pPr>
        <w:ind w:firstLine="480"/>
        <w:spacing w:line="360" w:lineRule="auto"/>
        <w:rPr>
          <w:rFonts w:hint="eastAsia" w:ascii="宋体" w:hAnsi="宋体" w:eastAsia="宋体" w:cs="宋体"/>
        </w:rPr>
      </w:pPr>
      <w:r>
        <w:rPr>
          <w:rFonts w:hint="eastAsia" w:ascii="宋体" w:hAnsi="宋体" w:eastAsia="宋体" w:cs="宋体"/>
        </w:rPr>
        <w:t xml:space="preserve">3.本项报价表合计数额应等于开标一览表中“总价”的报价。</w:t>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Cs w:val="22"/>
          <w:u w:val="single"/>
        </w:rPr>
      </w:pPr>
      <w:r>
        <w:rPr>
          <w:rFonts w:hint="eastAsia" w:ascii="宋体" w:hAnsi="宋体" w:eastAsia="宋体" w:cs="宋体"/>
          <w:szCs w:val="22"/>
          <w:u w:val="single"/>
        </w:rPr>
        <w:t xml:space="preserve">江苏国双项目管理有限公司有权将以上内容进行公示。</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t xml:space="preserve">四、偏离表</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w:t>
      </w:r>
      <w:r/>
    </w:p>
    <w:p>
      <w:pPr>
        <w:spacing w:line="360" w:lineRule="auto"/>
        <w:rPr>
          <w:rFonts w:hint="eastAsia" w:ascii="宋体" w:hAnsi="宋体" w:eastAsia="宋体" w:cs="宋体"/>
        </w:rPr>
      </w:pPr>
      <w:r>
        <w:rPr>
          <w:rFonts w:hint="eastAsia" w:ascii="宋体" w:hAnsi="宋体" w:eastAsia="宋体" w:cs="宋体"/>
        </w:rPr>
        <w:t xml:space="preserve">项目编号：JSZC-320321-GSGS-G2026-0001</w:t>
      </w:r>
      <w:r/>
    </w:p>
    <w:p>
      <w:pPr>
        <w:spacing w:line="360" w:lineRule="auto"/>
        <w:rPr>
          <w:rFonts w:hint="eastAsia" w:ascii="宋体" w:hAnsi="宋体" w:eastAsia="宋体" w:cs="宋体"/>
        </w:rPr>
      </w:pPr>
      <w:r>
        <w:rPr>
          <w:rFonts w:hint="eastAsia" w:ascii="宋体" w:hAnsi="宋体" w:eastAsia="宋体" w:cs="宋体"/>
        </w:rPr>
      </w:r>
      <w:r/>
    </w:p>
    <w:tbl>
      <w:tblPr>
        <w:tblStyle w:val="821"/>
        <w:tblW w:w="9000" w:type="dxa"/>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bl>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注：投标人的投标文件中的内容与招标文件（含招标文件的澄清或者修改的内容）的要求不同时，逐条列在偏离表中，否则将认为投标人接受招标文件的要求。</w:t>
      </w:r>
      <w:r/>
    </w:p>
    <w:p>
      <w:pPr>
        <w:jc w:val="right"/>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五、法定代表人授权书</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委托人：</w:t>
      </w:r>
      <w:r/>
    </w:p>
    <w:p>
      <w:pPr>
        <w:spacing w:line="360" w:lineRule="auto"/>
        <w:rPr>
          <w:rFonts w:hint="eastAsia" w:ascii="宋体" w:hAnsi="宋体" w:eastAsia="宋体" w:cs="宋体"/>
        </w:rPr>
      </w:pPr>
      <w:r>
        <w:rPr>
          <w:rFonts w:hint="eastAsia" w:ascii="宋体" w:hAnsi="宋体" w:eastAsia="宋体" w:cs="宋体"/>
        </w:rPr>
        <w:t xml:space="preserve">地  址：</w:t>
      </w:r>
      <w:r/>
    </w:p>
    <w:p>
      <w:pPr>
        <w:spacing w:line="360" w:lineRule="auto"/>
        <w:rPr>
          <w:rFonts w:hint="eastAsia" w:ascii="宋体" w:hAnsi="宋体" w:eastAsia="宋体" w:cs="宋体"/>
        </w:rPr>
      </w:pPr>
      <w:r>
        <w:rPr>
          <w:rFonts w:hint="eastAsia" w:ascii="宋体" w:hAnsi="宋体" w:eastAsia="宋体" w:cs="宋体"/>
        </w:rPr>
        <w:t xml:space="preserve">法定代表人（负责人）：               职务：</w:t>
      </w:r>
      <w:r/>
    </w:p>
    <w:p>
      <w:pPr>
        <w:spacing w:line="360" w:lineRule="auto"/>
        <w:rPr>
          <w:rFonts w:hint="eastAsia" w:ascii="宋体" w:hAnsi="宋体" w:eastAsia="宋体" w:cs="宋体"/>
        </w:rPr>
      </w:pPr>
      <w:r>
        <w:rPr>
          <w:rFonts w:hint="eastAsia" w:ascii="宋体" w:hAnsi="宋体" w:eastAsia="宋体" w:cs="宋体"/>
        </w:rPr>
        <w:t xml:space="preserve">统一社会信用代码：</w:t>
      </w:r>
      <w:r/>
    </w:p>
    <w:p>
      <w:pPr>
        <w:spacing w:line="360" w:lineRule="auto"/>
        <w:rPr>
          <w:rFonts w:hint="eastAsia" w:ascii="宋体" w:hAnsi="宋体" w:eastAsia="宋体" w:cs="宋体"/>
        </w:rPr>
      </w:pPr>
      <w:r>
        <w:rPr>
          <w:rFonts w:hint="eastAsia" w:ascii="宋体" w:hAnsi="宋体" w:eastAsia="宋体" w:cs="宋体"/>
        </w:rPr>
        <w:t xml:space="preserve">受托人：                   性别：男（女）  </w:t>
      </w:r>
      <w:r/>
    </w:p>
    <w:p>
      <w:pPr>
        <w:spacing w:line="360" w:lineRule="auto"/>
        <w:rPr>
          <w:rFonts w:hint="eastAsia" w:ascii="宋体" w:hAnsi="宋体" w:eastAsia="宋体" w:cs="宋体"/>
        </w:rPr>
      </w:pPr>
      <w:r>
        <w:rPr>
          <w:rFonts w:hint="eastAsia" w:ascii="宋体" w:hAnsi="宋体" w:eastAsia="宋体" w:cs="宋体"/>
        </w:rPr>
        <w:t xml:space="preserve">年龄：  岁                 民族：   族</w:t>
      </w:r>
      <w:r/>
    </w:p>
    <w:p>
      <w:pPr>
        <w:spacing w:line="360" w:lineRule="auto"/>
        <w:rPr>
          <w:rFonts w:hint="eastAsia" w:ascii="宋体" w:hAnsi="宋体" w:eastAsia="宋体" w:cs="宋体"/>
        </w:rPr>
      </w:pPr>
      <w:r>
        <w:rPr>
          <w:rFonts w:hint="eastAsia" w:ascii="宋体" w:hAnsi="宋体" w:eastAsia="宋体" w:cs="宋体"/>
        </w:rPr>
        <w:t xml:space="preserve">职务：                     移动电话：</w:t>
      </w:r>
      <w:r/>
    </w:p>
    <w:p>
      <w:pPr>
        <w:spacing w:line="360" w:lineRule="auto"/>
        <w:rPr>
          <w:rFonts w:hint="eastAsia" w:ascii="宋体" w:hAnsi="宋体" w:eastAsia="宋体" w:cs="宋体"/>
        </w:rPr>
      </w:pPr>
      <w:r>
        <w:rPr>
          <w:rFonts w:hint="eastAsia" w:ascii="宋体" w:hAnsi="宋体" w:eastAsia="宋体" w:cs="宋体"/>
        </w:rPr>
        <w:t xml:space="preserve">身份证号：</w:t>
      </w:r>
      <w:r/>
    </w:p>
    <w:p>
      <w:pPr>
        <w:ind w:firstLine="480"/>
        <w:spacing w:line="360" w:lineRule="auto"/>
        <w:rPr>
          <w:rFonts w:hint="eastAsia" w:ascii="宋体" w:hAnsi="宋体" w:eastAsia="宋体" w:cs="宋体"/>
        </w:rPr>
      </w:pPr>
      <w:r>
        <w:rPr>
          <w:rFonts w:hint="eastAsia" w:ascii="宋体" w:hAnsi="宋体" w:eastAsia="宋体" w:cs="宋体"/>
        </w:rPr>
        <w:t xml:space="preserve">兹委托（      ）全权代表我企业（公司）参与（丰县生活垃圾填埋场第三方日常运维政府购买服务项目）项目（项目编号：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rPr>
      </w:pPr>
      <w:r>
        <w:rPr>
          <w:rFonts w:hint="eastAsia" w:ascii="宋体" w:hAnsi="宋体" w:eastAsia="宋体" w:cs="宋体"/>
        </w:rPr>
        <w:t xml:space="preserve">特此授权委托。</w:t>
      </w:r>
      <w:r/>
    </w:p>
    <w:p>
      <w:pPr>
        <w:jc w:val="right"/>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委托人（盖章）：          </w:t>
      </w:r>
      <w:r/>
    </w:p>
    <w:p>
      <w:pPr>
        <w:spacing w:line="360" w:lineRule="auto"/>
        <w:rPr>
          <w:rFonts w:hint="eastAsia" w:ascii="宋体" w:hAnsi="宋体" w:eastAsia="宋体" w:cs="宋体"/>
        </w:rPr>
      </w:pPr>
      <w:r>
        <w:rPr>
          <w:rFonts w:hint="eastAsia" w:ascii="宋体" w:hAnsi="宋体" w:eastAsia="宋体" w:cs="宋体"/>
        </w:rPr>
        <w:t xml:space="preserve">法定代表人（签字或盖章）：          </w:t>
      </w:r>
      <w:r/>
    </w:p>
    <w:p>
      <w:pPr>
        <w:spacing w:line="360" w:lineRule="auto"/>
        <w:rPr>
          <w:rFonts w:hint="eastAsia" w:ascii="宋体" w:hAnsi="宋体" w:eastAsia="宋体" w:cs="宋体"/>
        </w:rPr>
      </w:pPr>
      <w:r>
        <w:rPr>
          <w:rFonts w:hint="eastAsia" w:ascii="宋体" w:hAnsi="宋体" w:eastAsia="宋体" w:cs="宋体"/>
        </w:rPr>
        <w:t xml:space="preserve">受托人（签字或盖章）：          </w:t>
      </w:r>
      <w:r/>
    </w:p>
    <w:p>
      <w:pPr>
        <w:spacing w:line="360" w:lineRule="auto"/>
        <w:rPr>
          <w:rFonts w:hint="eastAsia" w:ascii="宋体" w:hAnsi="宋体" w:eastAsia="宋体" w:cs="宋体"/>
        </w:rPr>
      </w:pPr>
      <w:r>
        <w:rPr>
          <w:rFonts w:hint="eastAsia" w:ascii="宋体" w:hAnsi="宋体" w:eastAsia="宋体" w:cs="宋体"/>
        </w:rPr>
      </w:r>
      <w:r/>
    </w:p>
    <w:p>
      <w:pPr>
        <w:jc w:val="right"/>
        <w:spacing w:line="360" w:lineRule="auto"/>
        <w:rPr>
          <w:rFonts w:hint="eastAsia" w:ascii="宋体" w:hAnsi="宋体" w:eastAsia="宋体" w:cs="宋体"/>
        </w:rPr>
      </w:pPr>
      <w:r>
        <w:rPr>
          <w:rFonts w:hint="eastAsia" w:ascii="宋体" w:hAnsi="宋体" w:eastAsia="宋体" w:cs="宋体"/>
        </w:rPr>
        <w:t xml:space="preserve">年   月   日 </w:t>
      </w:r>
      <w:r/>
    </w:p>
    <w:p>
      <w:pPr>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rPr>
        <w:t xml:space="preserve">(受托人身份证复印件附后)</w:t>
      </w:r>
      <w:r/>
    </w:p>
    <w:p>
      <w:pPr>
        <w:spacing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六、中小企业声明函</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项目名称：丰县生活垃圾填埋场第三方日常运维政府购买服务项目                           </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项目编号：JSZC-320321-GSGS-G2026-0001                                </w:t>
      </w:r>
      <w:r/>
    </w:p>
    <w:p>
      <w:pPr>
        <w:pStyle w:val="866"/>
        <w:spacing w:line="360" w:lineRule="auto"/>
        <w:rPr>
          <w:rFonts w:hint="eastAsia" w:ascii="宋体" w:hAnsi="宋体" w:eastAsia="宋体" w:cs="宋体"/>
          <w:sz w:val="24"/>
        </w:rPr>
      </w:pPr>
      <w:r>
        <w:rPr>
          <w:rFonts w:hint="eastAsia" w:ascii="宋体" w:hAnsi="宋体" w:eastAsia="宋体" w:cs="宋体"/>
          <w:sz w:val="24"/>
        </w:rPr>
      </w:r>
      <w:r/>
    </w:p>
    <w:p>
      <w:pPr>
        <w:ind w:firstLine="560"/>
        <w:spacing w:line="360" w:lineRule="auto"/>
        <w:rPr>
          <w:rFonts w:hint="eastAsia" w:ascii="宋体" w:hAnsi="宋体" w:eastAsia="宋体" w:cs="宋体"/>
        </w:rPr>
      </w:pPr>
      <w:r>
        <w:rPr>
          <w:rFonts w:hint="eastAsia" w:ascii="宋体" w:hAnsi="宋体" w:eastAsia="宋体" w:cs="宋体"/>
        </w:rPr>
        <w:t xml:space="preserve">本公司郑重声明，根据《政府采购促进中小企业发展管理办法》（财库 (2020)46号）的规定，本公司参加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采购活动，服务全部由符合政策要求的中小企业承接。相关企业的具体情况如下：</w:t>
      </w:r>
      <w:r/>
    </w:p>
    <w:p>
      <w:pPr>
        <w:ind w:firstLine="480"/>
        <w:spacing w:line="360" w:lineRule="auto"/>
        <w:rPr>
          <w:rFonts w:hint="eastAsia" w:ascii="宋体" w:hAnsi="宋体" w:eastAsia="宋体" w:cs="宋体"/>
          <w:u w:val="single"/>
        </w:rPr>
      </w:pPr>
      <w:r>
        <w:rPr>
          <w:rFonts w:hint="eastAsia" w:ascii="宋体" w:hAnsi="宋体" w:eastAsia="宋体" w:cs="宋体"/>
          <w:u w:val="single"/>
        </w:rPr>
      </w:r>
      <w:r/>
    </w:p>
    <w:p>
      <w:pPr>
        <w:ind w:firstLine="480"/>
        <w:spacing w:line="360" w:lineRule="auto"/>
        <w:rPr>
          <w:rFonts w:hint="eastAsia" w:ascii="宋体" w:hAnsi="宋体" w:eastAsia="宋体" w:cs="宋体"/>
        </w:rPr>
      </w:pPr>
      <w:r>
        <w:rPr>
          <w:rFonts w:hint="eastAsia" w:ascii="宋体" w:hAnsi="宋体" w:eastAsia="宋体" w:cs="宋体"/>
          <w:u w:val="single"/>
        </w:rPr>
        <w:t xml:space="preserve">（丰县生活垃圾填埋场第三方日常运维政府购买服务项目）</w:t>
      </w:r>
      <w:r>
        <w:rPr>
          <w:rFonts w:hint="eastAsia" w:ascii="宋体" w:hAnsi="宋体" w:eastAsia="宋体" w:cs="宋体"/>
        </w:rPr>
        <w:t xml:space="preserve">，属于</w:t>
      </w:r>
      <w:r>
        <w:rPr>
          <w:rFonts w:hint="eastAsia" w:ascii="宋体" w:hAnsi="宋体" w:eastAsia="宋体" w:cs="宋体"/>
          <w:u w:val="none"/>
        </w:rPr>
        <w:t xml:space="preserve">（</w:t>
      </w:r>
      <w:r>
        <w:rPr>
          <w:rFonts w:hint="eastAsia" w:ascii="宋体" w:hAnsi="宋体" w:eastAsia="宋体" w:cs="宋体"/>
          <w:szCs w:val="24"/>
          <w:u w:val="single"/>
        </w:rPr>
        <w:t xml:space="preserve">其他未列明行业</w:t>
      </w:r>
      <w:r>
        <w:rPr>
          <w:rFonts w:hint="eastAsia" w:ascii="宋体" w:hAnsi="宋体" w:eastAsia="宋体" w:cs="宋体"/>
          <w:u w:val="none"/>
        </w:rPr>
        <w:t xml:space="preserve">）行业</w:t>
      </w:r>
      <w:r>
        <w:rPr>
          <w:rFonts w:hint="eastAsia" w:ascii="宋体" w:hAnsi="宋体" w:eastAsia="宋体" w:cs="宋体"/>
        </w:rPr>
        <w:t xml:space="preserve">；承建（承接）企业为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 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b/>
        </w:rPr>
        <w:t xml:space="preserve">属于（□中型企业、□小型企业、□微型企业，请勾选！）</w:t>
      </w:r>
      <w:r>
        <w:rPr>
          <w:rFonts w:hint="eastAsia" w:ascii="宋体" w:hAnsi="宋体" w:eastAsia="宋体" w:cs="宋体"/>
        </w:rPr>
        <w:t xml:space="preserve">；</w:t>
      </w:r>
      <w:r/>
    </w:p>
    <w:p>
      <w:pPr>
        <w:ind w:firstLine="560"/>
        <w:spacing w:line="360" w:lineRule="auto"/>
        <w:rPr>
          <w:rFonts w:hint="eastAsia" w:ascii="宋体" w:hAnsi="宋体" w:eastAsia="宋体" w:cs="宋体"/>
        </w:rPr>
      </w:pPr>
      <w:r>
        <w:rPr>
          <w:rFonts w:hint="eastAsia" w:ascii="宋体" w:hAnsi="宋体" w:eastAsia="宋体" w:cs="宋体"/>
        </w:rPr>
        <w:t xml:space="preserve">……</w:t>
      </w:r>
      <w:r/>
    </w:p>
    <w:p>
      <w:pPr>
        <w:ind w:firstLine="560"/>
        <w:spacing w:line="360" w:lineRule="auto"/>
        <w:rPr>
          <w:rFonts w:hint="eastAsia" w:ascii="宋体" w:hAnsi="宋体" w:eastAsia="宋体" w:cs="宋体"/>
        </w:rPr>
      </w:pPr>
      <w:r>
        <w:rPr>
          <w:rFonts w:hint="eastAsia" w:ascii="宋体" w:hAnsi="宋体" w:eastAsia="宋体" w:cs="宋体"/>
        </w:rPr>
      </w:r>
      <w:r/>
    </w:p>
    <w:p>
      <w:pPr>
        <w:ind w:firstLine="56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560"/>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rPr>
      </w:pPr>
      <w:r>
        <w:rPr>
          <w:rFonts w:hint="eastAsia" w:ascii="宋体" w:hAnsi="宋体" w:eastAsia="宋体" w:cs="宋体"/>
          <w:b/>
        </w:rPr>
        <w:t xml:space="preserve">备注：</w:t>
      </w:r>
      <w:r/>
    </w:p>
    <w:p>
      <w:pPr>
        <w:ind w:firstLine="480"/>
        <w:spacing w:line="360" w:lineRule="auto"/>
        <w:rPr>
          <w:rFonts w:hint="eastAsia" w:ascii="宋体" w:hAnsi="宋体" w:eastAsia="宋体" w:cs="宋体"/>
          <w:b/>
        </w:rPr>
      </w:pPr>
      <w:r>
        <w:rPr>
          <w:rFonts w:hint="eastAsia" w:ascii="宋体" w:hAnsi="宋体" w:eastAsia="宋体" w:cs="宋体"/>
          <w:b/>
        </w:rPr>
        <w:t xml:space="preserve">1、本项目采购的服务属于</w:t>
      </w:r>
      <w:r>
        <w:rPr>
          <w:rFonts w:hint="eastAsia" w:ascii="宋体" w:hAnsi="宋体" w:eastAsia="宋体" w:cs="宋体"/>
          <w:b/>
          <w:u w:val="single"/>
        </w:rPr>
        <w:t xml:space="preserve">其他未列明行业</w:t>
      </w:r>
      <w:r>
        <w:rPr>
          <w:rFonts w:hint="eastAsia" w:ascii="宋体" w:hAnsi="宋体" w:eastAsia="宋体" w:cs="宋体"/>
          <w:b/>
        </w:rPr>
        <w:t xml:space="preserve">。</w:t>
      </w:r>
      <w:r/>
    </w:p>
    <w:p>
      <w:pPr>
        <w:ind w:firstLine="480"/>
        <w:spacing w:line="360" w:lineRule="auto"/>
        <w:rPr>
          <w:rFonts w:hint="eastAsia" w:ascii="宋体" w:hAnsi="宋体" w:eastAsia="宋体" w:cs="宋体"/>
        </w:rPr>
      </w:pPr>
      <w:r>
        <w:rPr>
          <w:rFonts w:hint="eastAsia" w:ascii="宋体" w:hAnsi="宋体" w:eastAsia="宋体" w:cs="宋体"/>
          <w:b/>
        </w:rPr>
        <w:t xml:space="preserve">2、从业人员、营业收入、资产总额填报上一年度数据，无上一年度数据的新成立企业可不填报。</w:t>
      </w:r>
      <w:r/>
    </w:p>
    <w:p>
      <w:pPr>
        <w:ind w:firstLine="480"/>
        <w:spacing w:line="360" w:lineRule="auto"/>
        <w:rPr>
          <w:rFonts w:hint="eastAsia" w:ascii="宋体" w:hAnsi="宋体" w:eastAsia="宋体" w:cs="宋体"/>
          <w:b/>
        </w:rPr>
      </w:pPr>
      <w:r>
        <w:rPr>
          <w:rFonts w:hint="eastAsia" w:ascii="宋体" w:hAnsi="宋体" w:eastAsia="宋体" w:cs="宋体"/>
          <w:b/>
        </w:rPr>
        <w:t xml:space="preserve">3、《中小企业声明函》查询渠道参考工业和信息化部发布的中小企业规模自测小程序。</w:t>
      </w:r>
      <w:r/>
    </w:p>
    <w:p>
      <w:pPr>
        <w:spacing w:line="360" w:lineRule="auto"/>
        <w:rPr>
          <w:rFonts w:hint="eastAsia" w:ascii="宋体" w:hAnsi="宋体" w:eastAsia="宋体" w:cs="宋体"/>
        </w:rPr>
      </w:pPr>
      <w:r>
        <w:rPr>
          <w:rFonts w:hint="eastAsia" w:ascii="宋体" w:hAnsi="宋体" w:eastAsia="宋体" w:cs="宋体"/>
        </w:rPr>
        <w:t xml:space="preserve">附件：中小企业规模类型自测小程序</w:t>
      </w:r>
      <w:r/>
    </w:p>
    <w:p>
      <w:pPr>
        <w:spacing w:line="360" w:lineRule="auto"/>
        <w:rPr>
          <w:rFonts w:hint="eastAsia" w:ascii="宋体" w:hAnsi="宋体" w:eastAsia="宋体" w:cs="宋体"/>
        </w:rPr>
      </w:pPr>
      <w:r>
        <w:rPr>
          <w:rFonts w:hint="eastAsia" w:ascii="宋体" w:hAnsi="宋体" w:eastAsia="宋体" w:cs="宋体"/>
        </w:rPr>
      </w:r>
      <w:r/>
    </w:p>
    <w:p>
      <w:pPr>
        <w:pStyle w:val="840"/>
        <w:jc w:val="center"/>
        <w:spacing w:line="360" w:lineRule="auto"/>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047875" cy="4210050"/>
                <wp:effectExtent l="0" t="0" r="9525"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2047875" cy="421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1.2pt;height:331.5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七、残疾人福利性单位声明函（如是）</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 </w:t>
      </w:r>
      <w:r/>
    </w:p>
    <w:p>
      <w:pPr>
        <w:spacing w:line="360" w:lineRule="auto"/>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zCs w:val="22"/>
        </w:rPr>
        <w:t xml:space="preserve">JSZC-320321-GSGS-G2026-0001</w:t>
      </w:r>
      <w:r/>
    </w:p>
    <w:p>
      <w:pPr>
        <w:ind w:firstLine="480"/>
        <w:spacing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八、投标人参加政府采购活动前3年内在经营活动中没有重大违法记录的书面声明</w:t>
      </w:r>
      <w:r/>
    </w:p>
    <w:p>
      <w:pPr>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我单位在参加</w:t>
      </w:r>
      <w:r>
        <w:rPr>
          <w:rFonts w:hint="eastAsia" w:ascii="宋体" w:hAnsi="宋体" w:eastAsia="宋体" w:cs="宋体"/>
          <w:u w:val="single"/>
        </w:rPr>
        <w:t xml:space="preserve">丰县生活垃圾填埋场第三方日常运维政府购买服务项目</w:t>
      </w:r>
      <w:r>
        <w:rPr>
          <w:rFonts w:hint="eastAsia" w:ascii="宋体" w:hAnsi="宋体" w:eastAsia="宋体" w:cs="宋体"/>
        </w:rPr>
        <w:t xml:space="preserve">（项目编号：</w:t>
      </w:r>
      <w:r>
        <w:rPr>
          <w:rFonts w:hint="eastAsia" w:ascii="宋体" w:hAnsi="宋体" w:eastAsia="宋体" w:cs="宋体"/>
          <w:szCs w:val="22"/>
        </w:rPr>
        <w:t xml:space="preserve">JSZC-320321-GSGS-G2026-0001</w:t>
      </w:r>
      <w:r>
        <w:rPr>
          <w:rFonts w:hint="eastAsia" w:ascii="宋体" w:hAnsi="宋体" w:eastAsia="宋体" w:cs="宋体"/>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rPr>
      </w:pPr>
      <w:r>
        <w:rPr>
          <w:rFonts w:hint="eastAsia" w:ascii="宋体" w:hAnsi="宋体" w:eastAsia="宋体" w:cs="宋体"/>
        </w:rPr>
        <w:t xml:space="preserve">我单位对上述声明的真实性负责。如有虚假，将依法承担相应责任。</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九、具备履行合同所必需的设备和专业技术能力的书面声明</w:t>
      </w:r>
      <w:r/>
    </w:p>
    <w:p>
      <w:pPr>
        <w:spacing w:line="360" w:lineRule="auto"/>
        <w:rPr>
          <w:rFonts w:hint="eastAsia" w:ascii="宋体" w:hAnsi="宋体" w:eastAsia="宋体" w:cs="宋体"/>
          <w:b/>
          <w:bCs/>
          <w:szCs w:val="22"/>
        </w:rPr>
      </w:pPr>
      <w:r>
        <w:rPr>
          <w:rFonts w:hint="eastAsia" w:ascii="宋体" w:hAnsi="宋体" w:eastAsia="宋体" w:cs="宋体"/>
          <w:b/>
          <w:bCs/>
          <w:szCs w:val="22"/>
        </w:rPr>
      </w:r>
      <w:r/>
    </w:p>
    <w:p>
      <w:pPr>
        <w:spacing w:line="360" w:lineRule="auto"/>
        <w:rPr>
          <w:rFonts w:hint="eastAsia" w:ascii="宋体" w:hAnsi="宋体" w:eastAsia="宋体" w:cs="宋体"/>
          <w:szCs w:val="22"/>
        </w:rPr>
      </w:pPr>
      <w:r>
        <w:rPr>
          <w:rFonts w:hint="eastAsia" w:ascii="宋体" w:hAnsi="宋体" w:eastAsia="宋体" w:cs="宋体"/>
          <w:szCs w:val="22"/>
        </w:rPr>
        <w:t xml:space="preserve">项目名称：丰县生活垃圾填埋场第三方日常运维政府购买服务项目</w:t>
      </w:r>
      <w:r/>
    </w:p>
    <w:p>
      <w:pPr>
        <w:spacing w:line="360" w:lineRule="auto"/>
        <w:rPr>
          <w:rFonts w:hint="eastAsia" w:ascii="宋体" w:hAnsi="宋体" w:eastAsia="宋体" w:cs="宋体"/>
          <w:szCs w:val="22"/>
        </w:rPr>
      </w:pPr>
      <w:r>
        <w:rPr>
          <w:rFonts w:hint="eastAsia" w:ascii="宋体" w:hAnsi="宋体" w:eastAsia="宋体" w:cs="宋体"/>
          <w:szCs w:val="22"/>
        </w:rPr>
        <w:t xml:space="preserve">项目编号：JSZC-320321-GSGS-G2026-0001</w:t>
      </w:r>
      <w:r/>
    </w:p>
    <w:p>
      <w:pPr>
        <w:spacing w:line="360" w:lineRule="auto"/>
        <w:rPr>
          <w:rFonts w:hint="eastAsia" w:ascii="宋体" w:hAnsi="宋体" w:eastAsia="宋体" w:cs="宋体"/>
          <w:szCs w:val="22"/>
        </w:rPr>
      </w:pPr>
      <w:r>
        <w:rPr>
          <w:rFonts w:hint="eastAsia" w:ascii="宋体" w:hAnsi="宋体" w:eastAsia="宋体" w:cs="宋体"/>
          <w:szCs w:val="22"/>
        </w:rPr>
      </w:r>
      <w:r/>
    </w:p>
    <w:p>
      <w:pPr>
        <w:ind w:firstLine="480"/>
        <w:spacing w:line="360" w:lineRule="auto"/>
        <w:rPr>
          <w:rFonts w:hint="eastAsia" w:ascii="宋体" w:hAnsi="宋体" w:eastAsia="宋体" w:cs="宋体"/>
          <w:szCs w:val="22"/>
        </w:rPr>
      </w:pPr>
      <w:r>
        <w:rPr>
          <w:rFonts w:hint="eastAsia" w:ascii="宋体" w:hAnsi="宋体" w:eastAsia="宋体" w:cs="宋体"/>
          <w:szCs w:val="22"/>
        </w:rPr>
        <w:t xml:space="preserve">投标人郑重声明：投标人具备履行合同（项目名称：</w:t>
      </w:r>
      <w:r>
        <w:rPr>
          <w:rFonts w:hint="eastAsia" w:ascii="宋体" w:hAnsi="宋体" w:eastAsia="宋体" w:cs="宋体"/>
        </w:rPr>
        <w:t xml:space="preserve">丰县生活垃圾填埋场第三方日常运维政府购买服务项目</w:t>
      </w:r>
      <w:r>
        <w:rPr>
          <w:rFonts w:hint="eastAsia" w:ascii="宋体" w:hAnsi="宋体" w:eastAsia="宋体" w:cs="宋体"/>
          <w:szCs w:val="22"/>
        </w:rPr>
        <w:t xml:space="preserve"> ，项目编号：JSZC-320321-GSGS-G2026-0001）所必需的设备和专业技术能力，具体为：</w:t>
      </w:r>
      <w:r/>
    </w:p>
    <w:p>
      <w:pPr>
        <w:spacing w:line="360" w:lineRule="auto"/>
        <w:rPr>
          <w:rFonts w:hint="eastAsia" w:ascii="宋体" w:hAnsi="宋体" w:eastAsia="宋体" w:cs="宋体"/>
          <w:szCs w:val="22"/>
        </w:rPr>
      </w:pPr>
      <w:r>
        <w:rPr>
          <w:rFonts w:hint="eastAsia" w:ascii="宋体" w:hAnsi="宋体" w:eastAsia="宋体" w:cs="宋体"/>
          <w:szCs w:val="22"/>
        </w:rPr>
        <w:t xml:space="preserve">.....（格式自拟）</w:t>
      </w:r>
      <w:r/>
    </w:p>
    <w:p>
      <w:pPr>
        <w:spacing w:line="360" w:lineRule="auto"/>
        <w:rPr>
          <w:rFonts w:hint="eastAsia" w:ascii="宋体" w:hAnsi="宋体" w:eastAsia="宋体" w:cs="宋体"/>
          <w:szCs w:val="22"/>
        </w:rPr>
      </w:pPr>
      <w:r>
        <w:rPr>
          <w:rFonts w:hint="eastAsia" w:ascii="宋体" w:hAnsi="宋体" w:eastAsia="宋体" w:cs="宋体"/>
          <w:szCs w:val="22"/>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64"/>
        <w:ind w:right="29" w:firstLine="3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投标人（电子签章）：</w:t>
      </w:r>
      <w:r/>
    </w:p>
    <w:p>
      <w:pPr>
        <w:pStyle w:val="864"/>
        <w:ind w:right="29" w:firstLine="396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864"/>
        <w:ind w:right="29" w:firstLine="3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p>
    <w:p>
      <w:pPr>
        <w:pStyle w:val="864"/>
        <w:ind w:right="29" w:firstLine="396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600"/>
        <w:spacing w:line="360" w:lineRule="auto"/>
        <w:rPr>
          <w:rFonts w:hint="eastAsia" w:ascii="宋体" w:hAnsi="宋体" w:eastAsia="宋体" w:cs="宋体"/>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十、招标代理服务费收费标准</w:t>
      </w:r>
      <w:r/>
    </w:p>
    <w:tbl>
      <w:tblPr>
        <w:tblStyle w:val="1013"/>
        <w:tblW w:w="7340"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4"/>
        <w:gridCol w:w="2746"/>
      </w:tblGrid>
      <w:tr>
        <w:trPr>
          <w:trHeight w:val="568"/>
        </w:trPr>
        <w:tc>
          <w:tcPr>
            <w:tcW w:w="4594" w:type="dxa"/>
            <w:vAlign w:val="top"/>
            <w:textDirection w:val="lrTb"/>
            <w:noWrap w:val="false"/>
          </w:tcPr>
          <w:p>
            <w:pPr>
              <w:jc w:val="center"/>
              <w:spacing w:before="168" w:line="360" w:lineRule="auto"/>
              <w:rPr>
                <w:rFonts w:hint="eastAsia" w:ascii="宋体" w:hAnsi="宋体" w:eastAsia="宋体" w:cs="宋体"/>
                <w:sz w:val="24"/>
                <w:szCs w:val="24"/>
              </w:rPr>
            </w:pPr>
            <w:r>
              <w:rPr>
                <w:rFonts w:hint="eastAsia" w:ascii="宋体" w:hAnsi="宋体" w:eastAsia="宋体" w:cs="宋体"/>
                <w:spacing w:val="1"/>
                <w:sz w:val="24"/>
                <w:szCs w:val="24"/>
                <w:lang w:eastAsia="en-US"/>
              </w:rPr>
              <w:t xml:space="preserve">中标或者成交金额</w:t>
            </w:r>
            <w:r/>
          </w:p>
        </w:tc>
        <w:tc>
          <w:tcPr>
            <w:tcW w:w="2746" w:type="dxa"/>
            <w:vAlign w:val="top"/>
            <w:textDirection w:val="lrTb"/>
            <w:noWrap w:val="false"/>
          </w:tcPr>
          <w:p>
            <w:pPr>
              <w:jc w:val="center"/>
              <w:spacing w:before="168" w:line="360" w:lineRule="auto"/>
              <w:rPr>
                <w:rFonts w:hint="eastAsia" w:ascii="宋体" w:hAnsi="宋体" w:eastAsia="宋体" w:cs="宋体"/>
                <w:sz w:val="24"/>
                <w:szCs w:val="24"/>
              </w:rPr>
            </w:pPr>
            <w:r>
              <w:rPr>
                <w:rFonts w:hint="eastAsia" w:ascii="宋体" w:hAnsi="宋体" w:eastAsia="宋体" w:cs="宋体"/>
                <w:spacing w:val="7"/>
                <w:sz w:val="24"/>
                <w:szCs w:val="24"/>
                <w:lang w:eastAsia="en-US"/>
              </w:rPr>
              <w:t xml:space="preserve">费率</w:t>
            </w:r>
            <w:r/>
          </w:p>
        </w:tc>
      </w:tr>
      <w:tr>
        <w:trPr>
          <w:trHeight w:val="556"/>
        </w:trPr>
        <w:tc>
          <w:tcPr>
            <w:tcW w:w="4594" w:type="dxa"/>
            <w:vAlign w:val="center"/>
            <w:textDirection w:val="lrTb"/>
            <w:noWrap w:val="false"/>
          </w:tcPr>
          <w:p>
            <w:pPr>
              <w:jc w:val="center"/>
              <w:spacing w:before="154" w:line="360" w:lineRule="auto"/>
              <w:rPr>
                <w:rFonts w:hint="eastAsia" w:ascii="宋体" w:hAnsi="宋体" w:eastAsia="宋体" w:cs="宋体"/>
                <w:sz w:val="24"/>
                <w:szCs w:val="24"/>
              </w:rPr>
            </w:pPr>
            <w:r>
              <w:rPr>
                <w:rFonts w:hint="eastAsia" w:ascii="宋体" w:hAnsi="宋体" w:eastAsia="宋体" w:cs="宋体"/>
                <w:spacing w:val="4"/>
                <w:sz w:val="24"/>
                <w:szCs w:val="24"/>
                <w:lang w:eastAsia="en-US"/>
              </w:rPr>
              <w:t xml:space="preserve">最低收费金额(每个委托项目)</w:t>
            </w:r>
            <w:r/>
          </w:p>
        </w:tc>
        <w:tc>
          <w:tcPr>
            <w:tcW w:w="2746" w:type="dxa"/>
            <w:vAlign w:val="center"/>
            <w:textDirection w:val="lrTb"/>
            <w:noWrap w:val="false"/>
          </w:tcPr>
          <w:p>
            <w:pPr>
              <w:jc w:val="center"/>
              <w:spacing w:before="155"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5000元</w:t>
            </w:r>
            <w:r/>
          </w:p>
        </w:tc>
      </w:tr>
      <w:tr>
        <w:trPr>
          <w:trHeight w:val="628"/>
        </w:trPr>
        <w:tc>
          <w:tcPr>
            <w:tcW w:w="4594" w:type="dxa"/>
            <w:vAlign w:val="center"/>
            <w:textDirection w:val="lrTb"/>
            <w:noWrap w:val="false"/>
          </w:tcPr>
          <w:p>
            <w:pPr>
              <w:jc w:val="center"/>
              <w:spacing w:before="155"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50万元以下(含50万元)</w:t>
            </w:r>
            <w:r/>
          </w:p>
        </w:tc>
        <w:tc>
          <w:tcPr>
            <w:tcW w:w="2746" w:type="dxa"/>
            <w:vAlign w:val="center"/>
            <w:textDirection w:val="lrTb"/>
            <w:noWrap w:val="false"/>
          </w:tcPr>
          <w:p>
            <w:pPr>
              <w:jc w:val="center"/>
              <w:spacing w:before="236" w:line="360" w:lineRule="auto"/>
              <w:rPr>
                <w:rFonts w:hint="eastAsia" w:ascii="宋体" w:hAnsi="宋体" w:eastAsia="宋体" w:cs="宋体"/>
                <w:sz w:val="24"/>
                <w:szCs w:val="24"/>
              </w:rPr>
            </w:pPr>
            <w:r>
              <w:rPr>
                <w:rFonts w:hint="eastAsia" w:ascii="宋体" w:hAnsi="宋体" w:eastAsia="宋体" w:cs="宋体"/>
                <w:spacing w:val="-8"/>
                <w:sz w:val="24"/>
                <w:szCs w:val="24"/>
                <w:lang w:eastAsia="en-US"/>
              </w:rPr>
              <w:t xml:space="preserve">1.6%</w:t>
            </w:r>
            <w:r/>
          </w:p>
        </w:tc>
      </w:tr>
      <w:tr>
        <w:trPr>
          <w:trHeight w:val="628"/>
        </w:trPr>
        <w:tc>
          <w:tcPr>
            <w:tcW w:w="4594" w:type="dxa"/>
            <w:vAlign w:val="center"/>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pacing w:val="4"/>
                <w:sz w:val="24"/>
                <w:szCs w:val="24"/>
                <w:lang w:eastAsia="en-US"/>
              </w:rPr>
              <w:t xml:space="preserve">50-400万元(含400万元)</w:t>
            </w:r>
            <w:r/>
          </w:p>
        </w:tc>
        <w:tc>
          <w:tcPr>
            <w:tcW w:w="2746" w:type="dxa"/>
            <w:vAlign w:val="center"/>
            <w:textDirection w:val="lrTb"/>
            <w:noWrap w:val="false"/>
          </w:tcPr>
          <w:p>
            <w:pPr>
              <w:jc w:val="center"/>
              <w:spacing w:before="237" w:line="360" w:lineRule="auto"/>
              <w:rPr>
                <w:rFonts w:hint="eastAsia" w:ascii="宋体" w:hAnsi="宋体" w:eastAsia="宋体" w:cs="宋体"/>
                <w:sz w:val="24"/>
                <w:szCs w:val="24"/>
              </w:rPr>
            </w:pPr>
            <w:r>
              <w:rPr>
                <w:rFonts w:hint="eastAsia" w:ascii="宋体" w:hAnsi="宋体" w:eastAsia="宋体" w:cs="宋体"/>
                <w:spacing w:val="-7"/>
                <w:sz w:val="24"/>
                <w:szCs w:val="24"/>
                <w:lang w:eastAsia="en-US"/>
              </w:rPr>
              <w:t xml:space="preserve">1.5%</w:t>
            </w:r>
            <w:r/>
          </w:p>
        </w:tc>
      </w:tr>
      <w:tr>
        <w:trPr>
          <w:trHeight w:val="638"/>
        </w:trPr>
        <w:tc>
          <w:tcPr>
            <w:tcW w:w="4594" w:type="dxa"/>
            <w:vAlign w:val="center"/>
            <w:textDirection w:val="lrTb"/>
            <w:noWrap w:val="false"/>
          </w:tcPr>
          <w:p>
            <w:pPr>
              <w:jc w:val="center"/>
              <w:spacing w:before="167"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400-1000万元(含1000万元)</w:t>
            </w:r>
            <w:r/>
          </w:p>
        </w:tc>
        <w:tc>
          <w:tcPr>
            <w:tcW w:w="2746" w:type="dxa"/>
            <w:vAlign w:val="center"/>
            <w:textDirection w:val="lrTb"/>
            <w:noWrap w:val="false"/>
          </w:tcPr>
          <w:p>
            <w:pPr>
              <w:jc w:val="center"/>
              <w:spacing w:before="248"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1.1%</w:t>
            </w:r>
            <w:r/>
          </w:p>
        </w:tc>
      </w:tr>
      <w:tr>
        <w:trPr>
          <w:trHeight w:val="631"/>
        </w:trPr>
        <w:tc>
          <w:tcPr>
            <w:tcW w:w="4594" w:type="dxa"/>
            <w:vAlign w:val="center"/>
            <w:textDirection w:val="lrTb"/>
            <w:noWrap w:val="false"/>
          </w:tcPr>
          <w:p>
            <w:pPr>
              <w:jc w:val="center"/>
              <w:spacing w:before="158"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1000-5000万元(含5000万元)</w:t>
            </w:r>
            <w:r/>
          </w:p>
        </w:tc>
        <w:tc>
          <w:tcPr>
            <w:tcW w:w="2746" w:type="dxa"/>
            <w:vAlign w:val="center"/>
            <w:textDirection w:val="lrTb"/>
            <w:noWrap w:val="false"/>
          </w:tcPr>
          <w:p>
            <w:pPr>
              <w:jc w:val="center"/>
              <w:spacing w:before="240"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0.8%</w:t>
            </w:r>
            <w:r/>
          </w:p>
        </w:tc>
      </w:tr>
      <w:tr>
        <w:trPr>
          <w:trHeight w:val="632"/>
        </w:trPr>
        <w:tc>
          <w:tcPr>
            <w:tcW w:w="4594" w:type="dxa"/>
            <w:vAlign w:val="center"/>
            <w:textDirection w:val="lrTb"/>
            <w:noWrap w:val="false"/>
          </w:tcPr>
          <w:p>
            <w:pPr>
              <w:jc w:val="center"/>
              <w:spacing w:before="159"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5000-1亿元(含1亿元)</w:t>
            </w:r>
            <w:r/>
          </w:p>
        </w:tc>
        <w:tc>
          <w:tcPr>
            <w:tcW w:w="2746" w:type="dxa"/>
            <w:vAlign w:val="center"/>
            <w:textDirection w:val="lrTb"/>
            <w:noWrap w:val="false"/>
          </w:tcPr>
          <w:p>
            <w:pPr>
              <w:jc w:val="center"/>
              <w:spacing w:before="241"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0.25%</w:t>
            </w:r>
            <w:r/>
          </w:p>
        </w:tc>
      </w:tr>
      <w:tr>
        <w:trPr>
          <w:trHeight w:val="642"/>
        </w:trPr>
        <w:tc>
          <w:tcPr>
            <w:tcW w:w="4594" w:type="dxa"/>
            <w:vAlign w:val="center"/>
            <w:textDirection w:val="lrTb"/>
            <w:noWrap w:val="false"/>
          </w:tcPr>
          <w:p>
            <w:pPr>
              <w:jc w:val="center"/>
              <w:spacing w:before="170"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1-10亿元(含10亿元)</w:t>
            </w:r>
            <w:r/>
          </w:p>
        </w:tc>
        <w:tc>
          <w:tcPr>
            <w:tcW w:w="2746" w:type="dxa"/>
            <w:vAlign w:val="center"/>
            <w:textDirection w:val="lrTb"/>
            <w:noWrap w:val="false"/>
          </w:tcPr>
          <w:p>
            <w:pPr>
              <w:jc w:val="center"/>
              <w:spacing w:before="252"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0.05%</w:t>
            </w:r>
            <w:r/>
          </w:p>
        </w:tc>
      </w:tr>
      <w:tr>
        <w:trPr>
          <w:trHeight w:val="634"/>
        </w:trPr>
        <w:tc>
          <w:tcPr>
            <w:tcW w:w="4594" w:type="dxa"/>
            <w:vAlign w:val="center"/>
            <w:textDirection w:val="lrTb"/>
            <w:noWrap w:val="false"/>
          </w:tcPr>
          <w:p>
            <w:pPr>
              <w:jc w:val="center"/>
              <w:spacing w:before="162"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10-50亿元(含50亿元)</w:t>
            </w:r>
            <w:r/>
          </w:p>
        </w:tc>
        <w:tc>
          <w:tcPr>
            <w:tcW w:w="2746" w:type="dxa"/>
            <w:vAlign w:val="center"/>
            <w:textDirection w:val="lrTb"/>
            <w:noWrap w:val="false"/>
          </w:tcPr>
          <w:p>
            <w:pPr>
              <w:jc w:val="center"/>
              <w:spacing w:before="243"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0.01%</w:t>
            </w:r>
            <w:r/>
          </w:p>
        </w:tc>
      </w:tr>
      <w:tr>
        <w:trPr>
          <w:trHeight w:val="644"/>
        </w:trPr>
        <w:tc>
          <w:tcPr>
            <w:tcW w:w="4594" w:type="dxa"/>
            <w:vAlign w:val="center"/>
            <w:textDirection w:val="lrTb"/>
            <w:noWrap w:val="false"/>
          </w:tcPr>
          <w:p>
            <w:pPr>
              <w:jc w:val="center"/>
              <w:spacing w:before="164"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50亿元以上</w:t>
            </w:r>
            <w:r/>
          </w:p>
        </w:tc>
        <w:tc>
          <w:tcPr>
            <w:tcW w:w="2746" w:type="dxa"/>
            <w:vAlign w:val="center"/>
            <w:textDirection w:val="lrTb"/>
            <w:noWrap w:val="false"/>
          </w:tcPr>
          <w:p>
            <w:pPr>
              <w:jc w:val="center"/>
              <w:spacing w:before="245"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0.005%</w:t>
            </w:r>
            <w:r/>
          </w:p>
        </w:tc>
      </w:tr>
    </w:tbl>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p>
    <w:p>
      <w:pPr>
        <w:ind w:firstLine="5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关于进一步规范政府采购活动相关费用管理的通知》（苏财规〔2026〕1号）关于“采购人要求由中标、成交供应商支付的，供应商报价应当包含代理费，且应在采购文件中说明原因并明示代理费收取方式、标准及确立标准的依据；采购文件中未明示上述内容的，不得要求中标、成交供应商代为支付代理费”的规定，本项目因采购预算中未列支采购代理服务费，代理费由中标人支付，投标报价应当包含代理费；代理费收取方式、标准及确立标准的依据如下：</w:t>
      </w:r>
      <w:r/>
    </w:p>
    <w:p>
      <w:pPr>
        <w:ind w:firstLine="580"/>
        <w:spacing w:line="360" w:lineRule="auto"/>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1.按上表计算的收费为代理服务全过程的收费金额。各社会代理机构不再收取采购文件制作售卖费用。</w:t>
      </w:r>
      <w:r/>
    </w:p>
    <w:p>
      <w:pPr>
        <w:ind w:firstLine="5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2.代理服务费按差额定率累进法计算。</w:t>
      </w:r>
      <w:r/>
    </w:p>
    <w:p>
      <w:pPr>
        <w:ind w:left="77"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3.代理服务费基准金额（按差额定率累进法计算的）=中标金额（按差额定率累进法计算的） * 费率（%）。</w:t>
      </w:r>
      <w:r/>
    </w:p>
    <w:p>
      <w:pPr>
        <w:ind w:left="67"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4.代理服务费应收取金额=代理服务费基准金额（按差额定率累进法计算的）的合计数。</w:t>
      </w:r>
      <w:r/>
    </w:p>
    <w:p>
      <w:pPr>
        <w:ind w:firstLine="5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5.定点类等无金额或事先不能计算出价格总额的项目，按中标(成交)金额100万元计算。</w:t>
      </w:r>
      <w:r/>
    </w:p>
    <w:p>
      <w:pPr>
        <w:ind w:firstLine="5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6.有分包(分标段)的按一个项目计算。</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 7.备注：1）收费标准执行本表的64.3%，由中标人支付。</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2）关于进一步规范政府采购活动相关费用管理的通知（苏财规〔2026〕1号）</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评审活动相关费用：评审专家参加省内政府采购项目评审时应获得的专家评审费按以下规定进行管理。</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（一）集中采购机构实施的项目，由集中采购机构支付评审费；非集中采购机构实施的项目，由采购人支付评审费，不得由其他单位或个人代为支付，严禁将专家评审费转嫁给代理机构或中标、乙方。</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（二）远程异地评标项目专家评审费按评审专家属地规定的标准支付。</w:t>
      </w:r>
      <w:r/>
    </w:p>
    <w:p>
      <w:pPr>
        <w:pStyle w:val="908"/>
        <w:ind w:firstLine="478"/>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（三）专家评审费应在项目评审完成后30个工作日内支付专家。因专家原因导致项目废标，则不需要向应当承担责任的专家支付费用。</w:t>
      </w:r>
      <w:r/>
    </w:p>
    <w:p>
      <w:pPr>
        <w:shd w:val="nil" w:color="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十一、关于符合本国产品标准的声明函</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vertAlign w:val="superscript"/>
        </w:rPr>
        <w:t xml:space="preserve">1</w:t>
      </w:r>
      <w:r>
        <w:rPr>
          <w:rFonts w:ascii="SimSun" w:hAnsi="SimSun" w:eastAsia="SimSun" w:cs="SimSun"/>
          <w:color w:val="333333"/>
          <w:sz w:val="24"/>
          <w:highlight w:val="white"/>
        </w:rPr>
        <w:t xml:space="preserve">，生产厂为</w:t>
      </w:r>
      <w:r>
        <w:rPr>
          <w:rFonts w:ascii="SimSun" w:hAnsi="SimSun" w:eastAsia="SimSun" w:cs="SimSun"/>
          <w:color w:val="333333"/>
          <w:sz w:val="24"/>
          <w:highlight w:val="white"/>
          <w:u w:val="single"/>
        </w:rPr>
        <w:t xml:space="preserve">（厂名）</w:t>
      </w:r>
      <w:r>
        <w:rPr>
          <w:rFonts w:ascii="SimSun" w:hAnsi="SimSun" w:eastAsia="SimSun" w:cs="SimSun"/>
          <w:color w:val="333333"/>
          <w:sz w:val="24"/>
          <w:highlight w:val="white"/>
          <w:vertAlign w:val="superscript"/>
        </w:rPr>
        <w:t xml:space="preserve">2</w:t>
      </w:r>
      <w:r>
        <w:rPr>
          <w:rFonts w:ascii="SimSun" w:hAnsi="SimSun" w:eastAsia="SimSun" w:cs="SimSun"/>
          <w:color w:val="333333"/>
          <w:sz w:val="24"/>
          <w:highlight w:val="white"/>
        </w:rPr>
        <w:t xml:space="preserve">，厂址为</w:t>
      </w:r>
      <w:r>
        <w:rPr>
          <w:rFonts w:ascii="SimSun" w:hAnsi="SimSun" w:eastAsia="SimSun" w:cs="SimSun"/>
          <w:color w:val="333333"/>
          <w:sz w:val="24"/>
          <w:highlight w:val="white"/>
          <w:u w:val="single"/>
        </w:rPr>
        <w:t xml:space="preserve">（生产厂址）</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的中国境内生产的组件成本占比≥</w:t>
      </w:r>
      <w:r>
        <w:rPr>
          <w:rFonts w:ascii="SimSun" w:hAnsi="SimSun" w:eastAsia="SimSun" w:cs="SimSun"/>
          <w:color w:val="333333"/>
          <w:sz w:val="24"/>
          <w:highlight w:val="white"/>
          <w:u w:val="single"/>
        </w:rPr>
        <w:t xml:space="preserve">（规定比例）</w:t>
      </w:r>
      <w:r>
        <w:rPr>
          <w:rFonts w:ascii="SimSun" w:hAnsi="SimSun" w:eastAsia="SimSun" w:cs="SimSun"/>
          <w:color w:val="333333"/>
          <w:sz w:val="24"/>
          <w:highlight w:val="white"/>
          <w:vertAlign w:val="superscript"/>
        </w:rPr>
        <w:t xml:space="preserve">3</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（关键组件）</w:t>
      </w:r>
      <w:r>
        <w:rPr>
          <w:rFonts w:ascii="SimSun" w:hAnsi="SimSun" w:eastAsia="SimSun" w:cs="SimSun"/>
          <w:color w:val="333333"/>
          <w:sz w:val="24"/>
          <w:highlight w:val="white"/>
          <w:vertAlign w:val="superscript"/>
        </w:rPr>
        <w:t xml:space="preserve">4</w:t>
      </w:r>
      <w:r>
        <w:rPr>
          <w:rFonts w:ascii="SimSun" w:hAnsi="SimSun" w:eastAsia="SimSun" w:cs="SimSun"/>
          <w:color w:val="333333"/>
          <w:sz w:val="24"/>
          <w:highlight w:val="white"/>
        </w:rPr>
        <w:t xml:space="preserve">在中国境内生产。</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（关键工序）</w:t>
      </w:r>
      <w:r>
        <w:rPr>
          <w:rFonts w:ascii="SimSun" w:hAnsi="SimSun" w:eastAsia="SimSun" w:cs="SimSun"/>
          <w:color w:val="333333"/>
          <w:sz w:val="24"/>
          <w:highlight w:val="white"/>
          <w:vertAlign w:val="superscript"/>
        </w:rPr>
        <w:t xml:space="preserve">5</w:t>
      </w:r>
      <w:r>
        <w:rPr>
          <w:rFonts w:ascii="SimSun" w:hAnsi="SimSun" w:eastAsia="SimSun" w:cs="SimSun"/>
          <w:color w:val="333333"/>
          <w:sz w:val="24"/>
          <w:highlight w:val="white"/>
        </w:rPr>
        <w:t xml:space="preserve">在中国境内完成。</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，生产厂为</w:t>
      </w:r>
      <w:r>
        <w:rPr>
          <w:rFonts w:ascii="SimSun" w:hAnsi="SimSun" w:eastAsia="SimSun" w:cs="SimSun"/>
          <w:color w:val="333333"/>
          <w:sz w:val="24"/>
          <w:highlight w:val="white"/>
          <w:u w:val="single"/>
        </w:rPr>
        <w:t xml:space="preserve">（厂名）</w:t>
      </w:r>
      <w:r>
        <w:rPr>
          <w:rFonts w:ascii="SimSun" w:hAnsi="SimSun" w:eastAsia="SimSun" w:cs="SimSun"/>
          <w:color w:val="333333"/>
          <w:sz w:val="24"/>
          <w:highlight w:val="white"/>
        </w:rPr>
        <w:t xml:space="preserve">，厂址为</w:t>
      </w:r>
      <w:r>
        <w:rPr>
          <w:rFonts w:ascii="SimSun" w:hAnsi="SimSun" w:eastAsia="SimSun" w:cs="SimSun"/>
          <w:color w:val="333333"/>
          <w:sz w:val="24"/>
          <w:highlight w:val="white"/>
          <w:u w:val="single"/>
        </w:rPr>
        <w:t xml:space="preserve">（生产厂址）</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的中国境内生产的组件成本占比≥</w:t>
      </w:r>
      <w:r>
        <w:rPr>
          <w:rFonts w:ascii="SimSun" w:hAnsi="SimSun" w:eastAsia="SimSun" w:cs="SimSun"/>
          <w:color w:val="333333"/>
          <w:sz w:val="24"/>
          <w:highlight w:val="white"/>
          <w:u w:val="single"/>
        </w:rPr>
        <w:t xml:space="preserve">（规定比例）</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（关键组件）</w:t>
      </w:r>
      <w:r>
        <w:rPr>
          <w:rFonts w:ascii="SimSun" w:hAnsi="SimSun" w:eastAsia="SimSun" w:cs="SimSun"/>
          <w:color w:val="333333"/>
          <w:sz w:val="24"/>
          <w:highlight w:val="white"/>
        </w:rPr>
        <w:t xml:space="preserve">在中国境内生产。</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（关键工序）</w:t>
      </w:r>
      <w:r>
        <w:rPr>
          <w:rFonts w:ascii="SimSun" w:hAnsi="SimSun" w:eastAsia="SimSun" w:cs="SimSun"/>
          <w:color w:val="333333"/>
          <w:sz w:val="24"/>
          <w:highlight w:val="white"/>
        </w:rPr>
        <w:t xml:space="preserve">在中国境内完成。</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本公司（单位）对上述声明内容的真实性负责。如有虚假，愿承担相应法律责任。</w:t>
      </w:r>
      <w:r/>
    </w:p>
    <w:p>
      <w:pPr>
        <w:ind w:left="0" w:right="0" w:firstLine="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w:t>
      </w:r>
      <w:r/>
    </w:p>
    <w:p>
      <w:pPr>
        <w:ind w:left="0" w:right="0" w:firstLine="0"/>
        <w:jc w:val="right"/>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公司（单位）名称（盖章）：　</w:t>
      </w:r>
      <w:r/>
    </w:p>
    <w:p>
      <w:pPr>
        <w:ind w:left="0" w:right="0" w:firstLine="0"/>
        <w:jc w:val="right"/>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日期：　     年　  月　  日         </w:t>
      </w:r>
      <w:r/>
    </w:p>
    <w:p>
      <w:pPr>
        <w:ind w:left="0" w:right="0" w:firstLine="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__________________</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1.产品如有型号，请在“产品名称”栏一并填写。</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2.生产厂名与厂址应与生产厂营业执照载明的相关信息保持一致。</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3.该产品的中国境内生产的组件成本占比相关要求实施前，“规定比例”栏可不填，下同。</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4.该产品的关键组件要求实施前，“关键组件”栏可不填，下同。</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5.该产品的关键工序要求实施前，“关键工序”栏可不填，下同。</w:t>
      </w:r>
      <w:r/>
    </w:p>
    <w:p>
      <w:pPr>
        <w:pStyle w:val="908"/>
        <w:ind w:firstLine="478"/>
        <w:spacing w:line="360" w:lineRule="auto"/>
        <w:rPr>
          <w:rFonts w:hint="eastAsia" w:ascii="宋体" w:hAnsi="宋体" w:eastAsia="宋体" w:cs="宋体"/>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r/>
    </w:p>
    <w:sectPr>
      <w:headerReference w:type="default" r:id="rId9"/>
      <w:footerReference w:type="default" r:id="rId12"/>
      <w:footnotePr/>
      <w:endnotePr/>
      <w:type w:val="nextPage"/>
      <w:pgSz w:w="11906" w:h="16838" w:orient="portrait"/>
      <w:pgMar w:top="1440" w:right="1080" w:bottom="1440" w:left="1080" w:header="851" w:footer="992" w:gutter="28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Symbol">
    <w:panose1 w:val="05050102010706020507"/>
  </w:font>
  <w:font w:name="新宋体">
    <w:panose1 w:val="02010609030101010101"/>
  </w:font>
  <w:font w:name="New York">
    <w:panose1 w:val="020B050302020202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r/>
                        </w:p>
                      </w:txbxContent>
                    </wps:txbx>
                    <wps:bodyPr vert="horz" wrap="none" lIns="0" tIns="0" rIns="0" bIns="0" anchor="t" upright="1">
                      <a:spAutoFit/>
                    </wps:bodyPr>
                  </wps:wsp>
                </a:graphicData>
              </a:graphic>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4.%1"/>
      <w:lvlJc w:val="left"/>
      <w:pPr>
        <w:ind w:left="845" w:hanging="420"/>
      </w:pPr>
      <w:rPr>
        <w:rFonts w:hint="eastAsia" w:ascii="宋体" w:hAnsi="宋体" w:eastAsia="宋体"/>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846" w:hanging="420"/>
      </w:pPr>
      <w:rPr>
        <w:rFonts w:hint="eastAsia"/>
      </w:r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5"/>
  </w:num>
  <w:num w:numId="2">
    <w:abstractNumId w:val="6"/>
  </w:num>
  <w:num w:numId="3">
    <w:abstractNumId w:val="4"/>
  </w:num>
  <w:num w:numId="4">
    <w:abstractNumId w:val="3"/>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818"/>
    <w:next w:val="818"/>
    <w:link w:val="966"/>
    <w:uiPriority w:val="9"/>
    <w:qFormat/>
    <w:pPr>
      <w:keepLines/>
      <w:keepNext/>
      <w:spacing w:before="480" w:after="200"/>
      <w:outlineLvl w:val="0"/>
    </w:pPr>
    <w:rPr>
      <w:rFonts w:ascii="Arial" w:hAnsi="Arial" w:eastAsia="Arial" w:cs="Arial"/>
      <w:sz w:val="40"/>
      <w:szCs w:val="40"/>
    </w:rPr>
  </w:style>
  <w:style w:type="paragraph" w:styleId="790">
    <w:name w:val="Heading 3"/>
    <w:basedOn w:val="818"/>
    <w:next w:val="818"/>
    <w:link w:val="943"/>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818"/>
    <w:next w:val="818"/>
    <w:link w:val="942"/>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818"/>
    <w:next w:val="818"/>
    <w:link w:val="97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818"/>
    <w:next w:val="818"/>
    <w:link w:val="944"/>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818"/>
    <w:next w:val="818"/>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818"/>
    <w:next w:val="818"/>
    <w:link w:val="973"/>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818"/>
    <w:next w:val="818"/>
    <w:link w:val="967"/>
    <w:uiPriority w:val="9"/>
    <w:unhideWhenUsed/>
    <w:qFormat/>
    <w:pPr>
      <w:keepLines/>
      <w:keepNext/>
      <w:spacing w:before="320" w:after="200"/>
      <w:outlineLvl w:val="8"/>
    </w:pPr>
    <w:rPr>
      <w:rFonts w:ascii="Arial" w:hAnsi="Arial" w:eastAsia="Arial" w:cs="Arial"/>
      <w:i/>
      <w:iCs/>
      <w:sz w:val="21"/>
      <w:szCs w:val="21"/>
    </w:rPr>
  </w:style>
  <w:style w:type="paragraph" w:styleId="797">
    <w:name w:val="Caption"/>
    <w:basedOn w:val="818"/>
    <w:next w:val="818"/>
    <w:uiPriority w:val="35"/>
    <w:semiHidden/>
    <w:unhideWhenUsed/>
    <w:qFormat/>
    <w:pPr>
      <w:spacing w:line="276" w:lineRule="auto"/>
    </w:pPr>
    <w:rPr>
      <w:b/>
      <w:bCs/>
      <w:color w:val="4f81bd" w:themeColor="accent1"/>
      <w:sz w:val="18"/>
      <w:szCs w:val="18"/>
    </w:rPr>
  </w:style>
  <w:style w:type="table" w:styleId="79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7">
    <w:name w:val="TOC Heading"/>
    <w:uiPriority w:val="39"/>
    <w:unhideWhenUsed/>
  </w:style>
  <w:style w:type="paragraph" w:styleId="818" w:default="1">
    <w:name w:val="Normal"/>
    <w:uiPriority w:val="0"/>
    <w:qFormat/>
    <w:pPr>
      <w:spacing w:line="312" w:lineRule="auto"/>
    </w:pPr>
    <w:rPr>
      <w:rFonts w:ascii="Arial" w:hAnsi="Arial" w:eastAsia="宋体" w:cs="Times New Roman"/>
      <w:sz w:val="24"/>
      <w:lang w:val="en-US" w:eastAsia="zh-CN" w:bidi="ar-SA"/>
    </w:rPr>
  </w:style>
  <w:style w:type="paragraph" w:styleId="819">
    <w:name w:val="Heading 2"/>
    <w:next w:val="818"/>
    <w:uiPriority w:val="9"/>
    <w:qFormat/>
    <w:pPr>
      <w:ind w:firstLine="200"/>
      <w:jc w:val="both"/>
      <w:keepLines/>
      <w:keepNext/>
      <w:spacing w:before="360" w:after="200" w:line="274" w:lineRule="auto"/>
      <w:widowControl w:val="off"/>
      <w:outlineLvl w:val="1"/>
    </w:pPr>
    <w:rPr>
      <w:rFonts w:ascii="Arial" w:hAnsi="Arial" w:eastAsia="Arial" w:cs="Arial"/>
      <w:sz w:val="34"/>
      <w:szCs w:val="24"/>
      <w:lang w:val="en-US" w:eastAsia="zh-CN" w:bidi="ar-SA"/>
    </w:rPr>
  </w:style>
  <w:style w:type="character" w:styleId="820" w:default="1">
    <w:name w:val="Default Paragraph Font"/>
    <w:uiPriority w:val="1"/>
    <w:unhideWhenUsed/>
    <w:qFormat/>
  </w:style>
  <w:style w:type="table" w:styleId="821" w:default="1">
    <w:name w:val="Normal Table"/>
    <w:uiPriority w:val="99"/>
    <w:unhideWhenUsed/>
    <w:qFormat/>
    <w:tblPr>
      <w:tblLayout w:type="fixed"/>
      <w:tblCellMar>
        <w:left w:w="108" w:type="dxa"/>
        <w:top w:w="0" w:type="dxa"/>
        <w:right w:w="108" w:type="dxa"/>
        <w:bottom w:w="0" w:type="dxa"/>
      </w:tblCellMar>
    </w:tblPr>
  </w:style>
  <w:style w:type="paragraph" w:styleId="822">
    <w:name w:val="annotation subject"/>
    <w:basedOn w:val="823"/>
    <w:next w:val="823"/>
    <w:link w:val="978"/>
    <w:uiPriority w:val="99"/>
    <w:unhideWhenUsed/>
    <w:qFormat/>
    <w:rPr>
      <w:b/>
      <w:bCs/>
    </w:rPr>
  </w:style>
  <w:style w:type="paragraph" w:styleId="823">
    <w:name w:val="annotation text"/>
    <w:basedOn w:val="818"/>
    <w:link w:val="936"/>
    <w:uiPriority w:val="99"/>
    <w:unhideWhenUsed/>
    <w:qFormat/>
  </w:style>
  <w:style w:type="paragraph" w:styleId="824">
    <w:name w:val="toc 7"/>
    <w:basedOn w:val="818"/>
    <w:next w:val="818"/>
    <w:uiPriority w:val="39"/>
    <w:unhideWhenUsed/>
    <w:qFormat/>
    <w:pPr>
      <w:ind w:left="1701"/>
      <w:spacing w:after="57"/>
    </w:pPr>
  </w:style>
  <w:style w:type="paragraph" w:styleId="825">
    <w:name w:val="Body Text First Indent"/>
    <w:basedOn w:val="826"/>
    <w:uiPriority w:val="0"/>
    <w:qFormat/>
    <w:pPr>
      <w:ind w:firstLine="420"/>
      <w:spacing w:after="0"/>
      <w:tabs>
        <w:tab w:val="left" w:pos="420" w:leader="none"/>
      </w:tabs>
    </w:pPr>
    <w:rPr>
      <w:sz w:val="28"/>
      <w:szCs w:val="28"/>
    </w:rPr>
  </w:style>
  <w:style w:type="paragraph" w:styleId="826">
    <w:name w:val="Body Text"/>
    <w:basedOn w:val="818"/>
    <w:next w:val="827"/>
    <w:uiPriority w:val="0"/>
    <w:qFormat/>
    <w:pPr>
      <w:spacing w:after="120"/>
      <w:tabs>
        <w:tab w:val="left" w:pos="420" w:leader="none"/>
      </w:tabs>
    </w:pPr>
  </w:style>
  <w:style w:type="paragraph" w:styleId="827">
    <w:name w:val="toc 5"/>
    <w:basedOn w:val="818"/>
    <w:next w:val="818"/>
    <w:uiPriority w:val="39"/>
    <w:unhideWhenUsed/>
    <w:qFormat/>
    <w:pPr>
      <w:ind w:left="1134"/>
      <w:spacing w:after="57"/>
    </w:pPr>
  </w:style>
  <w:style w:type="paragraph" w:styleId="828">
    <w:name w:val="Normal Indent"/>
    <w:basedOn w:val="818"/>
    <w:uiPriority w:val="0"/>
    <w:qFormat/>
    <w:pPr>
      <w:ind w:firstLine="420"/>
    </w:pPr>
  </w:style>
  <w:style w:type="paragraph" w:styleId="829">
    <w:name w:val="Body Text Indent"/>
    <w:basedOn w:val="818"/>
    <w:next w:val="818"/>
    <w:link w:val="955"/>
    <w:uiPriority w:val="99"/>
    <w:unhideWhenUsed/>
    <w:qFormat/>
    <w:pPr>
      <w:ind w:firstLine="425"/>
      <w:spacing w:line="360" w:lineRule="auto"/>
    </w:pPr>
  </w:style>
  <w:style w:type="paragraph" w:styleId="830">
    <w:name w:val="Block Text"/>
    <w:basedOn w:val="818"/>
    <w:next w:val="818"/>
    <w:uiPriority w:val="0"/>
    <w:qFormat/>
    <w:pPr>
      <w:ind w:left="1440"/>
      <w:spacing w:after="120"/>
    </w:pPr>
  </w:style>
  <w:style w:type="paragraph" w:styleId="831">
    <w:name w:val="index 4"/>
    <w:next w:val="818"/>
    <w:uiPriority w:val="99"/>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832">
    <w:name w:val="toc 3"/>
    <w:basedOn w:val="818"/>
    <w:next w:val="818"/>
    <w:uiPriority w:val="39"/>
    <w:unhideWhenUsed/>
    <w:qFormat/>
    <w:pPr>
      <w:ind w:left="567"/>
      <w:spacing w:after="57"/>
    </w:pPr>
  </w:style>
  <w:style w:type="paragraph" w:styleId="833">
    <w:name w:val="Plain Text"/>
    <w:basedOn w:val="818"/>
    <w:uiPriority w:val="99"/>
    <w:qFormat/>
    <w:pPr>
      <w:ind w:firstLine="200"/>
      <w:spacing w:line="360" w:lineRule="auto"/>
    </w:pPr>
    <w:rPr>
      <w:rFonts w:ascii="宋体" w:hAnsi="Courier New"/>
      <w:sz w:val="21"/>
      <w:szCs w:val="21"/>
    </w:rPr>
  </w:style>
  <w:style w:type="paragraph" w:styleId="834">
    <w:name w:val="toc 8"/>
    <w:basedOn w:val="818"/>
    <w:next w:val="818"/>
    <w:uiPriority w:val="39"/>
    <w:unhideWhenUsed/>
    <w:qFormat/>
    <w:pPr>
      <w:ind w:left="1984"/>
      <w:spacing w:after="57"/>
    </w:pPr>
  </w:style>
  <w:style w:type="paragraph" w:styleId="835">
    <w:name w:val="Body Text Indent 2"/>
    <w:basedOn w:val="818"/>
    <w:uiPriority w:val="0"/>
    <w:qFormat/>
    <w:pPr>
      <w:ind w:firstLine="540"/>
      <w:spacing w:line="360" w:lineRule="auto"/>
    </w:pPr>
    <w:rPr>
      <w:rFonts w:ascii="宋体" w:hAnsi="宋体"/>
    </w:rPr>
  </w:style>
  <w:style w:type="paragraph" w:styleId="836">
    <w:name w:val="endnote text"/>
    <w:basedOn w:val="818"/>
    <w:link w:val="979"/>
    <w:uiPriority w:val="99"/>
    <w:unhideWhenUsed/>
    <w:qFormat/>
    <w:pPr>
      <w:spacing w:line="240" w:lineRule="auto"/>
    </w:pPr>
    <w:rPr>
      <w:sz w:val="20"/>
    </w:rPr>
  </w:style>
  <w:style w:type="paragraph" w:styleId="837">
    <w:name w:val="Balloon Text"/>
    <w:basedOn w:val="818"/>
    <w:link w:val="951"/>
    <w:uiPriority w:val="99"/>
    <w:unhideWhenUsed/>
    <w:qFormat/>
    <w:pPr>
      <w:spacing w:line="240" w:lineRule="auto"/>
    </w:pPr>
    <w:rPr>
      <w:sz w:val="18"/>
      <w:szCs w:val="18"/>
    </w:rPr>
  </w:style>
  <w:style w:type="paragraph" w:styleId="838">
    <w:name w:val="Footer"/>
    <w:basedOn w:val="818"/>
    <w:link w:val="975"/>
    <w:uiPriority w:val="99"/>
    <w:unhideWhenUsed/>
    <w:qFormat/>
    <w:pPr>
      <w:spacing w:line="240" w:lineRule="auto"/>
      <w:tabs>
        <w:tab w:val="center" w:pos="4153" w:leader="none"/>
        <w:tab w:val="right" w:pos="8306" w:leader="none"/>
      </w:tabs>
    </w:pPr>
    <w:rPr>
      <w:sz w:val="18"/>
      <w:szCs w:val="18"/>
    </w:rPr>
  </w:style>
  <w:style w:type="paragraph" w:styleId="839">
    <w:name w:val="envelope return"/>
    <w:basedOn w:val="818"/>
    <w:uiPriority w:val="99"/>
    <w:unhideWhenUsed/>
    <w:qFormat/>
  </w:style>
  <w:style w:type="paragraph" w:styleId="840">
    <w:name w:val="Body Text First Indent 2"/>
    <w:basedOn w:val="829"/>
    <w:next w:val="818"/>
    <w:uiPriority w:val="0"/>
    <w:qFormat/>
    <w:pPr>
      <w:ind w:firstLine="420"/>
    </w:pPr>
    <w:rPr>
      <w:rFonts w:ascii="宋体" w:hAnsi="宋体"/>
    </w:rPr>
  </w:style>
  <w:style w:type="paragraph" w:styleId="841">
    <w:name w:val="Header"/>
    <w:basedOn w:val="818"/>
    <w:link w:val="95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42">
    <w:name w:val="toc 1"/>
    <w:basedOn w:val="818"/>
    <w:next w:val="818"/>
    <w:uiPriority w:val="0"/>
    <w:qFormat/>
  </w:style>
  <w:style w:type="paragraph" w:styleId="843">
    <w:name w:val="toc 4"/>
    <w:basedOn w:val="818"/>
    <w:next w:val="818"/>
    <w:uiPriority w:val="39"/>
    <w:unhideWhenUsed/>
    <w:qFormat/>
    <w:pPr>
      <w:ind w:left="850"/>
      <w:spacing w:after="57"/>
    </w:pPr>
  </w:style>
  <w:style w:type="paragraph" w:styleId="844">
    <w:name w:val="Subtitle"/>
    <w:basedOn w:val="818"/>
    <w:next w:val="818"/>
    <w:link w:val="969"/>
    <w:uiPriority w:val="11"/>
    <w:qFormat/>
    <w:pPr>
      <w:spacing w:before="200" w:after="200"/>
    </w:pPr>
    <w:rPr>
      <w:szCs w:val="24"/>
    </w:rPr>
  </w:style>
  <w:style w:type="paragraph" w:styleId="845">
    <w:name w:val="footnote text"/>
    <w:basedOn w:val="818"/>
    <w:uiPriority w:val="0"/>
    <w:qFormat/>
    <w:rPr>
      <w:sz w:val="18"/>
    </w:rPr>
  </w:style>
  <w:style w:type="paragraph" w:styleId="846">
    <w:name w:val="toc 6"/>
    <w:basedOn w:val="818"/>
    <w:next w:val="818"/>
    <w:uiPriority w:val="39"/>
    <w:unhideWhenUsed/>
    <w:qFormat/>
    <w:pPr>
      <w:ind w:left="1417"/>
      <w:spacing w:after="57"/>
    </w:pPr>
  </w:style>
  <w:style w:type="paragraph" w:styleId="847">
    <w:name w:val="Body Text Indent 3"/>
    <w:basedOn w:val="818"/>
    <w:uiPriority w:val="0"/>
    <w:qFormat/>
    <w:pPr>
      <w:ind w:firstLine="570"/>
      <w:spacing w:line="520" w:lineRule="exact"/>
    </w:pPr>
    <w:rPr>
      <w:rFonts w:ascii="宋体" w:hAnsi="宋体"/>
    </w:rPr>
  </w:style>
  <w:style w:type="paragraph" w:styleId="848">
    <w:name w:val="table of figures"/>
    <w:basedOn w:val="818"/>
    <w:next w:val="818"/>
    <w:uiPriority w:val="99"/>
    <w:unhideWhenUsed/>
    <w:qFormat/>
  </w:style>
  <w:style w:type="paragraph" w:styleId="849">
    <w:name w:val="toc 2"/>
    <w:basedOn w:val="818"/>
    <w:next w:val="818"/>
    <w:uiPriority w:val="39"/>
    <w:unhideWhenUsed/>
    <w:qFormat/>
    <w:pPr>
      <w:ind w:left="283"/>
      <w:spacing w:after="57"/>
    </w:pPr>
  </w:style>
  <w:style w:type="paragraph" w:styleId="850">
    <w:name w:val="toc 9"/>
    <w:basedOn w:val="818"/>
    <w:next w:val="818"/>
    <w:uiPriority w:val="39"/>
    <w:unhideWhenUsed/>
    <w:qFormat/>
    <w:pPr>
      <w:ind w:left="2268"/>
      <w:spacing w:after="57"/>
    </w:pPr>
  </w:style>
  <w:style w:type="paragraph" w:styleId="851">
    <w:name w:val="Normal (Web)"/>
    <w:basedOn w:val="818"/>
    <w:uiPriority w:val="99"/>
    <w:qFormat/>
    <w:pPr>
      <w:spacing w:before="100" w:beforeAutospacing="1" w:after="100" w:afterAutospacing="1"/>
    </w:pPr>
    <w:rPr>
      <w:rFonts w:ascii="宋体" w:hAnsi="宋体" w:cs="宋体"/>
    </w:rPr>
  </w:style>
  <w:style w:type="paragraph" w:styleId="852">
    <w:name w:val="Title"/>
    <w:basedOn w:val="818"/>
    <w:next w:val="818"/>
    <w:link w:val="947"/>
    <w:uiPriority w:val="10"/>
    <w:qFormat/>
    <w:pPr>
      <w:contextualSpacing/>
      <w:spacing w:before="300" w:after="200"/>
    </w:pPr>
    <w:rPr>
      <w:sz w:val="48"/>
      <w:szCs w:val="48"/>
    </w:rPr>
  </w:style>
  <w:style w:type="character" w:styleId="853">
    <w:name w:val="Strong"/>
    <w:basedOn w:val="820"/>
    <w:uiPriority w:val="0"/>
    <w:qFormat/>
    <w:rPr>
      <w:b/>
    </w:rPr>
  </w:style>
  <w:style w:type="character" w:styleId="854">
    <w:name w:val="endnote reference"/>
    <w:basedOn w:val="820"/>
    <w:uiPriority w:val="99"/>
    <w:unhideWhenUsed/>
    <w:qFormat/>
    <w:rPr>
      <w:vertAlign w:val="superscript"/>
    </w:rPr>
  </w:style>
  <w:style w:type="character" w:styleId="855">
    <w:name w:val="Hyperlink"/>
    <w:uiPriority w:val="99"/>
    <w:unhideWhenUsed/>
    <w:qFormat/>
    <w:rPr>
      <w:color w:val="0563c1"/>
      <w:u w:val="single"/>
    </w:rPr>
  </w:style>
  <w:style w:type="character" w:styleId="856">
    <w:name w:val="annotation reference"/>
    <w:basedOn w:val="820"/>
    <w:uiPriority w:val="99"/>
    <w:unhideWhenUsed/>
    <w:qFormat/>
    <w:rPr>
      <w:sz w:val="21"/>
      <w:szCs w:val="21"/>
    </w:rPr>
  </w:style>
  <w:style w:type="character" w:styleId="857">
    <w:name w:val="footnote reference"/>
    <w:basedOn w:val="820"/>
    <w:uiPriority w:val="99"/>
    <w:unhideWhenUsed/>
    <w:qFormat/>
    <w:rPr>
      <w:vertAlign w:val="superscript"/>
    </w:rPr>
  </w:style>
  <w:style w:type="table" w:styleId="858">
    <w:name w:val="Table Grid"/>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59" w:customStyle="1">
    <w:name w:val="正文首行缩进1"/>
    <w:basedOn w:val="860"/>
    <w:next w:val="872"/>
    <w:uiPriority w:val="0"/>
    <w:qFormat/>
    <w:pPr>
      <w:ind w:firstLine="200"/>
      <w:spacing w:line="360" w:lineRule="auto"/>
    </w:pPr>
    <w:rPr>
      <w:rFonts w:ascii="仿宋_GB2312" w:eastAsia="仿宋_GB2312"/>
      <w:sz w:val="30"/>
      <w:szCs w:val="30"/>
    </w:rPr>
  </w:style>
  <w:style w:type="paragraph" w:styleId="860" w:customStyle="1">
    <w:name w:val="正文文本11"/>
    <w:basedOn w:val="861"/>
    <w:next w:val="869"/>
    <w:uiPriority w:val="0"/>
    <w:qFormat/>
    <w:pPr>
      <w:spacing w:after="120"/>
    </w:pPr>
  </w:style>
  <w:style w:type="paragraph" w:styleId="861" w:customStyle="1">
    <w:name w:val="正文11"/>
    <w:next w:val="862"/>
    <w:link w:val="935"/>
    <w:uiPriority w:val="0"/>
    <w:qFormat/>
    <w:pPr>
      <w:jc w:val="both"/>
      <w:widowControl w:val="off"/>
    </w:pPr>
    <w:rPr>
      <w:rFonts w:ascii="Arial" w:hAnsi="Arial" w:eastAsia="宋体" w:cs="Times New Roman"/>
      <w:sz w:val="21"/>
      <w:szCs w:val="24"/>
      <w:lang w:val="en-US" w:eastAsia="zh-CN" w:bidi="ar-SA"/>
    </w:rPr>
  </w:style>
  <w:style w:type="paragraph" w:styleId="862" w:customStyle="1">
    <w:name w:val="文本块1"/>
    <w:basedOn w:val="861"/>
    <w:next w:val="863"/>
    <w:uiPriority w:val="0"/>
    <w:qFormat/>
    <w:pPr>
      <w:ind w:left="567" w:right="454" w:firstLine="498"/>
      <w:jc w:val="left"/>
      <w:widowControl/>
    </w:pPr>
    <w:rPr>
      <w:rFonts w:ascii="仿宋_GB2312" w:eastAsia="仿宋_GB2312"/>
      <w:sz w:val="30"/>
      <w:szCs w:val="20"/>
    </w:rPr>
  </w:style>
  <w:style w:type="paragraph" w:styleId="863" w:customStyle="1">
    <w:name w:val="标题 411"/>
    <w:basedOn w:val="864"/>
    <w:next w:val="861"/>
    <w:uiPriority w:val="0"/>
    <w:qFormat/>
    <w:pPr>
      <w:keepLines/>
      <w:keepNext/>
      <w:spacing w:before="280" w:after="290" w:line="376" w:lineRule="auto"/>
      <w:outlineLvl w:val="3"/>
    </w:pPr>
    <w:rPr>
      <w:rFonts w:eastAsia="黑体"/>
      <w:b/>
      <w:bCs/>
      <w:sz w:val="28"/>
      <w:szCs w:val="28"/>
    </w:rPr>
  </w:style>
  <w:style w:type="paragraph" w:styleId="864" w:customStyle="1">
    <w:name w:val="正文12"/>
    <w:next w:val="865"/>
    <w:uiPriority w:val="0"/>
    <w:qFormat/>
    <w:pPr>
      <w:jc w:val="both"/>
      <w:widowControl w:val="off"/>
    </w:pPr>
    <w:rPr>
      <w:rFonts w:ascii="Arial" w:hAnsi="Arial" w:eastAsia="宋体" w:cs="Times New Roman"/>
      <w:sz w:val="21"/>
      <w:szCs w:val="24"/>
      <w:lang w:val="en-US" w:eastAsia="zh-CN" w:bidi="ar-SA"/>
    </w:rPr>
  </w:style>
  <w:style w:type="paragraph" w:styleId="865" w:customStyle="1">
    <w:name w:val="脚注文本1"/>
    <w:basedOn w:val="866"/>
    <w:next w:val="868"/>
    <w:uiPriority w:val="0"/>
    <w:qFormat/>
    <w:pPr>
      <w:jc w:val="left"/>
    </w:pPr>
    <w:rPr>
      <w:rFonts w:ascii="宋体" w:eastAsia="Times New Roman"/>
      <w:sz w:val="18"/>
      <w:szCs w:val="18"/>
    </w:rPr>
  </w:style>
  <w:style w:type="paragraph" w:styleId="866" w:customStyle="1">
    <w:name w:val="正文1"/>
    <w:basedOn w:val="867"/>
    <w:next w:val="865"/>
    <w:link w:val="950"/>
    <w:uiPriority w:val="0"/>
    <w:qFormat/>
  </w:style>
  <w:style w:type="paragraph" w:styleId="867" w:customStyle="1">
    <w:name w:val="正文111"/>
    <w:next w:val="859"/>
    <w:uiPriority w:val="0"/>
    <w:qFormat/>
    <w:pPr>
      <w:jc w:val="both"/>
      <w:widowControl w:val="off"/>
    </w:pPr>
    <w:rPr>
      <w:rFonts w:ascii="Arial" w:hAnsi="Arial" w:eastAsia="宋体" w:cs="Times New Roman"/>
      <w:sz w:val="21"/>
      <w:szCs w:val="24"/>
      <w:lang w:val="en-US" w:eastAsia="zh-CN" w:bidi="ar-SA"/>
    </w:rPr>
  </w:style>
  <w:style w:type="paragraph" w:styleId="868" w:customStyle="1">
    <w:name w:val="索引 51"/>
    <w:basedOn w:val="867"/>
    <w:next w:val="866"/>
    <w:uiPriority w:val="0"/>
    <w:qFormat/>
    <w:pPr>
      <w:ind w:left="798"/>
      <w:jc w:val="left"/>
    </w:pPr>
    <w:rPr>
      <w:rFonts w:ascii="Calibri" w:hAnsi="Calibri"/>
    </w:rPr>
  </w:style>
  <w:style w:type="paragraph" w:styleId="869" w:customStyle="1">
    <w:name w:val="一级条标题"/>
    <w:basedOn w:val="870"/>
    <w:next w:val="87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70" w:customStyle="1">
    <w:name w:val="章标题"/>
    <w:next w:val="818"/>
    <w:uiPriority w:val="0"/>
    <w:qFormat/>
    <w:pPr>
      <w:ind w:left="810" w:hanging="810"/>
      <w:jc w:val="both"/>
      <w:spacing w:before="50" w:after="50"/>
      <w:tabs>
        <w:tab w:val="left" w:pos="810" w:leader="none"/>
        <w:tab w:val="left" w:pos="1265" w:leader="none"/>
      </w:tabs>
      <w:outlineLvl w:val="1"/>
    </w:pPr>
    <w:rPr>
      <w:rFonts w:ascii="黑体" w:hAnsi="Arial" w:eastAsia="黑体" w:cs="Times New Roman"/>
      <w:sz w:val="21"/>
      <w:szCs w:val="22"/>
      <w:lang w:val="en-US" w:eastAsia="zh-CN" w:bidi="ar-SA"/>
    </w:rPr>
  </w:style>
  <w:style w:type="paragraph" w:styleId="871" w:customStyle="1">
    <w:name w:val="段"/>
    <w:basedOn w:val="866"/>
    <w:next w:val="818"/>
    <w:uiPriority w:val="0"/>
    <w:qFormat/>
    <w:pPr>
      <w:ind w:firstLine="200"/>
      <w:widowControl/>
    </w:pPr>
    <w:rPr>
      <w:rFonts w:ascii="宋体"/>
      <w:sz w:val="20"/>
      <w:szCs w:val="20"/>
    </w:rPr>
  </w:style>
  <w:style w:type="paragraph" w:styleId="872" w:customStyle="1">
    <w:name w:val="正文首行缩进 21"/>
    <w:basedOn w:val="873"/>
    <w:next w:val="867"/>
    <w:uiPriority w:val="0"/>
    <w:qFormat/>
    <w:pPr>
      <w:ind w:left="0" w:firstLine="420"/>
      <w:spacing w:after="0" w:line="360" w:lineRule="auto"/>
    </w:pPr>
    <w:rPr>
      <w:rFonts w:ascii="宋体" w:hAnsi="宋体"/>
    </w:rPr>
  </w:style>
  <w:style w:type="paragraph" w:styleId="873" w:customStyle="1">
    <w:name w:val="正文文本缩进1"/>
    <w:basedOn w:val="866"/>
    <w:next w:val="874"/>
    <w:uiPriority w:val="0"/>
    <w:qFormat/>
    <w:pPr>
      <w:ind w:left="420"/>
      <w:spacing w:after="120"/>
    </w:pPr>
  </w:style>
  <w:style w:type="paragraph" w:styleId="874" w:customStyle="1">
    <w:name w:val="寄信人地址1"/>
    <w:basedOn w:val="861"/>
    <w:uiPriority w:val="0"/>
    <w:qFormat/>
  </w:style>
  <w:style w:type="paragraph" w:styleId="875" w:customStyle="1">
    <w:name w:val="TOC 标题11"/>
    <w:uiPriority w:val="39"/>
    <w:unhideWhenUsed/>
    <w:qFormat/>
    <w:rPr>
      <w:rFonts w:ascii="Arial" w:hAnsi="Arial" w:eastAsia="宋体" w:cs="Times New Roman"/>
      <w:lang w:val="en-US" w:eastAsia="zh-CN" w:bidi="ar-SA"/>
    </w:rPr>
  </w:style>
  <w:style w:type="paragraph" w:styleId="876" w:customStyle="1">
    <w:name w:val="Table Text"/>
    <w:basedOn w:val="818"/>
    <w:uiPriority w:val="0"/>
    <w:semiHidden/>
    <w:qFormat/>
    <w:rPr>
      <w:rFonts w:eastAsia="Arial" w:cs="Arial"/>
      <w:sz w:val="21"/>
      <w:szCs w:val="21"/>
      <w:lang w:eastAsia="en-US"/>
    </w:rPr>
  </w:style>
  <w:style w:type="paragraph" w:styleId="877" w:customStyle="1">
    <w:name w:val="标题 12"/>
    <w:basedOn w:val="830"/>
    <w:next w:val="830"/>
    <w:link w:val="964"/>
    <w:uiPriority w:val="0"/>
    <w:qFormat/>
    <w:pPr>
      <w:jc w:val="center"/>
      <w:keepLines/>
      <w:keepNext/>
      <w:spacing w:line="360" w:lineRule="auto"/>
      <w:outlineLvl w:val="0"/>
    </w:pPr>
    <w:rPr>
      <w:rFonts w:cs="Arial"/>
      <w:b/>
      <w:sz w:val="36"/>
      <w:szCs w:val="40"/>
    </w:rPr>
  </w:style>
  <w:style w:type="paragraph" w:styleId="878" w:customStyle="1">
    <w:name w:val="页脚1"/>
    <w:basedOn w:val="818"/>
    <w:link w:val="961"/>
    <w:uiPriority w:val="99"/>
    <w:unhideWhenUsed/>
    <w:qFormat/>
    <w:pPr>
      <w:spacing w:line="240" w:lineRule="auto"/>
      <w:tabs>
        <w:tab w:val="center" w:pos="7143" w:leader="none"/>
        <w:tab w:val="right" w:pos="14287" w:leader="none"/>
      </w:tabs>
    </w:pPr>
  </w:style>
  <w:style w:type="paragraph" w:styleId="879" w:customStyle="1">
    <w:name w:val="标题 81"/>
    <w:basedOn w:val="818"/>
    <w:next w:val="818"/>
    <w:link w:val="945"/>
    <w:uiPriority w:val="9"/>
    <w:unhideWhenUsed/>
    <w:qFormat/>
    <w:pPr>
      <w:keepLines/>
      <w:keepNext/>
      <w:spacing w:before="320" w:after="200"/>
      <w:outlineLvl w:val="7"/>
    </w:pPr>
    <w:rPr>
      <w:rFonts w:eastAsia="Arial" w:cs="Arial"/>
      <w:i/>
      <w:iCs/>
      <w:sz w:val="22"/>
      <w:szCs w:val="22"/>
    </w:rPr>
  </w:style>
  <w:style w:type="paragraph" w:styleId="880" w:customStyle="1">
    <w:name w:val="正文缩进11"/>
    <w:basedOn w:val="864"/>
    <w:uiPriority w:val="0"/>
    <w:qFormat/>
    <w:pPr>
      <w:ind w:firstLine="420"/>
    </w:pPr>
  </w:style>
  <w:style w:type="paragraph" w:styleId="881" w:customStyle="1">
    <w:name w:val="Table Paragraph"/>
    <w:basedOn w:val="818"/>
    <w:uiPriority w:val="1"/>
    <w:qFormat/>
    <w:rPr>
      <w:rFonts w:ascii="宋体" w:hAnsi="宋体" w:cs="宋体"/>
      <w:lang w:val="zh-CN" w:bidi="zh-CN"/>
    </w:rPr>
  </w:style>
  <w:style w:type="paragraph" w:styleId="882" w:customStyle="1">
    <w:name w:val="列出段落1"/>
    <w:basedOn w:val="818"/>
    <w:uiPriority w:val="0"/>
    <w:qFormat/>
    <w:pPr>
      <w:ind w:firstLine="420"/>
    </w:pPr>
    <w:rPr>
      <w:rFonts w:ascii="Calibri" w:hAnsi="Calibri"/>
      <w:szCs w:val="22"/>
    </w:rPr>
  </w:style>
  <w:style w:type="paragraph" w:styleId="883" w:customStyle="1">
    <w:name w:val="正文1111"/>
    <w:next w:val="866"/>
    <w:uiPriority w:val="0"/>
    <w:qFormat/>
    <w:pPr>
      <w:jc w:val="both"/>
      <w:widowControl w:val="off"/>
    </w:pPr>
    <w:rPr>
      <w:rFonts w:ascii="Arial" w:hAnsi="Arial" w:eastAsia="宋体" w:cs="Times New Roman"/>
      <w:sz w:val="21"/>
      <w:szCs w:val="24"/>
      <w:lang w:val="en-US" w:eastAsia="zh-CN" w:bidi="ar-SA"/>
    </w:rPr>
  </w:style>
  <w:style w:type="paragraph" w:styleId="884" w:customStyle="1">
    <w:name w:val="页眉1"/>
    <w:basedOn w:val="818"/>
    <w:link w:val="965"/>
    <w:uiPriority w:val="99"/>
    <w:unhideWhenUsed/>
    <w:qFormat/>
    <w:pPr>
      <w:spacing w:line="240" w:lineRule="auto"/>
      <w:tabs>
        <w:tab w:val="center" w:pos="7143" w:leader="none"/>
        <w:tab w:val="right" w:pos="14287" w:leader="none"/>
      </w:tabs>
    </w:pPr>
  </w:style>
  <w:style w:type="paragraph" w:styleId="885" w:customStyle="1">
    <w:name w:val="普通(网站)11"/>
    <w:basedOn w:val="866"/>
    <w:uiPriority w:val="0"/>
    <w:qFormat/>
    <w:pPr>
      <w:jc w:val="left"/>
      <w:spacing w:before="100" w:beforeAutospacing="1" w:after="100" w:afterAutospacing="1"/>
      <w:widowControl/>
    </w:pPr>
    <w:rPr>
      <w:rFonts w:ascii="宋体" w:hAnsi="宋体"/>
      <w:sz w:val="24"/>
    </w:rPr>
  </w:style>
  <w:style w:type="paragraph" w:styleId="886" w:customStyle="1">
    <w:name w:val="标题 21"/>
    <w:next w:val="818"/>
    <w:link w:val="952"/>
    <w:uiPriority w:val="0"/>
    <w:unhideWhenUsed/>
    <w:qFormat/>
    <w:pPr>
      <w:jc w:val="center"/>
      <w:keepLines/>
      <w:keepNext/>
      <w:spacing w:line="360" w:lineRule="auto"/>
      <w:outlineLvl w:val="1"/>
    </w:pPr>
    <w:rPr>
      <w:rFonts w:ascii="Arial" w:hAnsi="Arial" w:eastAsia="宋体" w:cs="Arial"/>
      <w:b/>
      <w:sz w:val="30"/>
      <w:lang w:val="en-US" w:eastAsia="zh-CN" w:bidi="ar-SA"/>
    </w:rPr>
  </w:style>
  <w:style w:type="paragraph" w:styleId="887" w:customStyle="1">
    <w:name w:val="标题 61"/>
    <w:basedOn w:val="818"/>
    <w:next w:val="818"/>
    <w:link w:val="971"/>
    <w:uiPriority w:val="9"/>
    <w:unhideWhenUsed/>
    <w:qFormat/>
    <w:pPr>
      <w:keepLines/>
      <w:keepNext/>
      <w:spacing w:before="320" w:after="200"/>
      <w:outlineLvl w:val="5"/>
    </w:pPr>
    <w:rPr>
      <w:rFonts w:eastAsia="Arial" w:cs="Arial"/>
      <w:b/>
      <w:bCs/>
      <w:sz w:val="22"/>
      <w:szCs w:val="22"/>
    </w:rPr>
  </w:style>
  <w:style w:type="paragraph" w:styleId="888" w:customStyle="1">
    <w:name w:val="标题 42"/>
    <w:next w:val="818"/>
    <w:link w:val="972"/>
    <w:uiPriority w:val="0"/>
    <w:unhideWhenUsed/>
    <w:qFormat/>
    <w:pPr>
      <w:jc w:val="center"/>
      <w:keepLines/>
      <w:keepNext/>
      <w:spacing w:before="320" w:after="200"/>
      <w:outlineLvl w:val="3"/>
    </w:pPr>
    <w:rPr>
      <w:rFonts w:ascii="Arial" w:hAnsi="Arial" w:eastAsia="宋体" w:cs="Arial"/>
      <w:b/>
      <w:bCs/>
      <w:sz w:val="24"/>
      <w:szCs w:val="26"/>
      <w:lang w:val="en-US" w:eastAsia="zh-CN" w:bidi="ar-SA"/>
    </w:rPr>
  </w:style>
  <w:style w:type="paragraph" w:styleId="889">
    <w:name w:val="List Paragraph"/>
    <w:basedOn w:val="818"/>
    <w:uiPriority w:val="34"/>
    <w:qFormat/>
    <w:pPr>
      <w:contextualSpacing/>
      <w:ind w:left="720"/>
    </w:pPr>
  </w:style>
  <w:style w:type="paragraph" w:styleId="89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891" w:customStyle="1">
    <w:name w:val="正文文本111"/>
    <w:basedOn w:val="864"/>
    <w:next w:val="864"/>
    <w:uiPriority w:val="0"/>
    <w:qFormat/>
  </w:style>
  <w:style w:type="paragraph" w:styleId="892" w:customStyle="1">
    <w:name w:val="标题 41"/>
    <w:next w:val="861"/>
    <w:uiPriority w:val="0"/>
    <w:qFormat/>
    <w:pPr>
      <w:jc w:val="both"/>
      <w:widowControl w:val="off"/>
      <w:outlineLvl w:val="3"/>
    </w:pPr>
    <w:rPr>
      <w:rFonts w:ascii="Arial" w:hAnsi="Arial" w:eastAsia="宋体" w:cs="Times New Roman"/>
      <w:sz w:val="21"/>
      <w:szCs w:val="24"/>
      <w:lang w:val="en-US" w:eastAsia="zh-CN" w:bidi="ar-SA"/>
    </w:rPr>
  </w:style>
  <w:style w:type="paragraph" w:styleId="893" w:customStyle="1">
    <w:name w:val="PlainText1"/>
    <w:basedOn w:val="818"/>
    <w:uiPriority w:val="0"/>
    <w:qFormat/>
    <w:rPr>
      <w:rFonts w:ascii="宋体" w:hAnsi="Courier New"/>
    </w:rPr>
  </w:style>
  <w:style w:type="paragraph" w:styleId="894" w:customStyle="1">
    <w:name w:val="正文文本缩进11"/>
    <w:basedOn w:val="895"/>
    <w:uiPriority w:val="0"/>
    <w:qFormat/>
    <w:pPr>
      <w:ind w:firstLine="538"/>
    </w:pPr>
    <w:rPr>
      <w:sz w:val="28"/>
    </w:rPr>
  </w:style>
  <w:style w:type="paragraph" w:styleId="895" w:customStyle="1">
    <w:name w:val="正文112"/>
    <w:next w:val="892"/>
    <w:uiPriority w:val="0"/>
    <w:qFormat/>
    <w:pPr>
      <w:jc w:val="both"/>
      <w:widowControl w:val="off"/>
    </w:pPr>
    <w:rPr>
      <w:rFonts w:ascii="Arial" w:hAnsi="Arial" w:eastAsia="宋体" w:cs="Times New Roman"/>
      <w:sz w:val="21"/>
      <w:szCs w:val="24"/>
      <w:lang w:val="en-US" w:eastAsia="zh-CN" w:bidi="ar-SA"/>
    </w:rPr>
  </w:style>
  <w:style w:type="paragraph" w:styleId="896">
    <w:name w:val="Quote"/>
    <w:basedOn w:val="818"/>
    <w:next w:val="818"/>
    <w:link w:val="954"/>
    <w:uiPriority w:val="29"/>
    <w:qFormat/>
    <w:pPr>
      <w:ind w:left="720" w:right="720"/>
    </w:pPr>
    <w:rPr>
      <w:i/>
    </w:rPr>
  </w:style>
  <w:style w:type="paragraph" w:styleId="897" w:customStyle="1">
    <w:name w:val="页眉11"/>
    <w:basedOn w:val="866"/>
    <w:uiPriority w:val="0"/>
    <w:qFormat/>
    <w:pPr>
      <w:jc w:val="center"/>
      <w:tabs>
        <w:tab w:val="center" w:pos="4153" w:leader="none"/>
        <w:tab w:val="right" w:pos="8306" w:leader="none"/>
      </w:tabs>
      <w:pBdr>
        <w:bottom w:val="single" w:color="000000" w:sz="6" w:space="1"/>
      </w:pBdr>
    </w:pPr>
    <w:rPr>
      <w:sz w:val="18"/>
      <w:szCs w:val="18"/>
    </w:rPr>
  </w:style>
  <w:style w:type="paragraph" w:styleId="898" w:customStyle="1">
    <w:name w:val="目录 11"/>
    <w:basedOn w:val="864"/>
    <w:next w:val="866"/>
    <w:uiPriority w:val="0"/>
    <w:qFormat/>
    <w:pPr>
      <w:jc w:val="left"/>
      <w:spacing w:after="100" w:line="259" w:lineRule="auto"/>
      <w:widowControl/>
    </w:pPr>
    <w:rPr>
      <w:rFonts w:ascii="Calibri" w:hAnsi="Calibri"/>
      <w:sz w:val="22"/>
      <w:szCs w:val="22"/>
    </w:rPr>
  </w:style>
  <w:style w:type="paragraph" w:styleId="899" w:customStyle="1">
    <w:name w:val="无间隔1"/>
    <w:uiPriority w:val="0"/>
    <w:qFormat/>
    <w:rPr>
      <w:rFonts w:ascii="Calibri" w:hAnsi="Calibri" w:eastAsia="宋体" w:cs="Times New Roman"/>
      <w:sz w:val="22"/>
      <w:lang w:val="en-US" w:eastAsia="zh-CN" w:bidi="ar-SA"/>
    </w:rPr>
  </w:style>
  <w:style w:type="paragraph" w:styleId="900" w:customStyle="1">
    <w:name w:val="样式 正文文本缩进 + 首行缩进:  2 字符 行距: 1.5 倍行距"/>
    <w:basedOn w:val="894"/>
    <w:uiPriority w:val="0"/>
    <w:qFormat/>
    <w:pPr>
      <w:ind w:firstLine="645"/>
      <w:spacing w:before="156" w:after="120"/>
    </w:pPr>
    <w:rPr>
      <w:rFonts w:ascii="Calibri" w:hAnsi="Calibri"/>
    </w:rPr>
  </w:style>
  <w:style w:type="paragraph" w:styleId="901" w:customStyle="1">
    <w:name w:val="标题 311"/>
    <w:basedOn w:val="867"/>
    <w:next w:val="867"/>
    <w:uiPriority w:val="0"/>
    <w:qFormat/>
    <w:pPr>
      <w:keepLines/>
      <w:keepNext/>
      <w:spacing w:before="320" w:after="200"/>
      <w:outlineLvl w:val="2"/>
    </w:pPr>
    <w:rPr>
      <w:rFonts w:eastAsia="Arial"/>
      <w:sz w:val="30"/>
      <w:szCs w:val="30"/>
    </w:rPr>
  </w:style>
  <w:style w:type="paragraph" w:styleId="902" w:customStyle="1">
    <w:name w:val="题注1"/>
    <w:basedOn w:val="818"/>
    <w:next w:val="818"/>
    <w:uiPriority w:val="35"/>
    <w:unhideWhenUsed/>
    <w:qFormat/>
    <w:pPr>
      <w:spacing w:line="276" w:lineRule="auto"/>
    </w:pPr>
    <w:rPr>
      <w:b/>
      <w:bCs/>
      <w:color w:val="5b9bd5"/>
      <w:sz w:val="18"/>
      <w:szCs w:val="18"/>
    </w:rPr>
  </w:style>
  <w:style w:type="paragraph" w:styleId="903" w:customStyle="1">
    <w:name w:val="首行缩进"/>
    <w:basedOn w:val="866"/>
    <w:next w:val="866"/>
    <w:uiPriority w:val="0"/>
    <w:qFormat/>
    <w:pPr>
      <w:ind w:firstLine="200"/>
    </w:pPr>
    <w:rPr>
      <w:rFonts w:ascii="Times New Roman"/>
    </w:rPr>
  </w:style>
  <w:style w:type="paragraph" w:styleId="904" w:customStyle="1">
    <w:name w:val="日期1"/>
    <w:basedOn w:val="866"/>
    <w:next w:val="866"/>
    <w:uiPriority w:val="0"/>
    <w:qFormat/>
    <w:rPr>
      <w:rFonts w:eastAsia="仿宋_GB2312"/>
      <w:sz w:val="28"/>
      <w:szCs w:val="20"/>
    </w:rPr>
  </w:style>
  <w:style w:type="paragraph" w:styleId="905" w:customStyle="1">
    <w:name w:val="TOC 标题1"/>
    <w:uiPriority w:val="39"/>
    <w:unhideWhenUsed/>
    <w:qFormat/>
    <w:rPr>
      <w:rFonts w:ascii="Arial" w:hAnsi="Arial" w:eastAsia="宋体" w:cs="Times New Roman"/>
      <w:lang w:val="en-US" w:eastAsia="zh-CN" w:bidi="ar-SA"/>
    </w:rPr>
  </w:style>
  <w:style w:type="paragraph" w:styleId="906" w:customStyle="1">
    <w:name w:val="标题 31"/>
    <w:basedOn w:val="818"/>
    <w:next w:val="818"/>
    <w:link w:val="938"/>
    <w:uiPriority w:val="0"/>
    <w:unhideWhenUsed/>
    <w:qFormat/>
    <w:pPr>
      <w:keepLines/>
      <w:keepNext/>
      <w:spacing w:line="360" w:lineRule="auto"/>
      <w:outlineLvl w:val="2"/>
    </w:pPr>
    <w:rPr>
      <w:rFonts w:ascii="Calibri" w:hAnsi="Calibri" w:cs="Arial"/>
      <w:b/>
      <w:szCs w:val="22"/>
      <w:lang w:eastAsia="en-US"/>
    </w:rPr>
  </w:style>
  <w:style w:type="paragraph" w:styleId="907" w:customStyle="1">
    <w:name w:val="p0"/>
    <w:basedOn w:val="861"/>
    <w:uiPriority w:val="0"/>
    <w:qFormat/>
    <w:pPr>
      <w:widowControl/>
    </w:pPr>
    <w:rPr>
      <w:szCs w:val="21"/>
    </w:rPr>
  </w:style>
  <w:style w:type="paragraph" w:styleId="908" w:customStyle="1">
    <w:name w:val="Default"/>
    <w:uiPriority w:val="0"/>
    <w:qFormat/>
    <w:pPr>
      <w:widowControl w:val="off"/>
    </w:pPr>
    <w:rPr>
      <w:rFonts w:ascii="宋体" w:hAnsi="Arial" w:eastAsia="宋体" w:cs="宋体"/>
      <w:color w:val="000000"/>
      <w:sz w:val="24"/>
      <w:szCs w:val="24"/>
      <w:lang w:val="en-US" w:eastAsia="zh-CN" w:bidi="ar-SA"/>
    </w:rPr>
  </w:style>
  <w:style w:type="paragraph" w:styleId="909" w:customStyle="1">
    <w:name w:val="页脚11"/>
    <w:basedOn w:val="866"/>
    <w:uiPriority w:val="0"/>
    <w:qFormat/>
    <w:pPr>
      <w:jc w:val="left"/>
      <w:tabs>
        <w:tab w:val="center" w:pos="4153" w:leader="none"/>
        <w:tab w:val="right" w:pos="8306" w:leader="none"/>
      </w:tabs>
    </w:pPr>
    <w:rPr>
      <w:sz w:val="18"/>
      <w:szCs w:val="18"/>
    </w:rPr>
  </w:style>
  <w:style w:type="paragraph" w:styleId="910" w:customStyle="1">
    <w:name w:val="标题 111"/>
    <w:next w:val="861"/>
    <w:uiPriority w:val="0"/>
    <w:qFormat/>
    <w:pPr>
      <w:jc w:val="center"/>
      <w:keepLines/>
      <w:keepNext/>
      <w:spacing w:line="578" w:lineRule="auto"/>
      <w:widowControl w:val="off"/>
      <w:outlineLvl w:val="0"/>
    </w:pPr>
    <w:rPr>
      <w:rFonts w:ascii="Arial" w:hAnsi="Arial" w:eastAsia="新宋体" w:cs="Times New Roman"/>
      <w:b/>
      <w:bCs/>
      <w:sz w:val="30"/>
      <w:szCs w:val="44"/>
      <w:lang w:val="en-US" w:eastAsia="zh-CN" w:bidi="ar-SA"/>
    </w:rPr>
  </w:style>
  <w:style w:type="paragraph" w:styleId="911" w:customStyle="1">
    <w:name w:val="正文首行缩进 211"/>
    <w:basedOn w:val="894"/>
    <w:next w:val="895"/>
    <w:uiPriority w:val="0"/>
    <w:qFormat/>
    <w:pPr>
      <w:ind w:firstLine="420"/>
    </w:pPr>
    <w:rPr>
      <w:sz w:val="24"/>
    </w:rPr>
  </w:style>
  <w:style w:type="paragraph" w:styleId="912" w:customStyle="1">
    <w:name w:val="标题 11"/>
    <w:basedOn w:val="866"/>
    <w:next w:val="866"/>
    <w:uiPriority w:val="0"/>
    <w:qFormat/>
    <w:pPr>
      <w:jc w:val="center"/>
      <w:keepLines/>
      <w:keepNext/>
      <w:spacing w:line="578" w:lineRule="auto"/>
      <w:outlineLvl w:val="0"/>
    </w:pPr>
    <w:rPr>
      <w:rFonts w:eastAsia="新宋体"/>
      <w:b/>
      <w:bCs/>
      <w:sz w:val="30"/>
      <w:szCs w:val="44"/>
    </w:rPr>
  </w:style>
  <w:style w:type="paragraph" w:styleId="913" w:customStyle="1">
    <w:name w:val="标题 212"/>
    <w:basedOn w:val="864"/>
    <w:next w:val="864"/>
    <w:uiPriority w:val="0"/>
    <w:qFormat/>
    <w:pPr>
      <w:ind w:firstLine="600"/>
      <w:spacing w:line="520" w:lineRule="exact"/>
      <w:outlineLvl w:val="1"/>
    </w:pPr>
    <w:rPr>
      <w:rFonts w:ascii="黑体" w:hAnsi="黑体" w:eastAsia="黑体"/>
      <w:sz w:val="30"/>
      <w:szCs w:val="30"/>
    </w:rPr>
  </w:style>
  <w:style w:type="paragraph" w:styleId="914" w:customStyle="1">
    <w:name w:val="列表段落1"/>
    <w:basedOn w:val="818"/>
    <w:next w:val="818"/>
    <w:uiPriority w:val="99"/>
    <w:qFormat/>
    <w:pPr>
      <w:widowControl w:val="off"/>
    </w:pPr>
    <w:rPr>
      <w:szCs w:val="22"/>
    </w:rPr>
  </w:style>
  <w:style w:type="paragraph" w:styleId="915" w:customStyle="1">
    <w:name w:val="正  文"/>
    <w:basedOn w:val="818"/>
    <w:uiPriority w:val="99"/>
    <w:qFormat/>
    <w:pPr>
      <w:ind w:firstLine="200"/>
      <w:spacing w:line="360" w:lineRule="auto"/>
    </w:pPr>
    <w:rPr>
      <w:rFonts w:ascii="Calibri" w:hAnsi="Calibri"/>
    </w:rPr>
  </w:style>
  <w:style w:type="paragraph" w:styleId="916" w:customStyle="1">
    <w:name w:val="标题 211"/>
    <w:basedOn w:val="861"/>
    <w:next w:val="861"/>
    <w:uiPriority w:val="0"/>
    <w:qFormat/>
    <w:pPr>
      <w:keepLines/>
      <w:keepNext/>
      <w:spacing w:before="260" w:after="260" w:line="416" w:lineRule="auto"/>
      <w:outlineLvl w:val="1"/>
    </w:pPr>
    <w:rPr>
      <w:rFonts w:ascii="Calibri Light" w:hAnsi="Calibri Light"/>
      <w:bCs/>
      <w:sz w:val="32"/>
      <w:szCs w:val="32"/>
    </w:rPr>
  </w:style>
  <w:style w:type="paragraph" w:styleId="917" w:customStyle="1">
    <w:name w:val="BlockQuote"/>
    <w:uiPriority w:val="0"/>
    <w:qFormat/>
    <w:pPr>
      <w:ind w:left="256" w:right="6" w:firstLine="624"/>
      <w:jc w:val="both"/>
      <w:widowControl w:val="off"/>
    </w:pPr>
    <w:rPr>
      <w:rFonts w:ascii="Arial" w:hAnsi="Arial" w:eastAsia="仿宋_GB2312" w:cs="Times New Roman"/>
      <w:sz w:val="28"/>
      <w:szCs w:val="24"/>
      <w:lang w:val="en-US" w:eastAsia="zh-CN" w:bidi="ar-SA"/>
    </w:rPr>
  </w:style>
  <w:style w:type="paragraph" w:styleId="918">
    <w:name w:val="No Spacing"/>
    <w:uiPriority w:val="1"/>
    <w:qFormat/>
    <w:rPr>
      <w:rFonts w:ascii="Arial" w:hAnsi="Arial" w:eastAsia="宋体" w:cs="Times New Roman"/>
      <w:lang w:val="en-US" w:eastAsia="zh-CN" w:bidi="ar-SA"/>
    </w:rPr>
  </w:style>
  <w:style w:type="paragraph" w:styleId="919" w:customStyle="1">
    <w:name w:val="Body text|1"/>
    <w:basedOn w:val="818"/>
    <w:uiPriority w:val="0"/>
    <w:qFormat/>
    <w:pPr>
      <w:ind w:firstLine="400"/>
      <w:spacing w:after="220" w:line="408" w:lineRule="auto"/>
      <w:widowControl w:val="off"/>
    </w:pPr>
    <w:rPr>
      <w:rFonts w:ascii="宋体" w:hAnsi="宋体" w:cs="宋体"/>
      <w:sz w:val="30"/>
      <w:szCs w:val="30"/>
      <w:lang w:val="zh-TW" w:eastAsia="zh-TW" w:bidi="zh-TW"/>
    </w:rPr>
  </w:style>
  <w:style w:type="paragraph" w:styleId="920" w:customStyle="1">
    <w:name w:val="正文缩进1"/>
    <w:basedOn w:val="864"/>
    <w:uiPriority w:val="0"/>
    <w:qFormat/>
    <w:pPr>
      <w:ind w:firstLine="420"/>
      <w:jc w:val="left"/>
    </w:pPr>
    <w:rPr>
      <w:rFonts w:ascii="宋体" w:hAnsi="Calibri"/>
      <w:sz w:val="24"/>
      <w:szCs w:val="22"/>
    </w:rPr>
  </w:style>
  <w:style w:type="paragraph" w:styleId="921" w:customStyle="1">
    <w:name w:val="标题 71"/>
    <w:basedOn w:val="818"/>
    <w:next w:val="818"/>
    <w:link w:val="974"/>
    <w:uiPriority w:val="9"/>
    <w:unhideWhenUsed/>
    <w:qFormat/>
    <w:pPr>
      <w:keepLines/>
      <w:keepNext/>
      <w:spacing w:before="320" w:after="200"/>
      <w:outlineLvl w:val="6"/>
    </w:pPr>
    <w:rPr>
      <w:rFonts w:eastAsia="Arial" w:cs="Arial"/>
      <w:b/>
      <w:bCs/>
      <w:i/>
      <w:iCs/>
      <w:sz w:val="22"/>
      <w:szCs w:val="22"/>
    </w:rPr>
  </w:style>
  <w:style w:type="paragraph" w:styleId="922" w:customStyle="1">
    <w:name w:val="普通正文"/>
    <w:basedOn w:val="818"/>
    <w:uiPriority w:val="0"/>
    <w:qFormat/>
    <w:pPr>
      <w:ind w:firstLine="480"/>
      <w:spacing w:before="120" w:after="120" w:line="360" w:lineRule="auto"/>
    </w:pPr>
    <w:rPr>
      <w:szCs w:val="24"/>
    </w:rPr>
  </w:style>
  <w:style w:type="paragraph" w:styleId="923" w:customStyle="1">
    <w:name w:val="标题 51"/>
    <w:basedOn w:val="818"/>
    <w:next w:val="818"/>
    <w:link w:val="934"/>
    <w:uiPriority w:val="0"/>
    <w:unhideWhenUsed/>
    <w:qFormat/>
    <w:pPr>
      <w:keepLines/>
      <w:keepNext/>
      <w:spacing w:before="80" w:after="80" w:line="372" w:lineRule="auto"/>
      <w:outlineLvl w:val="4"/>
    </w:pPr>
    <w:rPr>
      <w:b/>
    </w:rPr>
  </w:style>
  <w:style w:type="paragraph" w:styleId="924">
    <w:name w:val="Intense Quote"/>
    <w:basedOn w:val="818"/>
    <w:next w:val="818"/>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5" w:customStyle="1">
    <w:name w:val="_HT_正文"/>
    <w:basedOn w:val="818"/>
    <w:uiPriority w:val="0"/>
    <w:qFormat/>
    <w:pPr>
      <w:ind w:firstLine="200"/>
      <w:spacing w:line="360" w:lineRule="auto"/>
    </w:pPr>
  </w:style>
  <w:style w:type="paragraph" w:styleId="926" w:customStyle="1">
    <w:name w:val="标题 91"/>
    <w:basedOn w:val="818"/>
    <w:next w:val="818"/>
    <w:link w:val="946"/>
    <w:uiPriority w:val="9"/>
    <w:unhideWhenUsed/>
    <w:qFormat/>
    <w:pPr>
      <w:keepLines/>
      <w:keepNext/>
      <w:spacing w:before="320" w:after="200"/>
      <w:outlineLvl w:val="8"/>
    </w:pPr>
    <w:rPr>
      <w:rFonts w:eastAsia="Arial" w:cs="Arial"/>
      <w:i/>
      <w:iCs/>
      <w:sz w:val="21"/>
      <w:szCs w:val="21"/>
    </w:rPr>
  </w:style>
  <w:style w:type="paragraph" w:styleId="927" w:customStyle="1">
    <w:name w:val="正文文本1"/>
    <w:basedOn w:val="861"/>
    <w:next w:val="861"/>
    <w:uiPriority w:val="0"/>
    <w:qFormat/>
    <w:pPr>
      <w:spacing w:after="120"/>
    </w:pPr>
  </w:style>
  <w:style w:type="paragraph" w:styleId="928" w:customStyle="1">
    <w:name w:val="纯文本1"/>
    <w:basedOn w:val="867"/>
    <w:uiPriority w:val="0"/>
    <w:qFormat/>
    <w:rPr>
      <w:rFonts w:ascii="宋体" w:hAnsi="Courier New"/>
      <w:szCs w:val="21"/>
    </w:rPr>
  </w:style>
  <w:style w:type="paragraph" w:styleId="929" w:customStyle="1">
    <w:name w:val="TOC 标题111"/>
    <w:uiPriority w:val="39"/>
    <w:unhideWhenUsed/>
    <w:qFormat/>
    <w:rPr>
      <w:rFonts w:ascii="Arial" w:hAnsi="Arial" w:eastAsia="宋体" w:cs="Times New Roman"/>
      <w:lang w:val="en-US" w:eastAsia="zh-CN" w:bidi="ar-SA"/>
    </w:rPr>
  </w:style>
  <w:style w:type="paragraph" w:styleId="930" w:customStyle="1">
    <w:name w:val="UserStyle_0"/>
    <w:next w:val="818"/>
    <w:uiPriority w:val="0"/>
    <w:qFormat/>
    <w:rPr>
      <w:rFonts w:ascii="Arial" w:hAnsi="Arial" w:eastAsia="宋体" w:cs="Times New Roman"/>
      <w:color w:val="000000"/>
      <w:sz w:val="24"/>
      <w:szCs w:val="24"/>
      <w:lang w:val="en-US" w:eastAsia="zh-CN" w:bidi="ar-SA"/>
    </w:rPr>
  </w:style>
  <w:style w:type="paragraph" w:styleId="931" w:customStyle="1">
    <w:name w:val="文本块11"/>
    <w:basedOn w:val="864"/>
    <w:uiPriority w:val="0"/>
    <w:qFormat/>
    <w:pPr>
      <w:ind w:left="420" w:right="33"/>
      <w:jc w:val="left"/>
    </w:pPr>
    <w:rPr>
      <w:sz w:val="24"/>
      <w:szCs w:val="20"/>
    </w:rPr>
  </w:style>
  <w:style w:type="character" w:styleId="932" w:customStyle="1">
    <w:name w:val="font11"/>
    <w:basedOn w:val="820"/>
    <w:uiPriority w:val="0"/>
    <w:qFormat/>
    <w:rPr>
      <w:rFonts w:hint="eastAsia" w:ascii="宋体" w:hAnsi="宋体" w:eastAsia="宋体" w:cs="宋体"/>
      <w:color w:val="000000"/>
      <w:sz w:val="24"/>
      <w:szCs w:val="24"/>
      <w:u w:val="none"/>
    </w:rPr>
  </w:style>
  <w:style w:type="character" w:styleId="933" w:customStyle="1">
    <w:name w:val="Intense Quote Char"/>
    <w:uiPriority w:val="30"/>
    <w:qFormat/>
    <w:rPr>
      <w:i/>
    </w:rPr>
  </w:style>
  <w:style w:type="character" w:styleId="934" w:customStyle="1">
    <w:name w:val="标题 5 字符"/>
    <w:link w:val="923"/>
    <w:uiPriority w:val="0"/>
    <w:qFormat/>
    <w:rPr>
      <w:rFonts w:eastAsia="宋体"/>
      <w:b/>
      <w:sz w:val="24"/>
    </w:rPr>
  </w:style>
  <w:style w:type="character" w:styleId="935" w:customStyle="1">
    <w:name w:val="15"/>
    <w:basedOn w:val="820"/>
    <w:link w:val="861"/>
    <w:uiPriority w:val="0"/>
    <w:qFormat/>
    <w:rPr>
      <w:rFonts w:ascii="仿宋" w:hAnsi="仿宋" w:eastAsia="仿宋"/>
      <w:color w:val="000000"/>
      <w:sz w:val="18"/>
      <w:szCs w:val="18"/>
    </w:rPr>
  </w:style>
  <w:style w:type="character" w:styleId="936" w:customStyle="1">
    <w:name w:val="批注文字 字符"/>
    <w:basedOn w:val="820"/>
    <w:link w:val="823"/>
    <w:uiPriority w:val="99"/>
    <w:semiHidden/>
    <w:qFormat/>
    <w:rPr>
      <w:rFonts w:ascii="Times New Roman" w:hAnsi="Times New Roman" w:eastAsia="宋体" w:cs="Times New Roman"/>
      <w:sz w:val="24"/>
    </w:rPr>
  </w:style>
  <w:style w:type="character" w:styleId="937" w:customStyle="1">
    <w:name w:val="font51"/>
    <w:basedOn w:val="820"/>
    <w:uiPriority w:val="0"/>
    <w:qFormat/>
    <w:rPr>
      <w:rFonts w:hint="eastAsia" w:ascii="宋体" w:hAnsi="宋体" w:eastAsia="宋体" w:cs="宋体"/>
      <w:b/>
      <w:bCs/>
      <w:color w:val="000000"/>
      <w:sz w:val="18"/>
      <w:szCs w:val="18"/>
      <w:u w:val="none"/>
    </w:rPr>
  </w:style>
  <w:style w:type="character" w:styleId="938" w:customStyle="1">
    <w:name w:val="标题 3 字符"/>
    <w:link w:val="906"/>
    <w:uiPriority w:val="0"/>
    <w:qFormat/>
    <w:rPr>
      <w:rFonts w:ascii="Arial" w:hAnsi="Arial" w:eastAsia="宋体" w:cs="Arial"/>
      <w:b/>
      <w:sz w:val="28"/>
      <w:szCs w:val="22"/>
      <w:lang w:val="en-US" w:eastAsia="en-US" w:bidi="ar-SA"/>
    </w:rPr>
  </w:style>
  <w:style w:type="character" w:styleId="939" w:customStyle="1">
    <w:name w:val="Title Char"/>
    <w:basedOn w:val="820"/>
    <w:uiPriority w:val="10"/>
    <w:qFormat/>
    <w:rPr>
      <w:sz w:val="48"/>
      <w:szCs w:val="48"/>
    </w:rPr>
  </w:style>
  <w:style w:type="character" w:styleId="940" w:customStyle="1">
    <w:name w:val="Heading 7 Char"/>
    <w:basedOn w:val="820"/>
    <w:uiPriority w:val="9"/>
    <w:qFormat/>
    <w:rPr>
      <w:rFonts w:ascii="Arial" w:hAnsi="Arial" w:eastAsia="Arial" w:cs="Arial"/>
      <w:b/>
      <w:bCs/>
      <w:i/>
      <w:iCs/>
      <w:sz w:val="22"/>
      <w:szCs w:val="22"/>
    </w:rPr>
  </w:style>
  <w:style w:type="character" w:styleId="941" w:customStyle="1">
    <w:name w:val="Subtitle Char"/>
    <w:basedOn w:val="820"/>
    <w:uiPriority w:val="11"/>
    <w:qFormat/>
    <w:rPr>
      <w:sz w:val="24"/>
      <w:szCs w:val="24"/>
    </w:rPr>
  </w:style>
  <w:style w:type="character" w:styleId="942" w:customStyle="1">
    <w:name w:val="Heading 4 Char"/>
    <w:basedOn w:val="820"/>
    <w:uiPriority w:val="9"/>
    <w:qFormat/>
    <w:rPr>
      <w:rFonts w:ascii="Arial" w:hAnsi="Arial" w:eastAsia="Arial" w:cs="Arial"/>
      <w:b/>
      <w:bCs/>
      <w:sz w:val="26"/>
      <w:szCs w:val="26"/>
    </w:rPr>
  </w:style>
  <w:style w:type="character" w:styleId="943" w:customStyle="1">
    <w:name w:val="Heading 3 Char"/>
    <w:basedOn w:val="820"/>
    <w:uiPriority w:val="9"/>
    <w:qFormat/>
    <w:rPr>
      <w:rFonts w:ascii="Arial" w:hAnsi="Arial" w:eastAsia="Arial" w:cs="Arial"/>
      <w:sz w:val="30"/>
      <w:szCs w:val="30"/>
    </w:rPr>
  </w:style>
  <w:style w:type="character" w:styleId="944" w:customStyle="1">
    <w:name w:val="Heading 6 Char"/>
    <w:basedOn w:val="820"/>
    <w:uiPriority w:val="9"/>
    <w:qFormat/>
    <w:rPr>
      <w:rFonts w:ascii="Arial" w:hAnsi="Arial" w:eastAsia="Arial" w:cs="Arial"/>
      <w:b/>
      <w:bCs/>
      <w:sz w:val="22"/>
      <w:szCs w:val="22"/>
    </w:rPr>
  </w:style>
  <w:style w:type="character" w:styleId="945" w:customStyle="1">
    <w:name w:val="标题 8 字符"/>
    <w:basedOn w:val="820"/>
    <w:link w:val="879"/>
    <w:uiPriority w:val="9"/>
    <w:qFormat/>
    <w:rPr>
      <w:rFonts w:ascii="Arial" w:hAnsi="Arial" w:eastAsia="Arial" w:cs="Arial"/>
      <w:i/>
      <w:iCs/>
      <w:sz w:val="22"/>
      <w:szCs w:val="22"/>
    </w:rPr>
  </w:style>
  <w:style w:type="character" w:styleId="946" w:customStyle="1">
    <w:name w:val="标题 9 字符"/>
    <w:basedOn w:val="820"/>
    <w:link w:val="926"/>
    <w:uiPriority w:val="9"/>
    <w:qFormat/>
    <w:rPr>
      <w:rFonts w:ascii="Arial" w:hAnsi="Arial" w:eastAsia="Arial" w:cs="Arial"/>
      <w:i/>
      <w:iCs/>
      <w:sz w:val="21"/>
      <w:szCs w:val="21"/>
    </w:rPr>
  </w:style>
  <w:style w:type="character" w:styleId="947" w:customStyle="1">
    <w:name w:val="标题 字符"/>
    <w:basedOn w:val="820"/>
    <w:link w:val="852"/>
    <w:uiPriority w:val="10"/>
    <w:qFormat/>
    <w:rPr>
      <w:sz w:val="48"/>
      <w:szCs w:val="48"/>
    </w:rPr>
  </w:style>
  <w:style w:type="character" w:styleId="948" w:customStyle="1">
    <w:name w:val="16"/>
    <w:basedOn w:val="949"/>
    <w:uiPriority w:val="0"/>
    <w:qFormat/>
    <w:rPr>
      <w:rFonts w:hint="default" w:ascii="Times New Roman" w:hAnsi="Times New Roman" w:eastAsia="宋体" w:cs="Times New Roman"/>
      <w:sz w:val="21"/>
      <w:szCs w:val="24"/>
      <w:lang w:val="en-US" w:eastAsia="zh-CN" w:bidi="ar-SA"/>
    </w:rPr>
  </w:style>
  <w:style w:type="character" w:styleId="949" w:customStyle="1">
    <w:name w:val="默认段落字体1"/>
    <w:uiPriority w:val="0"/>
    <w:semiHidden/>
    <w:qFormat/>
  </w:style>
  <w:style w:type="character" w:styleId="950" w:customStyle="1">
    <w:name w:val="NormalCharacter"/>
    <w:link w:val="866"/>
    <w:uiPriority w:val="0"/>
    <w:semiHidden/>
    <w:qFormat/>
  </w:style>
  <w:style w:type="character" w:styleId="951" w:customStyle="1">
    <w:name w:val="批注框文本 字符"/>
    <w:basedOn w:val="820"/>
    <w:link w:val="837"/>
    <w:uiPriority w:val="99"/>
    <w:semiHidden/>
    <w:qFormat/>
    <w:rPr>
      <w:rFonts w:ascii="Times New Roman" w:hAnsi="Times New Roman" w:eastAsia="宋体" w:cs="Times New Roman"/>
      <w:sz w:val="18"/>
      <w:szCs w:val="18"/>
    </w:rPr>
  </w:style>
  <w:style w:type="character" w:styleId="952" w:customStyle="1">
    <w:name w:val="标题 2 字符"/>
    <w:link w:val="886"/>
    <w:uiPriority w:val="9"/>
    <w:qFormat/>
    <w:rPr>
      <w:rFonts w:ascii="Arial" w:hAnsi="Arial" w:eastAsia="宋体" w:cs="Times New Roman"/>
      <w:b/>
      <w:bCs/>
      <w:sz w:val="21"/>
      <w:szCs w:val="21"/>
      <w:lang w:bidi="ar-SA"/>
    </w:rPr>
  </w:style>
  <w:style w:type="character" w:styleId="953" w:customStyle="1">
    <w:name w:val="Endnote Text Char"/>
    <w:uiPriority w:val="99"/>
    <w:qFormat/>
    <w:rPr>
      <w:sz w:val="20"/>
    </w:rPr>
  </w:style>
  <w:style w:type="character" w:styleId="954" w:customStyle="1">
    <w:name w:val="引用 字符"/>
    <w:link w:val="896"/>
    <w:uiPriority w:val="29"/>
    <w:qFormat/>
    <w:rPr>
      <w:i/>
    </w:rPr>
  </w:style>
  <w:style w:type="character" w:styleId="955" w:customStyle="1">
    <w:name w:val="正文文本缩进 字符"/>
    <w:link w:val="829"/>
    <w:uiPriority w:val="99"/>
    <w:qFormat/>
  </w:style>
  <w:style w:type="character" w:styleId="956" w:customStyle="1">
    <w:name w:val="页眉 字符1"/>
    <w:basedOn w:val="820"/>
    <w:link w:val="841"/>
    <w:uiPriority w:val="99"/>
    <w:qFormat/>
    <w:rPr>
      <w:sz w:val="18"/>
      <w:szCs w:val="18"/>
    </w:rPr>
  </w:style>
  <w:style w:type="character" w:styleId="957" w:customStyle="1">
    <w:name w:val="Header Char"/>
    <w:basedOn w:val="820"/>
    <w:uiPriority w:val="99"/>
    <w:qFormat/>
  </w:style>
  <w:style w:type="character" w:styleId="958" w:customStyle="1">
    <w:name w:val="Quote Char"/>
    <w:uiPriority w:val="29"/>
    <w:qFormat/>
    <w:rPr>
      <w:i/>
    </w:rPr>
  </w:style>
  <w:style w:type="character" w:styleId="959" w:customStyle="1">
    <w:name w:val="Footer Char"/>
    <w:basedOn w:val="820"/>
    <w:uiPriority w:val="99"/>
    <w:qFormat/>
  </w:style>
  <w:style w:type="character" w:styleId="960" w:customStyle="1">
    <w:name w:val="Footnote Text Char"/>
    <w:uiPriority w:val="99"/>
    <w:qFormat/>
    <w:rPr>
      <w:sz w:val="18"/>
    </w:rPr>
  </w:style>
  <w:style w:type="character" w:styleId="961" w:customStyle="1">
    <w:name w:val="页脚 字符"/>
    <w:link w:val="878"/>
    <w:uiPriority w:val="99"/>
    <w:qFormat/>
  </w:style>
  <w:style w:type="character" w:styleId="962" w:customStyle="1">
    <w:name w:val="页码1"/>
    <w:uiPriority w:val="0"/>
    <w:qFormat/>
  </w:style>
  <w:style w:type="character" w:styleId="963" w:customStyle="1">
    <w:name w:val="Heading 2 Char"/>
    <w:basedOn w:val="820"/>
    <w:uiPriority w:val="9"/>
    <w:qFormat/>
    <w:rPr>
      <w:rFonts w:ascii="Arial" w:hAnsi="Arial" w:eastAsia="Arial" w:cs="Arial"/>
      <w:sz w:val="34"/>
    </w:rPr>
  </w:style>
  <w:style w:type="character" w:styleId="964" w:customStyle="1">
    <w:name w:val="标题 1 字符"/>
    <w:link w:val="877"/>
    <w:uiPriority w:val="0"/>
    <w:qFormat/>
    <w:rPr>
      <w:rFonts w:ascii="Arial" w:hAnsi="Arial" w:eastAsia="宋体" w:cs="微软雅黑"/>
      <w:b/>
      <w:sz w:val="36"/>
      <w:szCs w:val="32"/>
      <w:lang w:bidi="ar-SA"/>
    </w:rPr>
  </w:style>
  <w:style w:type="character" w:styleId="965" w:customStyle="1">
    <w:name w:val="页眉 字符"/>
    <w:basedOn w:val="820"/>
    <w:link w:val="884"/>
    <w:uiPriority w:val="99"/>
    <w:qFormat/>
  </w:style>
  <w:style w:type="character" w:styleId="966" w:customStyle="1">
    <w:name w:val="Heading 1 Char"/>
    <w:basedOn w:val="820"/>
    <w:uiPriority w:val="9"/>
    <w:qFormat/>
    <w:rPr>
      <w:rFonts w:ascii="Arial" w:hAnsi="Arial" w:eastAsia="Arial" w:cs="Arial"/>
      <w:sz w:val="40"/>
      <w:szCs w:val="40"/>
    </w:rPr>
  </w:style>
  <w:style w:type="character" w:styleId="967" w:customStyle="1">
    <w:name w:val="Heading 9 Char"/>
    <w:basedOn w:val="820"/>
    <w:uiPriority w:val="9"/>
    <w:qFormat/>
    <w:rPr>
      <w:rFonts w:ascii="Arial" w:hAnsi="Arial" w:eastAsia="Arial" w:cs="Arial"/>
      <w:i/>
      <w:iCs/>
      <w:sz w:val="21"/>
      <w:szCs w:val="21"/>
    </w:rPr>
  </w:style>
  <w:style w:type="character" w:styleId="968" w:customStyle="1">
    <w:name w:val="明显引用 字符"/>
    <w:link w:val="924"/>
    <w:uiPriority w:val="30"/>
    <w:qFormat/>
    <w:rPr>
      <w:i/>
    </w:rPr>
  </w:style>
  <w:style w:type="character" w:styleId="969" w:customStyle="1">
    <w:name w:val="副标题 字符"/>
    <w:basedOn w:val="820"/>
    <w:link w:val="844"/>
    <w:uiPriority w:val="11"/>
    <w:qFormat/>
    <w:rPr>
      <w:sz w:val="24"/>
      <w:szCs w:val="24"/>
    </w:rPr>
  </w:style>
  <w:style w:type="character" w:styleId="970" w:customStyle="1">
    <w:name w:val="font31"/>
    <w:basedOn w:val="820"/>
    <w:uiPriority w:val="0"/>
    <w:qFormat/>
    <w:rPr>
      <w:rFonts w:hint="eastAsia" w:ascii="宋体" w:hAnsi="宋体" w:eastAsia="宋体" w:cs="宋体"/>
      <w:color w:val="000000"/>
      <w:sz w:val="22"/>
      <w:szCs w:val="22"/>
      <w:u w:val="single"/>
    </w:rPr>
  </w:style>
  <w:style w:type="character" w:styleId="971" w:customStyle="1">
    <w:name w:val="标题 6 字符"/>
    <w:basedOn w:val="820"/>
    <w:link w:val="887"/>
    <w:uiPriority w:val="9"/>
    <w:qFormat/>
    <w:rPr>
      <w:rFonts w:ascii="Arial" w:hAnsi="Arial" w:eastAsia="Arial" w:cs="Arial"/>
      <w:b/>
      <w:bCs/>
      <w:sz w:val="22"/>
      <w:szCs w:val="22"/>
    </w:rPr>
  </w:style>
  <w:style w:type="character" w:styleId="972" w:customStyle="1">
    <w:name w:val="标题 4 字符"/>
    <w:link w:val="888"/>
    <w:uiPriority w:val="0"/>
    <w:qFormat/>
    <w:rPr>
      <w:rFonts w:ascii="Arial" w:hAnsi="Arial" w:eastAsia="宋体"/>
      <w:b/>
      <w:sz w:val="24"/>
      <w:szCs w:val="20"/>
      <w:lang w:val="zh-CN"/>
    </w:rPr>
  </w:style>
  <w:style w:type="character" w:styleId="973" w:customStyle="1">
    <w:name w:val="Heading 8 Char"/>
    <w:basedOn w:val="820"/>
    <w:uiPriority w:val="9"/>
    <w:qFormat/>
    <w:rPr>
      <w:rFonts w:ascii="Arial" w:hAnsi="Arial" w:eastAsia="Arial" w:cs="Arial"/>
      <w:i/>
      <w:iCs/>
      <w:sz w:val="22"/>
      <w:szCs w:val="22"/>
    </w:rPr>
  </w:style>
  <w:style w:type="character" w:styleId="974" w:customStyle="1">
    <w:name w:val="标题 7 字符"/>
    <w:basedOn w:val="820"/>
    <w:link w:val="921"/>
    <w:uiPriority w:val="9"/>
    <w:qFormat/>
    <w:rPr>
      <w:rFonts w:ascii="Arial" w:hAnsi="Arial" w:eastAsia="Arial" w:cs="Arial"/>
      <w:b/>
      <w:bCs/>
      <w:i/>
      <w:iCs/>
      <w:sz w:val="22"/>
      <w:szCs w:val="22"/>
    </w:rPr>
  </w:style>
  <w:style w:type="character" w:styleId="975" w:customStyle="1">
    <w:name w:val="页脚 字符1"/>
    <w:basedOn w:val="820"/>
    <w:link w:val="838"/>
    <w:uiPriority w:val="99"/>
    <w:qFormat/>
    <w:rPr>
      <w:sz w:val="18"/>
      <w:szCs w:val="18"/>
    </w:rPr>
  </w:style>
  <w:style w:type="character" w:styleId="976" w:customStyle="1">
    <w:name w:val="Caption Char"/>
    <w:uiPriority w:val="99"/>
    <w:qFormat/>
  </w:style>
  <w:style w:type="character" w:styleId="977" w:customStyle="1">
    <w:name w:val="Heading 5 Char"/>
    <w:basedOn w:val="820"/>
    <w:uiPriority w:val="9"/>
    <w:qFormat/>
    <w:rPr>
      <w:rFonts w:ascii="Arial" w:hAnsi="Arial" w:eastAsia="Arial" w:cs="Arial"/>
      <w:b/>
      <w:bCs/>
      <w:sz w:val="24"/>
      <w:szCs w:val="24"/>
    </w:rPr>
  </w:style>
  <w:style w:type="character" w:styleId="978" w:customStyle="1">
    <w:name w:val="批注主题 字符"/>
    <w:basedOn w:val="936"/>
    <w:link w:val="822"/>
    <w:uiPriority w:val="99"/>
    <w:semiHidden/>
    <w:qFormat/>
    <w:rPr>
      <w:rFonts w:ascii="Times New Roman" w:hAnsi="Times New Roman" w:eastAsia="宋体" w:cs="Times New Roman"/>
      <w:b/>
      <w:bCs/>
      <w:sz w:val="24"/>
    </w:rPr>
  </w:style>
  <w:style w:type="character" w:styleId="979" w:customStyle="1">
    <w:name w:val="尾注文本 字符"/>
    <w:link w:val="836"/>
    <w:uiPriority w:val="99"/>
    <w:qFormat/>
    <w:rPr>
      <w:sz w:val="20"/>
    </w:rPr>
  </w:style>
  <w:style w:type="table" w:styleId="980" w:customStyle="1">
    <w:name w:val="清单表 5 深色1"/>
    <w:basedOn w:val="821"/>
    <w:uiPriority w:val="99"/>
    <w:qFormat/>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981" w:customStyle="1">
    <w:name w:val="List Table 1 Light - Accent 4"/>
    <w:basedOn w:val="821"/>
    <w:uiPriority w:val="99"/>
    <w:qFormat/>
    <w:tblPr>
      <w:tblLayout w:type="fixed"/>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网格表 21"/>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4 - Accent 4"/>
    <w:basedOn w:val="82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Layout w:type="fixed"/>
    </w:tblPr>
    <w:tblStylePr w:type="band1Horz">
      <w:rPr>
        <w:rFonts w:ascii="New York" w:hAnsi="New York"/>
        <w:color w:val="404040"/>
        <w:sz w:val="22"/>
      </w:rPr>
      <w:tcPr>
        <w:shd w:val="clear" w:color="fef2ca" w:fill="fef2ca"/>
      </w:tcPr>
    </w:tblStylePr>
    <w:tblStylePr w:type="band1Vert">
      <w:rPr>
        <w:rFonts w:ascii="New York" w:hAnsi="New York"/>
        <w:color w:val="404040"/>
        <w:sz w:val="22"/>
      </w:rPr>
      <w:tcPr>
        <w:shd w:val="clear" w:color="fef2ca" w:fill="fef2ca"/>
      </w:tcPr>
    </w:tblStylePr>
    <w:tblStylePr w:type="firstCol">
      <w:rPr>
        <w:b/>
        <w:color w:val="404040"/>
      </w:rPr>
    </w:tblStylePr>
    <w:tblStylePr w:type="firstRow">
      <w:rPr>
        <w:rFonts w:ascii="New York" w:hAnsi="New York"/>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3 - Accent 4"/>
    <w:basedOn w:val="821"/>
    <w:uiPriority w:val="99"/>
    <w:qFormat/>
    <w:tblPr>
      <w:tblBorders>
        <w:bottom w:val="single" w:color="FFD864" w:sz="4" w:space="0"/>
        <w:insideH w:val="single" w:color="FFD864" w:sz="4" w:space="0"/>
        <w:insideV w:val="single" w:color="FFD864" w:sz="4" w:space="0"/>
      </w:tblBorders>
      <w:tblLayout w:type="fixed"/>
    </w:tblPr>
    <w:tblStylePr w:type="band1Horz">
      <w:rPr>
        <w:rFonts w:ascii="New York" w:hAnsi="New York"/>
        <w:color w:val="404040"/>
        <w:sz w:val="22"/>
      </w:rPr>
      <w:tcPr>
        <w:shd w:val="clear" w:color="fef2ca" w:fill="fef2ca"/>
      </w:tcPr>
    </w:tblStylePr>
    <w:tblStylePr w:type="band1Vert">
      <w:rPr>
        <w:rFonts w:ascii="New York" w:hAnsi="New York"/>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6 Colorful - Accent 2"/>
    <w:basedOn w:val="821"/>
    <w:uiPriority w:val="99"/>
    <w:qFormat/>
    <w:tblPr>
      <w:tblBorders>
        <w:top w:val="single" w:color="F4B285" w:sz="4" w:space="0"/>
        <w:bottom w:val="single" w:color="F4B285" w:sz="4" w:space="0"/>
      </w:tblBorders>
      <w:tblLayout w:type="fixed"/>
    </w:tblPr>
    <w:tblStylePr w:type="band1Horz">
      <w:rPr>
        <w:rFonts w:ascii="New York" w:hAnsi="New York"/>
        <w:color w:val="f4b285"/>
        <w:sz w:val="22"/>
      </w:rPr>
      <w:tcPr>
        <w:shd w:val="clear" w:color="fadecb" w:fill="fadecb"/>
      </w:tcPr>
    </w:tblStylePr>
    <w:tblStylePr w:type="band1Vert">
      <w:tcPr>
        <w:shd w:val="clear" w:color="fadecb" w:fill="fadecb"/>
      </w:tcPr>
    </w:tblStylePr>
    <w:tblStylePr w:type="band2Horz">
      <w:rPr>
        <w:rFonts w:ascii="New York" w:hAnsi="New York"/>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3 - Accent 2"/>
    <w:basedOn w:val="821"/>
    <w:uiPriority w:val="99"/>
    <w:qFormat/>
    <w:tblPr>
      <w:tblBorders>
        <w:top w:val="single" w:color="F4B285" w:sz="4" w:space="0"/>
        <w:left w:val="single" w:color="F4B285" w:sz="4" w:space="0"/>
        <w:bottom w:val="single" w:color="F4B285" w:sz="4" w:space="0"/>
        <w:right w:val="single" w:color="F4B285" w:sz="4" w:space="0"/>
      </w:tblBorders>
      <w:tblLayout w:type="fixed"/>
    </w:tblPr>
    <w:tblStylePr w:type="band1Horz">
      <w:rPr>
        <w:rFonts w:ascii="New York" w:hAnsi="New York"/>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f4b285" w:fill="f4b285"/>
      </w:tcPr>
    </w:tblStylePr>
    <w:tblStylePr w:type="lastCol">
      <w:rPr>
        <w:b/>
        <w:color w:val="404040"/>
      </w:rPr>
    </w:tblStylePr>
    <w:tblStylePr w:type="lastRow">
      <w:rPr>
        <w:b/>
        <w:color w:val="404040"/>
      </w:rPr>
    </w:tblStylePr>
  </w:style>
  <w:style w:type="table" w:styleId="987" w:customStyle="1">
    <w:name w:val="Grid Table 2 - Accent 4"/>
    <w:basedOn w:val="821"/>
    <w:uiPriority w:val="99"/>
    <w:qFormat/>
    <w:tblPr>
      <w:tblBorders>
        <w:bottom w:val="single" w:color="FFD864" w:sz="4" w:space="0"/>
        <w:insideH w:val="single" w:color="FFD864" w:sz="4" w:space="0"/>
        <w:insideV w:val="single" w:color="FFD864" w:sz="4" w:space="0"/>
      </w:tblBorders>
      <w:tblLayout w:type="fixed"/>
    </w:tblPr>
    <w:tblStylePr w:type="band1Horz">
      <w:rPr>
        <w:rFonts w:ascii="New York" w:hAnsi="New York"/>
        <w:color w:val="404040"/>
        <w:sz w:val="22"/>
      </w:rPr>
      <w:tcPr>
        <w:shd w:val="clear" w:color="fef2ca" w:fill="fef2ca"/>
      </w:tcPr>
    </w:tblStylePr>
    <w:tblStylePr w:type="band1Vert">
      <w:rPr>
        <w:rFonts w:ascii="New York" w:hAnsi="New York"/>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1 Light - Accent 6"/>
    <w:basedOn w:val="821"/>
    <w:uiPriority w:val="99"/>
    <w:qFormat/>
    <w:tblPr>
      <w:tblLayout w:type="fixed"/>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Bordered - Accent 1"/>
    <w:basedOn w:val="82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Layout w:type="fixed"/>
    </w:tblPr>
    <w:tblStylePr w:type="band1Horz">
      <w:rPr>
        <w:rFonts w:ascii="New York" w:hAnsi="New York"/>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5 Dark- Accent 4"/>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ee289" w:fill="fee289"/>
      </w:tcPr>
    </w:tblStylePr>
    <w:tblStylePr w:type="band1Vert">
      <w:tcPr>
        <w:shd w:val="clear" w:color="fee289" w:fill="fee289"/>
      </w:tcPr>
    </w:tblStylePr>
    <w:tblStylePr w:type="firstCol">
      <w:rPr>
        <w:rFonts w:ascii="New York" w:hAnsi="New York"/>
        <w:b/>
        <w:color w:val="ffffff"/>
        <w:sz w:val="22"/>
      </w:rPr>
      <w:tcPr>
        <w:shd w:val="clear" w:color="ffc000" w:fill="ffc000"/>
      </w:tcPr>
    </w:tblStylePr>
    <w:tblStylePr w:type="firstRow">
      <w:rPr>
        <w:rFonts w:ascii="New York" w:hAnsi="New York"/>
        <w:b/>
        <w:color w:val="ffffff"/>
        <w:sz w:val="22"/>
      </w:rPr>
      <w:tcPr>
        <w:shd w:val="clear" w:color="ffc000" w:fill="ffc000"/>
      </w:tcPr>
    </w:tblStylePr>
    <w:tblStylePr w:type="lastCol">
      <w:rPr>
        <w:rFonts w:ascii="New York" w:hAnsi="New York"/>
        <w:b/>
        <w:color w:val="ffffff"/>
        <w:sz w:val="22"/>
      </w:rPr>
      <w:tcPr>
        <w:shd w:val="clear" w:color="ffc000" w:fill="ffc000"/>
      </w:tcPr>
    </w:tblStylePr>
    <w:tblStylePr w:type="lastRow">
      <w:rPr>
        <w:rFonts w:ascii="New York" w:hAnsi="New York"/>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清单表 1 浅色1"/>
    <w:basedOn w:val="821"/>
    <w:uiPriority w:val="99"/>
    <w:qFormat/>
    <w:tblPr>
      <w:tblLayout w:type="fixed"/>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清单表 32"/>
    <w:basedOn w:val="821"/>
    <w:uiPriority w:val="99"/>
    <w:qFormat/>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New York" w:hAnsi="New York"/>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993" w:customStyle="1">
    <w:name w:val="List Table 3 - Accent 6"/>
    <w:basedOn w:val="821"/>
    <w:uiPriority w:val="99"/>
    <w:qFormat/>
    <w:tblPr>
      <w:tblBorders>
        <w:top w:val="single" w:color="A9D08E" w:sz="4" w:space="0"/>
        <w:left w:val="single" w:color="A9D08E" w:sz="4" w:space="0"/>
        <w:bottom w:val="single" w:color="A9D08E" w:sz="4" w:space="0"/>
        <w:right w:val="single" w:color="A9D08E" w:sz="4" w:space="0"/>
      </w:tblBorders>
      <w:tblLayout w:type="fixed"/>
    </w:tblPr>
    <w:tblStylePr w:type="band1Horz">
      <w:rPr>
        <w:rFonts w:ascii="New York" w:hAnsi="New York"/>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a9d08e" w:fill="a9d08e"/>
      </w:tcPr>
    </w:tblStylePr>
    <w:tblStylePr w:type="lastCol">
      <w:rPr>
        <w:b/>
        <w:color w:val="404040"/>
      </w:rPr>
    </w:tblStylePr>
    <w:tblStylePr w:type="lastRow">
      <w:rPr>
        <w:b/>
        <w:color w:val="404040"/>
      </w:rPr>
    </w:tblStylePr>
  </w:style>
  <w:style w:type="table" w:styleId="994" w:customStyle="1">
    <w:name w:val="List Table 4 - Accent 2"/>
    <w:basedOn w:val="82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Layout w:type="fixed"/>
    </w:tblPr>
    <w:tblStylePr w:type="band1Horz">
      <w:rPr>
        <w:rFonts w:ascii="New York" w:hAnsi="New York"/>
        <w:color w:val="404040"/>
        <w:sz w:val="22"/>
      </w:rPr>
      <w:tcPr>
        <w:shd w:val="clear" w:color="fadecb" w:fill="fadecb"/>
      </w:tcPr>
    </w:tblStylePr>
    <w:tblStylePr w:type="band1Vert">
      <w:rPr>
        <w:rFonts w:ascii="New York" w:hAnsi="New York"/>
        <w:color w:val="404040"/>
        <w:sz w:val="22"/>
      </w:rPr>
      <w:tcPr>
        <w:shd w:val="clear" w:color="fadecb" w:fill="fadecb"/>
      </w:tcPr>
    </w:tblStylePr>
    <w:tblStylePr w:type="firstCol">
      <w:rPr>
        <w:b/>
        <w:color w:val="404040"/>
      </w:rPr>
    </w:tblStylePr>
    <w:tblStylePr w:type="firstRow">
      <w:rPr>
        <w:rFonts w:ascii="New York" w:hAnsi="New York"/>
        <w:b/>
        <w:color w:val="ffffff"/>
        <w:sz w:val="22"/>
      </w:rPr>
      <w:tcPr>
        <w:shd w:val="clear" w:color="ed7d31" w:fill="ed7d31"/>
      </w:tcPr>
    </w:tblStylePr>
    <w:tblStylePr w:type="lastCol">
      <w:rPr>
        <w:b/>
        <w:color w:val="404040"/>
      </w:rPr>
    </w:tblStylePr>
    <w:tblStylePr w:type="lastRow">
      <w:rPr>
        <w:b/>
        <w:color w:val="404040"/>
      </w:rPr>
    </w:tblStylePr>
  </w:style>
  <w:style w:type="table" w:styleId="995" w:customStyle="1">
    <w:name w:val="Grid Table 7 Colorful - Accent 1"/>
    <w:basedOn w:val="821"/>
    <w:uiPriority w:val="99"/>
    <w:qFormat/>
    <w:tblPr>
      <w:tblBorders>
        <w:bottom w:val="single" w:color="ACCCE9" w:sz="4" w:space="0"/>
        <w:right w:val="single" w:color="ACCCE9" w:sz="4" w:space="0"/>
        <w:insideH w:val="single" w:color="ACCCE9" w:sz="4" w:space="0"/>
        <w:insideV w:val="single" w:color="ACCCE9" w:sz="4" w:space="0"/>
      </w:tblBorders>
      <w:tblLayout w:type="fixed"/>
    </w:tblPr>
    <w:tblStylePr w:type="band1Horz">
      <w:rPr>
        <w:rFonts w:ascii="New York" w:hAnsi="New York"/>
        <w:color w:val="adcdea"/>
        <w:sz w:val="22"/>
      </w:rPr>
      <w:tcPr>
        <w:shd w:val="clear" w:color="ddeaf6" w:fill="ddeaf6"/>
      </w:tcPr>
    </w:tblStylePr>
    <w:tblStylePr w:type="band1Vert">
      <w:tcPr>
        <w:shd w:val="clear" w:color="ddeaf6" w:fill="ddeaf6"/>
      </w:tcPr>
    </w:tblStylePr>
    <w:tblStylePr w:type="band2Horz">
      <w:rPr>
        <w:rFonts w:ascii="New York" w:hAnsi="New York"/>
        <w:color w:val="adcdea"/>
        <w:sz w:val="22"/>
      </w:rPr>
    </w:tblStylePr>
    <w:tblStylePr w:type="firstCol">
      <w:rPr>
        <w:rFonts w:ascii="New York" w:hAnsi="New York"/>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New York" w:hAnsi="New York"/>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New York" w:hAnsi="New York"/>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4 - Accent 1"/>
    <w:basedOn w:val="82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Layout w:type="fixed"/>
    </w:tblPr>
    <w:tblStylePr w:type="band1Horz">
      <w:rPr>
        <w:rFonts w:ascii="New York" w:hAnsi="New York"/>
        <w:color w:val="404040"/>
        <w:sz w:val="22"/>
      </w:rPr>
      <w:tcPr>
        <w:shd w:val="clear" w:color="d5e5f4" w:fill="d5e5f4"/>
      </w:tcPr>
    </w:tblStylePr>
    <w:tblStylePr w:type="band1Vert">
      <w:rPr>
        <w:rFonts w:ascii="New York" w:hAnsi="New York"/>
        <w:color w:val="404040"/>
        <w:sz w:val="22"/>
      </w:rPr>
      <w:tcPr>
        <w:shd w:val="clear" w:color="d5e5f4" w:fill="d5e5f4"/>
      </w:tcPr>
    </w:tblStylePr>
    <w:tblStylePr w:type="firstCol">
      <w:rPr>
        <w:b/>
        <w:color w:val="404040"/>
      </w:rPr>
    </w:tblStylePr>
    <w:tblStylePr w:type="firstRow">
      <w:rPr>
        <w:rFonts w:ascii="New York" w:hAnsi="New York"/>
        <w:b/>
        <w:color w:val="ffffff"/>
        <w:sz w:val="22"/>
      </w:rPr>
      <w:tcPr>
        <w:shd w:val="clear" w:color="5b9bd5" w:fill="5b9bd5"/>
      </w:tcPr>
    </w:tblStylePr>
    <w:tblStylePr w:type="lastCol">
      <w:rPr>
        <w:b/>
        <w:color w:val="404040"/>
      </w:rPr>
    </w:tblStylePr>
    <w:tblStylePr w:type="lastRow">
      <w:rPr>
        <w:b/>
        <w:color w:val="404040"/>
      </w:rPr>
    </w:tblStylePr>
  </w:style>
  <w:style w:type="table" w:styleId="997" w:customStyle="1">
    <w:name w:val="Grid Table 2 - Accent 3"/>
    <w:basedOn w:val="821"/>
    <w:uiPriority w:val="99"/>
    <w:qFormat/>
    <w:tblPr>
      <w:tblBorders>
        <w:bottom w:val="single" w:color="A5A5A5" w:sz="4" w:space="0"/>
        <w:insideH w:val="single" w:color="A5A5A5" w:sz="4" w:space="0"/>
        <w:insideV w:val="single" w:color="A5A5A5" w:sz="4" w:space="0"/>
      </w:tblBorders>
      <w:tblLayout w:type="fixed"/>
    </w:tblPr>
    <w:tblStylePr w:type="band1Horz">
      <w:rPr>
        <w:rFonts w:ascii="New York" w:hAnsi="New York"/>
        <w:color w:val="404040"/>
        <w:sz w:val="22"/>
      </w:rPr>
      <w:tcPr>
        <w:shd w:val="clear" w:color="ececec" w:fill="ececec"/>
      </w:tcPr>
    </w:tblStylePr>
    <w:tblStylePr w:type="band1Vert">
      <w:rPr>
        <w:rFonts w:ascii="New York" w:hAnsi="New York"/>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6 Colorful - Accent 6"/>
    <w:basedOn w:val="821"/>
    <w:uiPriority w:val="99"/>
    <w:qFormat/>
    <w:tblPr>
      <w:tblBorders>
        <w:top w:val="single" w:color="A9D08E" w:sz="4" w:space="0"/>
        <w:bottom w:val="single" w:color="A9D08E" w:sz="4" w:space="0"/>
      </w:tblBorders>
      <w:tblLayout w:type="fixed"/>
    </w:tblPr>
    <w:tblStylePr w:type="band1Horz">
      <w:rPr>
        <w:rFonts w:ascii="New York" w:hAnsi="New York"/>
        <w:color w:val="a9d18e"/>
        <w:sz w:val="22"/>
      </w:rPr>
      <w:tcPr>
        <w:shd w:val="clear" w:color="daebcf" w:fill="daebcf"/>
      </w:tcPr>
    </w:tblStylePr>
    <w:tblStylePr w:type="band1Vert">
      <w:tcPr>
        <w:shd w:val="clear" w:color="daebcf" w:fill="daebcf"/>
      </w:tcPr>
    </w:tblStylePr>
    <w:tblStylePr w:type="band2Horz">
      <w:rPr>
        <w:rFonts w:ascii="New York" w:hAnsi="New York"/>
        <w:color w:val="a9d18e"/>
        <w:sz w:val="22"/>
      </w:rPr>
    </w:tblStylePr>
    <w:tblStylePr w:type="firstCol">
      <w:rPr>
        <w:b/>
        <w:color w:val="a9d18e"/>
      </w:rPr>
    </w:tblStylePr>
    <w:tblStylePr w:type="firstRow">
      <w:rPr>
        <w:b/>
        <w:color w:val="a9d18e"/>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9d18e"/>
      </w:rPr>
    </w:tblStylePr>
    <w:tblStylePr w:type="lastRow">
      <w:rPr>
        <w:b/>
        <w:color w:val="a9d18e"/>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3 - Accent 3"/>
    <w:basedOn w:val="821"/>
    <w:uiPriority w:val="99"/>
    <w:qFormat/>
    <w:tblPr>
      <w:tblBorders>
        <w:top w:val="single" w:color="C9C9C9" w:sz="4" w:space="0"/>
        <w:left w:val="single" w:color="C9C9C9" w:sz="4" w:space="0"/>
        <w:bottom w:val="single" w:color="C9C9C9" w:sz="4" w:space="0"/>
        <w:right w:val="single" w:color="C9C9C9" w:sz="4" w:space="0"/>
      </w:tblBorders>
      <w:tblLayout w:type="fixed"/>
    </w:tblPr>
    <w:tblStylePr w:type="band1Horz">
      <w:rPr>
        <w:rFonts w:ascii="New York" w:hAnsi="New York"/>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c9c9c9" w:fill="c9c9c9"/>
      </w:tcPr>
    </w:tblStylePr>
    <w:tblStylePr w:type="lastCol">
      <w:rPr>
        <w:b/>
        <w:color w:val="404040"/>
      </w:rPr>
    </w:tblStylePr>
    <w:tblStylePr w:type="lastRow">
      <w:rPr>
        <w:b/>
        <w:color w:val="404040"/>
      </w:rPr>
    </w:tblStylePr>
  </w:style>
  <w:style w:type="table" w:styleId="1000" w:customStyle="1">
    <w:name w:val="Grid Table 4 - Accent 2"/>
    <w:basedOn w:val="82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Layout w:type="fixed"/>
    </w:tblPr>
    <w:tblStylePr w:type="band1Horz">
      <w:rPr>
        <w:rFonts w:ascii="New York" w:hAnsi="New York"/>
        <w:color w:val="404040"/>
        <w:sz w:val="22"/>
      </w:rPr>
      <w:tcPr>
        <w:shd w:val="clear" w:color="fbe5d6" w:fill="fbe5d6"/>
      </w:tcPr>
    </w:tblStylePr>
    <w:tblStylePr w:type="band1Vert">
      <w:rPr>
        <w:rFonts w:ascii="New York" w:hAnsi="New York"/>
        <w:color w:val="404040"/>
        <w:sz w:val="22"/>
      </w:rPr>
      <w:tcPr>
        <w:shd w:val="clear" w:color="fbe5d6" w:fill="fbe5d6"/>
      </w:tcPr>
    </w:tblStylePr>
    <w:tblStylePr w:type="firstCol">
      <w:rPr>
        <w:b/>
        <w:color w:val="404040"/>
      </w:rPr>
    </w:tblStylePr>
    <w:tblStylePr w:type="firstRow">
      <w:rPr>
        <w:rFonts w:ascii="New York" w:hAnsi="New York"/>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Grid Table 3 - Accent 1"/>
    <w:basedOn w:val="821"/>
    <w:uiPriority w:val="99"/>
    <w:qFormat/>
    <w:tblPr>
      <w:tblBorders>
        <w:bottom w:val="single" w:color="68A3D8" w:sz="4" w:space="0"/>
        <w:insideH w:val="single" w:color="68A3D8" w:sz="4" w:space="0"/>
        <w:insideV w:val="single" w:color="68A3D8" w:sz="4" w:space="0"/>
      </w:tblBorders>
      <w:tblLayout w:type="fixed"/>
    </w:tblPr>
    <w:tblStylePr w:type="band1Horz">
      <w:rPr>
        <w:rFonts w:ascii="New York" w:hAnsi="New York"/>
        <w:color w:val="404040"/>
        <w:sz w:val="22"/>
      </w:rPr>
      <w:tcPr>
        <w:shd w:val="clear" w:color="ddeaf6" w:fill="ddeaf6"/>
      </w:tcPr>
    </w:tblStylePr>
    <w:tblStylePr w:type="band1Vert">
      <w:rPr>
        <w:rFonts w:ascii="New York" w:hAnsi="New York"/>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网格表 32"/>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Bordered - Accent 5"/>
    <w:basedOn w:val="82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Layout w:type="fixed"/>
    </w:tblPr>
    <w:tblStylePr w:type="band1Horz">
      <w:rPr>
        <w:rFonts w:ascii="New York" w:hAnsi="New York"/>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7 Colorful - Accent 3"/>
    <w:basedOn w:val="821"/>
    <w:uiPriority w:val="99"/>
    <w:qFormat/>
    <w:tblPr>
      <w:tblBorders>
        <w:bottom w:val="single" w:color="A5A5A5" w:sz="4" w:space="0"/>
        <w:right w:val="single" w:color="A5A5A5" w:sz="4" w:space="0"/>
        <w:insideH w:val="single" w:color="A5A5A5" w:sz="4" w:space="0"/>
        <w:insideV w:val="single" w:color="A5A5A5" w:sz="4" w:space="0"/>
      </w:tblBorders>
      <w:tblLayout w:type="fixed"/>
    </w:tblPr>
    <w:tblStylePr w:type="band1Horz">
      <w:rPr>
        <w:rFonts w:ascii="New York" w:hAnsi="New York"/>
        <w:color w:val="a5a5a5"/>
        <w:sz w:val="22"/>
      </w:rPr>
      <w:tcPr>
        <w:shd w:val="clear" w:color="ececec" w:fill="ececec"/>
      </w:tcPr>
    </w:tblStylePr>
    <w:tblStylePr w:type="band1Vert">
      <w:tcPr>
        <w:shd w:val="clear" w:color="ececec" w:fill="ececec"/>
      </w:tcPr>
    </w:tblStylePr>
    <w:tblStylePr w:type="band2Horz">
      <w:rPr>
        <w:rFonts w:ascii="New York" w:hAnsi="New York"/>
        <w:color w:val="a5a5a5"/>
        <w:sz w:val="22"/>
      </w:rPr>
    </w:tblStylePr>
    <w:tblStylePr w:type="firstCol">
      <w:rPr>
        <w:rFonts w:ascii="New York" w:hAnsi="New York"/>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New York" w:hAnsi="New York"/>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New York" w:hAnsi="New York"/>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3 - Accent 6"/>
    <w:basedOn w:val="821"/>
    <w:uiPriority w:val="99"/>
    <w:qFormat/>
    <w:tblPr>
      <w:tblBorders>
        <w:bottom w:val="single" w:color="70AD47" w:sz="4" w:space="0"/>
        <w:insideH w:val="single" w:color="70AD47" w:sz="4" w:space="0"/>
        <w:insideV w:val="single" w:color="70AD47" w:sz="4" w:space="0"/>
      </w:tblBorders>
      <w:tblLayout w:type="fixed"/>
    </w:tblPr>
    <w:tblStylePr w:type="band1Horz">
      <w:rPr>
        <w:rFonts w:ascii="New York" w:hAnsi="New York"/>
        <w:color w:val="404040"/>
        <w:sz w:val="22"/>
      </w:rPr>
      <w:tcPr>
        <w:shd w:val="clear" w:color="e1efd8" w:fill="e1efd8"/>
      </w:tcPr>
    </w:tblStylePr>
    <w:tblStylePr w:type="band1Vert">
      <w:rPr>
        <w:rFonts w:ascii="New York" w:hAnsi="New York"/>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1 Light - Accent 3"/>
    <w:basedOn w:val="821"/>
    <w:uiPriority w:val="99"/>
    <w:qFormat/>
    <w:tblPr>
      <w:tblLayout w:type="fixed"/>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7 Colorful - Accent 4"/>
    <w:basedOn w:val="821"/>
    <w:uiPriority w:val="99"/>
    <w:qFormat/>
    <w:tblPr>
      <w:tblBorders>
        <w:right w:val="single" w:color="FFD864" w:sz="4" w:space="0"/>
      </w:tblBorders>
      <w:tblLayout w:type="fixed"/>
    </w:tblPr>
    <w:tblStylePr w:type="band1Horz">
      <w:rPr>
        <w:rFonts w:ascii="New York" w:hAnsi="New York"/>
        <w:color w:val="ffd966"/>
        <w:sz w:val="22"/>
      </w:rPr>
      <w:tcPr>
        <w:shd w:val="clear" w:color="ffefbe" w:fill="ffefbe"/>
      </w:tcPr>
    </w:tblStylePr>
    <w:tblStylePr w:type="band1Vert">
      <w:tcPr>
        <w:shd w:val="clear" w:color="ffefbe" w:fill="ffefbe"/>
      </w:tcPr>
    </w:tblStylePr>
    <w:tblStylePr w:type="band2Horz">
      <w:rPr>
        <w:rFonts w:ascii="New York" w:hAnsi="New York"/>
        <w:color w:val="ffd966"/>
        <w:sz w:val="22"/>
      </w:rPr>
    </w:tblStylePr>
    <w:tblStylePr w:type="firstCol">
      <w:rPr>
        <w:rFonts w:ascii="New York" w:hAnsi="New York"/>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New York" w:hAnsi="New York"/>
        <w:i/>
        <w:color w:val="ffd966"/>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New York" w:hAnsi="New York"/>
        <w:i/>
        <w:color w:val="ffd966"/>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ffd966"/>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2 - Accent 1"/>
    <w:basedOn w:val="821"/>
    <w:uiPriority w:val="99"/>
    <w:qFormat/>
    <w:tblPr>
      <w:tblBorders>
        <w:top w:val="single" w:color="A2C6E7" w:sz="4" w:space="0"/>
        <w:bottom w:val="single" w:color="A2C6E7" w:sz="4" w:space="0"/>
        <w:insideH w:val="single" w:color="A2C6E7" w:sz="4" w:space="0"/>
      </w:tblBorders>
      <w:tblLayout w:type="fixed"/>
    </w:tblPr>
    <w:tblStylePr w:type="band1Horz">
      <w:rPr>
        <w:rFonts w:ascii="New York" w:hAnsi="New York"/>
        <w:color w:val="404040"/>
        <w:sz w:val="22"/>
      </w:rPr>
      <w:tcPr>
        <w:shd w:val="clear" w:color="d5e5f4" w:fill="d5e5f4"/>
      </w:tcPr>
    </w:tblStylePr>
    <w:tblStylePr w:type="band1Vert">
      <w:rPr>
        <w:rFonts w:ascii="New York" w:hAnsi="New York"/>
        <w:color w:val="404040"/>
        <w:sz w:val="22"/>
      </w:rPr>
      <w:tcPr>
        <w:shd w:val="clear" w:color="d5e5f4" w:fill="d5e5f4"/>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09" w:customStyle="1">
    <w:name w:val="Bordered &amp; Lined - Accent 2"/>
    <w:basedOn w:val="82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be5d6" w:fill="fbe5d6"/>
      </w:tcPr>
    </w:tblStylePr>
    <w:tblStylePr w:type="band2Vert">
      <w:rPr>
        <w:rFonts w:ascii="New York" w:hAnsi="New York"/>
        <w:color w:val="404040"/>
        <w:sz w:val="22"/>
      </w:rPr>
      <w:tcPr>
        <w:shd w:val="clear" w:color="fbe5d6" w:fill="fbe5d6"/>
      </w:tcPr>
    </w:tblStylePr>
    <w:tblStylePr w:type="firstCol">
      <w:rPr>
        <w:rFonts w:ascii="New York" w:hAnsi="New York"/>
        <w:color w:val="f2f2f2"/>
        <w:sz w:val="22"/>
      </w:rPr>
      <w:tcPr>
        <w:shd w:val="clear" w:color="f4b285" w:fill="f4b285"/>
      </w:tcPr>
    </w:tblStylePr>
    <w:tblStylePr w:type="firstRow">
      <w:rPr>
        <w:rFonts w:ascii="New York" w:hAnsi="New York"/>
        <w:color w:val="f2f2f2"/>
        <w:sz w:val="22"/>
      </w:rPr>
      <w:tcPr>
        <w:shd w:val="clear" w:color="f4b285" w:fill="f4b285"/>
      </w:tcPr>
    </w:tblStylePr>
    <w:tblStylePr w:type="lastCol">
      <w:rPr>
        <w:rFonts w:ascii="New York" w:hAnsi="New York"/>
        <w:color w:val="f2f2f2"/>
        <w:sz w:val="22"/>
      </w:rPr>
      <w:tcPr>
        <w:shd w:val="clear" w:color="f4b285" w:fill="f4b285"/>
      </w:tcPr>
    </w:tblStylePr>
    <w:tblStylePr w:type="lastRow">
      <w:rPr>
        <w:rFonts w:ascii="New York" w:hAnsi="New York"/>
        <w:color w:val="f2f2f2"/>
        <w:sz w:val="22"/>
      </w:rPr>
      <w:tcPr>
        <w:shd w:val="clear" w:color="f4b285" w:fill="f4b285"/>
      </w:tcPr>
    </w:tblStylePr>
  </w:style>
  <w:style w:type="table" w:styleId="1010" w:customStyle="1">
    <w:name w:val="List Table 5 Dark - Accent 1"/>
    <w:basedOn w:val="821"/>
    <w:uiPriority w:val="99"/>
    <w:qFormat/>
    <w:tblPr>
      <w:tblBorders>
        <w:top w:val="single" w:color="5B9BD5" w:sz="32" w:space="0"/>
        <w:left w:val="single" w:color="5B9BD5" w:sz="32" w:space="0"/>
        <w:bottom w:val="single" w:color="5B9BD5" w:sz="32" w:space="0"/>
        <w:right w:val="single" w:color="5B9BD5" w:sz="32" w:space="0"/>
      </w:tblBorders>
      <w:tblLayout w:type="fixed"/>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11" w:customStyle="1">
    <w:name w:val="Lined - Accent 2"/>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be5d6" w:fill="fbe5d6"/>
      </w:tcPr>
    </w:tblStylePr>
    <w:tblStylePr w:type="band2Vert">
      <w:rPr>
        <w:rFonts w:ascii="New York" w:hAnsi="New York"/>
        <w:color w:val="404040"/>
        <w:sz w:val="22"/>
      </w:rPr>
      <w:tcPr>
        <w:shd w:val="clear" w:color="fbe5d6" w:fill="fbe5d6"/>
      </w:tcPr>
    </w:tblStylePr>
    <w:tblStylePr w:type="firstCol">
      <w:rPr>
        <w:rFonts w:ascii="New York" w:hAnsi="New York"/>
        <w:color w:val="f2f2f2"/>
        <w:sz w:val="22"/>
      </w:rPr>
      <w:tcPr>
        <w:shd w:val="clear" w:color="f4b285" w:fill="f4b285"/>
      </w:tcPr>
    </w:tblStylePr>
    <w:tblStylePr w:type="firstRow">
      <w:rPr>
        <w:rFonts w:ascii="New York" w:hAnsi="New York"/>
        <w:color w:val="f2f2f2"/>
        <w:sz w:val="22"/>
      </w:rPr>
      <w:tcPr>
        <w:shd w:val="clear" w:color="f4b285" w:fill="f4b285"/>
      </w:tcPr>
    </w:tblStylePr>
    <w:tblStylePr w:type="lastCol">
      <w:rPr>
        <w:rFonts w:ascii="New York" w:hAnsi="New York"/>
        <w:color w:val="f2f2f2"/>
        <w:sz w:val="22"/>
      </w:rPr>
      <w:tcPr>
        <w:shd w:val="clear" w:color="f4b285" w:fill="f4b285"/>
      </w:tcPr>
    </w:tblStylePr>
    <w:tblStylePr w:type="lastRow">
      <w:rPr>
        <w:rFonts w:ascii="New York" w:hAnsi="New York"/>
        <w:color w:val="f2f2f2"/>
        <w:sz w:val="22"/>
      </w:rPr>
      <w:tcPr>
        <w:shd w:val="clear" w:color="f4b285" w:fill="f4b285"/>
      </w:tcPr>
    </w:tblStylePr>
  </w:style>
  <w:style w:type="table" w:styleId="1012" w:customStyle="1">
    <w:name w:val="清单表 7 彩色2"/>
    <w:basedOn w:val="821"/>
    <w:uiPriority w:val="99"/>
    <w:qFormat/>
    <w:tblPr>
      <w:tblBorders>
        <w:right w:val="single" w:color="7E7E7E" w:sz="4" w:space="0"/>
      </w:tblBorders>
      <w:tblLayout w:type="fixed"/>
    </w:tblPr>
    <w:tblStylePr w:type="band1Horz">
      <w:rPr>
        <w:rFonts w:ascii="New York" w:hAnsi="New York"/>
        <w:color w:val="808080"/>
        <w:sz w:val="22"/>
      </w:rPr>
      <w:tcPr>
        <w:shd w:val="clear" w:color="bebebe" w:fill="bebebe"/>
      </w:tcPr>
    </w:tblStylePr>
    <w:tblStylePr w:type="band1Vert">
      <w:tcPr>
        <w:shd w:val="clear" w:color="bebebe" w:fill="bebebe"/>
      </w:tcPr>
    </w:tblStylePr>
    <w:tblStylePr w:type="band2Horz">
      <w:rPr>
        <w:rFonts w:ascii="New York" w:hAnsi="New York"/>
        <w:color w:val="808080"/>
        <w:sz w:val="22"/>
      </w:rPr>
    </w:tblStylePr>
    <w:tblStylePr w:type="firstCol">
      <w:rPr>
        <w:rFonts w:ascii="New York" w:hAnsi="New York"/>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New York" w:hAnsi="New York"/>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Table Normal_0"/>
    <w:uiPriority w:val="0"/>
    <w:unhideWhenUsed/>
    <w:qFormat/>
    <w:tblPr>
      <w:tblLayout w:type="fixed"/>
      <w:tblCellMar>
        <w:left w:w="0" w:type="dxa"/>
        <w:top w:w="0" w:type="dxa"/>
        <w:right w:w="0" w:type="dxa"/>
        <w:bottom w:w="0" w:type="dxa"/>
      </w:tblCellMar>
    </w:tblPr>
  </w:style>
  <w:style w:type="table" w:styleId="1014" w:customStyle="1">
    <w:name w:val="Bordered &amp; Lined - Accent 4"/>
    <w:basedOn w:val="82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ef2ca" w:fill="fef2ca"/>
      </w:tcPr>
    </w:tblStylePr>
    <w:tblStylePr w:type="band2Vert">
      <w:rPr>
        <w:rFonts w:ascii="New York" w:hAnsi="New York"/>
        <w:color w:val="404040"/>
        <w:sz w:val="22"/>
      </w:rPr>
      <w:tcPr>
        <w:shd w:val="clear" w:color="fef2ca" w:fill="fef2ca"/>
      </w:tcPr>
    </w:tblStylePr>
    <w:tblStylePr w:type="firstCol">
      <w:rPr>
        <w:rFonts w:ascii="New York" w:hAnsi="New York"/>
        <w:color w:val="f2f2f2"/>
        <w:sz w:val="22"/>
      </w:rPr>
      <w:tcPr>
        <w:shd w:val="clear" w:color="ffd864" w:fill="ffd864"/>
      </w:tcPr>
    </w:tblStylePr>
    <w:tblStylePr w:type="firstRow">
      <w:rPr>
        <w:rFonts w:ascii="New York" w:hAnsi="New York"/>
        <w:color w:val="f2f2f2"/>
        <w:sz w:val="22"/>
      </w:rPr>
      <w:tcPr>
        <w:shd w:val="clear" w:color="ffd864" w:fill="ffd864"/>
      </w:tcPr>
    </w:tblStylePr>
    <w:tblStylePr w:type="lastCol">
      <w:rPr>
        <w:rFonts w:ascii="New York" w:hAnsi="New York"/>
        <w:color w:val="f2f2f2"/>
        <w:sz w:val="22"/>
      </w:rPr>
      <w:tcPr>
        <w:shd w:val="clear" w:color="ffd864" w:fill="ffd864"/>
      </w:tcPr>
    </w:tblStylePr>
    <w:tblStylePr w:type="lastRow">
      <w:rPr>
        <w:rFonts w:ascii="New York" w:hAnsi="New York"/>
        <w:color w:val="f2f2f2"/>
        <w:sz w:val="22"/>
      </w:rPr>
      <w:tcPr>
        <w:shd w:val="clear" w:color="ffd864" w:fill="ffd864"/>
      </w:tcPr>
    </w:tblStylePr>
  </w:style>
  <w:style w:type="table" w:styleId="1015" w:customStyle="1">
    <w:name w:val="Bordered - Accent 6"/>
    <w:basedOn w:val="82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Layout w:type="fixed"/>
    </w:tblPr>
    <w:tblStylePr w:type="band1Horz">
      <w:rPr>
        <w:rFonts w:ascii="New York" w:hAnsi="New York"/>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清单表 31"/>
    <w:basedOn w:val="821"/>
    <w:uiPriority w:val="99"/>
    <w:qFormat/>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New York" w:hAnsi="New York"/>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17" w:customStyle="1">
    <w:name w:val="清单表 7 彩色1"/>
    <w:basedOn w:val="821"/>
    <w:uiPriority w:val="99"/>
    <w:qFormat/>
    <w:tblPr>
      <w:tblBorders>
        <w:right w:val="single" w:color="7E7E7E" w:sz="4" w:space="0"/>
      </w:tblBorders>
      <w:tblLayout w:type="fixed"/>
    </w:tblPr>
    <w:tblStylePr w:type="band1Horz">
      <w:rPr>
        <w:rFonts w:ascii="New York" w:hAnsi="New York"/>
        <w:color w:val="808080"/>
        <w:sz w:val="22"/>
      </w:rPr>
      <w:tcPr>
        <w:shd w:val="clear" w:color="bebebe" w:fill="bebebe"/>
      </w:tcPr>
    </w:tblStylePr>
    <w:tblStylePr w:type="band1Vert">
      <w:tcPr>
        <w:shd w:val="clear" w:color="bebebe" w:fill="bebebe"/>
      </w:tcPr>
    </w:tblStylePr>
    <w:tblStylePr w:type="band2Horz">
      <w:rPr>
        <w:rFonts w:ascii="New York" w:hAnsi="New York"/>
        <w:color w:val="808080"/>
        <w:sz w:val="22"/>
      </w:rPr>
    </w:tblStylePr>
    <w:tblStylePr w:type="firstCol">
      <w:rPr>
        <w:rFonts w:ascii="New York" w:hAnsi="New York"/>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New York" w:hAnsi="New York"/>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无格式表格 31"/>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19" w:customStyle="1">
    <w:name w:val="List Table 3 - Accent 1"/>
    <w:basedOn w:val="821"/>
    <w:uiPriority w:val="99"/>
    <w:qFormat/>
    <w:tblPr>
      <w:tblBorders>
        <w:top w:val="single" w:color="5B9BD5" w:sz="4" w:space="0"/>
        <w:left w:val="single" w:color="5B9BD5" w:sz="4" w:space="0"/>
        <w:bottom w:val="single" w:color="5B9BD5" w:sz="4" w:space="0"/>
        <w:right w:val="single" w:color="5B9BD5" w:sz="4" w:space="0"/>
      </w:tblBorders>
      <w:tblLayout w:type="fixed"/>
    </w:tblPr>
    <w:tblStylePr w:type="band1Horz">
      <w:rPr>
        <w:rFonts w:ascii="New York" w:hAnsi="New York"/>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5b9bd5" w:fill="5b9bd5"/>
      </w:tcPr>
    </w:tblStylePr>
    <w:tblStylePr w:type="lastCol">
      <w:rPr>
        <w:b/>
        <w:color w:val="404040"/>
      </w:rPr>
    </w:tblStylePr>
    <w:tblStylePr w:type="lastRow">
      <w:rPr>
        <w:b/>
        <w:color w:val="404040"/>
      </w:rPr>
    </w:tblStylePr>
  </w:style>
  <w:style w:type="table" w:styleId="1020" w:customStyle="1">
    <w:name w:val="Grid Table 2 - Accent 1"/>
    <w:basedOn w:val="821"/>
    <w:uiPriority w:val="99"/>
    <w:qFormat/>
    <w:tblPr>
      <w:tblBorders>
        <w:bottom w:val="single" w:color="68A3D8" w:sz="4" w:space="0"/>
        <w:insideH w:val="single" w:color="68A3D8" w:sz="4" w:space="0"/>
        <w:insideV w:val="single" w:color="68A3D8" w:sz="4" w:space="0"/>
      </w:tblBorders>
      <w:tblLayout w:type="fixed"/>
    </w:tblPr>
    <w:tblStylePr w:type="band1Horz">
      <w:rPr>
        <w:rFonts w:ascii="New York" w:hAnsi="New York"/>
        <w:color w:val="404040"/>
        <w:sz w:val="22"/>
      </w:rPr>
      <w:tcPr>
        <w:shd w:val="clear" w:color="ddeaf6" w:fill="ddeaf6"/>
      </w:tcPr>
    </w:tblStylePr>
    <w:tblStylePr w:type="band1Vert">
      <w:rPr>
        <w:rFonts w:ascii="New York" w:hAnsi="New York"/>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Table Grid Light"/>
    <w:basedOn w:val="82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Pr>
  </w:style>
  <w:style w:type="table" w:styleId="1022" w:customStyle="1">
    <w:name w:val="Bordered &amp; Lined - Accent 1"/>
    <w:basedOn w:val="82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bdff1" w:fill="cbdff1"/>
      </w:tcPr>
    </w:tblStylePr>
    <w:tblStylePr w:type="band2Vert">
      <w:rPr>
        <w:rFonts w:ascii="New York" w:hAnsi="New York"/>
        <w:color w:val="404040"/>
        <w:sz w:val="22"/>
      </w:rPr>
      <w:tcPr>
        <w:shd w:val="clear" w:color="cbdff1" w:fill="cbdff1"/>
      </w:tcPr>
    </w:tblStylePr>
    <w:tblStylePr w:type="firstCol">
      <w:rPr>
        <w:rFonts w:ascii="New York" w:hAnsi="New York"/>
        <w:color w:val="f2f2f2"/>
        <w:sz w:val="22"/>
      </w:rPr>
      <w:tcPr>
        <w:shd w:val="clear" w:color="68a3d8" w:fill="68a3d8"/>
      </w:tcPr>
    </w:tblStylePr>
    <w:tblStylePr w:type="firstRow">
      <w:rPr>
        <w:rFonts w:ascii="New York" w:hAnsi="New York"/>
        <w:color w:val="f2f2f2"/>
        <w:sz w:val="22"/>
      </w:rPr>
      <w:tcPr>
        <w:shd w:val="clear" w:color="68a3d8" w:fill="68a3d8"/>
      </w:tcPr>
    </w:tblStylePr>
    <w:tblStylePr w:type="lastCol">
      <w:rPr>
        <w:rFonts w:ascii="New York" w:hAnsi="New York"/>
        <w:color w:val="f2f2f2"/>
        <w:sz w:val="22"/>
      </w:rPr>
      <w:tcPr>
        <w:shd w:val="clear" w:color="68a3d8" w:fill="68a3d8"/>
      </w:tcPr>
    </w:tblStylePr>
    <w:tblStylePr w:type="lastRow">
      <w:rPr>
        <w:rFonts w:ascii="New York" w:hAnsi="New York"/>
        <w:color w:val="f2f2f2"/>
        <w:sz w:val="22"/>
      </w:rPr>
      <w:tcPr>
        <w:shd w:val="clear" w:color="68a3d8" w:fill="68a3d8"/>
      </w:tcPr>
    </w:tblStylePr>
  </w:style>
  <w:style w:type="table" w:styleId="1023" w:customStyle="1">
    <w:name w:val="网格表 31"/>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5 Dark - Accent 2"/>
    <w:basedOn w:val="821"/>
    <w:uiPriority w:val="99"/>
    <w:qFormat/>
    <w:tblPr>
      <w:tblBorders>
        <w:top w:val="single" w:color="F4B285" w:sz="32" w:space="0"/>
        <w:left w:val="single" w:color="F4B285" w:sz="32" w:space="0"/>
        <w:bottom w:val="single" w:color="F4B285" w:sz="32" w:space="0"/>
        <w:right w:val="single" w:color="F4B285" w:sz="32" w:space="0"/>
      </w:tblBorders>
      <w:tblLayout w:type="fixed"/>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5" w:customStyle="1">
    <w:name w:val="Grid Table 6 Colorful - Accent 2"/>
    <w:basedOn w:val="82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Layout w:type="fixed"/>
    </w:tblPr>
    <w:tblStylePr w:type="band1Horz">
      <w:rPr>
        <w:rFonts w:ascii="New York" w:hAnsi="New York"/>
        <w:color w:val="f4b285"/>
        <w:sz w:val="22"/>
      </w:rPr>
      <w:tcPr>
        <w:shd w:val="clear" w:color="fbe5d6" w:fill="fbe5d6"/>
      </w:tcPr>
    </w:tblStylePr>
    <w:tblStylePr w:type="band1Vert">
      <w:tcPr>
        <w:shd w:val="clear" w:color="fbe5d6" w:fill="fbe5d6"/>
      </w:tcPr>
    </w:tblStylePr>
    <w:tblStylePr w:type="band2Horz">
      <w:rPr>
        <w:rFonts w:ascii="New York" w:hAnsi="New York"/>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1026" w:customStyle="1">
    <w:name w:val="网格表 6 彩色2"/>
    <w:basedOn w:val="82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New York" w:hAnsi="New York"/>
        <w:color w:val="808080"/>
        <w:sz w:val="22"/>
      </w:rPr>
      <w:tcPr>
        <w:shd w:val="clear" w:color="cacaca" w:fill="cacaca"/>
      </w:tcPr>
    </w:tblStylePr>
    <w:tblStylePr w:type="band1Vert">
      <w:tcPr>
        <w:shd w:val="clear" w:color="cacaca" w:fill="cacaca"/>
      </w:tcPr>
    </w:tblStylePr>
    <w:tblStylePr w:type="band2Horz">
      <w:rPr>
        <w:rFonts w:ascii="New York" w:hAnsi="New York"/>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1027" w:customStyle="1">
    <w:name w:val="网格表 41"/>
    <w:basedOn w:val="82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rFonts w:ascii="New York" w:hAnsi="New Yor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7 Colorful - Accent 4"/>
    <w:basedOn w:val="821"/>
    <w:uiPriority w:val="99"/>
    <w:qFormat/>
    <w:tblPr>
      <w:tblBorders>
        <w:bottom w:val="single" w:color="FFD864" w:sz="4" w:space="0"/>
        <w:right w:val="single" w:color="FFD864" w:sz="4" w:space="0"/>
        <w:insideH w:val="single" w:color="FFD864" w:sz="4" w:space="0"/>
        <w:insideV w:val="single" w:color="FFD864" w:sz="4" w:space="0"/>
      </w:tblBorders>
      <w:tblLayout w:type="fixed"/>
    </w:tblPr>
    <w:tblStylePr w:type="band1Horz">
      <w:rPr>
        <w:rFonts w:ascii="New York" w:hAnsi="New York"/>
        <w:color w:val="ffd966"/>
        <w:sz w:val="22"/>
      </w:rPr>
      <w:tcPr>
        <w:shd w:val="clear" w:color="fef2ca" w:fill="fef2ca"/>
      </w:tcPr>
    </w:tblStylePr>
    <w:tblStylePr w:type="band1Vert">
      <w:tcPr>
        <w:shd w:val="clear" w:color="fef2ca" w:fill="fef2ca"/>
      </w:tcPr>
    </w:tblStylePr>
    <w:tblStylePr w:type="band2Horz">
      <w:rPr>
        <w:rFonts w:ascii="New York" w:hAnsi="New York"/>
        <w:color w:val="ffd966"/>
        <w:sz w:val="22"/>
      </w:rPr>
    </w:tblStylePr>
    <w:tblStylePr w:type="firstCol">
      <w:rPr>
        <w:rFonts w:ascii="New York" w:hAnsi="New York"/>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New York" w:hAnsi="New York"/>
        <w:b/>
        <w:color w:val="ffd966"/>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New York" w:hAnsi="New York"/>
        <w:i/>
        <w:color w:val="ffd966"/>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ffd966"/>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2"/>
    <w:basedOn w:val="821"/>
    <w:uiPriority w:val="99"/>
    <w:qFormat/>
    <w:tblPr>
      <w:tblBorders>
        <w:right w:val="single" w:color="F4B285" w:sz="4" w:space="0"/>
      </w:tblBorders>
      <w:tblLayout w:type="fixed"/>
    </w:tblPr>
    <w:tblStylePr w:type="band1Horz">
      <w:rPr>
        <w:rFonts w:ascii="New York" w:hAnsi="New York"/>
        <w:color w:val="f4b285"/>
        <w:sz w:val="22"/>
      </w:rPr>
      <w:tcPr>
        <w:shd w:val="clear" w:color="fadecb" w:fill="fadecb"/>
      </w:tcPr>
    </w:tblStylePr>
    <w:tblStylePr w:type="band1Vert">
      <w:tcPr>
        <w:shd w:val="clear" w:color="fadecb" w:fill="fadecb"/>
      </w:tcPr>
    </w:tblStylePr>
    <w:tblStylePr w:type="band2Horz">
      <w:rPr>
        <w:rFonts w:ascii="New York" w:hAnsi="New York"/>
        <w:color w:val="f4b285"/>
        <w:sz w:val="22"/>
      </w:rPr>
    </w:tblStylePr>
    <w:tblStylePr w:type="firstCol">
      <w:rPr>
        <w:rFonts w:ascii="New York" w:hAnsi="New York"/>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New York" w:hAnsi="New York"/>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New York" w:hAnsi="New York"/>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清单表 1 浅色2"/>
    <w:basedOn w:val="821"/>
    <w:uiPriority w:val="99"/>
    <w:qFormat/>
    <w:tblPr>
      <w:tblLayout w:type="fixed"/>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3 - Accent 3"/>
    <w:basedOn w:val="821"/>
    <w:uiPriority w:val="99"/>
    <w:qFormat/>
    <w:tblPr>
      <w:tblBorders>
        <w:bottom w:val="single" w:color="A5A5A5" w:sz="4" w:space="0"/>
        <w:insideH w:val="single" w:color="A5A5A5" w:sz="4" w:space="0"/>
        <w:insideV w:val="single" w:color="A5A5A5" w:sz="4" w:space="0"/>
      </w:tblBorders>
      <w:tblLayout w:type="fixed"/>
    </w:tblPr>
    <w:tblStylePr w:type="band1Horz">
      <w:rPr>
        <w:rFonts w:ascii="New York" w:hAnsi="New York"/>
        <w:color w:val="404040"/>
        <w:sz w:val="22"/>
      </w:rPr>
      <w:tcPr>
        <w:shd w:val="clear" w:color="ececec" w:fill="ececec"/>
      </w:tcPr>
    </w:tblStylePr>
    <w:tblStylePr w:type="band1Vert">
      <w:rPr>
        <w:rFonts w:ascii="New York" w:hAnsi="New York"/>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5 Dark - Accent 4"/>
    <w:basedOn w:val="821"/>
    <w:uiPriority w:val="99"/>
    <w:qFormat/>
    <w:tblPr>
      <w:tblBorders>
        <w:top w:val="single" w:color="FFD864" w:sz="32" w:space="0"/>
        <w:left w:val="single" w:color="FFD864" w:sz="32" w:space="0"/>
        <w:bottom w:val="single" w:color="FFD864" w:sz="32" w:space="0"/>
        <w:right w:val="single" w:color="FFD864" w:sz="32" w:space="0"/>
      </w:tblBorders>
      <w:tblLayout w:type="fixed"/>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33" w:customStyle="1">
    <w:name w:val="Grid Table 4 - Accent 5"/>
    <w:basedOn w:val="82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Layout w:type="fixed"/>
    </w:tblPr>
    <w:tblStylePr w:type="band1Horz">
      <w:rPr>
        <w:rFonts w:ascii="New York" w:hAnsi="New York"/>
        <w:color w:val="404040"/>
        <w:sz w:val="22"/>
      </w:rPr>
      <w:tcPr>
        <w:shd w:val="clear" w:color="d8e2f2" w:fill="d8e2f2"/>
      </w:tcPr>
    </w:tblStylePr>
    <w:tblStylePr w:type="band1Vert">
      <w:rPr>
        <w:rFonts w:ascii="New York" w:hAnsi="New York"/>
        <w:color w:val="404040"/>
        <w:sz w:val="22"/>
      </w:rPr>
      <w:tcPr>
        <w:shd w:val="clear" w:color="d8e2f2" w:fill="d8e2f2"/>
      </w:tcPr>
    </w:tblStylePr>
    <w:tblStylePr w:type="firstCol">
      <w:rPr>
        <w:b/>
        <w:color w:val="404040"/>
      </w:rPr>
    </w:tblStylePr>
    <w:tblStylePr w:type="firstRow">
      <w:rPr>
        <w:rFonts w:ascii="New York" w:hAnsi="New York"/>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Grid Table 5 Dark - Accent 3"/>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d5d5d5" w:fill="d5d5d5"/>
      </w:tcPr>
    </w:tblStylePr>
    <w:tblStylePr w:type="band1Vert">
      <w:tcPr>
        <w:shd w:val="clear" w:color="d5d5d5" w:fill="d5d5d5"/>
      </w:tcPr>
    </w:tblStylePr>
    <w:tblStylePr w:type="firstCol">
      <w:rPr>
        <w:rFonts w:ascii="New York" w:hAnsi="New York"/>
        <w:b/>
        <w:color w:val="ffffff"/>
        <w:sz w:val="22"/>
      </w:rPr>
      <w:tcPr>
        <w:shd w:val="clear" w:color="a5a5a5" w:fill="a5a5a5"/>
      </w:tcPr>
    </w:tblStylePr>
    <w:tblStylePr w:type="firstRow">
      <w:rPr>
        <w:rFonts w:ascii="New York" w:hAnsi="New York"/>
        <w:b/>
        <w:color w:val="ffffff"/>
        <w:sz w:val="22"/>
      </w:rPr>
      <w:tcPr>
        <w:shd w:val="clear" w:color="a5a5a5" w:fill="a5a5a5"/>
      </w:tcPr>
    </w:tblStylePr>
    <w:tblStylePr w:type="lastCol">
      <w:rPr>
        <w:rFonts w:ascii="New York" w:hAnsi="New York"/>
        <w:b/>
        <w:color w:val="ffffff"/>
        <w:sz w:val="22"/>
      </w:rPr>
      <w:tcPr>
        <w:shd w:val="clear" w:color="a5a5a5" w:fill="a5a5a5"/>
      </w:tcPr>
    </w:tblStylePr>
    <w:tblStylePr w:type="lastRow">
      <w:rPr>
        <w:rFonts w:ascii="New York" w:hAnsi="New York"/>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无格式表格 41"/>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Grid Table 1 Light - Accent 3"/>
    <w:basedOn w:val="82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Layout w:type="fixed"/>
    </w:tblPr>
    <w:tblStylePr w:type="band1Horz">
      <w:rPr>
        <w:rFonts w:ascii="New York" w:hAnsi="New York"/>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37" w:customStyle="1">
    <w:name w:val="Grid Table 6 Colorful - Accent 6"/>
    <w:basedOn w:val="82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Layout w:type="fixed"/>
    </w:tblPr>
    <w:tblStylePr w:type="band1Horz">
      <w:rPr>
        <w:rFonts w:ascii="New York" w:hAnsi="New York"/>
        <w:color w:val="254174"/>
        <w:sz w:val="22"/>
      </w:rPr>
      <w:tcPr>
        <w:shd w:val="clear" w:color="e1efd8" w:fill="e1efd8"/>
      </w:tcPr>
    </w:tblStylePr>
    <w:tblStylePr w:type="band1Vert">
      <w:tcPr>
        <w:shd w:val="clear" w:color="e1efd8" w:fill="e1efd8"/>
      </w:tcPr>
    </w:tblStylePr>
    <w:tblStylePr w:type="band2Horz">
      <w:rPr>
        <w:rFonts w:ascii="New York" w:hAnsi="New York"/>
        <w:color w:val="254174"/>
        <w:sz w:val="22"/>
      </w:rPr>
    </w:tblStylePr>
    <w:tblStylePr w:type="firstCol">
      <w:rPr>
        <w:b/>
        <w:color w:val="254174"/>
      </w:rPr>
    </w:tblStylePr>
    <w:tblStylePr w:type="firstRow">
      <w:rPr>
        <w:b/>
        <w:color w:val="25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54174"/>
      </w:rPr>
    </w:tblStylePr>
    <w:tblStylePr w:type="lastRow">
      <w:rPr>
        <w:b/>
        <w:color w:val="254174"/>
      </w:rPr>
    </w:tblStylePr>
  </w:style>
  <w:style w:type="table" w:styleId="1038" w:customStyle="1">
    <w:name w:val="网格表 7 彩色1"/>
    <w:basedOn w:val="821"/>
    <w:uiPriority w:val="99"/>
    <w:qFormat/>
    <w:tblPr>
      <w:tblBorders>
        <w:bottom w:val="single" w:color="7E7E7E" w:sz="4" w:space="0"/>
        <w:right w:val="single" w:color="7E7E7E" w:sz="4" w:space="0"/>
        <w:insideH w:val="single" w:color="7E7E7E" w:sz="4" w:space="0"/>
        <w:insideV w:val="single" w:color="7E7E7E" w:sz="4" w:space="0"/>
      </w:tblBorders>
      <w:tblLayout w:type="fixed"/>
    </w:tblPr>
    <w:tblStylePr w:type="band1Horz">
      <w:rPr>
        <w:rFonts w:ascii="New York" w:hAnsi="New York"/>
        <w:color w:val="808080"/>
        <w:sz w:val="22"/>
      </w:rPr>
      <w:tcPr>
        <w:shd w:val="clear" w:color="f1f1f1" w:fill="f1f1f1"/>
      </w:tcPr>
    </w:tblStylePr>
    <w:tblStylePr w:type="band1Vert">
      <w:tcPr>
        <w:shd w:val="clear" w:color="f1f1f1" w:fill="f1f1f1"/>
      </w:tcPr>
    </w:tblStylePr>
    <w:tblStylePr w:type="band2Horz">
      <w:rPr>
        <w:rFonts w:ascii="New York" w:hAnsi="New York"/>
        <w:color w:val="808080"/>
        <w:sz w:val="22"/>
      </w:rPr>
    </w:tblStylePr>
    <w:tblStylePr w:type="firstCol">
      <w:rPr>
        <w:rFonts w:ascii="New York" w:hAnsi="New York"/>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New York" w:hAnsi="New York"/>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网格表 5 深色1"/>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898989" w:fill="898989"/>
      </w:tcPr>
    </w:tblStylePr>
    <w:tblStylePr w:type="band1Vert">
      <w:tcPr>
        <w:shd w:val="clear" w:color="898989" w:fill="898989"/>
      </w:tcPr>
    </w:tblStylePr>
    <w:tblStylePr w:type="firstCol">
      <w:rPr>
        <w:rFonts w:ascii="New York" w:hAnsi="New York"/>
        <w:b/>
        <w:color w:val="ffffff"/>
        <w:sz w:val="22"/>
      </w:rPr>
      <w:tcPr>
        <w:shd w:val="clear" w:color="000000" w:fill="000000"/>
      </w:tcPr>
    </w:tblStylePr>
    <w:tblStylePr w:type="firstRow">
      <w:rPr>
        <w:rFonts w:ascii="New York" w:hAnsi="New York"/>
        <w:b/>
        <w:color w:val="ffffff"/>
        <w:sz w:val="22"/>
      </w:rPr>
      <w:tcPr>
        <w:shd w:val="clear" w:color="000000" w:fill="000000"/>
      </w:tcPr>
    </w:tblStylePr>
    <w:tblStylePr w:type="lastCol">
      <w:rPr>
        <w:rFonts w:ascii="New York" w:hAnsi="New York"/>
        <w:b/>
        <w:color w:val="ffffff"/>
        <w:sz w:val="22"/>
      </w:rPr>
      <w:tcPr>
        <w:shd w:val="clear" w:color="000000" w:fill="000000"/>
      </w:tcPr>
    </w:tblStylePr>
    <w:tblStylePr w:type="lastRow">
      <w:rPr>
        <w:rFonts w:ascii="New York" w:hAnsi="New Yor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清单表 6 彩色2"/>
    <w:basedOn w:val="821"/>
    <w:uiPriority w:val="99"/>
    <w:qFormat/>
    <w:tblPr>
      <w:tblBorders>
        <w:top w:val="single" w:color="7E7E7E" w:sz="4" w:space="0"/>
        <w:bottom w:val="single" w:color="7E7E7E" w:sz="4" w:space="0"/>
      </w:tblBorders>
      <w:tblLayout w:type="fixed"/>
    </w:tblPr>
    <w:tblStylePr w:type="band1Horz">
      <w:rPr>
        <w:rFonts w:ascii="New York" w:hAnsi="New York"/>
        <w:color w:val="000000"/>
        <w:sz w:val="22"/>
      </w:rPr>
      <w:tcPr>
        <w:shd w:val="clear" w:color="bebebe" w:fill="bebebe"/>
      </w:tcPr>
    </w:tblStylePr>
    <w:tblStylePr w:type="band1Vert">
      <w:tcPr>
        <w:shd w:val="clear" w:color="bebebe" w:fill="bebebe"/>
      </w:tcPr>
    </w:tblStylePr>
    <w:tblStylePr w:type="band2Horz">
      <w:rPr>
        <w:rFonts w:ascii="New York" w:hAnsi="New York"/>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4 - Accent 6"/>
    <w:basedOn w:val="82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Layout w:type="fixed"/>
    </w:tblPr>
    <w:tblStylePr w:type="band1Horz">
      <w:rPr>
        <w:rFonts w:ascii="New York" w:hAnsi="New York"/>
        <w:color w:val="404040"/>
        <w:sz w:val="22"/>
      </w:rPr>
      <w:tcPr>
        <w:shd w:val="clear" w:color="e1efd8" w:fill="e1efd8"/>
      </w:tcPr>
    </w:tblStylePr>
    <w:tblStylePr w:type="band1Vert">
      <w:rPr>
        <w:rFonts w:ascii="New York" w:hAnsi="New York"/>
        <w:color w:val="404040"/>
        <w:sz w:val="22"/>
      </w:rPr>
      <w:tcPr>
        <w:shd w:val="clear" w:color="e1efd8" w:fill="e1efd8"/>
      </w:tcPr>
    </w:tblStylePr>
    <w:tblStylePr w:type="firstCol">
      <w:rPr>
        <w:b/>
        <w:color w:val="404040"/>
      </w:rPr>
    </w:tblStylePr>
    <w:tblStylePr w:type="firstRow">
      <w:rPr>
        <w:rFonts w:ascii="New York" w:hAnsi="New York"/>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7 Colorful - Accent 5"/>
    <w:basedOn w:val="821"/>
    <w:uiPriority w:val="99"/>
    <w:qFormat/>
    <w:tblPr>
      <w:tblBorders>
        <w:bottom w:val="single" w:color="95AFDD" w:sz="4" w:space="0"/>
        <w:right w:val="single" w:color="95AFDD" w:sz="4" w:space="0"/>
        <w:insideH w:val="single" w:color="95AFDD" w:sz="4" w:space="0"/>
        <w:insideV w:val="single" w:color="95AFDD" w:sz="4" w:space="0"/>
      </w:tblBorders>
      <w:tblLayout w:type="fixed"/>
    </w:tblPr>
    <w:tblStylePr w:type="band1Horz">
      <w:rPr>
        <w:rFonts w:ascii="New York" w:hAnsi="New York"/>
        <w:color w:val="254174"/>
        <w:sz w:val="22"/>
      </w:rPr>
      <w:tcPr>
        <w:shd w:val="clear" w:color="d8e2f2" w:fill="d8e2f2"/>
      </w:tcPr>
    </w:tblStylePr>
    <w:tblStylePr w:type="band1Vert">
      <w:tcPr>
        <w:shd w:val="clear" w:color="d8e2f2" w:fill="d8e2f2"/>
      </w:tcPr>
    </w:tblStylePr>
    <w:tblStylePr w:type="band2Horz">
      <w:rPr>
        <w:rFonts w:ascii="New York" w:hAnsi="New York"/>
        <w:color w:val="254174"/>
        <w:sz w:val="22"/>
      </w:rPr>
    </w:tblStylePr>
    <w:tblStylePr w:type="firstCol">
      <w:rPr>
        <w:rFonts w:ascii="New York" w:hAnsi="New York"/>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New York" w:hAnsi="New York"/>
        <w:b/>
        <w:color w:val="25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New York" w:hAnsi="New York"/>
        <w:i/>
        <w:color w:val="25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25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2 - Accent 6"/>
    <w:basedOn w:val="821"/>
    <w:uiPriority w:val="99"/>
    <w:qFormat/>
    <w:tblPr>
      <w:tblBorders>
        <w:top w:val="single" w:color="ADD394" w:sz="4" w:space="0"/>
        <w:bottom w:val="single" w:color="ADD394" w:sz="4" w:space="0"/>
        <w:insideH w:val="single" w:color="ADD394" w:sz="4" w:space="0"/>
      </w:tblBorders>
      <w:tblLayout w:type="fixed"/>
    </w:tblPr>
    <w:tblStylePr w:type="band1Horz">
      <w:rPr>
        <w:rFonts w:ascii="New York" w:hAnsi="New York"/>
        <w:color w:val="404040"/>
        <w:sz w:val="22"/>
      </w:rPr>
      <w:tcPr>
        <w:shd w:val="clear" w:color="daebcf" w:fill="daebcf"/>
      </w:tcPr>
    </w:tblStylePr>
    <w:tblStylePr w:type="band1Vert">
      <w:rPr>
        <w:rFonts w:ascii="New York" w:hAnsi="New York"/>
        <w:color w:val="404040"/>
        <w:sz w:val="22"/>
      </w:rPr>
      <w:tcPr>
        <w:shd w:val="clear" w:color="daebcf" w:fill="daebcf"/>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44" w:customStyle="1">
    <w:name w:val="Grid Table 7 Colorful - Accent 2"/>
    <w:basedOn w:val="821"/>
    <w:uiPriority w:val="99"/>
    <w:qFormat/>
    <w:tblPr>
      <w:tblBorders>
        <w:bottom w:val="single" w:color="F4B285" w:sz="4" w:space="0"/>
        <w:right w:val="single" w:color="F4B285" w:sz="4" w:space="0"/>
        <w:insideH w:val="single" w:color="F4B285" w:sz="4" w:space="0"/>
        <w:insideV w:val="single" w:color="F4B285" w:sz="4" w:space="0"/>
      </w:tblBorders>
      <w:tblLayout w:type="fixed"/>
    </w:tblPr>
    <w:tblStylePr w:type="band1Horz">
      <w:rPr>
        <w:rFonts w:ascii="New York" w:hAnsi="New York"/>
        <w:color w:val="f4b285"/>
        <w:sz w:val="22"/>
      </w:rPr>
      <w:tcPr>
        <w:shd w:val="clear" w:color="fbe5d6" w:fill="fbe5d6"/>
      </w:tcPr>
    </w:tblStylePr>
    <w:tblStylePr w:type="band1Vert">
      <w:tcPr>
        <w:shd w:val="clear" w:color="fbe5d6" w:fill="fbe5d6"/>
      </w:tcPr>
    </w:tblStylePr>
    <w:tblStylePr w:type="band2Horz">
      <w:rPr>
        <w:rFonts w:ascii="New York" w:hAnsi="New York"/>
        <w:color w:val="f4b285"/>
        <w:sz w:val="22"/>
      </w:rPr>
    </w:tblStylePr>
    <w:tblStylePr w:type="firstCol">
      <w:rPr>
        <w:rFonts w:ascii="New York" w:hAnsi="New York"/>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New York" w:hAnsi="New York"/>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New York" w:hAnsi="New York"/>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1 Light - Accent 6"/>
    <w:basedOn w:val="82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Layout w:type="fixed"/>
    </w:tblPr>
    <w:tblStylePr w:type="band1Horz">
      <w:rPr>
        <w:rFonts w:ascii="New York" w:hAnsi="New York"/>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6" w:customStyle="1">
    <w:name w:val="清单表 21"/>
    <w:basedOn w:val="821"/>
    <w:uiPriority w:val="99"/>
    <w:qFormat/>
    <w:tblPr>
      <w:tblBorders>
        <w:top w:val="single" w:color="6E6E6E" w:sz="4" w:space="0"/>
        <w:bottom w:val="single" w:color="6E6E6E" w:sz="4" w:space="0"/>
        <w:insideH w:val="single" w:color="6E6E6E" w:sz="4" w:space="0"/>
      </w:tblBorders>
      <w:tblLayout w:type="fixed"/>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47" w:customStyle="1">
    <w:name w:val="List Table 2 - Accent 3"/>
    <w:basedOn w:val="821"/>
    <w:uiPriority w:val="99"/>
    <w:qFormat/>
    <w:tblPr>
      <w:tblBorders>
        <w:top w:val="single" w:color="CCCCCC" w:sz="4" w:space="0"/>
        <w:bottom w:val="single" w:color="CCCCCC" w:sz="4" w:space="0"/>
        <w:insideH w:val="single" w:color="CCCCCC" w:sz="4" w:space="0"/>
      </w:tblBorders>
      <w:tblLayout w:type="fixed"/>
    </w:tblPr>
    <w:tblStylePr w:type="band1Horz">
      <w:rPr>
        <w:rFonts w:ascii="New York" w:hAnsi="New York"/>
        <w:color w:val="404040"/>
        <w:sz w:val="22"/>
      </w:rPr>
      <w:tcPr>
        <w:shd w:val="clear" w:color="e8e8e8" w:fill="e8e8e8"/>
      </w:tcPr>
    </w:tblStylePr>
    <w:tblStylePr w:type="band1Vert">
      <w:rPr>
        <w:rFonts w:ascii="New York" w:hAnsi="New York"/>
        <w:color w:val="404040"/>
        <w:sz w:val="22"/>
      </w:rPr>
      <w:tcPr>
        <w:shd w:val="clear" w:color="e8e8e8" w:fill="e8e8e8"/>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48" w:customStyle="1">
    <w:name w:val="List Table 4 - Accent 6"/>
    <w:basedOn w:val="82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Layout w:type="fixed"/>
    </w:tblPr>
    <w:tblStylePr w:type="band1Horz">
      <w:rPr>
        <w:rFonts w:ascii="New York" w:hAnsi="New York"/>
        <w:color w:val="404040"/>
        <w:sz w:val="22"/>
      </w:rPr>
      <w:tcPr>
        <w:shd w:val="clear" w:color="daebcf" w:fill="daebcf"/>
      </w:tcPr>
    </w:tblStylePr>
    <w:tblStylePr w:type="band1Vert">
      <w:rPr>
        <w:rFonts w:ascii="New York" w:hAnsi="New York"/>
        <w:color w:val="404040"/>
        <w:sz w:val="22"/>
      </w:rPr>
      <w:tcPr>
        <w:shd w:val="clear" w:color="daebcf" w:fill="daebcf"/>
      </w:tcPr>
    </w:tblStylePr>
    <w:tblStylePr w:type="firstCol">
      <w:rPr>
        <w:b/>
        <w:color w:val="404040"/>
      </w:rPr>
    </w:tblStylePr>
    <w:tblStylePr w:type="firstRow">
      <w:rPr>
        <w:rFonts w:ascii="New York" w:hAnsi="New York"/>
        <w:b/>
        <w:color w:val="ffffff"/>
        <w:sz w:val="22"/>
      </w:rPr>
      <w:tcPr>
        <w:shd w:val="clear" w:color="70ad47" w:fill="70ad47"/>
      </w:tcPr>
    </w:tblStylePr>
    <w:tblStylePr w:type="lastCol">
      <w:rPr>
        <w:b/>
        <w:color w:val="404040"/>
      </w:rPr>
    </w:tblStylePr>
    <w:tblStylePr w:type="lastRow">
      <w:rPr>
        <w:b/>
        <w:color w:val="404040"/>
      </w:rPr>
    </w:tblStylePr>
  </w:style>
  <w:style w:type="table" w:styleId="1049" w:customStyle="1">
    <w:name w:val="Lined - Accent 6"/>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1efd8" w:fill="e1efd8"/>
      </w:tcPr>
    </w:tblStylePr>
    <w:tblStylePr w:type="band2Vert">
      <w:rPr>
        <w:rFonts w:ascii="New York" w:hAnsi="New York"/>
        <w:color w:val="404040"/>
        <w:sz w:val="22"/>
      </w:rPr>
      <w:tcPr>
        <w:shd w:val="clear" w:color="e1efd8" w:fill="e1efd8"/>
      </w:tcPr>
    </w:tblStylePr>
    <w:tblStylePr w:type="firstCol">
      <w:rPr>
        <w:rFonts w:ascii="New York" w:hAnsi="New York"/>
        <w:color w:val="f2f2f2"/>
        <w:sz w:val="22"/>
      </w:rPr>
      <w:tcPr>
        <w:shd w:val="clear" w:color="70ad47" w:fill="70ad47"/>
      </w:tcPr>
    </w:tblStylePr>
    <w:tblStylePr w:type="firstRow">
      <w:rPr>
        <w:rFonts w:ascii="New York" w:hAnsi="New York"/>
        <w:color w:val="f2f2f2"/>
        <w:sz w:val="22"/>
      </w:rPr>
      <w:tcPr>
        <w:shd w:val="clear" w:color="70ad47" w:fill="70ad47"/>
      </w:tcPr>
    </w:tblStylePr>
    <w:tblStylePr w:type="lastCol">
      <w:rPr>
        <w:rFonts w:ascii="New York" w:hAnsi="New York"/>
        <w:color w:val="f2f2f2"/>
        <w:sz w:val="22"/>
      </w:rPr>
      <w:tcPr>
        <w:shd w:val="clear" w:color="70ad47" w:fill="70ad47"/>
      </w:tcPr>
    </w:tblStylePr>
    <w:tblStylePr w:type="lastRow">
      <w:rPr>
        <w:rFonts w:ascii="New York" w:hAnsi="New York"/>
        <w:color w:val="f2f2f2"/>
        <w:sz w:val="22"/>
      </w:rPr>
      <w:tcPr>
        <w:shd w:val="clear" w:color="70ad47" w:fill="70ad47"/>
      </w:tcPr>
    </w:tblStylePr>
  </w:style>
  <w:style w:type="table" w:styleId="1050" w:customStyle="1">
    <w:name w:val="List Table 6 Colorful - Accent 5"/>
    <w:basedOn w:val="821"/>
    <w:uiPriority w:val="99"/>
    <w:qFormat/>
    <w:tblPr>
      <w:tblBorders>
        <w:top w:val="single" w:color="8EA9DB" w:sz="4" w:space="0"/>
        <w:bottom w:val="single" w:color="8EA9DB" w:sz="4" w:space="0"/>
      </w:tblBorders>
      <w:tblLayout w:type="fixed"/>
    </w:tblPr>
    <w:tblStylePr w:type="band1Horz">
      <w:rPr>
        <w:rFonts w:ascii="New York" w:hAnsi="New York"/>
        <w:color w:val="8faadc"/>
        <w:sz w:val="22"/>
      </w:rPr>
      <w:tcPr>
        <w:shd w:val="clear" w:color="d0dbf0" w:fill="d0dbf0"/>
      </w:tcPr>
    </w:tblStylePr>
    <w:tblStylePr w:type="band1Vert">
      <w:tcPr>
        <w:shd w:val="clear" w:color="d0dbf0" w:fill="d0dbf0"/>
      </w:tcPr>
    </w:tblStylePr>
    <w:tblStylePr w:type="band2Horz">
      <w:rPr>
        <w:rFonts w:ascii="New York" w:hAnsi="New York"/>
        <w:color w:val="8faadc"/>
        <w:sz w:val="22"/>
      </w:rPr>
    </w:tblStylePr>
    <w:tblStylePr w:type="firstCol">
      <w:rPr>
        <w:b/>
        <w:color w:val="8faadc"/>
      </w:rPr>
    </w:tblStylePr>
    <w:tblStylePr w:type="firstRow">
      <w:rPr>
        <w:b/>
        <w:color w:val="8faadc"/>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faadc"/>
      </w:rPr>
    </w:tblStylePr>
    <w:tblStylePr w:type="lastRow">
      <w:rPr>
        <w:b/>
        <w:color w:val="8faadc"/>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Grid Table 6 Colorful - Accent 1"/>
    <w:basedOn w:val="821"/>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Layout w:type="fixed"/>
    </w:tblPr>
    <w:tblStylePr w:type="band1Horz">
      <w:rPr>
        <w:rFonts w:ascii="New York" w:hAnsi="New York"/>
        <w:color w:val="adcdea"/>
        <w:sz w:val="22"/>
      </w:rPr>
      <w:tcPr>
        <w:shd w:val="clear" w:color="ddeaf6" w:fill="ddeaf6"/>
      </w:tcPr>
    </w:tblStylePr>
    <w:tblStylePr w:type="band1Vert">
      <w:tcPr>
        <w:shd w:val="clear" w:color="ddeaf6" w:fill="ddeaf6"/>
      </w:tcPr>
    </w:tblStylePr>
    <w:tblStylePr w:type="band2Horz">
      <w:rPr>
        <w:rFonts w:ascii="New York" w:hAnsi="New York"/>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1052" w:customStyle="1">
    <w:name w:val="网格型1"/>
    <w:uiPriority w:val="0"/>
    <w:qFormat/>
    <w:tblPr>
      <w:tblLayout w:type="fixed"/>
      <w:tblCellMar>
        <w:left w:w="0" w:type="dxa"/>
        <w:top w:w="0" w:type="dxa"/>
        <w:right w:w="0" w:type="dxa"/>
        <w:bottom w:w="0" w:type="dxa"/>
      </w:tblCellMar>
    </w:tblPr>
  </w:style>
  <w:style w:type="table" w:styleId="1053" w:customStyle="1">
    <w:name w:val="Bordered &amp; Lined - Accent 5"/>
    <w:basedOn w:val="82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8e2f2" w:fill="d8e2f2"/>
      </w:tcPr>
    </w:tblStylePr>
    <w:tblStylePr w:type="band2Vert">
      <w:rPr>
        <w:rFonts w:ascii="New York" w:hAnsi="New York"/>
        <w:color w:val="404040"/>
        <w:sz w:val="22"/>
      </w:rPr>
      <w:tcPr>
        <w:shd w:val="clear" w:color="d8e2f2" w:fill="d8e2f2"/>
      </w:tcPr>
    </w:tblStylePr>
    <w:tblStylePr w:type="firstCol">
      <w:rPr>
        <w:rFonts w:ascii="New York" w:hAnsi="New York"/>
        <w:color w:val="f2f2f2"/>
        <w:sz w:val="22"/>
      </w:rPr>
      <w:tcPr>
        <w:shd w:val="clear" w:color="4472c4" w:fill="4472c4"/>
      </w:tcPr>
    </w:tblStylePr>
    <w:tblStylePr w:type="firstRow">
      <w:rPr>
        <w:rFonts w:ascii="New York" w:hAnsi="New York"/>
        <w:color w:val="f2f2f2"/>
        <w:sz w:val="22"/>
      </w:rPr>
      <w:tcPr>
        <w:shd w:val="clear" w:color="4472c4" w:fill="4472c4"/>
      </w:tcPr>
    </w:tblStylePr>
    <w:tblStylePr w:type="lastCol">
      <w:rPr>
        <w:rFonts w:ascii="New York" w:hAnsi="New York"/>
        <w:color w:val="f2f2f2"/>
        <w:sz w:val="22"/>
      </w:rPr>
      <w:tcPr>
        <w:shd w:val="clear" w:color="4472c4" w:fill="4472c4"/>
      </w:tcPr>
    </w:tblStylePr>
    <w:tblStylePr w:type="lastRow">
      <w:rPr>
        <w:rFonts w:ascii="New York" w:hAnsi="New York"/>
        <w:color w:val="f2f2f2"/>
        <w:sz w:val="22"/>
      </w:rPr>
      <w:tcPr>
        <w:shd w:val="clear" w:color="4472c4" w:fill="4472c4"/>
      </w:tcPr>
    </w:tblStylePr>
  </w:style>
  <w:style w:type="table" w:styleId="1054" w:customStyle="1">
    <w:name w:val="List Table 3 - Accent 4"/>
    <w:basedOn w:val="821"/>
    <w:uiPriority w:val="99"/>
    <w:qFormat/>
    <w:tblPr>
      <w:tblBorders>
        <w:top w:val="single" w:color="FFD864" w:sz="4" w:space="0"/>
        <w:left w:val="single" w:color="FFD864" w:sz="4" w:space="0"/>
        <w:bottom w:val="single" w:color="FFD864" w:sz="4" w:space="0"/>
        <w:right w:val="single" w:color="FFD864" w:sz="4" w:space="0"/>
      </w:tblBorders>
      <w:tblLayout w:type="fixed"/>
    </w:tblPr>
    <w:tblStylePr w:type="band1Horz">
      <w:rPr>
        <w:rFonts w:ascii="New York" w:hAnsi="New York"/>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ffd864" w:fill="ffd864"/>
      </w:tcPr>
    </w:tblStylePr>
    <w:tblStylePr w:type="lastCol">
      <w:rPr>
        <w:b/>
        <w:color w:val="404040"/>
      </w:rPr>
    </w:tblStylePr>
    <w:tblStylePr w:type="lastRow">
      <w:rPr>
        <w:b/>
        <w:color w:val="404040"/>
      </w:rPr>
    </w:tblStylePr>
  </w:style>
  <w:style w:type="table" w:styleId="1055" w:customStyle="1">
    <w:name w:val="Grid Table 6 Colorful - Accent 4"/>
    <w:basedOn w:val="82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Layout w:type="fixed"/>
    </w:tblPr>
    <w:tblStylePr w:type="band1Horz">
      <w:rPr>
        <w:rFonts w:ascii="New York" w:hAnsi="New York"/>
        <w:color w:val="ffd966"/>
        <w:sz w:val="22"/>
      </w:rPr>
      <w:tcPr>
        <w:shd w:val="clear" w:color="fef2ca" w:fill="fef2ca"/>
      </w:tcPr>
    </w:tblStylePr>
    <w:tblStylePr w:type="band1Vert">
      <w:tcPr>
        <w:shd w:val="clear" w:color="fef2ca" w:fill="fef2ca"/>
      </w:tcPr>
    </w:tblStylePr>
    <w:tblStylePr w:type="band2Horz">
      <w:rPr>
        <w:rFonts w:ascii="New York" w:hAnsi="New York"/>
        <w:color w:val="ffd966"/>
        <w:sz w:val="22"/>
      </w:rPr>
    </w:tblStylePr>
    <w:tblStylePr w:type="firstCol">
      <w:rPr>
        <w:b/>
        <w:color w:val="ffd966"/>
      </w:rPr>
    </w:tblStylePr>
    <w:tblStylePr w:type="firstRow">
      <w:rPr>
        <w:b/>
        <w:color w:val="ffd966"/>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6"/>
      </w:rPr>
    </w:tblStylePr>
    <w:tblStylePr w:type="lastRow">
      <w:rPr>
        <w:b/>
        <w:color w:val="ffd966"/>
      </w:rPr>
    </w:tblStylePr>
  </w:style>
  <w:style w:type="table" w:styleId="1056" w:customStyle="1">
    <w:name w:val="Bordered &amp; Lined - Accent 6"/>
    <w:basedOn w:val="82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1efd8" w:fill="e1efd8"/>
      </w:tcPr>
    </w:tblStylePr>
    <w:tblStylePr w:type="band2Vert">
      <w:rPr>
        <w:rFonts w:ascii="New York" w:hAnsi="New York"/>
        <w:color w:val="404040"/>
        <w:sz w:val="22"/>
      </w:rPr>
      <w:tcPr>
        <w:shd w:val="clear" w:color="e1efd8" w:fill="e1efd8"/>
      </w:tcPr>
    </w:tblStylePr>
    <w:tblStylePr w:type="firstCol">
      <w:rPr>
        <w:rFonts w:ascii="New York" w:hAnsi="New York"/>
        <w:color w:val="f2f2f2"/>
        <w:sz w:val="22"/>
      </w:rPr>
      <w:tcPr>
        <w:shd w:val="clear" w:color="70ad47" w:fill="70ad47"/>
      </w:tcPr>
    </w:tblStylePr>
    <w:tblStylePr w:type="firstRow">
      <w:rPr>
        <w:rFonts w:ascii="New York" w:hAnsi="New York"/>
        <w:color w:val="f2f2f2"/>
        <w:sz w:val="22"/>
      </w:rPr>
      <w:tcPr>
        <w:shd w:val="clear" w:color="70ad47" w:fill="70ad47"/>
      </w:tcPr>
    </w:tblStylePr>
    <w:tblStylePr w:type="lastCol">
      <w:rPr>
        <w:rFonts w:ascii="New York" w:hAnsi="New York"/>
        <w:color w:val="f2f2f2"/>
        <w:sz w:val="22"/>
      </w:rPr>
      <w:tcPr>
        <w:shd w:val="clear" w:color="70ad47" w:fill="70ad47"/>
      </w:tcPr>
    </w:tblStylePr>
    <w:tblStylePr w:type="lastRow">
      <w:rPr>
        <w:rFonts w:ascii="New York" w:hAnsi="New York"/>
        <w:color w:val="f2f2f2"/>
        <w:sz w:val="22"/>
      </w:rPr>
      <w:tcPr>
        <w:shd w:val="clear" w:color="70ad47" w:fill="70ad47"/>
      </w:tcPr>
    </w:tblStylePr>
  </w:style>
  <w:style w:type="table" w:styleId="1057" w:customStyle="1">
    <w:name w:val="Grid Table 3 - Accent 2"/>
    <w:basedOn w:val="821"/>
    <w:uiPriority w:val="99"/>
    <w:qFormat/>
    <w:tblPr>
      <w:tblBorders>
        <w:bottom w:val="single" w:color="F4B285" w:sz="4" w:space="0"/>
        <w:insideH w:val="single" w:color="F4B285" w:sz="4" w:space="0"/>
        <w:insideV w:val="single" w:color="F4B285" w:sz="4" w:space="0"/>
      </w:tblBorders>
      <w:tblLayout w:type="fixed"/>
    </w:tblPr>
    <w:tblStylePr w:type="band1Horz">
      <w:rPr>
        <w:rFonts w:ascii="New York" w:hAnsi="New York"/>
        <w:color w:val="404040"/>
        <w:sz w:val="22"/>
      </w:rPr>
      <w:tcPr>
        <w:shd w:val="clear" w:color="fbe5d6" w:fill="fbe5d6"/>
      </w:tcPr>
    </w:tblStylePr>
    <w:tblStylePr w:type="band1Vert">
      <w:rPr>
        <w:rFonts w:ascii="New York" w:hAnsi="New York"/>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st Table 3 - Accent 5"/>
    <w:basedOn w:val="821"/>
    <w:uiPriority w:val="99"/>
    <w:qFormat/>
    <w:tblPr>
      <w:tblBorders>
        <w:top w:val="single" w:color="8EA9DB" w:sz="4" w:space="0"/>
        <w:left w:val="single" w:color="8EA9DB" w:sz="4" w:space="0"/>
        <w:bottom w:val="single" w:color="8EA9DB" w:sz="4" w:space="0"/>
        <w:right w:val="single" w:color="8EA9DB" w:sz="4" w:space="0"/>
      </w:tblBorders>
      <w:tblLayout w:type="fixed"/>
    </w:tblPr>
    <w:tblStylePr w:type="band1Horz">
      <w:rPr>
        <w:rFonts w:ascii="New York" w:hAnsi="New York"/>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8ea9db" w:fill="8ea9db"/>
      </w:tcPr>
    </w:tblStylePr>
    <w:tblStylePr w:type="lastCol">
      <w:rPr>
        <w:b/>
        <w:color w:val="404040"/>
      </w:rPr>
    </w:tblStylePr>
    <w:tblStylePr w:type="lastRow">
      <w:rPr>
        <w:b/>
        <w:color w:val="404040"/>
      </w:rPr>
    </w:tblStylePr>
  </w:style>
  <w:style w:type="table" w:styleId="1059" w:customStyle="1">
    <w:name w:val="Grid Table 1 Light - Accent 2"/>
    <w:basedOn w:val="82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Layout w:type="fixed"/>
    </w:tblPr>
    <w:tblStylePr w:type="band1Horz">
      <w:rPr>
        <w:rFonts w:ascii="New York" w:hAnsi="New York"/>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60" w:customStyle="1">
    <w:name w:val="Grid Table 5 Dark- Accent 1"/>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b3d1eb" w:fill="b3d1eb"/>
      </w:tcPr>
    </w:tblStylePr>
    <w:tblStylePr w:type="band1Vert">
      <w:tcPr>
        <w:shd w:val="clear" w:color="b3d1eb" w:fill="b3d1eb"/>
      </w:tcPr>
    </w:tblStylePr>
    <w:tblStylePr w:type="firstCol">
      <w:rPr>
        <w:rFonts w:ascii="New York" w:hAnsi="New York"/>
        <w:b/>
        <w:color w:val="ffffff"/>
        <w:sz w:val="22"/>
      </w:rPr>
      <w:tcPr>
        <w:shd w:val="clear" w:color="5b9bd5" w:fill="5b9bd5"/>
      </w:tcPr>
    </w:tblStylePr>
    <w:tblStylePr w:type="firstRow">
      <w:rPr>
        <w:rFonts w:ascii="New York" w:hAnsi="New York"/>
        <w:b/>
        <w:color w:val="ffffff"/>
        <w:sz w:val="22"/>
      </w:rPr>
      <w:tcPr>
        <w:shd w:val="clear" w:color="5b9bd5" w:fill="5b9bd5"/>
      </w:tcPr>
    </w:tblStylePr>
    <w:tblStylePr w:type="lastCol">
      <w:rPr>
        <w:rFonts w:ascii="New York" w:hAnsi="New York"/>
        <w:b/>
        <w:color w:val="ffffff"/>
        <w:sz w:val="22"/>
      </w:rPr>
      <w:tcPr>
        <w:shd w:val="clear" w:color="5b9bd5" w:fill="5b9bd5"/>
      </w:tcPr>
    </w:tblStylePr>
    <w:tblStylePr w:type="lastRow">
      <w:rPr>
        <w:rFonts w:ascii="New York" w:hAnsi="New York"/>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Grid Table 1 Light - Accent 1"/>
    <w:basedOn w:val="82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Layout w:type="fixed"/>
    </w:tblPr>
    <w:tblStylePr w:type="band1Horz">
      <w:rPr>
        <w:rFonts w:ascii="New York" w:hAnsi="New York"/>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62" w:customStyle="1">
    <w:name w:val="List Table 4 - Accent 3"/>
    <w:basedOn w:val="82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Layout w:type="fixed"/>
    </w:tblPr>
    <w:tblStylePr w:type="band1Horz">
      <w:rPr>
        <w:rFonts w:ascii="New York" w:hAnsi="New York"/>
        <w:color w:val="404040"/>
        <w:sz w:val="22"/>
      </w:rPr>
      <w:tcPr>
        <w:shd w:val="clear" w:color="e8e8e8" w:fill="e8e8e8"/>
      </w:tcPr>
    </w:tblStylePr>
    <w:tblStylePr w:type="band1Vert">
      <w:rPr>
        <w:rFonts w:ascii="New York" w:hAnsi="New York"/>
        <w:color w:val="404040"/>
        <w:sz w:val="22"/>
      </w:rPr>
      <w:tcPr>
        <w:shd w:val="clear" w:color="e8e8e8" w:fill="e8e8e8"/>
      </w:tcPr>
    </w:tblStylePr>
    <w:tblStylePr w:type="firstCol">
      <w:rPr>
        <w:b/>
        <w:color w:val="404040"/>
      </w:rPr>
    </w:tblStylePr>
    <w:tblStylePr w:type="firstRow">
      <w:rPr>
        <w:rFonts w:ascii="New York" w:hAnsi="New York"/>
        <w:b/>
        <w:color w:val="ffffff"/>
        <w:sz w:val="22"/>
      </w:rPr>
      <w:tcPr>
        <w:shd w:val="clear" w:color="a5a5a5" w:fill="a5a5a5"/>
      </w:tcPr>
    </w:tblStylePr>
    <w:tblStylePr w:type="lastCol">
      <w:rPr>
        <w:b/>
        <w:color w:val="404040"/>
      </w:rPr>
    </w:tblStylePr>
    <w:tblStylePr w:type="lastRow">
      <w:rPr>
        <w:b/>
        <w:color w:val="404040"/>
      </w:rPr>
    </w:tblStylePr>
  </w:style>
  <w:style w:type="table" w:styleId="1063" w:customStyle="1">
    <w:name w:val="List Table 5 Dark - Accent 5"/>
    <w:basedOn w:val="821"/>
    <w:uiPriority w:val="99"/>
    <w:qFormat/>
    <w:tblPr>
      <w:tblBorders>
        <w:top w:val="single" w:color="8EA9DB" w:sz="32" w:space="0"/>
        <w:left w:val="single" w:color="8EA9DB" w:sz="32" w:space="0"/>
        <w:bottom w:val="single" w:color="8EA9DB" w:sz="32" w:space="0"/>
        <w:right w:val="single" w:color="8EA9DB" w:sz="32" w:space="0"/>
      </w:tblBorders>
      <w:tblLayout w:type="fixed"/>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64" w:customStyle="1">
    <w:name w:val="Grid Table 3 - Accent 5"/>
    <w:basedOn w:val="821"/>
    <w:uiPriority w:val="99"/>
    <w:qFormat/>
    <w:tblPr>
      <w:tblBorders>
        <w:bottom w:val="single" w:color="4472C4" w:sz="4" w:space="0"/>
        <w:insideH w:val="single" w:color="4472C4" w:sz="4" w:space="0"/>
        <w:insideV w:val="single" w:color="4472C4" w:sz="4" w:space="0"/>
      </w:tblBorders>
      <w:tblLayout w:type="fixed"/>
    </w:tblPr>
    <w:tblStylePr w:type="band1Horz">
      <w:rPr>
        <w:rFonts w:ascii="New York" w:hAnsi="New York"/>
        <w:color w:val="404040"/>
        <w:sz w:val="22"/>
      </w:rPr>
      <w:tcPr>
        <w:shd w:val="clear" w:color="d8e2f2" w:fill="d8e2f2"/>
      </w:tcPr>
    </w:tblStylePr>
    <w:tblStylePr w:type="band1Vert">
      <w:rPr>
        <w:rFonts w:ascii="New York" w:hAnsi="New York"/>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Grid Table 5 Dark - Accent 6"/>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bcdba8" w:fill="bcdba8"/>
      </w:tcPr>
    </w:tblStylePr>
    <w:tblStylePr w:type="band1Vert">
      <w:tcPr>
        <w:shd w:val="clear" w:color="bcdba8" w:fill="bcdba8"/>
      </w:tcPr>
    </w:tblStylePr>
    <w:tblStylePr w:type="firstCol">
      <w:rPr>
        <w:rFonts w:ascii="New York" w:hAnsi="New York"/>
        <w:b/>
        <w:color w:val="ffffff"/>
        <w:sz w:val="22"/>
      </w:rPr>
      <w:tcPr>
        <w:shd w:val="clear" w:color="70ad47" w:fill="70ad47"/>
      </w:tcPr>
    </w:tblStylePr>
    <w:tblStylePr w:type="firstRow">
      <w:rPr>
        <w:rFonts w:ascii="New York" w:hAnsi="New York"/>
        <w:b/>
        <w:color w:val="ffffff"/>
        <w:sz w:val="22"/>
      </w:rPr>
      <w:tcPr>
        <w:shd w:val="clear" w:color="70ad47" w:fill="70ad47"/>
      </w:tcPr>
    </w:tblStylePr>
    <w:tblStylePr w:type="lastCol">
      <w:rPr>
        <w:rFonts w:ascii="New York" w:hAnsi="New York"/>
        <w:b/>
        <w:color w:val="ffffff"/>
        <w:sz w:val="22"/>
      </w:rPr>
      <w:tcPr>
        <w:shd w:val="clear" w:color="70ad47" w:fill="70ad47"/>
      </w:tcPr>
    </w:tblStylePr>
    <w:tblStylePr w:type="lastRow">
      <w:rPr>
        <w:rFonts w:ascii="New York" w:hAnsi="New York"/>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清单表 4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67" w:customStyle="1">
    <w:name w:val="Grid Table 2 - Accent 6"/>
    <w:basedOn w:val="821"/>
    <w:uiPriority w:val="99"/>
    <w:qFormat/>
    <w:tblPr>
      <w:tblBorders>
        <w:bottom w:val="single" w:color="70AD47" w:sz="4" w:space="0"/>
        <w:insideH w:val="single" w:color="70AD47" w:sz="4" w:space="0"/>
        <w:insideV w:val="single" w:color="70AD47" w:sz="4" w:space="0"/>
      </w:tblBorders>
      <w:tblLayout w:type="fixed"/>
    </w:tblPr>
    <w:tblStylePr w:type="band1Horz">
      <w:rPr>
        <w:rFonts w:ascii="New York" w:hAnsi="New York"/>
        <w:color w:val="404040"/>
        <w:sz w:val="22"/>
      </w:rPr>
      <w:tcPr>
        <w:shd w:val="clear" w:color="e1efd8" w:fill="e1efd8"/>
      </w:tcPr>
    </w:tblStylePr>
    <w:tblStylePr w:type="band1Vert">
      <w:rPr>
        <w:rFonts w:ascii="New York" w:hAnsi="New York"/>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Grid Table 1 Light - Accent 5"/>
    <w:basedOn w:val="82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Layout w:type="fixed"/>
    </w:tblPr>
    <w:tblStylePr w:type="band1Horz">
      <w:rPr>
        <w:rFonts w:ascii="New York" w:hAnsi="New York"/>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69" w:customStyle="1">
    <w:name w:val="Grid Table 1 Light - Accent 4"/>
    <w:basedOn w:val="82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Layout w:type="fixed"/>
    </w:tblPr>
    <w:tblStylePr w:type="band1Horz">
      <w:rPr>
        <w:rFonts w:ascii="New York" w:hAnsi="New York"/>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0" w:customStyle="1">
    <w:name w:val="Grid Table 2 - Accent 5"/>
    <w:basedOn w:val="821"/>
    <w:uiPriority w:val="99"/>
    <w:qFormat/>
    <w:tblPr>
      <w:tblBorders>
        <w:bottom w:val="single" w:color="4472C4" w:sz="4" w:space="0"/>
        <w:insideH w:val="single" w:color="4472C4" w:sz="4" w:space="0"/>
        <w:insideV w:val="single" w:color="4472C4" w:sz="4" w:space="0"/>
      </w:tblBorders>
      <w:tblLayout w:type="fixed"/>
    </w:tblPr>
    <w:tblStylePr w:type="band1Horz">
      <w:rPr>
        <w:rFonts w:ascii="New York" w:hAnsi="New York"/>
        <w:color w:val="404040"/>
        <w:sz w:val="22"/>
      </w:rPr>
      <w:tcPr>
        <w:shd w:val="clear" w:color="d8e2f2" w:fill="d8e2f2"/>
      </w:tcPr>
    </w:tblStylePr>
    <w:tblStylePr w:type="band1Vert">
      <w:rPr>
        <w:rFonts w:ascii="New York" w:hAnsi="New York"/>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Grid Table 5 Dark - Accent 5"/>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9bee3" w:fill="a9bee3"/>
      </w:tcPr>
    </w:tblStylePr>
    <w:tblStylePr w:type="band1Vert">
      <w:tcPr>
        <w:shd w:val="clear" w:color="a9bee3" w:fill="a9bee3"/>
      </w:tcPr>
    </w:tblStylePr>
    <w:tblStylePr w:type="firstCol">
      <w:rPr>
        <w:rFonts w:ascii="New York" w:hAnsi="New York"/>
        <w:b/>
        <w:color w:val="ffffff"/>
        <w:sz w:val="22"/>
      </w:rPr>
      <w:tcPr>
        <w:shd w:val="clear" w:color="4472c4" w:fill="4472c4"/>
      </w:tcPr>
    </w:tblStylePr>
    <w:tblStylePr w:type="firstRow">
      <w:rPr>
        <w:rFonts w:ascii="New York" w:hAnsi="New York"/>
        <w:b/>
        <w:color w:val="ffffff"/>
        <w:sz w:val="22"/>
      </w:rPr>
      <w:tcPr>
        <w:shd w:val="clear" w:color="4472c4" w:fill="4472c4"/>
      </w:tcPr>
    </w:tblStylePr>
    <w:tblStylePr w:type="lastCol">
      <w:rPr>
        <w:rFonts w:ascii="New York" w:hAnsi="New York"/>
        <w:b/>
        <w:color w:val="ffffff"/>
        <w:sz w:val="22"/>
      </w:rPr>
      <w:tcPr>
        <w:shd w:val="clear" w:color="4472c4" w:fill="4472c4"/>
      </w:tcPr>
    </w:tblStylePr>
    <w:tblStylePr w:type="lastRow">
      <w:rPr>
        <w:rFonts w:ascii="New York" w:hAnsi="New York"/>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Lined - Accent 5"/>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8e2f2" w:fill="d8e2f2"/>
      </w:tcPr>
    </w:tblStylePr>
    <w:tblStylePr w:type="band2Vert">
      <w:rPr>
        <w:rFonts w:ascii="New York" w:hAnsi="New York"/>
        <w:color w:val="404040"/>
        <w:sz w:val="22"/>
      </w:rPr>
      <w:tcPr>
        <w:shd w:val="clear" w:color="d8e2f2" w:fill="d8e2f2"/>
      </w:tcPr>
    </w:tblStylePr>
    <w:tblStylePr w:type="firstCol">
      <w:rPr>
        <w:rFonts w:ascii="New York" w:hAnsi="New York"/>
        <w:color w:val="f2f2f2"/>
        <w:sz w:val="22"/>
      </w:rPr>
      <w:tcPr>
        <w:shd w:val="clear" w:color="4472c4" w:fill="4472c4"/>
      </w:tcPr>
    </w:tblStylePr>
    <w:tblStylePr w:type="firstRow">
      <w:rPr>
        <w:rFonts w:ascii="New York" w:hAnsi="New York"/>
        <w:color w:val="f2f2f2"/>
        <w:sz w:val="22"/>
      </w:rPr>
      <w:tcPr>
        <w:shd w:val="clear" w:color="4472c4" w:fill="4472c4"/>
      </w:tcPr>
    </w:tblStylePr>
    <w:tblStylePr w:type="lastCol">
      <w:rPr>
        <w:rFonts w:ascii="New York" w:hAnsi="New York"/>
        <w:color w:val="f2f2f2"/>
        <w:sz w:val="22"/>
      </w:rPr>
      <w:tcPr>
        <w:shd w:val="clear" w:color="4472c4" w:fill="4472c4"/>
      </w:tcPr>
    </w:tblStylePr>
    <w:tblStylePr w:type="lastRow">
      <w:rPr>
        <w:rFonts w:ascii="New York" w:hAnsi="New York"/>
        <w:color w:val="f2f2f2"/>
        <w:sz w:val="22"/>
      </w:rPr>
      <w:tcPr>
        <w:shd w:val="clear" w:color="4472c4" w:fill="4472c4"/>
      </w:tcPr>
    </w:tblStylePr>
  </w:style>
  <w:style w:type="table" w:styleId="1073" w:customStyle="1">
    <w:name w:val="Bordered - Accent 2"/>
    <w:basedOn w:val="82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Layout w:type="fixed"/>
    </w:tblPr>
    <w:tblStylePr w:type="band1Horz">
      <w:rPr>
        <w:rFonts w:ascii="New York" w:hAnsi="New York"/>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清单表 6 彩色1"/>
    <w:basedOn w:val="821"/>
    <w:uiPriority w:val="99"/>
    <w:qFormat/>
    <w:tblPr>
      <w:tblBorders>
        <w:top w:val="single" w:color="7E7E7E" w:sz="4" w:space="0"/>
        <w:bottom w:val="single" w:color="7E7E7E" w:sz="4" w:space="0"/>
      </w:tblBorders>
      <w:tblLayout w:type="fixed"/>
    </w:tblPr>
    <w:tblStylePr w:type="band1Horz">
      <w:rPr>
        <w:rFonts w:ascii="New York" w:hAnsi="New York"/>
        <w:color w:val="000000"/>
        <w:sz w:val="22"/>
      </w:rPr>
      <w:tcPr>
        <w:shd w:val="clear" w:color="bebebe" w:fill="bebebe"/>
      </w:tcPr>
    </w:tblStylePr>
    <w:tblStylePr w:type="band1Vert">
      <w:tcPr>
        <w:shd w:val="clear" w:color="bebebe" w:fill="bebebe"/>
      </w:tcPr>
    </w:tblStylePr>
    <w:tblStylePr w:type="band2Horz">
      <w:rPr>
        <w:rFonts w:ascii="New York" w:hAnsi="New York"/>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List Table 6 Colorful - Accent 1"/>
    <w:basedOn w:val="821"/>
    <w:uiPriority w:val="99"/>
    <w:qFormat/>
    <w:tblPr>
      <w:tblBorders>
        <w:top w:val="single" w:color="5B9BD5" w:sz="4" w:space="0"/>
        <w:bottom w:val="single" w:color="5B9BD5" w:sz="4" w:space="0"/>
      </w:tblBorders>
      <w:tblLayout w:type="fixed"/>
    </w:tblPr>
    <w:tblStylePr w:type="band1Horz">
      <w:rPr>
        <w:rFonts w:ascii="New York" w:hAnsi="New York"/>
        <w:color w:val="245b8c"/>
        <w:sz w:val="22"/>
      </w:rPr>
      <w:tcPr>
        <w:shd w:val="clear" w:color="d5e5f4" w:fill="d5e5f4"/>
      </w:tcPr>
    </w:tblStylePr>
    <w:tblStylePr w:type="band1Vert">
      <w:tcPr>
        <w:shd w:val="clear" w:color="d5e5f4" w:fill="d5e5f4"/>
      </w:tcPr>
    </w:tblStylePr>
    <w:tblStylePr w:type="band2Horz">
      <w:rPr>
        <w:rFonts w:ascii="New York" w:hAnsi="New York"/>
        <w:color w:val="245b8c"/>
        <w:sz w:val="22"/>
      </w:rPr>
    </w:tblStylePr>
    <w:tblStylePr w:type="firstCol">
      <w:rPr>
        <w:b/>
        <w:color w:val="245b8c"/>
      </w:rPr>
    </w:tblStylePr>
    <w:tblStylePr w:type="firstRow">
      <w:rPr>
        <w:b/>
        <w:color w:val="245b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45b8c"/>
      </w:rPr>
    </w:tblStylePr>
    <w:tblStylePr w:type="lastRow">
      <w:rPr>
        <w:b/>
        <w:color w:val="245b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Grid Table 6 Colorful - Accent 5"/>
    <w:basedOn w:val="82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Layout w:type="fixed"/>
    </w:tblPr>
    <w:tblStylePr w:type="band1Horz">
      <w:rPr>
        <w:rFonts w:ascii="New York" w:hAnsi="New York"/>
        <w:color w:val="254174"/>
        <w:sz w:val="22"/>
      </w:rPr>
      <w:tcPr>
        <w:shd w:val="clear" w:color="d8e2f2" w:fill="d8e2f2"/>
      </w:tcPr>
    </w:tblStylePr>
    <w:tblStylePr w:type="band1Vert">
      <w:tcPr>
        <w:shd w:val="clear" w:color="d8e2f2" w:fill="d8e2f2"/>
      </w:tcPr>
    </w:tblStylePr>
    <w:tblStylePr w:type="band2Horz">
      <w:rPr>
        <w:rFonts w:ascii="New York" w:hAnsi="New York"/>
        <w:color w:val="254174"/>
        <w:sz w:val="22"/>
      </w:rPr>
    </w:tblStylePr>
    <w:tblStylePr w:type="firstCol">
      <w:rPr>
        <w:b/>
        <w:color w:val="254174"/>
      </w:rPr>
    </w:tblStylePr>
    <w:tblStylePr w:type="firstRow">
      <w:rPr>
        <w:b/>
        <w:color w:val="25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54174"/>
      </w:rPr>
    </w:tblStylePr>
    <w:tblStylePr w:type="lastRow">
      <w:rPr>
        <w:b/>
        <w:color w:val="254174"/>
      </w:rPr>
    </w:tblStylePr>
  </w:style>
  <w:style w:type="table" w:styleId="1077" w:customStyle="1">
    <w:name w:val="网格型2"/>
    <w:uiPriority w:val="39"/>
    <w:qFormat/>
    <w:rPr>
      <w:rFonts w:ascii="Times New Roman" w:hAnsi="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table" w:styleId="1078" w:customStyle="1">
    <w:name w:val="Grid Table 7 Colorful - Accent 6"/>
    <w:basedOn w:val="821"/>
    <w:uiPriority w:val="99"/>
    <w:qFormat/>
    <w:tblPr>
      <w:tblBorders>
        <w:bottom w:val="single" w:color="ADD394" w:sz="4" w:space="0"/>
        <w:right w:val="single" w:color="ADD394" w:sz="4" w:space="0"/>
        <w:insideH w:val="single" w:color="ADD394" w:sz="4" w:space="0"/>
        <w:insideV w:val="single" w:color="ADD394" w:sz="4" w:space="0"/>
      </w:tblBorders>
      <w:tblLayout w:type="fixed"/>
    </w:tblPr>
    <w:tblStylePr w:type="band1Horz">
      <w:rPr>
        <w:rFonts w:ascii="New York" w:hAnsi="New York"/>
        <w:color w:val="416429"/>
        <w:sz w:val="22"/>
      </w:rPr>
      <w:tcPr>
        <w:shd w:val="clear" w:color="e1efd8" w:fill="e1efd8"/>
      </w:tcPr>
    </w:tblStylePr>
    <w:tblStylePr w:type="band1Vert">
      <w:tcPr>
        <w:shd w:val="clear" w:color="e1efd8" w:fill="e1efd8"/>
      </w:tcPr>
    </w:tblStylePr>
    <w:tblStylePr w:type="band2Horz">
      <w:rPr>
        <w:rFonts w:ascii="New York" w:hAnsi="New York"/>
        <w:color w:val="416429"/>
        <w:sz w:val="22"/>
      </w:rPr>
    </w:tblStylePr>
    <w:tblStylePr w:type="firstCol">
      <w:rPr>
        <w:rFonts w:ascii="New York" w:hAnsi="New York"/>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New York" w:hAnsi="New York"/>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New York" w:hAnsi="New York"/>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9" w:customStyle="1">
    <w:name w:val="List Table 1 Light - Accent 2"/>
    <w:basedOn w:val="821"/>
    <w:uiPriority w:val="99"/>
    <w:qFormat/>
    <w:tblPr>
      <w:tblLayout w:type="fixed"/>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0" w:customStyle="1">
    <w:name w:val="List Table 4 - Accent 5"/>
    <w:basedOn w:val="82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Layout w:type="fixed"/>
    </w:tblPr>
    <w:tblStylePr w:type="band1Horz">
      <w:rPr>
        <w:rFonts w:ascii="New York" w:hAnsi="New York"/>
        <w:color w:val="404040"/>
        <w:sz w:val="22"/>
      </w:rPr>
      <w:tcPr>
        <w:shd w:val="clear" w:color="d0dbf0" w:fill="d0dbf0"/>
      </w:tcPr>
    </w:tblStylePr>
    <w:tblStylePr w:type="band1Vert">
      <w:rPr>
        <w:rFonts w:ascii="New York" w:hAnsi="New York"/>
        <w:color w:val="404040"/>
        <w:sz w:val="22"/>
      </w:rPr>
      <w:tcPr>
        <w:shd w:val="clear" w:color="d0dbf0" w:fill="d0dbf0"/>
      </w:tcPr>
    </w:tblStylePr>
    <w:tblStylePr w:type="firstCol">
      <w:rPr>
        <w:b/>
        <w:color w:val="404040"/>
      </w:rPr>
    </w:tblStylePr>
    <w:tblStylePr w:type="firstRow">
      <w:rPr>
        <w:rFonts w:ascii="New York" w:hAnsi="New York"/>
        <w:b/>
        <w:color w:val="ffffff"/>
        <w:sz w:val="22"/>
      </w:rPr>
      <w:tcPr>
        <w:shd w:val="clear" w:color="4472c4" w:fill="4472c4"/>
      </w:tcPr>
    </w:tblStylePr>
    <w:tblStylePr w:type="lastCol">
      <w:rPr>
        <w:b/>
        <w:color w:val="404040"/>
      </w:rPr>
    </w:tblStylePr>
    <w:tblStylePr w:type="lastRow">
      <w:rPr>
        <w:b/>
        <w:color w:val="404040"/>
      </w:rPr>
    </w:tblStylePr>
  </w:style>
  <w:style w:type="table" w:styleId="1081" w:customStyle="1">
    <w:name w:val="Grid Table 4 - Accent 3"/>
    <w:basedOn w:val="82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Layout w:type="fixed"/>
    </w:tblPr>
    <w:tblStylePr w:type="band1Horz">
      <w:rPr>
        <w:rFonts w:ascii="New York" w:hAnsi="New York"/>
        <w:color w:val="404040"/>
        <w:sz w:val="22"/>
      </w:rPr>
      <w:tcPr>
        <w:shd w:val="clear" w:color="ececec" w:fill="ececec"/>
      </w:tcPr>
    </w:tblStylePr>
    <w:tblStylePr w:type="band1Vert">
      <w:rPr>
        <w:rFonts w:ascii="New York" w:hAnsi="New York"/>
        <w:color w:val="404040"/>
        <w:sz w:val="22"/>
      </w:rPr>
      <w:tcPr>
        <w:shd w:val="clear" w:color="ececec" w:fill="ececec"/>
      </w:tcPr>
    </w:tblStylePr>
    <w:tblStylePr w:type="firstCol">
      <w:rPr>
        <w:b/>
        <w:color w:val="404040"/>
      </w:rPr>
    </w:tblStylePr>
    <w:tblStylePr w:type="firstRow">
      <w:rPr>
        <w:rFonts w:ascii="New York" w:hAnsi="New York"/>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2" w:customStyle="1">
    <w:name w:val="无格式表格 21"/>
    <w:basedOn w:val="821"/>
    <w:uiPriority w:val="59"/>
    <w:qFormat/>
    <w:tblPr>
      <w:tblBorders>
        <w:top w:val="single" w:color="000000" w:sz="4" w:space="0"/>
        <w:bottom w:val="single" w:color="000000" w:sz="4" w:space="0"/>
      </w:tblBorders>
      <w:tblLayout w:type="fixed"/>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1083" w:customStyle="1">
    <w:name w:val="无格式表格 51"/>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ned - Accent"/>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85" w:customStyle="1">
    <w:name w:val="List Table 5 Dark - Accent 6"/>
    <w:basedOn w:val="821"/>
    <w:uiPriority w:val="99"/>
    <w:qFormat/>
    <w:tblPr>
      <w:tblBorders>
        <w:top w:val="single" w:color="A9D08E" w:sz="32" w:space="0"/>
        <w:left w:val="single" w:color="A9D08E" w:sz="32" w:space="0"/>
        <w:bottom w:val="single" w:color="A9D08E" w:sz="32" w:space="0"/>
        <w:right w:val="single" w:color="A9D08E" w:sz="32" w:space="0"/>
      </w:tblBorders>
      <w:tblLayout w:type="fixed"/>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86" w:customStyle="1">
    <w:name w:val="List Table 6 Colorful - Accent 3"/>
    <w:basedOn w:val="821"/>
    <w:uiPriority w:val="99"/>
    <w:qFormat/>
    <w:tblPr>
      <w:tblBorders>
        <w:top w:val="single" w:color="C9C9C9" w:sz="4" w:space="0"/>
        <w:bottom w:val="single" w:color="C9C9C9" w:sz="4" w:space="0"/>
      </w:tblBorders>
      <w:tblLayout w:type="fixed"/>
    </w:tblPr>
    <w:tblStylePr w:type="band1Horz">
      <w:rPr>
        <w:rFonts w:ascii="New York" w:hAnsi="New York"/>
        <w:color w:val="c9c9c9"/>
        <w:sz w:val="22"/>
      </w:rPr>
      <w:tcPr>
        <w:shd w:val="clear" w:color="e8e8e8" w:fill="e8e8e8"/>
      </w:tcPr>
    </w:tblStylePr>
    <w:tblStylePr w:type="band1Vert">
      <w:tcPr>
        <w:shd w:val="clear" w:color="e8e8e8" w:fill="e8e8e8"/>
      </w:tcPr>
    </w:tblStylePr>
    <w:tblStylePr w:type="band2Horz">
      <w:rPr>
        <w:rFonts w:ascii="New York" w:hAnsi="New York"/>
        <w:color w:val="c9c9c9"/>
        <w:sz w:val="22"/>
      </w:rPr>
    </w:tblStylePr>
    <w:tblStylePr w:type="firstCol">
      <w:rPr>
        <w:b/>
        <w:color w:val="c9c9c9"/>
      </w:rPr>
    </w:tblStylePr>
    <w:tblStylePr w:type="firstRow">
      <w:rPr>
        <w:b/>
        <w:color w:val="c9c9c9"/>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9c9c9"/>
      </w:rPr>
    </w:tblStylePr>
    <w:tblStylePr w:type="lastRow">
      <w:rPr>
        <w:b/>
        <w:color w:val="c9c9c9"/>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Bordered &amp; Lined - Accent"/>
    <w:basedOn w:val="82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88" w:customStyle="1">
    <w:name w:val="List Table 7 Colorful - Accent 5"/>
    <w:basedOn w:val="821"/>
    <w:uiPriority w:val="99"/>
    <w:qFormat/>
    <w:tblPr>
      <w:tblBorders>
        <w:right w:val="single" w:color="8EA9DB" w:sz="4" w:space="0"/>
      </w:tblBorders>
      <w:tblLayout w:type="fixed"/>
    </w:tblPr>
    <w:tblStylePr w:type="band1Horz">
      <w:rPr>
        <w:rFonts w:ascii="New York" w:hAnsi="New York"/>
        <w:color w:val="8faadc"/>
        <w:sz w:val="22"/>
      </w:rPr>
      <w:tcPr>
        <w:shd w:val="clear" w:color="d0dbf0" w:fill="d0dbf0"/>
      </w:tcPr>
    </w:tblStylePr>
    <w:tblStylePr w:type="band1Vert">
      <w:tcPr>
        <w:shd w:val="clear" w:color="d0dbf0" w:fill="d0dbf0"/>
      </w:tcPr>
    </w:tblStylePr>
    <w:tblStylePr w:type="band2Horz">
      <w:rPr>
        <w:rFonts w:ascii="New York" w:hAnsi="New York"/>
        <w:color w:val="8faadc"/>
        <w:sz w:val="22"/>
      </w:rPr>
    </w:tblStylePr>
    <w:tblStylePr w:type="firstCol">
      <w:rPr>
        <w:rFonts w:ascii="New York" w:hAnsi="New York"/>
        <w:i/>
        <w:color w:val="8faadc"/>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New York" w:hAnsi="New York"/>
        <w:i/>
        <w:color w:val="8faadc"/>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New York" w:hAnsi="New York"/>
        <w:i/>
        <w:color w:val="8faadc"/>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8faadc"/>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Lined - Accent 1"/>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bdff1" w:fill="cbdff1"/>
      </w:tcPr>
    </w:tblStylePr>
    <w:tblStylePr w:type="band2Vert">
      <w:rPr>
        <w:rFonts w:ascii="New York" w:hAnsi="New York"/>
        <w:color w:val="404040"/>
        <w:sz w:val="22"/>
      </w:rPr>
      <w:tcPr>
        <w:shd w:val="clear" w:color="cbdff1" w:fill="cbdff1"/>
      </w:tcPr>
    </w:tblStylePr>
    <w:tblStylePr w:type="firstCol">
      <w:rPr>
        <w:rFonts w:ascii="New York" w:hAnsi="New York"/>
        <w:color w:val="f2f2f2"/>
        <w:sz w:val="22"/>
      </w:rPr>
      <w:tcPr>
        <w:shd w:val="clear" w:color="68a3d8" w:fill="68a3d8"/>
      </w:tcPr>
    </w:tblStylePr>
    <w:tblStylePr w:type="firstRow">
      <w:rPr>
        <w:rFonts w:ascii="New York" w:hAnsi="New York"/>
        <w:color w:val="f2f2f2"/>
        <w:sz w:val="22"/>
      </w:rPr>
      <w:tcPr>
        <w:shd w:val="clear" w:color="68a3d8" w:fill="68a3d8"/>
      </w:tcPr>
    </w:tblStylePr>
    <w:tblStylePr w:type="lastCol">
      <w:rPr>
        <w:rFonts w:ascii="New York" w:hAnsi="New York"/>
        <w:color w:val="f2f2f2"/>
        <w:sz w:val="22"/>
      </w:rPr>
      <w:tcPr>
        <w:shd w:val="clear" w:color="68a3d8" w:fill="68a3d8"/>
      </w:tcPr>
    </w:tblStylePr>
    <w:tblStylePr w:type="lastRow">
      <w:rPr>
        <w:rFonts w:ascii="New York" w:hAnsi="New York"/>
        <w:color w:val="f2f2f2"/>
        <w:sz w:val="22"/>
      </w:rPr>
      <w:tcPr>
        <w:shd w:val="clear" w:color="68a3d8" w:fill="68a3d8"/>
      </w:tcPr>
    </w:tblStylePr>
  </w:style>
  <w:style w:type="table" w:styleId="1090" w:customStyle="1">
    <w:name w:val="Lined - Accent 4"/>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ef2ca" w:fill="fef2ca"/>
      </w:tcPr>
    </w:tblStylePr>
    <w:tblStylePr w:type="band2Vert">
      <w:rPr>
        <w:rFonts w:ascii="New York" w:hAnsi="New York"/>
        <w:color w:val="404040"/>
        <w:sz w:val="22"/>
      </w:rPr>
      <w:tcPr>
        <w:shd w:val="clear" w:color="fef2ca" w:fill="fef2ca"/>
      </w:tcPr>
    </w:tblStylePr>
    <w:tblStylePr w:type="firstCol">
      <w:rPr>
        <w:rFonts w:ascii="New York" w:hAnsi="New York"/>
        <w:color w:val="f2f2f2"/>
        <w:sz w:val="22"/>
      </w:rPr>
      <w:tcPr>
        <w:shd w:val="clear" w:color="ffd864" w:fill="ffd864"/>
      </w:tcPr>
    </w:tblStylePr>
    <w:tblStylePr w:type="firstRow">
      <w:rPr>
        <w:rFonts w:ascii="New York" w:hAnsi="New York"/>
        <w:color w:val="f2f2f2"/>
        <w:sz w:val="22"/>
      </w:rPr>
      <w:tcPr>
        <w:shd w:val="clear" w:color="ffd864" w:fill="ffd864"/>
      </w:tcPr>
    </w:tblStylePr>
    <w:tblStylePr w:type="lastCol">
      <w:rPr>
        <w:rFonts w:ascii="New York" w:hAnsi="New York"/>
        <w:color w:val="f2f2f2"/>
        <w:sz w:val="22"/>
      </w:rPr>
      <w:tcPr>
        <w:shd w:val="clear" w:color="ffd864" w:fill="ffd864"/>
      </w:tcPr>
    </w:tblStylePr>
    <w:tblStylePr w:type="lastRow">
      <w:rPr>
        <w:rFonts w:ascii="New York" w:hAnsi="New York"/>
        <w:color w:val="f2f2f2"/>
        <w:sz w:val="22"/>
      </w:rPr>
      <w:tcPr>
        <w:shd w:val="clear" w:color="ffd864" w:fill="ffd864"/>
      </w:tcPr>
    </w:tblStylePr>
  </w:style>
  <w:style w:type="table" w:styleId="1091" w:customStyle="1">
    <w:name w:val="无格式表格 11"/>
    <w:basedOn w:val="82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Pr>
    <w:tblStylePr w:type="band1Horz">
      <w:tcPr>
        <w:shd w:val="clear" w:color="f1f1f1" w:fill="f1f1f1"/>
      </w:tcPr>
    </w:tblStylePr>
    <w:tblStylePr w:type="band1Vert">
      <w:tcPr>
        <w:shd w:val="clear" w:color="f1f1f1" w:fill="f1f1f1"/>
      </w:tcPr>
    </w:tblStylePr>
    <w:tblStylePr w:type="firstCol">
      <w:rPr>
        <w:rFonts w:ascii="New York" w:hAnsi="New York"/>
        <w:b/>
        <w:color w:val="404040"/>
        <w:sz w:val="22"/>
      </w:rPr>
    </w:tblStylePr>
    <w:tblStylePr w:type="firstRow">
      <w:rPr>
        <w:rFonts w:ascii="New York" w:hAnsi="New York"/>
        <w:b/>
        <w:color w:val="404040"/>
        <w:sz w:val="22"/>
      </w:r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1092" w:customStyle="1">
    <w:name w:val="网格表 1 浅色2"/>
    <w:basedOn w:val="82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New York" w:hAnsi="New Yor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93" w:customStyle="1">
    <w:name w:val="List Table 1 Light - Accent 5"/>
    <w:basedOn w:val="821"/>
    <w:uiPriority w:val="99"/>
    <w:qFormat/>
    <w:tblPr>
      <w:tblLayout w:type="fixed"/>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网格表 1 浅色1"/>
    <w:basedOn w:val="82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New York" w:hAnsi="New Yor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95" w:customStyle="1">
    <w:name w:val="List Table 2 - Accent 5"/>
    <w:basedOn w:val="821"/>
    <w:uiPriority w:val="99"/>
    <w:qFormat/>
    <w:tblPr>
      <w:tblBorders>
        <w:top w:val="single" w:color="95AFDD" w:sz="4" w:space="0"/>
        <w:bottom w:val="single" w:color="95AFDD" w:sz="4" w:space="0"/>
        <w:insideH w:val="single" w:color="95AFDD" w:sz="4" w:space="0"/>
      </w:tblBorders>
      <w:tblLayout w:type="fixed"/>
    </w:tblPr>
    <w:tblStylePr w:type="band1Horz">
      <w:rPr>
        <w:rFonts w:ascii="New York" w:hAnsi="New York"/>
        <w:color w:val="404040"/>
        <w:sz w:val="22"/>
      </w:rPr>
      <w:tcPr>
        <w:shd w:val="clear" w:color="d0dbf0" w:fill="d0dbf0"/>
      </w:tcPr>
    </w:tblStylePr>
    <w:tblStylePr w:type="band1Vert">
      <w:rPr>
        <w:rFonts w:ascii="New York" w:hAnsi="New York"/>
        <w:color w:val="404040"/>
        <w:sz w:val="22"/>
      </w:rPr>
      <w:tcPr>
        <w:shd w:val="clear" w:color="d0dbf0" w:fill="d0dbf0"/>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96" w:customStyle="1">
    <w:name w:val="无格式表格 42"/>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Lined - Accent 3"/>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cecec" w:fill="ececec"/>
      </w:tcPr>
    </w:tblStylePr>
    <w:tblStylePr w:type="band2Vert">
      <w:rPr>
        <w:rFonts w:ascii="New York" w:hAnsi="New York"/>
        <w:color w:val="404040"/>
        <w:sz w:val="22"/>
      </w:rPr>
      <w:tcPr>
        <w:shd w:val="clear" w:color="ececec" w:fill="ececec"/>
      </w:tcPr>
    </w:tblStylePr>
    <w:tblStylePr w:type="firstCol">
      <w:rPr>
        <w:rFonts w:ascii="New York" w:hAnsi="New York"/>
        <w:color w:val="f2f2f2"/>
        <w:sz w:val="22"/>
      </w:rPr>
      <w:tcPr>
        <w:shd w:val="clear" w:color="a5a5a5" w:fill="a5a5a5"/>
      </w:tcPr>
    </w:tblStylePr>
    <w:tblStylePr w:type="firstRow">
      <w:rPr>
        <w:rFonts w:ascii="New York" w:hAnsi="New York"/>
        <w:color w:val="f2f2f2"/>
        <w:sz w:val="22"/>
      </w:rPr>
      <w:tcPr>
        <w:shd w:val="clear" w:color="a5a5a5" w:fill="a5a5a5"/>
      </w:tcPr>
    </w:tblStylePr>
    <w:tblStylePr w:type="lastCol">
      <w:rPr>
        <w:rFonts w:ascii="New York" w:hAnsi="New York"/>
        <w:color w:val="f2f2f2"/>
        <w:sz w:val="22"/>
      </w:rPr>
      <w:tcPr>
        <w:shd w:val="clear" w:color="a5a5a5" w:fill="a5a5a5"/>
      </w:tcPr>
    </w:tblStylePr>
    <w:tblStylePr w:type="lastRow">
      <w:rPr>
        <w:rFonts w:ascii="New York" w:hAnsi="New York"/>
        <w:color w:val="f2f2f2"/>
        <w:sz w:val="22"/>
      </w:rPr>
      <w:tcPr>
        <w:shd w:val="clear" w:color="a5a5a5" w:fill="a5a5a5"/>
      </w:tcPr>
    </w:tblStylePr>
  </w:style>
  <w:style w:type="table" w:styleId="1098" w:customStyle="1">
    <w:name w:val="List Table 1 Light - Accent 1"/>
    <w:basedOn w:val="821"/>
    <w:uiPriority w:val="99"/>
    <w:qFormat/>
    <w:tblPr>
      <w:tblLayout w:type="fixed"/>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List Table 7 Colorful - Accent 6"/>
    <w:basedOn w:val="821"/>
    <w:uiPriority w:val="99"/>
    <w:qFormat/>
    <w:tblPr>
      <w:tblBorders>
        <w:right w:val="single" w:color="A9D08E" w:sz="4" w:space="0"/>
      </w:tblBorders>
      <w:tblLayout w:type="fixed"/>
    </w:tblPr>
    <w:tblStylePr w:type="band1Horz">
      <w:rPr>
        <w:rFonts w:ascii="New York" w:hAnsi="New York"/>
        <w:color w:val="a9d18e"/>
        <w:sz w:val="22"/>
      </w:rPr>
      <w:tcPr>
        <w:shd w:val="clear" w:color="daebcf" w:fill="daebcf"/>
      </w:tcPr>
    </w:tblStylePr>
    <w:tblStylePr w:type="band1Vert">
      <w:tcPr>
        <w:shd w:val="clear" w:color="daebcf" w:fill="daebcf"/>
      </w:tcPr>
    </w:tblStylePr>
    <w:tblStylePr w:type="band2Horz">
      <w:rPr>
        <w:rFonts w:ascii="New York" w:hAnsi="New York"/>
        <w:color w:val="a9d18e"/>
        <w:sz w:val="22"/>
      </w:rPr>
    </w:tblStylePr>
    <w:tblStylePr w:type="firstCol">
      <w:rPr>
        <w:rFonts w:ascii="New York" w:hAnsi="New York"/>
        <w:i/>
        <w:color w:val="a9d18e"/>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New York" w:hAnsi="New York"/>
        <w:i/>
        <w:color w:val="a9d18e"/>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New York" w:hAnsi="New York"/>
        <w:i/>
        <w:color w:val="a9d18e"/>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a9d18e"/>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0" w:customStyle="1">
    <w:name w:val="Grid Table 6 Colorful - Accent 3"/>
    <w:basedOn w:val="82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Layout w:type="fixed"/>
    </w:tblPr>
    <w:tblStylePr w:type="band1Horz">
      <w:rPr>
        <w:rFonts w:ascii="New York" w:hAnsi="New York"/>
        <w:color w:val="a5a5a5"/>
        <w:sz w:val="22"/>
      </w:rPr>
      <w:tcPr>
        <w:shd w:val="clear" w:color="ececec" w:fill="ececec"/>
      </w:tcPr>
    </w:tblStylePr>
    <w:tblStylePr w:type="band1Vert">
      <w:tcPr>
        <w:shd w:val="clear" w:color="ececec" w:fill="ececec"/>
      </w:tcPr>
    </w:tblStylePr>
    <w:tblStylePr w:type="band2Horz">
      <w:rPr>
        <w:rFonts w:ascii="New York" w:hAnsi="New York"/>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1101" w:customStyle="1">
    <w:name w:val="网格表 22"/>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2" w:customStyle="1">
    <w:name w:val="List Table 4 - Accent 4"/>
    <w:basedOn w:val="82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Layout w:type="fixed"/>
    </w:tblPr>
    <w:tblStylePr w:type="band1Horz">
      <w:rPr>
        <w:rFonts w:ascii="New York" w:hAnsi="New York"/>
        <w:color w:val="404040"/>
        <w:sz w:val="22"/>
      </w:rPr>
      <w:tcPr>
        <w:shd w:val="clear" w:color="ffefbe" w:fill="ffefbe"/>
      </w:tcPr>
    </w:tblStylePr>
    <w:tblStylePr w:type="band1Vert">
      <w:rPr>
        <w:rFonts w:ascii="New York" w:hAnsi="New York"/>
        <w:color w:val="404040"/>
        <w:sz w:val="22"/>
      </w:rPr>
      <w:tcPr>
        <w:shd w:val="clear" w:color="ffefbe" w:fill="ffefbe"/>
      </w:tcPr>
    </w:tblStylePr>
    <w:tblStylePr w:type="firstCol">
      <w:rPr>
        <w:b/>
        <w:color w:val="404040"/>
      </w:rPr>
    </w:tblStylePr>
    <w:tblStylePr w:type="firstRow">
      <w:rPr>
        <w:rFonts w:ascii="New York" w:hAnsi="New York"/>
        <w:b/>
        <w:color w:val="ffffff"/>
        <w:sz w:val="22"/>
      </w:rPr>
      <w:tcPr>
        <w:shd w:val="clear" w:color="ffc000" w:fill="ffc000"/>
      </w:tcPr>
    </w:tblStylePr>
    <w:tblStylePr w:type="lastCol">
      <w:rPr>
        <w:b/>
        <w:color w:val="404040"/>
      </w:rPr>
    </w:tblStylePr>
    <w:tblStylePr w:type="lastRow">
      <w:rPr>
        <w:b/>
        <w:color w:val="404040"/>
      </w:rPr>
    </w:tblStylePr>
  </w:style>
  <w:style w:type="table" w:styleId="1103" w:customStyle="1">
    <w:name w:val="List Table 2 - Accent 2"/>
    <w:basedOn w:val="821"/>
    <w:uiPriority w:val="99"/>
    <w:qFormat/>
    <w:tblPr>
      <w:tblBorders>
        <w:top w:val="single" w:color="F4B58A" w:sz="4" w:space="0"/>
        <w:bottom w:val="single" w:color="F4B58A" w:sz="4" w:space="0"/>
        <w:insideH w:val="single" w:color="F4B58A" w:sz="4" w:space="0"/>
      </w:tblBorders>
      <w:tblLayout w:type="fixed"/>
    </w:tblPr>
    <w:tblStylePr w:type="band1Horz">
      <w:rPr>
        <w:rFonts w:ascii="New York" w:hAnsi="New York"/>
        <w:color w:val="404040"/>
        <w:sz w:val="22"/>
      </w:rPr>
      <w:tcPr>
        <w:shd w:val="clear" w:color="fadecb" w:fill="fadecb"/>
      </w:tcPr>
    </w:tblStylePr>
    <w:tblStylePr w:type="band1Vert">
      <w:rPr>
        <w:rFonts w:ascii="New York" w:hAnsi="New York"/>
        <w:color w:val="404040"/>
        <w:sz w:val="22"/>
      </w:rPr>
      <w:tcPr>
        <w:shd w:val="clear" w:color="fadecb" w:fill="fadecb"/>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104" w:customStyle="1">
    <w:name w:val="Bordered &amp; Lined - Accent 3"/>
    <w:basedOn w:val="82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cecec" w:fill="ececec"/>
      </w:tcPr>
    </w:tblStylePr>
    <w:tblStylePr w:type="band2Vert">
      <w:rPr>
        <w:rFonts w:ascii="New York" w:hAnsi="New York"/>
        <w:color w:val="404040"/>
        <w:sz w:val="22"/>
      </w:rPr>
      <w:tcPr>
        <w:shd w:val="clear" w:color="ececec" w:fill="ececec"/>
      </w:tcPr>
    </w:tblStylePr>
    <w:tblStylePr w:type="firstCol">
      <w:rPr>
        <w:rFonts w:ascii="New York" w:hAnsi="New York"/>
        <w:color w:val="f2f2f2"/>
        <w:sz w:val="22"/>
      </w:rPr>
      <w:tcPr>
        <w:shd w:val="clear" w:color="a5a5a5" w:fill="a5a5a5"/>
      </w:tcPr>
    </w:tblStylePr>
    <w:tblStylePr w:type="firstRow">
      <w:rPr>
        <w:rFonts w:ascii="New York" w:hAnsi="New York"/>
        <w:color w:val="f2f2f2"/>
        <w:sz w:val="22"/>
      </w:rPr>
      <w:tcPr>
        <w:shd w:val="clear" w:color="a5a5a5" w:fill="a5a5a5"/>
      </w:tcPr>
    </w:tblStylePr>
    <w:tblStylePr w:type="lastCol">
      <w:rPr>
        <w:rFonts w:ascii="New York" w:hAnsi="New York"/>
        <w:color w:val="f2f2f2"/>
        <w:sz w:val="22"/>
      </w:rPr>
      <w:tcPr>
        <w:shd w:val="clear" w:color="a5a5a5" w:fill="a5a5a5"/>
      </w:tcPr>
    </w:tblStylePr>
    <w:tblStylePr w:type="lastRow">
      <w:rPr>
        <w:rFonts w:ascii="New York" w:hAnsi="New York"/>
        <w:color w:val="f2f2f2"/>
        <w:sz w:val="22"/>
      </w:rPr>
      <w:tcPr>
        <w:shd w:val="clear" w:color="a5a5a5" w:fill="a5a5a5"/>
      </w:tcPr>
    </w:tblStylePr>
  </w:style>
  <w:style w:type="table" w:styleId="1105" w:customStyle="1">
    <w:name w:val="网格表 6 彩色1"/>
    <w:basedOn w:val="82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New York" w:hAnsi="New York"/>
        <w:color w:val="808080"/>
        <w:sz w:val="22"/>
      </w:rPr>
      <w:tcPr>
        <w:shd w:val="clear" w:color="cacaca" w:fill="cacaca"/>
      </w:tcPr>
    </w:tblStylePr>
    <w:tblStylePr w:type="band1Vert">
      <w:tcPr>
        <w:shd w:val="clear" w:color="cacaca" w:fill="cacaca"/>
      </w:tcPr>
    </w:tblStylePr>
    <w:tblStylePr w:type="band2Horz">
      <w:rPr>
        <w:rFonts w:ascii="New York" w:hAnsi="New York"/>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1106" w:customStyle="1">
    <w:name w:val="List Table 6 Colorful - Accent 4"/>
    <w:basedOn w:val="821"/>
    <w:uiPriority w:val="99"/>
    <w:qFormat/>
    <w:tblPr>
      <w:tblBorders>
        <w:top w:val="single" w:color="FFD864" w:sz="4" w:space="0"/>
        <w:bottom w:val="single" w:color="FFD864" w:sz="4" w:space="0"/>
      </w:tblBorders>
      <w:tblLayout w:type="fixed"/>
    </w:tblPr>
    <w:tblStylePr w:type="band1Horz">
      <w:rPr>
        <w:rFonts w:ascii="New York" w:hAnsi="New York"/>
        <w:color w:val="ffd966"/>
        <w:sz w:val="22"/>
      </w:rPr>
      <w:tcPr>
        <w:shd w:val="clear" w:color="ffefbe" w:fill="ffefbe"/>
      </w:tcPr>
    </w:tblStylePr>
    <w:tblStylePr w:type="band1Vert">
      <w:tcPr>
        <w:shd w:val="clear" w:color="ffefbe" w:fill="ffefbe"/>
      </w:tcPr>
    </w:tblStylePr>
    <w:tblStylePr w:type="band2Horz">
      <w:rPr>
        <w:rFonts w:ascii="New York" w:hAnsi="New York"/>
        <w:color w:val="ffd966"/>
        <w:sz w:val="22"/>
      </w:rPr>
    </w:tblStylePr>
    <w:tblStylePr w:type="firstCol">
      <w:rPr>
        <w:b/>
        <w:color w:val="ffd966"/>
      </w:rPr>
    </w:tblStylePr>
    <w:tblStylePr w:type="firstRow">
      <w:rPr>
        <w:b/>
        <w:color w:val="ffd966"/>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6"/>
      </w:rPr>
    </w:tblStylePr>
    <w:tblStylePr w:type="lastRow">
      <w:rPr>
        <w:b/>
        <w:color w:val="ffd966"/>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7" w:customStyle="1">
    <w:name w:val="Bordered"/>
    <w:basedOn w:val="82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Pr>
    <w:tblStylePr w:type="band1Horz">
      <w:rPr>
        <w:rFonts w:ascii="New York" w:hAnsi="New Yor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8" w:customStyle="1">
    <w:name w:val="List Table 5 Dark - Accent 3"/>
    <w:basedOn w:val="821"/>
    <w:uiPriority w:val="99"/>
    <w:qFormat/>
    <w:tblPr>
      <w:tblBorders>
        <w:top w:val="single" w:color="C9C9C9" w:sz="32" w:space="0"/>
        <w:left w:val="single" w:color="C9C9C9" w:sz="32" w:space="0"/>
        <w:bottom w:val="single" w:color="C9C9C9" w:sz="32" w:space="0"/>
        <w:right w:val="single" w:color="C9C9C9" w:sz="32" w:space="0"/>
      </w:tblBorders>
      <w:tblLayout w:type="fixed"/>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109" w:customStyle="1">
    <w:name w:val="List Table 7 Colorful - Accent 3"/>
    <w:basedOn w:val="821"/>
    <w:uiPriority w:val="99"/>
    <w:qFormat/>
    <w:tblPr>
      <w:tblBorders>
        <w:right w:val="single" w:color="C9C9C9" w:sz="4" w:space="0"/>
      </w:tblBorders>
      <w:tblLayout w:type="fixed"/>
    </w:tblPr>
    <w:tblStylePr w:type="band1Horz">
      <w:rPr>
        <w:rFonts w:ascii="New York" w:hAnsi="New York"/>
        <w:color w:val="c9c9c9"/>
        <w:sz w:val="22"/>
      </w:rPr>
      <w:tcPr>
        <w:shd w:val="clear" w:color="e8e8e8" w:fill="e8e8e8"/>
      </w:tcPr>
    </w:tblStylePr>
    <w:tblStylePr w:type="band1Vert">
      <w:tcPr>
        <w:shd w:val="clear" w:color="e8e8e8" w:fill="e8e8e8"/>
      </w:tcPr>
    </w:tblStylePr>
    <w:tblStylePr w:type="band2Horz">
      <w:rPr>
        <w:rFonts w:ascii="New York" w:hAnsi="New York"/>
        <w:color w:val="c9c9c9"/>
        <w:sz w:val="22"/>
      </w:rPr>
    </w:tblStylePr>
    <w:tblStylePr w:type="firstCol">
      <w:rPr>
        <w:rFonts w:ascii="New York" w:hAnsi="New York"/>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New York" w:hAnsi="New York"/>
        <w:i/>
        <w:color w:val="c9c9c9"/>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New York" w:hAnsi="New York"/>
        <w:i/>
        <w:color w:val="c9c9c9"/>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c9c9c9"/>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0" w:customStyle="1">
    <w:name w:val="List Table 7 Colorful - Accent 1"/>
    <w:basedOn w:val="821"/>
    <w:uiPriority w:val="99"/>
    <w:qFormat/>
    <w:tblPr>
      <w:tblBorders>
        <w:right w:val="single" w:color="5B9BD5" w:sz="4" w:space="0"/>
      </w:tblBorders>
      <w:tblLayout w:type="fixed"/>
    </w:tblPr>
    <w:tblStylePr w:type="band1Horz">
      <w:rPr>
        <w:rFonts w:ascii="New York" w:hAnsi="New York"/>
        <w:color w:val="245b8c"/>
        <w:sz w:val="22"/>
      </w:rPr>
      <w:tcPr>
        <w:shd w:val="clear" w:color="d5e5f4" w:fill="d5e5f4"/>
      </w:tcPr>
    </w:tblStylePr>
    <w:tblStylePr w:type="band1Vert">
      <w:tcPr>
        <w:shd w:val="clear" w:color="d5e5f4" w:fill="d5e5f4"/>
      </w:tcPr>
    </w:tblStylePr>
    <w:tblStylePr w:type="band2Horz">
      <w:rPr>
        <w:rFonts w:ascii="New York" w:hAnsi="New York"/>
        <w:color w:val="245b8c"/>
        <w:sz w:val="22"/>
      </w:rPr>
    </w:tblStylePr>
    <w:tblStylePr w:type="firstCol">
      <w:rPr>
        <w:rFonts w:ascii="New York" w:hAnsi="New York"/>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New York" w:hAnsi="New York"/>
        <w:i/>
        <w:color w:val="245b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New York" w:hAnsi="New York"/>
        <w:i/>
        <w:color w:val="245b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245b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Bordered - Accent 3"/>
    <w:basedOn w:val="82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Layout w:type="fixed"/>
    </w:tblPr>
    <w:tblStylePr w:type="band1Horz">
      <w:rPr>
        <w:rFonts w:ascii="New York" w:hAnsi="New York"/>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2" w:customStyle="1">
    <w:name w:val="清单表 5 深色2"/>
    <w:basedOn w:val="821"/>
    <w:uiPriority w:val="99"/>
    <w:qFormat/>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113" w:customStyle="1">
    <w:name w:val="Bordered - Accent 4"/>
    <w:basedOn w:val="82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Layout w:type="fixed"/>
    </w:tblPr>
    <w:tblStylePr w:type="band1Horz">
      <w:rPr>
        <w:rFonts w:ascii="New York" w:hAnsi="New York"/>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List Table 2 - Accent 4"/>
    <w:basedOn w:val="821"/>
    <w:uiPriority w:val="99"/>
    <w:qFormat/>
    <w:tblPr>
      <w:tblBorders>
        <w:top w:val="single" w:color="FFDB6E" w:sz="4" w:space="0"/>
        <w:bottom w:val="single" w:color="FFDB6E" w:sz="4" w:space="0"/>
        <w:insideH w:val="single" w:color="FFDB6E" w:sz="4" w:space="0"/>
      </w:tblBorders>
      <w:tblLayout w:type="fixed"/>
    </w:tblPr>
    <w:tblStylePr w:type="band1Horz">
      <w:rPr>
        <w:rFonts w:ascii="New York" w:hAnsi="New York"/>
        <w:color w:val="404040"/>
        <w:sz w:val="22"/>
      </w:rPr>
      <w:tcPr>
        <w:shd w:val="clear" w:color="ffefbe" w:fill="ffefbe"/>
      </w:tcPr>
    </w:tblStylePr>
    <w:tblStylePr w:type="band1Vert">
      <w:rPr>
        <w:rFonts w:ascii="New York" w:hAnsi="New York"/>
        <w:color w:val="404040"/>
        <w:sz w:val="22"/>
      </w:rPr>
      <w:tcPr>
        <w:shd w:val="clear" w:color="ffefbe" w:fill="ffefb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115" w:customStyle="1">
    <w:name w:val="Grid Table 4 - Accent 1"/>
    <w:basedOn w:val="82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Layout w:type="fixed"/>
    </w:tblPr>
    <w:tblStylePr w:type="band1Horz">
      <w:rPr>
        <w:rFonts w:ascii="New York" w:hAnsi="New York"/>
        <w:color w:val="404040"/>
        <w:sz w:val="22"/>
      </w:rPr>
      <w:tcPr>
        <w:shd w:val="clear" w:color="deebf6" w:fill="deebf6"/>
      </w:tcPr>
    </w:tblStylePr>
    <w:tblStylePr w:type="band1Vert">
      <w:rPr>
        <w:rFonts w:ascii="New York" w:hAnsi="New York"/>
        <w:color w:val="404040"/>
        <w:sz w:val="22"/>
      </w:rPr>
      <w:tcPr>
        <w:shd w:val="clear" w:color="deebf6" w:fill="deebf6"/>
      </w:tcPr>
    </w:tblStylePr>
    <w:tblStylePr w:type="firstCol">
      <w:rPr>
        <w:b/>
        <w:color w:val="404040"/>
      </w:rPr>
    </w:tblStylePr>
    <w:tblStylePr w:type="firstRow">
      <w:rPr>
        <w:rFonts w:ascii="New York" w:hAnsi="New York"/>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Grid Table 2 - Accent 2"/>
    <w:basedOn w:val="821"/>
    <w:uiPriority w:val="99"/>
    <w:qFormat/>
    <w:tblPr>
      <w:tblBorders>
        <w:bottom w:val="single" w:color="F4B285" w:sz="4" w:space="0"/>
        <w:insideH w:val="single" w:color="F4B285" w:sz="4" w:space="0"/>
        <w:insideV w:val="single" w:color="F4B285" w:sz="4" w:space="0"/>
      </w:tblBorders>
      <w:tblLayout w:type="fixed"/>
    </w:tblPr>
    <w:tblStylePr w:type="band1Horz">
      <w:rPr>
        <w:rFonts w:ascii="New York" w:hAnsi="New York"/>
        <w:color w:val="404040"/>
        <w:sz w:val="22"/>
      </w:rPr>
      <w:tcPr>
        <w:shd w:val="clear" w:color="fbe5d6" w:fill="fbe5d6"/>
      </w:tcPr>
    </w:tblStylePr>
    <w:tblStylePr w:type="band1Vert">
      <w:rPr>
        <w:rFonts w:ascii="New York" w:hAnsi="New York"/>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7" w:customStyle="1">
    <w:name w:val="Grid Table 5 Dark - Accent 2"/>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6c3a0" w:fill="f6c3a0"/>
      </w:tcPr>
    </w:tblStylePr>
    <w:tblStylePr w:type="band1Vert">
      <w:tcPr>
        <w:shd w:val="clear" w:color="f6c3a0" w:fill="f6c3a0"/>
      </w:tcPr>
    </w:tblStylePr>
    <w:tblStylePr w:type="firstCol">
      <w:rPr>
        <w:rFonts w:ascii="New York" w:hAnsi="New York"/>
        <w:b/>
        <w:color w:val="ffffff"/>
        <w:sz w:val="22"/>
      </w:rPr>
      <w:tcPr>
        <w:shd w:val="clear" w:color="ed7d31" w:fill="ed7d31"/>
      </w:tcPr>
    </w:tblStylePr>
    <w:tblStylePr w:type="firstRow">
      <w:rPr>
        <w:rFonts w:ascii="New York" w:hAnsi="New York"/>
        <w:b/>
        <w:color w:val="ffffff"/>
        <w:sz w:val="22"/>
      </w:rPr>
      <w:tcPr>
        <w:shd w:val="clear" w:color="ed7d31" w:fill="ed7d31"/>
      </w:tcPr>
    </w:tblStylePr>
    <w:tblStylePr w:type="lastCol">
      <w:rPr>
        <w:rFonts w:ascii="New York" w:hAnsi="New York"/>
        <w:b/>
        <w:color w:val="ffffff"/>
        <w:sz w:val="22"/>
      </w:rPr>
      <w:tcPr>
        <w:shd w:val="clear" w:color="ed7d31" w:fill="ed7d31"/>
      </w:tcPr>
    </w:tblStylePr>
    <w:tblStylePr w:type="lastRow">
      <w:rPr>
        <w:rFonts w:ascii="New York" w:hAnsi="New York"/>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江苏国双</cp:lastModifiedBy>
  <cp:revision>9</cp:revision>
  <dcterms:created xsi:type="dcterms:W3CDTF">2026-09-17T01:25:00Z</dcterms:created>
  <dcterms:modified xsi:type="dcterms:W3CDTF">2026-10-20T07:49:07Z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3F89B62A953A403FA7C8926F53F98C6D_13</vt:lpwstr>
  </property>
  <property fmtid="{D5CDD505-2E9C-101B-9397-08002B2CF9AE}" pid="3" name="KSOProductBuildVer">
    <vt:lpwstr>2052-10.8.2.7072</vt:lpwstr>
  </property>
  <property fmtid="{D5CDD505-2E9C-101B-9397-08002B2CF9AE}" pid="4" name="KSOTemplateDocerSaveRecord">
    <vt:lpwstr>eyJoZGlkIjoiYWRiMTU5ODBlY2NiNzY3OTI1ZjEyY2JiNzE0NTFiZmYiLCJ1c2VySWQiOiIxMTM2Njc4ODcwIn0=</vt:lpwstr>
  </property>
</Properties>
</file>