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03FD00">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80" w:lineRule="auto"/>
        <w:ind w:firstLine="560"/>
        <w:textAlignment w:val="auto"/>
        <w:rPr>
          <w:rFonts w:hint="eastAsia" w:ascii="宋体" w:hAnsi="宋体" w:eastAsia="宋体" w:cs="宋体"/>
          <w:color w:val="000000"/>
          <w:sz w:val="28"/>
        </w:rPr>
      </w:pPr>
      <w:r>
        <w:rPr>
          <w:rFonts w:hint="eastAsia" w:ascii="宋体" w:hAnsi="宋体" w:eastAsia="宋体" w:cs="宋体"/>
          <w:color w:val="000000"/>
          <w:sz w:val="28"/>
        </w:rPr>
        <w:t>如有建议或意见，请以书面形式并加盖公章、注明联系人、联系方式，于202</w:t>
      </w:r>
      <w:r>
        <w:rPr>
          <w:rFonts w:hint="eastAsia" w:ascii="宋体" w:hAnsi="宋体" w:eastAsia="宋体" w:cs="宋体"/>
          <w:color w:val="000000"/>
          <w:sz w:val="28"/>
          <w:lang w:val="en-US" w:eastAsia="zh-CN"/>
        </w:rPr>
        <w:t>6</w:t>
      </w:r>
      <w:r>
        <w:rPr>
          <w:rFonts w:hint="eastAsia" w:ascii="宋体" w:hAnsi="宋体" w:eastAsia="宋体" w:cs="宋体"/>
          <w:color w:val="000000"/>
          <w:sz w:val="28"/>
        </w:rPr>
        <w:t>年</w:t>
      </w:r>
      <w:r>
        <w:rPr>
          <w:rFonts w:hint="eastAsia" w:ascii="宋体" w:hAnsi="宋体" w:eastAsia="宋体" w:cs="宋体"/>
          <w:color w:val="000000"/>
          <w:sz w:val="28"/>
          <w:lang w:val="en-US" w:eastAsia="zh-CN"/>
        </w:rPr>
        <w:t>10</w:t>
      </w:r>
      <w:r>
        <w:rPr>
          <w:rFonts w:hint="eastAsia" w:ascii="宋体" w:hAnsi="宋体" w:eastAsia="宋体" w:cs="宋体"/>
          <w:color w:val="000000"/>
          <w:sz w:val="28"/>
        </w:rPr>
        <w:t>月</w:t>
      </w:r>
      <w:r>
        <w:rPr>
          <w:rFonts w:hint="eastAsia" w:ascii="宋体" w:hAnsi="宋体" w:eastAsia="宋体" w:cs="宋体"/>
          <w:color w:val="000000"/>
          <w:sz w:val="28"/>
          <w:lang w:val="en-US" w:eastAsia="zh-CN"/>
        </w:rPr>
        <w:t>23</w:t>
      </w:r>
      <w:r>
        <w:rPr>
          <w:rFonts w:hint="eastAsia" w:ascii="宋体" w:hAnsi="宋体" w:eastAsia="宋体" w:cs="宋体"/>
          <w:color w:val="000000"/>
          <w:sz w:val="28"/>
        </w:rPr>
        <w:t>日17:00之前送至我单位，逾期不受理（如邮寄，202</w:t>
      </w:r>
      <w:r>
        <w:rPr>
          <w:rFonts w:hint="eastAsia" w:ascii="宋体" w:hAnsi="宋体" w:eastAsia="宋体" w:cs="宋体"/>
          <w:color w:val="000000"/>
          <w:sz w:val="28"/>
          <w:lang w:val="en-US" w:eastAsia="zh-CN"/>
        </w:rPr>
        <w:t>6</w:t>
      </w:r>
      <w:r>
        <w:rPr>
          <w:rFonts w:hint="eastAsia" w:ascii="宋体" w:hAnsi="宋体" w:eastAsia="宋体" w:cs="宋体"/>
          <w:color w:val="000000"/>
          <w:sz w:val="28"/>
        </w:rPr>
        <w:t>年</w:t>
      </w:r>
      <w:r>
        <w:rPr>
          <w:rFonts w:hint="eastAsia" w:ascii="宋体" w:hAnsi="宋体" w:eastAsia="宋体" w:cs="宋体"/>
          <w:color w:val="000000"/>
          <w:sz w:val="28"/>
          <w:lang w:val="en-US" w:eastAsia="zh-CN"/>
        </w:rPr>
        <w:t>10</w:t>
      </w:r>
      <w:r>
        <w:rPr>
          <w:rFonts w:hint="eastAsia" w:ascii="宋体" w:hAnsi="宋体" w:eastAsia="宋体" w:cs="宋体"/>
          <w:color w:val="000000"/>
          <w:sz w:val="28"/>
        </w:rPr>
        <w:t>月</w:t>
      </w:r>
      <w:r>
        <w:rPr>
          <w:rFonts w:hint="eastAsia" w:ascii="宋体" w:hAnsi="宋体" w:eastAsia="宋体" w:cs="宋体"/>
          <w:color w:val="000000"/>
          <w:sz w:val="28"/>
          <w:lang w:val="en-US" w:eastAsia="zh-CN"/>
        </w:rPr>
        <w:t>23</w:t>
      </w:r>
      <w:r>
        <w:rPr>
          <w:rFonts w:hint="eastAsia" w:ascii="宋体" w:hAnsi="宋体" w:eastAsia="宋体" w:cs="宋体"/>
          <w:color w:val="000000"/>
          <w:sz w:val="28"/>
        </w:rPr>
        <w:t>日17:00之后到达本公司的邮件将不再受理）。</w:t>
      </w:r>
    </w:p>
    <w:p w14:paraId="246FE6B5">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80" w:lineRule="auto"/>
        <w:ind w:firstLine="560"/>
        <w:textAlignment w:val="auto"/>
        <w:rPr>
          <w:rFonts w:hint="eastAsia" w:ascii="宋体" w:hAnsi="宋体" w:eastAsia="宋体" w:cs="宋体"/>
          <w:color w:val="000000"/>
          <w:sz w:val="28"/>
        </w:rPr>
      </w:pPr>
    </w:p>
    <w:p w14:paraId="6AAF00B2">
      <w:pPr>
        <w:pStyle w:val="2"/>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80" w:lineRule="auto"/>
        <w:textAlignment w:val="auto"/>
        <w:rPr>
          <w:rFonts w:ascii="宋体" w:hAnsi="宋体" w:eastAsia="宋体" w:cs="宋体"/>
          <w:b/>
          <w:color w:val="000000"/>
          <w:sz w:val="36"/>
        </w:rPr>
      </w:pPr>
    </w:p>
    <w:p w14:paraId="36FA4C75">
      <w:pPr>
        <w:bidi w:val="0"/>
        <w:rPr>
          <w:rFonts w:ascii="宋体" w:hAnsi="宋体" w:eastAsia="宋体" w:cs="宋体"/>
          <w:b/>
          <w:color w:val="000000"/>
          <w:sz w:val="36"/>
        </w:rPr>
      </w:pPr>
    </w:p>
    <w:p w14:paraId="6EEA07F2">
      <w:pPr>
        <w:bidi w:val="0"/>
        <w:rPr>
          <w:rFonts w:ascii="宋体" w:hAnsi="宋体" w:eastAsia="宋体" w:cs="宋体"/>
          <w:b/>
          <w:color w:val="000000"/>
          <w:sz w:val="36"/>
        </w:rPr>
      </w:pPr>
    </w:p>
    <w:p w14:paraId="0C939E58">
      <w:pPr>
        <w:bidi w:val="0"/>
        <w:rPr>
          <w:rFonts w:ascii="宋体" w:hAnsi="宋体" w:eastAsia="宋体" w:cs="宋体"/>
          <w:b/>
          <w:color w:val="000000"/>
          <w:sz w:val="36"/>
        </w:rPr>
      </w:pPr>
    </w:p>
    <w:p w14:paraId="522673AE">
      <w:pPr>
        <w:bidi w:val="0"/>
        <w:jc w:val="center"/>
      </w:pPr>
      <w:r>
        <w:rPr>
          <w:rFonts w:ascii="宋体" w:hAnsi="宋体" w:eastAsia="宋体" w:cs="宋体"/>
          <w:b/>
          <w:color w:val="000000"/>
          <w:sz w:val="36"/>
        </w:rPr>
        <w:br w:type="page"/>
      </w:r>
      <w:r>
        <w:rPr>
          <w:rFonts w:ascii="宋体" w:hAnsi="宋体" w:eastAsia="宋体" w:cs="宋体"/>
          <w:b/>
          <w:bCs/>
          <w:color w:val="000000"/>
          <w:sz w:val="40"/>
          <w:szCs w:val="40"/>
        </w:rPr>
        <w:t>采购需求</w:t>
      </w:r>
    </w:p>
    <w:p w14:paraId="2830C5E2">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240" w:after="240" w:line="400" w:lineRule="exact"/>
        <w:ind w:firstLine="600"/>
        <w:textAlignment w:val="auto"/>
        <w:rPr>
          <w:rFonts w:hint="eastAsia" w:ascii="宋体" w:hAnsi="宋体" w:eastAsia="宋体" w:cs="宋体"/>
          <w:sz w:val="24"/>
          <w:szCs w:val="24"/>
        </w:rPr>
      </w:pPr>
      <w:r>
        <w:rPr>
          <w:rFonts w:hint="eastAsia" w:ascii="宋体" w:hAnsi="宋体" w:eastAsia="宋体" w:cs="宋体"/>
          <w:b/>
          <w:color w:val="000000"/>
          <w:sz w:val="24"/>
          <w:szCs w:val="24"/>
        </w:rPr>
        <w:t>一、采购标的</w:t>
      </w:r>
    </w:p>
    <w:p w14:paraId="7224499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1.项目名称：新沂市卫生体系医疗设备提升工程（医用磁共振设备）采购项目，</w:t>
      </w:r>
      <w:r>
        <w:rPr>
          <w:rFonts w:hint="eastAsia" w:ascii="宋体" w:hAnsi="宋体" w:eastAsia="宋体" w:cs="宋体"/>
          <w:color w:val="000000"/>
          <w:sz w:val="24"/>
          <w:szCs w:val="24"/>
          <w:lang w:eastAsia="zh-CN"/>
        </w:rPr>
        <w:t>1.5T核磁共振（MRI）</w:t>
      </w:r>
      <w:r>
        <w:rPr>
          <w:rFonts w:hint="eastAsia" w:ascii="宋体" w:hAnsi="宋体" w:eastAsia="宋体" w:cs="宋体"/>
          <w:color w:val="000000"/>
          <w:sz w:val="24"/>
          <w:szCs w:val="24"/>
        </w:rPr>
        <w:t>共3套，及其配套设备和服务，具体内容包括：设备的制造（采购）、</w:t>
      </w:r>
      <w:bookmarkStart w:id="0" w:name="_Hlk242707597"/>
      <w:r>
        <w:rPr>
          <w:rFonts w:hint="eastAsia" w:ascii="宋体" w:hAnsi="宋体" w:eastAsia="宋体" w:cs="宋体"/>
          <w:color w:val="000000"/>
          <w:sz w:val="24"/>
          <w:szCs w:val="24"/>
        </w:rPr>
        <w:t>运输、装卸、安装、调试、测试、售后服务、技术培训等</w:t>
      </w:r>
      <w:bookmarkEnd w:id="0"/>
      <w:r>
        <w:rPr>
          <w:rFonts w:hint="eastAsia" w:ascii="宋体" w:hAnsi="宋体" w:eastAsia="宋体" w:cs="宋体"/>
          <w:color w:val="000000"/>
          <w:sz w:val="24"/>
          <w:szCs w:val="24"/>
        </w:rPr>
        <w:t>，直至通过采购人及其他相关部门的验收以及质量保修、免费维保等全部工作。</w:t>
      </w:r>
    </w:p>
    <w:p w14:paraId="7528F60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2.本项目</w:t>
      </w:r>
      <w:r>
        <w:rPr>
          <w:rFonts w:hint="eastAsia" w:ascii="宋体" w:hAnsi="宋体" w:eastAsia="宋体" w:cs="宋体"/>
          <w:b/>
          <w:color w:val="000000"/>
          <w:sz w:val="24"/>
          <w:szCs w:val="24"/>
        </w:rPr>
        <w:t>不属于</w:t>
      </w:r>
      <w:r>
        <w:rPr>
          <w:rFonts w:hint="eastAsia" w:ascii="宋体" w:hAnsi="宋体" w:eastAsia="宋体" w:cs="宋体"/>
          <w:color w:val="000000"/>
          <w:sz w:val="24"/>
          <w:szCs w:val="24"/>
        </w:rPr>
        <w:t>专门面向中小企业采购的项目。</w:t>
      </w:r>
    </w:p>
    <w:p w14:paraId="3F747830">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3.对应的中小企业划分标准所属行业为</w:t>
      </w:r>
      <w:r>
        <w:rPr>
          <w:rFonts w:hint="eastAsia" w:ascii="宋体" w:hAnsi="宋体" w:eastAsia="宋体" w:cs="宋体"/>
          <w:b/>
          <w:color w:val="000000"/>
          <w:sz w:val="24"/>
          <w:szCs w:val="24"/>
        </w:rPr>
        <w:t>工业</w:t>
      </w:r>
      <w:r>
        <w:rPr>
          <w:rFonts w:hint="eastAsia" w:ascii="宋体" w:hAnsi="宋体" w:eastAsia="宋体" w:cs="宋体"/>
          <w:color w:val="000000"/>
          <w:sz w:val="24"/>
          <w:szCs w:val="24"/>
        </w:rPr>
        <w:t>。</w:t>
      </w:r>
    </w:p>
    <w:p w14:paraId="7233A213">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firstLine="56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注：中小企业划分标准所属行业以《工业和信息化部、国家统计局、国家发展和改革委员会、财政部关于印发中小企业划型标准规定的通知》（工信部联企业[2011]300号）的规定为准：（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41DDAE89">
      <w:pPr>
        <w:pageBreakBefore w:val="0"/>
        <w:widowControl/>
        <w:pBdr>
          <w:top w:val="none" w:color="000000" w:sz="0" w:space="0"/>
          <w:left w:val="none" w:color="000000" w:sz="0" w:space="0"/>
          <w:bottom w:val="none" w:color="000000" w:sz="0" w:space="0"/>
          <w:right w:val="none" w:color="000000" w:sz="0" w:space="0"/>
        </w:pBdr>
        <w:tabs>
          <w:tab w:val="left" w:pos="879"/>
        </w:tabs>
        <w:kinsoku/>
        <w:wordWrap/>
        <w:overflowPunct/>
        <w:topLinePunct w:val="0"/>
        <w:autoSpaceDE/>
        <w:autoSpaceDN/>
        <w:bidi w:val="0"/>
        <w:adjustRightInd/>
        <w:snapToGrid/>
        <w:spacing w:line="400" w:lineRule="exact"/>
        <w:ind w:left="560"/>
        <w:textAlignment w:val="auto"/>
        <w:rPr>
          <w:rFonts w:hint="eastAsia" w:ascii="宋体" w:hAnsi="宋体" w:eastAsia="宋体" w:cs="宋体"/>
          <w:b/>
          <w:bCs/>
          <w:sz w:val="24"/>
          <w:szCs w:val="24"/>
        </w:rPr>
      </w:pPr>
      <w:r>
        <w:rPr>
          <w:rFonts w:hint="eastAsia" w:ascii="宋体" w:hAnsi="宋体" w:eastAsia="宋体" w:cs="宋体"/>
          <w:b/>
          <w:bCs/>
          <w:sz w:val="24"/>
          <w:szCs w:val="24"/>
        </w:rPr>
        <w:t>4.维修保证：原厂免费质保期≥3年。</w:t>
      </w:r>
    </w:p>
    <w:p w14:paraId="3CCAB29F">
      <w:pPr>
        <w:pageBreakBefore w:val="0"/>
        <w:widowControl/>
        <w:pBdr>
          <w:top w:val="none" w:color="000000" w:sz="0" w:space="0"/>
          <w:left w:val="none" w:color="000000" w:sz="0" w:space="0"/>
          <w:bottom w:val="none" w:color="000000" w:sz="0" w:space="0"/>
          <w:right w:val="none" w:color="000000" w:sz="0" w:space="0"/>
        </w:pBdr>
        <w:tabs>
          <w:tab w:val="left" w:pos="879"/>
        </w:tabs>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color w:val="FF0000"/>
          <w:sz w:val="24"/>
          <w:szCs w:val="24"/>
        </w:rPr>
      </w:pPr>
      <w:r>
        <w:rPr>
          <w:rFonts w:hint="eastAsia" w:ascii="宋体" w:hAnsi="宋体" w:eastAsia="宋体" w:cs="宋体"/>
          <w:b/>
          <w:bCs/>
          <w:sz w:val="24"/>
          <w:szCs w:val="24"/>
        </w:rPr>
        <w:t>5.设备使用年限：</w:t>
      </w:r>
      <w:r>
        <w:rPr>
          <w:rFonts w:hint="eastAsia" w:ascii="宋体" w:hAnsi="宋体" w:eastAsia="宋体" w:cs="宋体"/>
          <w:color w:val="FF0000"/>
          <w:sz w:val="24"/>
          <w:szCs w:val="24"/>
        </w:rPr>
        <w:t>投标书提供的产品设计使用年限</w:t>
      </w:r>
      <w:r>
        <w:rPr>
          <w:rFonts w:hint="eastAsia" w:ascii="宋体" w:hAnsi="宋体" w:eastAsia="宋体" w:cs="宋体"/>
          <w:b/>
          <w:bCs/>
          <w:sz w:val="24"/>
          <w:szCs w:val="24"/>
        </w:rPr>
        <w:t>≥</w:t>
      </w:r>
      <w:r>
        <w:rPr>
          <w:rFonts w:hint="eastAsia" w:ascii="宋体" w:hAnsi="宋体" w:eastAsia="宋体" w:cs="宋体"/>
          <w:color w:val="FF0000"/>
          <w:sz w:val="24"/>
          <w:szCs w:val="24"/>
        </w:rPr>
        <w:t>10年；（提供相关佐证材料）</w:t>
      </w:r>
    </w:p>
    <w:p w14:paraId="1B84A07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firstLine="560"/>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.采购清单：</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4530"/>
        <w:gridCol w:w="1159"/>
        <w:gridCol w:w="1337"/>
      </w:tblGrid>
      <w:tr w14:paraId="2C94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969" w:type="dxa"/>
            <w:vAlign w:val="center"/>
          </w:tcPr>
          <w:p w14:paraId="4A0D8AB1">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4530" w:type="dxa"/>
            <w:vAlign w:val="center"/>
          </w:tcPr>
          <w:p w14:paraId="048E7362">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产品名称</w:t>
            </w:r>
          </w:p>
        </w:tc>
        <w:tc>
          <w:tcPr>
            <w:tcW w:w="1159" w:type="dxa"/>
            <w:vAlign w:val="center"/>
          </w:tcPr>
          <w:p w14:paraId="67ED2A3A">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数量</w:t>
            </w:r>
            <w:r>
              <w:rPr>
                <w:rFonts w:hint="eastAsia" w:ascii="宋体" w:hAnsi="宋体" w:eastAsia="宋体" w:cs="宋体"/>
                <w:sz w:val="24"/>
                <w:szCs w:val="24"/>
                <w:lang w:eastAsia="zh-CN"/>
              </w:rPr>
              <w:t>（套）</w:t>
            </w:r>
          </w:p>
        </w:tc>
        <w:tc>
          <w:tcPr>
            <w:tcW w:w="1337" w:type="dxa"/>
            <w:vAlign w:val="center"/>
          </w:tcPr>
          <w:p w14:paraId="1079D2AF">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备注</w:t>
            </w:r>
          </w:p>
        </w:tc>
      </w:tr>
      <w:tr w14:paraId="64802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9" w:type="dxa"/>
            <w:vAlign w:val="center"/>
          </w:tcPr>
          <w:p w14:paraId="4BC34E65">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4530" w:type="dxa"/>
            <w:vAlign w:val="center"/>
          </w:tcPr>
          <w:p w14:paraId="1EA363C4">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1.5T核磁共振主系统</w:t>
            </w:r>
          </w:p>
        </w:tc>
        <w:tc>
          <w:tcPr>
            <w:tcW w:w="1159" w:type="dxa"/>
            <w:vAlign w:val="center"/>
          </w:tcPr>
          <w:p w14:paraId="7D371F54">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3</w:t>
            </w:r>
          </w:p>
        </w:tc>
        <w:tc>
          <w:tcPr>
            <w:tcW w:w="1337" w:type="dxa"/>
            <w:vAlign w:val="center"/>
          </w:tcPr>
          <w:p w14:paraId="46B9E482">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p>
        </w:tc>
      </w:tr>
      <w:tr w14:paraId="4190D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9" w:type="dxa"/>
            <w:vAlign w:val="center"/>
          </w:tcPr>
          <w:p w14:paraId="5449E907">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p>
        </w:tc>
        <w:tc>
          <w:tcPr>
            <w:tcW w:w="4530" w:type="dxa"/>
            <w:vAlign w:val="center"/>
          </w:tcPr>
          <w:p w14:paraId="327D907A">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原厂采集工作站</w:t>
            </w:r>
          </w:p>
        </w:tc>
        <w:tc>
          <w:tcPr>
            <w:tcW w:w="1159" w:type="dxa"/>
            <w:vAlign w:val="center"/>
          </w:tcPr>
          <w:p w14:paraId="161C777B">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sz w:val="24"/>
                <w:szCs w:val="24"/>
                <w:lang w:val="en-US" w:eastAsia="zh-CN"/>
              </w:rPr>
              <w:t>3</w:t>
            </w:r>
          </w:p>
        </w:tc>
        <w:tc>
          <w:tcPr>
            <w:tcW w:w="1337" w:type="dxa"/>
            <w:vMerge w:val="restart"/>
            <w:vAlign w:val="center"/>
          </w:tcPr>
          <w:p w14:paraId="5D207762">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color w:val="FF0000"/>
                <w:sz w:val="24"/>
                <w:szCs w:val="24"/>
              </w:rPr>
              <w:t>除核磁共振主系统配套所含设备外，另行提供</w:t>
            </w:r>
          </w:p>
        </w:tc>
      </w:tr>
      <w:tr w14:paraId="44E5F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6BE0BCCC">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p>
        </w:tc>
        <w:tc>
          <w:tcPr>
            <w:tcW w:w="4530" w:type="dxa"/>
            <w:vAlign w:val="center"/>
          </w:tcPr>
          <w:p w14:paraId="27B7BC5F">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原厂后处理工作站</w:t>
            </w:r>
          </w:p>
        </w:tc>
        <w:tc>
          <w:tcPr>
            <w:tcW w:w="1159" w:type="dxa"/>
            <w:vAlign w:val="center"/>
          </w:tcPr>
          <w:p w14:paraId="4EC24F78">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sz w:val="24"/>
                <w:szCs w:val="24"/>
                <w:lang w:val="en-US" w:eastAsia="zh-CN"/>
              </w:rPr>
              <w:t>3</w:t>
            </w:r>
          </w:p>
        </w:tc>
        <w:tc>
          <w:tcPr>
            <w:tcW w:w="1337" w:type="dxa"/>
            <w:vMerge w:val="continue"/>
            <w:vAlign w:val="center"/>
          </w:tcPr>
          <w:p w14:paraId="0F6F88F6">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p>
        </w:tc>
      </w:tr>
      <w:tr w14:paraId="7FCD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45DE8443">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p>
        </w:tc>
        <w:tc>
          <w:tcPr>
            <w:tcW w:w="4530" w:type="dxa"/>
            <w:vAlign w:val="center"/>
          </w:tcPr>
          <w:p w14:paraId="0484CF31">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4M医用显示器</w:t>
            </w:r>
          </w:p>
        </w:tc>
        <w:tc>
          <w:tcPr>
            <w:tcW w:w="1159" w:type="dxa"/>
            <w:vAlign w:val="center"/>
          </w:tcPr>
          <w:p w14:paraId="760D3DE6">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color w:val="000000"/>
                <w:sz w:val="24"/>
                <w:szCs w:val="24"/>
                <w:lang w:val="en-US" w:eastAsia="zh-CN"/>
              </w:rPr>
              <w:t>3</w:t>
            </w:r>
          </w:p>
        </w:tc>
        <w:tc>
          <w:tcPr>
            <w:tcW w:w="1337" w:type="dxa"/>
            <w:vMerge w:val="continue"/>
            <w:vAlign w:val="center"/>
          </w:tcPr>
          <w:p w14:paraId="750C9C1C">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p>
        </w:tc>
      </w:tr>
      <w:tr w14:paraId="7CC33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152139EC">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p>
        </w:tc>
        <w:tc>
          <w:tcPr>
            <w:tcW w:w="4530" w:type="dxa"/>
            <w:vAlign w:val="center"/>
          </w:tcPr>
          <w:p w14:paraId="36B7CCA8">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操作台及桌椅</w:t>
            </w:r>
          </w:p>
        </w:tc>
        <w:tc>
          <w:tcPr>
            <w:tcW w:w="1159" w:type="dxa"/>
            <w:vAlign w:val="center"/>
          </w:tcPr>
          <w:p w14:paraId="44330C2B">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color w:val="000000"/>
                <w:sz w:val="24"/>
                <w:szCs w:val="24"/>
                <w:lang w:val="en-US" w:eastAsia="zh-CN"/>
              </w:rPr>
              <w:t>3</w:t>
            </w:r>
          </w:p>
        </w:tc>
        <w:tc>
          <w:tcPr>
            <w:tcW w:w="1337" w:type="dxa"/>
            <w:vMerge w:val="continue"/>
            <w:vAlign w:val="center"/>
          </w:tcPr>
          <w:p w14:paraId="75669DDE">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p>
        </w:tc>
      </w:tr>
      <w:tr w14:paraId="1965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68E534AA">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6</w:t>
            </w:r>
          </w:p>
        </w:tc>
        <w:tc>
          <w:tcPr>
            <w:tcW w:w="4530" w:type="dxa"/>
            <w:vAlign w:val="center"/>
          </w:tcPr>
          <w:p w14:paraId="3C2256C4">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无磁急救推车</w:t>
            </w:r>
          </w:p>
        </w:tc>
        <w:tc>
          <w:tcPr>
            <w:tcW w:w="1159" w:type="dxa"/>
            <w:vAlign w:val="center"/>
          </w:tcPr>
          <w:p w14:paraId="0C678475">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p>
        </w:tc>
        <w:tc>
          <w:tcPr>
            <w:tcW w:w="1337" w:type="dxa"/>
            <w:vAlign w:val="center"/>
          </w:tcPr>
          <w:p w14:paraId="7A513B84">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p>
        </w:tc>
      </w:tr>
      <w:tr w14:paraId="10A21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59A03B1C">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7</w:t>
            </w:r>
          </w:p>
        </w:tc>
        <w:tc>
          <w:tcPr>
            <w:tcW w:w="4530" w:type="dxa"/>
            <w:vAlign w:val="center"/>
          </w:tcPr>
          <w:p w14:paraId="730882BA">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无磁轮椅</w:t>
            </w:r>
          </w:p>
        </w:tc>
        <w:tc>
          <w:tcPr>
            <w:tcW w:w="1159" w:type="dxa"/>
            <w:vAlign w:val="center"/>
          </w:tcPr>
          <w:p w14:paraId="288C0671">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3</w:t>
            </w:r>
          </w:p>
        </w:tc>
        <w:tc>
          <w:tcPr>
            <w:tcW w:w="1337" w:type="dxa"/>
            <w:vAlign w:val="center"/>
          </w:tcPr>
          <w:p w14:paraId="1EDFF40B">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p>
        </w:tc>
      </w:tr>
      <w:tr w14:paraId="57AAD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9" w:type="dxa"/>
            <w:vAlign w:val="center"/>
          </w:tcPr>
          <w:p w14:paraId="369C020C">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8</w:t>
            </w:r>
          </w:p>
        </w:tc>
        <w:tc>
          <w:tcPr>
            <w:tcW w:w="4530" w:type="dxa"/>
            <w:vAlign w:val="center"/>
          </w:tcPr>
          <w:p w14:paraId="1A07465A">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双立柱</w:t>
            </w:r>
            <w:r>
              <w:rPr>
                <w:rFonts w:hint="eastAsia" w:ascii="宋体" w:hAnsi="宋体" w:eastAsia="宋体" w:cs="宋体"/>
                <w:sz w:val="24"/>
                <w:szCs w:val="24"/>
                <w:lang w:eastAsia="zh-CN"/>
              </w:rPr>
              <w:t>无磁</w:t>
            </w:r>
            <w:r>
              <w:rPr>
                <w:rFonts w:hint="eastAsia" w:ascii="宋体" w:hAnsi="宋体" w:eastAsia="宋体" w:cs="宋体"/>
                <w:sz w:val="24"/>
                <w:szCs w:val="24"/>
              </w:rPr>
              <w:t>金属</w:t>
            </w:r>
            <w:r>
              <w:rPr>
                <w:rFonts w:hint="eastAsia" w:ascii="宋体" w:hAnsi="宋体" w:eastAsia="宋体" w:cs="宋体"/>
                <w:sz w:val="24"/>
                <w:szCs w:val="24"/>
                <w:lang w:eastAsia="zh-CN"/>
              </w:rPr>
              <w:t>安检</w:t>
            </w:r>
            <w:r>
              <w:rPr>
                <w:rFonts w:hint="eastAsia" w:ascii="宋体" w:hAnsi="宋体" w:eastAsia="宋体" w:cs="宋体"/>
                <w:sz w:val="24"/>
                <w:szCs w:val="24"/>
              </w:rPr>
              <w:t>门</w:t>
            </w:r>
          </w:p>
        </w:tc>
        <w:tc>
          <w:tcPr>
            <w:tcW w:w="1159" w:type="dxa"/>
            <w:vAlign w:val="center"/>
          </w:tcPr>
          <w:p w14:paraId="2422A2D2">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3</w:t>
            </w:r>
          </w:p>
        </w:tc>
        <w:tc>
          <w:tcPr>
            <w:tcW w:w="1337" w:type="dxa"/>
            <w:vAlign w:val="center"/>
          </w:tcPr>
          <w:p w14:paraId="5FCD07A3">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p>
        </w:tc>
      </w:tr>
      <w:tr w14:paraId="3948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shd w:val="clear" w:color="auto" w:fill="auto"/>
            <w:vAlign w:val="center"/>
          </w:tcPr>
          <w:p w14:paraId="5EE65D65">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9</w:t>
            </w:r>
          </w:p>
        </w:tc>
        <w:tc>
          <w:tcPr>
            <w:tcW w:w="4530" w:type="dxa"/>
            <w:vAlign w:val="center"/>
          </w:tcPr>
          <w:p w14:paraId="75149C00">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手持金属探测</w:t>
            </w:r>
            <w:r>
              <w:rPr>
                <w:rFonts w:hint="eastAsia" w:ascii="宋体" w:hAnsi="宋体" w:eastAsia="宋体" w:cs="宋体"/>
                <w:sz w:val="24"/>
                <w:szCs w:val="24"/>
                <w:lang w:eastAsia="zh-CN"/>
              </w:rPr>
              <w:t>仪</w:t>
            </w:r>
          </w:p>
        </w:tc>
        <w:tc>
          <w:tcPr>
            <w:tcW w:w="1159" w:type="dxa"/>
            <w:vAlign w:val="center"/>
          </w:tcPr>
          <w:p w14:paraId="1FBFEDE2">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w:t>
            </w:r>
          </w:p>
        </w:tc>
        <w:tc>
          <w:tcPr>
            <w:tcW w:w="1337" w:type="dxa"/>
            <w:vAlign w:val="center"/>
          </w:tcPr>
          <w:p w14:paraId="197EF2C7">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p>
        </w:tc>
      </w:tr>
      <w:tr w14:paraId="4F629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shd w:val="clear" w:color="auto" w:fill="auto"/>
            <w:vAlign w:val="center"/>
          </w:tcPr>
          <w:p w14:paraId="512C1F08">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10</w:t>
            </w:r>
          </w:p>
        </w:tc>
        <w:tc>
          <w:tcPr>
            <w:tcW w:w="4530" w:type="dxa"/>
            <w:vAlign w:val="center"/>
          </w:tcPr>
          <w:p w14:paraId="24AF4D80">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无磁灭火器</w:t>
            </w:r>
          </w:p>
        </w:tc>
        <w:tc>
          <w:tcPr>
            <w:tcW w:w="1159" w:type="dxa"/>
            <w:vAlign w:val="center"/>
          </w:tcPr>
          <w:p w14:paraId="743CE7EF">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3</w:t>
            </w:r>
          </w:p>
        </w:tc>
        <w:tc>
          <w:tcPr>
            <w:tcW w:w="1337" w:type="dxa"/>
            <w:vAlign w:val="center"/>
          </w:tcPr>
          <w:p w14:paraId="5F9AC41E">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p>
        </w:tc>
      </w:tr>
      <w:tr w14:paraId="337F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shd w:val="clear" w:color="auto" w:fill="auto"/>
            <w:vAlign w:val="center"/>
          </w:tcPr>
          <w:p w14:paraId="1513E56F">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11</w:t>
            </w:r>
          </w:p>
        </w:tc>
        <w:tc>
          <w:tcPr>
            <w:tcW w:w="4530" w:type="dxa"/>
            <w:vAlign w:val="center"/>
          </w:tcPr>
          <w:p w14:paraId="37559F87">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rPr>
              <w:t>无磁</w:t>
            </w:r>
            <w:r>
              <w:rPr>
                <w:rFonts w:hint="eastAsia" w:ascii="宋体" w:hAnsi="宋体" w:eastAsia="宋体" w:cs="宋体"/>
                <w:sz w:val="24"/>
                <w:szCs w:val="24"/>
              </w:rPr>
              <w:t>线圈柜</w:t>
            </w:r>
          </w:p>
        </w:tc>
        <w:tc>
          <w:tcPr>
            <w:tcW w:w="1159" w:type="dxa"/>
            <w:vAlign w:val="center"/>
          </w:tcPr>
          <w:p w14:paraId="6AD5CD77">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3</w:t>
            </w:r>
          </w:p>
        </w:tc>
        <w:tc>
          <w:tcPr>
            <w:tcW w:w="1337" w:type="dxa"/>
            <w:vAlign w:val="center"/>
          </w:tcPr>
          <w:p w14:paraId="27383CC0">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p>
        </w:tc>
      </w:tr>
      <w:tr w14:paraId="44FCF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69" w:type="dxa"/>
            <w:shd w:val="clear" w:color="auto" w:fill="auto"/>
            <w:vAlign w:val="center"/>
          </w:tcPr>
          <w:p w14:paraId="39DC56B3">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12</w:t>
            </w:r>
          </w:p>
        </w:tc>
        <w:tc>
          <w:tcPr>
            <w:tcW w:w="4530" w:type="dxa"/>
            <w:vAlign w:val="center"/>
          </w:tcPr>
          <w:p w14:paraId="54F6F5CE">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UPS不间断电源</w:t>
            </w:r>
          </w:p>
        </w:tc>
        <w:tc>
          <w:tcPr>
            <w:tcW w:w="1159" w:type="dxa"/>
            <w:vAlign w:val="center"/>
          </w:tcPr>
          <w:p w14:paraId="2140C571">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3</w:t>
            </w:r>
          </w:p>
        </w:tc>
        <w:tc>
          <w:tcPr>
            <w:tcW w:w="1337" w:type="dxa"/>
            <w:vAlign w:val="center"/>
          </w:tcPr>
          <w:p w14:paraId="4CE33F37">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p>
        </w:tc>
      </w:tr>
      <w:tr w14:paraId="21A8D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shd w:val="clear" w:color="auto" w:fill="auto"/>
            <w:vAlign w:val="center"/>
          </w:tcPr>
          <w:p w14:paraId="38E433D0">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13</w:t>
            </w:r>
          </w:p>
        </w:tc>
        <w:tc>
          <w:tcPr>
            <w:tcW w:w="4530" w:type="dxa"/>
            <w:vAlign w:val="center"/>
          </w:tcPr>
          <w:p w14:paraId="25A494DF">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水冷机组</w:t>
            </w:r>
          </w:p>
        </w:tc>
        <w:tc>
          <w:tcPr>
            <w:tcW w:w="1159" w:type="dxa"/>
            <w:vAlign w:val="center"/>
          </w:tcPr>
          <w:p w14:paraId="35EFEE7A">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3</w:t>
            </w:r>
          </w:p>
        </w:tc>
        <w:tc>
          <w:tcPr>
            <w:tcW w:w="1337" w:type="dxa"/>
            <w:vAlign w:val="center"/>
          </w:tcPr>
          <w:p w14:paraId="509C9264">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p>
        </w:tc>
      </w:tr>
      <w:tr w14:paraId="7ACE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shd w:val="clear" w:color="auto" w:fill="auto"/>
            <w:vAlign w:val="center"/>
          </w:tcPr>
          <w:p w14:paraId="6587707B">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14</w:t>
            </w:r>
          </w:p>
        </w:tc>
        <w:tc>
          <w:tcPr>
            <w:tcW w:w="4530" w:type="dxa"/>
            <w:vAlign w:val="center"/>
          </w:tcPr>
          <w:p w14:paraId="17F31CCA">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机房精密空调</w:t>
            </w:r>
          </w:p>
        </w:tc>
        <w:tc>
          <w:tcPr>
            <w:tcW w:w="1159" w:type="dxa"/>
            <w:vAlign w:val="center"/>
          </w:tcPr>
          <w:p w14:paraId="64A43FC2">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3</w:t>
            </w:r>
          </w:p>
        </w:tc>
        <w:tc>
          <w:tcPr>
            <w:tcW w:w="1337" w:type="dxa"/>
            <w:vAlign w:val="center"/>
          </w:tcPr>
          <w:p w14:paraId="0C2ECF2B">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p>
        </w:tc>
      </w:tr>
      <w:tr w14:paraId="330EE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shd w:val="clear" w:color="auto" w:fill="auto"/>
            <w:vAlign w:val="center"/>
          </w:tcPr>
          <w:p w14:paraId="5B864CB0">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15</w:t>
            </w:r>
          </w:p>
        </w:tc>
        <w:tc>
          <w:tcPr>
            <w:tcW w:w="4530" w:type="dxa"/>
            <w:vAlign w:val="center"/>
          </w:tcPr>
          <w:p w14:paraId="4A38EFDA">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color w:val="000000"/>
                <w:sz w:val="24"/>
                <w:szCs w:val="24"/>
              </w:rPr>
              <w:t>无磁监控</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lang w:eastAsia="zh-CN"/>
              </w:rPr>
              <w:t>套、每套包含两个摄像头）</w:t>
            </w:r>
          </w:p>
        </w:tc>
        <w:tc>
          <w:tcPr>
            <w:tcW w:w="1159" w:type="dxa"/>
            <w:vAlign w:val="center"/>
          </w:tcPr>
          <w:p w14:paraId="055657F7">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p>
        </w:tc>
        <w:tc>
          <w:tcPr>
            <w:tcW w:w="1337" w:type="dxa"/>
            <w:vAlign w:val="center"/>
          </w:tcPr>
          <w:p w14:paraId="5C794312">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p>
        </w:tc>
      </w:tr>
      <w:tr w14:paraId="19A08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5DC2AB92">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w:t>
            </w:r>
          </w:p>
        </w:tc>
        <w:tc>
          <w:tcPr>
            <w:tcW w:w="4530" w:type="dxa"/>
            <w:vAlign w:val="center"/>
          </w:tcPr>
          <w:p w14:paraId="103CF5AE">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磁共振兼容双筒高压注射器</w:t>
            </w:r>
            <w:r>
              <w:rPr>
                <w:rFonts w:hint="eastAsia" w:ascii="宋体" w:hAnsi="宋体" w:eastAsia="宋体" w:cs="宋体"/>
                <w:color w:val="000000"/>
                <w:sz w:val="24"/>
                <w:szCs w:val="24"/>
                <w:lang w:eastAsia="zh-CN"/>
              </w:rPr>
              <w:t>（无磁）</w:t>
            </w:r>
          </w:p>
        </w:tc>
        <w:tc>
          <w:tcPr>
            <w:tcW w:w="1159" w:type="dxa"/>
            <w:vAlign w:val="center"/>
          </w:tcPr>
          <w:p w14:paraId="0DA9CE6F">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3</w:t>
            </w:r>
          </w:p>
        </w:tc>
        <w:tc>
          <w:tcPr>
            <w:tcW w:w="1337" w:type="dxa"/>
            <w:vAlign w:val="center"/>
          </w:tcPr>
          <w:p w14:paraId="466130F8">
            <w:pPr>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p>
        </w:tc>
      </w:tr>
    </w:tbl>
    <w:p w14:paraId="39D3DC98">
      <w:pPr>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firstLine="560"/>
        <w:textAlignment w:val="auto"/>
        <w:rPr>
          <w:rFonts w:hint="eastAsia" w:ascii="宋体" w:hAnsi="宋体" w:eastAsia="宋体" w:cs="宋体"/>
          <w:b/>
          <w:bCs/>
          <w:sz w:val="24"/>
          <w:szCs w:val="24"/>
        </w:rPr>
      </w:pPr>
      <w:r>
        <w:rPr>
          <w:rFonts w:hint="eastAsia" w:ascii="宋体" w:hAnsi="宋体" w:eastAsia="宋体" w:cs="宋体"/>
          <w:color w:val="000000"/>
          <w:sz w:val="24"/>
          <w:szCs w:val="24"/>
        </w:rPr>
        <w:t> </w:t>
      </w:r>
      <w:r>
        <w:rPr>
          <w:rFonts w:hint="eastAsia" w:ascii="宋体" w:hAnsi="宋体" w:eastAsia="宋体" w:cs="宋体"/>
          <w:b/>
          <w:bCs/>
          <w:sz w:val="24"/>
          <w:szCs w:val="24"/>
        </w:rPr>
        <w:t>备注：所配软件为投标机型最新软件版本，主机所有软件及功能模块须全部开放（含选配），终身免费升级、免费使用，提供相应承诺并盖章（格式自拟）</w:t>
      </w:r>
      <w:r>
        <w:rPr>
          <w:rFonts w:hint="eastAsia" w:ascii="宋体" w:hAnsi="宋体" w:eastAsia="宋体" w:cs="宋体"/>
          <w:b/>
          <w:bCs/>
          <w:color w:val="auto"/>
          <w:sz w:val="24"/>
          <w:szCs w:val="24"/>
        </w:rPr>
        <w:t>，</w:t>
      </w:r>
      <w:r>
        <w:rPr>
          <w:rFonts w:hint="eastAsia" w:ascii="宋体" w:hAnsi="宋体" w:eastAsia="宋体" w:cs="宋体"/>
          <w:b/>
          <w:color w:val="auto"/>
          <w:sz w:val="24"/>
          <w:szCs w:val="24"/>
        </w:rPr>
        <w:t>否则按无效投标处理）</w:t>
      </w:r>
    </w:p>
    <w:p w14:paraId="0FC2988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240" w:after="240" w:line="400" w:lineRule="exact"/>
        <w:ind w:firstLine="600"/>
        <w:textAlignment w:val="auto"/>
        <w:rPr>
          <w:rFonts w:hint="eastAsia" w:ascii="宋体" w:hAnsi="宋体" w:eastAsia="宋体" w:cs="宋体"/>
          <w:sz w:val="24"/>
          <w:szCs w:val="24"/>
        </w:rPr>
      </w:pPr>
      <w:r>
        <w:rPr>
          <w:rFonts w:hint="eastAsia" w:ascii="宋体" w:hAnsi="宋体" w:eastAsia="宋体" w:cs="宋体"/>
          <w:b/>
          <w:color w:val="000000"/>
          <w:sz w:val="24"/>
          <w:szCs w:val="24"/>
        </w:rPr>
        <w:t>二、采购项目预算金额</w:t>
      </w:r>
    </w:p>
    <w:p w14:paraId="48FFA9E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240" w:after="240" w:line="400" w:lineRule="exact"/>
        <w:ind w:firstLine="562"/>
        <w:textAlignment w:val="auto"/>
        <w:rPr>
          <w:rFonts w:hint="eastAsia" w:ascii="宋体" w:hAnsi="宋体" w:eastAsia="宋体" w:cs="宋体"/>
          <w:sz w:val="24"/>
          <w:szCs w:val="24"/>
        </w:rPr>
      </w:pPr>
      <w:r>
        <w:rPr>
          <w:rFonts w:hint="eastAsia" w:ascii="宋体" w:hAnsi="宋体" w:eastAsia="宋体" w:cs="宋体"/>
          <w:b/>
          <w:color w:val="000000"/>
          <w:sz w:val="24"/>
          <w:szCs w:val="24"/>
        </w:rPr>
        <w:t>（一）本项目不接受超过1500万元人民币（采购项目预算金额）的投标报价</w:t>
      </w:r>
      <w:r>
        <w:rPr>
          <w:rFonts w:hint="eastAsia" w:ascii="宋体" w:hAnsi="宋体" w:eastAsia="宋体" w:cs="宋体"/>
          <w:color w:val="000000"/>
          <w:sz w:val="24"/>
          <w:szCs w:val="24"/>
        </w:rPr>
        <w:t>。报价包括产品价、税金、运输、装卸、安装、调试、测试、售后服务、技术培训等全部费用。用户不再支付报价以外的任何费用。</w:t>
      </w:r>
    </w:p>
    <w:p w14:paraId="1326A3E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240" w:after="240" w:line="400" w:lineRule="exact"/>
        <w:ind w:firstLine="562"/>
        <w:textAlignment w:val="auto"/>
        <w:rPr>
          <w:rFonts w:hint="eastAsia" w:ascii="宋体" w:hAnsi="宋体" w:eastAsia="宋体" w:cs="宋体"/>
          <w:sz w:val="24"/>
          <w:szCs w:val="24"/>
        </w:rPr>
      </w:pPr>
      <w:r>
        <w:rPr>
          <w:rFonts w:hint="eastAsia" w:ascii="宋体" w:hAnsi="宋体" w:eastAsia="宋体" w:cs="宋体"/>
          <w:b/>
          <w:color w:val="000000"/>
          <w:sz w:val="24"/>
          <w:szCs w:val="24"/>
        </w:rPr>
        <w:t>注：评标委员会认为投标人的报价明显低于其他通过符合性审查投标人的报价，有可能影响质量或者不能诚信履约的，要求其在评标现场合理的时间内提供书面说明，必要时提交相关证明材料，否则评标委员会有权按无效投标文件处理。</w:t>
      </w:r>
    </w:p>
    <w:p w14:paraId="5DA21CA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240" w:after="240" w:line="400" w:lineRule="exact"/>
        <w:ind w:firstLine="560"/>
        <w:textAlignment w:val="auto"/>
        <w:rPr>
          <w:rFonts w:hint="eastAsia" w:ascii="宋体" w:hAnsi="宋体" w:eastAsia="宋体" w:cs="宋体"/>
          <w:b/>
          <w:color w:val="000000"/>
          <w:sz w:val="24"/>
          <w:szCs w:val="24"/>
          <w:lang w:val="en-US" w:eastAsia="zh-CN" w:bidi="ar-SA"/>
        </w:rPr>
      </w:pPr>
      <w:r>
        <w:rPr>
          <w:rFonts w:hint="eastAsia" w:ascii="宋体" w:hAnsi="宋体" w:eastAsia="宋体" w:cs="宋体"/>
          <w:b/>
          <w:color w:val="000000"/>
          <w:sz w:val="24"/>
          <w:szCs w:val="24"/>
        </w:rPr>
        <w:t>（</w:t>
      </w:r>
      <w:r>
        <w:rPr>
          <w:rFonts w:hint="eastAsia" w:ascii="宋体" w:hAnsi="宋体" w:eastAsia="宋体" w:cs="宋体"/>
          <w:b/>
          <w:color w:val="000000"/>
          <w:sz w:val="24"/>
          <w:szCs w:val="24"/>
          <w:lang w:eastAsia="zh-CN"/>
        </w:rPr>
        <w:t>二</w:t>
      </w:r>
      <w:r>
        <w:rPr>
          <w:rFonts w:hint="eastAsia" w:ascii="宋体" w:hAnsi="宋体" w:eastAsia="宋体" w:cs="宋体"/>
          <w:b/>
          <w:color w:val="000000"/>
          <w:sz w:val="24"/>
          <w:szCs w:val="24"/>
        </w:rPr>
        <w:t>）</w:t>
      </w:r>
      <w:r>
        <w:rPr>
          <w:rFonts w:hint="eastAsia" w:ascii="宋体" w:hAnsi="宋体" w:eastAsia="宋体" w:cs="宋体"/>
          <w:b/>
          <w:color w:val="000000"/>
          <w:sz w:val="24"/>
          <w:szCs w:val="24"/>
          <w:lang w:val="en-US" w:eastAsia="zh-CN" w:bidi="ar-SA"/>
        </w:rPr>
        <w:t>主要技术规格参数和功能要求：（加注“★”符号的为实质性要求/关键参数（重要指标），不接受任何一项的负偏离或者不满足，否则按无效投标处理。加注“▲”符号的为次重要参数，有三项及以上不满足的，按无效投标处理；其他为普通参数。</w:t>
      </w:r>
      <w:r>
        <w:rPr>
          <w:rFonts w:hint="eastAsia" w:ascii="宋体" w:hAnsi="宋体" w:eastAsia="宋体" w:cs="宋体"/>
          <w:color w:val="000000"/>
          <w:sz w:val="24"/>
          <w:szCs w:val="24"/>
        </w:rPr>
        <w:t>技术条款必须在投标文件中提供技术支持资料（如产品说明书、彩页、相关检测报告、医疗器械产品技术要求、白皮书、手册、实物照片（须体现所投产品品牌型号）等），未提供技术支持资料或提供的技术支持资料不能佐证偏离表内容的，评审时不予认可。</w:t>
      </w:r>
    </w:p>
    <w:p w14:paraId="4C6B3866">
      <w:pPr>
        <w:pStyle w:val="35"/>
        <w:pageBreakBefore w:val="0"/>
        <w:numPr>
          <w:ilvl w:val="0"/>
          <w:numId w:val="0"/>
        </w:numPr>
        <w:kinsoku/>
        <w:wordWrap/>
        <w:overflowPunct/>
        <w:topLinePunct w:val="0"/>
        <w:autoSpaceDE/>
        <w:autoSpaceDN/>
        <w:bidi w:val="0"/>
        <w:adjustRightInd/>
        <w:snapToGrid/>
        <w:spacing w:before="120" w:line="400" w:lineRule="exact"/>
        <w:ind w:firstLine="240" w:firstLineChars="100"/>
        <w:jc w:val="left"/>
        <w:textAlignment w:val="auto"/>
        <w:outlineLvl w:val="1"/>
        <w:rPr>
          <w:rFonts w:hint="eastAsia" w:ascii="宋体" w:hAnsi="宋体" w:eastAsia="宋体" w:cs="宋体"/>
          <w:b w:val="0"/>
          <w:bCs/>
          <w:color w:val="FF0000"/>
          <w:sz w:val="24"/>
          <w:szCs w:val="24"/>
        </w:rPr>
      </w:pPr>
      <w:r>
        <w:rPr>
          <w:rFonts w:hint="eastAsia" w:ascii="宋体" w:hAnsi="宋体" w:eastAsia="宋体" w:cs="宋体"/>
          <w:b w:val="0"/>
          <w:bCs/>
          <w:color w:val="FF0000"/>
          <w:sz w:val="24"/>
          <w:szCs w:val="24"/>
        </w:rPr>
        <w:t>（注：本技术参数要求提出的是最低限度的技术条件。供应商应注意在技术要求中如果出现了参考品牌或规格型号,其目的是为了方便供应商直观和准确地把握相应材料和设备的技术标准,不具指定或唯一的意思表示，供应商应当参考所列品牌的材料和设备，提供等于或高于所列品牌技术标准的材料和设备）</w:t>
      </w:r>
    </w:p>
    <w:p w14:paraId="14A0D65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firstLine="560"/>
        <w:textAlignment w:val="auto"/>
        <w:rPr>
          <w:rFonts w:hint="eastAsia" w:ascii="宋体" w:hAnsi="宋体" w:eastAsia="宋体" w:cs="宋体"/>
          <w:b/>
          <w:bCs/>
          <w:sz w:val="24"/>
          <w:szCs w:val="24"/>
        </w:rPr>
      </w:pPr>
      <w:r>
        <w:rPr>
          <w:rFonts w:hint="eastAsia" w:ascii="宋体" w:hAnsi="宋体" w:eastAsia="宋体" w:cs="宋体"/>
          <w:b/>
          <w:bCs/>
          <w:color w:val="000000"/>
          <w:sz w:val="24"/>
          <w:szCs w:val="24"/>
        </w:rPr>
        <w:t>总体要求：</w:t>
      </w:r>
    </w:p>
    <w:p w14:paraId="794BB9D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1.本项目为交钥匙工程（包含但不限于操作间内装、卫评、环评、机房防护、地基基础、AI软件、PACS、HIS等接口连接费用、旧设备拆除等交钥匙工程）。</w:t>
      </w:r>
    </w:p>
    <w:p w14:paraId="692679E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2.</w:t>
      </w:r>
      <w:r>
        <w:rPr>
          <w:rFonts w:hint="eastAsia" w:ascii="宋体" w:hAnsi="宋体" w:eastAsia="宋体" w:cs="宋体"/>
          <w:b/>
          <w:color w:val="000000"/>
          <w:sz w:val="24"/>
          <w:szCs w:val="24"/>
        </w:rPr>
        <w:t>3年原厂免费保修</w:t>
      </w:r>
      <w:r>
        <w:rPr>
          <w:rFonts w:hint="eastAsia" w:ascii="宋体" w:hAnsi="宋体" w:eastAsia="宋体" w:cs="宋体"/>
          <w:color w:val="000000"/>
          <w:sz w:val="24"/>
          <w:szCs w:val="24"/>
        </w:rPr>
        <w:t>服务到期后，投标人须承诺原厂整机年度维保服务，维保范围包括但不限于磁体、线圈、液氦在内的所有零配件以及所配置的全部第三方产品以及人工服务；</w:t>
      </w:r>
      <w:r>
        <w:rPr>
          <w:rFonts w:hint="eastAsia" w:ascii="宋体" w:hAnsi="宋体" w:eastAsia="宋体" w:cs="宋体"/>
          <w:b/>
          <w:color w:val="000000"/>
          <w:sz w:val="24"/>
          <w:szCs w:val="24"/>
        </w:rPr>
        <w:t>延保年度维保费限价不超过投标报价的 8%</w:t>
      </w:r>
      <w:r>
        <w:rPr>
          <w:rFonts w:hint="eastAsia" w:ascii="宋体" w:hAnsi="宋体" w:eastAsia="宋体" w:cs="宋体"/>
          <w:color w:val="000000"/>
          <w:sz w:val="24"/>
          <w:szCs w:val="24"/>
        </w:rPr>
        <w:t>。后续具体延保服务由医共体（医院）根据实际业务需求与中标单位自行协商实施，所有操作须遵守相关法律法规及业务流程，投标人须出具加盖公章的维保承诺函（格式详见附件：承诺函）。</w:t>
      </w:r>
    </w:p>
    <w:p w14:paraId="042051B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（一）磁共振成像系统（MRI)技术参数</w:t>
      </w:r>
    </w:p>
    <w:tbl>
      <w:tblPr>
        <w:tblStyle w:val="23"/>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791"/>
        <w:gridCol w:w="4404"/>
        <w:gridCol w:w="3327"/>
      </w:tblGrid>
      <w:tr w14:paraId="6C091EB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83" w:hRule="atLeast"/>
        </w:trPr>
        <w:tc>
          <w:tcPr>
            <w:tcW w:w="791" w:type="dxa"/>
            <w:tcBorders>
              <w:top w:val="single" w:color="000000" w:sz="8" w:space="0"/>
              <w:left w:val="single" w:color="000000" w:sz="8" w:space="0"/>
              <w:bottom w:val="single" w:color="000000" w:sz="8" w:space="0"/>
              <w:right w:val="single" w:color="000000" w:sz="8" w:space="0"/>
            </w:tcBorders>
            <w:noWrap/>
            <w:tcMar>
              <w:top w:w="0" w:type="dxa"/>
              <w:left w:w="108" w:type="dxa"/>
              <w:bottom w:w="0" w:type="dxa"/>
              <w:right w:w="108" w:type="dxa"/>
            </w:tcMar>
            <w:vAlign w:val="center"/>
          </w:tcPr>
          <w:p w14:paraId="66EC94E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序号</w:t>
            </w:r>
          </w:p>
        </w:tc>
        <w:tc>
          <w:tcPr>
            <w:tcW w:w="4807"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1D1A3D10">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技术参数</w:t>
            </w:r>
          </w:p>
        </w:tc>
        <w:tc>
          <w:tcPr>
            <w:tcW w:w="3621"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12A5570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要求</w:t>
            </w:r>
          </w:p>
        </w:tc>
      </w:tr>
      <w:tr w14:paraId="0887E48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00"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34ECCEB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一</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BC21F5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总体要求</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139FC10">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用于全身各部位平扫、增强等核磁共振检查</w:t>
            </w:r>
          </w:p>
        </w:tc>
      </w:tr>
      <w:tr w14:paraId="4319118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90"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6056EC6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highlight w:val="none"/>
              </w:rPr>
              <w:t>★</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1B811B3">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磁场强度</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D8BB12F">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1.5T</w:t>
            </w:r>
          </w:p>
        </w:tc>
      </w:tr>
      <w:tr w14:paraId="7253F39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00"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33C2FE8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二</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AAC472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磁体系统</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E31AA03">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 </w:t>
            </w:r>
          </w:p>
        </w:tc>
      </w:tr>
      <w:tr w14:paraId="68A9993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19B4615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80701BA">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磁体类型</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FD9FC1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超导磁体</w:t>
            </w:r>
          </w:p>
        </w:tc>
      </w:tr>
      <w:tr w14:paraId="062C644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4D677AC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5DD9C5A">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磁体长度（不含外壳）</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1C3F8CA">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≥150cm</w:t>
            </w:r>
          </w:p>
        </w:tc>
      </w:tr>
      <w:tr w14:paraId="5FE4AFB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700EE9A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w:t>
            </w:r>
            <w:r>
              <w:rPr>
                <w:rFonts w:hint="eastAsia" w:ascii="宋体" w:hAnsi="宋体" w:eastAsia="宋体" w:cs="宋体"/>
                <w:color w:val="000000"/>
                <w:sz w:val="24"/>
                <w:szCs w:val="24"/>
                <w:highlight w:val="none"/>
              </w:rPr>
              <w:t>▲</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72695E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患者检查孔径</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E5221B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≥60cm</w:t>
            </w:r>
          </w:p>
        </w:tc>
      </w:tr>
      <w:tr w14:paraId="01BF39F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6336D77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9F539CA">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5高斯线范围</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FB6C562">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轴向≤4m/径向≤2.5m</w:t>
            </w:r>
          </w:p>
        </w:tc>
      </w:tr>
      <w:tr w14:paraId="7991029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20205C4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6</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480E092">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磁场稳定度</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F34042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≤0.1ppm/h</w:t>
            </w:r>
          </w:p>
        </w:tc>
      </w:tr>
      <w:tr w14:paraId="65C7B66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4B1D6FAA">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7</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3519CB5">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磁场均匀度 10cm DSV（典型值）</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CF59E5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≤0.01ppm</w:t>
            </w:r>
          </w:p>
        </w:tc>
      </w:tr>
      <w:tr w14:paraId="18F288F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39AEA9D3">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8</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CB5D3E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磁场均匀度 20cm DSV（典型值）</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68F0CFF">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≤0.05ppm</w:t>
            </w:r>
          </w:p>
        </w:tc>
      </w:tr>
      <w:tr w14:paraId="1AE3A48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2B7CA4DA">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9</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7CCF91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磁场均匀度 30cm DSV（典型值）</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D7DB70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≤0.20ppm</w:t>
            </w:r>
          </w:p>
        </w:tc>
      </w:tr>
      <w:tr w14:paraId="5057085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2A2B4A6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10</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9D1FADA">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磁场均匀度 40cm DSV（典型值）</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791683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≤1.07ppm</w:t>
            </w:r>
          </w:p>
        </w:tc>
      </w:tr>
      <w:tr w14:paraId="3AF5DAE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725EBB3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11</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ABE77A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液氦容量</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A31F8F5">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≤1400L</w:t>
            </w:r>
          </w:p>
        </w:tc>
      </w:tr>
      <w:tr w14:paraId="2F6BFDE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35E740E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color w:val="000000"/>
                <w:sz w:val="24"/>
                <w:szCs w:val="24"/>
                <w:lang w:val="en-US" w:eastAsia="zh-CN"/>
              </w:rPr>
              <w:t>12</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3B1B53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color w:val="FF0000"/>
                <w:sz w:val="24"/>
                <w:szCs w:val="24"/>
              </w:rPr>
            </w:pPr>
            <w:r>
              <w:rPr>
                <w:rFonts w:hint="eastAsia" w:ascii="宋体" w:hAnsi="宋体" w:eastAsia="宋体" w:cs="宋体"/>
                <w:color w:val="000000"/>
                <w:sz w:val="24"/>
                <w:szCs w:val="24"/>
              </w:rPr>
              <w:t>扫描床最低床位高度</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381A38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FF0000"/>
                <w:sz w:val="24"/>
                <w:szCs w:val="24"/>
              </w:rPr>
            </w:pPr>
            <w:r>
              <w:rPr>
                <w:rFonts w:hint="eastAsia" w:ascii="宋体" w:hAnsi="宋体" w:eastAsia="宋体" w:cs="宋体"/>
                <w:color w:val="000000"/>
                <w:sz w:val="24"/>
                <w:szCs w:val="24"/>
              </w:rPr>
              <w:t>≤60cm</w:t>
            </w:r>
          </w:p>
        </w:tc>
      </w:tr>
      <w:tr w14:paraId="248414F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5CF8BB7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13</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D3DC78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扫描床水平和垂直移动时最大承重</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61CA8C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≥200kg</w:t>
            </w:r>
          </w:p>
        </w:tc>
      </w:tr>
      <w:tr w14:paraId="2655DD1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00"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7A2426E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三</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7F6804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梯度系统</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6A5165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 </w:t>
            </w:r>
          </w:p>
        </w:tc>
      </w:tr>
      <w:tr w14:paraId="7FEBC38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470EC57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color w:val="000000"/>
                <w:sz w:val="24"/>
                <w:szCs w:val="24"/>
                <w:lang w:val="en-US" w:eastAsia="zh-CN"/>
              </w:rPr>
              <w:t>14</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CBB575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最大单轴梯度场强（非有效值）</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A12023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≥30mT/m</w:t>
            </w:r>
          </w:p>
        </w:tc>
      </w:tr>
      <w:tr w14:paraId="40CBD38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12B82FAA">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5</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F0953B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最大单轴梯度切换率（非有效值）</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3DD6DD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≥100T/m/s</w:t>
            </w:r>
          </w:p>
        </w:tc>
      </w:tr>
      <w:tr w14:paraId="082A364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667FD17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6</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0949F9F">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梯度线圈冷却方式</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0BC703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水冷</w:t>
            </w:r>
          </w:p>
        </w:tc>
      </w:tr>
      <w:tr w14:paraId="5A7A4D3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00"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5670966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四</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8470D7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射频系统</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8DC677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 </w:t>
            </w:r>
          </w:p>
        </w:tc>
      </w:tr>
      <w:tr w14:paraId="48DF6E6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20F23DE2">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7</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83CD255">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射频接收通道数</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05DC872">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≥16ch</w:t>
            </w:r>
          </w:p>
        </w:tc>
      </w:tr>
      <w:tr w14:paraId="18EF71B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3E9BD0C5">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8</w:t>
            </w:r>
            <w:r>
              <w:rPr>
                <w:rFonts w:hint="eastAsia" w:ascii="宋体" w:hAnsi="宋体" w:eastAsia="宋体" w:cs="宋体"/>
                <w:color w:val="000000"/>
                <w:sz w:val="24"/>
                <w:szCs w:val="24"/>
                <w:highlight w:val="none"/>
              </w:rPr>
              <w:t>▲</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AA4DD7F">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射频发射带宽</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1D2395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≥500kHz</w:t>
            </w:r>
          </w:p>
        </w:tc>
      </w:tr>
      <w:tr w14:paraId="07BC5BD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34EB280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highlight w:val="none"/>
              </w:rPr>
              <w:t>▲</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C6BF34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最高接收动态范围</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461D1DA">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≥150dB</w:t>
            </w:r>
          </w:p>
        </w:tc>
      </w:tr>
      <w:tr w14:paraId="36B601D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00"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601CBB3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五</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9474B4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线圈</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F20C1C2">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 </w:t>
            </w:r>
          </w:p>
        </w:tc>
      </w:tr>
      <w:tr w14:paraId="5C803FC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7F70C70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color w:val="000000"/>
                <w:sz w:val="24"/>
                <w:szCs w:val="24"/>
                <w:lang w:val="en-US" w:eastAsia="zh-CN"/>
              </w:rPr>
              <w:t>20</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4904D6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头颈联合线圈通道数</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EF65DF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≥16</w:t>
            </w:r>
          </w:p>
        </w:tc>
      </w:tr>
      <w:tr w14:paraId="3EA8777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3F1C583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1</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D7201EA">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脊柱线圈通道数</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9C03B1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≥16</w:t>
            </w:r>
          </w:p>
        </w:tc>
      </w:tr>
      <w:tr w14:paraId="03B766D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5FFCD9D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2</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23DE85F">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体部线圈通道数</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C084122">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≥8</w:t>
            </w:r>
          </w:p>
        </w:tc>
      </w:tr>
      <w:tr w14:paraId="1A4BA71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2DEFD92F">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b/>
                <w:color w:val="auto"/>
                <w:sz w:val="24"/>
                <w:szCs w:val="24"/>
              </w:rPr>
              <w:t>2</w:t>
            </w:r>
            <w:r>
              <w:rPr>
                <w:rFonts w:hint="eastAsia" w:ascii="宋体" w:hAnsi="宋体" w:eastAsia="宋体" w:cs="宋体"/>
                <w:b/>
                <w:color w:val="auto"/>
                <w:sz w:val="24"/>
                <w:szCs w:val="24"/>
                <w:lang w:val="en-US" w:eastAsia="zh-CN"/>
              </w:rPr>
              <w:t>3</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56BAC93">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大柔性线圈通道数</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EC86EB2">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≥4</w:t>
            </w:r>
          </w:p>
        </w:tc>
      </w:tr>
      <w:tr w14:paraId="17D704C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6354E92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highlight w:val="none"/>
              </w:rPr>
              <w:t>▲</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B815CE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线圈接口数</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CD6CF2F">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≥4个</w:t>
            </w:r>
          </w:p>
        </w:tc>
      </w:tr>
      <w:tr w14:paraId="699773B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00"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2EE03EA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六</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BD09B7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计算机系统</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CE99F7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 </w:t>
            </w:r>
          </w:p>
        </w:tc>
      </w:tr>
      <w:tr w14:paraId="50F30F7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723F2B5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5</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C6F809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主计算机CPU主频</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CA56A7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≥3.5Ghz</w:t>
            </w:r>
          </w:p>
        </w:tc>
      </w:tr>
      <w:tr w14:paraId="5BCD8B9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17A4D160">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6</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901097F">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主计算机内存</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7D61AC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≥32GB</w:t>
            </w:r>
          </w:p>
        </w:tc>
      </w:tr>
      <w:tr w14:paraId="620FE89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77704CF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7</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A463D6F">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硬盘容量</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3AF95BA">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≥480GB</w:t>
            </w:r>
          </w:p>
        </w:tc>
      </w:tr>
      <w:tr w14:paraId="4E84DE3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00"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175A0760">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七</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3D9BBA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扫描参数</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300BDFA">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 </w:t>
            </w:r>
          </w:p>
        </w:tc>
      </w:tr>
      <w:tr w14:paraId="6174340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5A4E896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28</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1FA0A9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最大扫描FOV</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074F1F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≥500mm</w:t>
            </w:r>
          </w:p>
        </w:tc>
      </w:tr>
      <w:tr w14:paraId="0A25452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41FDB8F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29</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DAD4780">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最小扫描FOV</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B9CD1B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≤5mm</w:t>
            </w:r>
          </w:p>
        </w:tc>
      </w:tr>
      <w:tr w14:paraId="3C17C09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000000" w:sz="8" w:space="0"/>
              <w:right w:val="single" w:color="000000" w:sz="8" w:space="0"/>
            </w:tcBorders>
            <w:shd w:val="clear" w:color="FFFFFF" w:fill="FFFFFF"/>
            <w:noWrap/>
            <w:tcMar>
              <w:top w:w="0" w:type="dxa"/>
              <w:left w:w="108" w:type="dxa"/>
              <w:bottom w:w="0" w:type="dxa"/>
              <w:right w:w="108" w:type="dxa"/>
            </w:tcMar>
            <w:vAlign w:val="center"/>
          </w:tcPr>
          <w:p w14:paraId="52D99D9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30</w:t>
            </w:r>
          </w:p>
        </w:tc>
        <w:tc>
          <w:tcPr>
            <w:tcW w:w="4807"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17F6FD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最小2D层厚</w:t>
            </w:r>
          </w:p>
        </w:tc>
        <w:tc>
          <w:tcPr>
            <w:tcW w:w="362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0F2579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≤0.1mm</w:t>
            </w:r>
          </w:p>
        </w:tc>
      </w:tr>
      <w:tr w14:paraId="38B1A78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nil"/>
              <w:left w:val="single" w:color="000000" w:sz="8" w:space="0"/>
              <w:bottom w:val="single" w:color="auto" w:sz="4" w:space="0"/>
              <w:right w:val="single" w:color="000000" w:sz="8" w:space="0"/>
            </w:tcBorders>
            <w:shd w:val="clear" w:color="FFFFFF" w:fill="FFFFFF"/>
            <w:noWrap/>
            <w:tcMar>
              <w:top w:w="0" w:type="dxa"/>
              <w:left w:w="108" w:type="dxa"/>
              <w:bottom w:w="0" w:type="dxa"/>
              <w:right w:w="108" w:type="dxa"/>
            </w:tcMar>
            <w:vAlign w:val="center"/>
          </w:tcPr>
          <w:p w14:paraId="7644E3D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31</w:t>
            </w:r>
          </w:p>
        </w:tc>
        <w:tc>
          <w:tcPr>
            <w:tcW w:w="4807" w:type="dxa"/>
            <w:tcBorders>
              <w:top w:val="nil"/>
              <w:left w:val="single" w:color="000000" w:sz="8" w:space="0"/>
              <w:bottom w:val="single" w:color="auto" w:sz="4" w:space="0"/>
              <w:right w:val="single" w:color="000000" w:sz="8" w:space="0"/>
            </w:tcBorders>
            <w:tcMar>
              <w:top w:w="0" w:type="dxa"/>
              <w:left w:w="108" w:type="dxa"/>
              <w:bottom w:w="0" w:type="dxa"/>
              <w:right w:w="108" w:type="dxa"/>
            </w:tcMar>
            <w:vAlign w:val="center"/>
          </w:tcPr>
          <w:p w14:paraId="4BE5BC6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最大采集矩阵</w:t>
            </w:r>
          </w:p>
        </w:tc>
        <w:tc>
          <w:tcPr>
            <w:tcW w:w="3621" w:type="dxa"/>
            <w:tcBorders>
              <w:top w:val="nil"/>
              <w:left w:val="single" w:color="000000" w:sz="8" w:space="0"/>
              <w:bottom w:val="single" w:color="auto" w:sz="4" w:space="0"/>
              <w:right w:val="single" w:color="000000" w:sz="8" w:space="0"/>
            </w:tcBorders>
            <w:tcMar>
              <w:top w:w="0" w:type="dxa"/>
              <w:left w:w="108" w:type="dxa"/>
              <w:bottom w:w="0" w:type="dxa"/>
              <w:right w:w="108" w:type="dxa"/>
            </w:tcMar>
            <w:vAlign w:val="center"/>
          </w:tcPr>
          <w:p w14:paraId="477A44E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≥1024</w:t>
            </w:r>
          </w:p>
        </w:tc>
      </w:tr>
      <w:tr w14:paraId="6FB837C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1274076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color w:val="000000"/>
                <w:sz w:val="24"/>
                <w:szCs w:val="24"/>
                <w:lang w:val="en-US" w:eastAsia="zh-CN"/>
              </w:rPr>
              <w:t>32</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84D112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弥散加权B值</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F98B082">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≥10000s/mm²</w:t>
            </w:r>
          </w:p>
        </w:tc>
      </w:tr>
      <w:tr w14:paraId="3B3BC05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13A4164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33</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42D7C90">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压缩感知技术</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75DCB63">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具备</w:t>
            </w:r>
          </w:p>
        </w:tc>
      </w:tr>
      <w:tr w14:paraId="021523D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7082BCB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八</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0D96F70">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扫描序列</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C11D38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 </w:t>
            </w:r>
          </w:p>
        </w:tc>
      </w:tr>
      <w:tr w14:paraId="5F58879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2A0678F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34</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8E8BE80">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自旋回波SE序列</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FDA8493">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具备</w:t>
            </w:r>
          </w:p>
        </w:tc>
      </w:tr>
      <w:tr w14:paraId="3E5AE19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10141012">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35</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81EBB8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快速自旋回波FSE/TSE序列</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FBEB11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具备</w:t>
            </w:r>
          </w:p>
        </w:tc>
      </w:tr>
      <w:tr w14:paraId="37B13C1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65B28E9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36</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D86269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梯度回波GRE序列</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5B0E492">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具备</w:t>
            </w:r>
          </w:p>
        </w:tc>
      </w:tr>
      <w:tr w14:paraId="4A840DE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0FBCEEE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37</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9939FE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平面回波EPI序列</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2078B7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具备</w:t>
            </w:r>
          </w:p>
        </w:tc>
      </w:tr>
      <w:tr w14:paraId="6104A59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1D00D36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38</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B1B008A">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反转恢复IR/STIR/FLAIR</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4369DA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具备</w:t>
            </w:r>
          </w:p>
        </w:tc>
      </w:tr>
      <w:tr w14:paraId="17C0560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69DC70A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九</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7C3981F">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临床应用软件</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3FEC0B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 </w:t>
            </w:r>
          </w:p>
        </w:tc>
      </w:tr>
      <w:tr w14:paraId="2761A13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2FE2617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39</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B5A2E6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神经成像软件包</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F654FD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具备</w:t>
            </w:r>
          </w:p>
        </w:tc>
      </w:tr>
      <w:tr w14:paraId="3F62FEB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6C93384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40</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9E91AF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体部系统软件包</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8DC8CC5">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具备</w:t>
            </w:r>
          </w:p>
        </w:tc>
      </w:tr>
      <w:tr w14:paraId="30B6A83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580488E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41</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B1B1C7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骨关节成像软件包</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463562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具备</w:t>
            </w:r>
          </w:p>
        </w:tc>
      </w:tr>
      <w:tr w14:paraId="175EA8D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0D39CA52">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42</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626399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肿瘤成像软件包</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221774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具备</w:t>
            </w:r>
          </w:p>
        </w:tc>
      </w:tr>
      <w:tr w14:paraId="6EE5927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696560F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43</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F37113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心脏成像软件包</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3AE2A35">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具备</w:t>
            </w:r>
          </w:p>
        </w:tc>
      </w:tr>
      <w:tr w14:paraId="75071D7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2044E57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44</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0657A35">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血管成像软件包</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DA91CC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具备</w:t>
            </w:r>
          </w:p>
        </w:tc>
      </w:tr>
      <w:tr w14:paraId="1DB305D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51F64FD3">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十</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FDA09A3">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高级应用平台及软件技术</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33637FA">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 </w:t>
            </w:r>
          </w:p>
        </w:tc>
      </w:tr>
      <w:tr w14:paraId="39D52A5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4EFEC652">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45</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A749D75">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压缩感知成像技术</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F9F882A">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具备</w:t>
            </w:r>
          </w:p>
        </w:tc>
      </w:tr>
      <w:tr w14:paraId="01542CE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5583E8E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46</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7C4C9E3">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灌注成像</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D3BBA0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具备</w:t>
            </w:r>
          </w:p>
        </w:tc>
      </w:tr>
      <w:tr w14:paraId="1EAE48F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124419A0">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47</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ABF462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并行采集技术</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CD768A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具备</w:t>
            </w:r>
          </w:p>
        </w:tc>
      </w:tr>
      <w:tr w14:paraId="1B6C7BD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6A292DA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48</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0A60AC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伪影校正技术</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1C3458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具备</w:t>
            </w:r>
          </w:p>
        </w:tc>
      </w:tr>
      <w:tr w14:paraId="1152DB4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38C79A43">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49</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73DF2D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水脂分离成像技术</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902CF0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具备</w:t>
            </w:r>
          </w:p>
        </w:tc>
      </w:tr>
      <w:tr w14:paraId="204D4B1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2F2AC95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50</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F78984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不打药冠脉成像技术</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99D7E3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具备</w:t>
            </w:r>
          </w:p>
        </w:tc>
      </w:tr>
      <w:tr w14:paraId="41455AD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8" w:hRule="atLeast"/>
        </w:trPr>
        <w:tc>
          <w:tcPr>
            <w:tcW w:w="791" w:type="dxa"/>
            <w:tcBorders>
              <w:top w:val="single" w:color="auto" w:sz="4" w:space="0"/>
              <w:left w:val="single" w:color="auto" w:sz="4" w:space="0"/>
              <w:bottom w:val="single" w:color="auto" w:sz="4" w:space="0"/>
              <w:right w:val="single" w:color="auto" w:sz="4" w:space="0"/>
            </w:tcBorders>
            <w:shd w:val="clear" w:color="FFFFFF" w:fill="FFFFFF"/>
            <w:noWrap/>
            <w:tcMar>
              <w:top w:w="0" w:type="dxa"/>
              <w:left w:w="108" w:type="dxa"/>
              <w:bottom w:w="0" w:type="dxa"/>
              <w:right w:w="108" w:type="dxa"/>
            </w:tcMar>
            <w:vAlign w:val="center"/>
          </w:tcPr>
          <w:p w14:paraId="3A3D19E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51</w:t>
            </w:r>
          </w:p>
        </w:tc>
        <w:tc>
          <w:tcPr>
            <w:tcW w:w="480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4B0557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三维波多体素谱成像技术</w:t>
            </w:r>
          </w:p>
        </w:tc>
        <w:tc>
          <w:tcPr>
            <w:tcW w:w="3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3C0BE5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具备</w:t>
            </w:r>
          </w:p>
        </w:tc>
      </w:tr>
    </w:tbl>
    <w:p w14:paraId="0941A5B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b/>
          <w:color w:val="FF0000"/>
          <w:sz w:val="24"/>
          <w:szCs w:val="24"/>
        </w:rPr>
        <w:t>注：以下为包含的第三方产品（不接受产品缺漏，否则按无效投标处理）</w:t>
      </w:r>
    </w:p>
    <w:p w14:paraId="36801DA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（二）双立柱无磁金属安检门</w:t>
      </w:r>
    </w:p>
    <w:tbl>
      <w:tblPr>
        <w:tblStyle w:val="23"/>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800"/>
        <w:gridCol w:w="7722"/>
      </w:tblGrid>
      <w:tr w14:paraId="54D26F9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6BFE48E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序号</w:t>
            </w:r>
          </w:p>
        </w:tc>
        <w:tc>
          <w:tcPr>
            <w:tcW w:w="851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15400A2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技术要求</w:t>
            </w:r>
          </w:p>
        </w:tc>
      </w:tr>
      <w:tr w14:paraId="6343BA4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80F72CF">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color w:val="000000"/>
                <w:sz w:val="24"/>
                <w:szCs w:val="24"/>
                <w:lang w:eastAsia="zh-CN"/>
              </w:rPr>
              <w:t>1</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3B43435">
            <w:pPr>
              <w:pStyle w:val="43"/>
              <w:pageBreakBefore w:val="0"/>
              <w:numPr>
                <w:ilvl w:val="0"/>
                <w:numId w:val="0"/>
              </w:numPr>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4"/>
                <w:szCs w:val="24"/>
              </w:rPr>
            </w:pPr>
            <w:r>
              <w:rPr>
                <w:rFonts w:hint="eastAsia" w:ascii="宋体" w:hAnsi="宋体" w:eastAsia="宋体" w:cs="宋体"/>
                <w:color w:val="000000"/>
                <w:sz w:val="24"/>
                <w:szCs w:val="24"/>
              </w:rPr>
              <w:t xml:space="preserve">外形标准通用尺寸：高≥2000mm，宽≥800mm，通道宽≥720mm； </w:t>
            </w:r>
          </w:p>
        </w:tc>
      </w:tr>
      <w:tr w14:paraId="037D154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84D4A1F">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color w:val="000000"/>
                <w:sz w:val="24"/>
                <w:szCs w:val="24"/>
                <w:lang w:val="en-US" w:eastAsia="zh-CN"/>
              </w:rPr>
              <w:t>2</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821606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整机无磁、可1.5T机房使用。</w:t>
            </w:r>
          </w:p>
        </w:tc>
      </w:tr>
      <w:tr w14:paraId="163E78A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0A64345">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color w:val="000000"/>
                <w:sz w:val="24"/>
                <w:szCs w:val="24"/>
                <w:lang w:val="en-US" w:eastAsia="zh-CN"/>
              </w:rPr>
              <w:t>3</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56F9F4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门框一体式结构，可落地安装。</w:t>
            </w:r>
          </w:p>
        </w:tc>
      </w:tr>
      <w:tr w14:paraId="6863668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5A877C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color w:val="000000"/>
                <w:sz w:val="24"/>
                <w:szCs w:val="24"/>
                <w:lang w:val="en-US" w:eastAsia="zh-CN"/>
              </w:rPr>
              <w:t>4</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B084C4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探测高度全覆盖：脚底至头顶全覆盖探测。</w:t>
            </w:r>
          </w:p>
        </w:tc>
      </w:tr>
      <w:tr w14:paraId="3C82BBC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86068D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color w:val="000000"/>
                <w:sz w:val="24"/>
                <w:szCs w:val="24"/>
                <w:lang w:val="en-US" w:eastAsia="zh-CN"/>
              </w:rPr>
              <w:t>5</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5A2AAE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报警功能。</w:t>
            </w:r>
          </w:p>
        </w:tc>
      </w:tr>
    </w:tbl>
    <w:p w14:paraId="7E6B928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（三）手持金属探测仪</w:t>
      </w:r>
    </w:p>
    <w:tbl>
      <w:tblPr>
        <w:tblStyle w:val="23"/>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798"/>
        <w:gridCol w:w="7724"/>
      </w:tblGrid>
      <w:tr w14:paraId="16CD50E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7FE1CDF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序号</w:t>
            </w:r>
          </w:p>
        </w:tc>
        <w:tc>
          <w:tcPr>
            <w:tcW w:w="851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14A8478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技术要求</w:t>
            </w:r>
          </w:p>
        </w:tc>
      </w:tr>
      <w:tr w14:paraId="63E49CC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DA46FC0">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eastAsia="zh-CN"/>
              </w:rPr>
              <w:t>1</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85FF27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1.整机长度：380–420mm常规医用尺寸。</w:t>
            </w:r>
          </w:p>
        </w:tc>
      </w:tr>
      <w:tr w14:paraId="4A626E3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45FACA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2</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56F502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重量轻便：≤400g。</w:t>
            </w:r>
          </w:p>
        </w:tc>
      </w:tr>
      <w:tr w14:paraId="7852BCD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66" w:hRule="atLeast"/>
        </w:trPr>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D2BE90F">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3</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898C88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可充电、无线使用。</w:t>
            </w:r>
          </w:p>
        </w:tc>
      </w:tr>
      <w:tr w14:paraId="53F0706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9234200">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4</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8A7AEF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完全无铁磁，可进磁体间。</w:t>
            </w:r>
          </w:p>
        </w:tc>
      </w:tr>
    </w:tbl>
    <w:p w14:paraId="4A1519A0">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（四）无磁急救推车</w:t>
      </w:r>
    </w:p>
    <w:tbl>
      <w:tblPr>
        <w:tblStyle w:val="23"/>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797"/>
        <w:gridCol w:w="7725"/>
      </w:tblGrid>
      <w:tr w14:paraId="457F017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2684F2C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序号</w:t>
            </w:r>
          </w:p>
        </w:tc>
        <w:tc>
          <w:tcPr>
            <w:tcW w:w="851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5562AC7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技术要求</w:t>
            </w:r>
          </w:p>
        </w:tc>
      </w:tr>
      <w:tr w14:paraId="3CB3426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468CAF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eastAsia="zh-CN"/>
              </w:rPr>
              <w:t>1</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34016B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整体尺寸：长≥900mm，宽≥550mm，高度800–900mm。</w:t>
            </w:r>
          </w:p>
        </w:tc>
      </w:tr>
      <w:tr w14:paraId="2A9A474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407CC9A">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2</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A40FF9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扶手可折叠设计（方便进出机房门）。</w:t>
            </w:r>
          </w:p>
        </w:tc>
      </w:tr>
      <w:tr w14:paraId="6717948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BAD5FB5">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3</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53D98B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四层结构：台面、中层、抽屉、底部储物。</w:t>
            </w:r>
          </w:p>
        </w:tc>
      </w:tr>
      <w:tr w14:paraId="3FDC4A9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EAA74F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4</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C55BA63">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带静音无磁万向轮、带刹车。</w:t>
            </w:r>
          </w:p>
        </w:tc>
      </w:tr>
      <w:tr w14:paraId="0F8E1C5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1259E6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5</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B39B2D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台面承重≥120kg。</w:t>
            </w:r>
          </w:p>
        </w:tc>
      </w:tr>
      <w:tr w14:paraId="158725B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9E2638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6</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D11F8E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整体可拆卸、便于搬运进机房。</w:t>
            </w:r>
          </w:p>
        </w:tc>
      </w:tr>
    </w:tbl>
    <w:p w14:paraId="5DC235D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（五）无磁线圈柜</w:t>
      </w:r>
    </w:p>
    <w:tbl>
      <w:tblPr>
        <w:tblStyle w:val="23"/>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800"/>
        <w:gridCol w:w="7722"/>
      </w:tblGrid>
      <w:tr w14:paraId="3048B50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7E9889B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序号</w:t>
            </w:r>
          </w:p>
        </w:tc>
        <w:tc>
          <w:tcPr>
            <w:tcW w:w="851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3CE8210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技术要求</w:t>
            </w:r>
          </w:p>
        </w:tc>
      </w:tr>
      <w:tr w14:paraId="7F13D3E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055CE6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eastAsia="zh-CN"/>
              </w:rPr>
              <w:t>1</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6DCC8E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外形尺寸：高1800mm×宽800mm×深450mm标准医用。</w:t>
            </w:r>
          </w:p>
        </w:tc>
      </w:tr>
      <w:tr w14:paraId="45A01CE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6B62A0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2</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5771CFF">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多层可调隔板</w:t>
            </w:r>
          </w:p>
        </w:tc>
      </w:tr>
      <w:tr w14:paraId="059BD49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A82BC7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3</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483F6B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带门锁、防尘、防静电</w:t>
            </w:r>
          </w:p>
        </w:tc>
      </w:tr>
      <w:tr w14:paraId="5224790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638960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4</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3E0623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可放置机房长期摆放</w:t>
            </w:r>
          </w:p>
        </w:tc>
      </w:tr>
    </w:tbl>
    <w:p w14:paraId="0AEBBB0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六</w:t>
      </w:r>
      <w:r>
        <w:rPr>
          <w:rFonts w:hint="eastAsia" w:ascii="宋体" w:hAnsi="宋体" w:eastAsia="宋体" w:cs="宋体"/>
          <w:color w:val="000000"/>
          <w:sz w:val="24"/>
          <w:szCs w:val="24"/>
        </w:rPr>
        <w:t>）水冷机组</w:t>
      </w:r>
    </w:p>
    <w:tbl>
      <w:tblPr>
        <w:tblStyle w:val="23"/>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672"/>
        <w:gridCol w:w="7850"/>
      </w:tblGrid>
      <w:tr w14:paraId="73F2611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99"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107385F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序号</w:t>
            </w:r>
          </w:p>
        </w:tc>
        <w:tc>
          <w:tcPr>
            <w:tcW w:w="865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3AE8117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技术要求</w:t>
            </w:r>
          </w:p>
        </w:tc>
      </w:tr>
      <w:tr w14:paraId="6C845B1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99"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4846470">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eastAsia="zh-CN"/>
              </w:rPr>
              <w:t>1</w:t>
            </w:r>
          </w:p>
        </w:tc>
        <w:tc>
          <w:tcPr>
            <w:tcW w:w="865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60DDA8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满足1.5T超导磁体冷却工况，满足磁体7×24h不间断连续运行散热需求。</w:t>
            </w:r>
          </w:p>
        </w:tc>
      </w:tr>
      <w:tr w14:paraId="0D531FC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99"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CA714C3">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2</w:t>
            </w:r>
          </w:p>
        </w:tc>
        <w:tc>
          <w:tcPr>
            <w:tcW w:w="865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0D4587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冷却水温控精度±0.5℃；系统对水温、水压、流量实时监测。具备缺水、超温、过载多重保护及故障告警，支持干接点告警信号对外输出。</w:t>
            </w:r>
          </w:p>
        </w:tc>
      </w:tr>
      <w:tr w14:paraId="7863459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99"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8F6FED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3</w:t>
            </w:r>
          </w:p>
        </w:tc>
        <w:tc>
          <w:tcPr>
            <w:tcW w:w="865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69C61D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含循环管路、阀门、过滤器、减震连接件全套辅材，整机降噪处理，包含现场安装调试。</w:t>
            </w:r>
          </w:p>
        </w:tc>
      </w:tr>
    </w:tbl>
    <w:p w14:paraId="137241D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七</w:t>
      </w:r>
      <w:r>
        <w:rPr>
          <w:rFonts w:hint="eastAsia" w:ascii="宋体" w:hAnsi="宋体" w:eastAsia="宋体" w:cs="宋体"/>
          <w:color w:val="000000"/>
          <w:sz w:val="24"/>
          <w:szCs w:val="24"/>
        </w:rPr>
        <w:t>）精密空调</w:t>
      </w:r>
    </w:p>
    <w:tbl>
      <w:tblPr>
        <w:tblStyle w:val="23"/>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672"/>
        <w:gridCol w:w="7850"/>
      </w:tblGrid>
      <w:tr w14:paraId="167876C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99"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2154E31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序号</w:t>
            </w:r>
          </w:p>
        </w:tc>
        <w:tc>
          <w:tcPr>
            <w:tcW w:w="865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5098F193">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技术要求</w:t>
            </w:r>
          </w:p>
        </w:tc>
      </w:tr>
      <w:tr w14:paraId="19BD89E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99"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671C37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eastAsia="zh-CN"/>
              </w:rPr>
              <w:t>1</w:t>
            </w:r>
          </w:p>
        </w:tc>
        <w:tc>
          <w:tcPr>
            <w:tcW w:w="865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564091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适配核磁机房标准：≥5匹恒温恒湿精密空调。</w:t>
            </w:r>
          </w:p>
        </w:tc>
      </w:tr>
      <w:tr w14:paraId="112891B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99"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761298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2</w:t>
            </w:r>
          </w:p>
        </w:tc>
        <w:tc>
          <w:tcPr>
            <w:tcW w:w="865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583177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输入电压：220V/380V通用。</w:t>
            </w:r>
          </w:p>
        </w:tc>
      </w:tr>
      <w:tr w14:paraId="6A388CF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99"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C69FC2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3</w:t>
            </w:r>
          </w:p>
        </w:tc>
        <w:tc>
          <w:tcPr>
            <w:tcW w:w="865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8FA6D1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温湿度全自动智能调节。</w:t>
            </w:r>
          </w:p>
        </w:tc>
      </w:tr>
      <w:tr w14:paraId="2CFB3B9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99"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6847F4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4</w:t>
            </w:r>
          </w:p>
        </w:tc>
        <w:tc>
          <w:tcPr>
            <w:tcW w:w="865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4138C53">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恒温范围：18–24℃。</w:t>
            </w:r>
          </w:p>
        </w:tc>
      </w:tr>
      <w:tr w14:paraId="493E0DD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99"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D292DC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5</w:t>
            </w:r>
          </w:p>
        </w:tc>
        <w:tc>
          <w:tcPr>
            <w:tcW w:w="865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FCDE7AF">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恒湿范围：40%–60%。</w:t>
            </w:r>
          </w:p>
        </w:tc>
      </w:tr>
      <w:tr w14:paraId="7232F75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99"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CA61F9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865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C17A573">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支持全年不停机运行、防尘、防凝露。</w:t>
            </w:r>
          </w:p>
        </w:tc>
      </w:tr>
    </w:tbl>
    <w:p w14:paraId="2847477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八</w:t>
      </w:r>
      <w:r>
        <w:rPr>
          <w:rFonts w:hint="eastAsia" w:ascii="宋体" w:hAnsi="宋体" w:eastAsia="宋体" w:cs="宋体"/>
          <w:color w:val="000000"/>
          <w:sz w:val="24"/>
          <w:szCs w:val="24"/>
        </w:rPr>
        <w:t>）操作</w:t>
      </w:r>
      <w:r>
        <w:rPr>
          <w:rFonts w:hint="eastAsia" w:ascii="宋体" w:hAnsi="宋体" w:eastAsia="宋体" w:cs="宋体"/>
          <w:color w:val="000000"/>
          <w:sz w:val="24"/>
          <w:szCs w:val="24"/>
          <w:lang w:eastAsia="zh-CN"/>
        </w:rPr>
        <w:t>台及桌椅</w:t>
      </w:r>
    </w:p>
    <w:tbl>
      <w:tblPr>
        <w:tblStyle w:val="23"/>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800"/>
        <w:gridCol w:w="7722"/>
      </w:tblGrid>
      <w:tr w14:paraId="6AC77C3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518D0362">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序号</w:t>
            </w:r>
          </w:p>
        </w:tc>
        <w:tc>
          <w:tcPr>
            <w:tcW w:w="851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29C7A31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技术要求</w:t>
            </w:r>
          </w:p>
        </w:tc>
      </w:tr>
      <w:tr w14:paraId="547933D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1F46CC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eastAsia="zh-CN"/>
              </w:rPr>
              <w:t>1</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8FD9CE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常规医用阅片椅标准尺寸。</w:t>
            </w:r>
          </w:p>
        </w:tc>
      </w:tr>
      <w:tr w14:paraId="34E8D66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8C7B65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2</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0AB40F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座椅高度可升降：45–58cm可调。</w:t>
            </w:r>
          </w:p>
        </w:tc>
      </w:tr>
      <w:tr w14:paraId="358EC3A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3769CAA">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3</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864FEC5">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360°旋转、靠背可调。</w:t>
            </w:r>
          </w:p>
        </w:tc>
      </w:tr>
      <w:tr w14:paraId="3C56488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0F5A435">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4</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AA94F5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静音脚轮、久坐医用级海绵。</w:t>
            </w:r>
          </w:p>
        </w:tc>
      </w:tr>
    </w:tbl>
    <w:p w14:paraId="552A11A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九</w:t>
      </w:r>
      <w:r>
        <w:rPr>
          <w:rFonts w:hint="eastAsia" w:ascii="宋体" w:hAnsi="宋体" w:eastAsia="宋体" w:cs="宋体"/>
          <w:color w:val="000000"/>
          <w:sz w:val="24"/>
          <w:szCs w:val="24"/>
        </w:rPr>
        <w:t>）无磁监控</w:t>
      </w:r>
    </w:p>
    <w:tbl>
      <w:tblPr>
        <w:tblStyle w:val="23"/>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801"/>
        <w:gridCol w:w="7721"/>
      </w:tblGrid>
      <w:tr w14:paraId="146BBBE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9F50C7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序号</w:t>
            </w:r>
          </w:p>
        </w:tc>
        <w:tc>
          <w:tcPr>
            <w:tcW w:w="851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58ECEDC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技术要求</w:t>
            </w:r>
          </w:p>
        </w:tc>
      </w:tr>
      <w:tr w14:paraId="25EF50F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413312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eastAsia="zh-CN"/>
              </w:rPr>
              <w:t>1</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F518885">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室内无磁摄像头常规医用尺寸。</w:t>
            </w:r>
          </w:p>
        </w:tc>
      </w:tr>
      <w:tr w14:paraId="15480F1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90247A2">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2</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782F04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1080P高清画质。</w:t>
            </w:r>
          </w:p>
        </w:tc>
      </w:tr>
      <w:tr w14:paraId="79FE42B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877832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3</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BF03A6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支持双向对讲。</w:t>
            </w:r>
          </w:p>
        </w:tc>
      </w:tr>
      <w:tr w14:paraId="42A8361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A52152A">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4</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A02A60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常规机房供电220V。</w:t>
            </w:r>
          </w:p>
        </w:tc>
      </w:tr>
      <w:tr w14:paraId="1D04062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41"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A30824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5</w:t>
            </w:r>
          </w:p>
        </w:tc>
        <w:tc>
          <w:tcPr>
            <w:tcW w:w="8514"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2038B4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配套室内显示器、存储设备。</w:t>
            </w:r>
          </w:p>
        </w:tc>
      </w:tr>
    </w:tbl>
    <w:p w14:paraId="252E321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十</w:t>
      </w:r>
      <w:r>
        <w:rPr>
          <w:rFonts w:hint="eastAsia" w:ascii="宋体" w:hAnsi="宋体" w:eastAsia="宋体" w:cs="宋体"/>
          <w:color w:val="000000"/>
          <w:sz w:val="24"/>
          <w:szCs w:val="24"/>
        </w:rPr>
        <w:t>）磁共振兼容双筒高压注射器（详细说明规格型号、生产厂家等，所用耗材必须为江苏省药品和医用耗材招采管理系统中标品种。）</w:t>
      </w:r>
    </w:p>
    <w:tbl>
      <w:tblPr>
        <w:tblStyle w:val="23"/>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670"/>
        <w:gridCol w:w="7852"/>
      </w:tblGrid>
      <w:tr w14:paraId="6A8CDA8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99"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5B63ACB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序号</w:t>
            </w:r>
          </w:p>
        </w:tc>
        <w:tc>
          <w:tcPr>
            <w:tcW w:w="865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387CB96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技术要求</w:t>
            </w:r>
          </w:p>
        </w:tc>
      </w:tr>
      <w:tr w14:paraId="7B8D2D0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99"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011258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eastAsia="zh-CN"/>
              </w:rPr>
              <w:t>1</w:t>
            </w:r>
          </w:p>
        </w:tc>
        <w:tc>
          <w:tcPr>
            <w:tcW w:w="865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F9A78C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整机可放置于磁体间内使用，完全兼容1.5T设备，无铁磁部件，不造成图像伪影。双筒结构，分别用于造影剂、生理盐水注射。</w:t>
            </w:r>
          </w:p>
        </w:tc>
      </w:tr>
      <w:tr w14:paraId="54CF9FF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99"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9DC0DF0">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2</w:t>
            </w:r>
          </w:p>
        </w:tc>
        <w:tc>
          <w:tcPr>
            <w:tcW w:w="865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98739A0">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注射速率：0.1mL/s‑10mL/s连续线性可调；单筒注射剂量0‑200mL可调。</w:t>
            </w:r>
          </w:p>
        </w:tc>
      </w:tr>
      <w:tr w14:paraId="02F3891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99"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59C15B7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3</w:t>
            </w:r>
          </w:p>
        </w:tc>
        <w:tc>
          <w:tcPr>
            <w:tcW w:w="865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1DD24F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具备压力超限保护、管路气泡检测、管路脱落检测，异常状态声光报警，支持一键急停。</w:t>
            </w:r>
          </w:p>
        </w:tc>
      </w:tr>
      <w:tr w14:paraId="0A82B4E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90" w:hRule="atLeast"/>
        </w:trPr>
        <w:tc>
          <w:tcPr>
            <w:tcW w:w="699"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DFA1D6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4</w:t>
            </w:r>
          </w:p>
        </w:tc>
        <w:tc>
          <w:tcPr>
            <w:tcW w:w="865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5ABC2F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可与MR主机扫描序列通讯联动触发；可预置存储注射方案。</w:t>
            </w:r>
          </w:p>
        </w:tc>
      </w:tr>
      <w:tr w14:paraId="1CF503C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699"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28E51F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5</w:t>
            </w:r>
          </w:p>
        </w:tc>
        <w:tc>
          <w:tcPr>
            <w:tcW w:w="865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0FEF7A5">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适配医用一次性注射针筒耗材接口；设备表面便于消毒清洁。</w:t>
            </w:r>
          </w:p>
        </w:tc>
      </w:tr>
    </w:tbl>
    <w:p w14:paraId="75C7CB9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b/>
          <w:color w:val="000000"/>
          <w:sz w:val="24"/>
          <w:szCs w:val="24"/>
          <w:lang w:eastAsia="zh-CN"/>
        </w:rPr>
      </w:pP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十一</w:t>
      </w:r>
      <w:r>
        <w:rPr>
          <w:rFonts w:hint="eastAsia" w:ascii="宋体" w:hAnsi="宋体" w:eastAsia="宋体" w:cs="宋体"/>
          <w:color w:val="000000"/>
          <w:sz w:val="24"/>
          <w:szCs w:val="24"/>
        </w:rPr>
        <w:t>）</w:t>
      </w:r>
      <w:r>
        <w:rPr>
          <w:rFonts w:hint="eastAsia" w:ascii="宋体" w:hAnsi="宋体" w:eastAsia="宋体" w:cs="宋体"/>
          <w:color w:val="auto"/>
          <w:sz w:val="24"/>
          <w:szCs w:val="24"/>
          <w:highlight w:val="none"/>
        </w:rPr>
        <w:t>4M医用显示器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无磁轮椅</w:t>
      </w:r>
      <w:r>
        <w:rPr>
          <w:rFonts w:hint="eastAsia" w:ascii="宋体" w:hAnsi="宋体" w:eastAsia="宋体" w:cs="宋体"/>
          <w:color w:val="auto"/>
          <w:sz w:val="24"/>
          <w:szCs w:val="24"/>
          <w:highlight w:val="none"/>
          <w:lang w:eastAsia="zh-CN"/>
        </w:rPr>
        <w:t>、</w:t>
      </w:r>
      <w:r>
        <w:rPr>
          <w:rFonts w:hint="eastAsia" w:ascii="宋体" w:hAnsi="宋体" w:eastAsia="宋体" w:cs="宋体"/>
          <w:sz w:val="24"/>
          <w:szCs w:val="24"/>
        </w:rPr>
        <w:t>UPS不间断电源</w:t>
      </w:r>
      <w:r>
        <w:rPr>
          <w:rFonts w:hint="eastAsia" w:ascii="宋体" w:hAnsi="宋体" w:eastAsia="宋体" w:cs="宋体"/>
          <w:sz w:val="24"/>
          <w:szCs w:val="24"/>
          <w:lang w:val="en-US" w:eastAsia="zh-CN"/>
        </w:rPr>
        <w:t>及无磁灭火器。</w:t>
      </w:r>
    </w:p>
    <w:p w14:paraId="3883EEC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textAlignment w:val="auto"/>
        <w:rPr>
          <w:rFonts w:hint="eastAsia" w:ascii="宋体" w:hAnsi="宋体" w:eastAsia="宋体" w:cs="宋体"/>
          <w:b/>
          <w:color w:val="000000"/>
          <w:sz w:val="24"/>
          <w:szCs w:val="24"/>
        </w:rPr>
      </w:pPr>
    </w:p>
    <w:p w14:paraId="3E6DDA3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sz w:val="24"/>
          <w:szCs w:val="24"/>
        </w:rPr>
      </w:pPr>
      <w:r>
        <w:rPr>
          <w:rFonts w:hint="eastAsia" w:ascii="宋体" w:hAnsi="宋体" w:eastAsia="宋体" w:cs="宋体"/>
          <w:b/>
          <w:color w:val="000000"/>
          <w:sz w:val="24"/>
          <w:szCs w:val="24"/>
        </w:rPr>
        <w:t>三、产品综合性能要求</w:t>
      </w:r>
    </w:p>
    <w:p w14:paraId="17586E95">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1.产品设计、制造工艺、材质要求：</w:t>
      </w:r>
    </w:p>
    <w:p w14:paraId="3697095F">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产品设计应符合人体工程学，并符合医疗产品构造设计的要求，在保障产品功能的基础上，做到新颖、简洁、美观，达到理想的视觉效果；制造工艺应符合医疗产品制造标准，在保障产品功能完好的基础上，采用节能，先进的制造工艺；产品材质应符合医疗产品合规性标准，在保障医疗产品功能的前提下，采用环保，耐用的材质。投标人根据上述要求在投标文件中提供详细材料，体现所投产品对于上述要求的符合性或优于性。</w:t>
      </w:r>
    </w:p>
    <w:p w14:paraId="5B4F40A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240" w:firstLineChars="100"/>
        <w:textAlignment w:val="auto"/>
        <w:rPr>
          <w:rFonts w:hint="eastAsia" w:ascii="宋体" w:hAnsi="宋体" w:eastAsia="宋体" w:cs="宋体"/>
          <w:sz w:val="24"/>
          <w:szCs w:val="24"/>
        </w:rPr>
      </w:pPr>
      <w:r>
        <w:rPr>
          <w:rFonts w:hint="eastAsia" w:ascii="宋体" w:hAnsi="宋体" w:eastAsia="宋体" w:cs="宋体"/>
          <w:color w:val="000000"/>
          <w:sz w:val="24"/>
          <w:szCs w:val="24"/>
        </w:rPr>
        <w:t>2.产品先进性、兼容和扩展性要求：</w:t>
      </w:r>
    </w:p>
    <w:p w14:paraId="0A710B69">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产品效能应符合国家和行业标准，能满足临床使用需求，所投产品使用的创新和先进技术高于标书技术指标的优先，产品应具有较好的兼容性和扩展性，比如能够接入医院信息系统。投标人根据上述要求在投标文件中提供详细材料，体现所投产品对于上述要求的符合性或优于性。</w:t>
      </w:r>
    </w:p>
    <w:p w14:paraId="2DCF777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3.投标人中标后提供的设备为合同签订后生产的产品。</w:t>
      </w:r>
    </w:p>
    <w:p w14:paraId="0B26CC2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firstLine="562"/>
        <w:textAlignment w:val="auto"/>
        <w:rPr>
          <w:rFonts w:hint="eastAsia" w:ascii="宋体" w:hAnsi="宋体" w:eastAsia="宋体" w:cs="宋体"/>
          <w:sz w:val="24"/>
          <w:szCs w:val="24"/>
        </w:rPr>
      </w:pPr>
      <w:r>
        <w:rPr>
          <w:rFonts w:hint="eastAsia" w:ascii="宋体" w:hAnsi="宋体" w:eastAsia="宋体" w:cs="宋体"/>
          <w:b/>
          <w:color w:val="000000"/>
          <w:sz w:val="24"/>
          <w:szCs w:val="24"/>
        </w:rPr>
        <w:t>四、项目实施要求</w:t>
      </w:r>
    </w:p>
    <w:p w14:paraId="6A7399CF">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1.交货期：签订合同后</w:t>
      </w:r>
      <w:r>
        <w:rPr>
          <w:rFonts w:hint="eastAsia" w:ascii="宋体" w:hAnsi="宋体" w:eastAsia="宋体" w:cs="宋体"/>
          <w:b w:val="0"/>
          <w:bCs w:val="0"/>
          <w:color w:val="auto"/>
          <w:sz w:val="24"/>
          <w:szCs w:val="24"/>
        </w:rPr>
        <w:t>30</w:t>
      </w:r>
      <w:r>
        <w:rPr>
          <w:rFonts w:hint="eastAsia" w:ascii="宋体" w:hAnsi="宋体" w:eastAsia="宋体" w:cs="宋体"/>
          <w:color w:val="000000"/>
          <w:sz w:val="24"/>
          <w:szCs w:val="24"/>
        </w:rPr>
        <w:t>工作日内将合同标的全部交付并安装完毕。</w:t>
      </w:r>
    </w:p>
    <w:p w14:paraId="6FE094A1">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2.项目实施过程应严格遵守国家的相关法规、标准，投标人需协助有关部门做好廉政工作，防止腐败现象的出现。投标人应按照采购人的要求，保证实施内容、实施流程的完整性，保证实施过程科学完整；投标人及实施工作人员应按照采购人的要求采取严格的管理措施，应充分考虑项目实施对最终用户正常工作可能产生的不利影响，采取必要的措施将影响降到最低。</w:t>
      </w:r>
    </w:p>
    <w:p w14:paraId="15B2DD0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3.本项目由采购人负责监督、管理和协调整个项目的实施工作。投标人在项目实施过程中，按期供货，分发到付款方指定的用户现场机房，并进行货物装卸、安装、调试，直到设备正常运转为止；并按照最终用户要求组织培训，免费培训至用户熟练操作为止。保证在不超过承诺的交货时间内供货和完成售后服务工作。</w:t>
      </w:r>
    </w:p>
    <w:p w14:paraId="09D6F93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4.为使项目培训保质、保量有序实施，投标人在中标后在江苏省内设立完善的组织机构，需有足够数量技术人员组成实施团队；须针对本项目成立服务小组，设立项目联系人，指派专人全权处理销售中标设备和服务过程中的一切事宜。</w:t>
      </w:r>
    </w:p>
    <w:p w14:paraId="172477DF">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2"/>
        <w:textAlignment w:val="auto"/>
        <w:rPr>
          <w:rFonts w:hint="eastAsia" w:ascii="宋体" w:hAnsi="宋体" w:eastAsia="宋体" w:cs="宋体"/>
          <w:sz w:val="24"/>
          <w:szCs w:val="24"/>
        </w:rPr>
      </w:pPr>
      <w:r>
        <w:rPr>
          <w:rFonts w:hint="eastAsia" w:ascii="宋体" w:hAnsi="宋体" w:eastAsia="宋体" w:cs="宋体"/>
          <w:b/>
          <w:color w:val="000000"/>
          <w:sz w:val="24"/>
          <w:szCs w:val="24"/>
        </w:rPr>
        <w:t>五、项目培训要求</w:t>
      </w:r>
    </w:p>
    <w:p w14:paraId="6D177043">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中标人供货时应免费向最终用户提供现场技术培训，或根据最终用户要求对所有需要参加培训的人员免费进行上门培训。培训方案至少应当包括：培训的时间及地点，培训方式，设备的原理、使用操作方式和日常维护及保养方法等。项目培训有教材、有方案、有考核。培训内容至少包括操作人员的使用培训和技术人员的常见问题及解决办法的培训等。培训时间按照最终用户要求。</w:t>
      </w:r>
    </w:p>
    <w:p w14:paraId="373ABAC5">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2"/>
        <w:textAlignment w:val="auto"/>
        <w:rPr>
          <w:rFonts w:hint="eastAsia" w:ascii="宋体" w:hAnsi="宋体" w:eastAsia="宋体" w:cs="宋体"/>
          <w:sz w:val="24"/>
          <w:szCs w:val="24"/>
        </w:rPr>
      </w:pPr>
      <w:r>
        <w:rPr>
          <w:rFonts w:hint="eastAsia" w:ascii="宋体" w:hAnsi="宋体" w:eastAsia="宋体" w:cs="宋体"/>
          <w:b/>
          <w:color w:val="000000"/>
          <w:sz w:val="24"/>
          <w:szCs w:val="24"/>
        </w:rPr>
        <w:t>六、质保及售后要求</w:t>
      </w:r>
    </w:p>
    <w:p w14:paraId="631BD7E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1.供应商提供的设备应为全新、未使用过的原装合格正品,并且符合国家有关质量技术标准及相关法律、法规规定的要求。中标人承诺在签订合同前提供所投产品的《产品技术标准》（白皮书）及医疗器械注册证附件的《产品技术要求》，若经核实发现与投标文件不一致，将视为提供虚假材料。设备的质量标准、应用操作培训、售后服务及维修、耗材的供应价格等，按招标文件要求、供应商投标文件承诺及国家规定的相关标准执行。</w:t>
      </w:r>
    </w:p>
    <w:p w14:paraId="3E37A06D">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2"/>
        <w:textAlignment w:val="auto"/>
        <w:rPr>
          <w:rFonts w:hint="eastAsia" w:ascii="宋体" w:hAnsi="宋体" w:eastAsia="宋体" w:cs="宋体"/>
          <w:sz w:val="24"/>
          <w:szCs w:val="24"/>
        </w:rPr>
      </w:pPr>
      <w:r>
        <w:rPr>
          <w:rFonts w:hint="eastAsia" w:ascii="宋体" w:hAnsi="宋体" w:eastAsia="宋体" w:cs="宋体"/>
          <w:b/>
          <w:color w:val="000000"/>
          <w:sz w:val="24"/>
          <w:szCs w:val="24"/>
        </w:rPr>
        <w:t>2.供应商提供设备（含第三方产品）原厂整机质保不少于三年。</w:t>
      </w:r>
    </w:p>
    <w:p w14:paraId="77123CB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3.供应商中标后需提供整体售后服务方案（响应时间，回访巡检方案、故障解决措施、技术人员保障、备品配件价格等）、本地化服务方案（江苏省内各服务网点、维修网点设置情况以及技术人员安排情况）等服务内容。</w:t>
      </w:r>
    </w:p>
    <w:p w14:paraId="11AFADB2">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4.供应商提供的设备在质保期内因设备本身的质量问题发生故障，供应商应负责免费上门维修。对达不到技术要求者，根据实际情况，采购人可选择按以下办法处理：</w:t>
      </w:r>
    </w:p>
    <w:p w14:paraId="1BA7332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（1）更换：由供应商承担所发生的全部费用。</w:t>
      </w:r>
    </w:p>
    <w:p w14:paraId="7861F61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（2）退货：供应商应退还采购人支付的合同款，同时应承担该设备的直接费用（运输、保险、检验、货款利息及银行手续费等）及由此对采购人造成的损失，供应商承担损失金额不超过合同总值的5%。</w:t>
      </w:r>
    </w:p>
    <w:p w14:paraId="612AE6E2">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5.在质保期内，供应商应对设备出现的质量及安全问题负责处理解决并承担一切费用。超过质保期的机器设备，维修时只收部件成本费用，不收取工时等杂费，成本费用不得高于投标文件所作的承诺。</w:t>
      </w:r>
    </w:p>
    <w:p w14:paraId="45E8692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6.为了确保设备正常运行，供应商应提供技术服务热线（7*24小时），负责解答采购人（含采购人确认的设备最终用户单位）在设备使用中遇到的问题，并及时提出解决问题的建议和操作方法；提供7*12小时现场维修和技术支持服务；供应商应当设立投诉专线，接受采购人（含采购人确认的设备最终用户单位）的投诉。</w:t>
      </w:r>
    </w:p>
    <w:p w14:paraId="00170372">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2"/>
        <w:textAlignment w:val="auto"/>
        <w:rPr>
          <w:rFonts w:hint="eastAsia" w:ascii="宋体" w:hAnsi="宋体" w:eastAsia="宋体" w:cs="宋体"/>
          <w:sz w:val="24"/>
          <w:szCs w:val="24"/>
        </w:rPr>
      </w:pPr>
      <w:r>
        <w:rPr>
          <w:rFonts w:hint="eastAsia" w:ascii="宋体" w:hAnsi="宋体" w:eastAsia="宋体" w:cs="宋体"/>
          <w:b/>
          <w:color w:val="000000"/>
          <w:sz w:val="24"/>
          <w:szCs w:val="24"/>
        </w:rPr>
        <w:t>七、调试和验收要求</w:t>
      </w:r>
    </w:p>
    <w:p w14:paraId="0DEBCCB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1.设备验收由最终用户单位负责具体实施；应当按招投标文件的要求及投标文件承诺（以更优者为准）的配置要求对全部设备（如型号、规格、数量等）以及文件（如装箱清单、产品合格证明文件，使用说明书、软件介质等）进行验收；应当按招投标文件技术要求对设备应能实现的技术功能进行测试验收，在测试或运行中出现性能指标或功能上不符合投标文件承诺和合同要求时，供应商应及时解决。不符合招投标文件要求的，将视情况按验收不合格设备进行处置。</w:t>
      </w:r>
    </w:p>
    <w:p w14:paraId="2A19209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2.供应商交货前应对设备及配件作出全面检查和对验收文件进行整理，并列出清单。供应商交付设备及配件时，必须提交国家规定的关于其质量、价格、使用及售后服务的相关资料和文件，同时必须将本次投标文件关于其质量、服务及相关承诺的复印件、加盖供应商公章的销售发票复印件交与最终用户单位。</w:t>
      </w:r>
    </w:p>
    <w:p w14:paraId="2104D48A">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3.供应商应向最终用户单位至少提供以下文档：装箱清单，产品合格证明文件、原厂售后服务承诺，中文使用说明书等。</w:t>
      </w:r>
    </w:p>
    <w:p w14:paraId="515A678E">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4.最终用户单位对供应商提供的设备在使用前进行调试时，供应商需负责安装并免费向最终用户单位提供现场技术培训，培训应按照供应商投标文件提供的培训方案实施，并协助最终用户单位一起调试，直到符合技术要求，最终用户单位才做最终验收。</w:t>
      </w:r>
    </w:p>
    <w:p w14:paraId="14439FF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5.验收时甲乙双方如果就质量问题有争议，可以委托江苏省省级法定检测机构进行检测评定。质量合格的检测费用由采购人承担，质量不合格的，检测费用由供应商承担。</w:t>
      </w:r>
    </w:p>
    <w:p w14:paraId="015D4185">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2"/>
        <w:textAlignment w:val="auto"/>
        <w:rPr>
          <w:rFonts w:hint="eastAsia" w:ascii="宋体" w:hAnsi="宋体" w:eastAsia="宋体" w:cs="宋体"/>
          <w:sz w:val="24"/>
          <w:szCs w:val="24"/>
        </w:rPr>
      </w:pPr>
      <w:r>
        <w:rPr>
          <w:rFonts w:hint="eastAsia" w:ascii="宋体" w:hAnsi="宋体" w:eastAsia="宋体" w:cs="宋体"/>
          <w:b/>
          <w:color w:val="000000"/>
          <w:sz w:val="24"/>
          <w:szCs w:val="24"/>
        </w:rPr>
        <w:t>八、包装、发运及运输要求</w:t>
      </w:r>
    </w:p>
    <w:p w14:paraId="71A73CEB">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1.供应商应在设备发运前对其进行满足运输距离、防潮、防震、防锈和防破损装卸等要求包装，以保证设备安全运达采购人指定地点（具体情况可自行现场踏勘）。</w:t>
      </w:r>
    </w:p>
    <w:p w14:paraId="37D8E6A7">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2.使用说明书、产品合格证明文件、随配附件和工具以及清单一并附于设备内。</w:t>
      </w:r>
    </w:p>
    <w:p w14:paraId="17156D9C">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3.供应商在设备发运手续办理完毕后24小时内或货到最终用户单位48小时前通知最终用户单位，以准备接货。</w:t>
      </w:r>
    </w:p>
    <w:p w14:paraId="2C1AC474">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4.设备在交付采购人（最终用户单位）前发生的风险均由供应商负责。</w:t>
      </w:r>
    </w:p>
    <w:p w14:paraId="19EF5442">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5.供应商在合同约定交付时间内将提供的设备送达采购人指定的地点（具体情况可自行现场踏勘），安装调试，并验收合格视为交付。</w:t>
      </w:r>
    </w:p>
    <w:p w14:paraId="0D8031B6">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2"/>
        <w:textAlignment w:val="auto"/>
        <w:rPr>
          <w:rFonts w:hint="eastAsia" w:ascii="宋体" w:hAnsi="宋体" w:eastAsia="宋体" w:cs="宋体"/>
          <w:sz w:val="24"/>
          <w:szCs w:val="24"/>
        </w:rPr>
      </w:pPr>
      <w:r>
        <w:rPr>
          <w:rFonts w:hint="eastAsia" w:ascii="宋体" w:hAnsi="宋体" w:eastAsia="宋体" w:cs="宋体"/>
          <w:b/>
          <w:color w:val="000000"/>
          <w:sz w:val="24"/>
          <w:szCs w:val="24"/>
        </w:rPr>
        <w:t>九、其他要求</w:t>
      </w:r>
    </w:p>
    <w:p w14:paraId="09FFBC68">
      <w:pPr>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400" w:lineRule="exact"/>
        <w:ind w:right="2" w:firstLine="560"/>
        <w:textAlignment w:val="auto"/>
        <w:rPr>
          <w:rFonts w:hint="eastAsia" w:ascii="宋体" w:hAnsi="宋体" w:eastAsia="宋体" w:cs="宋体"/>
          <w:sz w:val="24"/>
          <w:szCs w:val="24"/>
        </w:rPr>
      </w:pPr>
      <w:r>
        <w:rPr>
          <w:rFonts w:hint="eastAsia" w:ascii="宋体" w:hAnsi="宋体" w:eastAsia="宋体" w:cs="宋体"/>
          <w:color w:val="000000"/>
          <w:sz w:val="24"/>
          <w:szCs w:val="24"/>
        </w:rPr>
        <w:t>1.见招标文件第五章《拟签订的合同文本》。</w:t>
      </w:r>
    </w:p>
    <w:p w14:paraId="364C2C21">
      <w:pPr>
        <w:keepNext w:val="0"/>
        <w:keepLines w:val="0"/>
        <w:pageBreakBefore w:val="0"/>
        <w:tabs>
          <w:tab w:val="left" w:pos="0"/>
        </w:tabs>
        <w:kinsoku/>
        <w:wordWrap/>
        <w:overflowPunct/>
        <w:topLinePunct w:val="0"/>
        <w:autoSpaceDE/>
        <w:autoSpaceDN/>
        <w:bidi w:val="0"/>
        <w:adjustRightInd/>
        <w:snapToGrid/>
        <w:spacing w:line="400" w:lineRule="exact"/>
        <w:textAlignment w:val="auto"/>
        <w:outlineLvl w:val="9"/>
        <w:rPr>
          <w:rFonts w:hint="eastAsia" w:ascii="宋体" w:hAnsi="宋体" w:eastAsia="宋体" w:cs="宋体"/>
          <w:sz w:val="24"/>
          <w:szCs w:val="24"/>
        </w:rPr>
      </w:pPr>
      <w:r>
        <w:rPr>
          <w:rFonts w:hint="eastAsia" w:ascii="宋体" w:hAnsi="宋体" w:eastAsia="宋体" w:cs="宋体"/>
          <w:color w:val="000000"/>
          <w:sz w:val="24"/>
          <w:szCs w:val="24"/>
        </w:rPr>
        <w:t>2.中标人（如为代理商）应在签订合同前提供所投产品制造商针对本项目的有效授权书或类似具体文件，如无法提供将视为虚假应标。</w:t>
      </w:r>
    </w:p>
    <w:p w14:paraId="15F99E8A">
      <w:pPr>
        <w:pageBreakBefore w:val="0"/>
        <w:kinsoku/>
        <w:wordWrap/>
        <w:overflowPunct/>
        <w:topLinePunct w:val="0"/>
        <w:autoSpaceDE/>
        <w:autoSpaceDN/>
        <w:bidi w:val="0"/>
        <w:adjustRightInd/>
        <w:snapToGrid/>
        <w:spacing w:line="400" w:lineRule="exact"/>
        <w:textAlignment w:val="auto"/>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DejaVu Math TeX Gyre"/>
    <w:panose1 w:val="00000000000000000000"/>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KSOFE44F9426">
    <w:panose1 w:val="02010609060101010101"/>
    <w:charset w:val="86"/>
    <w:family w:val="auto"/>
    <w:pitch w:val="default"/>
    <w:sig w:usb0="00000001" w:usb1="00000000" w:usb2="00000000" w:usb3="00000000" w:csb0="00040001"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702CDB"/>
    <w:rsid w:val="02702CDB"/>
    <w:rsid w:val="101E4D1D"/>
    <w:rsid w:val="135730B9"/>
    <w:rsid w:val="22B3482A"/>
    <w:rsid w:val="42F4576B"/>
    <w:rsid w:val="43A73DC7"/>
    <w:rsid w:val="5152705E"/>
    <w:rsid w:val="559A6229"/>
    <w:rsid w:val="64984234"/>
    <w:rsid w:val="687E455F"/>
    <w:rsid w:val="7EC31F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42"/>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qFormat/>
    <w:uiPriority w:val="0"/>
    <w:pPr>
      <w:keepNext/>
      <w:keepLines/>
      <w:spacing w:line="578" w:lineRule="auto"/>
      <w:jc w:val="center"/>
      <w:outlineLvl w:val="0"/>
    </w:pPr>
    <w:rPr>
      <w:rFonts w:eastAsia="新宋体"/>
      <w:b/>
      <w:bCs/>
      <w:sz w:val="30"/>
      <w:szCs w:val="44"/>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rPr>
      <w:rFonts w:eastAsia="??"/>
      <w:sz w:val="24"/>
    </w:rPr>
  </w:style>
  <w:style w:type="paragraph" w:styleId="4">
    <w:name w:val="Body Text"/>
    <w:basedOn w:val="1"/>
    <w:next w:val="5"/>
    <w:qFormat/>
    <w:uiPriority w:val="0"/>
    <w:pPr>
      <w:spacing w:after="120"/>
    </w:pPr>
  </w:style>
  <w:style w:type="paragraph" w:customStyle="1" w:styleId="5">
    <w:name w:val="一级条标题"/>
    <w:basedOn w:val="6"/>
    <w:next w:val="14"/>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6">
    <w:name w:val="章标题"/>
    <w:next w:val="7"/>
    <w:qFormat/>
    <w:uiPriority w:val="0"/>
    <w:pPr>
      <w:tabs>
        <w:tab w:val="left" w:pos="810"/>
        <w:tab w:val="left" w:pos="1265"/>
      </w:tabs>
      <w:spacing w:before="50" w:after="50"/>
      <w:ind w:left="810" w:hanging="810"/>
      <w:jc w:val="both"/>
      <w:outlineLvl w:val="1"/>
    </w:pPr>
    <w:rPr>
      <w:rFonts w:hint="default" w:ascii="黑体" w:hAnsi="Times New Roman" w:eastAsia="黑体" w:cs="Times New Roman"/>
      <w:sz w:val="21"/>
      <w:szCs w:val="22"/>
      <w:lang w:val="en-US" w:eastAsia="zh-CN" w:bidi="ar-SA"/>
    </w:rPr>
  </w:style>
  <w:style w:type="paragraph" w:customStyle="1" w:styleId="7">
    <w:name w:val="正文1"/>
    <w:basedOn w:val="8"/>
    <w:next w:val="13"/>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8">
    <w:name w:val="正文11"/>
    <w:basedOn w:val="3"/>
    <w:next w:val="9"/>
    <w:qFormat/>
    <w:uiPriority w:val="0"/>
    <w:pPr>
      <w:jc w:val="both"/>
    </w:pPr>
    <w:rPr>
      <w:rFonts w:hint="default" w:ascii="Times New Roman" w:hAnsi="Times New Roman" w:eastAsia="宋体" w:cs="Times New Roman"/>
      <w:lang w:val="en-US" w:eastAsia="zh-CN" w:bidi="ar-SA"/>
    </w:rPr>
  </w:style>
  <w:style w:type="paragraph" w:customStyle="1" w:styleId="9">
    <w:name w:val="文本块1"/>
    <w:basedOn w:val="7"/>
    <w:next w:val="10"/>
    <w:qFormat/>
    <w:uiPriority w:val="0"/>
    <w:pPr>
      <w:spacing w:after="120"/>
      <w:ind w:left="1440" w:right="1440"/>
    </w:pPr>
  </w:style>
  <w:style w:type="paragraph" w:customStyle="1" w:styleId="10">
    <w:name w:val="标题 41"/>
    <w:basedOn w:val="11"/>
    <w:next w:val="8"/>
    <w:qFormat/>
    <w:uiPriority w:val="0"/>
    <w:pPr>
      <w:keepNext/>
      <w:keepLines/>
      <w:spacing w:before="280" w:after="290" w:line="376" w:lineRule="auto"/>
      <w:outlineLvl w:val="3"/>
    </w:pPr>
    <w:rPr>
      <w:rFonts w:ascii="Cambria" w:hAnsi="Cambria"/>
      <w:b/>
      <w:bCs/>
      <w:sz w:val="28"/>
      <w:szCs w:val="28"/>
    </w:rPr>
  </w:style>
  <w:style w:type="paragraph" w:customStyle="1" w:styleId="11">
    <w:name w:val="正文12"/>
    <w:next w:val="12"/>
    <w:qFormat/>
    <w:uiPriority w:val="0"/>
    <w:pPr>
      <w:widowControl w:val="0"/>
      <w:spacing w:line="360" w:lineRule="auto"/>
      <w:ind w:firstLine="723"/>
      <w:jc w:val="both"/>
    </w:pPr>
    <w:rPr>
      <w:rFonts w:hint="default" w:ascii="Times New Roman" w:hAnsi="Times New Roman" w:eastAsia="宋体" w:cs="Times New Roman"/>
      <w:sz w:val="24"/>
      <w:szCs w:val="24"/>
      <w:lang w:val="en-US" w:eastAsia="zh-CN" w:bidi="ar-SA"/>
    </w:rPr>
  </w:style>
  <w:style w:type="paragraph" w:customStyle="1" w:styleId="12">
    <w:name w:val="无间隔1"/>
    <w:qFormat/>
    <w:uiPriority w:val="0"/>
    <w:rPr>
      <w:rFonts w:ascii="Calibri" w:hAnsi="Calibri" w:eastAsia="宋体" w:cs="Times New Roman"/>
      <w:sz w:val="22"/>
      <w:lang w:val="en-US" w:eastAsia="zh-CN" w:bidi="ar-SA"/>
    </w:rPr>
  </w:style>
  <w:style w:type="paragraph" w:customStyle="1" w:styleId="13">
    <w:name w:val="正文文本1"/>
    <w:basedOn w:val="8"/>
    <w:next w:val="7"/>
    <w:qFormat/>
    <w:uiPriority w:val="0"/>
    <w:pPr>
      <w:spacing w:after="120"/>
    </w:pPr>
    <w:rPr>
      <w:rFonts w:ascii="Calibri" w:hAnsi="Calibri"/>
    </w:rPr>
  </w:style>
  <w:style w:type="paragraph" w:customStyle="1" w:styleId="14">
    <w:name w:val="段"/>
    <w:basedOn w:val="7"/>
    <w:next w:val="1"/>
    <w:qFormat/>
    <w:uiPriority w:val="0"/>
    <w:pPr>
      <w:widowControl/>
      <w:ind w:firstLine="200"/>
    </w:pPr>
    <w:rPr>
      <w:rFonts w:hint="eastAsia" w:ascii="宋体"/>
      <w:szCs w:val="20"/>
    </w:rPr>
  </w:style>
  <w:style w:type="paragraph" w:styleId="15">
    <w:name w:val="Body Text Indent"/>
    <w:basedOn w:val="1"/>
    <w:next w:val="16"/>
    <w:unhideWhenUsed/>
    <w:qFormat/>
    <w:uiPriority w:val="99"/>
    <w:pPr>
      <w:spacing w:after="120"/>
      <w:ind w:left="420"/>
    </w:pPr>
  </w:style>
  <w:style w:type="paragraph" w:styleId="16">
    <w:name w:val="envelope return"/>
    <w:basedOn w:val="1"/>
    <w:qFormat/>
    <w:uiPriority w:val="0"/>
    <w:rPr>
      <w:rFonts w:ascii="Arial" w:hAnsi="Arial"/>
    </w:rPr>
  </w:style>
  <w:style w:type="paragraph" w:styleId="17">
    <w:name w:val="footer"/>
    <w:basedOn w:val="1"/>
    <w:unhideWhenUsed/>
    <w:qFormat/>
    <w:uiPriority w:val="99"/>
    <w:pPr>
      <w:tabs>
        <w:tab w:val="center" w:pos="7143"/>
        <w:tab w:val="right" w:pos="14287"/>
      </w:tabs>
    </w:pPr>
  </w:style>
  <w:style w:type="paragraph" w:styleId="1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9">
    <w:name w:val="List"/>
    <w:basedOn w:val="1"/>
    <w:qFormat/>
    <w:uiPriority w:val="99"/>
    <w:pPr>
      <w:spacing w:line="360" w:lineRule="auto"/>
      <w:ind w:left="200" w:hanging="200"/>
      <w:contextualSpacing/>
    </w:pPr>
    <w:rPr>
      <w:rFonts w:ascii="Calibri" w:hAnsi="Calibri"/>
      <w:szCs w:val="20"/>
    </w:rPr>
  </w:style>
  <w:style w:type="paragraph" w:styleId="20">
    <w:name w:val="Body Text First Indent"/>
    <w:basedOn w:val="4"/>
    <w:next w:val="21"/>
    <w:qFormat/>
    <w:uiPriority w:val="0"/>
    <w:pPr>
      <w:ind w:firstLine="420"/>
    </w:pPr>
  </w:style>
  <w:style w:type="paragraph" w:styleId="21">
    <w:name w:val="Body Text First Indent 2"/>
    <w:basedOn w:val="15"/>
    <w:next w:val="19"/>
    <w:unhideWhenUsed/>
    <w:qFormat/>
    <w:uiPriority w:val="99"/>
    <w:pPr>
      <w:ind w:firstLine="420"/>
    </w:pPr>
  </w:style>
  <w:style w:type="table" w:styleId="23">
    <w:name w:val="Table Grid"/>
    <w:basedOn w:val="2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
    <w:name w:val="目录 11"/>
    <w:basedOn w:val="11"/>
    <w:next w:val="8"/>
    <w:qFormat/>
    <w:uiPriority w:val="39"/>
  </w:style>
  <w:style w:type="paragraph" w:customStyle="1" w:styleId="26">
    <w:name w:val="文本块11"/>
    <w:basedOn w:val="27"/>
    <w:autoRedefine/>
    <w:unhideWhenUsed/>
    <w:qFormat/>
    <w:uiPriority w:val="0"/>
    <w:pPr>
      <w:spacing w:after="120"/>
      <w:ind w:left="1440" w:right="1440"/>
    </w:pPr>
  </w:style>
  <w:style w:type="paragraph" w:customStyle="1" w:styleId="27">
    <w:name w:val="正文121"/>
    <w:next w:val="26"/>
    <w:autoRedefine/>
    <w:qFormat/>
    <w:uiPriority w:val="0"/>
    <w:rPr>
      <w:rFonts w:ascii="Times New Roman" w:hAnsi="Times New Roman" w:eastAsia="宋体" w:cs="Times New Roman"/>
      <w:lang w:val="en-US" w:eastAsia="zh-CN" w:bidi="ar-SA"/>
    </w:rPr>
  </w:style>
  <w:style w:type="paragraph" w:customStyle="1" w:styleId="28">
    <w:name w:val="正文13"/>
    <w:next w:val="29"/>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29">
    <w:name w:val="正文首行缩进1"/>
    <w:basedOn w:val="30"/>
    <w:next w:val="32"/>
    <w:qFormat/>
    <w:uiPriority w:val="0"/>
    <w:pPr>
      <w:ind w:firstLine="420"/>
    </w:pPr>
    <w:rPr>
      <w:rFonts w:ascii="仿宋_GB2312" w:hAnsi="Times New Roman" w:eastAsia="仿宋_GB2312"/>
      <w:sz w:val="30"/>
      <w:szCs w:val="30"/>
    </w:rPr>
  </w:style>
  <w:style w:type="paragraph" w:customStyle="1" w:styleId="30">
    <w:name w:val="正文文本11"/>
    <w:basedOn w:val="31"/>
    <w:next w:val="8"/>
    <w:qFormat/>
    <w:uiPriority w:val="0"/>
    <w:pPr>
      <w:spacing w:after="120"/>
    </w:pPr>
  </w:style>
  <w:style w:type="paragraph" w:customStyle="1" w:styleId="31">
    <w:name w:val="正文112"/>
    <w:next w:val="3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2">
    <w:name w:val="正文首行缩进 21"/>
    <w:basedOn w:val="33"/>
    <w:qFormat/>
    <w:uiPriority w:val="0"/>
    <w:pPr>
      <w:ind w:firstLine="420"/>
    </w:pPr>
    <w:rPr>
      <w:rFonts w:ascii="Times New Roman" w:hAnsi="Times New Roman"/>
    </w:rPr>
  </w:style>
  <w:style w:type="paragraph" w:customStyle="1" w:styleId="33">
    <w:name w:val="正文文本缩进1"/>
    <w:basedOn w:val="7"/>
    <w:next w:val="34"/>
    <w:qFormat/>
    <w:uiPriority w:val="99"/>
    <w:pPr>
      <w:spacing w:after="120"/>
      <w:ind w:left="420"/>
    </w:pPr>
    <w:rPr>
      <w:rFonts w:ascii="Calibri" w:hAnsi="Calibri"/>
    </w:rPr>
  </w:style>
  <w:style w:type="paragraph" w:customStyle="1" w:styleId="34">
    <w:name w:val="寄信人地址1"/>
    <w:basedOn w:val="1"/>
    <w:qFormat/>
    <w:uiPriority w:val="0"/>
    <w:rPr>
      <w:rFonts w:ascii="Arial" w:hAnsi="Arial"/>
    </w:rPr>
  </w:style>
  <w:style w:type="paragraph" w:customStyle="1" w:styleId="35">
    <w:name w:val="正文111"/>
    <w:next w:val="33"/>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6">
    <w:name w:val="正文首行缩进11"/>
    <w:basedOn w:val="13"/>
    <w:next w:val="37"/>
    <w:qFormat/>
    <w:uiPriority w:val="0"/>
    <w:pPr>
      <w:ind w:firstLine="420"/>
    </w:pPr>
    <w:rPr>
      <w:rFonts w:ascii="仿宋_GB2312" w:eastAsia="仿宋_GB2312"/>
      <w:sz w:val="30"/>
      <w:szCs w:val="30"/>
    </w:rPr>
  </w:style>
  <w:style w:type="paragraph" w:customStyle="1" w:styleId="37">
    <w:name w:val="正文首行缩进 211"/>
    <w:basedOn w:val="38"/>
    <w:qFormat/>
    <w:uiPriority w:val="0"/>
    <w:pPr>
      <w:ind w:firstLine="420"/>
    </w:pPr>
    <w:rPr>
      <w:rFonts w:ascii="Times New Roman" w:hAnsi="Times New Roman"/>
    </w:rPr>
  </w:style>
  <w:style w:type="paragraph" w:customStyle="1" w:styleId="38">
    <w:name w:val="正文文本缩进11"/>
    <w:basedOn w:val="8"/>
    <w:next w:val="39"/>
    <w:qFormat/>
    <w:uiPriority w:val="0"/>
    <w:pPr>
      <w:spacing w:after="120"/>
      <w:ind w:left="420"/>
    </w:pPr>
    <w:rPr>
      <w:rFonts w:ascii="Calibri" w:hAnsi="Calibri"/>
    </w:rPr>
  </w:style>
  <w:style w:type="paragraph" w:customStyle="1" w:styleId="39">
    <w:name w:val="寄信人地址11"/>
    <w:basedOn w:val="8"/>
    <w:qFormat/>
    <w:uiPriority w:val="0"/>
    <w:rPr>
      <w:rFonts w:ascii="Arial" w:hAnsi="Arial"/>
    </w:rPr>
  </w:style>
  <w:style w:type="paragraph" w:customStyle="1" w:styleId="40">
    <w:name w:val="正文文本111"/>
    <w:basedOn w:val="11"/>
    <w:next w:val="11"/>
    <w:qFormat/>
    <w:uiPriority w:val="0"/>
  </w:style>
  <w:style w:type="paragraph" w:customStyle="1" w:styleId="41">
    <w:name w:val="标题 11"/>
    <w:basedOn w:val="7"/>
    <w:next w:val="8"/>
    <w:autoRedefine/>
    <w:qFormat/>
    <w:uiPriority w:val="0"/>
    <w:pPr>
      <w:keepNext/>
      <w:keepLines/>
      <w:spacing w:line="578" w:lineRule="auto"/>
      <w:jc w:val="center"/>
      <w:outlineLvl w:val="0"/>
    </w:pPr>
    <w:rPr>
      <w:rFonts w:eastAsia="新宋体"/>
      <w:b/>
      <w:bCs/>
      <w:sz w:val="30"/>
      <w:szCs w:val="44"/>
    </w:rPr>
  </w:style>
  <w:style w:type="character" w:customStyle="1" w:styleId="42">
    <w:name w:val="NormalCharacter1"/>
    <w:link w:val="1"/>
    <w:qFormat/>
    <w:uiPriority w:val="0"/>
    <w:rPr>
      <w:rFonts w:hint="default" w:ascii="Times New Roman" w:hAnsi="Times New Roman" w:eastAsia="宋体" w:cs="Times New Roman"/>
      <w:sz w:val="21"/>
      <w:szCs w:val="24"/>
      <w:lang w:val="en-US" w:eastAsia="zh-CN" w:bidi="ar-SA"/>
    </w:rPr>
  </w:style>
  <w:style w:type="paragraph" w:styleId="43">
    <w:name w:val="List Paragraph"/>
    <w:basedOn w:val="1"/>
    <w:autoRedefine/>
    <w:qFormat/>
    <w:uiPriority w:val="34"/>
    <w:pPr>
      <w:ind w:left="720"/>
      <w:contextualSpacing/>
    </w:pPr>
  </w:style>
  <w:style w:type="paragraph" w:customStyle="1" w:styleId="44">
    <w:name w:val="页眉1"/>
    <w:basedOn w:val="7"/>
    <w:autoRedefine/>
    <w:qFormat/>
    <w:uiPriority w:val="0"/>
    <w:pPr>
      <w:pBdr>
        <w:bottom w:val="single" w:color="000000" w:sz="6" w:space="1"/>
      </w:pBdr>
      <w:tabs>
        <w:tab w:val="center" w:pos="4153"/>
        <w:tab w:val="right" w:pos="8306"/>
      </w:tabs>
      <w:jc w:val="center"/>
    </w:pPr>
    <w:rPr>
      <w:sz w:val="18"/>
      <w:szCs w:val="18"/>
    </w:rPr>
  </w:style>
  <w:style w:type="paragraph" w:customStyle="1" w:styleId="45">
    <w:name w:val="页脚1"/>
    <w:basedOn w:val="7"/>
    <w:autoRedefine/>
    <w:qFormat/>
    <w:uiPriority w:val="0"/>
    <w:pPr>
      <w:tabs>
        <w:tab w:val="center" w:pos="4153"/>
        <w:tab w:val="right" w:pos="8306"/>
      </w:tabs>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5130</Words>
  <Characters>5920</Characters>
  <Lines>0</Lines>
  <Paragraphs>0</Paragraphs>
  <TotalTime>5</TotalTime>
  <ScaleCrop>false</ScaleCrop>
  <LinksUpToDate>false</LinksUpToDate>
  <CharactersWithSpaces>5923</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2026-08-27T09:35:00Z</dcterms:created>
  <dc:creator>Administrator</dc:creator>
  <cp:lastModifiedBy>此言 木南  ღ</cp:lastModifiedBy>
  <dcterms:modified xsi:type="dcterms:W3CDTF">2026-10-20T06:20:17Z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A7DA30DF6D87471DAE74AD24162DED65_11</vt:lpwstr>
  </property>
  <property fmtid="{D5CDD505-2E9C-101B-9397-08002B2CF9AE}" pid="4" name="KSOTemplateDocerSaveRecord">
    <vt:lpwstr>eyJoZGlkIjoiYzM2MjUxNzE4OTIzN2ZmMjhhNzFlNzJlYTViZjk2NzkiLCJ1c2VySWQiOiIxMDgxNzczMzM1In0=</vt:lpwstr>
  </property>
</Properties>
</file>