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JSZC-320830-SXSD-C2026-0020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55"/>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ind w:left="0" w:firstLine="0"/>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项目名称：盱眙县黄花塘镇倜傥村五星生猪养殖小区改造项目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5</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宋体" w:hAnsi="宋体" w:eastAsia="宋体" w:cs="宋体"/>
          <w:b/>
          <w:color w:val="auto"/>
          <w:sz w:val="30"/>
          <w:szCs w:val="30"/>
          <w:highlight w:val="none"/>
        </w:rPr>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938"/>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盱眙县黄花塘镇人民政府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JSZC-320830-SXSD-C2026-0020</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盱眙县黄花塘镇倜傥村五星生猪养殖小区改造项目，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399万元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943"/>
              <w:numPr>
                <w:ilvl w:val="0"/>
                <w:numId w:val="0"/>
              </w:num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29</w:t>
            </w:r>
            <w:r>
              <w:rPr>
                <w:rFonts w:hint="eastAsia" w:ascii="仿宋" w:hAnsi="仿宋" w:eastAsia="仿宋" w:cs="仿宋"/>
                <w:bCs/>
                <w:color w:val="auto"/>
                <w:sz w:val="24"/>
                <w:szCs w:val="24"/>
                <w:highlight w:val="none"/>
                <w:shd w:val="clear" w:color="auto" w:fill="ffffff"/>
              </w:rPr>
              <w:t xml:space="preserve">日09</w:t>
            </w:r>
            <w:r>
              <w:rPr>
                <w:rFonts w:hint="eastAsia" w:ascii="仿宋" w:hAnsi="仿宋" w:eastAsia="仿宋" w:cs="仿宋"/>
                <w:bCs/>
                <w:color w:val="auto"/>
                <w:sz w:val="24"/>
                <w:szCs w:val="24"/>
                <w:highlight w:val="none"/>
                <w:shd w:val="clear" w:color="auto" w:fill="ffffff"/>
              </w:rPr>
              <w:t xml:space="preserve">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bookmarkStart w:id="635" w:name="_GoBack"/>
      <w:r/>
      <w:bookmarkEnd w:id="635"/>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盱眙县黄花塘镇倜傥村五星生猪养殖小区改造项目（项目编号：JSZC-320830-SXSD-C2026-0020</w:t>
      </w:r>
      <w:r>
        <w:rPr>
          <w:rFonts w:hint="eastAsia" w:ascii="仿宋" w:hAnsi="仿宋" w:eastAsia="仿宋" w:cs="仿宋"/>
          <w:color w:val="auto"/>
          <w:sz w:val="24"/>
          <w:szCs w:val="24"/>
          <w:highlight w:val="none"/>
          <w:lang w:eastAsia="zh-CN"/>
        </w:rPr>
        <w:t xml:space="preserve">）采购项目的潜在供应商应在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29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：JSZC-320830-SXSD-C2026-0020</w:t>
      </w:r>
      <w:r>
        <w:rPr>
          <w:rFonts w:hint="eastAsia" w:ascii="仿宋" w:hAnsi="仿宋" w:eastAsia="仿宋" w:cs="仿宋"/>
          <w:color w:val="auto"/>
          <w:sz w:val="24"/>
          <w:szCs w:val="24"/>
          <w:highlight w:val="non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盱眙县黄花塘镇倜傥村五星生猪养殖小区改造项目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399万元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盱眙县黄花塘镇倜傥村五星生猪养殖小区改造项目，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8"/>
      <w:r/>
      <w:bookmarkEnd w:id="7"/>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11"/>
      <w:r/>
      <w:bookmarkEnd w:id="9"/>
      <w:r/>
      <w:bookmarkEnd w:id="10"/>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须具备建筑工程总承包叁级（含）以上资质的法人企业，企业具备安全生产条件，并取得安全生产许可证</w:t>
      </w:r>
      <w:r>
        <w:rPr>
          <w:rFonts w:hint="eastAsia" w:ascii="仿宋" w:hAnsi="仿宋" w:eastAsia="仿宋" w:cs="仿宋"/>
          <w:color w:val="auto"/>
          <w:sz w:val="24"/>
          <w:szCs w:val="24"/>
          <w:highlight w:val="none"/>
        </w:rPr>
        <w:t xml:space="preserve">；</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9"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拟派本项目的项目负责人须具备建筑工程专业二级（含）以上注册</w:t>
      </w:r>
      <w:r>
        <w:rPr>
          <w:rFonts w:hint="eastAsia" w:ascii="仿宋" w:hAnsi="仿宋" w:eastAsia="仿宋" w:cs="仿宋"/>
          <w:b w:val="0"/>
          <w:bCs w:val="0"/>
          <w:color w:val="auto"/>
          <w:sz w:val="24"/>
          <w:szCs w:val="24"/>
          <w:highlight w:val="none"/>
          <w:lang w:val="en-US" w:eastAsia="zh-CN"/>
        </w:rPr>
        <w:t xml:space="preserve">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9"/>
      <w:r/>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20" w:name="OLE_LINK70"/>
      <w:r>
        <w:rPr>
          <w:rFonts w:hint="eastAsia" w:ascii="仿宋" w:hAnsi="仿宋" w:eastAsia="仿宋" w:cs="仿宋"/>
          <w:color w:val="auto"/>
          <w:sz w:val="24"/>
          <w:szCs w:val="24"/>
          <w:highlight w:val="none"/>
        </w:rPr>
        <w:t xml:space="preserve">江苏省政府采购网或者淮安市政府采购网</w:t>
      </w:r>
      <w:bookmarkEnd w:id="20"/>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1"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1"/>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29 </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2"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2"/>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29</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 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3"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934"/>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4" w:name="OLE_LINK79"/>
      <w:r/>
      <w:bookmarkStart w:id="25"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单位地址：盱眙县黄花塘镇旧铺街道</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联系人：蔡刚振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联系电话：13401812268</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联系人：张工</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联系电话：15358668216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项目联系人：张工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电话：15358668216</w:t>
      </w:r>
      <w:bookmarkEnd w:id="2"/>
      <w:r/>
      <w:bookmarkEnd w:id="24"/>
      <w:r/>
      <w:bookmarkEnd w:id="25"/>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盱眙县黄花塘镇人民政府</w:t>
      </w:r>
      <w:r/>
    </w:p>
    <w:p>
      <w:pPr>
        <w:ind w:firstLine="480"/>
        <w:jc w:val="right"/>
        <w:keepLines w:val="0"/>
        <w:keepNext w:val="0"/>
        <w:pageBreakBefore w:val="0"/>
        <w:spacing w:line="380" w:lineRule="exact"/>
        <w:widowControl w:val="off"/>
        <w:rPr>
          <w:rFonts w:hint="eastAsia" w:ascii="宋体" w:hAnsi="宋体" w:eastAsia="宋体" w:cs="宋体"/>
          <w:b/>
          <w:color w:val="auto"/>
          <w:sz w:val="30"/>
          <w:szCs w:val="30"/>
          <w:highlight w:val="none"/>
        </w:rPr>
      </w:pPr>
      <w:r>
        <w:rPr>
          <w:rFonts w:hint="eastAsia" w:ascii="仿宋" w:hAnsi="仿宋" w:eastAsia="仿宋" w:cs="仿宋"/>
          <w:color w:val="auto"/>
          <w:sz w:val="24"/>
          <w:szCs w:val="24"/>
          <w:highlight w:val="none"/>
          <w:lang w:val="en-US" w:eastAsia="zh-CN"/>
        </w:rPr>
        <w:t xml:space="preserve">2026年5月18日</w:t>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pStyle w:val="953"/>
        <w:rPr>
          <w:rFonts w:hint="eastAsia"/>
        </w:rPr>
      </w:pPr>
      <w:r>
        <w:rPr>
          <w:rFonts w:hint="eastAsia"/>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pageBreakBefore w:val="0"/>
        <w:spacing w:line="380" w:lineRule="exact"/>
        <w:rPr>
          <w:rFonts w:hint="eastAsia" w:ascii="方正仿宋_GB2312" w:hAnsi="方正仿宋_GB2312" w:eastAsia="方正仿宋_GB2312" w:cs="方正仿宋_GB2312"/>
          <w:b/>
          <w:color w:val="auto"/>
          <w:sz w:val="30"/>
          <w:szCs w:val="30"/>
          <w:highlight w:val="none"/>
        </w:rPr>
        <w:outlineLvl w:val="0"/>
      </w:pPr>
      <w:r/>
      <w:bookmarkStart w:id="26" w:name="OLE_LINK21"/>
      <w:r>
        <w:rPr>
          <w:rFonts w:hint="eastAsia" w:ascii="方正仿宋_GB2312" w:hAnsi="方正仿宋_GB2312" w:eastAsia="方正仿宋_GB2312" w:cs="方正仿宋_GB2312"/>
          <w:b/>
          <w:color w:val="auto"/>
          <w:sz w:val="30"/>
          <w:szCs w:val="30"/>
          <w:highlight w:val="none"/>
        </w:rPr>
        <w:t xml:space="preserve">第二章  供应商须知</w:t>
      </w:r>
      <w:r/>
    </w:p>
    <w:p>
      <w:pPr>
        <w:pageBreakBefore w:val="0"/>
        <w:spacing w:line="38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6"/>
          <w:sz w:val="24"/>
          <w:szCs w:val="24"/>
          <w:highlight w:val="none"/>
        </w:rPr>
        <w:t xml:space="preserve">2.2</w:t>
      </w:r>
      <w:r>
        <w:rPr>
          <w:rFonts w:hint="eastAsia" w:ascii="方正仿宋_GB2312" w:hAnsi="方正仿宋_GB2312" w:eastAsia="方正仿宋_GB2312" w:cs="方正仿宋_GB2312"/>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3.1《中华人民共和国政府采购法》《中华人民共和国政府采购法实施条例》《政府采购竞争性磋商采购方式管理暂行办法》等有关</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和</w:t>
      </w:r>
      <w:r>
        <w:rPr>
          <w:rFonts w:hint="eastAsia" w:ascii="方正仿宋_GB2312" w:hAnsi="方正仿宋_GB2312" w:eastAsia="方正仿宋_GB2312" w:cs="方正仿宋_GB2312"/>
          <w:color w:val="auto"/>
          <w:sz w:val="24"/>
          <w:szCs w:val="24"/>
          <w:highlight w:val="none"/>
          <w:lang w:eastAsia="zh-CN"/>
        </w:rPr>
        <w:t xml:space="preserve">规定</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4.1供应商应自行承担所有与参加磋商有关的费用。不论磋商的结果如何，</w:t>
      </w:r>
      <w:bookmarkStart w:id="27" w:name="OLE_LINK36"/>
      <w:r>
        <w:rPr>
          <w:rFonts w:hint="eastAsia" w:ascii="方正仿宋_GB2312" w:hAnsi="方正仿宋_GB2312" w:eastAsia="方正仿宋_GB2312" w:cs="方正仿宋_GB2312"/>
          <w:color w:val="auto"/>
          <w:sz w:val="24"/>
          <w:szCs w:val="24"/>
          <w:highlight w:val="none"/>
          <w:lang w:val="en-US" w:eastAsia="zh-CN"/>
        </w:rPr>
        <w:t xml:space="preserve">盱眙</w:t>
      </w:r>
      <w:r>
        <w:rPr>
          <w:rFonts w:hint="eastAsia" w:ascii="方正仿宋_GB2312" w:hAnsi="方正仿宋_GB2312" w:eastAsia="方正仿宋_GB2312" w:cs="方正仿宋_GB2312"/>
          <w:color w:val="auto"/>
          <w:sz w:val="24"/>
          <w:szCs w:val="24"/>
          <w:highlight w:val="none"/>
        </w:rPr>
        <w:t xml:space="preserve">县政府采购中心</w:t>
      </w:r>
      <w:bookmarkEnd w:id="27"/>
      <w:r>
        <w:rPr>
          <w:rFonts w:hint="eastAsia" w:ascii="方正仿宋_GB2312" w:hAnsi="方正仿宋_GB2312" w:eastAsia="方正仿宋_GB2312" w:cs="方正仿宋_GB2312"/>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4.2采购代理</w:t>
      </w:r>
      <w:r>
        <w:rPr>
          <w:rFonts w:hint="eastAsia" w:ascii="方正仿宋_GB2312" w:hAnsi="方正仿宋_GB2312" w:eastAsia="方正仿宋_GB2312" w:cs="方正仿宋_GB2312"/>
          <w:color w:val="auto"/>
          <w:sz w:val="24"/>
          <w:szCs w:val="24"/>
          <w:highlight w:val="none"/>
          <w:lang w:eastAsia="zh-CN"/>
        </w:rPr>
        <w:t xml:space="preserve">机构（</w:t>
      </w:r>
      <w:r>
        <w:rPr>
          <w:rFonts w:hint="eastAsia" w:ascii="方正仿宋_GB2312" w:hAnsi="方正仿宋_GB2312" w:eastAsia="方正仿宋_GB2312" w:cs="方正仿宋_GB2312"/>
          <w:color w:val="auto"/>
          <w:sz w:val="24"/>
          <w:szCs w:val="24"/>
          <w:highlight w:val="none"/>
        </w:rPr>
        <w:t xml:space="preserve">下称代理机构）：采购人委托</w:t>
      </w:r>
      <w:r>
        <w:rPr>
          <w:rFonts w:hint="eastAsia" w:ascii="方正仿宋_GB2312" w:hAnsi="方正仿宋_GB2312" w:eastAsia="方正仿宋_GB2312" w:cs="方正仿宋_GB2312"/>
          <w:color w:val="auto"/>
          <w:sz w:val="24"/>
          <w:szCs w:val="24"/>
          <w:highlight w:val="none"/>
          <w:lang w:eastAsia="zh-CN"/>
        </w:rPr>
        <w:t xml:space="preserve">江苏新时代工程项目管理有限公司</w:t>
      </w:r>
      <w:r>
        <w:rPr>
          <w:rFonts w:hint="eastAsia" w:ascii="方正仿宋_GB2312" w:hAnsi="方正仿宋_GB2312" w:eastAsia="方正仿宋_GB2312" w:cs="方正仿宋_GB2312"/>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7.2对磋商文件的修改将在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8.3如标书制作工具中格式和内容与“淮安市政府采购网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淮安市公共资源交易网”发布的招标文件不一致，请以“淮安市政府采购网</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9.1本次项目投标报价应是竞争性磋商文件所确定完成本项目全部工作内容的价格体现</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全费用报价</w:t>
      </w:r>
      <w:r>
        <w:rPr>
          <w:rFonts w:hint="eastAsia" w:ascii="方正仿宋_GB2312" w:hAnsi="方正仿宋_GB2312" w:eastAsia="方正仿宋_GB2312" w:cs="方正仿宋_GB2312"/>
          <w:color w:val="auto"/>
          <w:sz w:val="24"/>
          <w:szCs w:val="24"/>
          <w:highlight w:val="none"/>
        </w:rPr>
        <w:t xml:space="preserve">，供应商的报价应包含</w:t>
      </w:r>
      <w:r>
        <w:rPr>
          <w:rFonts w:hint="eastAsia" w:ascii="方正仿宋_GB2312" w:hAnsi="方正仿宋_GB2312" w:eastAsia="方正仿宋_GB2312" w:cs="方正仿宋_GB2312"/>
          <w:color w:val="auto"/>
          <w:sz w:val="24"/>
          <w:szCs w:val="24"/>
          <w:highlight w:val="none"/>
          <w:lang w:val="en-US" w:eastAsia="zh-CN"/>
        </w:rPr>
        <w:t xml:space="preserve">所有</w:t>
      </w:r>
      <w:r>
        <w:rPr>
          <w:rFonts w:hint="eastAsia" w:ascii="方正仿宋_GB2312" w:hAnsi="方正仿宋_GB2312" w:eastAsia="方正仿宋_GB2312" w:cs="方正仿宋_GB2312"/>
          <w:color w:val="auto"/>
          <w:sz w:val="24"/>
          <w:szCs w:val="24"/>
          <w:highlight w:val="none"/>
        </w:rPr>
        <w:t xml:space="preserve">前期现场勘查费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资料收集与梳理费、</w:t>
      </w:r>
      <w:r>
        <w:rPr>
          <w:rFonts w:hint="eastAsia" w:ascii="方正仿宋_GB2312" w:hAnsi="方正仿宋_GB2312" w:eastAsia="方正仿宋_GB2312" w:cs="方正仿宋_GB2312"/>
          <w:color w:val="auto"/>
          <w:sz w:val="24"/>
          <w:szCs w:val="24"/>
          <w:highlight w:val="none"/>
          <w:lang w:val="en-US" w:eastAsia="zh-CN"/>
        </w:rPr>
        <w:t xml:space="preserve">安全风险评估</w:t>
      </w:r>
      <w:r>
        <w:rPr>
          <w:rFonts w:hint="eastAsia" w:ascii="方正仿宋_GB2312" w:hAnsi="方正仿宋_GB2312" w:eastAsia="方正仿宋_GB2312" w:cs="方正仿宋_GB2312"/>
          <w:color w:val="auto"/>
          <w:sz w:val="24"/>
          <w:szCs w:val="24"/>
          <w:highlight w:val="none"/>
        </w:rPr>
        <w:t xml:space="preserve">报告编制费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评审及修改费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技术咨询及现场配合费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成果交付及资料归档费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人员及办公费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差旅、</w:t>
      </w:r>
      <w:r>
        <w:rPr>
          <w:rFonts w:hint="eastAsia" w:ascii="方正仿宋_GB2312" w:hAnsi="方正仿宋_GB2312" w:eastAsia="方正仿宋_GB2312" w:cs="方正仿宋_GB2312"/>
          <w:color w:val="auto"/>
          <w:sz w:val="24"/>
          <w:szCs w:val="24"/>
          <w:highlight w:val="none"/>
        </w:rPr>
        <w:t xml:space="preserve">税费</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其他相关费用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完成本</w:t>
      </w:r>
      <w:r>
        <w:rPr>
          <w:rFonts w:hint="eastAsia" w:ascii="方正仿宋_GB2312" w:hAnsi="方正仿宋_GB2312" w:eastAsia="方正仿宋_GB2312" w:cs="方正仿宋_GB2312"/>
          <w:color w:val="auto"/>
          <w:sz w:val="24"/>
          <w:szCs w:val="24"/>
          <w:highlight w:val="none"/>
          <w:lang w:val="en-US" w:eastAsia="zh-CN"/>
        </w:rPr>
        <w:t xml:space="preserve">项目</w:t>
      </w:r>
      <w:r>
        <w:rPr>
          <w:rFonts w:hint="eastAsia" w:ascii="方正仿宋_GB2312" w:hAnsi="方正仿宋_GB2312" w:eastAsia="方正仿宋_GB2312" w:cs="方正仿宋_GB2312"/>
          <w:color w:val="auto"/>
          <w:sz w:val="24"/>
          <w:szCs w:val="24"/>
          <w:highlight w:val="none"/>
        </w:rPr>
        <w:t xml:space="preserve">约定服务所需的其他辅助费用</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以及与</w:t>
      </w:r>
      <w:r>
        <w:rPr>
          <w:rFonts w:hint="eastAsia" w:ascii="方正仿宋_GB2312" w:hAnsi="方正仿宋_GB2312" w:eastAsia="方正仿宋_GB2312" w:cs="方正仿宋_GB2312"/>
          <w:color w:val="auto"/>
          <w:sz w:val="24"/>
          <w:szCs w:val="24"/>
          <w:highlight w:val="none"/>
          <w:lang w:eastAsia="zh-CN"/>
        </w:rPr>
        <w:t xml:space="preserve">本</w:t>
      </w:r>
      <w:r>
        <w:rPr>
          <w:rFonts w:hint="eastAsia" w:ascii="方正仿宋_GB2312" w:hAnsi="方正仿宋_GB2312" w:eastAsia="方正仿宋_GB2312" w:cs="方正仿宋_GB2312"/>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8" w:name="_Toc4104"/>
      <w:r>
        <w:rPr>
          <w:rFonts w:hint="eastAsia" w:ascii="方正仿宋_GB2312" w:hAnsi="方正仿宋_GB2312" w:eastAsia="方正仿宋_GB2312" w:cs="方正仿宋_GB2312"/>
          <w:bCs/>
          <w:color w:val="auto"/>
          <w:sz w:val="24"/>
          <w:szCs w:val="24"/>
          <w:highlight w:val="none"/>
        </w:rPr>
        <w:t xml:space="preserve">10.技术要求响应偏离</w:t>
      </w:r>
      <w:bookmarkEnd w:id="28"/>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14.1磋商有效期为从磋商之日起计算的</w:t>
      </w:r>
      <w:r>
        <w:rPr>
          <w:rFonts w:hint="eastAsia" w:ascii="方正仿宋_GB2312" w:hAnsi="方正仿宋_GB2312" w:eastAsia="方正仿宋_GB2312" w:cs="方正仿宋_GB2312"/>
          <w:color w:val="auto"/>
          <w:sz w:val="24"/>
          <w:szCs w:val="24"/>
          <w:highlight w:val="none"/>
          <w:lang w:val="en-US" w:eastAsia="zh-CN"/>
        </w:rPr>
        <w:t xml:space="preserve">九十日历</w:t>
      </w:r>
      <w:r>
        <w:rPr>
          <w:rFonts w:hint="eastAsia" w:ascii="方正仿宋_GB2312" w:hAnsi="方正仿宋_GB2312" w:eastAsia="方正仿宋_GB2312" w:cs="方正仿宋_GB2312"/>
          <w:color w:val="auto"/>
          <w:sz w:val="24"/>
          <w:szCs w:val="24"/>
          <w:highlight w:val="none"/>
        </w:rPr>
        <w:t xml:space="preserve">天</w:t>
      </w:r>
      <w:r>
        <w:rPr>
          <w:rFonts w:hint="eastAsia" w:ascii="方正仿宋_GB2312" w:hAnsi="方正仿宋_GB2312" w:eastAsia="方正仿宋_GB2312" w:cs="方正仿宋_GB2312"/>
          <w:b/>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磋商有效期比规定短的将被视为</w:t>
      </w:r>
      <w:r>
        <w:rPr>
          <w:rFonts w:hint="eastAsia" w:ascii="方正仿宋_GB2312" w:hAnsi="方正仿宋_GB2312" w:eastAsia="方正仿宋_GB2312" w:cs="方正仿宋_GB2312"/>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14.2</w:t>
      </w:r>
      <w:r>
        <w:rPr>
          <w:rFonts w:hint="eastAsia" w:ascii="方正仿宋_GB2312" w:hAnsi="方正仿宋_GB2312" w:eastAsia="方正仿宋_GB2312" w:cs="方正仿宋_GB2312"/>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16.响应文件的递交及接收截止时间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16.1供应商应当按照《操作手册》规定，在投标截止时间前制作并上传电子投标文件。供应商应</w:t>
      </w:r>
      <w:r>
        <w:rPr>
          <w:rFonts w:hint="eastAsia" w:ascii="方正仿宋_GB2312" w:hAnsi="方正仿宋_GB2312" w:eastAsia="方正仿宋_GB2312" w:cs="方正仿宋_GB2312"/>
          <w:color w:val="auto"/>
          <w:sz w:val="24"/>
          <w:szCs w:val="24"/>
          <w:highlight w:val="none"/>
          <w:lang w:eastAsia="zh-CN"/>
        </w:rPr>
        <w:t xml:space="preserve">充分考虑</w:t>
      </w:r>
      <w:r>
        <w:rPr>
          <w:rFonts w:hint="eastAsia" w:ascii="方正仿宋_GB2312" w:hAnsi="方正仿宋_GB2312" w:eastAsia="方正仿宋_GB2312" w:cs="方正仿宋_GB2312"/>
          <w:color w:val="auto"/>
          <w:sz w:val="24"/>
          <w:szCs w:val="24"/>
          <w:highlight w:val="none"/>
        </w:rPr>
        <w:t xml:space="preserve">网络环境、网络带宽等风险因素，如因供应商自身原因造成的电子投标文件上传不成功的按照无效投标处理。</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16.2供应商上传的电子响应文件内容不清楚或不清晰的（含扫描件），造成无法评审或部分影响评审的，</w:t>
      </w:r>
      <w:r>
        <w:rPr>
          <w:rFonts w:hint="eastAsia" w:ascii="方正仿宋_GB2312" w:hAnsi="方正仿宋_GB2312" w:eastAsia="方正仿宋_GB2312" w:cs="方正仿宋_GB2312"/>
          <w:color w:val="auto"/>
          <w:sz w:val="24"/>
          <w:szCs w:val="24"/>
          <w:highlight w:val="none"/>
          <w:lang w:val="zh-CN"/>
        </w:rPr>
        <w:t xml:space="preserve">责任由</w:t>
      </w:r>
      <w:r>
        <w:rPr>
          <w:rFonts w:hint="eastAsia" w:ascii="方正仿宋_GB2312" w:hAnsi="方正仿宋_GB2312" w:eastAsia="方正仿宋_GB2312" w:cs="方正仿宋_GB2312"/>
          <w:color w:val="auto"/>
          <w:sz w:val="24"/>
          <w:szCs w:val="24"/>
          <w:highlight w:val="none"/>
        </w:rPr>
        <w:t xml:space="preserve">供应商</w:t>
      </w:r>
      <w:r>
        <w:rPr>
          <w:rFonts w:hint="eastAsia" w:ascii="方正仿宋_GB2312" w:hAnsi="方正仿宋_GB2312" w:eastAsia="方正仿宋_GB2312" w:cs="方正仿宋_GB2312"/>
          <w:color w:val="auto"/>
          <w:sz w:val="24"/>
          <w:szCs w:val="24"/>
          <w:highlight w:val="none"/>
          <w:lang w:val="zh-CN"/>
        </w:rPr>
        <w:t xml:space="preserve">自负。</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16.3供应商上传电子响应文件的时间不得迟于磋商邀请中规定的截止时间。</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17.响应文件被拒绝接收的情形</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 不见面磋商程序</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.2.2供应商在磋商过程中</w:t>
      </w:r>
      <w:r>
        <w:rPr>
          <w:rFonts w:hint="eastAsia" w:ascii="方正仿宋_GB2312" w:hAnsi="方正仿宋_GB2312" w:eastAsia="方正仿宋_GB2312" w:cs="方正仿宋_GB2312"/>
          <w:bCs/>
          <w:color w:val="auto"/>
          <w:sz w:val="24"/>
          <w:szCs w:val="24"/>
          <w:highlight w:val="none"/>
          <w:lang w:eastAsia="zh-CN"/>
        </w:rPr>
        <w:t xml:space="preserve">涉及</w:t>
      </w:r>
      <w:r>
        <w:rPr>
          <w:rFonts w:hint="eastAsia" w:ascii="方正仿宋_GB2312" w:hAnsi="方正仿宋_GB2312" w:eastAsia="方正仿宋_GB2312" w:cs="方正仿宋_GB2312"/>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方正仿宋_GB2312" w:hAnsi="方正仿宋_GB2312" w:eastAsia="方正仿宋_GB2312" w:cs="方正仿宋_GB2312"/>
          <w:bCs/>
          <w:color w:val="auto"/>
          <w:sz w:val="24"/>
          <w:szCs w:val="24"/>
          <w:highlight w:val="none"/>
          <w:lang w:eastAsia="zh-CN"/>
        </w:rPr>
        <w:t xml:space="preserve">不在要求</w:t>
      </w:r>
      <w:r>
        <w:rPr>
          <w:rFonts w:hint="eastAsia" w:ascii="方正仿宋_GB2312" w:hAnsi="方正仿宋_GB2312" w:eastAsia="方正仿宋_GB2312" w:cs="方正仿宋_GB2312"/>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.3.9为顺利实现本项目交易活动组织的远程交互，建议供应商配置相关软硬件设施，具体包括</w:t>
      </w:r>
      <w:r>
        <w:rPr>
          <w:rFonts w:hint="eastAsia" w:ascii="方正仿宋_GB2312" w:hAnsi="方正仿宋_GB2312" w:eastAsia="方正仿宋_GB2312" w:cs="方正仿宋_GB2312"/>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.3.9.1软件设施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.3.9.2硬件设施</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val="zh-CN"/>
        </w:rPr>
        <w:t xml:space="preserve">磋商工作由</w:t>
      </w:r>
      <w:r>
        <w:rPr>
          <w:rFonts w:hint="eastAsia" w:ascii="方正仿宋_GB2312" w:hAnsi="方正仿宋_GB2312" w:eastAsia="方正仿宋_GB2312" w:cs="方正仿宋_GB2312"/>
          <w:color w:val="auto"/>
          <w:sz w:val="24"/>
          <w:szCs w:val="24"/>
          <w:highlight w:val="none"/>
        </w:rPr>
        <w:t xml:space="preserve">采购人（代理机构）</w:t>
      </w:r>
      <w:r>
        <w:rPr>
          <w:rFonts w:hint="eastAsia" w:ascii="方正仿宋_GB2312" w:hAnsi="方正仿宋_GB2312" w:eastAsia="方正仿宋_GB2312" w:cs="方正仿宋_GB2312"/>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19.</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.1.1.2在进行资格性审查的同时，将在“信用中国”网站（</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"http://www.creditchina.gov.cn"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www.creditchina.gov.cn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）、中国政府采购网”（</w:t>
      </w:r>
      <w:r>
        <w:rPr>
          <w:rFonts w:hint="eastAsia" w:ascii="方正仿宋_GB2312" w:hAnsi="方正仿宋_GB2312" w:eastAsia="方正仿宋_GB2312" w:cs="方正仿宋_GB2312"/>
          <w:color w:val="auto"/>
          <w:sz w:val="24"/>
          <w:szCs w:val="24"/>
          <w:highlight w:val="none"/>
        </w:rPr>
        <w:fldChar w:fldCharType="begin"/>
      </w:r>
      <w:r>
        <w:rPr>
          <w:rFonts w:hint="eastAsia" w:ascii="方正仿宋_GB2312" w:hAnsi="方正仿宋_GB2312" w:eastAsia="方正仿宋_GB2312" w:cs="方正仿宋_GB2312"/>
          <w:color w:val="auto"/>
          <w:sz w:val="24"/>
          <w:szCs w:val="24"/>
          <w:highlight w:val="none"/>
        </w:rPr>
        <w:instrText xml:space="preserve"> HYPERLINK "http://www.ccgp.gov.cn" </w:instrText>
      </w:r>
      <w:r>
        <w:rPr>
          <w:rFonts w:hint="eastAsia" w:ascii="方正仿宋_GB2312" w:hAnsi="方正仿宋_GB2312" w:eastAsia="方正仿宋_GB2312" w:cs="方正仿宋_GB2312"/>
          <w:color w:val="auto"/>
          <w:sz w:val="24"/>
          <w:szCs w:val="24"/>
          <w:highlight w:val="none"/>
        </w:rPr>
        <w:fldChar w:fldCharType="separate"/>
      </w:r>
      <w:r>
        <w:rPr>
          <w:rStyle w:val="977"/>
          <w:rFonts w:hint="eastAsia" w:ascii="方正仿宋_GB2312" w:hAnsi="方正仿宋_GB2312" w:eastAsia="方正仿宋_GB2312" w:cs="方正仿宋_GB2312"/>
          <w:color w:val="auto"/>
          <w:sz w:val="24"/>
          <w:szCs w:val="24"/>
          <w:highlight w:val="none"/>
          <w:lang w:val="zh-CN"/>
        </w:rPr>
        <w:t xml:space="preserve">www.ccgp.gov.cn</w:t>
      </w:r>
      <w:r>
        <w:rPr>
          <w:rStyle w:val="977"/>
          <w:rFonts w:hint="eastAsia" w:ascii="方正仿宋_GB2312" w:hAnsi="方正仿宋_GB2312" w:eastAsia="方正仿宋_GB2312" w:cs="方正仿宋_GB2312"/>
          <w:color w:val="auto"/>
          <w:sz w:val="24"/>
          <w:szCs w:val="24"/>
          <w:highlight w:val="none"/>
          <w:lang w:val="zh-CN"/>
        </w:rPr>
        <w:fldChar w:fldCharType="end"/>
      </w:r>
      <w:r>
        <w:rPr>
          <w:rFonts w:hint="eastAsia" w:ascii="方正仿宋_GB2312" w:hAnsi="方正仿宋_GB2312" w:eastAsia="方正仿宋_GB2312" w:cs="方正仿宋_GB2312"/>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zh-CN"/>
        </w:rPr>
      </w:pPr>
      <w:r>
        <w:rPr>
          <w:rFonts w:hint="eastAsia" w:ascii="方正仿宋_GB2312" w:hAnsi="方正仿宋_GB2312" w:eastAsia="方正仿宋_GB2312" w:cs="方正仿宋_GB2312"/>
          <w:color w:val="auto"/>
          <w:sz w:val="24"/>
          <w:szCs w:val="24"/>
          <w:highlight w:val="none"/>
        </w:rPr>
        <w:t xml:space="preserve">20.2.1磋商小组对响应文件的有效性、完整性和对磋商文件的响应程度进行审查，</w:t>
      </w:r>
      <w:r>
        <w:rPr>
          <w:rFonts w:hint="eastAsia" w:ascii="方正仿宋_GB2312" w:hAnsi="方正仿宋_GB2312" w:eastAsia="方正仿宋_GB2312" w:cs="方正仿宋_GB2312"/>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20.2.4磋商小组</w:t>
      </w:r>
      <w:r>
        <w:rPr>
          <w:rFonts w:hint="eastAsia" w:ascii="方正仿宋_GB2312" w:hAnsi="方正仿宋_GB2312" w:eastAsia="方正仿宋_GB2312" w:cs="方正仿宋_GB2312"/>
          <w:bCs/>
          <w:color w:val="auto"/>
          <w:sz w:val="24"/>
          <w:szCs w:val="24"/>
          <w:highlight w:val="none"/>
        </w:rPr>
        <w:t xml:space="preserve">将对确定为实质性响应的响应文件进行进一步</w:t>
      </w:r>
      <w:r>
        <w:rPr>
          <w:rFonts w:hint="eastAsia" w:ascii="方正仿宋_GB2312" w:hAnsi="方正仿宋_GB2312" w:eastAsia="方正仿宋_GB2312" w:cs="方正仿宋_GB2312"/>
          <w:color w:val="auto"/>
          <w:sz w:val="24"/>
          <w:szCs w:val="24"/>
          <w:highlight w:val="none"/>
        </w:rPr>
        <w:t xml:space="preserve">初审，</w:t>
      </w:r>
      <w:r>
        <w:rPr>
          <w:rFonts w:hint="eastAsia" w:ascii="方正仿宋_GB2312" w:hAnsi="方正仿宋_GB2312" w:eastAsia="方正仿宋_GB2312" w:cs="方正仿宋_GB2312"/>
          <w:bCs/>
          <w:color w:val="auto"/>
          <w:sz w:val="24"/>
          <w:szCs w:val="24"/>
          <w:highlight w:val="none"/>
        </w:rPr>
        <w:t xml:space="preserve">看其是否有计算上或累加上的算术错误，</w:t>
      </w:r>
      <w:r>
        <w:rPr>
          <w:rFonts w:hint="eastAsia" w:ascii="方正仿宋_GB2312" w:hAnsi="方正仿宋_GB2312" w:eastAsia="方正仿宋_GB2312" w:cs="方正仿宋_GB2312"/>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磋商小组并非对每个供应商都</w:t>
      </w:r>
      <w:r>
        <w:rPr>
          <w:rFonts w:hint="eastAsia" w:ascii="方正仿宋_GB2312" w:hAnsi="方正仿宋_GB2312" w:eastAsia="方正仿宋_GB2312" w:cs="方正仿宋_GB2312"/>
          <w:color w:val="auto"/>
          <w:sz w:val="24"/>
          <w:szCs w:val="24"/>
          <w:highlight w:val="none"/>
          <w:lang w:eastAsia="zh-CN"/>
        </w:rPr>
        <w:t xml:space="preserve">做</w:t>
      </w:r>
      <w:r>
        <w:rPr>
          <w:rFonts w:hint="eastAsia" w:ascii="方正仿宋_GB2312" w:hAnsi="方正仿宋_GB2312" w:eastAsia="方正仿宋_GB2312" w:cs="方正仿宋_GB2312"/>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3</w:t>
      </w: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方正仿宋_GB2312" w:hAnsi="方正仿宋_GB2312" w:eastAsia="方正仿宋_GB2312" w:cs="方正仿宋_GB2312"/>
          <w:color w:val="auto"/>
          <w:sz w:val="24"/>
          <w:szCs w:val="24"/>
          <w:highlight w:val="none"/>
          <w:lang w:val="en-US" w:eastAsia="zh-CN"/>
        </w:rPr>
        <w:t xml:space="preserve">但不得变动磋商文件中的其他内容。实质性变动的内容，须经采购人代表确认</w:t>
      </w:r>
      <w:r>
        <w:rPr>
          <w:rFonts w:hint="eastAsia" w:ascii="方正仿宋_GB2312" w:hAnsi="方正仿宋_GB2312" w:eastAsia="方正仿宋_GB2312" w:cs="方正仿宋_GB2312"/>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20.</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20.8.1</w:t>
      </w:r>
      <w:r>
        <w:rPr>
          <w:rFonts w:hint="eastAsia" w:ascii="方正仿宋_GB2312" w:hAnsi="方正仿宋_GB2312" w:eastAsia="方正仿宋_GB2312" w:cs="方正仿宋_GB2312"/>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方正仿宋_GB2312" w:hAnsi="方正仿宋_GB2312" w:eastAsia="方正仿宋_GB2312" w:cs="方正仿宋_GB2312"/>
          <w:color w:val="auto"/>
          <w:sz w:val="24"/>
          <w:szCs w:val="24"/>
          <w:highlight w:val="none"/>
          <w:lang w:eastAsia="zh-CN"/>
        </w:rPr>
        <w:t xml:space="preserve">，并</w:t>
      </w:r>
      <w:r>
        <w:rPr>
          <w:rFonts w:hint="eastAsia" w:ascii="方正仿宋_GB2312" w:hAnsi="方正仿宋_GB2312" w:eastAsia="方正仿宋_GB2312" w:cs="方正仿宋_GB2312"/>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20.8.2</w:t>
      </w:r>
      <w:r>
        <w:rPr>
          <w:rFonts w:hint="eastAsia" w:ascii="方正仿宋_GB2312" w:hAnsi="方正仿宋_GB2312" w:eastAsia="方正仿宋_GB2312" w:cs="方正仿宋_GB2312"/>
          <w:color w:val="auto"/>
          <w:sz w:val="24"/>
          <w:szCs w:val="24"/>
          <w:highlight w:val="none"/>
        </w:rPr>
        <w:t xml:space="preserve">最后报价是供应商响应文件的有效组成部分。符合《政府采购竞争性磋商采购方</w:t>
      </w:r>
      <w:r>
        <w:rPr>
          <w:rFonts w:hint="eastAsia" w:ascii="方正仿宋_GB2312" w:hAnsi="方正仿宋_GB2312" w:eastAsia="方正仿宋_GB2312" w:cs="方正仿宋_GB2312"/>
          <w:color w:val="auto"/>
          <w:sz w:val="24"/>
          <w:szCs w:val="24"/>
          <w:highlight w:val="none"/>
          <w:lang w:eastAsia="zh-CN"/>
        </w:rPr>
        <w:t xml:space="preserve">式管</w:t>
      </w:r>
      <w:r>
        <w:rPr>
          <w:rFonts w:hint="eastAsia" w:ascii="方正仿宋_GB2312" w:hAnsi="方正仿宋_GB2312" w:eastAsia="方正仿宋_GB2312" w:cs="方正仿宋_GB2312"/>
          <w:color w:val="auto"/>
          <w:sz w:val="24"/>
          <w:szCs w:val="24"/>
          <w:highlight w:val="none"/>
        </w:rPr>
        <w:t xml:space="preserve">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szCs w:val="24"/>
          <w:highlight w:val="none"/>
          <w:lang w:eastAsia="zh-CN"/>
        </w:rPr>
        <w:t xml:space="preserve">〔2015〕124号</w:t>
      </w:r>
      <w:r>
        <w:rPr>
          <w:rFonts w:hint="eastAsia" w:ascii="方正仿宋_GB2312" w:hAnsi="方正仿宋_GB2312" w:eastAsia="方正仿宋_GB2312" w:cs="方正仿宋_GB2312"/>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认为供应商的报价属于《财政部关于推动解决政府采购异常低价问题的通知》（财库〔202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〕2号）异常低价情形的，将通过苏采云系统，按照财库〔202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 </w:t>
      </w:r>
      <w:r>
        <w:rPr>
          <w:rFonts w:hint="eastAsia" w:ascii="方正仿宋_GB2312" w:hAnsi="方正仿宋_GB2312" w:eastAsia="方正仿宋_GB2312" w:cs="方正仿宋_GB2312"/>
          <w:color w:val="auto"/>
          <w:sz w:val="24"/>
          <w:szCs w:val="24"/>
          <w:highlight w:val="none"/>
        </w:rPr>
        <w:t xml:space="preserve"> 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.3.2</w:t>
      </w:r>
      <w:r>
        <w:rPr>
          <w:rFonts w:hint="eastAsia" w:ascii="方正仿宋_GB2312" w:hAnsi="方正仿宋_GB2312" w:eastAsia="方正仿宋_GB2312" w:cs="方正仿宋_GB2312"/>
          <w:color w:val="auto"/>
          <w:sz w:val="24"/>
          <w:szCs w:val="24"/>
          <w:highlight w:val="none"/>
        </w:rPr>
        <w:t xml:space="preserve">评</w:t>
      </w:r>
      <w:r>
        <w:rPr>
          <w:rFonts w:hint="eastAsia" w:ascii="方正仿宋_GB2312" w:hAnsi="方正仿宋_GB2312" w:eastAsia="方正仿宋_GB2312" w:cs="方正仿宋_GB2312"/>
          <w:color w:val="auto"/>
          <w:sz w:val="24"/>
          <w:szCs w:val="24"/>
          <w:highlight w:val="none"/>
          <w:lang w:val="en-US" w:eastAsia="zh-CN"/>
        </w:rPr>
        <w:t xml:space="preserve">标</w:t>
      </w:r>
      <w:r>
        <w:rPr>
          <w:rFonts w:hint="eastAsia" w:ascii="方正仿宋_GB2312" w:hAnsi="方正仿宋_GB2312" w:eastAsia="方正仿宋_GB2312" w:cs="方正仿宋_GB2312"/>
          <w:color w:val="auto"/>
          <w:sz w:val="24"/>
          <w:szCs w:val="24"/>
          <w:highlight w:val="none"/>
        </w:rPr>
        <w:t xml:space="preserve">中出现下列情形之一的，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审查程序</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投标（响应）报价低于全部通过符合性审查供应商投标（响应）报价平均值50%的，即投标（响应）报价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投标（响应）报价低于通过符合性审查的次低报价供应商投标（响应）报价50%的，即投标（响应）报价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投标（响应）报价低于采购项目最高限价45%的，即投标（响应）报价</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采购人可以结合具体项目实际情况，提高上述第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项中启动异常低价投标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启动异常低价投标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审查后，属于前述第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项至第</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项情形的，应当要求相关供应商在评审现场合理的时间内对投标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w:t>
      </w: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依据专业经验，参考同类项目中标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成交</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szCs w:val="24"/>
          <w:highlight w:val="none"/>
          <w:lang w:eastAsia="zh-CN"/>
        </w:rPr>
        <w:t xml:space="preserve">磋商小组</w:t>
      </w:r>
      <w:r>
        <w:rPr>
          <w:rFonts w:hint="eastAsia" w:ascii="方正仿宋_GB2312" w:hAnsi="方正仿宋_GB2312" w:eastAsia="方正仿宋_GB2312" w:cs="方正仿宋_GB2312"/>
          <w:color w:val="auto"/>
          <w:sz w:val="24"/>
          <w:szCs w:val="24"/>
          <w:highlight w:val="none"/>
        </w:rPr>
        <w:t xml:space="preserve">应当将其作为无效投标</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响应</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lang w:val="en-US" w:eastAsia="zh-CN"/>
        </w:rPr>
      </w:pPr>
      <w:r>
        <w:rPr>
          <w:rFonts w:hint="eastAsia" w:ascii="方正仿宋_GB2312" w:hAnsi="方正仿宋_GB2312" w:eastAsia="方正仿宋_GB2312" w:cs="方正仿宋_GB2312"/>
          <w:bCs/>
          <w:color w:val="auto"/>
          <w:sz w:val="24"/>
          <w:szCs w:val="24"/>
          <w:highlight w:val="none"/>
        </w:rPr>
        <w:t xml:space="preserve">20.</w:t>
      </w:r>
      <w:r>
        <w:rPr>
          <w:rFonts w:hint="eastAsia" w:ascii="方正仿宋_GB2312" w:hAnsi="方正仿宋_GB2312" w:eastAsia="方正仿宋_GB2312" w:cs="方正仿宋_GB2312"/>
          <w:bCs/>
          <w:color w:val="auto"/>
          <w:sz w:val="24"/>
          <w:szCs w:val="24"/>
          <w:highlight w:val="none"/>
          <w:lang w:val="en-US" w:eastAsia="zh-CN"/>
        </w:rPr>
        <w:t xml:space="preserve">9</w:t>
      </w:r>
      <w:r>
        <w:rPr>
          <w:rFonts w:hint="eastAsia" w:ascii="方正仿宋_GB2312" w:hAnsi="方正仿宋_GB2312" w:eastAsia="方正仿宋_GB2312" w:cs="方正仿宋_GB2312"/>
          <w:bCs/>
          <w:color w:val="auto"/>
          <w:sz w:val="24"/>
          <w:szCs w:val="24"/>
          <w:highlight w:val="none"/>
        </w:rPr>
        <w:t xml:space="preserve">磋商结束后，磋商小组将要求所有继续参加磋商的供应商凭CA锁</w:t>
      </w:r>
      <w:r>
        <w:rPr>
          <w:rFonts w:hint="eastAsia" w:ascii="方正仿宋_GB2312" w:hAnsi="方正仿宋_GB2312" w:eastAsia="方正仿宋_GB2312" w:cs="方正仿宋_GB2312"/>
          <w:bCs/>
          <w:color w:val="auto"/>
          <w:sz w:val="24"/>
          <w:szCs w:val="24"/>
          <w:highlight w:val="none"/>
          <w:lang w:eastAsia="zh-CN"/>
        </w:rPr>
        <w:t xml:space="preserve">登录</w:t>
      </w:r>
      <w:r>
        <w:rPr>
          <w:rFonts w:hint="eastAsia" w:ascii="方正仿宋_GB2312" w:hAnsi="方正仿宋_GB2312" w:eastAsia="方正仿宋_GB2312" w:cs="方正仿宋_GB2312"/>
          <w:bCs/>
          <w:color w:val="auto"/>
          <w:sz w:val="24"/>
          <w:szCs w:val="24"/>
          <w:highlight w:val="none"/>
          <w:lang w:val="en-US" w:eastAsia="zh-CN"/>
        </w:rPr>
        <w:t xml:space="preserve">苏彩云</w:t>
      </w:r>
      <w:r>
        <w:rPr>
          <w:rFonts w:hint="eastAsia" w:ascii="方正仿宋_GB2312" w:hAnsi="方正仿宋_GB2312" w:eastAsia="方正仿宋_GB2312" w:cs="方正仿宋_GB2312"/>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bookmarkStart w:id="29" w:name="OLE_LINK13"/>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bookmarkStart w:id="30" w:name="OLE_LINK14"/>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w:t>
      </w:r>
      <w:bookmarkEnd w:id="30"/>
      <w:r>
        <w:rPr>
          <w:rFonts w:hint="eastAsia" w:ascii="方正仿宋_GB2312" w:hAnsi="方正仿宋_GB2312" w:eastAsia="方正仿宋_GB2312" w:cs="方正仿宋_GB2312"/>
          <w:bCs/>
          <w:color w:val="auto"/>
          <w:sz w:val="24"/>
          <w:szCs w:val="24"/>
          <w:highlight w:val="none"/>
        </w:rPr>
        <w:t xml:space="preserve">2评审标准</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见本磋商文件第三章规定。</w:t>
      </w:r>
      <w:bookmarkEnd w:id="29"/>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bookmarkStart w:id="31" w:name="OLE_LINK57"/>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2</w:t>
      </w:r>
      <w:r>
        <w:rPr>
          <w:rFonts w:hint="eastAsia" w:ascii="方正仿宋_GB2312" w:hAnsi="方正仿宋_GB2312" w:eastAsia="方正仿宋_GB2312" w:cs="方正仿宋_GB2312"/>
          <w:b/>
          <w:bCs w:val="0"/>
          <w:color w:val="auto"/>
          <w:sz w:val="24"/>
          <w:szCs w:val="24"/>
          <w:highlight w:val="none"/>
        </w:rPr>
        <w:t xml:space="preserve">.出现下列情形之一的，响应文件按照无效处理：</w:t>
      </w:r>
      <w:bookmarkEnd w:id="31"/>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.5</w:t>
      </w:r>
      <w:r>
        <w:rPr>
          <w:rFonts w:hint="eastAsia" w:ascii="方正仿宋_GB2312" w:hAnsi="方正仿宋_GB2312" w:eastAsia="方正仿宋_GB2312" w:cs="方正仿宋_GB2312"/>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.7其他</w:t>
      </w:r>
      <w:r>
        <w:rPr>
          <w:rFonts w:hint="eastAsia" w:ascii="方正仿宋_GB2312" w:hAnsi="方正仿宋_GB2312" w:eastAsia="方正仿宋_GB2312" w:cs="方正仿宋_GB2312"/>
          <w:color w:val="auto"/>
          <w:sz w:val="24"/>
          <w:szCs w:val="24"/>
          <w:highlight w:val="none"/>
          <w:lang w:eastAsia="zh-CN"/>
        </w:rPr>
        <w:t xml:space="preserve">法律法规</w:t>
      </w:r>
      <w:r>
        <w:rPr>
          <w:rFonts w:hint="eastAsia" w:ascii="方正仿宋_GB2312" w:hAnsi="方正仿宋_GB2312" w:eastAsia="方正仿宋_GB2312" w:cs="方正仿宋_GB2312"/>
          <w:color w:val="auto"/>
          <w:sz w:val="24"/>
          <w:szCs w:val="24"/>
          <w:highlight w:val="none"/>
        </w:rPr>
        <w:t xml:space="preserve">及本采购文件规定的</w:t>
      </w:r>
      <w:r>
        <w:rPr>
          <w:rFonts w:hint="eastAsia" w:ascii="方正仿宋_GB2312" w:hAnsi="方正仿宋_GB2312" w:eastAsia="方正仿宋_GB2312" w:cs="方正仿宋_GB2312"/>
          <w:color w:val="auto"/>
          <w:sz w:val="24"/>
          <w:szCs w:val="24"/>
          <w:highlight w:val="none"/>
          <w:lang w:eastAsia="zh-CN"/>
        </w:rPr>
        <w:t xml:space="preserve">属于</w:t>
      </w:r>
      <w:r>
        <w:rPr>
          <w:rFonts w:hint="eastAsia" w:ascii="方正仿宋_GB2312" w:hAnsi="方正仿宋_GB2312" w:eastAsia="方正仿宋_GB2312" w:cs="方正仿宋_GB2312"/>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22.11</w:t>
      </w:r>
      <w:r>
        <w:rPr>
          <w:rFonts w:hint="eastAsia" w:ascii="方正仿宋_GB2312" w:hAnsi="方正仿宋_GB2312" w:eastAsia="方正仿宋_GB2312" w:cs="方正仿宋_GB2312"/>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pPr>
      <w:r>
        <w:rPr>
          <w:rFonts w:hint="eastAsia" w:ascii="方正仿宋_GB2312" w:hAnsi="方正仿宋_GB2312" w:eastAsia="方正仿宋_GB2312" w:cs="方正仿宋_GB2312"/>
          <w:b/>
          <w:bCs w:val="0"/>
          <w:color w:val="auto"/>
          <w:sz w:val="24"/>
          <w:szCs w:val="24"/>
          <w:highlight w:val="none"/>
        </w:rPr>
        <w:t xml:space="preserve">2</w:t>
      </w:r>
      <w:r>
        <w:rPr>
          <w:rFonts w:hint="eastAsia" w:ascii="方正仿宋_GB2312" w:hAnsi="方正仿宋_GB2312" w:eastAsia="方正仿宋_GB2312" w:cs="方正仿宋_GB2312"/>
          <w:b/>
          <w:bCs w:val="0"/>
          <w:color w:val="auto"/>
          <w:sz w:val="24"/>
          <w:szCs w:val="24"/>
          <w:highlight w:val="none"/>
          <w:lang w:val="en-US" w:eastAsia="zh-CN"/>
        </w:rPr>
        <w:t xml:space="preserve">3</w:t>
      </w:r>
      <w:r>
        <w:rPr>
          <w:rFonts w:hint="eastAsia" w:ascii="方正仿宋_GB2312" w:hAnsi="方正仿宋_GB2312" w:eastAsia="方正仿宋_GB2312" w:cs="方正仿宋_GB2312"/>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.3除《政府采购竞争性磋商采购方式管理暂行办法》财库</w:t>
      </w:r>
      <w:r>
        <w:rPr>
          <w:rFonts w:hint="eastAsia" w:ascii="方正仿宋_GB2312" w:hAnsi="方正仿宋_GB2312" w:eastAsia="方正仿宋_GB2312" w:cs="方正仿宋_GB2312"/>
          <w:color w:val="auto"/>
          <w:sz w:val="24"/>
          <w:szCs w:val="24"/>
          <w:highlight w:val="none"/>
          <w:lang w:eastAsia="zh-CN"/>
        </w:rPr>
        <w:t xml:space="preserve">〔2014〕214号</w:t>
      </w:r>
      <w:r>
        <w:rPr>
          <w:rFonts w:hint="eastAsia" w:ascii="方正仿宋_GB2312" w:hAnsi="方正仿宋_GB2312" w:eastAsia="方正仿宋_GB2312" w:cs="方正仿宋_GB2312"/>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23.8</w:t>
      </w:r>
      <w:r>
        <w:rPr>
          <w:rFonts w:hint="eastAsia" w:ascii="方正仿宋_GB2312" w:hAnsi="方正仿宋_GB2312" w:eastAsia="方正仿宋_GB2312" w:cs="方正仿宋_GB2312"/>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4</w:t>
      </w:r>
      <w:r>
        <w:rPr>
          <w:rFonts w:hint="eastAsia" w:ascii="方正仿宋_GB2312" w:hAnsi="方正仿宋_GB2312" w:eastAsia="方正仿宋_GB2312" w:cs="方正仿宋_GB2312"/>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6</w:t>
      </w:r>
      <w:r>
        <w:rPr>
          <w:rFonts w:hint="eastAsia" w:ascii="方正仿宋_GB2312" w:hAnsi="方正仿宋_GB2312" w:eastAsia="方正仿宋_GB2312" w:cs="方正仿宋_GB2312"/>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.2成交结果将在</w:t>
      </w:r>
      <w:r>
        <w:rPr>
          <w:rFonts w:hint="eastAsia" w:ascii="方正仿宋_GB2312" w:hAnsi="方正仿宋_GB2312" w:eastAsia="方正仿宋_GB2312" w:cs="方正仿宋_GB2312"/>
          <w:color w:val="auto"/>
          <w:sz w:val="24"/>
          <w:szCs w:val="24"/>
          <w:highlight w:val="none"/>
          <w:lang w:eastAsia="zh-CN"/>
        </w:rPr>
        <w:t xml:space="preserve">江苏省政府采购网、淮安市政府采购网、淮安市公共资源交易中心</w:t>
      </w:r>
      <w:r>
        <w:rPr>
          <w:rFonts w:hint="eastAsia" w:ascii="方正仿宋_GB2312" w:hAnsi="方正仿宋_GB2312" w:eastAsia="方正仿宋_GB2312" w:cs="方正仿宋_GB2312"/>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7</w:t>
      </w:r>
      <w:r>
        <w:rPr>
          <w:rFonts w:hint="eastAsia" w:ascii="方正仿宋_GB2312" w:hAnsi="方正仿宋_GB2312" w:eastAsia="方正仿宋_GB2312" w:cs="方正仿宋_GB2312"/>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方正仿宋_GB2312" w:hAnsi="方正仿宋_GB2312" w:eastAsia="方正仿宋_GB2312" w:cs="方正仿宋_GB2312"/>
          <w:color w:val="auto"/>
          <w:sz w:val="24"/>
          <w:szCs w:val="24"/>
          <w:highlight w:val="none"/>
          <w:lang w:val="en-US" w:eastAsia="zh-CN"/>
        </w:rPr>
        <w:t xml:space="preserve">两</w:t>
      </w:r>
      <w:r>
        <w:rPr>
          <w:rFonts w:hint="eastAsia" w:ascii="方正仿宋_GB2312" w:hAnsi="方正仿宋_GB2312" w:eastAsia="方正仿宋_GB2312" w:cs="方正仿宋_GB2312"/>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成交通知书对采购人及成交供应商同时均</w:t>
      </w:r>
      <w:r>
        <w:rPr>
          <w:rFonts w:hint="eastAsia" w:ascii="方正仿宋_GB2312" w:hAnsi="方正仿宋_GB2312" w:eastAsia="方正仿宋_GB2312" w:cs="方正仿宋_GB2312"/>
          <w:color w:val="auto"/>
          <w:sz w:val="24"/>
          <w:szCs w:val="24"/>
          <w:highlight w:val="none"/>
          <w:lang w:eastAsia="zh-CN"/>
        </w:rPr>
        <w:t xml:space="preserve">具有</w:t>
      </w:r>
      <w:r>
        <w:rPr>
          <w:rFonts w:hint="eastAsia" w:ascii="方正仿宋_GB2312" w:hAnsi="方正仿宋_GB2312" w:eastAsia="方正仿宋_GB2312" w:cs="方正仿宋_GB2312"/>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27.4履约保证金（</w:t>
      </w:r>
      <w:r>
        <w:rPr>
          <w:rFonts w:hint="eastAsia" w:ascii="方正仿宋_GB2312" w:hAnsi="方正仿宋_GB2312" w:eastAsia="方正仿宋_GB2312" w:cs="方正仿宋_GB2312"/>
          <w:color w:val="0000ff"/>
          <w:sz w:val="24"/>
          <w:szCs w:val="24"/>
          <w:highlight w:val="none"/>
          <w:lang w:val="en-US" w:eastAsia="zh-CN"/>
        </w:rPr>
        <w:t xml:space="preserve">成交价的1%</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27.4.1合同签订前</w:t>
      </w:r>
      <w:r>
        <w:rPr>
          <w:rFonts w:hint="eastAsia" w:ascii="方正仿宋_GB2312" w:hAnsi="方正仿宋_GB2312" w:eastAsia="方正仿宋_GB2312" w:cs="方正仿宋_GB2312"/>
          <w:color w:val="auto"/>
          <w:sz w:val="24"/>
          <w:szCs w:val="24"/>
          <w:highlight w:val="none"/>
        </w:rPr>
        <w:t xml:space="preserve">乙方</w:t>
      </w:r>
      <w:r>
        <w:rPr>
          <w:rFonts w:hint="eastAsia" w:ascii="方正仿宋_GB2312" w:hAnsi="方正仿宋_GB2312" w:eastAsia="方正仿宋_GB2312" w:cs="方正仿宋_GB2312"/>
          <w:color w:val="auto"/>
          <w:sz w:val="24"/>
          <w:szCs w:val="24"/>
          <w:highlight w:val="none"/>
          <w:lang w:val="en-US" w:eastAsia="zh-CN"/>
        </w:rPr>
        <w:t xml:space="preserve">向甲方缴纳合同价的1%为</w:t>
      </w:r>
      <w:r>
        <w:rPr>
          <w:rFonts w:hint="eastAsia" w:ascii="方正仿宋_GB2312" w:hAnsi="方正仿宋_GB2312" w:eastAsia="方正仿宋_GB2312" w:cs="方正仿宋_GB2312"/>
          <w:color w:val="auto"/>
          <w:sz w:val="24"/>
          <w:szCs w:val="24"/>
          <w:highlight w:val="none"/>
        </w:rPr>
        <w:t xml:space="preserve">本合同的履约保证金。</w:t>
      </w:r>
      <w:r>
        <w:rPr>
          <w:rFonts w:hint="eastAsia" w:ascii="方正仿宋_GB2312" w:hAnsi="方正仿宋_GB2312" w:eastAsia="方正仿宋_GB2312" w:cs="方正仿宋_GB2312"/>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27.4.2</w:t>
      </w:r>
      <w:r>
        <w:rPr>
          <w:rFonts w:hint="eastAsia" w:ascii="方正仿宋_GB2312" w:hAnsi="方正仿宋_GB2312" w:eastAsia="方正仿宋_GB2312" w:cs="方正仿宋_GB2312"/>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27.4.3</w:t>
      </w:r>
      <w:r>
        <w:rPr>
          <w:rFonts w:hint="eastAsia" w:ascii="方正仿宋_GB2312" w:hAnsi="方正仿宋_GB2312" w:eastAsia="方正仿宋_GB2312" w:cs="方正仿宋_GB2312"/>
          <w:color w:val="auto"/>
          <w:sz w:val="24"/>
          <w:szCs w:val="24"/>
          <w:highlight w:val="none"/>
        </w:rPr>
        <w:t xml:space="preserve">乙方选取银行保函、担保公司的保证担保或保险公司的保证保险等</w:t>
      </w:r>
      <w:r>
        <w:rPr>
          <w:rFonts w:hint="eastAsia" w:ascii="方正仿宋_GB2312" w:hAnsi="方正仿宋_GB2312" w:eastAsia="方正仿宋_GB2312" w:cs="方正仿宋_GB2312"/>
          <w:color w:val="auto"/>
          <w:sz w:val="24"/>
          <w:szCs w:val="24"/>
          <w:highlight w:val="none"/>
          <w:lang w:eastAsia="zh-CN"/>
        </w:rPr>
        <w:t xml:space="preserve">形式</w:t>
      </w:r>
      <w:r>
        <w:rPr>
          <w:rFonts w:hint="eastAsia" w:ascii="方正仿宋_GB2312" w:hAnsi="方正仿宋_GB2312" w:eastAsia="方正仿宋_GB2312" w:cs="方正仿宋_GB2312"/>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27.4.4</w:t>
      </w:r>
      <w:r>
        <w:rPr>
          <w:rFonts w:hint="eastAsia" w:ascii="方正仿宋_GB2312" w:hAnsi="方正仿宋_GB2312" w:eastAsia="方正仿宋_GB2312" w:cs="方正仿宋_GB2312"/>
          <w:color w:val="auto"/>
          <w:sz w:val="24"/>
          <w:szCs w:val="24"/>
          <w:highlight w:val="none"/>
        </w:rPr>
        <w:t xml:space="preserve">乙方选取以履约保函（保险）形式向采购人缴纳的，按照《关于在全省政府采购领域推行电子履约保函（保险）的通知》（苏财购</w:t>
      </w:r>
      <w:r>
        <w:rPr>
          <w:rFonts w:hint="eastAsia" w:ascii="方正仿宋_GB2312" w:hAnsi="方正仿宋_GB2312" w:eastAsia="方正仿宋_GB2312" w:cs="方正仿宋_GB2312"/>
          <w:color w:val="auto"/>
          <w:sz w:val="24"/>
          <w:szCs w:val="24"/>
          <w:highlight w:val="none"/>
          <w:lang w:eastAsia="zh-CN"/>
        </w:rPr>
        <w:t xml:space="preserve">〔2023〕150号</w:t>
      </w:r>
      <w:r>
        <w:rPr>
          <w:rFonts w:hint="eastAsia" w:ascii="方正仿宋_GB2312" w:hAnsi="方正仿宋_GB2312" w:eastAsia="方正仿宋_GB2312" w:cs="方正仿宋_GB2312"/>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27.4.5</w:t>
      </w:r>
      <w:r>
        <w:rPr>
          <w:rFonts w:hint="eastAsia" w:ascii="方正仿宋_GB2312" w:hAnsi="方正仿宋_GB2312" w:eastAsia="方正仿宋_GB2312" w:cs="方正仿宋_GB2312"/>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27.4.6</w:t>
      </w:r>
      <w:r>
        <w:rPr>
          <w:rFonts w:hint="eastAsia" w:ascii="方正仿宋_GB2312" w:hAnsi="方正仿宋_GB2312" w:eastAsia="方正仿宋_GB2312" w:cs="方正仿宋_GB2312"/>
          <w:color w:val="auto"/>
          <w:sz w:val="24"/>
          <w:szCs w:val="24"/>
          <w:highlight w:val="none"/>
        </w:rPr>
        <w:t xml:space="preserve">履约保证金在合同约定期间内不予退还或者应完全有效</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约定期间届满之日起 5个工作日内，甲方应将履约保证金退还乙方；逾期退还的，按中国人民银行同期贷款</w:t>
      </w:r>
      <w:r>
        <w:rPr>
          <w:rFonts w:hint="eastAsia" w:ascii="方正仿宋_GB2312" w:hAnsi="方正仿宋_GB2312" w:eastAsia="方正仿宋_GB2312" w:cs="方正仿宋_GB2312"/>
          <w:color w:val="auto"/>
          <w:sz w:val="24"/>
          <w:szCs w:val="24"/>
          <w:highlight w:val="none"/>
          <w:lang w:eastAsia="zh-CN"/>
        </w:rPr>
        <w:t xml:space="preserve">基准利率</w:t>
      </w:r>
      <w:r>
        <w:rPr>
          <w:rFonts w:hint="eastAsia" w:ascii="方正仿宋_GB2312" w:hAnsi="方正仿宋_GB2312" w:eastAsia="方正仿宋_GB2312" w:cs="方正仿宋_GB2312"/>
          <w:color w:val="auto"/>
          <w:sz w:val="24"/>
          <w:szCs w:val="24"/>
          <w:highlight w:val="none"/>
        </w:rPr>
        <w:t xml:space="preserve">上浮20%后的利率支付超期资金占用费，但因乙方自身原因导致无法及时退还的除外。</w:t>
      </w:r>
      <w:r>
        <w:rPr>
          <w:rFonts w:hint="eastAsia" w:ascii="方正仿宋_GB2312" w:hAnsi="方正仿宋_GB2312" w:eastAsia="方正仿宋_GB2312" w:cs="方正仿宋_GB2312"/>
          <w:color w:val="auto"/>
          <w:sz w:val="24"/>
          <w:szCs w:val="24"/>
          <w:highlight w:val="none"/>
        </w:rPr>
        <w:br/>
      </w:r>
      <w:r>
        <w:rPr>
          <w:rFonts w:hint="eastAsia" w:ascii="方正仿宋_GB2312" w:hAnsi="方正仿宋_GB2312" w:eastAsia="方正仿宋_GB2312" w:cs="方正仿宋_GB2312"/>
          <w:color w:val="auto"/>
          <w:sz w:val="24"/>
          <w:szCs w:val="24"/>
          <w:highlight w:val="none"/>
        </w:rPr>
        <w:t xml:space="preserve">    </w:t>
      </w:r>
      <w:r>
        <w:rPr>
          <w:rFonts w:hint="eastAsia" w:ascii="方正仿宋_GB2312" w:hAnsi="方正仿宋_GB2312" w:eastAsia="方正仿宋_GB2312" w:cs="方正仿宋_GB2312"/>
          <w:color w:val="auto"/>
          <w:sz w:val="24"/>
          <w:szCs w:val="24"/>
          <w:highlight w:val="none"/>
          <w:lang w:val="en-US" w:eastAsia="zh-CN"/>
        </w:rPr>
        <w:t xml:space="preserve">27.4.7</w:t>
      </w:r>
      <w:r>
        <w:rPr>
          <w:rFonts w:hint="eastAsia" w:ascii="方正仿宋_GB2312" w:hAnsi="方正仿宋_GB2312" w:eastAsia="方正仿宋_GB2312" w:cs="方正仿宋_GB2312"/>
          <w:color w:val="auto"/>
          <w:sz w:val="24"/>
          <w:szCs w:val="24"/>
          <w:highlight w:val="none"/>
        </w:rPr>
        <w:t xml:space="preserve">履约保证金在合同约定期间内不予退还</w:t>
      </w:r>
      <w:r>
        <w:rPr>
          <w:rFonts w:hint="eastAsia" w:ascii="方正仿宋_GB2312" w:hAnsi="方正仿宋_GB2312" w:eastAsia="方正仿宋_GB2312" w:cs="方正仿宋_GB2312"/>
          <w:color w:val="auto"/>
          <w:sz w:val="24"/>
          <w:szCs w:val="24"/>
          <w:highlight w:val="none"/>
          <w:lang w:eastAsia="zh-CN"/>
        </w:rPr>
        <w:t xml:space="preserve">或者</w:t>
      </w:r>
      <w:r>
        <w:rPr>
          <w:rFonts w:hint="eastAsia" w:ascii="方正仿宋_GB2312" w:hAnsi="方正仿宋_GB2312" w:eastAsia="方正仿宋_GB2312" w:cs="方正仿宋_GB2312"/>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2</w:t>
      </w:r>
      <w:r>
        <w:rPr>
          <w:rFonts w:hint="eastAsia" w:ascii="方正仿宋_GB2312" w:hAnsi="方正仿宋_GB2312" w:eastAsia="方正仿宋_GB2312" w:cs="方正仿宋_GB2312"/>
          <w:bCs/>
          <w:color w:val="auto"/>
          <w:sz w:val="24"/>
          <w:szCs w:val="24"/>
          <w:highlight w:val="none"/>
          <w:lang w:val="en-US" w:eastAsia="zh-CN"/>
        </w:rPr>
        <w:t xml:space="preserve">8</w:t>
      </w:r>
      <w:r>
        <w:rPr>
          <w:rFonts w:hint="eastAsia" w:ascii="方正仿宋_GB2312" w:hAnsi="方正仿宋_GB2312" w:eastAsia="方正仿宋_GB2312" w:cs="方正仿宋_GB2312"/>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.1采购人与成交供应商应在成交通知书发出之日起</w:t>
      </w:r>
      <w:r>
        <w:rPr>
          <w:rFonts w:hint="eastAsia" w:ascii="方正仿宋_GB2312" w:hAnsi="方正仿宋_GB2312" w:eastAsia="方正仿宋_GB2312" w:cs="方正仿宋_GB2312"/>
          <w:color w:val="auto"/>
          <w:sz w:val="24"/>
          <w:szCs w:val="24"/>
          <w:highlight w:val="none"/>
          <w:lang w:val="en-US" w:eastAsia="zh-CN"/>
        </w:rPr>
        <w:t xml:space="preserve">十五</w:t>
      </w:r>
      <w:r>
        <w:rPr>
          <w:rFonts w:hint="eastAsia" w:ascii="方正仿宋_GB2312" w:hAnsi="方正仿宋_GB2312" w:eastAsia="方正仿宋_GB2312" w:cs="方正仿宋_GB2312"/>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.2成交供应商自成交通知书发出之日起</w:t>
      </w:r>
      <w:r>
        <w:rPr>
          <w:rFonts w:hint="eastAsia" w:ascii="方正仿宋_GB2312" w:hAnsi="方正仿宋_GB2312" w:eastAsia="方正仿宋_GB2312" w:cs="方正仿宋_GB2312"/>
          <w:bCs/>
          <w:color w:val="auto"/>
          <w:sz w:val="24"/>
          <w:szCs w:val="24"/>
          <w:highlight w:val="none"/>
          <w:lang w:val="en-US" w:eastAsia="zh-CN"/>
        </w:rPr>
        <w:t xml:space="preserve">十五</w:t>
      </w:r>
      <w:r>
        <w:rPr>
          <w:rFonts w:hint="eastAsia" w:ascii="方正仿宋_GB2312" w:hAnsi="方正仿宋_GB2312" w:eastAsia="方正仿宋_GB2312" w:cs="方正仿宋_GB2312"/>
          <w:bCs/>
          <w:color w:val="auto"/>
          <w:sz w:val="24"/>
          <w:szCs w:val="24"/>
          <w:highlight w:val="none"/>
        </w:rPr>
        <w:t xml:space="preserve">日</w:t>
      </w:r>
      <w:r>
        <w:rPr>
          <w:rFonts w:hint="eastAsia" w:ascii="方正仿宋_GB2312" w:hAnsi="方正仿宋_GB2312" w:eastAsia="方正仿宋_GB2312" w:cs="方正仿宋_GB2312"/>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28.</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如果成交供应商没有按照2</w:t>
      </w:r>
      <w:r>
        <w:rPr>
          <w:rFonts w:hint="eastAsia" w:ascii="方正仿宋_GB2312" w:hAnsi="方正仿宋_GB2312" w:eastAsia="方正仿宋_GB2312" w:cs="方正仿宋_GB2312"/>
          <w:color w:val="auto"/>
          <w:sz w:val="24"/>
          <w:szCs w:val="24"/>
          <w:highlight w:val="none"/>
          <w:lang w:val="en-US" w:eastAsia="zh-CN"/>
        </w:rPr>
        <w:t xml:space="preserve">7</w:t>
      </w:r>
      <w:r>
        <w:rPr>
          <w:rFonts w:hint="eastAsia" w:ascii="方正仿宋_GB2312" w:hAnsi="方正仿宋_GB2312" w:eastAsia="方正仿宋_GB2312" w:cs="方正仿宋_GB2312"/>
          <w:color w:val="auto"/>
          <w:sz w:val="24"/>
          <w:szCs w:val="24"/>
          <w:highlight w:val="none"/>
        </w:rPr>
        <w:t xml:space="preserve">条或</w:t>
      </w:r>
      <w:r>
        <w:rPr>
          <w:rFonts w:hint="eastAsia" w:ascii="方正仿宋_GB2312" w:hAnsi="方正仿宋_GB2312" w:eastAsia="方正仿宋_GB2312" w:cs="方正仿宋_GB2312"/>
          <w:color w:val="auto"/>
          <w:sz w:val="24"/>
          <w:szCs w:val="24"/>
          <w:highlight w:val="none"/>
          <w:lang w:val="en-US" w:eastAsia="zh-CN"/>
        </w:rPr>
        <w:t xml:space="preserve">28</w:t>
      </w:r>
      <w:r>
        <w:rPr>
          <w:rFonts w:hint="eastAsia" w:ascii="方正仿宋_GB2312" w:hAnsi="方正仿宋_GB2312" w:eastAsia="方正仿宋_GB2312" w:cs="方正仿宋_GB2312"/>
          <w:color w:val="auto"/>
          <w:sz w:val="24"/>
          <w:szCs w:val="24"/>
          <w:highlight w:val="none"/>
        </w:rPr>
        <w:t xml:space="preserve">条的规定去做，采购人</w:t>
      </w:r>
      <w:r>
        <w:rPr>
          <w:rFonts w:hint="eastAsia" w:ascii="方正仿宋_GB2312" w:hAnsi="方正仿宋_GB2312" w:eastAsia="方正仿宋_GB2312" w:cs="方正仿宋_GB2312"/>
          <w:color w:val="auto"/>
          <w:sz w:val="24"/>
          <w:szCs w:val="24"/>
          <w:highlight w:val="none"/>
          <w:lang w:eastAsia="zh-CN"/>
        </w:rPr>
        <w:t xml:space="preserve">可以</w:t>
      </w:r>
      <w:r>
        <w:rPr>
          <w:rFonts w:hint="eastAsia" w:ascii="方正仿宋_GB2312" w:hAnsi="方正仿宋_GB2312" w:eastAsia="方正仿宋_GB2312" w:cs="方正仿宋_GB2312"/>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29</w:t>
      </w:r>
      <w:r>
        <w:rPr>
          <w:rFonts w:hint="eastAsia" w:ascii="方正仿宋_GB2312" w:hAnsi="方正仿宋_GB2312" w:eastAsia="方正仿宋_GB2312" w:cs="方正仿宋_GB2312"/>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方正仿宋_GB2312" w:hAnsi="方正仿宋_GB2312" w:eastAsia="方正仿宋_GB2312" w:cs="方正仿宋_GB2312"/>
          <w:color w:val="auto"/>
          <w:sz w:val="24"/>
          <w:szCs w:val="24"/>
          <w:highlight w:val="none"/>
          <w:lang w:eastAsia="zh-CN"/>
        </w:rPr>
        <w:t xml:space="preserve">额的</w:t>
      </w:r>
      <w:r>
        <w:rPr>
          <w:rFonts w:hint="eastAsia" w:ascii="方正仿宋_GB2312" w:hAnsi="方正仿宋_GB2312" w:eastAsia="方正仿宋_GB2312" w:cs="方正仿宋_GB2312"/>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Cs/>
          <w:color w:val="auto"/>
          <w:sz w:val="24"/>
          <w:szCs w:val="24"/>
          <w:highlight w:val="none"/>
          <w:lang w:val="en-US" w:eastAsia="zh-CN"/>
        </w:rPr>
        <w:t xml:space="preserve"> </w:t>
      </w:r>
      <w:r>
        <w:rPr>
          <w:rFonts w:hint="eastAsia" w:ascii="方正仿宋_GB2312" w:hAnsi="方正仿宋_GB2312" w:eastAsia="方正仿宋_GB2312" w:cs="方正仿宋_GB2312"/>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0</w:t>
      </w:r>
      <w:r>
        <w:rPr>
          <w:rFonts w:hint="eastAsia" w:ascii="方正仿宋_GB2312" w:hAnsi="方正仿宋_GB2312" w:eastAsia="方正仿宋_GB2312" w:cs="方正仿宋_GB2312"/>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.3质疑供应商是指直接参加本次磋商活动的供应商</w:t>
      </w:r>
      <w:r>
        <w:rPr>
          <w:rFonts w:hint="eastAsia" w:ascii="方正仿宋_GB2312" w:hAnsi="方正仿宋_GB2312" w:eastAsia="方正仿宋_GB2312" w:cs="方正仿宋_GB2312"/>
          <w:color w:val="auto"/>
          <w:sz w:val="24"/>
          <w:szCs w:val="24"/>
          <w:highlight w:val="none"/>
          <w:lang w:eastAsia="zh-CN"/>
        </w:rPr>
        <w:t xml:space="preserve">，对</w:t>
      </w:r>
      <w:r>
        <w:rPr>
          <w:rFonts w:hint="eastAsia" w:ascii="方正仿宋_GB2312" w:hAnsi="方正仿宋_GB2312" w:eastAsia="方正仿宋_GB2312" w:cs="方正仿宋_GB2312"/>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.4质疑供应商在法定质疑期内应当一次性提出针对同一采购环节</w:t>
      </w:r>
      <w:r>
        <w:rPr>
          <w:rFonts w:hint="eastAsia" w:ascii="方正仿宋_GB2312" w:hAnsi="方正仿宋_GB2312" w:eastAsia="方正仿宋_GB2312" w:cs="方正仿宋_GB2312"/>
          <w:color w:val="auto"/>
          <w:sz w:val="24"/>
          <w:szCs w:val="24"/>
          <w:highlight w:val="none"/>
          <w:lang w:eastAsia="zh-CN"/>
        </w:rPr>
        <w:t xml:space="preserve">质疑</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.5质疑函必须</w:t>
      </w:r>
      <w:r>
        <w:rPr>
          <w:rFonts w:hint="eastAsia" w:ascii="方正仿宋_GB2312" w:hAnsi="方正仿宋_GB2312" w:eastAsia="方正仿宋_GB2312" w:cs="方正仿宋_GB2312"/>
          <w:color w:val="auto"/>
          <w:sz w:val="24"/>
          <w:szCs w:val="24"/>
          <w:highlight w:val="none"/>
          <w:lang w:eastAsia="zh-CN"/>
        </w:rPr>
        <w:t xml:space="preserve">按照</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eastAsia="zh-CN"/>
        </w:rPr>
        <w:t xml:space="preserve">中华人民共和国政府采购法》《中华人民共和国政府采购法实施条例</w:t>
      </w:r>
      <w:r>
        <w:rPr>
          <w:rFonts w:hint="eastAsia" w:ascii="方正仿宋_GB2312" w:hAnsi="方正仿宋_GB2312" w:eastAsia="方正仿宋_GB2312" w:cs="方正仿宋_GB2312"/>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.6质疑函应当包括以下主要内容，</w:t>
      </w:r>
      <w:r>
        <w:rPr>
          <w:rFonts w:hint="eastAsia" w:ascii="方正仿宋_GB2312" w:hAnsi="方正仿宋_GB2312" w:eastAsia="方正仿宋_GB2312" w:cs="方正仿宋_GB2312"/>
          <w:color w:val="auto"/>
          <w:sz w:val="24"/>
          <w:szCs w:val="24"/>
          <w:highlight w:val="none"/>
          <w:lang w:val="zh-CN"/>
        </w:rPr>
        <w:t xml:space="preserve">并</w:t>
      </w:r>
      <w:r>
        <w:rPr>
          <w:rFonts w:hint="eastAsia" w:ascii="方正仿宋_GB2312" w:hAnsi="方正仿宋_GB2312" w:eastAsia="方正仿宋_GB2312" w:cs="方正仿宋_GB2312"/>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2" w:name="_Toc16743"/>
      <w:r>
        <w:rPr>
          <w:rFonts w:hint="eastAsia" w:ascii="方正仿宋_GB2312" w:hAnsi="方正仿宋_GB2312" w:eastAsia="方正仿宋_GB2312" w:cs="方正仿宋_GB2312"/>
          <w:color w:val="auto"/>
          <w:sz w:val="24"/>
          <w:szCs w:val="24"/>
          <w:highlight w:val="none"/>
        </w:rPr>
        <w:t xml:space="preserve">（3）具体、明确的质疑事项和与质疑事实相关的请求；</w:t>
      </w:r>
      <w:bookmarkEnd w:id="32"/>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3" w:name="_Toc20203"/>
      <w:r>
        <w:rPr>
          <w:rFonts w:hint="eastAsia" w:ascii="方正仿宋_GB2312" w:hAnsi="方正仿宋_GB2312" w:eastAsia="方正仿宋_GB2312" w:cs="方正仿宋_GB2312"/>
          <w:color w:val="auto"/>
          <w:sz w:val="24"/>
          <w:szCs w:val="24"/>
          <w:highlight w:val="none"/>
        </w:rPr>
        <w:t xml:space="preserve">（4）事实依据；</w:t>
      </w:r>
      <w:bookmarkEnd w:id="33"/>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4" w:name="_Toc18795"/>
      <w:r>
        <w:rPr>
          <w:rFonts w:hint="eastAsia" w:ascii="方正仿宋_GB2312" w:hAnsi="方正仿宋_GB2312" w:eastAsia="方正仿宋_GB2312" w:cs="方正仿宋_GB2312"/>
          <w:color w:val="auto"/>
          <w:sz w:val="24"/>
          <w:szCs w:val="24"/>
          <w:highlight w:val="none"/>
        </w:rPr>
        <w:t xml:space="preserve">（5）必要的法律依据；</w:t>
      </w:r>
      <w:bookmarkEnd w:id="34"/>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bookmarkStart w:id="35" w:name="_Toc6388"/>
      <w:r>
        <w:rPr>
          <w:rFonts w:hint="eastAsia" w:ascii="方正仿宋_GB2312" w:hAnsi="方正仿宋_GB2312" w:eastAsia="方正仿宋_GB2312" w:cs="方正仿宋_GB2312"/>
          <w:color w:val="auto"/>
          <w:sz w:val="24"/>
          <w:szCs w:val="24"/>
          <w:highlight w:val="none"/>
        </w:rPr>
        <w:t xml:space="preserve">（6）提起质疑的日期；</w:t>
      </w:r>
      <w:bookmarkEnd w:id="35"/>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0</w:t>
      </w:r>
      <w:r>
        <w:rPr>
          <w:rFonts w:hint="eastAsia" w:ascii="方正仿宋_GB2312" w:hAnsi="方正仿宋_GB2312" w:eastAsia="方正仿宋_GB2312" w:cs="方正仿宋_GB2312"/>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1</w:t>
      </w:r>
      <w:r>
        <w:rPr>
          <w:rFonts w:hint="eastAsia" w:ascii="方正仿宋_GB2312" w:hAnsi="方正仿宋_GB2312" w:eastAsia="方正仿宋_GB2312" w:cs="方正仿宋_GB2312"/>
          <w:bCs/>
          <w:color w:val="auto"/>
          <w:sz w:val="24"/>
          <w:szCs w:val="24"/>
          <w:highlight w:val="none"/>
        </w:rPr>
        <w:t xml:space="preserve">.投诉</w:t>
      </w:r>
      <w:r/>
    </w:p>
    <w:p>
      <w:pPr>
        <w:pStyle w:val="959"/>
        <w:ind w:left="0" w:firstLine="480"/>
        <w:jc w:val="left"/>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1</w:t>
      </w:r>
      <w:r>
        <w:rPr>
          <w:rFonts w:hint="eastAsia" w:ascii="方正仿宋_GB2312" w:hAnsi="方正仿宋_GB2312" w:eastAsia="方正仿宋_GB2312" w:cs="方正仿宋_GB2312"/>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
          <w:bCs w:val="0"/>
          <w:color w:val="auto"/>
          <w:sz w:val="24"/>
          <w:szCs w:val="24"/>
          <w:highlight w:val="none"/>
        </w:rPr>
        <w:outlineLvl w:val="1"/>
      </w:pPr>
      <w:r>
        <w:rPr>
          <w:rFonts w:hint="eastAsia" w:ascii="方正仿宋_GB2312" w:hAnsi="方正仿宋_GB2312" w:eastAsia="方正仿宋_GB2312" w:cs="方正仿宋_GB2312"/>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2</w:t>
      </w:r>
      <w:r>
        <w:rPr>
          <w:rFonts w:hint="eastAsia" w:ascii="方正仿宋_GB2312" w:hAnsi="方正仿宋_GB2312" w:eastAsia="方正仿宋_GB2312" w:cs="方正仿宋_GB2312"/>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w:t>
      </w:r>
      <w:r>
        <w:rPr>
          <w:rFonts w:hint="eastAsia" w:ascii="方正仿宋_GB2312" w:hAnsi="方正仿宋_GB2312" w:eastAsia="方正仿宋_GB2312" w:cs="方正仿宋_GB2312"/>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32.1.1</w:t>
      </w:r>
      <w:r>
        <w:rPr>
          <w:rFonts w:hint="eastAsia" w:ascii="方正仿宋_GB2312" w:hAnsi="方正仿宋_GB2312" w:eastAsia="方正仿宋_GB2312" w:cs="方正仿宋_GB2312"/>
          <w:color w:val="auto"/>
          <w:sz w:val="24"/>
          <w:szCs w:val="24"/>
          <w:highlight w:val="none"/>
          <w:lang w:val="zh-CN"/>
        </w:rPr>
        <w:t xml:space="preserve">对</w:t>
      </w:r>
      <w:r>
        <w:rPr>
          <w:rFonts w:hint="eastAsia" w:ascii="方正仿宋_GB2312" w:hAnsi="方正仿宋_GB2312" w:eastAsia="方正仿宋_GB2312" w:cs="方正仿宋_GB2312"/>
          <w:color w:val="auto"/>
          <w:sz w:val="24"/>
          <w:szCs w:val="24"/>
          <w:highlight w:val="none"/>
        </w:rPr>
        <w:t xml:space="preserve">于未专门面向中小企业或者</w:t>
      </w:r>
      <w:r>
        <w:rPr>
          <w:rFonts w:hint="eastAsia" w:ascii="方正仿宋_GB2312" w:hAnsi="方正仿宋_GB2312" w:eastAsia="方正仿宋_GB2312" w:cs="方正仿宋_GB2312"/>
          <w:color w:val="auto"/>
          <w:sz w:val="24"/>
          <w:szCs w:val="24"/>
          <w:highlight w:val="none"/>
          <w:lang w:val="zh-CN"/>
        </w:rPr>
        <w:t xml:space="preserve">未预留份额专门面向中小企业采购的采购项目，供应商提供的货物或者服务</w:t>
      </w:r>
      <w:r>
        <w:rPr>
          <w:rFonts w:hint="eastAsia" w:ascii="方正仿宋_GB2312" w:hAnsi="方正仿宋_GB2312" w:eastAsia="方正仿宋_GB2312" w:cs="方正仿宋_GB2312"/>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32.1.2</w:t>
      </w:r>
      <w:r>
        <w:rPr>
          <w:rFonts w:hint="eastAsia" w:ascii="方正仿宋_GB2312" w:hAnsi="方正仿宋_GB2312" w:eastAsia="方正仿宋_GB2312" w:cs="方正仿宋_GB2312"/>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32.1.3</w:t>
      </w:r>
      <w:r>
        <w:rPr>
          <w:rFonts w:hint="eastAsia" w:ascii="方正仿宋_GB2312" w:hAnsi="方正仿宋_GB2312" w:eastAsia="方正仿宋_GB2312" w:cs="方正仿宋_GB2312"/>
          <w:color w:val="auto"/>
          <w:sz w:val="24"/>
          <w:szCs w:val="24"/>
          <w:highlight w:val="none"/>
        </w:rPr>
        <w:t xml:space="preserve">企业标准请参照《关于印发中小企业划型标准规定的通知》（工信部联企业</w:t>
      </w:r>
      <w:r>
        <w:rPr>
          <w:rFonts w:hint="eastAsia" w:ascii="方正仿宋_GB2312" w:hAnsi="方正仿宋_GB2312" w:eastAsia="方正仿宋_GB2312" w:cs="方正仿宋_GB2312"/>
          <w:color w:val="auto"/>
          <w:sz w:val="24"/>
          <w:szCs w:val="24"/>
          <w:highlight w:val="none"/>
          <w:lang w:eastAsia="zh-CN"/>
        </w:rPr>
        <w:t xml:space="preserve">〔2011〕300号</w:t>
      </w:r>
      <w:r>
        <w:rPr>
          <w:rFonts w:hint="eastAsia" w:ascii="方正仿宋_GB2312" w:hAnsi="方正仿宋_GB2312" w:eastAsia="方正仿宋_GB2312" w:cs="方正仿宋_GB2312"/>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w:t>
      </w:r>
      <w:r>
        <w:rPr>
          <w:rFonts w:hint="eastAsia" w:ascii="方正仿宋_GB2312" w:hAnsi="方正仿宋_GB2312" w:eastAsia="方正仿宋_GB2312" w:cs="方正仿宋_GB2312"/>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32.2.1</w:t>
      </w:r>
      <w:r>
        <w:rPr>
          <w:rFonts w:hint="eastAsia" w:ascii="方正仿宋_GB2312" w:hAnsi="方正仿宋_GB2312" w:eastAsia="方正仿宋_GB2312" w:cs="方正仿宋_GB2312"/>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32.2.2</w:t>
      </w:r>
      <w:r>
        <w:rPr>
          <w:rFonts w:hint="eastAsia" w:ascii="方正仿宋_GB2312" w:hAnsi="方正仿宋_GB2312" w:eastAsia="方正仿宋_GB2312" w:cs="方正仿宋_GB2312"/>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32.2.3</w:t>
      </w:r>
      <w:r>
        <w:rPr>
          <w:rFonts w:hint="eastAsia" w:ascii="方正仿宋_GB2312" w:hAnsi="方正仿宋_GB2312" w:eastAsia="方正仿宋_GB2312" w:cs="方正仿宋_GB2312"/>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w:t>
      </w:r>
      <w:r>
        <w:rPr>
          <w:rFonts w:hint="eastAsia" w:ascii="方正仿宋_GB2312" w:hAnsi="方正仿宋_GB2312" w:eastAsia="方正仿宋_GB2312" w:cs="方正仿宋_GB2312"/>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32.3.1</w:t>
      </w:r>
      <w:r>
        <w:rPr>
          <w:rFonts w:hint="eastAsia" w:ascii="方正仿宋_GB2312" w:hAnsi="方正仿宋_GB2312" w:eastAsia="方正仿宋_GB2312" w:cs="方正仿宋_GB2312"/>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32.3.2</w:t>
      </w:r>
      <w:r>
        <w:rPr>
          <w:rFonts w:hint="eastAsia" w:ascii="方正仿宋_GB2312" w:hAnsi="方正仿宋_GB2312" w:eastAsia="方正仿宋_GB2312" w:cs="方正仿宋_GB2312"/>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szCs w:val="24"/>
          <w:highlight w:val="none"/>
          <w:lang w:eastAsia="zh-CN"/>
        </w:rPr>
        <w:t xml:space="preserve">（在</w:t>
      </w:r>
      <w:r>
        <w:rPr>
          <w:rFonts w:hint="eastAsia" w:ascii="方正仿宋_GB2312" w:hAnsi="方正仿宋_GB2312" w:eastAsia="方正仿宋_GB2312" w:cs="方正仿宋_GB2312"/>
          <w:color w:val="auto"/>
          <w:sz w:val="24"/>
          <w:szCs w:val="24"/>
          <w:highlight w:val="none"/>
        </w:rPr>
        <w:t xml:space="preserve">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32.3.3</w:t>
      </w:r>
      <w:r>
        <w:rPr>
          <w:rFonts w:hint="eastAsia" w:ascii="方正仿宋_GB2312" w:hAnsi="方正仿宋_GB2312" w:eastAsia="方正仿宋_GB2312" w:cs="方正仿宋_GB2312"/>
          <w:color w:val="auto"/>
          <w:sz w:val="24"/>
          <w:szCs w:val="24"/>
          <w:highlight w:val="none"/>
        </w:rPr>
        <w:t xml:space="preserve">监狱企业标准请参照《关于政府采购支持监狱企业发展有关问题的通知》（财库</w:t>
      </w:r>
      <w:r>
        <w:rPr>
          <w:rFonts w:hint="eastAsia" w:ascii="方正仿宋_GB2312" w:hAnsi="方正仿宋_GB2312" w:eastAsia="方正仿宋_GB2312" w:cs="方正仿宋_GB2312"/>
          <w:color w:val="auto"/>
          <w:sz w:val="24"/>
          <w:szCs w:val="24"/>
          <w:highlight w:val="none"/>
          <w:lang w:eastAsia="zh-CN"/>
        </w:rPr>
        <w:t xml:space="preserve">〔2014〕68号</w:t>
      </w:r>
      <w:r>
        <w:rPr>
          <w:rFonts w:hint="eastAsia" w:ascii="方正仿宋_GB2312" w:hAnsi="方正仿宋_GB2312" w:eastAsia="方正仿宋_GB2312" w:cs="方正仿宋_GB2312"/>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32.3.4</w:t>
      </w:r>
      <w:r>
        <w:rPr>
          <w:rFonts w:hint="eastAsia" w:ascii="方正仿宋_GB2312" w:hAnsi="方正仿宋_GB2312" w:eastAsia="方正仿宋_GB2312" w:cs="方正仿宋_GB2312"/>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33.</w:t>
      </w:r>
      <w:r>
        <w:rPr>
          <w:rFonts w:hint="eastAsia" w:ascii="方正仿宋_GB2312" w:hAnsi="方正仿宋_GB2312" w:eastAsia="方正仿宋_GB2312" w:cs="方正仿宋_GB2312"/>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33.1</w:t>
      </w:r>
      <w:r>
        <w:rPr>
          <w:rFonts w:hint="eastAsia" w:ascii="方正仿宋_GB2312" w:hAnsi="方正仿宋_GB2312" w:eastAsia="方正仿宋_GB2312" w:cs="方正仿宋_GB2312"/>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方正仿宋_GB2312" w:hAnsi="方正仿宋_GB2312" w:eastAsia="方正仿宋_GB2312" w:cs="方正仿宋_GB2312"/>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被列入“节能产品品目清单”的，实行</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u w:val="single"/>
        </w:rPr>
        <w:t xml:space="preserve">采购产品</w:t>
      </w:r>
      <w:r>
        <w:rPr>
          <w:rFonts w:hint="eastAsia" w:ascii="方正仿宋_GB2312" w:hAnsi="方正仿宋_GB2312" w:eastAsia="方正仿宋_GB2312" w:cs="方正仿宋_GB2312"/>
          <w:color w:val="auto"/>
          <w:sz w:val="24"/>
          <w:szCs w:val="24"/>
          <w:highlight w:val="none"/>
          <w:u w:val="single"/>
          <w:lang w:eastAsia="zh-CN"/>
        </w:rPr>
        <w:t xml:space="preserve">）</w:t>
      </w:r>
      <w:r>
        <w:rPr>
          <w:rFonts w:hint="eastAsia" w:ascii="方正仿宋_GB2312" w:hAnsi="方正仿宋_GB2312" w:eastAsia="方正仿宋_GB2312" w:cs="方正仿宋_GB2312"/>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方正仿宋_GB2312" w:hAnsi="方正仿宋_GB2312" w:eastAsia="方正仿宋_GB2312" w:cs="方正仿宋_GB2312"/>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lang w:eastAsia="zh-CN"/>
        </w:rPr>
        <w:t xml:space="preserve">3</w:t>
      </w:r>
      <w:r>
        <w:rPr>
          <w:rFonts w:hint="eastAsia" w:ascii="方正仿宋_GB2312" w:hAnsi="方正仿宋_GB2312" w:eastAsia="方正仿宋_GB2312" w:cs="方正仿宋_GB2312"/>
          <w:bCs/>
          <w:color w:val="auto"/>
          <w:sz w:val="24"/>
          <w:szCs w:val="24"/>
          <w:highlight w:val="none"/>
          <w:lang w:val="en-US" w:eastAsia="zh-CN"/>
        </w:rPr>
        <w:t xml:space="preserve">5</w:t>
      </w:r>
      <w:r>
        <w:rPr>
          <w:rFonts w:hint="eastAsia" w:ascii="方正仿宋_GB2312" w:hAnsi="方正仿宋_GB2312" w:eastAsia="方正仿宋_GB2312" w:cs="方正仿宋_GB2312"/>
          <w:bCs/>
          <w:color w:val="auto"/>
          <w:sz w:val="24"/>
          <w:szCs w:val="24"/>
          <w:highlight w:val="none"/>
          <w:lang w:eastAsia="zh-CN"/>
        </w:rPr>
        <w:t xml:space="preserve">.</w:t>
      </w:r>
      <w:r>
        <w:rPr>
          <w:rFonts w:hint="eastAsia" w:ascii="方正仿宋_GB2312" w:hAnsi="方正仿宋_GB2312" w:eastAsia="方正仿宋_GB2312" w:cs="方正仿宋_GB2312"/>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75"/>
        <w:ind w:left="0" w:firstLine="240"/>
        <w:keepLines w:val="0"/>
        <w:keepNext w:val="0"/>
        <w:pageBreakBefore w:val="0"/>
        <w:spacing w:after="0"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975"/>
        <w:ind w:left="0"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3</w:t>
      </w:r>
      <w:r>
        <w:rPr>
          <w:rFonts w:hint="eastAsia" w:ascii="方正仿宋_GB2312" w:hAnsi="方正仿宋_GB2312" w:eastAsia="方正仿宋_GB2312" w:cs="方正仿宋_GB2312"/>
          <w:color w:val="auto"/>
          <w:sz w:val="24"/>
          <w:szCs w:val="24"/>
          <w:highlight w:val="none"/>
          <w:lang w:val="en-US" w:eastAsia="zh-CN"/>
        </w:rPr>
        <w:t xml:space="preserve">5</w:t>
      </w:r>
      <w:r>
        <w:rPr>
          <w:rFonts w:hint="eastAsia" w:ascii="方正仿宋_GB2312" w:hAnsi="方正仿宋_GB2312" w:eastAsia="方正仿宋_GB2312" w:cs="方正仿宋_GB2312"/>
          <w:color w:val="auto"/>
          <w:sz w:val="24"/>
          <w:szCs w:val="24"/>
          <w:highlight w:val="none"/>
          <w:lang w:eastAsia="zh-CN"/>
        </w:rPr>
        <w:t xml:space="preserve">.3本项目中</w:t>
      </w:r>
      <w:r>
        <w:rPr>
          <w:rFonts w:hint="eastAsia" w:ascii="方正仿宋_GB2312" w:hAnsi="方正仿宋_GB2312" w:eastAsia="方正仿宋_GB2312" w:cs="方正仿宋_GB2312"/>
          <w:color w:val="auto"/>
          <w:sz w:val="24"/>
          <w:szCs w:val="24"/>
          <w:highlight w:val="none"/>
          <w:lang w:val="en-US" w:eastAsia="zh-CN"/>
        </w:rPr>
        <w:t xml:space="preserve">如</w:t>
      </w:r>
      <w:r>
        <w:rPr>
          <w:rFonts w:hint="eastAsia" w:ascii="方正仿宋_GB2312" w:hAnsi="方正仿宋_GB2312" w:eastAsia="方正仿宋_GB2312" w:cs="方正仿宋_GB2312"/>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第三章  评标标准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sz w:val="24"/>
          <w:szCs w:val="24"/>
          <w:highlight w:val="none"/>
          <w:lang w:eastAsia="zh-CN"/>
        </w:rPr>
        <w:t xml:space="preserve">按照</w:t>
      </w:r>
      <w:r>
        <w:rPr>
          <w:rFonts w:hint="eastAsia" w:ascii="仿宋" w:hAnsi="仿宋" w:eastAsia="仿宋" w:cs="仿宋"/>
          <w:sz w:val="24"/>
          <w:szCs w:val="24"/>
          <w:highlight w:val="none"/>
        </w:rPr>
        <w:t xml:space="preserve">评审因素的量化指标评审得分最高的供应</w:t>
      </w:r>
      <w:r>
        <w:rPr>
          <w:rFonts w:hint="eastAsia" w:ascii="仿宋" w:hAnsi="仿宋" w:eastAsia="仿宋" w:cs="仿宋"/>
          <w:sz w:val="24"/>
          <w:szCs w:val="24"/>
          <w:highlight w:val="none"/>
          <w:lang w:eastAsia="zh-CN"/>
        </w:rPr>
        <w:t xml:space="preserve">商作</w:t>
      </w:r>
      <w:r>
        <w:rPr>
          <w:rFonts w:hint="eastAsia" w:ascii="仿宋" w:hAnsi="仿宋" w:eastAsia="仿宋" w:cs="仿宋"/>
          <w:sz w:val="24"/>
          <w:szCs w:val="24"/>
          <w:highlight w:val="none"/>
        </w:rPr>
        <w:t xml:space="preserve">为成交候选供应商的评标方法。</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二、磋商小组将依据下列评标标准进行评审，本评标标准的总分为100分。</w:t>
      </w:r>
      <w:r/>
    </w:p>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三、具体标准</w:t>
      </w:r>
      <w:r>
        <w:rPr>
          <w:rFonts w:hint="eastAsia" w:ascii="仿宋" w:hAnsi="仿宋" w:eastAsia="仿宋" w:cs="仿宋"/>
          <w:sz w:val="24"/>
          <w:szCs w:val="24"/>
          <w:highlight w:val="none"/>
          <w:lang w:eastAsia="zh-CN"/>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综合评审因素和评分标准（100分）</w:t>
      </w:r>
      <w:r/>
    </w:p>
    <w:tbl>
      <w:tblPr>
        <w:tblStyle w:val="951"/>
        <w:tblW w:w="9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1161"/>
        <w:gridCol w:w="910"/>
        <w:gridCol w:w="6300"/>
        <w:gridCol w:w="676"/>
      </w:tblGrid>
      <w:tr>
        <w:trPr>
          <w:trHeight w:val="792"/>
        </w:trPr>
        <w:tc>
          <w:tcPr>
            <w:tcMar>
              <w:left w:w="108" w:type="dxa"/>
              <w:top w:w="0" w:type="dxa"/>
              <w:right w:w="108" w:type="dxa"/>
              <w:bottom w:w="0" w:type="dxa"/>
            </w:tcMar>
            <w:tcW w:w="476"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序号</w:t>
            </w:r>
            <w:r/>
          </w:p>
        </w:tc>
        <w:tc>
          <w:tcPr>
            <w:tcMar>
              <w:left w:w="108" w:type="dxa"/>
              <w:top w:w="0" w:type="dxa"/>
              <w:right w:w="108" w:type="dxa"/>
              <w:bottom w:w="0" w:type="dxa"/>
            </w:tcMar>
            <w:tcW w:w="1161" w:type="dxa"/>
            <w:vAlign w:val="center"/>
            <w:textDirection w:val="lrTb"/>
            <w:noWrap w:val="false"/>
          </w:tcPr>
          <w:p>
            <w:pPr>
              <w:ind w:left="0" w:right="0" w:firstLine="0"/>
              <w:jc w:val="both"/>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评分因素</w:t>
            </w:r>
            <w:r/>
          </w:p>
        </w:tc>
        <w:tc>
          <w:tcPr>
            <w:gridSpan w:val="2"/>
            <w:tcMar>
              <w:left w:w="108" w:type="dxa"/>
              <w:top w:w="0" w:type="dxa"/>
              <w:right w:w="108" w:type="dxa"/>
              <w:bottom w:w="0" w:type="dxa"/>
            </w:tcMar>
            <w:tcW w:w="7210"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评审标准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分值</w:t>
            </w:r>
            <w:r/>
          </w:p>
        </w:tc>
      </w:tr>
      <w:tr>
        <w:trPr>
          <w:trHeight w:val="1431"/>
        </w:trPr>
        <w:tc>
          <w:tcPr>
            <w:tcMar>
              <w:left w:w="108" w:type="dxa"/>
              <w:top w:w="0" w:type="dxa"/>
              <w:right w:w="108" w:type="dxa"/>
              <w:bottom w:w="0" w:type="dxa"/>
            </w:tcMar>
            <w:tcW w:w="476" w:type="dxa"/>
            <w:vAlign w:val="center"/>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w:t>
            </w:r>
            <w:r/>
          </w:p>
        </w:tc>
        <w:tc>
          <w:tcPr>
            <w:tcMar>
              <w:left w:w="108" w:type="dxa"/>
              <w:top w:w="0" w:type="dxa"/>
              <w:right w:w="108" w:type="dxa"/>
              <w:bottom w:w="0" w:type="dxa"/>
            </w:tcMar>
            <w:tcW w:w="1161" w:type="dxa"/>
            <w:vAlign w:val="center"/>
            <w:textDirection w:val="lrTb"/>
            <w:noWrap w:val="false"/>
          </w:tcPr>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投标报价</w:t>
            </w:r>
            <w:r/>
          </w:p>
          <w:p>
            <w:pPr>
              <w:ind w:left="0" w:right="0" w:firstLine="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rPr>
              <w:t xml:space="preserve">分）</w:t>
            </w:r>
            <w:r/>
          </w:p>
        </w:tc>
        <w:tc>
          <w:tcPr>
            <w:gridSpan w:val="2"/>
            <w:tcMar>
              <w:left w:w="108" w:type="dxa"/>
              <w:top w:w="0" w:type="dxa"/>
              <w:right w:w="108" w:type="dxa"/>
              <w:bottom w:w="0" w:type="dxa"/>
            </w:tcMar>
            <w:tcW w:w="7210" w:type="dxa"/>
            <w:vAlign w:val="top"/>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采用低价优先法计算，即满足招标文件要求且投标价格最低的投标报价为评标基准价，其价格分为满分。其他投标人的价格分统一按照下列公式计算：投标报价得分= </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评标基准价/投标报价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x30分</w:t>
            </w:r>
            <w:r>
              <w:rPr>
                <w:rFonts w:hint="eastAsia" w:ascii="仿宋" w:hAnsi="仿宋" w:eastAsia="仿宋" w:cs="仿宋"/>
                <w:sz w:val="24"/>
                <w:szCs w:val="24"/>
                <w:highlight w:val="none"/>
                <w:lang w:eastAsia="zh-CN"/>
              </w:rPr>
              <w:t xml:space="preserve">。</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30</w:t>
            </w:r>
            <w:r/>
          </w:p>
        </w:tc>
      </w:tr>
      <w:tr>
        <w:trPr>
          <w:trHeight w:val="1431"/>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w:t>
            </w:r>
            <w:r/>
          </w:p>
        </w:tc>
        <w:tc>
          <w:tcPr>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技术部分（</w:t>
            </w:r>
            <w:r>
              <w:rPr>
                <w:rFonts w:hint="eastAsia" w:ascii="仿宋" w:hAnsi="仿宋" w:eastAsia="仿宋" w:cs="仿宋"/>
                <w:color w:val="000000"/>
                <w:sz w:val="24"/>
                <w:szCs w:val="24"/>
                <w:highlight w:val="none"/>
                <w:lang w:val="en-US" w:eastAsia="zh-CN"/>
              </w:rPr>
              <w:t xml:space="preserve">42</w:t>
            </w:r>
            <w:r>
              <w:rPr>
                <w:rFonts w:hint="eastAsia" w:ascii="仿宋" w:hAnsi="仿宋" w:eastAsia="仿宋" w:cs="仿宋"/>
                <w:color w:val="000000"/>
                <w:sz w:val="24"/>
                <w:szCs w:val="24"/>
                <w:highlight w:val="none"/>
              </w:rPr>
              <w:t xml:space="preserve">分）</w:t>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1.总体概述：施工组织总体设想、服务承诺、方案针对性及施工标段划分（6分）；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（1）总体概述非常完善合理可行的得6分；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（2）总体概述完善合理可行的得4分；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（3）总体概述基本完善可行的得3分；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（4）总体概述不完善可行的得2分；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2.施工现场平面布置和临时设施、临时道路布置（6分）；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（1）总体概述非常完善合理可行的得6分；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（2）总体概述完善合理可行的得4分；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（3）总体概述基本完善可行的得3分；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（4）总体概述不完善可行的得2分；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3.施工进度计划和各阶段进度的保证措施（6分）；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（1）进度计划详尽，项目实施进度、时间点、关键节点、施工网络图等设置清晰准确的得6分；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（2）进度计划基本详尽，项目实施进度、时间点、关键节点、施工网络图等设置基本清晰准确的得4分；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（3）进度计划不够详尽，项目实施进度、时间点、关键节点、施工网络图等设置不够清晰准确的得3分；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（4）进度计划一般，项目实施进度、时间点、关键节点、施工网络图等设置不清晰不准确的得2分；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4.劳动力、机械设备和材料投入计划（6分）；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（1）劳动力机械设备和材料投入科学合理详尽，考虑周全的得6分；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（2）劳动力机械设备和材料投入基本科学合理详尽，考虑基本周全的得4分；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（3）劳动力机械设备和材料投入不够科学合理详尽，考虑不够周全的得3分；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（4）劳动力机械设备和材料投入不科学合理，考虑不周全的得2分；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5.关键施工技术、工艺及工程项目实施的重点、难点和解决方案（6分）；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（1）对施工现场情况了解详尽，对施工重点、难点分析准确，解决方案详细具体、科学合理且符合项目实际的得6分；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（2）对施工现场情况了解详尽，对施工重点、难点分析准确，解决方案基本详细具体、科学合理且符合项目实际的得4分；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（3）对施工现场情况了解不充分，对施工重点、难点分析不完整，提供了不够详细具体、科学合理的解决方案的得3分；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（4）对施工现场情况了解片面，对施工重点、难点分析不完整，所提供的解决方案不具体的得2分；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431"/>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vMerge w:val="continue"/>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6.文明施工、环境保护管理体系与质量管理体系措施（6分）；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（1）对文明施工、环境保护、质量管理详细具体、科学合理的得6分；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（2）对文明施工、环境保护、质量管理基本详细具体、科学合理的得4分；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（3）对文明施工、环境保护、质量管理不够详细具体、科学合理的得3分；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（4）对文明施工、环境保护、质量管理不具体、科学合理的得2分；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（5）未提供不得分。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810"/>
        </w:trPr>
        <w:tc>
          <w:tcPr>
            <w:tcMar>
              <w:left w:w="108" w:type="dxa"/>
              <w:top w:w="0" w:type="dxa"/>
              <w:right w:w="108" w:type="dxa"/>
              <w:bottom w:w="0" w:type="dxa"/>
            </w:tcMar>
            <w:tcW w:w="476" w:type="dxa"/>
            <w:vAlign w:val="center"/>
            <w:vMerge w:val="continue"/>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108" w:type="dxa"/>
              <w:top w:w="0" w:type="dxa"/>
              <w:right w:w="108" w:type="dxa"/>
              <w:bottom w:w="0" w:type="dxa"/>
            </w:tcMar>
            <w:tcW w:w="1161" w:type="dxa"/>
            <w:vAlign w:val="top"/>
            <w:textDirection w:val="lrTb"/>
            <w:noWrap w:val="false"/>
          </w:tcPr>
          <w:p>
            <w:pPr>
              <w:spacing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Mar>
              <w:left w:w="108" w:type="dxa"/>
              <w:top w:w="0" w:type="dxa"/>
              <w:right w:w="108" w:type="dxa"/>
              <w:bottom w:w="0" w:type="dxa"/>
            </w:tcMar>
            <w:tcW w:w="7210" w:type="dxa"/>
            <w:vAlign w:val="center"/>
            <w:textDirection w:val="lrTb"/>
            <w:noWrap w:val="false"/>
          </w:tcPr>
          <w:p>
            <w:pPr>
              <w:ind w:firstLine="482"/>
              <w:keepLines w:val="0"/>
              <w:keepNext w:val="0"/>
              <w:pageBreakBefore w:val="0"/>
              <w:spacing w:line="380" w:lineRule="exact"/>
              <w:widowControl w:val="off"/>
              <w:rPr>
                <w:rFonts w:hint="eastAsia" w:ascii="方正仿宋_GB2312" w:hAnsi="方正仿宋_GB2312" w:eastAsia="方正仿宋_GB2312" w:cs="方正仿宋_GB2312"/>
                <w:b/>
                <w:bCs/>
                <w:color w:val="auto"/>
                <w:sz w:val="24"/>
                <w:szCs w:val="24"/>
                <w:highlight w:val="none"/>
                <w:lang w:val="en-US" w:eastAsia="zh-CN"/>
              </w:rPr>
            </w:pPr>
            <w:r>
              <w:rPr>
                <w:rFonts w:hint="eastAsia" w:ascii="方正仿宋_GB2312" w:hAnsi="方正仿宋_GB2312" w:eastAsia="方正仿宋_GB2312" w:cs="方正仿宋_GB2312"/>
                <w:b/>
                <w:bCs/>
                <w:color w:val="auto"/>
                <w:sz w:val="24"/>
                <w:szCs w:val="24"/>
                <w:highlight w:val="none"/>
                <w:lang w:val="en-US" w:eastAsia="zh-CN"/>
              </w:rPr>
              <w:t xml:space="preserve">7.项目人员配置：管理班子机构健全、职责明确、人员齐配，满足本项目要求（6分）；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（1）机构健全、职责明确、人员齐配的得6分；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（2）机构健全、职责明确、人员基本齐配的得4分；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（3）机构不健全、职责不够明确、人员缺少的得3分；</w:t>
            </w:r>
            <w:r/>
          </w:p>
          <w:p>
            <w:pPr>
              <w:ind w:firstLine="480"/>
              <w:keepLines w:val="0"/>
              <w:keepNext w:val="0"/>
              <w:pageBreakBefore w:val="0"/>
              <w:spacing w:line="380" w:lineRule="exact"/>
              <w:widowControl w:val="off"/>
              <w:rPr>
                <w:rFonts w:hint="eastAsia" w:ascii="方正仿宋_GB2312" w:hAnsi="方正仿宋_GB2312" w:eastAsia="方正仿宋_GB2312" w:cs="方正仿宋_GB2312"/>
                <w:b w:val="0"/>
                <w:bCs w:val="0"/>
                <w:color w:val="auto"/>
                <w:sz w:val="24"/>
                <w:szCs w:val="24"/>
                <w:highlight w:val="none"/>
                <w:lang w:val="en-US" w:eastAsia="zh-CN"/>
              </w:rPr>
            </w:pPr>
            <w:r>
              <w:rPr>
                <w:rFonts w:hint="eastAsia" w:ascii="方正仿宋_GB2312" w:hAnsi="方正仿宋_GB2312" w:eastAsia="方正仿宋_GB2312" w:cs="方正仿宋_GB2312"/>
                <w:b w:val="0"/>
                <w:bCs w:val="0"/>
                <w:color w:val="auto"/>
                <w:sz w:val="24"/>
                <w:szCs w:val="24"/>
                <w:highlight w:val="none"/>
                <w:lang w:val="en-US" w:eastAsia="zh-CN"/>
              </w:rPr>
              <w:t xml:space="preserve">（4）机构不健全、职责模糊、人员较少的得2分；</w:t>
            </w:r>
            <w:r/>
          </w:p>
          <w:p>
            <w:pPr>
              <w:ind w:firstLine="480"/>
              <w:keepLines w:val="0"/>
              <w:keepNext w:val="0"/>
              <w:pageBreakBefore w:val="0"/>
              <w:spacing w:line="380" w:lineRule="exact"/>
              <w:widowControl w:val="off"/>
              <w:rPr>
                <w:rFonts w:hint="eastAsia" w:ascii="仿宋" w:hAnsi="仿宋" w:eastAsia="仿宋" w:cs="仿宋"/>
                <w:sz w:val="24"/>
                <w:szCs w:val="24"/>
                <w:highlight w:val="none"/>
              </w:rPr>
            </w:pPr>
            <w:r>
              <w:rPr>
                <w:rFonts w:hint="eastAsia" w:ascii="方正仿宋_GB2312" w:hAnsi="方正仿宋_GB2312" w:eastAsia="方正仿宋_GB2312" w:cs="方正仿宋_GB2312"/>
                <w:b w:val="0"/>
                <w:bCs w:val="0"/>
                <w:color w:val="auto"/>
                <w:sz w:val="24"/>
                <w:szCs w:val="24"/>
                <w:highlight w:val="none"/>
                <w:lang w:val="en-US" w:eastAsia="zh-CN"/>
              </w:rPr>
              <w:t xml:space="preserve">（5）未提供的不得分。</w:t>
            </w:r>
            <w:r/>
          </w:p>
        </w:tc>
        <w:tc>
          <w:tcPr>
            <w:tcMar>
              <w:left w:w="108" w:type="dxa"/>
              <w:top w:w="0" w:type="dxa"/>
              <w:right w:w="108" w:type="dxa"/>
              <w:bottom w:w="0" w:type="dxa"/>
            </w:tcMar>
            <w:tcW w:w="676" w:type="dxa"/>
            <w:vAlign w:val="center"/>
            <w:textDirection w:val="lrTb"/>
            <w:noWrap w:val="false"/>
          </w:tcPr>
          <w:p>
            <w:pPr>
              <w:ind w:left="0" w:right="0" w:firstLine="0"/>
              <w:jc w:val="center"/>
              <w:spacing w:before="0" w:after="0" w:line="360" w:lineRule="atLeast"/>
              <w:rPr>
                <w:rFonts w:hint="eastAsia"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054"/>
        </w:trPr>
        <w:tc>
          <w:tcPr>
            <w:tcMar>
              <w:left w:w="108" w:type="dxa"/>
              <w:top w:w="0" w:type="dxa"/>
              <w:right w:w="108" w:type="dxa"/>
              <w:bottom w:w="0" w:type="dxa"/>
            </w:tcMar>
            <w:tcW w:w="476" w:type="dxa"/>
            <w:vAlign w:val="center"/>
            <w:vMerge w:val="restart"/>
            <w:textDirection w:val="lrTb"/>
            <w:noWrap w:val="false"/>
          </w:tcPr>
          <w:p>
            <w:pPr>
              <w:ind w:left="0" w:right="0" w:firstLine="0"/>
              <w:jc w:val="center"/>
              <w:spacing w:before="0" w:after="0" w:line="360" w:lineRule="atLeast"/>
              <w:rPr>
                <w:rFonts w:hint="eastAsia"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3</w:t>
            </w:r>
            <w:r/>
          </w:p>
        </w:tc>
        <w:tc>
          <w:tcPr>
            <w:tcMar>
              <w:left w:w="108" w:type="dxa"/>
              <w:top w:w="0" w:type="dxa"/>
              <w:right w:w="108" w:type="dxa"/>
              <w:bottom w:w="0" w:type="dxa"/>
            </w:tcMar>
            <w:tcW w:w="1161" w:type="dxa"/>
            <w:vAlign w:val="center"/>
            <w:vMerge w:val="restart"/>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商务部分（</w:t>
            </w:r>
            <w:r>
              <w:rPr>
                <w:rFonts w:hint="eastAsia" w:ascii="仿宋" w:hAnsi="仿宋" w:eastAsia="仿宋" w:cs="仿宋"/>
                <w:color w:val="000000"/>
                <w:sz w:val="24"/>
                <w:szCs w:val="24"/>
                <w:highlight w:val="none"/>
                <w:lang w:val="en-US" w:eastAsia="zh-CN"/>
              </w:rPr>
              <w:t xml:space="preserve">28</w:t>
            </w:r>
            <w:r>
              <w:rPr>
                <w:rFonts w:hint="eastAsia" w:ascii="仿宋" w:hAnsi="仿宋" w:eastAsia="仿宋" w:cs="仿宋"/>
                <w:color w:val="000000"/>
                <w:sz w:val="24"/>
                <w:szCs w:val="24"/>
                <w:highlight w:val="none"/>
              </w:rPr>
              <w:t xml:space="preserve">分）</w:t>
            </w:r>
            <w:r/>
          </w:p>
        </w:tc>
        <w:tc>
          <w:tcPr>
            <w:tcMar>
              <w:left w:w="108" w:type="dxa"/>
              <w:top w:w="0" w:type="dxa"/>
              <w:right w:w="108" w:type="dxa"/>
              <w:bottom w:w="0" w:type="dxa"/>
            </w:tcMar>
            <w:tcW w:w="910" w:type="dxa"/>
            <w:vAlign w:val="center"/>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企业荣誉</w:t>
            </w:r>
            <w:r/>
          </w:p>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供应商202</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月1日以来，获得市级及以上优质工程的一项得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分，最高</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注：以上获奖</w:t>
            </w:r>
            <w:r>
              <w:rPr>
                <w:rFonts w:hint="eastAsia" w:ascii="仿宋" w:hAnsi="仿宋" w:eastAsia="仿宋" w:cs="仿宋"/>
                <w:sz w:val="24"/>
                <w:szCs w:val="24"/>
                <w:highlight w:val="none"/>
                <w:lang w:eastAsia="zh-CN"/>
              </w:rPr>
              <w:t xml:space="preserve">须</w:t>
            </w:r>
            <w:r>
              <w:rPr>
                <w:rFonts w:hint="eastAsia" w:ascii="仿宋" w:hAnsi="仿宋" w:eastAsia="仿宋" w:cs="仿宋"/>
                <w:sz w:val="24"/>
                <w:szCs w:val="24"/>
                <w:highlight w:val="none"/>
              </w:rPr>
              <w:t xml:space="preserve">是市级及以上行政主管部门颁发的获奖证书，否则不予认可，相关材料</w:t>
            </w:r>
            <w:r>
              <w:rPr>
                <w:rFonts w:hint="eastAsia" w:ascii="仿宋" w:hAnsi="仿宋" w:eastAsia="仿宋" w:cs="仿宋"/>
                <w:sz w:val="24"/>
                <w:szCs w:val="24"/>
                <w:highlight w:val="none"/>
                <w:lang w:eastAsia="zh-CN"/>
              </w:rPr>
              <w:t xml:space="preserve">扫描件上传至电子标书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338"/>
        </w:trPr>
        <w:tc>
          <w:tcPr>
            <w:tcMar>
              <w:left w:w="108" w:type="dxa"/>
              <w:top w:w="0" w:type="dxa"/>
              <w:right w:w="108" w:type="dxa"/>
              <w:bottom w:w="0" w:type="dxa"/>
            </w:tcMar>
            <w:tcW w:w="476"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1161" w:type="dxa"/>
            <w:vAlign w:val="center"/>
            <w:vMerge w:val="continue"/>
            <w:textDirection w:val="lrTb"/>
            <w:noWrap w:val="false"/>
          </w:tcPr>
          <w:p>
            <w:pPr>
              <w:ind w:firstLine="42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Mar>
              <w:left w:w="108" w:type="dxa"/>
              <w:top w:w="0" w:type="dxa"/>
              <w:right w:w="108" w:type="dxa"/>
              <w:bottom w:w="0" w:type="dxa"/>
            </w:tcMar>
            <w:tcW w:w="910" w:type="dxa"/>
            <w:vAlign w:val="center"/>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企业业绩</w:t>
            </w:r>
            <w:r/>
          </w:p>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（4分）</w:t>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供应商在2022年1月1日以来承担过类似工程业绩有一个得1分，最高为4分，没有不得分。以竣工验收时间为准；【业绩证明材料须提供中标通知书、施工合同、验收证明（竣工验收证明或完工验收鉴定书，并由建设、设计、监理、施工各参建单位签字盖章），缺一不可】相关材料扫描件上传至电子标书。</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以上工程业绩须提供网站项目业绩的中标人公告网页截图及网址查询链接，否则不予认可，相关材料上传至电子投标文件中。</w:t>
            </w: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4</w:t>
            </w:r>
            <w:r/>
          </w:p>
        </w:tc>
      </w:tr>
      <w:tr>
        <w:trPr>
          <w:trHeight w:val="1121"/>
        </w:trPr>
        <w:tc>
          <w:tcPr>
            <w:tcMar>
              <w:left w:w="108" w:type="dxa"/>
              <w:top w:w="0" w:type="dxa"/>
              <w:right w:w="108" w:type="dxa"/>
              <w:bottom w:w="0" w:type="dxa"/>
            </w:tcMar>
            <w:tcW w:w="476"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1161"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910" w:type="dxa"/>
            <w:vAlign w:val="center"/>
            <w:vMerge w:val="restart"/>
            <w:textDirection w:val="lrTb"/>
            <w:noWrap w:val="false"/>
          </w:tcPr>
          <w:p>
            <w:pPr>
              <w:ind w:right="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项目管理人员（18分）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项目技术负责人具有工程类中级职称同时获得市级优秀总工程师行业部门表彰证书的得3分；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项目技术负责人具有工程类高级及以上职称及注册一级建造师建筑专业同时获得省级及以上优秀总工程师表彰证书的得6分，其余不得分；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注：相关材料复印件上传投标文件中，高级工程师须为省人力资源和社会保障厅颁发的证书，提供职称证书和2025年11月以来任意1个月社保证明。</w:t>
            </w:r>
            <w:r/>
          </w:p>
        </w:tc>
        <w:tc>
          <w:tcPr>
            <w:tcMar>
              <w:left w:w="108" w:type="dxa"/>
              <w:top w:w="0" w:type="dxa"/>
              <w:right w:w="108" w:type="dxa"/>
              <w:bottom w:w="0" w:type="dxa"/>
            </w:tcMar>
            <w:tcW w:w="676" w:type="dxa"/>
            <w:vAlign w:val="center"/>
            <w:textDirection w:val="lrTb"/>
            <w:noWrap w:val="false"/>
          </w:tcPr>
          <w:p>
            <w:pPr>
              <w:ind w:left="0" w:right="0" w:firstLine="48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6</w:t>
            </w:r>
            <w:r/>
          </w:p>
        </w:tc>
      </w:tr>
      <w:tr>
        <w:trPr>
          <w:trHeight w:val="1121"/>
        </w:trPr>
        <w:tc>
          <w:tcPr>
            <w:tcMar>
              <w:left w:w="108" w:type="dxa"/>
              <w:top w:w="0" w:type="dxa"/>
              <w:right w:w="108" w:type="dxa"/>
              <w:bottom w:w="0" w:type="dxa"/>
            </w:tcMar>
            <w:tcW w:w="476"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1161" w:type="dxa"/>
            <w:vAlign w:val="center"/>
            <w:vMerge w:val="continue"/>
            <w:textDirection w:val="lrTb"/>
            <w:noWrap w:val="false"/>
          </w:tcPr>
          <w:p>
            <w:pPr>
              <w:ind w:firstLine="420"/>
              <w:keepLines w:val="0"/>
              <w:keepNext w:val="0"/>
              <w:pageBreakBefore w:val="0"/>
              <w:spacing w:line="380" w:lineRule="exact"/>
              <w:widowControl w:val="off"/>
            </w:pPr>
            <w:r/>
            <w:r/>
          </w:p>
        </w:tc>
        <w:tc>
          <w:tcPr>
            <w:tcMar>
              <w:left w:w="108" w:type="dxa"/>
              <w:top w:w="0" w:type="dxa"/>
              <w:right w:w="108" w:type="dxa"/>
              <w:bottom w:w="0" w:type="dxa"/>
            </w:tcMar>
            <w:tcW w:w="910" w:type="dxa"/>
            <w:vAlign w:val="center"/>
            <w:vMerge w:val="continue"/>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r>
            <w:r/>
          </w:p>
        </w:tc>
        <w:tc>
          <w:tcPr>
            <w:tcMar>
              <w:left w:w="108" w:type="dxa"/>
              <w:top w:w="0" w:type="dxa"/>
              <w:right w:w="108" w:type="dxa"/>
              <w:bottom w:w="0" w:type="dxa"/>
            </w:tcMar>
            <w:tcW w:w="6300" w:type="dxa"/>
            <w:vAlign w:val="center"/>
            <w:textDirection w:val="lrTb"/>
            <w:noWrap w:val="false"/>
          </w:tcPr>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1.拟派的施工员、安全员、质量员、资料员、材料员、注册一级造价师具有证书的有一个加1分，共计6分。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2.拟派的施工员、安全员、质量员、资料员、材料员、注册一级造价师具有工程类中级及以上职称证书的有一个加1分，共计6分；</w:t>
            </w:r>
            <w:r/>
          </w:p>
          <w:p>
            <w:pPr>
              <w:ind w:left="0" w:right="0" w:firstLine="480"/>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注：提供相关证书和2025年11月以来任意1个月社保证明，相关材料复印件上传投标文件中。</w:t>
            </w:r>
            <w:r/>
          </w:p>
        </w:tc>
        <w:tc>
          <w:tcPr>
            <w:tcMar>
              <w:left w:w="108" w:type="dxa"/>
              <w:top w:w="0" w:type="dxa"/>
              <w:right w:w="108" w:type="dxa"/>
              <w:bottom w:w="0" w:type="dxa"/>
            </w:tcMar>
            <w:tcW w:w="676" w:type="dxa"/>
            <w:vAlign w:val="center"/>
            <w:textDirection w:val="lrTb"/>
            <w:noWrap w:val="false"/>
          </w:tcPr>
          <w:p>
            <w:pPr>
              <w:ind w:right="0"/>
              <w:jc w:val="center"/>
              <w:spacing w:before="0" w:after="0" w:line="34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val="en-US" w:eastAsia="zh-CN"/>
              </w:rPr>
              <w:t xml:space="preserve">12</w:t>
            </w:r>
            <w:r/>
          </w:p>
        </w:tc>
      </w:tr>
    </w:tbl>
    <w:p>
      <w:pPr>
        <w:ind w:left="0" w:right="0" w:firstLine="0"/>
        <w:jc w:val="both"/>
        <w:spacing w:before="0" w:after="0"/>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6"/>
      <w:r/>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6" w:name="OLE_LINK12"/>
      <w:r>
        <w:rPr>
          <w:rFonts w:hint="eastAsia" w:ascii="仿宋" w:hAnsi="仿宋" w:eastAsia="仿宋" w:cs="仿宋"/>
          <w:b/>
          <w:color w:val="auto"/>
          <w:sz w:val="30"/>
          <w:szCs w:val="30"/>
          <w:highlight w:val="none"/>
          <w:lang w:val="en-US" w:eastAsia="zh-CN"/>
        </w:rPr>
        <w:t xml:space="preserve">项目采购需求</w:t>
      </w:r>
      <w:bookmarkEnd w:id="36"/>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项目名称：盱眙县黄花塘镇倜傥村五星生猪养殖小区改造项目</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预算金额：399万元；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最高限价：399万元；</w:t>
      </w:r>
      <w:r/>
    </w:p>
    <w:p>
      <w:pPr>
        <w:numPr>
          <w:ilvl w:val="0"/>
          <w:numId w:val="3"/>
        </w:numPr>
        <w:ind w:left="0" w:firstLine="0"/>
        <w:keepLines w:val="0"/>
        <w:keepNext w:val="0"/>
        <w:pageBreakBefore w:val="0"/>
        <w:spacing w:line="380" w:lineRule="exact"/>
        <w:widowControl w:val="off"/>
        <w:rPr>
          <w:rFonts w:hint="eastAsia" w:ascii="宋体" w:hAnsi="宋体" w:cs="宋体"/>
          <w:i w:val="0"/>
          <w:iCs w:val="0"/>
          <w:color w:val="000000"/>
          <w:sz w:val="20"/>
          <w:szCs w:val="20"/>
          <w:u w:val="none"/>
          <w:lang w:val="en-US" w:eastAsia="zh-CN" w:bidi="ar"/>
        </w:rPr>
      </w:pPr>
      <w:r>
        <w:rPr>
          <w:rFonts w:hint="eastAsia" w:ascii="宋体" w:hAnsi="宋体" w:cs="宋体"/>
          <w:i w:val="0"/>
          <w:iCs w:val="0"/>
          <w:color w:val="000000"/>
          <w:sz w:val="20"/>
          <w:szCs w:val="20"/>
          <w:u w:val="none"/>
          <w:lang w:val="en-US" w:eastAsia="zh-CN" w:bidi="ar"/>
        </w:rPr>
        <w:t xml:space="preserve">采购范围：盱眙县黄花塘镇倜傥村五星生猪养殖小区改造项目，具体详见全费用工程量清单。</w:t>
      </w:r>
      <w:r/>
    </w:p>
    <w:p>
      <w:pPr>
        <w:numPr>
          <w:ilvl w:val="0"/>
          <w:numId w:val="3"/>
        </w:numPr>
        <w:ind w:left="0" w:firstLine="0"/>
        <w:keepLines w:val="0"/>
        <w:keepNext w:val="0"/>
        <w:pageBreakBefore w:val="0"/>
        <w:spacing w:line="380" w:lineRule="exact"/>
        <w:widowControl w:val="off"/>
        <w:rPr>
          <w:rFonts w:hint="eastAsia" w:ascii="宋体" w:hAnsi="宋体" w:cs="宋体"/>
          <w:b/>
          <w:bCs/>
          <w:i w:val="0"/>
          <w:iCs w:val="0"/>
          <w:color w:val="000000"/>
          <w:sz w:val="20"/>
          <w:szCs w:val="20"/>
          <w:u w:val="none"/>
          <w:lang w:val="en-US" w:eastAsia="zh-CN" w:bidi="ar"/>
        </w:rPr>
      </w:pPr>
      <w:r>
        <w:rPr>
          <w:rFonts w:hint="eastAsia" w:ascii="宋体" w:hAnsi="宋体" w:cs="宋体"/>
          <w:b/>
          <w:bCs/>
          <w:i w:val="0"/>
          <w:iCs w:val="0"/>
          <w:color w:val="000000"/>
          <w:sz w:val="20"/>
          <w:szCs w:val="20"/>
          <w:u w:val="none"/>
          <w:lang w:val="en-US" w:eastAsia="zh-CN" w:bidi="ar"/>
        </w:rPr>
        <w:t xml:space="preserve">供应商须对本项目进行现场勘察，现场勘察联系人蔡刚振，联系电话：13401812268</w:t>
      </w:r>
      <w:r/>
    </w:p>
    <w:p>
      <w:pPr>
        <w:numPr>
          <w:ilvl w:val="0"/>
          <w:numId w:val="3"/>
        </w:numPr>
        <w:ind w:left="0" w:firstLine="0"/>
        <w:keepLines w:val="0"/>
        <w:keepNext w:val="0"/>
        <w:pageBreakBefore w:val="0"/>
        <w:spacing w:line="380" w:lineRule="exact"/>
        <w:widowControl w:val="off"/>
        <w:rPr>
          <w:rFonts w:hint="default" w:eastAsia="宋体"/>
          <w:lang w:val="en-US" w:eastAsia="zh-CN"/>
        </w:rPr>
      </w:pPr>
      <w:r>
        <w:rPr>
          <w:rFonts w:hint="eastAsia" w:ascii="宋体" w:hAnsi="宋体" w:cs="宋体"/>
          <w:i w:val="0"/>
          <w:iCs w:val="0"/>
          <w:color w:val="000000"/>
          <w:sz w:val="20"/>
          <w:szCs w:val="20"/>
          <w:u w:val="none"/>
          <w:lang w:val="en-US" w:eastAsia="zh-CN" w:bidi="ar"/>
        </w:rPr>
        <w:t xml:space="preserve">全费用工程量清单</w:t>
      </w:r>
      <w:r/>
    </w:p>
    <w:tbl>
      <w:tblPr>
        <w:tblStyle w:val="938"/>
        <w:tblW w:w="93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930"/>
        <w:gridCol w:w="2491"/>
        <w:gridCol w:w="917"/>
        <w:gridCol w:w="1092"/>
        <w:gridCol w:w="1034"/>
        <w:gridCol w:w="1457"/>
        <w:gridCol w:w="844"/>
      </w:tblGrid>
      <w:tr>
        <w:trP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全费用工程量清单</w:t>
            </w:r>
            <w:r>
              <w:rPr>
                <w:rFonts w:hint="eastAsia" w:ascii="宋体" w:hAnsi="宋体" w:cs="宋体"/>
                <w:b/>
                <w:bCs/>
                <w:i w:val="0"/>
                <w:iCs w:val="0"/>
                <w:color w:val="000000"/>
                <w:sz w:val="22"/>
                <w:szCs w:val="22"/>
                <w:u w:val="none"/>
                <w:lang w:val="en-US" w:eastAsia="zh-CN" w:bidi="ar"/>
              </w:rPr>
              <w:t xml:space="preserve"> </w:t>
            </w:r>
            <w:r/>
          </w:p>
        </w:tc>
      </w:tr>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项目名称：盱眙县黄花塘镇倜傥村五星生猪养殖小区改造项目</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全费用金额(元) </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92"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暂估价</w:t>
            </w:r>
            <w:r/>
          </w:p>
        </w:tc>
      </w:tr>
      <w:tr>
        <w:trPr>
          <w:trHeight w:val="253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地暖地面改造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拆除对象：保育塑料漏粪板、支架、旧垫层                                          2、回填：土方分层夯实抬高350mm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混凝土：C25商品混凝土，厚度4cm+3cm面层                                                      4、保温层：20mm挤塑聚苯板 XPS 阻燃</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1、8匹空气能热泵、系统控制柜、阀门、圆形保温水箱、空气能循环水泵、地暖管道铺设等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1、公称容量：15吨（原料塔拆除）                      2、总高度：4.8m（含塔顶、筒体、下锥、支腿、地基基础）                        3、筒体节数：3节，镀锌， 整体稳固                                             4、 板</w:t>
            </w:r>
            <w:r>
              <w:rPr>
                <w:rFonts w:hint="eastAsia" w:ascii="宋体" w:hAnsi="宋体" w:eastAsia="宋体" w:cs="宋体"/>
                <w:i w:val="0"/>
                <w:iCs w:val="0"/>
                <w:color w:val="000000"/>
                <w:sz w:val="21"/>
                <w:szCs w:val="21"/>
                <w:u w:val="none"/>
                <w:lang w:val="en-US" w:eastAsia="zh-CN" w:bidi="ar"/>
              </w:rPr>
              <w:t xml:space="preserve">材与材质热镀锌钢板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1、名称：-18°C冷库               2、尺寸：4m*4m*2m                      3、冷库保温库体、 冷库门、压缩机组、室内蒸发器、电控系统、辅材配套、地基基础</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产区刮粪机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1、刮粪机检修：锈蚀严重的转角轮拆除更换安装新转角轮，每套4个，损坏电机拆除更换安装新电机每套1个，刮粪机8mm槽盘更换12mm，每套2个，8mm钢丝绳更换10mm，每套200米。 （原品牌同类型）</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1、长2.2*宽0.6m原水泥漏粪板拆除更换，确保养4公斤小猪不卡腿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栋舍风机维修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1、原损坏54风机拆除安装新50大风机，原洞口修补                   2、名称：50寸蝴蝶拢           </w:t>
            </w:r>
            <w:r>
              <w:rPr>
                <w:rFonts w:hint="eastAsia" w:ascii="宋体" w:hAnsi="宋体" w:eastAsia="宋体" w:cs="宋体"/>
                <w:i w:val="0"/>
                <w:iCs w:val="0"/>
                <w:color w:val="000000"/>
                <w:sz w:val="21"/>
                <w:szCs w:val="21"/>
                <w:u w:val="none"/>
                <w:lang w:val="en-US" w:eastAsia="zh-CN" w:bidi="ar"/>
              </w:rPr>
              <w:t xml:space="preserve">    3、型号：HNP50 / 9FJ12.7T-3      4、扇叶直径：1270mm（50英寸）        5、框尺寸：1380×1380×360mm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1、原损坏36风机拆除安装新36大风机，原洞口修补                  2、名称：36寸蝴蝶拢                 </w:t>
            </w:r>
            <w:r>
              <w:rPr>
                <w:rFonts w:hint="eastAsia" w:ascii="宋体" w:hAnsi="宋体" w:eastAsia="宋体" w:cs="宋体"/>
                <w:i w:val="0"/>
                <w:iCs w:val="0"/>
                <w:color w:val="000000"/>
                <w:sz w:val="21"/>
                <w:szCs w:val="21"/>
                <w:u w:val="none"/>
                <w:lang w:val="en-US" w:eastAsia="zh-CN" w:bidi="ar"/>
              </w:rPr>
              <w:t xml:space="preserve">    3、型号：HNP50 / 9FJ12.7T-3      4、扇叶直径：1000mm（36英寸）        5、框尺寸：1000*1000*450mm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1、原损坏24风机拆除安装新36大风机，原洞口扩大                   2、名称：36寸蝴蝶拢              3、型号：HNP</w:t>
            </w:r>
            <w:r>
              <w:rPr>
                <w:rFonts w:hint="eastAsia" w:ascii="宋体" w:hAnsi="宋体" w:eastAsia="宋体" w:cs="宋体"/>
                <w:i w:val="0"/>
                <w:iCs w:val="0"/>
                <w:color w:val="000000"/>
                <w:sz w:val="21"/>
                <w:szCs w:val="21"/>
                <w:u w:val="none"/>
                <w:lang w:val="en-US" w:eastAsia="zh-CN" w:bidi="ar"/>
              </w:rPr>
              <w:t xml:space="preserve">50 / 9FJ12.7T-3      4、扇叶直径：1000mm（36英寸）        5、框尺寸：框尺寸：1000*1000*450mm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1、原损坏18风机拆除安装新36大风机，原洞口扩大                    2、名称：18寸蝴蝶拢             </w:t>
            </w:r>
            <w:r>
              <w:rPr>
                <w:rFonts w:hint="eastAsia" w:ascii="宋体" w:hAnsi="宋体" w:eastAsia="宋体" w:cs="宋体"/>
                <w:i w:val="0"/>
                <w:iCs w:val="0"/>
                <w:color w:val="000000"/>
                <w:sz w:val="21"/>
                <w:szCs w:val="21"/>
                <w:u w:val="none"/>
                <w:lang w:val="en-US" w:eastAsia="zh-CN" w:bidi="ar"/>
              </w:rPr>
              <w:t xml:space="preserve">       3、型号：HNP50 / 9FJ12.7T-3      4、扇叶直径：500mm（18英寸）        5、框尺寸：500*500×250mm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1、保育每单元增加一套环控器2个温度探头配套控制线；育肥每栋增加一套环控器2个温度探头配套控制线，育肥舍：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1、每栋环控电箱宽600mm高400mm深200mm一个，电箱宽400mm高600mm深200mm一个，锈蚀电箱拆除更换1.0mm厚304不锈钢新电箱，内部元器件，控制面板元器件拆除安装到新电箱，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栋舍水帘改造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一、保育湿帘洞口长8.4米高1.8米，原湿帘系统拆除更换新湿帘系统。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1、湿帘外挂带PVC水槽；湿帘框架铝合金材质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二、育肥湿帘洞口长7.2米高1.8米，原湿帘系统拆除更换新湿帘系统，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新湿帘系统：1、湿帘外挂不带PVC水槽，用场区原水池供水；湿帘框架铝合金材质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育肥需要更换，保育按需更换，都无智能开关装置，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水帘用蓄水池需要修缮水泵不换</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1、育肥不锈钢食槽长2米，宽0.65米，高0.85米。双面十孔位，每侧5个采食位，201不锈钢壁厚1.0mm，料槽每两栏共用一个，每个食槽安装一个阳光板盖板。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育肥水碗改造、水线检修改造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1、原饮水嘴拆除更换育肥饮水碗配套饮水杆，201不锈钢材质，水碗与下水管之间通过软管连接。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栋舍单元门更换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1、每栋育肥舍2个门0.9m*2.05m，不锈钢门                                 2、原门拆除更换不锈钢门 含安装、五金配件等                                3、投标单位自行勘探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开门洞</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1、拆除每栋门1m*2.2m，包含后期加固，垃圾外运。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屋面板更换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1、原屋面不动局部维修，保温棉+防雨布（投标报价不得高于23元每平方，样式选样）                              2、屋面保温板： 加厚防雨布（屋面专用顶布）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3、材质：PVC涂塑三防布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宽度：4m整幅（无拼接少漏水）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5、性能：防水、防晒、抗撕裂、耐老化、抗风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6、工艺：四周热合包边、预留打孔、可加拉绳固定                                    7、质保8年，投标单位自行勘探，满足甲方使用需求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1.具备不锈钢浸泡池具备加热功能，总尺寸长1.2*宽*1.2高1.5，内部分59cm和40cm小池(需要定制)                       2.烘干房里配备20KW.380V电暖风,尺寸规格:长800*宽650*高600mm3.对开门饭菜蒸箱6千瓦，尺寸长宽高mm:680*680*910mm                                      4.功能房尺寸:一间长3.5m*宽2m，一间3.5m*宽1.5m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育肥栏杆检修、底部加密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育肥栏底部加钢板3127.4米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1.钢板规格：钢板高度0.4米，厚度0.6mm。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2、钢板镀锌处理，镀锌层平均厚度不小于80um。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3.钢板通过不锈钢U型螺栓安装在栏片上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4.过道栅栏下端使用10cm的挡墙      所有育肥栏杆（主过道+内侧栏杆）现场焊接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3127.40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88"/>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 工业养殖款                 2、外形尺寸（长×宽×高）：780×650×660mm                  3、控温范围：0–60℃ 可调，智能恒温</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1、公称容量：25吨（原料塔拆除）                      2、总高度：6.8m（含塔顶、筒体、下锥、支腿、地基基础）                        3、筒体节数：3节，整体稳固                   4、 </w:t>
            </w:r>
            <w:r>
              <w:rPr>
                <w:rFonts w:hint="eastAsia" w:ascii="宋体" w:hAnsi="宋体" w:eastAsia="宋体" w:cs="宋体"/>
                <w:i w:val="0"/>
                <w:iCs w:val="0"/>
                <w:color w:val="000000"/>
                <w:sz w:val="21"/>
                <w:szCs w:val="21"/>
                <w:u w:val="none"/>
                <w:lang w:val="en-US" w:eastAsia="zh-CN" w:bidi="ar"/>
              </w:rPr>
              <w:t xml:space="preserve">板材与材质镀锌钢板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透明瓦更换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一、原刮粪道阳光板盖板及支撑拆除                                      1、原采光板拆除，更换原材质透明彩钢瓦，支撑更换原材质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彩钢瓦屋面更换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1、原彩钢瓦屋面拆除                      2、参照原屋面做法，更换夹芯板等，满足甲方要求。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育肥定位栏拆除大栏安装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1、定位栏拆除：                               2、240套定位栏拆除。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1、不锈钢通体食槽拆除。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1、每单元栏尺寸7.4*6.7*0.9米。栏体整体热浸锌处理，镀锌层厚度不小于80um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育肥料管改造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1、料管开孔，增加60下料三通配套下料管，下料管可伸缩调节。每食槽2套。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3、规格：25mm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1、名称：led灯泡（φ13.5）             2、螺口：E27螺口                                       3、瓦数：60w</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单项五孔插座含线盒、螺丝等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3、土方场内转运（路肩回填宽：0.5m）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3、养护：按规范要求养护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密闭连廊（大棚式）</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一、常规单体拱棚：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跨度1.4米、肩高2.5米 （按现场实际情况调整）。                            二、主体钢架参数（镀锌大棚管）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拱杆：Φ32×1.0mm 镀锌圆管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纵梁（拉杆）：Φ20×0.8mm 镀锌管 3道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立柱（侧边加固）：Φ30×1.0mm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门架/门头：40×40方管 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三、棚膜参数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类型：立面透明亚克力板、顶面采用加厚防雨布                                含地基基础及所有五金配件等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eastAsia" w:ascii="Arial" w:hAnsi="Arial" w:cs="Arial"/>
                <w:b/>
                <w:bCs/>
                <w:i w:val="0"/>
                <w:iCs w:val="0"/>
                <w:color w:val="000000"/>
                <w:sz w:val="20"/>
                <w:szCs w:val="20"/>
                <w:u w:val="none"/>
              </w:rPr>
            </w:pPr>
            <w:r>
              <w:rPr>
                <w:rFonts w:hint="eastAsia" w:ascii="Arial" w:hAnsi="Arial" w:cs="Arial"/>
                <w:b/>
                <w:bCs/>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1、外墙腻子2遍                    2、外墙刷乳胶漆2遍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墙面及顶面：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1、抹灰面上901胶混合腻子批二遍                2、刷乳胶漆二遍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 圆形吸顶灯           2、尺寸：直径 500mm*厚 50mm                           3、色温：6500K 白光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1、原屋面清理。局部铲除、找平   2、3厚sbs改性沥青防水卷材(-20℃)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7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环保区罗茨风机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一、标准参数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电机：1.1kW 380V 50Hz（220V单相需定制）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风量：0.6–1.8 m³/min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风压：9.8–39.2 kPa（0.1–0.4kg）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转速：2800r/min 直联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口径：DN25/DN32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噪音：70–78dB（配消音器≤65dB）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整机重量：45–60kg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收集池安装防护盖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1、每个收集池直径2.8米，增加支撑及耐腐蚀网格盖板，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溶气罐更换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1、气浮溶气罐内部腐蚀增加1台气浮溶气罐，需专业人员更换。                                           2、满足业主使用需求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叠螺机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1、型号：301                                 2、材质：304不锈钢（整机，寿命10年+）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控制：全自动（进泥、加药、清洗、排泥，24小时无人值守）</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792"/>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清理池体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1、生化池内部结构异常，清理池体内沉淀物并对所清理物进行环保处理，不得随意抛弃，清理后恢复池体功能，需专业人员清理                       2、投标单位自行勘探，满足业主使用需求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8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沼气柜的钢丝软管需更换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1、沼气柜的钢丝软管10米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一、50风机防回风布袋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克重：680g/㎡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一、36风机防回风布袋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一、24风机防回风布袋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一、18风机防回风布袋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一、部位：产区赶猪道围墙改造              1.砖品种、规格、强度等级:标准红砖砌筑；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2.砂浆强度等级、配合比:水泥砂浆M5.0；                                     3、含抹灰压顶等工序，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墙面一般抹灰（外连廊）</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料塔盖拉绳安装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1、增加料塔墙外开盖装置，安装拉手、钢丝绳、滑轮等保证人员能在围墙外开启关闭料塔盖。</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2、挖土深度：0.5米                                  3、弃土运距：投标单位自行考虑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1、废弃料品种：素土                      2、运距：场内转运3km以内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1.零星砌砖名称、部位:围墙；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3.砂浆强度等级、配合比:水泥砂浆M5.0；                                     4、含抹灰压顶等工序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521.64 </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电子地磅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1.名称：SCS-50t；                           2.尺寸：台面3m×10m；                        3.型号：Q235面板12mm；                     4.数字式传感器8台；                  5.数字仪表；                              6.OIML Ⅲ级；                                              7.含引坡及基础混凝土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最高分辨率可达2560 × 1440 @25 fps，在该分辨率下可输出实时图像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支持人形检测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支持开放型网络视频接口，ISAPI，SDK，GB28181协议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智能补光，支持白光/红外双补光，红外最远可达30 m，白光最远可达20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1个内置麦克风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符合IP67防尘防水设计</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满接64路4MP视频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可接驳符合ONVIF、RTSP、GB28181标准的网络摄像机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支持H.265、H.264编码前端自适应接入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支持12路1080P解码（开启解码增强，可提升至16路1080P解码）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支持HDMI与VGA异源输出，HDMI最大支持4K超高清显示输出，VGA支持1080P高清显示输出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自带8个SATA接口，最大支持10TB硬盘</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8TB容量，3.5英寸，SATA3.0接口，5400RPM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空气盘， CMR传统磁记录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传输速率215MB/s，流畅存储视频有效防止丢帧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满足数据严苛的7*24小时运行可靠性、安全性的需求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43寸超窄边LED液晶监视器 屏幕尺寸:43"LED 16:9 最大分辨率:1920*1080 解析4K 可视角度:178°/178°  亮度/对比度:320cd/㎡ 1200:1  响应时间:8ms  接口:HDMI、VGA</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二层网管交换机，交换容量336Gbps，包转发率78Mpps，24口10/100/1000Mbps自适应电口交换机，固化4个SFP千兆光口，支持VLAN、ACL、端口镜像、端口聚合等功能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24个10/100Mbps自适应电口+1个10/100/1000Mbps自适应上联电口+1个1000Mbps上联Combo口，其中24个口支持PoE/PoE+供电，整机最大PoE输出功率180W，交换机容量8.8Gbps，包转发率6.6Mpps，非网管型交换机，金属外壳，6kV防雷</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PoE千兆接入口+1千兆上联光口，内置3公里SC单纤光模块（单纤3KM，TX1310/RX1550），整机PoE输出功率80W，交换机容量18Gbps，包转发率13.5Mpps，非网管型交换机。推荐对端使用光纤收发器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单模单纤千兆光模块，支持工作温度0℃~75℃，BIDI光模块，最大传输距离3公里，LC口或SC口，TX：1550nm，RX：1310nm。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标准19英寸2U设计，14槽机架，可插入14台光纤收发器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CAT6网线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空开、插排、光纤跳线、汇聚箱、套管等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光纤成端及链路测试</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一、名称：电焊铁丝网围挡（含预埋、基础）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高度：1.8m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长度：3.0m/跨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材质：Q235低碳钢丝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二、网片参数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丝径：塑后2.0–2.5mm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网孔：50×150mm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网片尺寸：1.8m×3.0m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4、边框：20×30×0.8矩形管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三、立柱参数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1、材质：Q235 圆管/方管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圆管：Φ40×1.2mm，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方管：40×40×1.2mm，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7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9"/>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rPr>
                <w:rFonts w:hint="default" w:ascii="Arial" w:hAnsi="Arial" w:cs="Arial"/>
                <w:b/>
                <w:bCs/>
                <w:i w:val="0"/>
                <w:iCs w:val="0"/>
                <w:color w:val="000000"/>
                <w:sz w:val="20"/>
                <w:szCs w:val="20"/>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jc w:val="center"/>
        <w:pageBreakBefore w:val="0"/>
        <w:spacing w:line="380" w:lineRule="exact"/>
        <w:rPr>
          <w:rFonts w:hint="default" w:ascii="宋体" w:hAnsi="宋体" w:cs="宋体"/>
          <w:b/>
          <w:bCs w:val="0"/>
          <w:color w:val="auto"/>
          <w:sz w:val="30"/>
          <w:szCs w:val="30"/>
          <w:highlight w:val="none"/>
          <w:lang w:val="en-US" w:eastAsia="zh-CN"/>
        </w:rPr>
      </w:pPr>
      <w:r>
        <w:rPr>
          <w:rFonts w:hint="default"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hint="eastAsia" w:ascii="宋体" w:hAnsi="宋体" w:cs="宋体"/>
          <w:b/>
          <w:bCs w:val="0"/>
          <w:color w:val="auto"/>
          <w:sz w:val="30"/>
          <w:szCs w:val="30"/>
          <w:highlight w:val="none"/>
          <w:lang w:val="en-US" w:eastAsia="zh-CN"/>
        </w:rPr>
      </w:pPr>
      <w:r>
        <w:rPr>
          <w:rFonts w:hint="eastAsia" w:ascii="宋体" w:hAnsi="宋体" w:cs="宋体"/>
          <w:b/>
          <w:bCs w:val="0"/>
          <w:color w:val="auto"/>
          <w:sz w:val="30"/>
          <w:szCs w:val="30"/>
          <w:highlight w:val="none"/>
          <w:lang w:val="en-US" w:eastAsia="zh-CN"/>
        </w:rPr>
      </w:r>
      <w:r/>
    </w:p>
    <w:p>
      <w:pPr>
        <w:jc w:val="center"/>
        <w:pageBreakBefore w:val="0"/>
        <w:spacing w:line="380" w:lineRule="exact"/>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935"/>
        <w:ind w:left="0" w:firstLine="0"/>
        <w:jc w:val="center"/>
        <w:pageBreakBefore w:val="0"/>
        <w:spacing w:before="0" w:after="0" w:line="380" w:lineRule="exact"/>
        <w:rPr>
          <w:rFonts w:hint="eastAsia" w:ascii="宋体" w:hAnsi="宋体" w:eastAsia="宋体" w:cs="宋体"/>
          <w:color w:val="auto"/>
          <w:sz w:val="30"/>
          <w:szCs w:val="30"/>
          <w:highlight w:val="none"/>
          <w:lang w:val="en-US"/>
        </w:rPr>
      </w:pPr>
      <w:r>
        <w:rPr>
          <w:rFonts w:hint="eastAsia" w:hAnsi="宋体"/>
          <w:color w:val="auto"/>
          <w:sz w:val="24"/>
          <w:szCs w:val="40"/>
          <w:highlight w:val="none"/>
          <w:lang w:val="en-US" w:eastAsia="zh-CN"/>
        </w:rPr>
        <w:t xml:space="preserve">  </w:t>
      </w:r>
      <w:r>
        <w:rPr>
          <w:rFonts w:hint="eastAsia" w:ascii="宋体" w:hAnsi="宋体" w:eastAsia="宋体" w:cs="宋体"/>
          <w:color w:val="auto"/>
          <w:sz w:val="30"/>
          <w:szCs w:val="30"/>
          <w:highlight w:val="none"/>
          <w:lang w:val="en-US" w:eastAsia="zh-CN"/>
        </w:rPr>
        <w:t xml:space="preserve">第一部分 合同协议</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lang w:val="en-US" w:eastAsia="zh-CN"/>
        </w:rPr>
        <w:t xml:space="preserve">           </w:t>
      </w:r>
      <w:r/>
    </w:p>
    <w:p>
      <w:pPr>
        <w:pageBreakBefore w:val="0"/>
        <w:spacing w:line="380" w:lineRule="exact"/>
        <w:rPr>
          <w:rFonts w:hint="eastAsia" w:ascii="宋体" w:hAnsi="宋体" w:eastAsia="宋体" w:cs="宋体"/>
          <w:b/>
          <w:color w:val="auto"/>
          <w:sz w:val="21"/>
          <w:szCs w:val="21"/>
          <w:highlight w:val="none"/>
          <w:u w:val="single"/>
          <w:lang w:val="en-US" w:eastAsia="zh-CN"/>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lang w:val="en-US" w:eastAsia="zh-CN"/>
        </w:rPr>
        <w:t xml:space="preserve">           </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项目</w:t>
      </w:r>
      <w:r>
        <w:rPr>
          <w:rFonts w:hint="eastAsia" w:ascii="宋体" w:hAnsi="宋体" w:eastAsia="宋体" w:cs="宋体"/>
          <w:color w:val="auto"/>
          <w:sz w:val="21"/>
          <w:szCs w:val="21"/>
          <w:highlight w:val="none"/>
        </w:rPr>
        <w:t xml:space="preserve">及有关事项协商一致，共同达成如下协议：</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37" w:name="_Toc351203481"/>
      <w:r>
        <w:rPr>
          <w:rFonts w:hint="eastAsia" w:ascii="宋体" w:hAnsi="宋体" w:eastAsia="宋体" w:cs="宋体"/>
          <w:b w:val="0"/>
          <w:color w:val="auto"/>
          <w:sz w:val="21"/>
          <w:szCs w:val="21"/>
          <w:highlight w:val="none"/>
          <w:lang w:eastAsia="zh-CN"/>
        </w:rPr>
        <w:t xml:space="preserve">一、工程概况</w:t>
      </w:r>
      <w:bookmarkEnd w:id="37"/>
      <w:r/>
      <w:r/>
    </w:p>
    <w:p>
      <w:pPr>
        <w:ind w:firstLine="420"/>
        <w:pageBreakBefore w:val="0"/>
        <w:spacing w:line="380" w:lineRule="exact"/>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3.资金来源：</w:t>
      </w:r>
      <w:r>
        <w:rPr>
          <w:rFonts w:hint="eastAsia" w:ascii="宋体" w:hAnsi="宋体" w:eastAsia="宋体" w:cs="宋体"/>
          <w:bCs/>
          <w:color w:val="auto"/>
          <w:sz w:val="21"/>
          <w:szCs w:val="21"/>
          <w:highlight w:val="none"/>
          <w:u w:val="single"/>
          <w:lang w:val="en-US" w:eastAsia="zh-CN"/>
        </w:rPr>
        <w:t xml:space="preserve">已落实</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5.工程承包范围：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38" w:name="_Toc351203482"/>
      <w:r>
        <w:rPr>
          <w:rFonts w:hint="eastAsia" w:ascii="宋体" w:hAnsi="宋体" w:eastAsia="宋体" w:cs="宋体"/>
          <w:b w:val="0"/>
          <w:color w:val="auto"/>
          <w:sz w:val="21"/>
          <w:szCs w:val="21"/>
          <w:highlight w:val="none"/>
          <w:lang w:eastAsia="zh-CN"/>
        </w:rPr>
        <w:t xml:space="preserve">二、合同工期</w:t>
      </w:r>
      <w:bookmarkEnd w:id="38"/>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pStyle w:val="936"/>
        <w:numPr>
          <w:ilvl w:val="0"/>
          <w:numId w:val="4"/>
        </w:numPr>
        <w:ind w:firstLine="420"/>
        <w:pageBreakBefore w:val="0"/>
        <w:spacing w:before="0" w:after="0" w:line="380" w:lineRule="exact"/>
        <w:rPr>
          <w:rFonts w:hint="eastAsia" w:ascii="宋体" w:hAnsi="宋体" w:eastAsia="宋体" w:cs="宋体"/>
          <w:color w:val="auto"/>
          <w:sz w:val="21"/>
          <w:szCs w:val="21"/>
          <w:highlight w:val="none"/>
        </w:rPr>
      </w:pPr>
      <w:r/>
      <w:bookmarkStart w:id="39" w:name="_Toc351203483"/>
      <w:r>
        <w:rPr>
          <w:rFonts w:hint="eastAsia" w:ascii="宋体" w:hAnsi="宋体" w:eastAsia="宋体" w:cs="宋体"/>
          <w:b w:val="0"/>
          <w:color w:val="auto"/>
          <w:sz w:val="21"/>
          <w:szCs w:val="21"/>
          <w:highlight w:val="none"/>
          <w:lang w:eastAsia="zh-CN"/>
        </w:rPr>
        <w:t xml:space="preserve">质量标准</w:t>
      </w:r>
      <w:bookmarkEnd w:id="39"/>
      <w:r>
        <w:rPr>
          <w:rFonts w:hint="eastAsia" w:ascii="宋体" w:hAnsi="宋体" w:eastAsia="宋体" w:cs="宋体"/>
          <w:b w:val="0"/>
          <w:color w:val="auto"/>
          <w:sz w:val="21"/>
          <w:szCs w:val="21"/>
          <w:highlight w:val="none"/>
          <w:lang w:eastAsia="zh-CN"/>
        </w:rPr>
        <w:t xml:space="preserve">：</w:t>
      </w:r>
      <w:bookmarkStart w:id="40" w:name="_Toc351203484"/>
      <w:r>
        <w:rPr>
          <w:rFonts w:hint="eastAsia" w:ascii="宋体" w:hAnsi="宋体" w:eastAsia="宋体" w:cs="宋体"/>
          <w:color w:val="auto"/>
          <w:sz w:val="21"/>
          <w:szCs w:val="21"/>
          <w:highlight w:val="none"/>
          <w:lang w:val="en-US" w:eastAsia="zh-CN"/>
        </w:rPr>
        <w:t xml:space="preserve">合格</w:t>
      </w:r>
      <w:r/>
    </w:p>
    <w:p>
      <w:pPr>
        <w:pStyle w:val="936"/>
        <w:numPr>
          <w:ilvl w:val="0"/>
          <w:numId w:val="0"/>
        </w:numPr>
        <w:ind w:firstLine="420"/>
        <w:pageBreakBefore w:val="0"/>
        <w:spacing w:before="0" w:after="0" w:line="380" w:lineRule="exact"/>
        <w:rPr>
          <w:rFonts w:hint="eastAsia" w:ascii="宋体" w:hAnsi="宋体" w:eastAsia="宋体" w:cs="宋体"/>
          <w:color w:val="auto"/>
          <w:sz w:val="21"/>
          <w:szCs w:val="21"/>
          <w:highlight w:val="none"/>
          <w:lang w:eastAsia="zh-CN"/>
        </w:rPr>
      </w:pPr>
      <w:r>
        <w:rPr>
          <w:rFonts w:hint="eastAsia" w:ascii="宋体" w:hAnsi="宋体" w:eastAsia="宋体" w:cs="宋体"/>
          <w:b w:val="0"/>
          <w:color w:val="auto"/>
          <w:sz w:val="21"/>
          <w:szCs w:val="21"/>
          <w:highlight w:val="none"/>
          <w:lang w:eastAsia="zh-CN"/>
        </w:rPr>
        <w:t xml:space="preserve">四、签约合同价与合同价格形式</w:t>
      </w:r>
      <w:bookmarkEnd w:id="40"/>
      <w:r>
        <w:rPr>
          <w:rFonts w:hint="eastAsia" w:ascii="宋体" w:hAnsi="宋体" w:eastAsia="宋体" w:cs="宋体"/>
          <w:b w:val="0"/>
          <w:color w:val="auto"/>
          <w:sz w:val="21"/>
          <w:szCs w:val="21"/>
          <w:highlight w:val="none"/>
          <w:lang w:eastAsia="zh-CN"/>
        </w:rPr>
        <w:tab/>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lang w:val="en-US" w:eastAsia="zh-CN"/>
        </w:rPr>
        <w:t xml:space="preserve">固定单价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1" w:name="_Toc351203485"/>
      <w:r>
        <w:rPr>
          <w:rFonts w:hint="eastAsia" w:ascii="宋体" w:hAnsi="宋体" w:eastAsia="宋体" w:cs="宋体"/>
          <w:b w:val="0"/>
          <w:color w:val="auto"/>
          <w:sz w:val="21"/>
          <w:szCs w:val="21"/>
          <w:highlight w:val="none"/>
          <w:lang w:eastAsia="zh-CN"/>
        </w:rPr>
        <w:t xml:space="preserve">五、</w:t>
      </w:r>
      <w:bookmarkEnd w:id="41"/>
      <w:r>
        <w:rPr>
          <w:rFonts w:hint="eastAsia" w:ascii="宋体" w:hAnsi="宋体" w:eastAsia="宋体" w:cs="宋体"/>
          <w:b w:val="0"/>
          <w:color w:val="auto"/>
          <w:sz w:val="21"/>
          <w:szCs w:val="21"/>
          <w:highlight w:val="none"/>
          <w:lang w:eastAsia="zh-CN"/>
        </w:rPr>
        <w:t xml:space="preserve">项目经理</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2" w:name="_Toc351203486"/>
      <w:r>
        <w:rPr>
          <w:rFonts w:hint="eastAsia" w:ascii="宋体" w:hAnsi="宋体" w:eastAsia="宋体" w:cs="宋体"/>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（5）已标价工程量清单或预算书；</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（6）其他合同文件。</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3" w:name="_Toc351203487"/>
      <w:r>
        <w:rPr>
          <w:rFonts w:hint="eastAsia" w:ascii="宋体" w:hAnsi="宋体" w:eastAsia="宋体" w:cs="宋体"/>
          <w:b w:val="0"/>
          <w:color w:val="auto"/>
          <w:sz w:val="21"/>
          <w:szCs w:val="21"/>
          <w:highlight w:val="none"/>
          <w:lang w:eastAsia="zh-CN"/>
        </w:rPr>
        <w:t xml:space="preserve">七、承诺</w:t>
      </w:r>
      <w:bookmarkEnd w:id="43"/>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Style w:val="936"/>
        <w:ind w:firstLine="420"/>
        <w:pageBreakBefore w:val="0"/>
        <w:spacing w:before="0" w:after="0" w:line="380" w:lineRule="exact"/>
        <w:rPr>
          <w:rFonts w:hint="eastAsia" w:ascii="宋体" w:hAnsi="宋体" w:eastAsia="宋体" w:cs="宋体"/>
          <w:b w:val="0"/>
          <w:color w:val="auto"/>
          <w:sz w:val="21"/>
          <w:szCs w:val="21"/>
          <w:highlight w:val="none"/>
          <w:lang w:eastAsia="zh-CN"/>
        </w:rPr>
      </w:pPr>
      <w:r/>
      <w:bookmarkStart w:id="44" w:name="_Toc351203488"/>
      <w:r>
        <w:rPr>
          <w:rFonts w:hint="eastAsia" w:ascii="宋体" w:hAnsi="宋体" w:eastAsia="宋体" w:cs="宋体"/>
          <w:b w:val="0"/>
          <w:color w:val="auto"/>
          <w:sz w:val="21"/>
          <w:szCs w:val="21"/>
          <w:highlight w:val="none"/>
          <w:lang w:eastAsia="zh-CN"/>
        </w:rPr>
        <w:t xml:space="preserve">八、词语含义</w:t>
      </w:r>
      <w:bookmarkEnd w:id="44"/>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5" w:name="_Toc351203489"/>
      <w:r>
        <w:rPr>
          <w:rFonts w:hint="eastAsia" w:ascii="宋体" w:hAnsi="宋体" w:eastAsia="宋体" w:cs="宋体"/>
          <w:b w:val="0"/>
          <w:color w:val="auto"/>
          <w:sz w:val="21"/>
          <w:szCs w:val="21"/>
          <w:highlight w:val="none"/>
          <w:lang w:eastAsia="zh-CN"/>
        </w:rPr>
        <w:t xml:space="preserve">九、签订时间</w:t>
      </w:r>
      <w:bookmarkEnd w:id="45"/>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6" w:name="_Toc351203490"/>
      <w:r>
        <w:rPr>
          <w:rFonts w:hint="eastAsia" w:ascii="宋体" w:hAnsi="宋体" w:eastAsia="宋体" w:cs="宋体"/>
          <w:b w:val="0"/>
          <w:color w:val="auto"/>
          <w:sz w:val="21"/>
          <w:szCs w:val="21"/>
          <w:highlight w:val="none"/>
          <w:lang w:eastAsia="zh-CN"/>
        </w:rPr>
        <w:t xml:space="preserve">十、签订地点</w:t>
      </w:r>
      <w:bookmarkEnd w:id="46"/>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lang w:val="en-US" w:eastAsia="zh-CN"/>
        </w:rPr>
        <w:t xml:space="preserve"> </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7" w:name="_Toc351203491"/>
      <w:r>
        <w:rPr>
          <w:rFonts w:hint="eastAsia" w:ascii="宋体" w:hAnsi="宋体" w:eastAsia="宋体" w:cs="宋体"/>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8" w:name="_Toc351203492"/>
      <w:r>
        <w:rPr>
          <w:rFonts w:hint="eastAsia" w:ascii="宋体" w:hAnsi="宋体" w:eastAsia="宋体" w:cs="宋体"/>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本合同自发包人、承包人签字盖章后生效。</w:t>
      </w:r>
      <w:r/>
    </w:p>
    <w:p>
      <w:pPr>
        <w:pStyle w:val="936"/>
        <w:ind w:firstLine="420"/>
        <w:pageBreakBefore w:val="0"/>
        <w:spacing w:before="0" w:after="0" w:line="380" w:lineRule="exact"/>
        <w:rPr>
          <w:rFonts w:hint="eastAsia" w:ascii="宋体" w:hAnsi="宋体" w:eastAsia="宋体" w:cs="宋体"/>
          <w:color w:val="auto"/>
          <w:sz w:val="21"/>
          <w:szCs w:val="21"/>
          <w:highlight w:val="none"/>
          <w:lang w:eastAsia="zh-CN"/>
        </w:rPr>
      </w:pPr>
      <w:r/>
      <w:bookmarkStart w:id="49" w:name="_Toc351203493"/>
      <w:r>
        <w:rPr>
          <w:rFonts w:hint="eastAsia" w:ascii="宋体" w:hAnsi="宋体" w:eastAsia="宋体" w:cs="宋体"/>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w:t>
      </w:r>
      <w:r>
        <w:rPr>
          <w:rFonts w:hint="eastAsia" w:ascii="宋体" w:hAnsi="宋体" w:eastAsia="宋体" w:cs="宋体"/>
          <w:bCs/>
          <w:color w:val="auto"/>
          <w:sz w:val="21"/>
          <w:szCs w:val="21"/>
          <w:highlight w:val="none"/>
          <w:lang w:eastAsia="zh-CN"/>
        </w:rPr>
        <w:t xml:space="preserve">一式</w:t>
      </w:r>
      <w:r>
        <w:rPr>
          <w:rFonts w:hint="eastAsia" w:ascii="宋体" w:hAnsi="宋体" w:eastAsia="宋体" w:cs="宋体"/>
          <w:bCs/>
          <w:color w:val="auto"/>
          <w:sz w:val="21"/>
          <w:szCs w:val="21"/>
          <w:highlight w:val="none"/>
          <w:lang w:val="en-US" w:eastAsia="zh-CN"/>
        </w:rPr>
        <w:t xml:space="preserve">五</w:t>
      </w:r>
      <w:r>
        <w:rPr>
          <w:rFonts w:hint="eastAsia" w:ascii="宋体" w:hAnsi="宋体" w:eastAsia="宋体" w:cs="宋体"/>
          <w:bCs/>
          <w:color w:val="auto"/>
          <w:sz w:val="21"/>
          <w:szCs w:val="21"/>
          <w:highlight w:val="none"/>
          <w:lang w:eastAsia="zh-CN"/>
        </w:rPr>
        <w:t xml:space="preserve">份</w:t>
      </w:r>
      <w:r>
        <w:rPr>
          <w:rFonts w:hint="eastAsia" w:ascii="宋体" w:hAnsi="宋体" w:eastAsia="宋体" w:cs="宋体"/>
          <w:bCs/>
          <w:color w:val="auto"/>
          <w:sz w:val="21"/>
          <w:szCs w:val="21"/>
          <w:highlight w:val="none"/>
        </w:rPr>
        <w:t xml:space="preserve">，均具有同等法律效力，发包人执贰份，承包人执</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代理机构资料存档一份</w:t>
      </w:r>
      <w:r>
        <w:rPr>
          <w:rFonts w:hint="eastAsia" w:ascii="宋体" w:hAnsi="宋体" w:eastAsia="宋体" w:cs="宋体"/>
          <w:bCs/>
          <w:color w:val="auto"/>
          <w:sz w:val="21"/>
          <w:szCs w:val="21"/>
          <w:highlight w:val="none"/>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                                账号：</w:t>
      </w:r>
      <w:r/>
    </w:p>
    <w:p>
      <w:pPr>
        <w:jc w:val="center"/>
        <w:pageBreakBefore w:val="0"/>
        <w:spacing w:line="380" w:lineRule="exact"/>
        <w:rPr>
          <w:rFonts w:hint="eastAsia" w:ascii="宋体" w:hAnsi="宋体" w:eastAsia="宋体" w:cs="宋体"/>
          <w:b/>
          <w:bCs/>
          <w:color w:val="auto"/>
          <w:sz w:val="30"/>
          <w:szCs w:val="30"/>
          <w:highlight w:val="none"/>
        </w:rPr>
      </w:pPr>
      <w:r/>
      <w:bookmarkStart w:id="50" w:name="_Toc498006745"/>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30"/>
          <w:szCs w:val="30"/>
          <w:highlight w:val="none"/>
        </w:rPr>
        <w:t xml:space="preserve">第二部分 通用合同条款</w:t>
      </w:r>
      <w:bookmarkEnd w:id="50"/>
      <w:r/>
      <w:r/>
    </w:p>
    <w:p>
      <w:pPr>
        <w:jc w:val="center"/>
        <w:pageBreakBefore w:val="0"/>
        <w:spacing w:line="380" w:lineRule="exact"/>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《建设工程施工合同（示范文本）》（GF</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2017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0201）</w:t>
      </w:r>
      <w:bookmarkStart w:id="51" w:name="_Toc498006746"/>
      <w:r/>
      <w:r/>
    </w:p>
    <w:p>
      <w:pPr>
        <w:pStyle w:val="935"/>
        <w:jc w:val="center"/>
        <w:pageBreakBefore w:val="0"/>
        <w:spacing w:before="0" w:after="0" w:line="3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第三部分 专用合同条款</w:t>
      </w:r>
      <w:bookmarkEnd w:id="5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52" w:name="_Toc351203633"/>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1</w:t>
      </w:r>
      <w:bookmarkStart w:id="53" w:name="_Toc292559361"/>
      <w:r/>
      <w:bookmarkStart w:id="54" w:name="_Toc292559866"/>
      <w:r/>
      <w:bookmarkStart w:id="55" w:name="_Toc296346657"/>
      <w:r/>
      <w:bookmarkStart w:id="56" w:name="_Toc296890984"/>
      <w:r/>
      <w:bookmarkStart w:id="57" w:name="_Toc296944495"/>
      <w:r/>
      <w:bookmarkStart w:id="58" w:name="_Toc297120456"/>
      <w:r/>
      <w:bookmarkStart w:id="59" w:name="_Toc296503156"/>
      <w:r/>
      <w:bookmarkStart w:id="60" w:name="_Toc297048342"/>
      <w:r/>
      <w:bookmarkStart w:id="61" w:name="_Toc296347155"/>
      <w:r/>
      <w:bookmarkStart w:id="62" w:name="_Toc296891196"/>
      <w:r>
        <w:rPr>
          <w:rFonts w:hint="eastAsia" w:ascii="宋体" w:hAnsi="宋体" w:eastAsia="宋体" w:cs="宋体"/>
          <w:color w:val="auto"/>
          <w:sz w:val="21"/>
          <w:szCs w:val="21"/>
          <w:highlight w:val="none"/>
          <w:lang w:eastAsia="zh-CN"/>
        </w:rPr>
        <w:t xml:space="preserve">. 一般约定</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监理人：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设计人：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作为施工现场组成部分的其他场所包括：</w:t>
      </w:r>
      <w:r>
        <w:rPr>
          <w:rFonts w:hint="eastAsia" w:ascii="宋体" w:hAnsi="宋体" w:eastAsia="宋体" w:cs="宋体"/>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永久占地包括：</w:t>
      </w:r>
      <w:r>
        <w:rPr>
          <w:rFonts w:hint="eastAsia" w:ascii="宋体" w:hAnsi="宋体" w:eastAsia="宋体" w:cs="宋体"/>
          <w:color w:val="auto"/>
          <w:sz w:val="21"/>
          <w:szCs w:val="21"/>
          <w:highlight w:val="none"/>
          <w:u w:val="single"/>
        </w:rPr>
        <w:t xml:space="preserve">依据设计图纸确定</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临时占地包括：</w:t>
      </w:r>
      <w:r>
        <w:rPr>
          <w:rFonts w:hint="eastAsia" w:ascii="宋体" w:hAnsi="宋体" w:eastAsia="宋体" w:cs="宋体"/>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中华人民共和国民法典》</w:t>
      </w:r>
      <w:r>
        <w:rPr>
          <w:rFonts w:hint="eastAsia" w:ascii="宋体" w:hAnsi="宋体" w:cs="宋体"/>
          <w:color w:val="auto"/>
          <w:sz w:val="21"/>
          <w:szCs w:val="21"/>
          <w:highlight w:val="none"/>
          <w:u w:val="single"/>
          <w:lang w:val="en-US" w:eastAsia="zh-CN"/>
        </w:rPr>
        <w:t xml:space="preserve">《中华人民共和国招标投标法》</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中华人民共和国建筑法</w:t>
      </w:r>
      <w:r>
        <w:rPr>
          <w:rFonts w:hint="eastAsia" w:ascii="宋体" w:hAnsi="宋体" w:eastAsia="宋体" w:cs="宋体"/>
          <w:color w:val="auto"/>
          <w:sz w:val="21"/>
          <w:szCs w:val="21"/>
          <w:highlight w:val="none"/>
          <w:u w:val="single"/>
          <w:lang w:eastAsia="zh-CN"/>
        </w:rPr>
        <w:t xml:space="preserve">》《建设工程质量管理条例</w:t>
      </w:r>
      <w:r>
        <w:rPr>
          <w:rFonts w:hint="eastAsia" w:ascii="宋体" w:hAnsi="宋体" w:eastAsia="宋体" w:cs="宋体"/>
          <w:color w:val="auto"/>
          <w:sz w:val="21"/>
          <w:szCs w:val="21"/>
          <w:highlight w:val="none"/>
          <w:u w:val="single"/>
        </w:rPr>
        <w:t xml:space="preserve">》等</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按国家标准同时符合强制性规范验收要求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中标通知书、投标函及其附录、招标文件、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、专用合同条款及其附件、通用合同条款、技术标准和要求、图纸、已标价的工程量清单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开工前14日内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 全套施工图纸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承包人文件</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（电子版及打印同时装订成册的</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、投标报价软件版计价文件电子版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  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  一套电子版</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、一套软件版计价文件、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装订成册二套</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签订合同 2 天内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现场图纸准备</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监理人、承包人在施工场地各保存一套完整的图纸和承包人文件</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项目所在地承包人项目部</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承包人项目经理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项目所在地监理人办公室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监理工程师</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 w:name="_Toc14538"/>
      <w:r/>
      <w:bookmarkStart w:id="64" w:name="_Toc1749"/>
      <w:r/>
      <w:bookmarkStart w:id="65" w:name="_Toc31858115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6" w:name="_Toc11558"/>
      <w:r/>
      <w:bookmarkStart w:id="67" w:name="_Toc17634"/>
      <w:r>
        <w:rPr>
          <w:rFonts w:hint="eastAsia" w:ascii="宋体" w:hAnsi="宋体" w:eastAsia="宋体" w:cs="宋体"/>
          <w:color w:val="auto"/>
          <w:sz w:val="21"/>
          <w:szCs w:val="21"/>
          <w:highlight w:val="none"/>
        </w:rPr>
        <w:t xml:space="preserve">1</w:t>
      </w:r>
      <w:bookmarkStart w:id="68" w:name="_Toc303539100"/>
      <w:r/>
      <w:bookmarkStart w:id="69" w:name="_Toc304295521"/>
      <w:r/>
      <w:bookmarkStart w:id="70" w:name="_Toc318581155"/>
      <w:r/>
      <w:bookmarkStart w:id="71" w:name="_Toc312677986"/>
      <w:r/>
      <w:bookmarkStart w:id="72" w:name="_Toc300934943"/>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宋体" w:hAnsi="宋体" w:eastAsia="宋体" w:cs="宋体"/>
          <w:color w:val="auto"/>
          <w:sz w:val="21"/>
          <w:szCs w:val="21"/>
          <w:highlight w:val="none"/>
          <w:u w:val="single"/>
          <w:lang w:eastAsia="zh-CN"/>
        </w:rPr>
        <w:t xml:space="preserve">，由</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已投标时综合考虑，已包含在发包价内。发包人不再予以额外补偿</w:t>
      </w:r>
      <w:r>
        <w:rPr>
          <w:rFonts w:hint="eastAsia" w:ascii="宋体" w:hAnsi="宋体" w:eastAsia="宋体" w:cs="宋体"/>
          <w:color w:val="auto"/>
          <w:sz w:val="21"/>
          <w:szCs w:val="21"/>
          <w:highlight w:val="none"/>
        </w:rPr>
        <w:t xml:space="preserve">。</w:t>
      </w:r>
      <w:bookmarkEnd w:id="68"/>
      <w:r/>
      <w:bookmarkEnd w:id="69"/>
      <w:r/>
      <w:bookmarkEnd w:id="70"/>
      <w:r/>
      <w:bookmarkEnd w:id="71"/>
      <w:r/>
      <w:bookmarkEnd w:id="72"/>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73" w:name="_Toc23298"/>
      <w:r/>
      <w:bookmarkStart w:id="74" w:name="_Toc11813"/>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以规划红线为界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按现状， 如施工需要的场内道路和交通设施及施工绿色围挡（含绿色围墙、张贴广告等）由承包人自行建设</w:t>
      </w:r>
      <w:r>
        <w:rPr>
          <w:rFonts w:hint="eastAsia" w:ascii="宋体" w:hAnsi="宋体" w:cs="宋体"/>
          <w:color w:val="auto"/>
          <w:sz w:val="21"/>
          <w:szCs w:val="21"/>
          <w:highlight w:val="none"/>
          <w:u w:val="single"/>
          <w:lang w:val="en-US" w:eastAsia="zh-CN"/>
        </w:rPr>
        <w:t xml:space="preserve">和</w:t>
      </w:r>
      <w:r>
        <w:rPr>
          <w:rFonts w:hint="eastAsia" w:ascii="宋体" w:hAnsi="宋体" w:eastAsia="宋体" w:cs="宋体"/>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运输超大件或超重件所需的道路和桥梁临时加固改造费用和其他有关费用由承担。</w:t>
      </w:r>
      <w:bookmarkEnd w:id="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5" w:name="_Toc19332"/>
      <w:r/>
      <w:bookmarkStart w:id="76" w:name="_Toc29204"/>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未</w:t>
      </w:r>
      <w:r>
        <w:rPr>
          <w:rFonts w:hint="eastAsia" w:ascii="宋体" w:hAnsi="宋体" w:eastAsia="宋体" w:cs="宋体"/>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77" w:name="_Toc24001"/>
      <w:r/>
      <w:bookmarkStart w:id="78" w:name="_Toc18045"/>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工程量清单错误的修正</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不调整综合单价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 工程量按实计算，</w:t>
      </w:r>
      <w:r>
        <w:rPr>
          <w:rFonts w:hint="eastAsia" w:ascii="宋体" w:hAnsi="宋体" w:eastAsia="宋体" w:cs="宋体"/>
          <w:color w:val="auto"/>
          <w:sz w:val="21"/>
          <w:szCs w:val="21"/>
          <w:highlight w:val="none"/>
          <w:u w:val="single"/>
          <w:lang w:eastAsia="zh-CN"/>
        </w:rPr>
        <w:t xml:space="preserve">合同</w:t>
      </w:r>
      <w:r>
        <w:rPr>
          <w:rFonts w:hint="eastAsia" w:ascii="宋体" w:hAnsi="宋体" w:eastAsia="宋体" w:cs="宋体"/>
          <w:color w:val="auto"/>
          <w:sz w:val="21"/>
          <w:szCs w:val="21"/>
          <w:highlight w:val="none"/>
          <w:u w:val="single"/>
        </w:rPr>
        <w:t xml:space="preserve">投标报价（人工、材料、机械、管理费、利润以及各项措施项目费用 </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79" w:name="_Toc351203634"/>
      <w:r>
        <w:rPr>
          <w:rFonts w:hint="eastAsia" w:ascii="宋体" w:hAnsi="宋体" w:eastAsia="宋体" w:cs="宋体"/>
          <w:color w:val="auto"/>
          <w:sz w:val="21"/>
          <w:szCs w:val="21"/>
          <w:highlight w:val="none"/>
          <w:lang w:eastAsia="zh-CN"/>
        </w:rPr>
        <w:t xml:space="preserve">2</w:t>
      </w:r>
      <w:bookmarkStart w:id="80" w:name="_Toc296891197"/>
      <w:r/>
      <w:bookmarkStart w:id="81" w:name="_Toc297048343"/>
      <w:r/>
      <w:bookmarkStart w:id="82" w:name="_Toc296944496"/>
      <w:r/>
      <w:bookmarkStart w:id="83" w:name="_Toc296347156"/>
      <w:r/>
      <w:bookmarkStart w:id="84" w:name="_Toc292559362"/>
      <w:r/>
      <w:bookmarkStart w:id="85" w:name="_Toc296890985"/>
      <w:r/>
      <w:bookmarkStart w:id="86" w:name="_Toc297120457"/>
      <w:r/>
      <w:bookmarkStart w:id="87" w:name="_Toc292559867"/>
      <w:r/>
      <w:bookmarkStart w:id="88" w:name="_Toc296346658"/>
      <w:r/>
      <w:bookmarkStart w:id="89" w:name="_Toc296503157"/>
      <w:r>
        <w:rPr>
          <w:rFonts w:hint="eastAsia" w:ascii="宋体" w:hAnsi="宋体" w:eastAsia="宋体" w:cs="宋体"/>
          <w:color w:val="auto"/>
          <w:sz w:val="21"/>
          <w:szCs w:val="21"/>
          <w:highlight w:val="none"/>
          <w:lang w:eastAsia="zh-CN"/>
        </w:rPr>
        <w:t xml:space="preserve">. 发包人</w:t>
      </w:r>
      <w:bookmarkEnd w:id="79"/>
      <w:r/>
      <w:bookmarkEnd w:id="80"/>
      <w:r/>
      <w:bookmarkEnd w:id="81"/>
      <w:r/>
      <w:bookmarkEnd w:id="82"/>
      <w:r/>
      <w:bookmarkEnd w:id="83"/>
      <w:r/>
      <w:bookmarkEnd w:id="84"/>
      <w:r/>
      <w:bookmarkEnd w:id="85"/>
      <w:r/>
      <w:bookmarkEnd w:id="86"/>
      <w:r/>
      <w:bookmarkEnd w:id="87"/>
      <w:r/>
      <w:bookmarkEnd w:id="88"/>
      <w:r/>
      <w:bookmarkEnd w:id="8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对监理单位和承包人的工作进行监督、协调及外部组织协调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对不称职的监理、施工人员的更换权</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提供施工现场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none"/>
        </w:rPr>
        <w:t xml:space="preserve">开工日期前15天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提供施工条件</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（8）协调处理施工场地周围地下管线和邻近建筑物、构筑物（含文物保护建筑）、</w:t>
      </w:r>
      <w:r>
        <w:rPr>
          <w:rFonts w:hint="eastAsia" w:ascii="宋体" w:hAnsi="宋体" w:eastAsia="宋体" w:cs="宋体"/>
          <w:color w:val="auto"/>
          <w:sz w:val="21"/>
          <w:szCs w:val="21"/>
          <w:highlight w:val="none"/>
          <w:u w:val="single"/>
          <w:lang w:eastAsia="zh-CN"/>
        </w:rPr>
        <w:t xml:space="preserve">古树名木保护</w:t>
      </w:r>
      <w:r>
        <w:rPr>
          <w:rFonts w:hint="eastAsia" w:ascii="宋体" w:hAnsi="宋体" w:eastAsia="宋体" w:cs="宋体"/>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资金来源证明及支付担保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不提供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发包人提供支付担保的形式</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宋体" w:hAnsi="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u w:val="single"/>
          <w:lang w:val="en-US" w:eastAsia="zh-CN"/>
        </w:rPr>
        <w:t xml:space="preserve">（3）专用账户资金由开户银行动态监管，发包人应确保账户余额始终不低于 2 个月工资总额。</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90" w:name="_Toc351203635"/>
      <w:r>
        <w:rPr>
          <w:rFonts w:hint="eastAsia" w:ascii="宋体" w:hAnsi="宋体" w:eastAsia="宋体" w:cs="宋体"/>
          <w:color w:val="auto"/>
          <w:sz w:val="21"/>
          <w:szCs w:val="21"/>
          <w:highlight w:val="none"/>
          <w:lang w:eastAsia="zh-CN"/>
        </w:rPr>
        <w:t xml:space="preserve">3</w:t>
      </w:r>
      <w:bookmarkStart w:id="91" w:name="_Toc296347157"/>
      <w:r/>
      <w:bookmarkStart w:id="92" w:name="_Toc296891198"/>
      <w:r/>
      <w:bookmarkStart w:id="93" w:name="_Toc296503158"/>
      <w:r/>
      <w:bookmarkStart w:id="94" w:name="_Toc296346659"/>
      <w:r/>
      <w:bookmarkStart w:id="95" w:name="_Toc296944497"/>
      <w:r/>
      <w:bookmarkStart w:id="96" w:name="_Toc296890986"/>
      <w:r/>
      <w:bookmarkStart w:id="97" w:name="_Toc297048344"/>
      <w:r/>
      <w:bookmarkStart w:id="98" w:name="_Toc292559868"/>
      <w:r/>
      <w:bookmarkStart w:id="99" w:name="_Toc292559363"/>
      <w:r/>
      <w:bookmarkStart w:id="100" w:name="_Toc297120458"/>
      <w:r>
        <w:rPr>
          <w:rFonts w:hint="eastAsia" w:ascii="宋体" w:hAnsi="宋体" w:eastAsia="宋体" w:cs="宋体"/>
          <w:color w:val="auto"/>
          <w:sz w:val="21"/>
          <w:szCs w:val="21"/>
          <w:highlight w:val="none"/>
          <w:lang w:eastAsia="zh-CN"/>
        </w:rPr>
        <w:t xml:space="preserve">. 承包人</w:t>
      </w:r>
      <w:bookmarkEnd w:id="90"/>
      <w:r/>
      <w:bookmarkEnd w:id="91"/>
      <w:r/>
      <w:bookmarkEnd w:id="92"/>
      <w:r/>
      <w:bookmarkEnd w:id="93"/>
      <w:r/>
      <w:bookmarkEnd w:id="94"/>
      <w:r/>
      <w:bookmarkEnd w:id="95"/>
      <w:r/>
      <w:bookmarkEnd w:id="96"/>
      <w:r/>
      <w:bookmarkEnd w:id="97"/>
      <w:r/>
      <w:bookmarkEnd w:id="98"/>
      <w:r/>
      <w:bookmarkEnd w:id="99"/>
      <w:r/>
      <w:bookmarkEnd w:id="10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（1）承包人提交的竣工资料的内容：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中标通知书、招标文件、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、合同及协议附件、竣工图纸、变更签证、竣工结算书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2套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施工单位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申报工程竣工验收之前由承包人负责整理和提交竣工资料（包括竣工图）报相关部门验收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若因承包人提供的竣工资料延误或所报材料不符合要求影响正常工程竣工验收</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导致发包人的工程不能按期交付或投入使用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无论哪项拖延，均视为承包人违约</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承包人按每拖延一天 1000元向发包人支付违约金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并且发包人保留进一步向承包人索赔补偿不足部分的权利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  书面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（2）承包人应履行的其他义务：</w:t>
      </w:r>
      <w:r>
        <w:rPr>
          <w:rFonts w:hint="eastAsia" w:ascii="宋体" w:hAnsi="宋体" w:eastAsia="宋体" w:cs="宋体"/>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（3）承包人必须遵守江苏省及淮安市、盱眙县行业主管部门的相关规定，服从行业主管部门的管理，凡</w:t>
      </w:r>
      <w:r>
        <w:rPr>
          <w:rFonts w:hint="eastAsia" w:ascii="宋体" w:hAnsi="宋体" w:eastAsia="宋体" w:cs="宋体"/>
          <w:color w:val="auto"/>
          <w:sz w:val="21"/>
          <w:szCs w:val="21"/>
          <w:highlight w:val="none"/>
          <w:u w:val="single"/>
          <w:lang w:eastAsia="zh-CN"/>
        </w:rPr>
        <w:t xml:space="preserve">涉及</w:t>
      </w:r>
      <w:r>
        <w:rPr>
          <w:rFonts w:hint="eastAsia" w:ascii="宋体" w:hAnsi="宋体" w:eastAsia="宋体" w:cs="宋体"/>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涉及的</w:t>
      </w:r>
      <w:r>
        <w:rPr>
          <w:rFonts w:hint="eastAsia" w:ascii="宋体" w:hAnsi="宋体" w:eastAsia="宋体" w:cs="宋体"/>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（6）承包人加强工程施工车辆的管理，施工车辆不得无故堵塞道路交通，不得沿途</w:t>
      </w:r>
      <w:r>
        <w:rPr>
          <w:rFonts w:hint="eastAsia" w:ascii="宋体" w:hAnsi="宋体" w:eastAsia="宋体" w:cs="宋体"/>
          <w:color w:val="auto"/>
          <w:sz w:val="21"/>
          <w:szCs w:val="21"/>
          <w:highlight w:val="none"/>
          <w:u w:val="single"/>
          <w:lang w:eastAsia="zh-CN"/>
        </w:rPr>
        <w:t xml:space="preserve">抛撒</w:t>
      </w:r>
      <w:r>
        <w:rPr>
          <w:rFonts w:hint="eastAsia" w:ascii="宋体" w:hAnsi="宋体" w:eastAsia="宋体" w:cs="宋体"/>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（12）承包人必须立刻执行发包人派驻的工程师</w:t>
      </w:r>
      <w:r>
        <w:rPr>
          <w:rFonts w:hint="eastAsia" w:ascii="宋体" w:hAnsi="宋体" w:cs="宋体"/>
          <w:color w:val="auto"/>
          <w:sz w:val="21"/>
          <w:szCs w:val="21"/>
          <w:highlight w:val="none"/>
          <w:u w:val="single"/>
          <w:lang w:eastAsia="zh-CN"/>
        </w:rPr>
        <w:t xml:space="preserve">获得</w:t>
      </w:r>
      <w:r>
        <w:rPr>
          <w:rFonts w:hint="eastAsia" w:ascii="宋体" w:hAnsi="宋体" w:eastAsia="宋体" w:cs="宋体"/>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宋体" w:hAnsi="宋体" w:eastAsia="宋体" w:cs="宋体"/>
          <w:color w:val="auto"/>
          <w:sz w:val="21"/>
          <w:szCs w:val="21"/>
          <w:highlight w:val="none"/>
          <w:u w:val="single"/>
          <w:lang w:eastAsia="zh-CN"/>
        </w:rPr>
        <w:t xml:space="preserve">将</w:t>
      </w:r>
      <w:r>
        <w:rPr>
          <w:rFonts w:hint="eastAsia" w:ascii="宋体" w:hAnsi="宋体" w:eastAsia="宋体" w:cs="宋体"/>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宋体" w:hAnsi="宋体" w:eastAsia="宋体" w:cs="宋体"/>
          <w:color w:val="auto"/>
          <w:sz w:val="21"/>
          <w:szCs w:val="21"/>
          <w:highlight w:val="none"/>
          <w:u w:val="single"/>
          <w:lang w:eastAsia="zh-CN"/>
        </w:rPr>
        <w:t xml:space="preserve">质地</w:t>
      </w:r>
      <w:r>
        <w:rPr>
          <w:rFonts w:hint="eastAsia" w:ascii="宋体" w:hAnsi="宋体" w:eastAsia="宋体" w:cs="宋体"/>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e.督查和落实专业工程单位严格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f.按照国家和地方颁布的工程质量标准、规范，有针对性地落实工程各阶段、各专业的质量管理措施，</w:t>
      </w:r>
      <w:r>
        <w:rPr>
          <w:rFonts w:hint="eastAsia" w:ascii="宋体" w:hAnsi="宋体" w:cs="宋体"/>
          <w:color w:val="auto"/>
          <w:sz w:val="21"/>
          <w:szCs w:val="21"/>
          <w:highlight w:val="none"/>
          <w:u w:val="single"/>
          <w:lang w:eastAsia="zh-CN"/>
        </w:rPr>
        <w:t xml:space="preserve">督促</w:t>
      </w:r>
      <w:r>
        <w:rPr>
          <w:rFonts w:hint="eastAsia" w:ascii="宋体" w:hAnsi="宋体" w:eastAsia="宋体" w:cs="宋体"/>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g.督促和检查专业工程单位按发包人的要求整理各类施工及竣工</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包括竣工图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宋体" w:hAnsi="宋体" w:eastAsia="宋体" w:cs="宋体"/>
          <w:color w:val="auto"/>
          <w:sz w:val="21"/>
          <w:szCs w:val="21"/>
          <w:highlight w:val="none"/>
          <w:u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16）承包人应协调处理扰民与</w:t>
      </w:r>
      <w:r>
        <w:rPr>
          <w:rFonts w:hint="eastAsia" w:ascii="宋体" w:hAnsi="宋体" w:eastAsia="宋体" w:cs="宋体"/>
          <w:color w:val="auto"/>
          <w:sz w:val="21"/>
          <w:szCs w:val="21"/>
          <w:highlight w:val="none"/>
          <w:u w:val="single"/>
          <w:lang w:eastAsia="zh-CN"/>
        </w:rPr>
        <w:t xml:space="preserve">扰民</w:t>
      </w:r>
      <w:r>
        <w:rPr>
          <w:rFonts w:hint="eastAsia" w:ascii="宋体" w:hAnsi="宋体" w:eastAsia="宋体" w:cs="宋体"/>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①承包人应按国家、江苏省及淮安市政府有关文件要求建立健全劳动保障制度，按时发放员工工资（</w:t>
      </w:r>
      <w:r>
        <w:rPr>
          <w:rFonts w:hint="eastAsia" w:ascii="宋体" w:hAnsi="宋体" w:eastAsia="宋体" w:cs="宋体"/>
          <w:color w:val="auto"/>
          <w:sz w:val="21"/>
          <w:szCs w:val="21"/>
          <w:highlight w:val="none"/>
          <w:u w:val="single"/>
          <w:lang w:eastAsia="zh-CN"/>
        </w:rPr>
        <w:t xml:space="preserve">含农</w:t>
      </w:r>
      <w:r>
        <w:rPr>
          <w:rFonts w:hint="eastAsia" w:ascii="宋体" w:hAnsi="宋体" w:eastAsia="宋体" w:cs="宋体"/>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2 \* GB3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②</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3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③</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4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④</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宋体" w:hAnsi="宋体" w:cs="宋体"/>
          <w:color w:val="auto"/>
          <w:sz w:val="21"/>
          <w:szCs w:val="21"/>
          <w:highlight w:val="none"/>
          <w:u w:val="single"/>
          <w:lang w:eastAsia="zh-CN"/>
        </w:rPr>
        <w:t xml:space="preserve">符合</w:t>
      </w:r>
      <w:r>
        <w:rPr>
          <w:rFonts w:hint="eastAsia" w:ascii="宋体" w:hAnsi="宋体" w:eastAsia="宋体" w:cs="宋体"/>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fldChar w:fldCharType="begin"/>
      </w:r>
      <w:r>
        <w:rPr>
          <w:rFonts w:hint="eastAsia" w:ascii="宋体" w:hAnsi="宋体" w:eastAsia="宋体" w:cs="宋体"/>
          <w:color w:val="auto"/>
          <w:sz w:val="21"/>
          <w:szCs w:val="21"/>
          <w:highlight w:val="none"/>
          <w:u w:val="single"/>
        </w:rPr>
        <w:instrText xml:space="preserve"> = 5 \* GB3 \* MERGEFORMAT </w:instrText>
      </w:r>
      <w:r>
        <w:rPr>
          <w:rFonts w:hint="eastAsia" w:ascii="宋体" w:hAnsi="宋体" w:eastAsia="宋体" w:cs="宋体"/>
          <w:color w:val="auto"/>
          <w:sz w:val="21"/>
          <w:szCs w:val="21"/>
          <w:highlight w:val="none"/>
          <w:u w:val="single"/>
        </w:rPr>
        <w:fldChar w:fldCharType="separate"/>
      </w:r>
      <w:r>
        <w:rPr>
          <w:rFonts w:hint="eastAsia" w:ascii="宋体" w:hAnsi="宋体" w:eastAsia="宋体" w:cs="宋体"/>
          <w:color w:val="auto"/>
          <w:sz w:val="21"/>
          <w:szCs w:val="21"/>
          <w:highlight w:val="none"/>
          <w:u w:val="single"/>
        </w:rPr>
        <w:t xml:space="preserve">⑤</w:t>
      </w:r>
      <w:r>
        <w:rPr>
          <w:rFonts w:hint="eastAsia" w:ascii="宋体" w:hAnsi="宋体" w:eastAsia="宋体" w:cs="宋体"/>
          <w:color w:val="auto"/>
          <w:sz w:val="21"/>
          <w:szCs w:val="21"/>
          <w:highlight w:val="none"/>
          <w:u w:val="single"/>
        </w:rPr>
        <w:fldChar w:fldCharType="end"/>
      </w:r>
      <w:r>
        <w:rPr>
          <w:rFonts w:hint="eastAsia" w:ascii="宋体" w:hAnsi="宋体" w:eastAsia="宋体" w:cs="宋体"/>
          <w:color w:val="auto"/>
          <w:sz w:val="21"/>
          <w:szCs w:val="21"/>
          <w:highlight w:val="none"/>
          <w:u w:val="single"/>
        </w:rPr>
        <w:t xml:space="preserve">在履行合同过程中，承包人应执行国家和地方的法律法</w:t>
      </w:r>
      <w:r>
        <w:rPr>
          <w:rFonts w:hint="eastAsia" w:ascii="宋体" w:hAnsi="宋体" w:eastAsia="宋体" w:cs="宋体"/>
          <w:color w:val="auto"/>
          <w:sz w:val="21"/>
          <w:szCs w:val="21"/>
          <w:highlight w:val="none"/>
          <w:u w:val="single"/>
          <w:lang w:eastAsia="zh-CN"/>
        </w:rPr>
        <w:t xml:space="preserve">规和</w:t>
      </w:r>
      <w:r>
        <w:rPr>
          <w:rFonts w:hint="eastAsia" w:ascii="宋体" w:hAnsi="宋体" w:eastAsia="宋体" w:cs="宋体"/>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（20）农民工工资支付义务</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w:t>
      </w:r>
      <w:r>
        <w:rPr>
          <w:rFonts w:hint="eastAsia" w:ascii="宋体" w:hAnsi="宋体" w:eastAsia="宋体" w:cs="宋体"/>
          <w:color w:val="auto"/>
          <w:sz w:val="21"/>
          <w:szCs w:val="21"/>
          <w:highlight w:val="none"/>
        </w:rPr>
        <w:t xml:space="preserve">项目经理：</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不少于 22 天</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违约责任</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每发现一次</w:t>
      </w:r>
      <w:r>
        <w:rPr>
          <w:rFonts w:hint="eastAsia" w:ascii="宋体" w:hAnsi="宋体" w:eastAsia="宋体" w:cs="宋体"/>
          <w:color w:val="auto"/>
          <w:sz w:val="21"/>
          <w:szCs w:val="21"/>
          <w:highlight w:val="none"/>
          <w:u w:val="single"/>
          <w:lang w:eastAsia="zh-CN"/>
        </w:rPr>
        <w:t xml:space="preserve">罚</w:t>
      </w:r>
      <w:r>
        <w:rPr>
          <w:rFonts w:hint="eastAsia" w:ascii="宋体" w:hAnsi="宋体" w:eastAsia="宋体" w:cs="宋体"/>
          <w:color w:val="auto"/>
          <w:sz w:val="21"/>
          <w:szCs w:val="21"/>
          <w:highlight w:val="none"/>
          <w:u w:val="single"/>
        </w:rPr>
        <w:t xml:space="preserve">中标价的 1%（以三次为限），直至解除合同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罚中标价 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中标价10%直至解除合同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承包人无正当理由拒绝撤换主要施工管理人员的违约责任：</w:t>
      </w:r>
      <w:r>
        <w:rPr>
          <w:rFonts w:hint="eastAsia" w:ascii="宋体" w:hAnsi="宋体" w:eastAsia="宋体" w:cs="宋体"/>
          <w:color w:val="auto"/>
          <w:sz w:val="21"/>
          <w:szCs w:val="21"/>
          <w:highlight w:val="none"/>
          <w:u w:val="single"/>
        </w:rPr>
        <w:t xml:space="preserve">承包人拒绝更换的，发包人有权解除合同</w:t>
      </w:r>
      <w:r>
        <w:rPr>
          <w:rFonts w:hint="eastAsia" w:ascii="宋体" w:hAnsi="宋体" w:cs="宋体"/>
          <w:color w:val="auto"/>
          <w:sz w:val="21"/>
          <w:szCs w:val="21"/>
          <w:highlight w:val="none"/>
          <w:u w:val="single"/>
          <w:lang w:eastAsia="zh-CN"/>
        </w:rPr>
        <w:t xml:space="preserve">，并</w:t>
      </w:r>
      <w:r>
        <w:rPr>
          <w:rFonts w:hint="eastAsia" w:ascii="宋体" w:hAnsi="宋体" w:eastAsia="宋体" w:cs="宋体"/>
          <w:color w:val="auto"/>
          <w:sz w:val="21"/>
          <w:szCs w:val="21"/>
          <w:highlight w:val="none"/>
          <w:u w:val="single"/>
        </w:rPr>
        <w:t xml:space="preserve">追究由此带来的发包人一切损失，且承包人应承担合同价千分之二/人•次的违约金</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承包人主要施工管理人员离开施工现场的批准要求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承包人擅自更换主要施工管理人员的违约责任： </w:t>
      </w:r>
      <w:r>
        <w:rPr>
          <w:rFonts w:hint="eastAsia" w:ascii="宋体" w:hAnsi="宋体" w:eastAsia="宋体" w:cs="宋体"/>
          <w:color w:val="auto"/>
          <w:sz w:val="21"/>
          <w:szCs w:val="21"/>
          <w:highlight w:val="none"/>
          <w:u w:val="single"/>
        </w:rPr>
        <w:t xml:space="preserve">承包人主要施工管理人员必须常驻工地，接受发包人及监理人的考勤，每</w:t>
      </w:r>
      <w:r>
        <w:rPr>
          <w:rFonts w:hint="eastAsia" w:ascii="宋体" w:hAnsi="宋体" w:cs="宋体"/>
          <w:color w:val="auto"/>
          <w:sz w:val="21"/>
          <w:szCs w:val="21"/>
          <w:highlight w:val="none"/>
          <w:u w:val="single"/>
          <w:lang w:eastAsia="zh-CN"/>
        </w:rPr>
        <w:t xml:space="preserve">张工</w:t>
      </w:r>
      <w:r>
        <w:rPr>
          <w:rFonts w:hint="eastAsia" w:ascii="宋体" w:hAnsi="宋体" w:eastAsia="宋体" w:cs="宋体"/>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color w:val="auto"/>
          <w:sz w:val="21"/>
          <w:szCs w:val="21"/>
          <w:highlight w:val="none"/>
          <w:u w:val="single"/>
        </w:rPr>
        <w:t xml:space="preserve"> 向发包人交纳违约金不低于合同价千分之一/人•次，如擅自离开施工现场而未参加工地例会的，向发包人</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01" w:name="_Toc297120459"/>
      <w:r/>
      <w:bookmarkStart w:id="102" w:name="_Toc296890987"/>
      <w:r/>
      <w:bookmarkStart w:id="103" w:name="_Toc296891199"/>
      <w:r/>
      <w:bookmarkStart w:id="104" w:name="_Toc304295523"/>
      <w:r/>
      <w:bookmarkStart w:id="105" w:name="_Toc296944498"/>
      <w:r/>
      <w:bookmarkStart w:id="106" w:name="_Toc300934945"/>
      <w:r/>
      <w:bookmarkStart w:id="107" w:name="_Toc292559364"/>
      <w:r/>
      <w:bookmarkStart w:id="108" w:name="_Toc297216151"/>
      <w:r/>
      <w:bookmarkStart w:id="109" w:name="_Toc297048345"/>
      <w:r/>
      <w:bookmarkStart w:id="110" w:name="_Toc296347158"/>
      <w:r/>
      <w:bookmarkStart w:id="111" w:name="_Toc312677988"/>
      <w:r/>
      <w:bookmarkStart w:id="112" w:name="_Toc303539102"/>
      <w:r/>
      <w:bookmarkStart w:id="113" w:name="_Toc292559869"/>
      <w:r/>
      <w:bookmarkStart w:id="114" w:name="_Toc297123492"/>
      <w:r/>
      <w:bookmarkStart w:id="115" w:name="_Toc296346660"/>
      <w:r/>
      <w:bookmarkStart w:id="116" w:name="_Toc296503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分包</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17" w:name="_Toc296503160"/>
      <w:r/>
      <w:bookmarkStart w:id="118" w:name="_Toc296347159"/>
      <w:r/>
      <w:bookmarkStart w:id="119" w:name="_Toc296891200"/>
      <w:r/>
      <w:bookmarkStart w:id="120" w:name="_Toc304295524"/>
      <w:r/>
      <w:bookmarkStart w:id="121" w:name="_Toc303539103"/>
      <w:r/>
      <w:bookmarkStart w:id="122" w:name="_Toc296890988"/>
      <w:r/>
      <w:bookmarkStart w:id="123" w:name="_Toc297048346"/>
      <w:r/>
      <w:bookmarkStart w:id="124" w:name="_Toc296346661"/>
      <w:r/>
      <w:bookmarkStart w:id="125" w:name="_Toc292559870"/>
      <w:r/>
      <w:bookmarkStart w:id="126" w:name="_Toc297216152"/>
      <w:r/>
      <w:bookmarkStart w:id="127" w:name="_Toc300934946"/>
      <w:r/>
      <w:bookmarkStart w:id="128" w:name="_Toc292559365"/>
      <w:r/>
      <w:bookmarkStart w:id="129" w:name="_Toc296944499"/>
      <w:r/>
      <w:bookmarkStart w:id="130" w:name="_Toc297120460"/>
      <w:r/>
      <w:bookmarkStart w:id="131" w:name="_Toc297123493"/>
      <w:r/>
      <w:bookmarkStart w:id="132" w:name="_Toc318581158"/>
      <w:r/>
      <w:bookmarkStart w:id="133" w:name="_Toc31267798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分包的一般约定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除发包人允许分包的专业工程外，均为禁止分包的工程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rPr>
        <w:t xml:space="preserve">主体结构、关键性工作的范围</w:t>
      </w:r>
      <w:r>
        <w:rPr>
          <w:rFonts w:hint="eastAsia" w:ascii="宋体" w:hAnsi="宋体" w:cs="宋体"/>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6347160"/>
      <w:r/>
      <w:bookmarkStart w:id="135" w:name="_Toc296890989"/>
      <w:r/>
      <w:bookmarkStart w:id="136" w:name="_Toc296503161"/>
      <w:r/>
      <w:bookmarkStart w:id="137" w:name="_Toc297123494"/>
      <w:r/>
      <w:bookmarkStart w:id="138" w:name="_Toc297120461"/>
      <w:r/>
      <w:bookmarkStart w:id="139" w:name="_Toc296944500"/>
      <w:r/>
      <w:bookmarkStart w:id="140" w:name="_Toc297048347"/>
      <w:r/>
      <w:bookmarkStart w:id="141" w:name="_Toc304295525"/>
      <w:r/>
      <w:bookmarkStart w:id="142" w:name="_Toc303539104"/>
      <w:r/>
      <w:bookmarkStart w:id="143" w:name="_Toc296346662"/>
      <w:r/>
      <w:bookmarkStart w:id="144" w:name="_Toc296891201"/>
      <w:r/>
      <w:bookmarkStart w:id="145" w:name="_Toc300934947"/>
      <w:r/>
      <w:bookmarkStart w:id="146" w:name="_Toc297216153"/>
      <w:r>
        <w:rPr>
          <w:rFonts w:hint="eastAsia" w:ascii="宋体" w:hAnsi="宋体" w:cs="宋体"/>
          <w:color w:val="auto"/>
          <w:sz w:val="21"/>
          <w:szCs w:val="21"/>
          <w:highlight w:val="none"/>
          <w:u w:val="single"/>
          <w:lang w:val="en-US" w:eastAsia="zh-CN"/>
        </w:rPr>
        <w:t xml:space="preserve"> /  </w:t>
      </w:r>
      <w:r>
        <w:rPr>
          <w:rFonts w:hint="eastAsia" w:ascii="宋体" w:hAnsi="宋体" w:cs="宋体"/>
          <w:color w:val="auto"/>
          <w:sz w:val="21"/>
          <w:szCs w:val="21"/>
          <w:highlight w:val="none"/>
          <w:u w:val="none"/>
          <w:lang w:val="en-US" w:eastAsia="zh-CN"/>
        </w:rPr>
        <w:t xml:space="preserve">。</w:t>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47" w:name="_Toc312677990"/>
      <w:r/>
      <w:bookmarkStart w:id="148" w:name="_Toc31858115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.2分包的确定</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分包合同价款</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cs="宋体"/>
          <w:color w:val="auto"/>
          <w:sz w:val="21"/>
          <w:szCs w:val="21"/>
          <w:highlight w:val="none"/>
          <w:lang w:eastAsia="zh-CN"/>
        </w:rPr>
        <w:t xml:space="preserve">：</w:t>
      </w:r>
      <w:bookmarkEnd w:id="147"/>
      <w:r/>
      <w:bookmarkEnd w:id="14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工程照管与成品、半成品保护</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以合同签订日期与承包人进场日期先到者为起始时间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履约担保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提供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w:t>
      </w:r>
      <w:r>
        <w:rPr>
          <w:rFonts w:hint="eastAsia" w:ascii="宋体" w:hAnsi="宋体" w:eastAsia="宋体" w:cs="宋体"/>
          <w:color w:val="auto"/>
          <w:sz w:val="21"/>
          <w:szCs w:val="21"/>
          <w:highlight w:val="none"/>
          <w:lang w:eastAsia="zh-CN"/>
        </w:rPr>
        <w:t xml:space="preserve">期限</w:t>
      </w:r>
      <w:r>
        <w:rPr>
          <w:rFonts w:hint="eastAsia" w:ascii="宋体" w:hAnsi="宋体" w:eastAsia="宋体" w:cs="宋体"/>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①合同签订前</w:t>
      </w:r>
      <w:r>
        <w:rPr>
          <w:rFonts w:hint="eastAsia" w:ascii="宋体" w:hAnsi="宋体" w:eastAsia="宋体" w:cs="宋体"/>
          <w:color w:val="auto"/>
          <w:sz w:val="21"/>
          <w:szCs w:val="21"/>
          <w:highlight w:val="none"/>
        </w:rPr>
        <w:t xml:space="preserve">承包人</w:t>
      </w:r>
      <w:r>
        <w:rPr>
          <w:rFonts w:hint="eastAsia" w:ascii="宋体" w:hAnsi="宋体" w:eastAsia="宋体" w:cs="宋体"/>
          <w:color w:val="auto"/>
          <w:sz w:val="21"/>
          <w:szCs w:val="21"/>
          <w:highlight w:val="none"/>
          <w:lang w:val="en-US" w:eastAsia="zh-CN"/>
        </w:rPr>
        <w:t xml:space="preserve">向甲方缴纳合同价的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本合同的履约保证金。</w:t>
      </w:r>
      <w:r>
        <w:rPr>
          <w:rFonts w:hint="eastAsia" w:ascii="宋体" w:hAnsi="宋体" w:eastAsia="宋体" w:cs="宋体"/>
          <w:color w:val="auto"/>
          <w:sz w:val="21"/>
          <w:szCs w:val="21"/>
          <w:highlight w:val="none"/>
          <w:lang w:val="en-US" w:eastAsia="zh-CN"/>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承包人选取银行保函、担保公司的保证担保或保险公司的保证保险等</w:t>
      </w:r>
      <w:r>
        <w:rPr>
          <w:rFonts w:hint="eastAsia" w:ascii="宋体" w:hAnsi="宋体" w:cs="宋体"/>
          <w:color w:val="auto"/>
          <w:sz w:val="21"/>
          <w:szCs w:val="21"/>
          <w:highlight w:val="none"/>
          <w:lang w:eastAsia="zh-CN"/>
        </w:rPr>
        <w:t xml:space="preserve">形式</w:t>
      </w:r>
      <w:r>
        <w:rPr>
          <w:rFonts w:hint="eastAsia" w:ascii="宋体" w:hAnsi="宋体" w:eastAsia="宋体" w:cs="宋体"/>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未能履行合同规定的义务，</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履约保证金在合同约定期间内不予退还或者应完全有效，约定期间届满之日起 5个工作日内，</w:t>
      </w:r>
      <w:r>
        <w:rPr>
          <w:rFonts w:hint="eastAsia" w:ascii="宋体" w:hAnsi="宋体" w:eastAsia="宋体" w:cs="宋体"/>
          <w:color w:val="auto"/>
          <w:sz w:val="21"/>
          <w:szCs w:val="21"/>
          <w:highlight w:val="none"/>
          <w:lang w:val="en-US" w:eastAsia="zh-CN"/>
        </w:rPr>
        <w:t xml:space="preserve">发包</w:t>
      </w:r>
      <w:r>
        <w:rPr>
          <w:rFonts w:hint="eastAsia" w:ascii="宋体" w:hAnsi="宋体" w:eastAsia="宋体" w:cs="宋体"/>
          <w:color w:val="auto"/>
          <w:sz w:val="21"/>
          <w:szCs w:val="21"/>
          <w:highlight w:val="none"/>
        </w:rPr>
        <w:t xml:space="preserve">人应将履约保证金退还</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；逾期退还的，按中国人民银行同期贷款</w:t>
      </w:r>
      <w:r>
        <w:rPr>
          <w:rFonts w:hint="eastAsia" w:ascii="宋体" w:hAnsi="宋体" w:eastAsia="宋体" w:cs="宋体"/>
          <w:color w:val="auto"/>
          <w:sz w:val="21"/>
          <w:szCs w:val="21"/>
          <w:highlight w:val="none"/>
          <w:lang w:eastAsia="zh-CN"/>
        </w:rPr>
        <w:t xml:space="preserve">基准利率</w:t>
      </w:r>
      <w:r>
        <w:rPr>
          <w:rFonts w:hint="eastAsia" w:ascii="宋体" w:hAnsi="宋体" w:eastAsia="宋体" w:cs="宋体"/>
          <w:color w:val="auto"/>
          <w:sz w:val="21"/>
          <w:szCs w:val="21"/>
          <w:highlight w:val="none"/>
        </w:rPr>
        <w:t xml:space="preserve">上浮20%后的利率支付超期资金占用费，但因</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自身原因导致无法及时退还的除外。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履约保证金在合同约定期间内不予退还</w:t>
      </w:r>
      <w:r>
        <w:rPr>
          <w:rFonts w:hint="eastAsia" w:ascii="宋体" w:hAnsi="宋体" w:eastAsia="宋体" w:cs="宋体"/>
          <w:color w:val="auto"/>
          <w:sz w:val="21"/>
          <w:szCs w:val="21"/>
          <w:highlight w:val="none"/>
          <w:lang w:eastAsia="zh-CN"/>
        </w:rPr>
        <w:t xml:space="preserve">或者</w:t>
      </w:r>
      <w:r>
        <w:rPr>
          <w:rFonts w:hint="eastAsia" w:ascii="宋体" w:hAnsi="宋体" w:eastAsia="宋体" w:cs="宋体"/>
          <w:color w:val="auto"/>
          <w:sz w:val="21"/>
          <w:szCs w:val="21"/>
          <w:highlight w:val="none"/>
        </w:rPr>
        <w:t xml:space="preserve">完全有效，履约保证金在项目验收合格后无息退还给</w:t>
      </w:r>
      <w:r>
        <w:rPr>
          <w:rFonts w:hint="eastAsia" w:ascii="宋体" w:hAnsi="宋体" w:eastAsia="宋体" w:cs="宋体"/>
          <w:color w:val="auto"/>
          <w:sz w:val="21"/>
          <w:szCs w:val="21"/>
          <w:highlight w:val="none"/>
          <w:lang w:val="en-US" w:eastAsia="zh-CN"/>
        </w:rPr>
        <w:t xml:space="preserve">承包人</w:t>
      </w:r>
      <w:r>
        <w:rPr>
          <w:rFonts w:hint="eastAsia" w:ascii="宋体" w:hAnsi="宋体" w:eastAsia="宋体" w:cs="宋体"/>
          <w:color w:val="auto"/>
          <w:sz w:val="21"/>
          <w:szCs w:val="21"/>
          <w:highlight w:val="none"/>
        </w:rPr>
        <w:t xml:space="preserve">。</w:t>
      </w:r>
      <w:r/>
    </w:p>
    <w:p>
      <w:pPr>
        <w:ind w:left="0" w:firstLine="422"/>
        <w:pageBreakBefore w:val="0"/>
        <w:spacing w:line="38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w:t>
      </w:r>
      <w:bookmarkStart w:id="150" w:name="_Toc296891202"/>
      <w:r/>
      <w:bookmarkStart w:id="151" w:name="_Toc296346663"/>
      <w:r/>
      <w:bookmarkStart w:id="152" w:name="_Toc296944501"/>
      <w:r/>
      <w:bookmarkStart w:id="153" w:name="_Toc296347161"/>
      <w:r/>
      <w:bookmarkStart w:id="154" w:name="_Toc296503162"/>
      <w:r/>
      <w:bookmarkStart w:id="155" w:name="_Toc292559366"/>
      <w:r/>
      <w:bookmarkStart w:id="156" w:name="_Toc292559871"/>
      <w:r/>
      <w:bookmarkStart w:id="157" w:name="_Toc297048348"/>
      <w:r/>
      <w:bookmarkStart w:id="158" w:name="_Toc297120462"/>
      <w:r/>
      <w:bookmarkStart w:id="159" w:name="_Toc267251413"/>
      <w:r/>
      <w:bookmarkStart w:id="160" w:name="_Toc296890990"/>
      <w:r>
        <w:rPr>
          <w:rFonts w:hint="eastAsia" w:ascii="宋体" w:hAnsi="宋体" w:eastAsia="宋体" w:cs="宋体"/>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eastAsia="宋体" w:cs="宋体"/>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商定或确定</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161" w:name="_Toc267251418"/>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62" w:name="_Toc351203637"/>
      <w:r>
        <w:rPr>
          <w:rFonts w:hint="eastAsia" w:ascii="宋体" w:hAnsi="宋体" w:eastAsia="宋体" w:cs="宋体"/>
          <w:color w:val="auto"/>
          <w:sz w:val="21"/>
          <w:szCs w:val="21"/>
          <w:highlight w:val="none"/>
          <w:lang w:eastAsia="zh-CN"/>
        </w:rPr>
        <w:t xml:space="preserve">5</w:t>
      </w:r>
      <w:bookmarkEnd w:id="161"/>
      <w:r/>
      <w:bookmarkStart w:id="163" w:name="_Toc296347162"/>
      <w:r/>
      <w:bookmarkStart w:id="164" w:name="_Toc292559872"/>
      <w:r/>
      <w:bookmarkStart w:id="165" w:name="_Toc297048349"/>
      <w:r/>
      <w:bookmarkStart w:id="166" w:name="_Toc297120463"/>
      <w:r/>
      <w:bookmarkStart w:id="167" w:name="_Toc296891203"/>
      <w:r/>
      <w:bookmarkStart w:id="168" w:name="_Toc296944502"/>
      <w:r/>
      <w:bookmarkStart w:id="169" w:name="_Toc296503163"/>
      <w:r/>
      <w:bookmarkStart w:id="170" w:name="_Toc296346664"/>
      <w:r/>
      <w:bookmarkStart w:id="171" w:name="_Toc296890991"/>
      <w:r/>
      <w:bookmarkStart w:id="172" w:name="_Toc292559367"/>
      <w:r>
        <w:rPr>
          <w:rFonts w:hint="eastAsia" w:ascii="宋体" w:hAnsi="宋体" w:eastAsia="宋体" w:cs="宋体"/>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bookmarkStart w:id="173" w:name="_Toc304295527"/>
      <w:r/>
      <w:bookmarkStart w:id="174" w:name="_Toc297216155"/>
      <w:r/>
      <w:bookmarkStart w:id="175" w:name="_Toc312677997"/>
      <w:r/>
      <w:bookmarkStart w:id="176" w:name="_Toc303539106"/>
      <w:r/>
      <w:bookmarkStart w:id="177" w:name="_Toc300934949"/>
      <w:r/>
      <w:bookmarkStart w:id="178" w:name="_Toc297123496"/>
      <w:r/>
      <w:bookmarkStart w:id="179"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 满足相关部门的验收标准</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隐蔽工程检查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.2承包人提前通知监理人隐蔽工程检查的期限的约定：</w:t>
      </w:r>
      <w:r>
        <w:rPr>
          <w:rFonts w:hint="eastAsia" w:ascii="宋体" w:hAnsi="宋体" w:eastAsia="宋体" w:cs="宋体"/>
          <w:color w:val="auto"/>
          <w:sz w:val="21"/>
          <w:szCs w:val="21"/>
          <w:highlight w:val="none"/>
          <w:u w:val="single"/>
        </w:rPr>
        <w:t xml:space="preserve"> 承包人应在检查前48小时以书面形式通知监理人检查</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rPr>
        <w:t xml:space="preserve">小时。</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0" w:name="_Toc351203638"/>
      <w:r>
        <w:rPr>
          <w:rFonts w:hint="eastAsia" w:ascii="宋体" w:hAnsi="宋体" w:eastAsia="宋体" w:cs="宋体"/>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eastAsia="宋体" w:cs="宋体"/>
          <w:color w:val="auto"/>
          <w:sz w:val="21"/>
          <w:szCs w:val="21"/>
          <w:highlight w:val="none"/>
          <w:u w:val="single"/>
          <w:lang w:eastAsia="zh-CN"/>
        </w:rPr>
        <w:t xml:space="preserve">用包</w:t>
      </w:r>
      <w:r>
        <w:rPr>
          <w:rFonts w:hint="eastAsia" w:ascii="宋体" w:hAnsi="宋体" w:eastAsia="宋体" w:cs="宋体"/>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宋体" w:hAnsi="宋体" w:eastAsia="宋体" w:cs="宋体"/>
          <w:color w:val="auto"/>
          <w:sz w:val="21"/>
          <w:szCs w:val="21"/>
          <w:highlight w:val="none"/>
          <w:u w:val="single"/>
          <w:lang w:eastAsia="zh-CN"/>
        </w:rPr>
        <w:t xml:space="preserve">按照</w:t>
      </w:r>
      <w:r>
        <w:rPr>
          <w:rFonts w:hint="eastAsia" w:ascii="宋体" w:hAnsi="宋体" w:eastAsia="宋体" w:cs="宋体"/>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宋体" w:hAnsi="宋体" w:eastAsia="宋体" w:cs="宋体"/>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关于治安保卫的特别约定：</w:t>
      </w:r>
      <w:r>
        <w:rPr>
          <w:rFonts w:hint="eastAsia" w:ascii="宋体" w:hAnsi="宋体" w:eastAsia="宋体" w:cs="宋体"/>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文明施工</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宋体" w:hAnsi="宋体" w:eastAsia="宋体" w:cs="宋体"/>
          <w:color w:val="auto"/>
          <w:sz w:val="21"/>
          <w:szCs w:val="21"/>
          <w:highlight w:val="none"/>
          <w:u w:val="single"/>
          <w:lang w:eastAsia="zh-CN"/>
        </w:rPr>
        <w:t xml:space="preserve">工</w:t>
      </w:r>
      <w:r>
        <w:rPr>
          <w:rFonts w:hint="eastAsia" w:ascii="宋体" w:hAnsi="宋体" w:eastAsia="宋体" w:cs="宋体"/>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宋体" w:hAnsi="宋体" w:eastAsia="宋体" w:cs="宋体"/>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宋体" w:hAnsi="宋体" w:eastAsia="宋体" w:cs="宋体"/>
          <w:color w:val="auto"/>
          <w:sz w:val="21"/>
          <w:szCs w:val="21"/>
          <w:highlight w:val="none"/>
          <w:u w:val="single"/>
          <w:lang w:eastAsia="zh-CN"/>
        </w:rPr>
        <w:t xml:space="preserve">及其他</w:t>
      </w:r>
      <w:r>
        <w:rPr>
          <w:rFonts w:hint="eastAsia" w:ascii="宋体" w:hAnsi="宋体" w:eastAsia="宋体" w:cs="宋体"/>
          <w:color w:val="auto"/>
          <w:sz w:val="21"/>
          <w:szCs w:val="21"/>
          <w:highlight w:val="none"/>
          <w:u w:val="single"/>
        </w:rPr>
        <w:t xml:space="preserve">设施等破坏修复费用及管网移</w:t>
      </w:r>
      <w:r>
        <w:rPr>
          <w:rFonts w:hint="eastAsia" w:ascii="宋体" w:hAnsi="宋体" w:eastAsia="宋体" w:cs="宋体"/>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注：上述相关费用由承包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投标时自行考虑，已包含在发包价内。施工期间发生的该类一切费用发包人不予补偿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关于安全文明施工费支付比例和支付期限的约定：</w:t>
      </w:r>
      <w:r>
        <w:rPr>
          <w:rFonts w:hint="eastAsia" w:ascii="宋体" w:hAnsi="宋体" w:eastAsia="宋体" w:cs="宋体"/>
          <w:color w:val="auto"/>
          <w:sz w:val="21"/>
          <w:szCs w:val="21"/>
          <w:highlight w:val="none"/>
          <w:u w:val="single"/>
        </w:rPr>
        <w:t xml:space="preserve">  按专用合同条款第12.4.1项〔付款周期〕的约定予以支付  </w:t>
      </w:r>
      <w:r>
        <w:rPr>
          <w:rFonts w:hint="eastAsia" w:ascii="宋体" w:hAnsi="宋体" w:eastAsia="宋体" w:cs="宋体"/>
          <w:color w:val="auto"/>
          <w:sz w:val="21"/>
          <w:szCs w:val="21"/>
          <w:highlight w:val="none"/>
        </w:rPr>
        <w:t xml:space="preserve">。</w:t>
      </w:r>
      <w:bookmarkEnd w:id="173"/>
      <w:r/>
      <w:bookmarkEnd w:id="174"/>
      <w:r/>
      <w:bookmarkEnd w:id="175"/>
      <w:r/>
      <w:bookmarkEnd w:id="176"/>
      <w:r/>
      <w:bookmarkEnd w:id="177"/>
      <w:r/>
      <w:bookmarkEnd w:id="178"/>
      <w:r/>
      <w:bookmarkEnd w:id="179"/>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181" w:name="_Toc351203639"/>
      <w:r>
        <w:rPr>
          <w:rFonts w:hint="eastAsia" w:ascii="宋体" w:hAnsi="宋体" w:eastAsia="宋体" w:cs="宋体"/>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rPr>
          <w:rFonts w:hint="eastAsia" w:ascii="宋体" w:hAnsi="宋体" w:eastAsia="宋体" w:cs="宋体"/>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w:t>
      </w:r>
      <w:r>
        <w:rPr>
          <w:rFonts w:hint="eastAsia" w:ascii="宋体" w:hAnsi="宋体" w:eastAsia="宋体" w:cs="宋体"/>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2" w:name="_Toc312678005"/>
      <w:r/>
      <w:bookmarkStart w:id="183" w:name="_Toc297216173"/>
      <w:r/>
      <w:bookmarkStart w:id="184" w:name="_Toc300934966"/>
      <w:r/>
      <w:bookmarkStart w:id="185" w:name="_Toc297123514"/>
      <w:r/>
      <w:bookmarkStart w:id="186" w:name="_Toc304295541"/>
      <w:r/>
      <w:bookmarkStart w:id="187" w:name="_Toc312677479"/>
      <w:r/>
      <w:bookmarkStart w:id="188" w:name="_Toc303539123"/>
      <w:r>
        <w:rPr>
          <w:rFonts w:hint="eastAsia" w:ascii="宋体" w:hAnsi="宋体" w:eastAsia="宋体" w:cs="宋体"/>
          <w:color w:val="auto"/>
          <w:sz w:val="21"/>
          <w:szCs w:val="21"/>
          <w:highlight w:val="none"/>
        </w:rPr>
        <w:t xml:space="preserve">.2 施工进度计划</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7日内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lang w:val="en-US" w:eastAsia="zh-CN"/>
        </w:rPr>
        <w:t xml:space="preserve">180</w:t>
      </w:r>
      <w:r>
        <w:rPr>
          <w:rFonts w:hint="eastAsia" w:ascii="宋体" w:hAnsi="宋体" w:eastAsia="宋体" w:cs="宋体"/>
          <w:color w:val="auto"/>
          <w:sz w:val="21"/>
          <w:szCs w:val="21"/>
          <w:highlight w:val="none"/>
        </w:rPr>
        <w:t xml:space="preserve">天内发出开工通知的，承包人有权提出价格调整要求，或者解除合同。</w:t>
      </w:r>
      <w:bookmarkEnd w:id="182"/>
      <w:r/>
      <w:bookmarkEnd w:id="183"/>
      <w:r/>
      <w:bookmarkEnd w:id="184"/>
      <w:r/>
      <w:bookmarkEnd w:id="185"/>
      <w:r/>
      <w:bookmarkEnd w:id="186"/>
      <w:r/>
      <w:bookmarkEnd w:id="187"/>
      <w:r/>
      <w:bookmarkEnd w:id="18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89" w:name="_Toc304295546"/>
      <w:r/>
      <w:bookmarkStart w:id="190" w:name="_Toc297123516"/>
      <w:r/>
      <w:bookmarkStart w:id="191" w:name="_Toc297216175"/>
      <w:r/>
      <w:bookmarkStart w:id="192" w:name="_Toc300934968"/>
      <w:r/>
      <w:bookmarkStart w:id="193" w:name="_Toc303539125"/>
      <w:r/>
      <w:bookmarkStart w:id="194" w:name="_Toc312677484"/>
      <w:r/>
      <w:bookmarkStart w:id="195" w:name="_Toc312678010"/>
      <w:r>
        <w:rPr>
          <w:rFonts w:hint="eastAsia" w:ascii="宋体" w:hAnsi="宋体" w:eastAsia="宋体" w:cs="宋体"/>
          <w:color w:val="auto"/>
          <w:sz w:val="21"/>
          <w:szCs w:val="21"/>
          <w:highlight w:val="none"/>
        </w:rPr>
        <w:t xml:space="preserve">.5 工期延误</w:t>
      </w:r>
      <w:bookmarkEnd w:id="189"/>
      <w:r/>
      <w:bookmarkEnd w:id="190"/>
      <w:r/>
      <w:bookmarkEnd w:id="191"/>
      <w:r/>
      <w:bookmarkEnd w:id="192"/>
      <w:r/>
      <w:bookmarkEnd w:id="193"/>
      <w:r/>
      <w:bookmarkEnd w:id="194"/>
      <w:r/>
      <w:bookmarkEnd w:id="19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196" w:name="_Toc312677486"/>
      <w:r/>
      <w:bookmarkStart w:id="197" w:name="_Toc318581169"/>
      <w:r/>
      <w:bookmarkStart w:id="198" w:name="_Toc312678012"/>
      <w:r/>
      <w:bookmarkStart w:id="199" w:name="_Toc297216177"/>
      <w:r/>
      <w:bookmarkStart w:id="200" w:name="_Toc303539127"/>
      <w:r/>
      <w:bookmarkStart w:id="201" w:name="_Toc300934970"/>
      <w:r/>
      <w:bookmarkStart w:id="202" w:name="_Toc304295548"/>
      <w:r/>
      <w:bookmarkStart w:id="203" w:name="_Toc297123518"/>
      <w:r>
        <w:rPr>
          <w:rFonts w:hint="eastAsia" w:ascii="宋体" w:hAnsi="宋体" w:eastAsia="宋体" w:cs="宋体"/>
          <w:color w:val="auto"/>
          <w:sz w:val="21"/>
          <w:szCs w:val="21"/>
          <w:highlight w:val="none"/>
        </w:rPr>
        <w:t xml:space="preserve">.5.2 因承包人原因导致工期延误</w:t>
      </w:r>
      <w:bookmarkEnd w:id="196"/>
      <w:r/>
      <w:bookmarkEnd w:id="197"/>
      <w:r/>
      <w:bookmarkEnd w:id="19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04" w:name="_Toc312678013"/>
      <w:r/>
      <w:bookmarkStart w:id="205" w:name="_Toc312677487"/>
      <w:r/>
      <w:bookmarkStart w:id="206"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承包人向发包人支付2000元/天的违约金 </w:t>
      </w:r>
      <w:r>
        <w:rPr>
          <w:rFonts w:hint="eastAsia" w:ascii="宋体" w:hAnsi="宋体" w:eastAsia="宋体" w:cs="宋体"/>
          <w:color w:val="auto"/>
          <w:sz w:val="21"/>
          <w:szCs w:val="21"/>
          <w:highlight w:val="none"/>
        </w:rPr>
        <w:t xml:space="preserve">。</w:t>
      </w:r>
      <w:bookmarkEnd w:id="199"/>
      <w:r/>
      <w:bookmarkEnd w:id="200"/>
      <w:r/>
      <w:bookmarkEnd w:id="201"/>
      <w:r/>
      <w:bookmarkEnd w:id="202"/>
      <w:r/>
      <w:bookmarkEnd w:id="203"/>
      <w:r/>
      <w:bookmarkEnd w:id="204"/>
      <w:r/>
      <w:bookmarkEnd w:id="205"/>
      <w:r/>
      <w:bookmarkEnd w:id="20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w:t>
      </w:r>
      <w:bookmarkStart w:id="207" w:name="_Toc318581171"/>
      <w:r/>
      <w:bookmarkStart w:id="208"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lang w:val="en-US" w:eastAsia="zh-CN"/>
        </w:rPr>
        <w:t xml:space="preserve">合同总价20%的违约金</w:t>
      </w:r>
      <w:r>
        <w:rPr>
          <w:rFonts w:hint="eastAsia" w:ascii="宋体" w:hAnsi="宋体" w:eastAsia="宋体" w:cs="宋体"/>
          <w:color w:val="auto"/>
          <w:sz w:val="21"/>
          <w:szCs w:val="21"/>
          <w:highlight w:val="none"/>
        </w:rPr>
        <w:t xml:space="preserve">。</w:t>
      </w:r>
      <w:bookmarkEnd w:id="207"/>
      <w:r/>
      <w:bookmarkEnd w:id="20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09" w:name="_Toc303539128"/>
      <w:r/>
      <w:bookmarkStart w:id="210" w:name="_Toc297216178"/>
      <w:r/>
      <w:bookmarkStart w:id="211" w:name="_Toc304295549"/>
      <w:r/>
      <w:bookmarkStart w:id="212" w:name="_Toc312678015"/>
      <w:r/>
      <w:bookmarkStart w:id="213" w:name="_Toc297123519"/>
      <w:r/>
      <w:bookmarkStart w:id="214" w:name="_Toc300934971"/>
      <w:r>
        <w:rPr>
          <w:rFonts w:hint="eastAsia" w:ascii="宋体" w:hAnsi="宋体" w:eastAsia="宋体" w:cs="宋体"/>
          <w:color w:val="auto"/>
          <w:sz w:val="21"/>
          <w:szCs w:val="21"/>
          <w:highlight w:val="none"/>
        </w:rPr>
        <w:t xml:space="preserve">.6 不</w:t>
      </w:r>
      <w:bookmarkEnd w:id="209"/>
      <w:r/>
      <w:bookmarkEnd w:id="210"/>
      <w:r/>
      <w:bookmarkEnd w:id="211"/>
      <w:r/>
      <w:bookmarkEnd w:id="212"/>
      <w:r/>
      <w:bookmarkEnd w:id="213"/>
      <w:r/>
      <w:bookmarkEnd w:id="214"/>
      <w:r>
        <w:rPr>
          <w:rFonts w:hint="eastAsia" w:ascii="宋体" w:hAnsi="宋体" w:eastAsia="宋体" w:cs="宋体"/>
          <w:color w:val="auto"/>
          <w:sz w:val="21"/>
          <w:szCs w:val="21"/>
          <w:highlight w:val="none"/>
        </w:rPr>
        <w:t xml:space="preserve">利物质条件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215" w:name="_Toc303539129"/>
      <w:r/>
      <w:bookmarkStart w:id="216" w:name="_Toc297216179"/>
      <w:r/>
      <w:bookmarkStart w:id="217" w:name="_Toc318581172"/>
      <w:r/>
      <w:bookmarkStart w:id="218" w:name="_Toc300934972"/>
      <w:r/>
      <w:bookmarkStart w:id="219" w:name="_Toc297123520"/>
      <w:r/>
      <w:bookmarkStart w:id="220" w:name="_Toc312678016"/>
      <w:r/>
      <w:bookmarkStart w:id="221" w:name="_Toc30429555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lang w:eastAsia="zh-CN"/>
        </w:rPr>
        <w:t xml:space="preserve">：</w:t>
      </w:r>
      <w:bookmarkEnd w:id="215"/>
      <w:r/>
      <w:bookmarkEnd w:id="216"/>
      <w:r/>
      <w:bookmarkEnd w:id="217"/>
      <w:r/>
      <w:bookmarkEnd w:id="218"/>
      <w:r/>
      <w:bookmarkEnd w:id="219"/>
      <w:r/>
      <w:bookmarkEnd w:id="220"/>
      <w:r/>
      <w:bookmarkEnd w:id="2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22" w:name="_Toc297123521"/>
      <w:r/>
      <w:bookmarkStart w:id="223" w:name="_Toc303539130"/>
      <w:r/>
      <w:bookmarkStart w:id="224" w:name="_Toc300934973"/>
      <w:r/>
      <w:bookmarkStart w:id="225" w:name="_Toc297216180"/>
      <w:r/>
      <w:bookmarkStart w:id="226" w:name="_Toc304295551"/>
      <w:r/>
      <w:bookmarkStart w:id="227" w:name="_Toc312678017"/>
      <w:r>
        <w:rPr>
          <w:rFonts w:hint="eastAsia" w:ascii="宋体" w:hAnsi="宋体" w:eastAsia="宋体" w:cs="宋体"/>
          <w:color w:val="auto"/>
          <w:sz w:val="21"/>
          <w:szCs w:val="21"/>
          <w:highlight w:val="none"/>
        </w:rPr>
        <w:t xml:space="preserve">.7异常恶劣的气候条件</w:t>
      </w:r>
      <w:bookmarkEnd w:id="222"/>
      <w:r/>
      <w:bookmarkEnd w:id="223"/>
      <w:r/>
      <w:bookmarkEnd w:id="224"/>
      <w:r/>
      <w:bookmarkEnd w:id="225"/>
      <w:r/>
      <w:bookmarkEnd w:id="226"/>
      <w:r/>
      <w:bookmarkEnd w:id="22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rPr>
          <w:rFonts w:hint="eastAsia" w:ascii="宋体" w:hAnsi="宋体" w:eastAsia="宋体" w:cs="宋体"/>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28" w:name="_Toc20730"/>
      <w:r/>
      <w:bookmarkStart w:id="229" w:name="_Toc25312"/>
      <w:r>
        <w:rPr>
          <w:rFonts w:hint="eastAsia" w:ascii="宋体" w:hAnsi="宋体" w:eastAsia="宋体" w:cs="宋体"/>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0" w:name="_Toc14181"/>
      <w:r/>
      <w:bookmarkStart w:id="231" w:name="_Toc22806"/>
      <w:r>
        <w:rPr>
          <w:rFonts w:hint="eastAsia" w:ascii="宋体" w:hAnsi="宋体" w:eastAsia="宋体" w:cs="宋体"/>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2" w:name="_Toc9464"/>
      <w:r/>
      <w:bookmarkStart w:id="233" w:name="_Toc2784"/>
      <w:r>
        <w:rPr>
          <w:rFonts w:hint="eastAsia" w:ascii="宋体" w:hAnsi="宋体" w:eastAsia="宋体" w:cs="宋体"/>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4" w:name="_Toc14197"/>
      <w:r/>
      <w:bookmarkStart w:id="235" w:name="_Toc12653"/>
      <w:r>
        <w:rPr>
          <w:rFonts w:hint="eastAsia" w:ascii="宋体" w:hAnsi="宋体" w:eastAsia="宋体" w:cs="宋体"/>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6" w:name="_Toc30033"/>
      <w:r/>
      <w:bookmarkStart w:id="237" w:name="_Toc24184"/>
      <w:r>
        <w:rPr>
          <w:rFonts w:hint="eastAsia" w:ascii="宋体" w:hAnsi="宋体" w:eastAsia="宋体" w:cs="宋体"/>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38" w:name="_Toc1784"/>
      <w:r/>
      <w:bookmarkStart w:id="239" w:name="_Toc14325"/>
      <w:r>
        <w:rPr>
          <w:rFonts w:hint="eastAsia" w:ascii="宋体" w:hAnsi="宋体" w:eastAsia="宋体" w:cs="宋体"/>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lang w:val="en-US" w:eastAsia="zh-CN"/>
        </w:rPr>
      </w:pPr>
      <w:r/>
      <w:bookmarkStart w:id="240" w:name="_Toc406"/>
      <w:r/>
      <w:bookmarkStart w:id="241" w:name="_Toc11964"/>
      <w:r>
        <w:rPr>
          <w:rFonts w:hint="eastAsia" w:ascii="宋体" w:hAnsi="宋体" w:eastAsia="宋体" w:cs="宋体"/>
          <w:color w:val="auto"/>
          <w:sz w:val="21"/>
          <w:szCs w:val="21"/>
          <w:highlight w:val="none"/>
          <w:u w:val="single"/>
          <w:lang w:val="en-US" w:eastAsia="zh-CN"/>
        </w:rPr>
        <w:t xml:space="preserve">注：均以气象部门公布的为准。</w:t>
      </w:r>
      <w:bookmarkEnd w:id="240"/>
      <w:r/>
      <w:bookmarkEnd w:id="241"/>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提前竣工的奖励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.2提前竣工的奖励</w:t>
      </w:r>
      <w:r>
        <w:rPr>
          <w:rFonts w:hint="eastAsia" w:ascii="宋体" w:hAnsi="宋体" w:cs="宋体"/>
          <w:color w:val="auto"/>
          <w:sz w:val="21"/>
          <w:szCs w:val="21"/>
          <w:highlight w:val="none"/>
          <w:lang w:eastAsia="zh-CN"/>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42" w:name="_Toc351203640"/>
      <w:r>
        <w:rPr>
          <w:rFonts w:hint="eastAsia" w:ascii="宋体" w:hAnsi="宋体" w:eastAsia="宋体" w:cs="宋体"/>
          <w:color w:val="auto"/>
          <w:sz w:val="21"/>
          <w:szCs w:val="21"/>
          <w:highlight w:val="none"/>
          <w:lang w:eastAsia="zh-CN"/>
        </w:rPr>
        <w:t xml:space="preserve">8. 材料与设备</w:t>
      </w:r>
      <w:bookmarkEnd w:id="242"/>
      <w:r/>
      <w:bookmarkEnd w:id="163"/>
      <w:r/>
      <w:bookmarkEnd w:id="164"/>
      <w:r/>
      <w:bookmarkEnd w:id="165"/>
      <w:r/>
      <w:bookmarkEnd w:id="166"/>
      <w:r/>
      <w:bookmarkEnd w:id="167"/>
      <w:r/>
      <w:bookmarkEnd w:id="168"/>
      <w:r/>
      <w:bookmarkEnd w:id="169"/>
      <w:r/>
      <w:bookmarkEnd w:id="170"/>
      <w:r/>
      <w:bookmarkEnd w:id="171"/>
      <w:r/>
      <w:bookmarkEnd w:id="17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43" w:name="_Toc297216186"/>
      <w:r/>
      <w:bookmarkStart w:id="244" w:name="_Toc296346668"/>
      <w:r/>
      <w:bookmarkStart w:id="245" w:name="_Toc296944506"/>
      <w:r/>
      <w:bookmarkStart w:id="246" w:name="_Toc312677493"/>
      <w:r/>
      <w:bookmarkStart w:id="247" w:name="_Toc280868654"/>
      <w:r/>
      <w:bookmarkStart w:id="248" w:name="_Toc304295556"/>
      <w:r/>
      <w:bookmarkStart w:id="249" w:name="_Toc297048353"/>
      <w:r/>
      <w:bookmarkStart w:id="250" w:name="_Toc297120467"/>
      <w:r/>
      <w:bookmarkStart w:id="251" w:name="_Toc296503167"/>
      <w:r/>
      <w:bookmarkStart w:id="252" w:name="_Toc312678019"/>
      <w:r/>
      <w:bookmarkStart w:id="253" w:name="_Toc292559877"/>
      <w:r/>
      <w:bookmarkStart w:id="254" w:name="_Toc300934979"/>
      <w:r/>
      <w:bookmarkStart w:id="255" w:name="_Toc296890995"/>
      <w:r/>
      <w:bookmarkStart w:id="256" w:name="_Toc292559372"/>
      <w:r/>
      <w:bookmarkStart w:id="257" w:name="_Toc297123527"/>
      <w:r/>
      <w:bookmarkStart w:id="258" w:name="_Toc296891207"/>
      <w:r/>
      <w:bookmarkStart w:id="259" w:name="_Toc303539136"/>
      <w:r/>
      <w:bookmarkStart w:id="260" w:name="_Toc296347166"/>
      <w:r/>
      <w:bookmarkStart w:id="261" w:name="_Toc280868655"/>
      <w:r/>
      <w:bookmarkStart w:id="262" w:name="_Toc267251424"/>
      <w:r/>
      <w:bookmarkStart w:id="263" w:name="_Toc280868656"/>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材料与工程设备的保管与使用</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264" w:name="_Toc292559878"/>
      <w:r/>
      <w:bookmarkStart w:id="265" w:name="_Toc292559373"/>
      <w:r/>
      <w:bookmarkStart w:id="266" w:name="_Toc318581173"/>
      <w:r/>
      <w:bookmarkStart w:id="267" w:name="_Toc300934980"/>
      <w:r/>
      <w:bookmarkStart w:id="268" w:name="_Toc312678020"/>
      <w:r/>
      <w:bookmarkStart w:id="269" w:name="_Toc296944507"/>
      <w:r/>
      <w:bookmarkStart w:id="270" w:name="_Toc297216187"/>
      <w:r/>
      <w:bookmarkStart w:id="271" w:name="_Toc312677494"/>
      <w:r/>
      <w:bookmarkStart w:id="272" w:name="_Toc304295557"/>
      <w:r/>
      <w:bookmarkStart w:id="273" w:name="_Toc296347167"/>
      <w:r/>
      <w:bookmarkStart w:id="274" w:name="_Toc296890996"/>
      <w:r/>
      <w:bookmarkStart w:id="275" w:name="_Toc297123528"/>
      <w:r/>
      <w:bookmarkStart w:id="276" w:name="_Toc297120468"/>
      <w:r/>
      <w:bookmarkStart w:id="277" w:name="_Toc297048354"/>
      <w:r/>
      <w:bookmarkStart w:id="278" w:name="_Toc296891208"/>
      <w:r/>
      <w:bookmarkStart w:id="279" w:name="_Toc303539137"/>
      <w:r/>
      <w:bookmarkStart w:id="280" w:name="_Toc296503168"/>
      <w:r/>
      <w:bookmarkStart w:id="281" w:name="_Toc296346669"/>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.1发包人供应的材料设备的保管费用的承担：</w:t>
      </w:r>
      <w:r>
        <w:rPr>
          <w:rFonts w:hint="eastAsia" w:ascii="宋体" w:hAnsi="宋体" w:eastAsia="宋体" w:cs="宋体"/>
          <w:color w:val="auto"/>
          <w:sz w:val="21"/>
          <w:szCs w:val="21"/>
          <w:highlight w:val="none"/>
          <w:u w:val="single"/>
        </w:rPr>
        <w:t xml:space="preserve">承包人在投标时已综合考虑，已包含在发包价内，发包人不再额外予以补偿</w:t>
      </w:r>
      <w:r>
        <w:rPr>
          <w:rFonts w:hint="eastAsia" w:ascii="宋体" w:hAnsi="宋体" w:eastAsia="宋体" w:cs="宋体"/>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样品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.1样品的报送与封存</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（3）承包人应在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中明确材料或设备所选的品牌、厂家，如果承包人在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费用由中标单位承担 </w:t>
      </w:r>
      <w:r>
        <w:rPr>
          <w:rFonts w:hint="eastAsia" w:ascii="宋体" w:hAnsi="宋体" w:eastAsia="宋体" w:cs="宋体"/>
          <w:color w:val="auto"/>
          <w:sz w:val="21"/>
          <w:szCs w:val="21"/>
          <w:highlight w:val="none"/>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282" w:name="_Toc351203641"/>
      <w:r>
        <w:rPr>
          <w:rFonts w:hint="eastAsia" w:ascii="宋体" w:hAnsi="宋体" w:eastAsia="宋体" w:cs="宋体"/>
          <w:color w:val="auto"/>
          <w:sz w:val="21"/>
          <w:szCs w:val="21"/>
          <w:highlight w:val="none"/>
          <w:lang w:eastAsia="zh-CN"/>
        </w:rPr>
        <w:t xml:space="preserve">9</w:t>
      </w:r>
      <w:bookmarkEnd w:id="261"/>
      <w:r/>
      <w:bookmarkEnd w:id="262"/>
      <w:r/>
      <w:bookmarkEnd w:id="263"/>
      <w:r/>
      <w:bookmarkStart w:id="283" w:name="_Toc312678021"/>
      <w:r/>
      <w:bookmarkStart w:id="284" w:name="_Toc297216192"/>
      <w:r/>
      <w:bookmarkStart w:id="285" w:name="_Toc297123533"/>
      <w:r/>
      <w:bookmarkStart w:id="286" w:name="_Toc303539139"/>
      <w:r/>
      <w:bookmarkStart w:id="287" w:name="_Toc300934982"/>
      <w:r/>
      <w:bookmarkStart w:id="288" w:name="_Toc312677495"/>
      <w:r/>
      <w:bookmarkStart w:id="289" w:name="_Toc304295559"/>
      <w:r/>
      <w:bookmarkStart w:id="290" w:name="_Toc292559378"/>
      <w:r/>
      <w:bookmarkStart w:id="291" w:name="_Toc296347172"/>
      <w:r/>
      <w:bookmarkStart w:id="292" w:name="_Toc297048359"/>
      <w:r/>
      <w:bookmarkStart w:id="293" w:name="_Toc296346674"/>
      <w:r/>
      <w:bookmarkStart w:id="294" w:name="_Toc267251428"/>
      <w:r/>
      <w:bookmarkStart w:id="295" w:name="_Toc297120473"/>
      <w:r/>
      <w:bookmarkStart w:id="296" w:name="_Toc296891213"/>
      <w:r/>
      <w:bookmarkStart w:id="297" w:name="_Toc296944512"/>
      <w:r/>
      <w:bookmarkStart w:id="298" w:name="_Toc296891001"/>
      <w:r/>
      <w:bookmarkStart w:id="299" w:name="_Toc267251427"/>
      <w:r/>
      <w:bookmarkStart w:id="300" w:name="_Toc292559883"/>
      <w:r/>
      <w:bookmarkStart w:id="301" w:name="_Toc296503173"/>
      <w:r>
        <w:rPr>
          <w:rFonts w:hint="eastAsia" w:ascii="宋体" w:hAnsi="宋体" w:eastAsia="宋体" w:cs="宋体"/>
          <w:color w:val="auto"/>
          <w:sz w:val="21"/>
          <w:szCs w:val="21"/>
          <w:highlight w:val="none"/>
          <w:lang w:eastAsia="zh-CN"/>
        </w:rPr>
        <w:t xml:space="preserve">. 试验与检验</w:t>
      </w:r>
      <w:bookmarkEnd w:id="282"/>
      <w:r/>
      <w:bookmarkEnd w:id="283"/>
      <w:r/>
      <w:bookmarkEnd w:id="284"/>
      <w:r/>
      <w:bookmarkEnd w:id="285"/>
      <w:r/>
      <w:bookmarkEnd w:id="286"/>
      <w:r/>
      <w:bookmarkEnd w:id="287"/>
      <w:r/>
      <w:bookmarkEnd w:id="288"/>
      <w:r/>
      <w:bookmarkEnd w:id="28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2" w:name="_Toc312678022"/>
      <w:r/>
      <w:bookmarkStart w:id="303" w:name="_Toc300934983"/>
      <w:r/>
      <w:bookmarkStart w:id="304" w:name="_Toc297123534"/>
      <w:r/>
      <w:bookmarkStart w:id="305" w:name="_Toc312677496"/>
      <w:r/>
      <w:bookmarkStart w:id="306" w:name="_Toc304295560"/>
      <w:r/>
      <w:bookmarkStart w:id="307" w:name="_Toc303539140"/>
      <w:r/>
      <w:bookmarkStart w:id="308" w:name="_Toc297216193"/>
      <w:r>
        <w:rPr>
          <w:rFonts w:hint="eastAsia" w:ascii="宋体" w:hAnsi="宋体" w:eastAsia="宋体" w:cs="宋体"/>
          <w:color w:val="auto"/>
          <w:sz w:val="21"/>
          <w:szCs w:val="21"/>
          <w:highlight w:val="none"/>
        </w:rPr>
        <w:t xml:space="preserve">.1试验设备与试验人员</w:t>
      </w:r>
      <w:bookmarkEnd w:id="302"/>
      <w:r/>
      <w:bookmarkEnd w:id="303"/>
      <w:r/>
      <w:bookmarkEnd w:id="304"/>
      <w:r/>
      <w:bookmarkEnd w:id="305"/>
      <w:r/>
      <w:bookmarkEnd w:id="306"/>
      <w:r/>
      <w:bookmarkEnd w:id="307"/>
      <w:r/>
      <w:bookmarkEnd w:id="308"/>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309" w:name="_Toc297123535"/>
      <w:r/>
      <w:bookmarkStart w:id="310" w:name="_Toc297216194"/>
      <w:r/>
      <w:bookmarkStart w:id="311" w:name="_Toc300934984"/>
      <w:r/>
      <w:bookmarkStart w:id="312" w:name="_Toc304295561"/>
      <w:r/>
      <w:bookmarkStart w:id="313" w:name="_Toc312678023"/>
      <w:r/>
      <w:bookmarkStart w:id="314" w:name="_Toc303539141"/>
      <w:r/>
      <w:bookmarkStart w:id="315" w:name="_Toc312677497"/>
      <w:r/>
      <w:bookmarkStart w:id="316" w:name="_Toc318581174"/>
      <w:r>
        <w:rPr>
          <w:rFonts w:hint="eastAsia" w:ascii="宋体" w:hAnsi="宋体" w:eastAsia="宋体" w:cs="宋体"/>
          <w:color w:val="auto"/>
          <w:sz w:val="21"/>
          <w:szCs w:val="21"/>
          <w:highlight w:val="none"/>
        </w:rPr>
        <w:t xml:space="preserve">.1.2 试验设备</w:t>
      </w:r>
      <w:bookmarkEnd w:id="309"/>
      <w:r/>
      <w:bookmarkEnd w:id="310"/>
      <w:r/>
      <w:bookmarkEnd w:id="311"/>
      <w:r/>
      <w:bookmarkEnd w:id="312"/>
      <w:r/>
      <w:bookmarkEnd w:id="313"/>
      <w:r/>
      <w:bookmarkEnd w:id="314"/>
      <w:r/>
      <w:bookmarkEnd w:id="315"/>
      <w:r/>
      <w:bookmarkEnd w:id="316"/>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bookmarkStart w:id="317" w:name="_Toc351203642"/>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按现行相关规定、质监部门的有关要求及监理</w:t>
      </w:r>
      <w:r>
        <w:rPr>
          <w:rFonts w:hint="eastAsia" w:ascii="宋体" w:hAnsi="宋体" w:eastAsia="宋体" w:cs="宋体"/>
          <w:color w:val="auto"/>
          <w:sz w:val="21"/>
          <w:szCs w:val="21"/>
          <w:highlight w:val="none"/>
          <w:u w:val="single"/>
          <w:lang w:eastAsia="zh-CN"/>
        </w:rPr>
        <w:t xml:space="preserve">人员</w:t>
      </w:r>
      <w:r>
        <w:rPr>
          <w:rFonts w:hint="eastAsia" w:ascii="宋体" w:hAnsi="宋体" w:eastAsia="宋体" w:cs="宋体"/>
          <w:color w:val="auto"/>
          <w:sz w:val="21"/>
          <w:szCs w:val="21"/>
          <w:highlight w:val="none"/>
          <w:u w:val="single"/>
        </w:rPr>
        <w:t xml:space="preserve">指示进行配</w:t>
      </w:r>
      <w:r>
        <w:rPr>
          <w:rFonts w:hint="eastAsia" w:ascii="宋体" w:hAnsi="宋体" w:eastAsia="宋体" w:cs="宋体"/>
          <w:b w:val="0"/>
          <w:bCs w:val="0"/>
          <w:color w:val="auto"/>
          <w:sz w:val="21"/>
          <w:szCs w:val="21"/>
          <w:highlight w:val="none"/>
          <w:u w:val="single"/>
        </w:rPr>
        <w:t xml:space="preserve">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施工现场需要配备的试验设备：</w:t>
      </w:r>
      <w:r>
        <w:rPr>
          <w:rFonts w:hint="eastAsia" w:ascii="宋体" w:hAnsi="宋体" w:eastAsia="宋体" w:cs="宋体"/>
          <w:b w:val="0"/>
          <w:bCs w:val="0"/>
          <w:color w:val="auto"/>
          <w:sz w:val="21"/>
          <w:szCs w:val="21"/>
          <w:highlight w:val="none"/>
          <w:u w:val="single"/>
        </w:rPr>
        <w:t xml:space="preserve">按现行相关规定、质监部门的有关要求及监理</w:t>
      </w:r>
      <w:r>
        <w:rPr>
          <w:rFonts w:hint="eastAsia" w:ascii="宋体" w:hAnsi="宋体" w:eastAsia="宋体" w:cs="宋体"/>
          <w:b w:val="0"/>
          <w:bCs w:val="0"/>
          <w:color w:val="auto"/>
          <w:sz w:val="21"/>
          <w:szCs w:val="21"/>
          <w:highlight w:val="none"/>
          <w:u w:val="single"/>
          <w:lang w:eastAsia="zh-CN"/>
        </w:rPr>
        <w:t xml:space="preserve">人员</w:t>
      </w:r>
      <w:r>
        <w:rPr>
          <w:rFonts w:hint="eastAsia" w:ascii="宋体" w:hAnsi="宋体" w:eastAsia="宋体" w:cs="宋体"/>
          <w:b w:val="0"/>
          <w:bCs w:val="0"/>
          <w:color w:val="auto"/>
          <w:sz w:val="21"/>
          <w:szCs w:val="21"/>
          <w:highlight w:val="none"/>
          <w:u w:val="single"/>
        </w:rPr>
        <w:t xml:space="preserve">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施工现场需要具备的其他试验条件：</w:t>
      </w:r>
      <w:r>
        <w:rPr>
          <w:rFonts w:hint="eastAsia" w:ascii="宋体" w:hAnsi="宋体" w:eastAsia="宋体" w:cs="宋体"/>
          <w:b w:val="0"/>
          <w:bCs w:val="0"/>
          <w:color w:val="auto"/>
          <w:sz w:val="21"/>
          <w:szCs w:val="21"/>
          <w:highlight w:val="none"/>
          <w:u w:val="single"/>
        </w:rPr>
        <w:t xml:space="preserve">按现行相关规定、质监部门的有关要求及监理人指示进行配置 </w:t>
      </w:r>
      <w:r>
        <w:rPr>
          <w:rFonts w:hint="eastAsia" w:ascii="宋体" w:hAnsi="宋体" w:eastAsia="宋体" w:cs="宋体"/>
          <w:b w:val="0"/>
          <w:bCs w:val="0"/>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b w:val="0"/>
          <w:bCs w:val="0"/>
          <w:color w:val="auto"/>
          <w:sz w:val="21"/>
          <w:szCs w:val="21"/>
          <w:highlight w:val="none"/>
        </w:rPr>
        <w:outlineLvl w:val="0"/>
      </w:pPr>
      <w:r/>
      <w:bookmarkStart w:id="318" w:name="_Toc7613"/>
      <w:r/>
      <w:bookmarkStart w:id="319" w:name="_Toc6537"/>
      <w:r>
        <w:rPr>
          <w:rFonts w:hint="eastAsia" w:ascii="宋体" w:hAnsi="宋体" w:eastAsia="宋体" w:cs="宋体"/>
          <w:b w:val="0"/>
          <w:bCs w:val="0"/>
          <w:color w:val="auto"/>
          <w:sz w:val="21"/>
          <w:szCs w:val="21"/>
          <w:highlight w:val="none"/>
        </w:rPr>
        <w:t xml:space="preserve">9.</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现场工艺试验</w:t>
      </w:r>
      <w:bookmarkEnd w:id="318"/>
      <w:r/>
      <w:bookmarkEnd w:id="319"/>
      <w:r>
        <w:rPr>
          <w:rFonts w:hint="eastAsia" w:ascii="宋体" w:hAnsi="宋体" w:eastAsia="宋体" w:cs="宋体"/>
          <w:b w:val="0"/>
          <w:bCs w:val="0"/>
          <w:color w:val="auto"/>
          <w:sz w:val="21"/>
          <w:szCs w:val="21"/>
          <w:highlight w:val="none"/>
        </w:rPr>
        <w:t xml:space="preserve"> </w:t>
      </w:r>
      <w:r/>
    </w:p>
    <w:p>
      <w:pPr>
        <w:pStyle w:val="936"/>
        <w:ind w:left="0" w:firstLine="420"/>
        <w:pageBreakBefore w:val="0"/>
        <w:spacing w:line="380" w:lineRule="exact"/>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现场工艺试验的有关约定：</w:t>
      </w:r>
      <w:r>
        <w:rPr>
          <w:rFonts w:hint="eastAsia" w:ascii="宋体" w:hAnsi="宋体" w:eastAsia="宋体" w:cs="宋体"/>
          <w:b w:val="0"/>
          <w:bCs w:val="0"/>
          <w:color w:val="auto"/>
          <w:sz w:val="21"/>
          <w:szCs w:val="21"/>
          <w:highlight w:val="none"/>
          <w:u w:val="single"/>
          <w:lang w:val="en-US" w:eastAsia="zh-CN" w:bidi="ar-SA"/>
        </w:rPr>
        <w:t xml:space="preserve">按通用合同条款执行 </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296891233"/>
      <w:r/>
      <w:bookmarkStart w:id="321" w:name="_Toc296347192"/>
      <w:r/>
      <w:bookmarkStart w:id="322" w:name="_Toc296944532"/>
      <w:r/>
      <w:bookmarkStart w:id="323" w:name="_Toc300934989"/>
      <w:r/>
      <w:bookmarkStart w:id="324" w:name="_Toc304295566"/>
      <w:r/>
      <w:bookmarkStart w:id="325" w:name="_Toc296891021"/>
      <w:r/>
      <w:bookmarkStart w:id="326" w:name="_Toc292559398"/>
      <w:r/>
      <w:bookmarkStart w:id="327" w:name="_Toc296346694"/>
      <w:r/>
      <w:bookmarkStart w:id="328" w:name="_Toc297123540"/>
      <w:r/>
      <w:bookmarkStart w:id="329" w:name="_Toc303539146"/>
      <w:r/>
      <w:bookmarkStart w:id="330" w:name="_Toc292559903"/>
      <w:r/>
      <w:bookmarkStart w:id="331" w:name="_Toc297048379"/>
      <w:r/>
      <w:bookmarkStart w:id="332" w:name="_Toc296503193"/>
      <w:r/>
      <w:bookmarkStart w:id="333" w:name="_Toc297216199"/>
      <w:r/>
      <w:bookmarkStart w:id="334" w:name="_Toc297120493"/>
      <w:r/>
      <w:bookmarkStart w:id="335" w:name="_Toc312677499"/>
      <w:r/>
      <w:bookmarkStart w:id="336" w:name="_Toc312678025"/>
      <w:r/>
      <w:bookmarkStart w:id="337" w:name="_Toc267251437"/>
      <w:r/>
      <w:bookmarkStart w:id="338" w:name="_Toc267251441"/>
      <w:r/>
      <w:bookmarkStart w:id="339" w:name="_Toc267251440"/>
      <w:r/>
      <w:bookmarkStart w:id="340" w:name="_Toc267251439"/>
      <w:r/>
      <w:bookmarkStart w:id="341" w:name="_Toc267251435"/>
      <w:r/>
      <w:bookmarkStart w:id="342" w:name="_Toc267251433"/>
      <w:r/>
      <w:bookmarkStart w:id="343" w:name="_Toc267251442"/>
      <w:r>
        <w:rPr>
          <w:rFonts w:hint="eastAsia" w:ascii="宋体" w:hAnsi="宋体" w:eastAsia="宋体" w:cs="宋体"/>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344" w:name="_Toc297123541"/>
      <w:r/>
      <w:bookmarkStart w:id="345" w:name="_Toc297120494"/>
      <w:r/>
      <w:bookmarkStart w:id="346" w:name="_Toc292559399"/>
      <w:r/>
      <w:bookmarkStart w:id="347" w:name="_Toc297048380"/>
      <w:r/>
      <w:bookmarkStart w:id="348" w:name="_Toc296891234"/>
      <w:r/>
      <w:bookmarkStart w:id="349" w:name="_Toc296347193"/>
      <w:r/>
      <w:bookmarkStart w:id="350" w:name="_Toc312677500"/>
      <w:r/>
      <w:bookmarkStart w:id="351" w:name="_Toc296944533"/>
      <w:r/>
      <w:bookmarkStart w:id="352" w:name="_Toc312678026"/>
      <w:r/>
      <w:bookmarkStart w:id="353" w:name="_Toc296503194"/>
      <w:r/>
      <w:bookmarkStart w:id="354" w:name="_Toc303539147"/>
      <w:r/>
      <w:bookmarkStart w:id="355" w:name="_Toc300934990"/>
      <w:r/>
      <w:bookmarkStart w:id="356" w:name="_Toc296891022"/>
      <w:r/>
      <w:bookmarkStart w:id="357" w:name="_Toc297216200"/>
      <w:r/>
      <w:bookmarkStart w:id="358" w:name="_Toc304295567"/>
      <w:r/>
      <w:bookmarkStart w:id="359" w:name="_Toc292559904"/>
      <w:r/>
      <w:bookmarkStart w:id="360" w:name="_Toc296346695"/>
      <w:r>
        <w:rPr>
          <w:rFonts w:hint="eastAsia" w:ascii="宋体" w:hAnsi="宋体" w:eastAsia="宋体" w:cs="宋体"/>
          <w:color w:val="auto"/>
          <w:sz w:val="21"/>
          <w:szCs w:val="21"/>
          <w:highlight w:val="none"/>
        </w:rPr>
        <w:t xml:space="preserve">0.1变更的范围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w:t>
      </w:r>
      <w:r>
        <w:rPr>
          <w:rFonts w:hint="eastAsia" w:ascii="宋体" w:hAnsi="宋体" w:cs="宋体"/>
          <w:color w:val="auto"/>
          <w:sz w:val="21"/>
          <w:szCs w:val="21"/>
          <w:highlight w:val="none"/>
          <w:lang w:eastAsia="zh-CN"/>
        </w:rPr>
        <w:t xml:space="preserve">变更</w:t>
      </w:r>
      <w:r>
        <w:rPr>
          <w:rFonts w:hint="eastAsia" w:ascii="宋体" w:hAnsi="宋体" w:eastAsia="宋体" w:cs="宋体"/>
          <w:color w:val="auto"/>
          <w:sz w:val="21"/>
          <w:szCs w:val="21"/>
          <w:highlight w:val="none"/>
        </w:rPr>
        <w:t xml:space="preserve">范围的约定：</w:t>
      </w:r>
      <w:r>
        <w:rPr>
          <w:rFonts w:hint="eastAsia" w:ascii="宋体" w:hAnsi="宋体" w:eastAsia="宋体" w:cs="宋体"/>
          <w:color w:val="auto"/>
          <w:sz w:val="21"/>
          <w:szCs w:val="21"/>
          <w:highlight w:val="none"/>
          <w:u w:val="single"/>
        </w:rPr>
        <w:t xml:space="preserve">按通用合同条款执行</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变更估价</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变更估价原则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u w:val="single"/>
        </w:rPr>
        <w:t xml:space="preserve">同投标报价中人工、材料、机械、管理费、利润以及各项措施项目费用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6503197"/>
      <w:r/>
      <w:bookmarkStart w:id="362" w:name="_Toc297216203"/>
      <w:r/>
      <w:bookmarkStart w:id="363" w:name="_Toc297120497"/>
      <w:r/>
      <w:bookmarkStart w:id="364" w:name="_Toc296944536"/>
      <w:r/>
      <w:bookmarkStart w:id="365" w:name="_Toc296346698"/>
      <w:r/>
      <w:bookmarkStart w:id="366" w:name="_Toc292559907"/>
      <w:r/>
      <w:bookmarkStart w:id="367" w:name="_Toc300934993"/>
      <w:r/>
      <w:bookmarkStart w:id="368" w:name="_Toc296347196"/>
      <w:r/>
      <w:bookmarkStart w:id="369" w:name="_Toc297048383"/>
      <w:r/>
      <w:bookmarkStart w:id="370" w:name="_Toc303539150"/>
      <w:r/>
      <w:bookmarkStart w:id="371" w:name="_Toc292559402"/>
      <w:r/>
      <w:bookmarkStart w:id="372" w:name="_Toc296891237"/>
      <w:r/>
      <w:bookmarkStart w:id="373" w:name="_Toc296891025"/>
      <w:r/>
      <w:bookmarkStart w:id="374" w:name="_Toc297123544"/>
      <w:r/>
      <w:bookmarkStart w:id="375" w:name="_Toc312677503"/>
      <w:r/>
      <w:bookmarkStart w:id="376" w:name="_Toc304295570"/>
      <w:r/>
      <w:bookmarkStart w:id="377" w:name="_Toc31267802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7123545"/>
      <w:r/>
      <w:bookmarkStart w:id="379" w:name="_Toc303539151"/>
      <w:r/>
      <w:bookmarkStart w:id="380" w:name="_Toc296891031"/>
      <w:r/>
      <w:bookmarkStart w:id="381" w:name="_Toc297216204"/>
      <w:r/>
      <w:bookmarkStart w:id="382" w:name="_Toc296944542"/>
      <w:r/>
      <w:bookmarkStart w:id="383" w:name="_Toc292559408"/>
      <w:r/>
      <w:bookmarkStart w:id="384" w:name="_Toc297048389"/>
      <w:r/>
      <w:bookmarkStart w:id="385" w:name="_Toc296347202"/>
      <w:r/>
      <w:bookmarkStart w:id="386" w:name="_Toc292559913"/>
      <w:r/>
      <w:bookmarkStart w:id="387" w:name="_Toc296503203"/>
      <w:r/>
      <w:bookmarkStart w:id="388" w:name="_Toc296346704"/>
      <w:r/>
      <w:bookmarkStart w:id="389" w:name="_Toc297120503"/>
      <w:r/>
      <w:bookmarkStart w:id="390" w:name="_Toc296891243"/>
      <w:r/>
      <w:bookmarkStart w:id="391" w:name="_Toc300934994"/>
      <w:r>
        <w:rPr>
          <w:rFonts w:hint="eastAsia" w:ascii="宋体" w:hAnsi="宋体" w:eastAsia="宋体" w:cs="宋体"/>
          <w:color w:val="auto"/>
          <w:sz w:val="21"/>
          <w:szCs w:val="21"/>
          <w:highlight w:val="none"/>
        </w:rPr>
        <w:t xml:space="preserve">包人的合理化建议</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392" w:name="_Toc297120504"/>
      <w:r/>
      <w:bookmarkStart w:id="393" w:name="_Toc318581175"/>
      <w:r/>
      <w:bookmarkStart w:id="394" w:name="_Toc300934995"/>
      <w:r/>
      <w:bookmarkStart w:id="395" w:name="_Toc297216205"/>
      <w:r/>
      <w:bookmarkStart w:id="396" w:name="_Toc296891244"/>
      <w:r/>
      <w:bookmarkStart w:id="397" w:name="_Toc292559409"/>
      <w:r/>
      <w:bookmarkStart w:id="398" w:name="_Toc312677504"/>
      <w:r/>
      <w:bookmarkStart w:id="399" w:name="_Toc292559914"/>
      <w:r/>
      <w:bookmarkStart w:id="400" w:name="_Toc297048390"/>
      <w:r/>
      <w:bookmarkStart w:id="401" w:name="_Toc296346705"/>
      <w:r/>
      <w:bookmarkStart w:id="402" w:name="_Toc296503204"/>
      <w:r/>
      <w:bookmarkStart w:id="403" w:name="_Toc296891032"/>
      <w:r/>
      <w:bookmarkStart w:id="404" w:name="_Toc297123546"/>
      <w:r/>
      <w:bookmarkStart w:id="405" w:name="_Toc303539152"/>
      <w:r/>
      <w:bookmarkStart w:id="406" w:name="_Toc312678030"/>
      <w:r/>
      <w:bookmarkStart w:id="407" w:name="_Toc304295571"/>
      <w:r/>
      <w:bookmarkStart w:id="408" w:name="_Toc296347203"/>
      <w:r/>
      <w:bookmarkStart w:id="409" w:name="_Toc296944543"/>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410" w:name="_Toc297120499"/>
      <w:r/>
      <w:bookmarkStart w:id="411" w:name="_Toc296503199"/>
      <w:r/>
      <w:bookmarkStart w:id="412" w:name="_Toc296891239"/>
      <w:r/>
      <w:bookmarkStart w:id="413" w:name="_Toc304295574"/>
      <w:r/>
      <w:bookmarkStart w:id="414" w:name="_Toc303539154"/>
      <w:r/>
      <w:bookmarkStart w:id="415" w:name="_Toc297048385"/>
      <w:r/>
      <w:bookmarkStart w:id="416" w:name="_Toc296347198"/>
      <w:r/>
      <w:bookmarkStart w:id="417" w:name="_Toc312678033"/>
      <w:r/>
      <w:bookmarkStart w:id="418" w:name="_Toc296891027"/>
      <w:r/>
      <w:bookmarkStart w:id="419" w:name="_Toc296346700"/>
      <w:r/>
      <w:bookmarkStart w:id="420" w:name="_Toc297216207"/>
      <w:r/>
      <w:bookmarkStart w:id="421" w:name="_Toc292559404"/>
      <w:r/>
      <w:bookmarkStart w:id="422" w:name="_Toc297123548"/>
      <w:r/>
      <w:bookmarkStart w:id="423" w:name="_Toc292559909"/>
      <w:r/>
      <w:bookmarkStart w:id="424" w:name="_Toc300934997"/>
      <w:r/>
      <w:bookmarkStart w:id="425" w:name="_Toc296944538"/>
      <w:r/>
      <w:bookmarkStart w:id="426" w:name="_Toc312677507"/>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暂估价</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427" w:name="_Toc318581176"/>
      <w:r/>
      <w:bookmarkStart w:id="428" w:name="_Toc312678034"/>
      <w:r/>
      <w:bookmarkStart w:id="429" w:name="_Toc312677508"/>
      <w:r>
        <w:rPr>
          <w:rFonts w:hint="eastAsia" w:ascii="宋体" w:hAnsi="宋体" w:eastAsia="宋体" w:cs="宋体"/>
          <w:color w:val="auto"/>
          <w:sz w:val="21"/>
          <w:szCs w:val="21"/>
          <w:highlight w:val="none"/>
        </w:rPr>
        <w:t xml:space="preserve">估价材料和工程设备的明细详见附件11：《暂估价一览表》。</w:t>
      </w:r>
      <w:bookmarkEnd w:id="427"/>
      <w:r/>
      <w:bookmarkEnd w:id="428"/>
      <w:r/>
      <w:bookmarkEnd w:id="42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30" w:name="_Toc312678035"/>
      <w:r/>
      <w:bookmarkStart w:id="431" w:name="_Toc318581177"/>
      <w:r/>
      <w:bookmarkStart w:id="432" w:name="_Toc312677509"/>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依法必须招标的暂估价项目</w:t>
      </w:r>
      <w:bookmarkEnd w:id="430"/>
      <w:r/>
      <w:bookmarkEnd w:id="431"/>
      <w:r/>
      <w:bookmarkEnd w:id="432"/>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种方式确定。</w:t>
      </w:r>
      <w:r>
        <w:rPr>
          <w:rFonts w:hint="eastAsia" w:ascii="宋体" w:hAnsi="宋体" w:eastAsia="宋体" w:cs="宋体"/>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宋体" w:hAnsi="宋体" w:cs="宋体"/>
          <w:color w:val="auto"/>
          <w:sz w:val="21"/>
          <w:szCs w:val="21"/>
          <w:highlight w:val="none"/>
          <w:u w:val="single"/>
          <w:lang w:eastAsia="zh-CN"/>
        </w:rPr>
        <w:t xml:space="preserve">提出其他</w:t>
      </w:r>
      <w:r>
        <w:rPr>
          <w:rFonts w:hint="eastAsia" w:ascii="宋体" w:hAnsi="宋体" w:eastAsia="宋体" w:cs="宋体"/>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w:t>
      </w:r>
      <w:r>
        <w:rPr>
          <w:rFonts w:hint="eastAsia" w:ascii="宋体" w:hAnsi="宋体" w:eastAsia="宋体" w:cs="宋体"/>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暂列金额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暂列金额归发包人所有或使用</w:t>
      </w:r>
      <w:r>
        <w:rPr>
          <w:rFonts w:hint="eastAsia" w:ascii="宋体" w:hAnsi="宋体" w:eastAsia="宋体" w:cs="宋体"/>
          <w:color w:val="auto"/>
          <w:sz w:val="21"/>
          <w:szCs w:val="21"/>
          <w:highlight w:val="none"/>
        </w:rPr>
        <w:t xml:space="preserve">。</w:t>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33" w:name="_Toc351203643"/>
      <w:r>
        <w:rPr>
          <w:rFonts w:hint="eastAsia" w:ascii="宋体" w:hAnsi="宋体" w:eastAsia="宋体" w:cs="宋体"/>
          <w:color w:val="auto"/>
          <w:sz w:val="21"/>
          <w:szCs w:val="21"/>
          <w:highlight w:val="none"/>
          <w:lang w:eastAsia="zh-CN"/>
        </w:rPr>
        <w:t xml:space="preserve">11. 价格调整</w:t>
      </w:r>
      <w:bookmarkEnd w:id="433"/>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34" w:name="_Toc296347200"/>
      <w:r/>
      <w:bookmarkStart w:id="435" w:name="_Toc297048387"/>
      <w:r/>
      <w:bookmarkStart w:id="436" w:name="_Toc300935000"/>
      <w:r/>
      <w:bookmarkStart w:id="437" w:name="_Toc292559406"/>
      <w:r/>
      <w:bookmarkStart w:id="438" w:name="_Toc296891029"/>
      <w:r/>
      <w:bookmarkStart w:id="439" w:name="_Toc296503201"/>
      <w:r/>
      <w:bookmarkStart w:id="440" w:name="_Toc304295577"/>
      <w:r/>
      <w:bookmarkStart w:id="441" w:name="_Toc297216209"/>
      <w:r/>
      <w:bookmarkStart w:id="442" w:name="_Toc296944540"/>
      <w:r/>
      <w:bookmarkStart w:id="443" w:name="_Toc303539157"/>
      <w:r/>
      <w:bookmarkStart w:id="444" w:name="_Toc297123550"/>
      <w:r/>
      <w:bookmarkStart w:id="445" w:name="_Toc296891241"/>
      <w:r/>
      <w:bookmarkStart w:id="446" w:name="_Toc296346702"/>
      <w:r/>
      <w:bookmarkStart w:id="447" w:name="_Toc312678039"/>
      <w:r/>
      <w:bookmarkStart w:id="448" w:name="_Toc297120501"/>
      <w:r/>
      <w:bookmarkStart w:id="449" w:name="_Toc292559911"/>
      <w:r>
        <w:rPr>
          <w:rFonts w:hint="eastAsia" w:ascii="宋体" w:hAnsi="宋体" w:eastAsia="宋体" w:cs="宋体"/>
          <w:color w:val="auto"/>
          <w:sz w:val="21"/>
          <w:szCs w:val="21"/>
          <w:highlight w:val="none"/>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不调整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同投标报价     </w:t>
      </w:r>
      <w:r>
        <w:rPr>
          <w:rFonts w:hint="eastAsia" w:ascii="宋体" w:hAnsi="宋体" w:eastAsia="宋体" w:cs="宋体"/>
          <w:color w:val="auto"/>
          <w:sz w:val="21"/>
          <w:szCs w:val="21"/>
          <w:highlight w:val="none"/>
        </w:rPr>
        <w:t xml:space="preserve">。</w:t>
      </w:r>
      <w:bookmarkEnd w:id="337"/>
      <w:r/>
      <w:bookmarkEnd w:id="338"/>
      <w:r/>
      <w:bookmarkEnd w:id="339"/>
      <w:r/>
      <w:bookmarkEnd w:id="340"/>
      <w:r/>
      <w:bookmarkEnd w:id="341"/>
      <w:r/>
      <w:bookmarkEnd w:id="34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bookmarkStart w:id="450" w:name="_Toc296891245"/>
      <w:r/>
      <w:bookmarkStart w:id="451" w:name="_Toc292559410"/>
      <w:r/>
      <w:bookmarkStart w:id="452" w:name="_Toc297048391"/>
      <w:r/>
      <w:bookmarkStart w:id="453" w:name="_Toc296346706"/>
      <w:r/>
      <w:bookmarkStart w:id="454" w:name="_Toc296944544"/>
      <w:r/>
      <w:bookmarkStart w:id="455" w:name="_Toc297120505"/>
      <w:r/>
      <w:bookmarkStart w:id="456" w:name="_Toc292559915"/>
      <w:r/>
      <w:bookmarkStart w:id="457" w:name="_Toc296891033"/>
      <w:r/>
      <w:bookmarkStart w:id="458" w:name="_Toc296347204"/>
      <w:r/>
      <w:bookmarkStart w:id="459" w:name="_Toc296503205"/>
      <w:r/>
      <w:bookmarkStart w:id="460" w:name="_Toc351203644"/>
      <w:r/>
      <w:bookmarkStart w:id="461" w:name="_Toc297123552"/>
      <w:r/>
      <w:bookmarkStart w:id="462" w:name="_Toc300935002"/>
      <w:r/>
      <w:bookmarkStart w:id="463" w:name="_Toc312678040"/>
      <w:r/>
      <w:bookmarkStart w:id="464" w:name="_Toc303539159"/>
      <w:r/>
      <w:bookmarkStart w:id="465" w:name="_Toc304295579"/>
      <w:r/>
      <w:bookmarkStart w:id="466" w:name="_Toc297216211"/>
      <w:r>
        <w:rPr>
          <w:rFonts w:hint="eastAsia" w:ascii="宋体" w:hAnsi="宋体" w:eastAsia="宋体" w:cs="宋体"/>
          <w:color w:val="auto"/>
          <w:sz w:val="21"/>
          <w:szCs w:val="21"/>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auto"/>
          <w:sz w:val="21"/>
          <w:szCs w:val="21"/>
          <w:highlight w:val="none"/>
          <w:lang w:eastAsia="zh-CN"/>
        </w:rPr>
        <w:t xml:space="preserve">合同价格、计量与支付</w:t>
      </w:r>
      <w:bookmarkEnd w:id="460"/>
      <w:r/>
      <w:bookmarkEnd w:id="461"/>
      <w:r/>
      <w:bookmarkEnd w:id="462"/>
      <w:r/>
      <w:bookmarkEnd w:id="463"/>
      <w:r/>
      <w:bookmarkEnd w:id="464"/>
      <w:r/>
      <w:bookmarkEnd w:id="465"/>
      <w:r/>
      <w:bookmarkEnd w:id="466"/>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67" w:name="_Toc292559916"/>
      <w:r/>
      <w:bookmarkStart w:id="468" w:name="_Toc267251461"/>
      <w:r/>
      <w:bookmarkStart w:id="469" w:name="_Toc292559411"/>
      <w:r/>
      <w:bookmarkStart w:id="470" w:name="_Toc296891246"/>
      <w:r/>
      <w:bookmarkStart w:id="471" w:name="_Toc296891034"/>
      <w:r/>
      <w:bookmarkStart w:id="472" w:name="_Toc296503206"/>
      <w:r/>
      <w:bookmarkStart w:id="473" w:name="_Toc296347205"/>
      <w:r/>
      <w:bookmarkStart w:id="474" w:name="_Toc297048392"/>
      <w:r/>
      <w:bookmarkStart w:id="475" w:name="_Toc296346707"/>
      <w:r/>
      <w:bookmarkStart w:id="476" w:name="_Toc296944545"/>
      <w:r/>
      <w:bookmarkStart w:id="477" w:name="_Toc297120506"/>
      <w:r/>
      <w:bookmarkStart w:id="478" w:name="_Toc303539160"/>
      <w:r/>
      <w:bookmarkStart w:id="479" w:name="_Toc304295580"/>
      <w:r/>
      <w:bookmarkStart w:id="480" w:name="_Toc297123553"/>
      <w:r/>
      <w:bookmarkStart w:id="481" w:name="_Toc300935003"/>
      <w:r/>
      <w:bookmarkStart w:id="482" w:name="_Toc312678041"/>
      <w:r/>
      <w:bookmarkStart w:id="483" w:name="_Toc297216212"/>
      <w:r>
        <w:rPr>
          <w:rFonts w:hint="eastAsia" w:ascii="宋体" w:hAnsi="宋体" w:eastAsia="宋体" w:cs="宋体"/>
          <w:color w:val="auto"/>
          <w:sz w:val="21"/>
          <w:szCs w:val="21"/>
          <w:highlight w:val="none"/>
        </w:rPr>
        <w:t xml:space="preserve">12.1 合</w:t>
      </w:r>
      <w:bookmarkEnd w:id="467"/>
      <w:r/>
      <w:bookmarkEnd w:id="468"/>
      <w:r/>
      <w:bookmarkEnd w:id="469"/>
      <w:r>
        <w:rPr>
          <w:rFonts w:hint="eastAsia" w:ascii="宋体" w:hAnsi="宋体" w:eastAsia="宋体" w:cs="宋体"/>
          <w:color w:val="auto"/>
          <w:sz w:val="21"/>
          <w:szCs w:val="21"/>
          <w:highlight w:val="none"/>
        </w:rPr>
        <w:t xml:space="preserve">同价</w:t>
      </w:r>
      <w:bookmarkEnd w:id="470"/>
      <w:r/>
      <w:bookmarkEnd w:id="471"/>
      <w:r/>
      <w:bookmarkEnd w:id="472"/>
      <w:r/>
      <w:bookmarkEnd w:id="473"/>
      <w:r/>
      <w:bookmarkEnd w:id="474"/>
      <w:r/>
      <w:bookmarkEnd w:id="475"/>
      <w:r/>
      <w:bookmarkEnd w:id="476"/>
      <w:r/>
      <w:bookmarkEnd w:id="477"/>
      <w:r>
        <w:rPr>
          <w:rFonts w:hint="eastAsia" w:ascii="宋体" w:hAnsi="宋体" w:eastAsia="宋体" w:cs="宋体"/>
          <w:color w:val="auto"/>
          <w:sz w:val="21"/>
          <w:szCs w:val="21"/>
          <w:highlight w:val="none"/>
        </w:rPr>
        <w:t xml:space="preserve">格形式</w:t>
      </w:r>
      <w:bookmarkEnd w:id="478"/>
      <w:r/>
      <w:bookmarkEnd w:id="479"/>
      <w:r/>
      <w:bookmarkEnd w:id="480"/>
      <w:r/>
      <w:bookmarkEnd w:id="481"/>
      <w:r/>
      <w:bookmarkEnd w:id="482"/>
      <w:r/>
      <w:bookmarkEnd w:id="483"/>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单价合同。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承包</w:t>
      </w:r>
      <w:r>
        <w:rPr>
          <w:rFonts w:hint="eastAsia" w:ascii="宋体" w:hAnsi="宋体" w:cs="宋体"/>
          <w:color w:val="auto"/>
          <w:sz w:val="21"/>
          <w:szCs w:val="21"/>
          <w:highlight w:val="none"/>
          <w:u w:val="single"/>
          <w:lang w:eastAsia="zh-CN"/>
        </w:rPr>
        <w:t xml:space="preserve">人在</w:t>
      </w:r>
      <w:r>
        <w:rPr>
          <w:rFonts w:hint="eastAsia" w:ascii="宋体" w:hAnsi="宋体" w:eastAsia="宋体" w:cs="宋体"/>
          <w:color w:val="auto"/>
          <w:sz w:val="21"/>
          <w:szCs w:val="21"/>
          <w:highlight w:val="none"/>
          <w:u w:val="single"/>
        </w:rPr>
        <w:t xml:space="preserve">投标时充分考虑施工期间材料</w:t>
      </w:r>
      <w:r>
        <w:rPr>
          <w:rFonts w:hint="eastAsia" w:ascii="宋体" w:hAnsi="宋体" w:eastAsia="宋体" w:cs="宋体"/>
          <w:color w:val="auto"/>
          <w:sz w:val="21"/>
          <w:szCs w:val="21"/>
          <w:highlight w:val="none"/>
          <w:u w:val="single"/>
          <w:lang w:eastAsia="zh-CN"/>
        </w:rPr>
        <w:t xml:space="preserve">及其他风险</w:t>
      </w:r>
      <w:r>
        <w:rPr>
          <w:rFonts w:hint="eastAsia" w:ascii="宋体" w:hAnsi="宋体" w:eastAsia="宋体" w:cs="宋体"/>
          <w:color w:val="auto"/>
          <w:sz w:val="21"/>
          <w:szCs w:val="21"/>
          <w:highlight w:val="none"/>
          <w:u w:val="single"/>
        </w:rPr>
        <w:t xml:space="preserve">并在投标时计算风险费用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图纸变更需经甲方并报文字材料同意后实施，设计变更工程量按</w:t>
      </w:r>
      <w:r>
        <w:rPr>
          <w:rFonts w:hint="eastAsia" w:ascii="宋体" w:hAnsi="宋体" w:eastAsia="宋体" w:cs="宋体"/>
          <w:color w:val="auto"/>
          <w:sz w:val="21"/>
          <w:szCs w:val="21"/>
          <w:highlight w:val="none"/>
          <w:u w:val="single"/>
          <w:lang w:eastAsia="zh-CN"/>
        </w:rPr>
        <w:t xml:space="preserve">实际</w:t>
      </w:r>
      <w:r>
        <w:rPr>
          <w:rFonts w:hint="eastAsia" w:ascii="宋体" w:hAnsi="宋体" w:eastAsia="宋体" w:cs="宋体"/>
          <w:color w:val="auto"/>
          <w:sz w:val="21"/>
          <w:szCs w:val="21"/>
          <w:highlight w:val="none"/>
          <w:u w:val="single"/>
        </w:rPr>
        <w:t xml:space="preserve">调整，其增减部分价格按投标报价。工程竣工后由政府审计机关审核确定总造价</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对工程中隐蔽工程的工程量要</w:t>
      </w:r>
      <w:r>
        <w:rPr>
          <w:rFonts w:hint="eastAsia" w:ascii="宋体" w:hAnsi="宋体" w:eastAsia="宋体" w:cs="宋体"/>
          <w:color w:val="auto"/>
          <w:sz w:val="21"/>
          <w:szCs w:val="21"/>
          <w:highlight w:val="none"/>
          <w:u w:val="single"/>
          <w:lang w:eastAsia="zh-CN"/>
        </w:rPr>
        <w:t xml:space="preserve">在施工</w:t>
      </w:r>
      <w:r>
        <w:rPr>
          <w:rFonts w:hint="eastAsia" w:ascii="宋体" w:hAnsi="宋体" w:eastAsia="宋体" w:cs="宋体"/>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按文件约定应由业主交纳的材料检测费用（含见证取样费用），渣土</w:t>
      </w:r>
      <w:r>
        <w:rPr>
          <w:rFonts w:hint="eastAsia" w:ascii="宋体" w:hAnsi="宋体" w:eastAsia="宋体" w:cs="宋体"/>
          <w:color w:val="auto"/>
          <w:sz w:val="21"/>
          <w:szCs w:val="21"/>
          <w:highlight w:val="none"/>
          <w:u w:val="single"/>
          <w:lang w:eastAsia="zh-CN"/>
        </w:rPr>
        <w:t xml:space="preserve">、电</w:t>
      </w:r>
      <w:r>
        <w:rPr>
          <w:rFonts w:hint="eastAsia" w:ascii="宋体" w:hAnsi="宋体" w:eastAsia="宋体" w:cs="宋体"/>
          <w:color w:val="auto"/>
          <w:sz w:val="21"/>
          <w:szCs w:val="21"/>
          <w:highlight w:val="none"/>
          <w:u w:val="single"/>
        </w:rPr>
        <w:t xml:space="preserve">石外运相关费用以及</w:t>
      </w:r>
      <w:r>
        <w:rPr>
          <w:rFonts w:hint="eastAsia" w:ascii="宋体" w:hAnsi="宋体" w:eastAsia="宋体" w:cs="宋体"/>
          <w:color w:val="auto"/>
          <w:sz w:val="21"/>
          <w:szCs w:val="21"/>
          <w:highlight w:val="none"/>
          <w:u w:val="single"/>
          <w:lang w:eastAsia="zh-CN"/>
        </w:rPr>
        <w:t xml:space="preserve">其他建筑</w:t>
      </w:r>
      <w:r>
        <w:rPr>
          <w:rFonts w:hint="eastAsia" w:ascii="宋体" w:hAnsi="宋体" w:eastAsia="宋体" w:cs="宋体"/>
          <w:color w:val="auto"/>
          <w:sz w:val="21"/>
          <w:szCs w:val="21"/>
          <w:highlight w:val="none"/>
          <w:u w:val="single"/>
        </w:rPr>
        <w:t xml:space="preserve">垃圾外运均由施工单位在报价中考虑并报在投标报价中，甲方决算时</w:t>
      </w:r>
      <w:r>
        <w:rPr>
          <w:rFonts w:hint="eastAsia" w:ascii="宋体" w:hAnsi="宋体" w:cs="宋体"/>
          <w:color w:val="auto"/>
          <w:sz w:val="21"/>
          <w:szCs w:val="21"/>
          <w:highlight w:val="none"/>
          <w:u w:val="single"/>
          <w:lang w:eastAsia="zh-CN"/>
        </w:rPr>
        <w:t xml:space="preserve">不再</w:t>
      </w:r>
      <w:r>
        <w:rPr>
          <w:rFonts w:hint="eastAsia" w:ascii="宋体" w:hAnsi="宋体" w:eastAsia="宋体" w:cs="宋体"/>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宋体" w:hAnsi="宋体" w:eastAsia="宋体" w:cs="宋体"/>
          <w:color w:val="auto"/>
          <w:sz w:val="21"/>
          <w:szCs w:val="21"/>
          <w:highlight w:val="none"/>
          <w:u w:val="single"/>
          <w:lang w:eastAsia="zh-CN"/>
        </w:rPr>
        <w:t xml:space="preserve">分包</w:t>
      </w:r>
      <w:r>
        <w:rPr>
          <w:rFonts w:hint="eastAsia" w:ascii="宋体" w:hAnsi="宋体" w:eastAsia="宋体" w:cs="宋体"/>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本项目清单未列</w:t>
      </w:r>
      <w:r>
        <w:rPr>
          <w:rFonts w:hint="eastAsia" w:ascii="宋体" w:hAnsi="宋体" w:eastAsia="宋体" w:cs="宋体"/>
          <w:color w:val="auto"/>
          <w:sz w:val="21"/>
          <w:szCs w:val="21"/>
          <w:highlight w:val="none"/>
          <w:u w:val="single"/>
          <w:lang w:eastAsia="zh-CN"/>
        </w:rPr>
        <w:t xml:space="preserve">出的</w:t>
      </w:r>
      <w:r>
        <w:rPr>
          <w:rFonts w:hint="eastAsia" w:ascii="宋体" w:hAnsi="宋体" w:eastAsia="宋体" w:cs="宋体"/>
          <w:color w:val="auto"/>
          <w:sz w:val="21"/>
          <w:szCs w:val="21"/>
          <w:highlight w:val="none"/>
          <w:u w:val="single"/>
        </w:rPr>
        <w:t xml:space="preserve">大型机械进</w:t>
      </w:r>
      <w:r>
        <w:rPr>
          <w:rFonts w:hint="eastAsia" w:ascii="宋体" w:hAnsi="宋体" w:eastAsia="宋体" w:cs="宋体"/>
          <w:color w:val="auto"/>
          <w:sz w:val="21"/>
          <w:szCs w:val="21"/>
          <w:highlight w:val="none"/>
          <w:u w:val="single"/>
          <w:lang w:eastAsia="zh-CN"/>
        </w:rPr>
        <w:t xml:space="preserve">出口</w:t>
      </w:r>
      <w:r>
        <w:rPr>
          <w:rFonts w:hint="eastAsia" w:ascii="宋体" w:hAnsi="宋体" w:eastAsia="宋体" w:cs="宋体"/>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eastAsia="宋体" w:cs="宋体"/>
          <w:color w:val="auto"/>
          <w:sz w:val="21"/>
          <w:szCs w:val="21"/>
          <w:highlight w:val="none"/>
          <w:u w:val="single"/>
          <w:lang w:eastAsia="zh-CN"/>
        </w:rPr>
        <w:t xml:space="preserve">工中</w:t>
      </w:r>
      <w:r>
        <w:rPr>
          <w:rFonts w:hint="eastAsia" w:ascii="宋体" w:hAnsi="宋体" w:eastAsia="宋体" w:cs="宋体"/>
          <w:color w:val="auto"/>
          <w:sz w:val="21"/>
          <w:szCs w:val="21"/>
          <w:highlight w:val="none"/>
          <w:u w:val="single"/>
        </w:rPr>
        <w:t xml:space="preserve">因招标文件未列出项目而发生的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中标单位中标后，应及时向相关单位了解及检测地下管线走向，本项风险由投标单位考虑</w:t>
      </w:r>
      <w:r>
        <w:rPr>
          <w:rFonts w:hint="eastAsia" w:ascii="宋体" w:hAnsi="宋体" w:eastAsia="宋体" w:cs="宋体"/>
          <w:color w:val="auto"/>
          <w:sz w:val="21"/>
          <w:szCs w:val="21"/>
          <w:highlight w:val="none"/>
          <w:u w:val="single"/>
          <w:lang w:eastAsia="zh-CN"/>
        </w:rPr>
        <w:t xml:space="preserve">计入</w:t>
      </w:r>
      <w:r>
        <w:rPr>
          <w:rFonts w:hint="eastAsia" w:ascii="宋体" w:hAnsi="宋体" w:eastAsia="宋体" w:cs="宋体"/>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同投标报价人工、材料、机械以及各项措施项目费用</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总价合同。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其他价格方式</w:t>
      </w:r>
      <w:r>
        <w:rPr>
          <w:rFonts w:hint="eastAsia" w:ascii="宋体" w:hAnsi="宋体" w:eastAsia="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484" w:name="_Toc300935004"/>
      <w:r/>
      <w:bookmarkStart w:id="485" w:name="_Toc303539161"/>
      <w:r/>
      <w:bookmarkStart w:id="486" w:name="_Toc297123554"/>
      <w:r/>
      <w:bookmarkStart w:id="487" w:name="_Toc312678042"/>
      <w:r/>
      <w:bookmarkStart w:id="488" w:name="_Toc304295581"/>
      <w:r/>
      <w:bookmarkStart w:id="489" w:name="_Toc297216213"/>
      <w:r/>
      <w:bookmarkStart w:id="490" w:name="_Toc296346708"/>
      <w:r/>
      <w:bookmarkStart w:id="491" w:name="_Toc292559917"/>
      <w:r/>
      <w:bookmarkStart w:id="492" w:name="_Toc292559412"/>
      <w:r/>
      <w:bookmarkStart w:id="493" w:name="_Toc296347206"/>
      <w:r/>
      <w:bookmarkStart w:id="494" w:name="_Toc297120507"/>
      <w:r/>
      <w:bookmarkStart w:id="495" w:name="_Toc297048393"/>
      <w:r/>
      <w:bookmarkStart w:id="496" w:name="_Toc296503207"/>
      <w:r/>
      <w:bookmarkStart w:id="497" w:name="_Toc296891035"/>
      <w:r/>
      <w:bookmarkStart w:id="498" w:name="_Toc296944546"/>
      <w:r/>
      <w:bookmarkStart w:id="499" w:name="_Toc296891247"/>
      <w:r>
        <w:rPr>
          <w:rFonts w:hint="eastAsia" w:ascii="宋体" w:hAnsi="宋体" w:eastAsia="宋体" w:cs="宋体"/>
          <w:color w:val="auto"/>
          <w:sz w:val="21"/>
          <w:szCs w:val="21"/>
          <w:highlight w:val="none"/>
        </w:rPr>
        <w:t xml:space="preserve">12.2 预付款</w:t>
      </w:r>
      <w:bookmarkEnd w:id="484"/>
      <w:r/>
      <w:bookmarkEnd w:id="485"/>
      <w:r/>
      <w:bookmarkEnd w:id="486"/>
      <w:r/>
      <w:bookmarkEnd w:id="487"/>
      <w:r/>
      <w:bookmarkEnd w:id="488"/>
      <w:r/>
      <w:bookmarkEnd w:id="48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lang w:eastAsia="zh-CN"/>
        </w:rPr>
        <w:t xml:space="preserve">：</w:t>
      </w:r>
      <w:bookmarkEnd w:id="490"/>
      <w:r/>
      <w:bookmarkEnd w:id="491"/>
      <w:r/>
      <w:bookmarkEnd w:id="492"/>
      <w:r/>
      <w:bookmarkEnd w:id="493"/>
      <w:r/>
      <w:bookmarkEnd w:id="494"/>
      <w:r/>
      <w:bookmarkEnd w:id="495"/>
      <w:r/>
      <w:bookmarkEnd w:id="496"/>
      <w:r/>
      <w:bookmarkEnd w:id="497"/>
      <w:r/>
      <w:bookmarkEnd w:id="498"/>
      <w:r/>
      <w:bookmarkEnd w:id="49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江苏省安装工程计价定额》</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2014版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②计量必须严格按合同规定的方法、范围、内容、单位进行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400" w:lineRule="atLeast"/>
        <w:rPr>
          <w:rFonts w:hint="eastAsia" w:ascii="宋体" w:hAnsi="宋体" w:cs="宋体"/>
          <w:b/>
          <w:bCs/>
          <w:color w:val="auto"/>
          <w:szCs w:val="21"/>
          <w:highlight w:val="none"/>
          <w:lang w:val="en-US" w:eastAsia="zh-CN"/>
        </w:rPr>
      </w:pPr>
      <w:r/>
      <w:bookmarkStart w:id="500" w:name="_Toc297120511"/>
      <w:r/>
      <w:bookmarkStart w:id="501" w:name="_Toc300935006"/>
      <w:r/>
      <w:bookmarkStart w:id="502" w:name="_Toc292559416"/>
      <w:r/>
      <w:bookmarkStart w:id="503" w:name="_Toc296503211"/>
      <w:r/>
      <w:bookmarkStart w:id="504" w:name="_Toc297048397"/>
      <w:r/>
      <w:bookmarkStart w:id="505" w:name="_Toc303539163"/>
      <w:r/>
      <w:bookmarkStart w:id="506" w:name="_Toc296347210"/>
      <w:r/>
      <w:bookmarkStart w:id="507" w:name="_Toc296944550"/>
      <w:r/>
      <w:bookmarkStart w:id="508" w:name="_Toc297123556"/>
      <w:r/>
      <w:bookmarkStart w:id="509" w:name="_Toc292559921"/>
      <w:r/>
      <w:bookmarkStart w:id="510" w:name="_Toc296891251"/>
      <w:r/>
      <w:bookmarkStart w:id="511" w:name="_Toc297216215"/>
      <w:r/>
      <w:bookmarkStart w:id="512" w:name="_Toc296891039"/>
      <w:r/>
      <w:bookmarkStart w:id="513" w:name="_Toc296346712"/>
      <w:r>
        <w:rPr>
          <w:rFonts w:hint="eastAsia" w:ascii="宋体" w:hAnsi="宋体" w:eastAsia="宋体" w:cs="宋体"/>
          <w:b/>
          <w:bCs/>
          <w:color w:val="auto"/>
          <w:sz w:val="21"/>
          <w:szCs w:val="21"/>
          <w:highlight w:val="none"/>
        </w:rPr>
        <w:t xml:space="preserve">12.4.1 </w:t>
      </w:r>
      <w:r>
        <w:rPr>
          <w:rFonts w:hint="eastAsia" w:ascii="宋体" w:hAnsi="宋体" w:cs="宋体"/>
          <w:b/>
          <w:bCs/>
          <w:color w:val="auto"/>
          <w:szCs w:val="21"/>
          <w:highlight w:val="none"/>
          <w:lang w:val="en-US" w:eastAsia="zh-CN"/>
        </w:rPr>
        <w:t xml:space="preserve">合同签订后付合同价的40%（待工程机械、人员进场后且提供相同数额的无条件银行保函后支付），工程竣工验收合格后付合同价的30%，经审计后付至审定价的100%。结算时承包人须提供满足发包人要求的增值税发票。（建议采用数字人民币支付）</w:t>
      </w:r>
      <w:r/>
    </w:p>
    <w:p>
      <w:pPr>
        <w:ind w:firstLine="420"/>
        <w:spacing w:line="400" w:lineRule="atLeas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宋体" w:hAnsi="宋体" w:eastAsia="宋体" w:cs="宋体"/>
          <w:color w:val="auto"/>
          <w:szCs w:val="21"/>
          <w:highlight w:val="none"/>
          <w:u w:val="singl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eastAsia="宋体" w:cs="宋体"/>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不采用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bookmarkEnd w:id="343"/>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bookmarkStart w:id="514" w:name="_Toc280868707"/>
      <w:r/>
      <w:bookmarkStart w:id="515" w:name="_Toc280868706"/>
      <w:r/>
      <w:bookmarkStart w:id="516" w:name="_Toc280868708"/>
      <w:r/>
      <w:bookmarkStart w:id="517" w:name="_Toc280868709"/>
      <w:r/>
      <w:bookmarkStart w:id="518" w:name="_Toc267251473"/>
      <w:r/>
      <w:bookmarkStart w:id="519" w:name="_Toc267251471"/>
      <w:r/>
      <w:bookmarkStart w:id="520" w:name="_Toc267251470"/>
      <w:r/>
      <w:bookmarkStart w:id="521" w:name="_Toc267251472"/>
      <w:r/>
      <w:bookmarkStart w:id="522" w:name="_Toc267251475"/>
      <w:r/>
      <w:bookmarkStart w:id="523" w:name="_Toc267251476"/>
      <w:r/>
      <w:bookmarkStart w:id="524" w:name="_Toc267251474"/>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监理人应在收到承包人进度付款申请单以及相关资料后7天内完成审查并报送发包人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14天 </w:t>
      </w:r>
      <w:r/>
    </w:p>
    <w:p>
      <w:pPr>
        <w:ind w:left="0" w:firstLine="420"/>
        <w:pageBreakBefore w:val="0"/>
        <w:spacing w:line="380" w:lineRule="exact"/>
        <w:widowControl w:val="off"/>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left="0" w:firstLine="525"/>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总价合同支付分解表的编制与审批：</w:t>
      </w:r>
      <w:r>
        <w:rPr>
          <w:rFonts w:hint="eastAsia" w:ascii="宋体" w:hAnsi="宋体" w:eastAsia="宋体" w:cs="宋体"/>
          <w:color w:val="auto"/>
          <w:sz w:val="21"/>
          <w:szCs w:val="21"/>
          <w:highlight w:val="none"/>
          <w:u w:val="single"/>
        </w:rPr>
        <w:t xml:space="preserve"> 不采用 </w:t>
      </w:r>
      <w:r>
        <w:rPr>
          <w:rFonts w:hint="eastAsia" w:ascii="宋体" w:hAnsi="宋体" w:eastAsia="宋体" w:cs="宋体"/>
          <w:color w:val="auto"/>
          <w:sz w:val="21"/>
          <w:szCs w:val="21"/>
          <w:highlight w:val="none"/>
        </w:rPr>
        <w:t xml:space="preserve">。</w:t>
      </w:r>
      <w:r/>
    </w:p>
    <w:p>
      <w:pPr>
        <w:ind w:left="3780" w:hanging="378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单价合同的总价项目支付分解表的编制与审批：</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w:t>
      </w:r>
      <w:r/>
    </w:p>
    <w:p>
      <w:pPr>
        <w:ind w:left="3780" w:hanging="336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（1）</w:t>
      </w:r>
      <w:r>
        <w:rPr>
          <w:rFonts w:hint="eastAsia"/>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（2）</w:t>
      </w:r>
      <w:r>
        <w:rPr>
          <w:rFonts w:hint="eastAsia"/>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color w:val="auto"/>
          <w:highlight w:val="none"/>
          <w:u w:val="single"/>
        </w:rPr>
      </w:pPr>
      <w:r>
        <w:rPr>
          <w:rFonts w:hint="eastAsia" w:ascii="宋体" w:hAnsi="宋体" w:eastAsia="宋体" w:cs="宋体"/>
          <w:color w:val="auto"/>
          <w:sz w:val="21"/>
          <w:szCs w:val="21"/>
          <w:highlight w:val="none"/>
          <w:u w:val="single"/>
          <w:lang w:eastAsia="zh-CN"/>
        </w:rPr>
        <w:t xml:space="preserve">（3）</w:t>
      </w:r>
      <w:r>
        <w:rPr>
          <w:rFonts w:hint="eastAsia"/>
          <w:color w:val="auto"/>
          <w:highlight w:val="none"/>
          <w:u w:val="single"/>
        </w:rPr>
        <w:t xml:space="preserve">权益卡应注明项目名称、工资金额、维权电话（属地人社部门投诉电话）等信息，承包人应协助农民工查询工资发放记录。</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25" w:name="_Toc351203645"/>
      <w:r/>
      <w:bookmarkStart w:id="526" w:name="_Toc297048405"/>
      <w:r/>
      <w:bookmarkStart w:id="527" w:name="_Toc304295593"/>
      <w:r/>
      <w:bookmarkStart w:id="528" w:name="_Toc296944558"/>
      <w:r/>
      <w:bookmarkStart w:id="529" w:name="_Toc297216223"/>
      <w:r/>
      <w:bookmarkStart w:id="530" w:name="_Toc297120519"/>
      <w:r/>
      <w:bookmarkStart w:id="531" w:name="_Toc292559929"/>
      <w:r/>
      <w:bookmarkStart w:id="532" w:name="_Toc296346720"/>
      <w:r/>
      <w:bookmarkStart w:id="533" w:name="_Toc300935015"/>
      <w:r/>
      <w:bookmarkStart w:id="534" w:name="_Toc296503219"/>
      <w:r/>
      <w:bookmarkStart w:id="535" w:name="_Toc312678053"/>
      <w:r/>
      <w:bookmarkStart w:id="536" w:name="_Toc297123564"/>
      <w:r/>
      <w:bookmarkStart w:id="537" w:name="_Toc303539172"/>
      <w:r/>
      <w:bookmarkStart w:id="538" w:name="_Toc296347218"/>
      <w:r/>
      <w:bookmarkStart w:id="539" w:name="_Toc296891047"/>
      <w:r/>
      <w:bookmarkStart w:id="540" w:name="_Toc292559424"/>
      <w:r/>
      <w:bookmarkStart w:id="541" w:name="_Toc296891259"/>
      <w:r>
        <w:rPr>
          <w:rFonts w:hint="eastAsia" w:ascii="宋体" w:hAnsi="宋体" w:eastAsia="宋体" w:cs="宋体"/>
          <w:b/>
          <w:bCs w:val="0"/>
          <w:color w:val="auto"/>
          <w:sz w:val="21"/>
          <w:szCs w:val="21"/>
          <w:highlight w:val="none"/>
        </w:rPr>
        <w:t xml:space="preserve">13. 验收和工程试车</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left="0" w:firstLine="420"/>
        <w:pageBreakBefore w:val="0"/>
        <w:spacing w:line="380" w:lineRule="exact"/>
        <w:widowControl w:val="off"/>
        <w:rPr>
          <w:rFonts w:hint="eastAsia" w:ascii="宋体" w:hAnsi="宋体" w:eastAsia="宋体" w:cs="宋体"/>
          <w:color w:val="auto"/>
          <w:sz w:val="21"/>
          <w:szCs w:val="21"/>
          <w:highlight w:val="none"/>
        </w:rPr>
      </w:pPr>
      <w:r/>
      <w:bookmarkStart w:id="542" w:name="_Toc296891263"/>
      <w:r/>
      <w:bookmarkStart w:id="543" w:name="_Toc297216224"/>
      <w:r/>
      <w:bookmarkStart w:id="544" w:name="_Toc296503223"/>
      <w:r/>
      <w:bookmarkStart w:id="545" w:name="_Toc304295596"/>
      <w:r/>
      <w:bookmarkStart w:id="546" w:name="_Toc292559933"/>
      <w:r/>
      <w:bookmarkStart w:id="547" w:name="_Toc303539173"/>
      <w:r/>
      <w:bookmarkStart w:id="548" w:name="_Toc296891051"/>
      <w:r/>
      <w:bookmarkStart w:id="549" w:name="_Toc296944562"/>
      <w:r/>
      <w:bookmarkStart w:id="550" w:name="_Toc292559428"/>
      <w:r/>
      <w:bookmarkStart w:id="551" w:name="_Toc297123565"/>
      <w:r/>
      <w:bookmarkStart w:id="552" w:name="_Toc297048409"/>
      <w:r/>
      <w:bookmarkStart w:id="553" w:name="_Toc296347222"/>
      <w:r/>
      <w:bookmarkStart w:id="554" w:name="_Toc300935016"/>
      <w:r/>
      <w:bookmarkStart w:id="555" w:name="_Toc297120523"/>
      <w:r/>
      <w:bookmarkStart w:id="556" w:name="_Toc312678056"/>
      <w:r/>
      <w:bookmarkStart w:id="557" w:name="_Toc296346724"/>
      <w:r>
        <w:rPr>
          <w:rFonts w:hint="eastAsia" w:ascii="宋体" w:hAnsi="宋体" w:eastAsia="宋体" w:cs="宋体"/>
          <w:color w:val="auto"/>
          <w:sz w:val="21"/>
          <w:szCs w:val="21"/>
          <w:highlight w:val="none"/>
        </w:rPr>
        <w:t xml:space="preserve">13.2 竣工验收</w:t>
      </w:r>
      <w:r/>
    </w:p>
    <w:p>
      <w:pPr>
        <w:ind w:left="420" w:firstLine="21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bookmarkStart w:id="558" w:name="_Toc280868704"/>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竣工验收程序</w:t>
      </w:r>
      <w:bookmarkEnd w:id="558"/>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按管理部门有关要求，</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 按通用合同条款执行</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w:t>
      </w:r>
      <w:r>
        <w:rPr>
          <w:rFonts w:hint="eastAsia" w:ascii="宋体" w:hAnsi="宋体" w:eastAsia="宋体" w:cs="宋体"/>
          <w:color w:val="auto"/>
          <w:sz w:val="21"/>
          <w:szCs w:val="21"/>
          <w:highlight w:val="none"/>
          <w:lang w:eastAsia="zh-CN"/>
        </w:rPr>
        <w:t xml:space="preserve">工程验收</w:t>
      </w:r>
      <w:r>
        <w:rPr>
          <w:rFonts w:hint="eastAsia" w:ascii="宋体" w:hAnsi="宋体" w:eastAsia="宋体" w:cs="宋体"/>
          <w:color w:val="auto"/>
          <w:sz w:val="21"/>
          <w:szCs w:val="21"/>
          <w:highlight w:val="none"/>
        </w:rPr>
        <w:t xml:space="preserve">证书的违约金的计算方法：</w:t>
      </w:r>
      <w:r>
        <w:rPr>
          <w:rFonts w:hint="eastAsia" w:ascii="宋体" w:hAnsi="宋体" w:eastAsia="宋体" w:cs="宋体"/>
          <w:color w:val="auto"/>
          <w:sz w:val="21"/>
          <w:szCs w:val="21"/>
          <w:highlight w:val="none"/>
          <w:u w:val="single"/>
        </w:rPr>
        <w:t xml:space="preserve">本条通用合同条款不适用该项目</w:t>
      </w:r>
      <w:r>
        <w:rPr>
          <w:rFonts w:hint="eastAsia" w:ascii="宋体" w:hAnsi="宋体" w:eastAsia="宋体" w:cs="宋体"/>
          <w:color w:val="auto"/>
          <w:sz w:val="21"/>
          <w:szCs w:val="21"/>
          <w:highlight w:val="none"/>
        </w:rPr>
        <w:t xml:space="preserve">。</w:t>
      </w:r>
      <w:bookmarkEnd w:id="514"/>
      <w:r/>
      <w:bookmarkEnd w:id="515"/>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按通用合同条款执行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本条通用合同条款不适用该项目   </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5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投料试车</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cs="宋体"/>
          <w:color w:val="auto"/>
          <w:sz w:val="21"/>
          <w:szCs w:val="21"/>
          <w:highlight w:val="non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 竣工退场</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宋体" w:hAnsi="宋体" w:eastAsia="宋体" w:cs="宋体"/>
          <w:color w:val="auto"/>
          <w:sz w:val="21"/>
          <w:szCs w:val="21"/>
          <w:highlight w:val="none"/>
        </w:rPr>
        <w:t xml:space="preserve">。</w:t>
      </w:r>
      <w:bookmarkEnd w:id="517"/>
      <w:r/>
      <w:bookmarkEnd w:id="518"/>
      <w:r/>
      <w:bookmarkEnd w:id="519"/>
      <w:r/>
      <w:bookmarkEnd w:id="520"/>
      <w:r/>
      <w:bookmarkEnd w:id="521"/>
      <w:r/>
      <w:bookmarkEnd w:id="522"/>
      <w:r/>
      <w:bookmarkEnd w:id="523"/>
      <w:r/>
      <w:bookmarkEnd w:id="524"/>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59" w:name="_Toc351203646"/>
      <w:r>
        <w:rPr>
          <w:rFonts w:hint="eastAsia" w:ascii="宋体" w:hAnsi="宋体" w:eastAsia="宋体" w:cs="宋体"/>
          <w:b/>
          <w:bCs w:val="0"/>
          <w:color w:val="auto"/>
          <w:sz w:val="21"/>
          <w:szCs w:val="21"/>
          <w:highlight w:val="none"/>
        </w:rPr>
        <w:t xml:space="preserve">14. 竣工结算</w:t>
      </w:r>
      <w:bookmarkEnd w:id="559"/>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 满足专用合同条款第12.4.1项〔付款周期〕中相应时间节点要求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宋体" w:hAnsi="宋体" w:eastAsia="宋体" w:cs="宋体"/>
          <w:color w:val="auto"/>
          <w:sz w:val="21"/>
          <w:szCs w:val="21"/>
          <w:highlight w:val="none"/>
          <w:u w:val="single"/>
          <w:lang w:val="en-US" w:eastAsia="zh-CN"/>
        </w:rPr>
        <w:t xml:space="preserve">馆</w:t>
      </w:r>
      <w:r>
        <w:rPr>
          <w:rFonts w:hint="eastAsia" w:ascii="宋体" w:hAnsi="宋体" w:eastAsia="宋体" w:cs="宋体"/>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60" w:name="_Toc5448"/>
      <w:r/>
      <w:bookmarkStart w:id="561" w:name="_Toc20146"/>
      <w:r>
        <w:rPr>
          <w:rFonts w:hint="eastAsia" w:ascii="宋体" w:hAnsi="宋体" w:eastAsia="宋体" w:cs="宋体"/>
          <w:color w:val="auto"/>
          <w:sz w:val="21"/>
          <w:szCs w:val="21"/>
          <w:highlight w:val="none"/>
        </w:rPr>
        <w:t xml:space="preserve">14.2 竣工结算审核</w:t>
      </w:r>
      <w:bookmarkEnd w:id="560"/>
      <w:r/>
      <w:bookmarkEnd w:id="561"/>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 </w:t>
      </w:r>
      <w:r>
        <w:rPr>
          <w:rFonts w:hint="eastAsia" w:ascii="宋体" w:hAnsi="宋体" w:eastAsia="宋体" w:cs="宋体"/>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最终结清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最终结清申请单</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不少于4份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最终结清证书和支付</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本条通用条款不适用该项目，按专用合同条款第12.4.1项〔付款周期〕的约定执行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pPr>
      <w:r/>
      <w:bookmarkStart w:id="562" w:name="_Toc351203647"/>
      <w:r/>
      <w:bookmarkStart w:id="563" w:name="_Toc267251483"/>
      <w:r/>
      <w:bookmarkStart w:id="564" w:name="_Toc267251484"/>
      <w:r/>
      <w:bookmarkStart w:id="565" w:name="_Toc267251482"/>
      <w:r/>
      <w:bookmarkStart w:id="566" w:name="_Toc267251485"/>
      <w:r/>
      <w:bookmarkStart w:id="567" w:name="_Toc267251488"/>
      <w:r/>
      <w:bookmarkStart w:id="568" w:name="_Toc267251486"/>
      <w:r/>
      <w:bookmarkStart w:id="569" w:name="_Toc267251489"/>
      <w:r/>
      <w:bookmarkStart w:id="570" w:name="_Toc267251490"/>
      <w:r/>
      <w:bookmarkStart w:id="571" w:name="_Toc267251494"/>
      <w:r/>
      <w:bookmarkStart w:id="572" w:name="_Toc267251499"/>
      <w:r/>
      <w:bookmarkStart w:id="573" w:name="_Toc267251503"/>
      <w:r/>
      <w:bookmarkStart w:id="574" w:name="_Toc267251492"/>
      <w:r/>
      <w:bookmarkStart w:id="575" w:name="_Toc267251491"/>
      <w:r/>
      <w:bookmarkStart w:id="576" w:name="_Toc267251501"/>
      <w:r/>
      <w:bookmarkStart w:id="577" w:name="_Toc267251495"/>
      <w:r/>
      <w:bookmarkStart w:id="578" w:name="_Toc267251502"/>
      <w:r/>
      <w:bookmarkStart w:id="579" w:name="_Toc267251493"/>
      <w:r/>
      <w:bookmarkStart w:id="580" w:name="_Toc267251498"/>
      <w:r/>
      <w:bookmarkStart w:id="581" w:name="_Toc267251497"/>
      <w:r/>
      <w:bookmarkStart w:id="582" w:name="_Toc267251496"/>
      <w:r/>
      <w:bookmarkStart w:id="583" w:name="_Toc267251504"/>
      <w:r/>
      <w:bookmarkStart w:id="584" w:name="_Toc267251506"/>
      <w:r/>
      <w:bookmarkStart w:id="585" w:name="_Toc267251507"/>
      <w:r/>
      <w:bookmarkStart w:id="586" w:name="_Toc267251508"/>
      <w:r/>
      <w:bookmarkStart w:id="587" w:name="_Toc267251513"/>
      <w:r/>
      <w:bookmarkStart w:id="588" w:name="_Toc267251511"/>
      <w:r/>
      <w:bookmarkStart w:id="589" w:name="_Toc267251515"/>
      <w:r/>
      <w:bookmarkStart w:id="590" w:name="_Toc267251514"/>
      <w:r/>
      <w:bookmarkStart w:id="591" w:name="_Toc267251509"/>
      <w:r/>
      <w:bookmarkStart w:id="592" w:name="_Toc267251510"/>
      <w:r>
        <w:rPr>
          <w:rFonts w:hint="eastAsia" w:ascii="宋体" w:hAnsi="宋体" w:eastAsia="宋体" w:cs="宋体"/>
          <w:b/>
          <w:bCs w:val="0"/>
          <w:color w:val="auto"/>
          <w:sz w:val="21"/>
          <w:szCs w:val="21"/>
          <w:highlight w:val="none"/>
        </w:rPr>
        <w:t xml:space="preserve">15. 缺陷责任期与保修</w:t>
      </w:r>
      <w:bookmarkEnd w:id="56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缺陷责任期</w:t>
      </w:r>
      <w:bookmarkEnd w:id="563"/>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593" w:name="_Toc3993"/>
      <w:r/>
      <w:bookmarkStart w:id="594" w:name="_Toc1968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质量保证金</w:t>
      </w:r>
      <w:bookmarkEnd w:id="593"/>
      <w:r/>
      <w:bookmarkEnd w:id="594"/>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否</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5" w:name="_Toc5826"/>
      <w:r/>
      <w:bookmarkStart w:id="596" w:name="_Toc18867"/>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承包人提供质量保证金的方式</w:t>
      </w:r>
      <w:bookmarkEnd w:id="595"/>
      <w:r/>
      <w:bookmarkEnd w:id="59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%的工程款；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7" w:name="_Toc16068"/>
      <w:r/>
      <w:bookmarkStart w:id="598" w:name="_Toc23845"/>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质量保证金的扣留</w:t>
      </w:r>
      <w:bookmarkEnd w:id="597"/>
      <w:r/>
      <w:bookmarkEnd w:id="598"/>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599" w:name="_Toc28386"/>
      <w:r/>
      <w:bookmarkStart w:id="600" w:name="_Toc29954"/>
      <w:r>
        <w:rPr>
          <w:rFonts w:hint="eastAsia" w:ascii="宋体" w:hAnsi="宋体" w:eastAsia="宋体" w:cs="宋体"/>
          <w:color w:val="auto"/>
          <w:sz w:val="21"/>
          <w:szCs w:val="21"/>
          <w:highlight w:val="none"/>
        </w:rPr>
        <w:t xml:space="preserve">（2）工程竣工结算时一次性扣留质量保证金；</w:t>
      </w:r>
      <w:bookmarkEnd w:id="599"/>
      <w:r/>
      <w:bookmarkEnd w:id="60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564"/>
      <w:r/>
      <w:bookmarkEnd w:id="56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1"/>
      </w:pPr>
      <w:r/>
      <w:bookmarkStart w:id="601" w:name="_Toc12417"/>
      <w:r/>
      <w:bookmarkStart w:id="602" w:name="_Toc31564"/>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保修</w:t>
      </w:r>
      <w:bookmarkEnd w:id="601"/>
      <w:r/>
      <w:bookmarkEnd w:id="602"/>
      <w:r/>
      <w:bookmarkEnd w:id="566"/>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保修责任</w:t>
      </w:r>
      <w:r/>
    </w:p>
    <w:p>
      <w:pPr>
        <w:ind w:firstLine="420"/>
        <w:jc w:val="both"/>
        <w:pageBreakBefore w:val="0"/>
        <w:spacing w:line="38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lang w:val="en-US" w:eastAsia="zh-CN"/>
        </w:rPr>
        <w:t xml:space="preserve">满足规范要求（见附件1建设工程质量保修书） </w:t>
      </w:r>
      <w:r>
        <w:rPr>
          <w:rFonts w:hint="eastAsia" w:ascii="宋体" w:hAnsi="宋体" w:eastAsia="宋体" w:cs="宋体"/>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承包人应在接到修理通知之日后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宋体" w:hAnsi="宋体" w:eastAsia="宋体" w:cs="宋体"/>
          <w:color w:val="auto"/>
          <w:sz w:val="21"/>
          <w:szCs w:val="21"/>
          <w:highlight w:val="none"/>
        </w:rPr>
        <w:t xml:space="preserve">。</w:t>
      </w:r>
      <w:r/>
    </w:p>
    <w:p>
      <w:pPr>
        <w:ind w:left="0" w:firstLine="409"/>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u w:val="single"/>
        </w:rPr>
        <w:t xml:space="preserve">发生紧急抢修事故的，承包人在接到事故通知后，应立即到达事故现场抢修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bookmarkEnd w:id="567"/>
      <w:r/>
      <w:bookmarkEnd w:id="568"/>
      <w:r/>
      <w:bookmarkEnd w:id="569"/>
      <w:r/>
      <w:bookmarkEnd w:id="570"/>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03" w:name="_Toc45"/>
      <w:r/>
      <w:bookmarkStart w:id="604" w:name="_Toc351203648"/>
      <w:r/>
      <w:bookmarkStart w:id="605" w:name="_Toc18348"/>
      <w:r/>
      <w:bookmarkStart w:id="606" w:name="_Toc280868717"/>
      <w:r/>
      <w:bookmarkStart w:id="607" w:name="_Toc280868718"/>
      <w:r>
        <w:rPr>
          <w:rFonts w:hint="eastAsia" w:ascii="宋体" w:hAnsi="宋体" w:eastAsia="宋体" w:cs="宋体"/>
          <w:b/>
          <w:bCs w:val="0"/>
          <w:color w:val="auto"/>
          <w:sz w:val="21"/>
          <w:szCs w:val="21"/>
          <w:highlight w:val="none"/>
        </w:rPr>
        <w:t xml:space="preserve">16. 违约</w:t>
      </w:r>
      <w:bookmarkEnd w:id="603"/>
      <w:r/>
      <w:bookmarkEnd w:id="604"/>
      <w:r/>
      <w:bookmarkEnd w:id="605"/>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08" w:name="_Toc12762"/>
      <w:r/>
      <w:bookmarkStart w:id="609" w:name="_Toc27749"/>
      <w:r>
        <w:rPr>
          <w:rFonts w:hint="eastAsia" w:ascii="宋体" w:hAnsi="宋体" w:eastAsia="宋体" w:cs="宋体"/>
          <w:color w:val="auto"/>
          <w:sz w:val="21"/>
          <w:szCs w:val="21"/>
          <w:highlight w:val="none"/>
        </w:rPr>
        <w:t xml:space="preserve">16.1 发包人违约</w:t>
      </w:r>
      <w:bookmarkEnd w:id="608"/>
      <w:r/>
      <w:bookmarkEnd w:id="609"/>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工期顺延但不补偿费用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发生时双方另行商定，但不</w:t>
      </w:r>
      <w:r>
        <w:rPr>
          <w:rFonts w:hint="eastAsia" w:ascii="宋体" w:hAnsi="宋体" w:eastAsia="宋体" w:cs="宋体"/>
          <w:color w:val="auto"/>
          <w:sz w:val="21"/>
          <w:szCs w:val="21"/>
          <w:highlight w:val="none"/>
          <w:u w:val="single"/>
          <w:lang w:eastAsia="zh-CN"/>
        </w:rPr>
        <w:t xml:space="preserve">计</w:t>
      </w:r>
      <w:r>
        <w:rPr>
          <w:rFonts w:hint="eastAsia" w:ascii="宋体" w:hAnsi="宋体" w:eastAsia="宋体" w:cs="宋体"/>
          <w:color w:val="auto"/>
          <w:sz w:val="21"/>
          <w:szCs w:val="21"/>
          <w:highlight w:val="none"/>
          <w:u w:val="single"/>
        </w:rPr>
        <w:t xml:space="preserve">取延期利息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发包人不承担违约责任，承包人在投标时已慎重考虑可能发生的风险，已包含在发包价内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180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0" w:name="_Toc10753"/>
      <w:r/>
      <w:bookmarkStart w:id="611" w:name="_Toc24530"/>
      <w:r>
        <w:rPr>
          <w:rFonts w:hint="eastAsia" w:ascii="宋体" w:hAnsi="宋体" w:eastAsia="宋体" w:cs="宋体"/>
          <w:color w:val="auto"/>
          <w:sz w:val="21"/>
          <w:szCs w:val="21"/>
          <w:highlight w:val="none"/>
        </w:rPr>
        <w:t xml:space="preserve">16.2 承包人违约</w:t>
      </w:r>
      <w:bookmarkEnd w:id="610"/>
      <w:r/>
      <w:bookmarkEnd w:id="611"/>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rPr>
        <w:t xml:space="preserve">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color w:val="auto"/>
          <w:highlight w:val="none"/>
        </w:rPr>
      </w:pPr>
      <w:r>
        <w:rPr>
          <w:rFonts w:hint="eastAsia" w:ascii="宋体" w:hAnsi="宋体" w:eastAsia="宋体" w:cs="宋体"/>
          <w:color w:val="auto"/>
          <w:sz w:val="21"/>
          <w:szCs w:val="21"/>
          <w:highlight w:val="none"/>
          <w:u w:val="single"/>
        </w:rPr>
        <w:t xml:space="preserve">针对上述第（8）</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eastAsia="宋体" w:cs="宋体"/>
          <w:color w:val="auto"/>
          <w:sz w:val="21"/>
          <w:szCs w:val="21"/>
          <w:highlight w:val="none"/>
          <w:u w:val="single"/>
          <w:lang w:eastAsia="zh-CN"/>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宋体" w:hAnsi="宋体" w:eastAsia="宋体" w:cs="宋体"/>
          <w:color w:val="auto"/>
          <w:sz w:val="21"/>
          <w:szCs w:val="21"/>
          <w:highlight w:val="none"/>
          <w:u w:val="single"/>
          <w:lang w:eastAsia="zh-CN"/>
        </w:rPr>
        <w:t xml:space="preserve">经</w:t>
      </w:r>
      <w:r>
        <w:rPr>
          <w:rFonts w:hint="eastAsia" w:ascii="宋体" w:hAnsi="宋体" w:eastAsia="宋体" w:cs="宋体"/>
          <w:color w:val="auto"/>
          <w:sz w:val="21"/>
          <w:szCs w:val="21"/>
          <w:highlight w:val="none"/>
          <w:u w:val="single"/>
        </w:rPr>
        <w:t xml:space="preserve">发包人和监理工程师共同签证核对即自行采购材料和工程设备，后再</w:t>
      </w:r>
      <w:r>
        <w:rPr>
          <w:rFonts w:hint="eastAsia" w:ascii="宋体" w:hAnsi="宋体" w:eastAsia="宋体" w:cs="宋体"/>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宋体" w:hAnsi="宋体" w:eastAsia="宋体" w:cs="宋体"/>
          <w:color w:val="auto"/>
          <w:sz w:val="21"/>
          <w:szCs w:val="21"/>
          <w:highlight w:val="none"/>
          <w:u w:val="single"/>
          <w:lang w:eastAsia="zh-CN"/>
        </w:rPr>
        <w:t xml:space="preserve">成的</w:t>
      </w:r>
      <w:r>
        <w:rPr>
          <w:rFonts w:hint="eastAsia" w:ascii="宋体" w:hAnsi="宋体" w:eastAsia="宋体" w:cs="宋体"/>
          <w:color w:val="auto"/>
          <w:sz w:val="21"/>
          <w:szCs w:val="21"/>
          <w:highlight w:val="none"/>
          <w:u w:val="single"/>
        </w:rPr>
        <w:t xml:space="preserve">一切经济损失由承包人承担，需要鉴定的部分由承包人承担鉴定</w:t>
      </w:r>
      <w:r>
        <w:rPr>
          <w:rFonts w:hint="eastAsia" w:ascii="宋体" w:hAnsi="宋体" w:eastAsia="宋体" w:cs="宋体"/>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宋体" w:hAnsi="宋体" w:cs="宋体"/>
          <w:color w:val="auto"/>
          <w:sz w:val="21"/>
          <w:szCs w:val="21"/>
          <w:highlight w:val="none"/>
          <w:u w:val="single"/>
          <w:lang w:eastAsia="zh-CN"/>
        </w:rPr>
        <w:t xml:space="preserve">1</w:t>
      </w:r>
      <w:r>
        <w:rPr>
          <w:rFonts w:hint="eastAsia" w:ascii="宋体" w:hAnsi="宋体" w:cs="宋体"/>
          <w:color w:val="auto"/>
          <w:sz w:val="21"/>
          <w:szCs w:val="21"/>
          <w:highlight w:val="none"/>
          <w:u w:val="single"/>
          <w:lang w:val="en-US" w:eastAsia="zh-CN"/>
        </w:rPr>
        <w:t xml:space="preserve">0</w:t>
      </w:r>
      <w:r>
        <w:rPr>
          <w:rFonts w:hint="eastAsia" w:ascii="宋体" w:hAnsi="宋体" w:cs="宋体"/>
          <w:color w:val="auto"/>
          <w:sz w:val="21"/>
          <w:szCs w:val="21"/>
          <w:highlight w:val="none"/>
          <w:u w:val="single"/>
          <w:lang w:eastAsia="zh-CN"/>
        </w:rPr>
        <w:t xml:space="preserve">万元</w:t>
      </w:r>
      <w:r>
        <w:rPr>
          <w:rFonts w:hint="eastAsia" w:ascii="宋体" w:hAnsi="宋体" w:eastAsia="宋体" w:cs="宋体"/>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（6）承包人在缺陷责任期及保修期内，未能在合理期</w:t>
      </w:r>
      <w:r>
        <w:rPr>
          <w:rFonts w:hint="eastAsia" w:ascii="宋体" w:hAnsi="宋体" w:cs="宋体"/>
          <w:color w:val="auto"/>
          <w:sz w:val="21"/>
          <w:szCs w:val="21"/>
          <w:highlight w:val="none"/>
          <w:u w:val="single"/>
          <w:lang w:eastAsia="zh-CN"/>
        </w:rPr>
        <w:t xml:space="preserve">限内</w:t>
      </w:r>
      <w:r>
        <w:rPr>
          <w:rFonts w:hint="eastAsia" w:ascii="宋体" w:hAnsi="宋体" w:eastAsia="宋体" w:cs="宋体"/>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宋体" w:hAnsi="宋体" w:eastAsia="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宋体" w:hAnsi="宋体" w:eastAsia="宋体" w:cs="宋体"/>
          <w:color w:val="auto"/>
          <w:sz w:val="21"/>
          <w:szCs w:val="21"/>
          <w:highlight w:val="none"/>
          <w:u w:val="single"/>
          <w:lang w:eastAsia="zh-CN"/>
        </w:rPr>
        <w:t xml:space="preserve">其他类似</w:t>
      </w:r>
      <w:r>
        <w:rPr>
          <w:rFonts w:hint="eastAsia" w:ascii="宋体" w:hAnsi="宋体" w:eastAsia="宋体" w:cs="宋体"/>
          <w:color w:val="auto"/>
          <w:sz w:val="21"/>
          <w:szCs w:val="21"/>
          <w:highlight w:val="none"/>
          <w:u w:val="single"/>
        </w:rPr>
        <w:t xml:space="preserve">情况。</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（11）在施工过</w:t>
      </w:r>
      <w:r>
        <w:rPr>
          <w:rFonts w:hint="eastAsia" w:ascii="宋体" w:hAnsi="宋体" w:cs="宋体"/>
          <w:color w:val="auto"/>
          <w:sz w:val="21"/>
          <w:szCs w:val="21"/>
          <w:highlight w:val="none"/>
          <w:u w:val="single"/>
          <w:lang w:eastAsia="zh-CN"/>
        </w:rPr>
        <w:t xml:space="preserve">程中</w:t>
      </w:r>
      <w:r>
        <w:rPr>
          <w:rFonts w:hint="eastAsia" w:ascii="宋体" w:hAnsi="宋体" w:eastAsia="宋体" w:cs="宋体"/>
          <w:color w:val="auto"/>
          <w:sz w:val="21"/>
          <w:szCs w:val="21"/>
          <w:highlight w:val="none"/>
          <w:u w:val="single"/>
        </w:rPr>
        <w:t xml:space="preserve">、工程移交中以及质量保修期内，由于承包人原因出现的质量问题、安全事故或</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（13）承包人在</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中所列及的所有事项，都</w:t>
      </w:r>
      <w:r>
        <w:rPr>
          <w:rFonts w:hint="eastAsia" w:ascii="宋体" w:hAnsi="宋体" w:cs="宋体"/>
          <w:color w:val="auto"/>
          <w:sz w:val="21"/>
          <w:szCs w:val="21"/>
          <w:highlight w:val="none"/>
          <w:u w:val="single"/>
          <w:lang w:eastAsia="zh-CN"/>
        </w:rPr>
        <w:t xml:space="preserve">视为</w:t>
      </w:r>
      <w:r>
        <w:rPr>
          <w:rFonts w:hint="eastAsia" w:ascii="宋体" w:hAnsi="宋体" w:eastAsia="宋体" w:cs="宋体"/>
          <w:color w:val="auto"/>
          <w:sz w:val="21"/>
          <w:szCs w:val="21"/>
          <w:highlight w:val="none"/>
          <w:u w:val="single"/>
        </w:rPr>
        <w:t xml:space="preserve">对发包人及本工程的承诺，施工过程中若发现未经发包人同意而实际操作与</w:t>
      </w:r>
      <w:r>
        <w:rPr>
          <w:rFonts w:hint="eastAsia" w:ascii="宋体" w:hAnsi="宋体" w:cs="宋体"/>
          <w:color w:val="auto"/>
          <w:sz w:val="21"/>
          <w:szCs w:val="21"/>
          <w:highlight w:val="none"/>
          <w:u w:val="single"/>
          <w:lang w:eastAsia="zh-CN"/>
        </w:rPr>
        <w:t xml:space="preserve">响应文件</w:t>
      </w:r>
      <w:r>
        <w:rPr>
          <w:rFonts w:hint="eastAsia" w:ascii="宋体" w:hAnsi="宋体" w:eastAsia="宋体" w:cs="宋体"/>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（15）在履行合同过程中，因承包人违约必须用现金向发包人交纳违约金，如承包人不及时</w:t>
      </w:r>
      <w:r>
        <w:rPr>
          <w:rFonts w:hint="eastAsia" w:ascii="宋体" w:hAnsi="宋体" w:eastAsia="宋体" w:cs="宋体"/>
          <w:color w:val="auto"/>
          <w:sz w:val="21"/>
          <w:szCs w:val="21"/>
          <w:highlight w:val="none"/>
          <w:u w:val="single"/>
          <w:lang w:eastAsia="zh-CN"/>
        </w:rPr>
        <w:t xml:space="preserve">缴纳</w:t>
      </w:r>
      <w:r>
        <w:rPr>
          <w:rFonts w:hint="eastAsia" w:ascii="宋体" w:hAnsi="宋体" w:eastAsia="宋体" w:cs="宋体"/>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宋体" w:hAnsi="宋体" w:cs="宋体"/>
          <w:color w:val="auto"/>
          <w:sz w:val="21"/>
          <w:szCs w:val="21"/>
          <w:highlight w:val="none"/>
          <w:u w:val="single"/>
          <w:lang w:val="en-US" w:eastAsia="zh-CN"/>
        </w:rPr>
        <w:t xml:space="preserve">10万元</w:t>
      </w:r>
      <w:r>
        <w:rPr>
          <w:rFonts w:hint="eastAsia" w:ascii="宋体" w:hAnsi="宋体" w:eastAsia="宋体" w:cs="宋体"/>
          <w:color w:val="auto"/>
          <w:sz w:val="21"/>
          <w:szCs w:val="21"/>
          <w:highlight w:val="none"/>
          <w:u w:val="single"/>
        </w:rPr>
        <w:t xml:space="preserve">，违约金不足以赔偿因此而给发包人和相关第三方造成的全部经济损失，需</w:t>
      </w:r>
      <w:r>
        <w:rPr>
          <w:rFonts w:hint="eastAsia" w:ascii="宋体" w:hAnsi="宋体" w:eastAsia="宋体" w:cs="宋体"/>
          <w:color w:val="auto"/>
          <w:sz w:val="21"/>
          <w:szCs w:val="21"/>
          <w:highlight w:val="none"/>
          <w:u w:val="single"/>
          <w:lang w:eastAsia="zh-CN"/>
        </w:rPr>
        <w:t xml:space="preserve">赔偿</w:t>
      </w:r>
      <w:r>
        <w:rPr>
          <w:rFonts w:hint="eastAsia" w:ascii="宋体" w:hAnsi="宋体" w:eastAsia="宋体" w:cs="宋体"/>
          <w:color w:val="auto"/>
          <w:sz w:val="21"/>
          <w:szCs w:val="21"/>
          <w:highlight w:val="none"/>
          <w:u w:val="single"/>
        </w:rPr>
        <w:t xml:space="preserve">实际损失</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承包人承担 </w:t>
      </w:r>
      <w:r>
        <w:rPr>
          <w:rFonts w:hint="eastAsia" w:ascii="宋体" w:hAnsi="宋体" w:eastAsia="宋体" w:cs="宋体"/>
          <w:color w:val="auto"/>
          <w:sz w:val="21"/>
          <w:szCs w:val="21"/>
          <w:highlight w:val="none"/>
        </w:rPr>
        <w:t xml:space="preserve">。</w:t>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12" w:name="_Toc16669"/>
      <w:r/>
      <w:bookmarkStart w:id="613" w:name="_Toc28293"/>
      <w:r/>
      <w:bookmarkStart w:id="614" w:name="_Toc351203649"/>
      <w:r>
        <w:rPr>
          <w:rFonts w:hint="eastAsia" w:ascii="宋体" w:hAnsi="宋体" w:eastAsia="宋体" w:cs="宋体"/>
          <w:b/>
          <w:bCs w:val="0"/>
          <w:color w:val="auto"/>
          <w:sz w:val="21"/>
          <w:szCs w:val="21"/>
          <w:highlight w:val="none"/>
        </w:rPr>
        <w:t xml:space="preserve">17. 不可抗力</w:t>
      </w:r>
      <w:bookmarkEnd w:id="612"/>
      <w:r/>
      <w:bookmarkEnd w:id="613"/>
      <w:r/>
      <w:bookmarkEnd w:id="614"/>
      <w:r>
        <w:rPr>
          <w:rFonts w:hint="eastAsia" w:ascii="宋体" w:hAnsi="宋体" w:eastAsia="宋体" w:cs="宋体"/>
          <w:b/>
          <w:bCs w:val="0"/>
          <w:color w:val="auto"/>
          <w:sz w:val="21"/>
          <w:szCs w:val="21"/>
          <w:highlight w:val="none"/>
        </w:rPr>
        <w:t xml:space="preserve"> </w:t>
      </w:r>
      <w:bookmarkEnd w:id="606"/>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国家权威部门发布且被界定为灾害的洪水、风灾、雪灾等；离子辐射或放射性污染；以音速或</w:t>
      </w:r>
      <w:r>
        <w:rPr>
          <w:rFonts w:hint="eastAsia" w:ascii="宋体" w:hAnsi="宋体" w:eastAsia="宋体" w:cs="宋体"/>
          <w:color w:val="auto"/>
          <w:sz w:val="21"/>
          <w:szCs w:val="21"/>
          <w:highlight w:val="none"/>
          <w:u w:val="single"/>
          <w:lang w:eastAsia="zh-CN"/>
        </w:rPr>
        <w:t xml:space="preserve">超声速</w:t>
      </w:r>
      <w:r>
        <w:rPr>
          <w:rFonts w:hint="eastAsia" w:ascii="宋体" w:hAnsi="宋体" w:eastAsia="宋体" w:cs="宋体"/>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15" w:name="_Toc26340"/>
      <w:r/>
      <w:bookmarkStart w:id="616" w:name="_Toc32533"/>
      <w:r>
        <w:rPr>
          <w:rFonts w:hint="eastAsia" w:ascii="宋体" w:hAnsi="宋体" w:eastAsia="宋体" w:cs="宋体"/>
          <w:color w:val="auto"/>
          <w:sz w:val="21"/>
          <w:szCs w:val="21"/>
          <w:highlight w:val="none"/>
        </w:rPr>
        <w:t xml:space="preserve">17.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因不可抗力解除合同</w:t>
      </w:r>
      <w:bookmarkEnd w:id="615"/>
      <w:r/>
      <w:bookmarkEnd w:id="616"/>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 xml:space="preserve">天内完成款项的支付。</w:t>
      </w:r>
      <w:bookmarkStart w:id="617" w:name="_Toc12850"/>
      <w:r/>
      <w:bookmarkStart w:id="618" w:name="_Toc351203650"/>
      <w:r/>
      <w:bookmarkStart w:id="619" w:name="_Toc30034"/>
      <w:r/>
      <w:r/>
    </w:p>
    <w:p>
      <w:pPr>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7"/>
        </w:numPr>
        <w:jc w:val="left"/>
        <w:pageBreakBefore w:val="0"/>
        <w:spacing w:line="38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保险</w:t>
      </w:r>
      <w:bookmarkEnd w:id="617"/>
      <w:r/>
      <w:bookmarkEnd w:id="618"/>
      <w:r/>
      <w:bookmarkEnd w:id="619"/>
      <w:r/>
      <w:r/>
    </w:p>
    <w:p>
      <w:pPr>
        <w:numPr>
          <w:ilvl w:val="0"/>
          <w:numId w:val="0"/>
        </w:numPr>
        <w:jc w:val="left"/>
        <w:pageBreakBefore w:val="0"/>
        <w:spacing w:line="38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r>
      <w:bookmarkEnd w:id="607"/>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承担合同履行期间所有按规定投保的内容。承包人必须为从事危险作业的职工办理意外伤害保险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0" w:name="_Toc16674"/>
      <w:r/>
      <w:bookmarkStart w:id="621" w:name="_Toc24691"/>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其他保险</w:t>
      </w:r>
      <w:bookmarkEnd w:id="620"/>
      <w:r/>
      <w:bookmarkEnd w:id="621"/>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承包人需为其施工现场的全部人员办理社会保险并支付保险费，包括</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员工及为履行合同聘请的第三方的人员  </w:t>
      </w:r>
      <w:r>
        <w:rPr>
          <w:rFonts w:hint="eastAsia" w:ascii="宋体" w:hAnsi="宋体" w:eastAsia="宋体" w:cs="宋体"/>
          <w:color w:val="auto"/>
          <w:sz w:val="21"/>
          <w:szCs w:val="21"/>
          <w:highlight w:val="none"/>
        </w:rPr>
        <w:t xml:space="preserve">。</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通知义务</w:t>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按通用合同条款执行  </w:t>
      </w:r>
      <w:r>
        <w:rPr>
          <w:rFonts w:hint="eastAsia" w:ascii="宋体" w:hAnsi="宋体" w:eastAsia="宋体" w:cs="宋体"/>
          <w:color w:val="auto"/>
          <w:sz w:val="21"/>
          <w:szCs w:val="21"/>
          <w:highlight w:val="none"/>
        </w:rPr>
        <w:t xml:space="preserve">。</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pStyle w:val="936"/>
        <w:ind w:left="0"/>
        <w:pageBreakBefore w:val="0"/>
        <w:spacing w:line="380" w:lineRule="exact"/>
        <w:widowControl w:val="off"/>
        <w:rPr>
          <w:rFonts w:hint="eastAsia" w:ascii="宋体" w:hAnsi="宋体" w:eastAsia="宋体" w:cs="宋体"/>
          <w:b/>
          <w:bCs w:val="0"/>
          <w:color w:val="auto"/>
          <w:sz w:val="21"/>
          <w:szCs w:val="21"/>
          <w:highlight w:val="none"/>
        </w:rPr>
        <w:outlineLvl w:val="1"/>
      </w:pPr>
      <w:r/>
      <w:bookmarkStart w:id="622" w:name="_Toc351203651"/>
      <w:r/>
      <w:bookmarkStart w:id="623" w:name="_Toc21836"/>
      <w:r/>
      <w:bookmarkStart w:id="624" w:name="_Toc23778"/>
      <w:r>
        <w:rPr>
          <w:rFonts w:hint="eastAsia" w:ascii="宋体" w:hAnsi="宋体" w:eastAsia="宋体" w:cs="宋体"/>
          <w:b/>
          <w:bCs w:val="0"/>
          <w:color w:val="auto"/>
          <w:sz w:val="21"/>
          <w:szCs w:val="21"/>
          <w:highlight w:val="none"/>
          <w:lang w:val="en-US" w:eastAsia="zh-CN"/>
        </w:rPr>
        <w:t xml:space="preserve">19</w:t>
      </w:r>
      <w:r>
        <w:rPr>
          <w:rFonts w:hint="eastAsia" w:ascii="宋体" w:hAnsi="宋体" w:eastAsia="宋体" w:cs="宋体"/>
          <w:b/>
          <w:bCs w:val="0"/>
          <w:color w:val="auto"/>
          <w:sz w:val="21"/>
          <w:szCs w:val="21"/>
          <w:highlight w:val="none"/>
        </w:rPr>
        <w:t xml:space="preserve">. 争议解决</w:t>
      </w:r>
      <w:bookmarkEnd w:id="622"/>
      <w:r/>
      <w:bookmarkEnd w:id="623"/>
      <w:r/>
      <w:bookmarkEnd w:id="624"/>
      <w:r/>
      <w:bookmarkEnd w:id="583"/>
      <w:r/>
      <w:bookmarkEnd w:id="584"/>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25" w:name="_Toc26732"/>
      <w:r/>
      <w:bookmarkStart w:id="626" w:name="_Toc273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争</w:t>
      </w:r>
      <w:bookmarkEnd w:id="585"/>
      <w:r>
        <w:rPr>
          <w:rFonts w:hint="eastAsia" w:ascii="宋体" w:hAnsi="宋体" w:eastAsia="宋体" w:cs="宋体"/>
          <w:color w:val="auto"/>
          <w:sz w:val="21"/>
          <w:szCs w:val="21"/>
          <w:highlight w:val="none"/>
        </w:rPr>
        <w:t xml:space="preserve">议评审</w:t>
      </w:r>
      <w:bookmarkEnd w:id="625"/>
      <w:r/>
      <w:bookmarkEnd w:id="626"/>
      <w:r/>
      <w:r/>
    </w:p>
    <w:p>
      <w:pPr>
        <w:ind w:left="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7" w:name="_Toc11235"/>
      <w:r/>
      <w:bookmarkStart w:id="628" w:name="_Toc23775"/>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争议评审小组的确定</w:t>
      </w:r>
      <w:bookmarkEnd w:id="627"/>
      <w:r/>
      <w:bookmarkEnd w:id="628"/>
      <w:r/>
      <w:r/>
    </w:p>
    <w:p>
      <w:pPr>
        <w:ind w:left="0" w:firstLine="420"/>
        <w:jc w:val="left"/>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outlineLvl w:val="0"/>
      </w:pPr>
      <w:r/>
      <w:bookmarkStart w:id="629" w:name="_Toc2082"/>
      <w:r/>
      <w:bookmarkStart w:id="630" w:name="_Toc24576"/>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争议评审小组的决定</w:t>
      </w:r>
      <w:bookmarkEnd w:id="629"/>
      <w:r/>
      <w:bookmarkEnd w:id="630"/>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w:t>
      </w:r>
      <w:r>
        <w:rPr>
          <w:rFonts w:hint="eastAsia" w:ascii="宋体" w:hAnsi="宋体" w:eastAsia="宋体" w:cs="宋体"/>
          <w:color w:val="auto"/>
          <w:sz w:val="21"/>
          <w:szCs w:val="21"/>
          <w:highlight w:val="none"/>
          <w:lang w:eastAsia="zh-CN"/>
        </w:rPr>
        <w:t xml:space="preserve">本事</w:t>
      </w:r>
      <w:r>
        <w:rPr>
          <w:rFonts w:hint="eastAsia" w:ascii="宋体" w:hAnsi="宋体" w:eastAsia="宋体" w:cs="宋体"/>
          <w:color w:val="auto"/>
          <w:sz w:val="21"/>
          <w:szCs w:val="21"/>
          <w:highlight w:val="none"/>
        </w:rPr>
        <w:t xml:space="preserve">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0" w:firstLine="420"/>
        <w:pageBreakBefore w:val="0"/>
        <w:spacing w:line="380" w:lineRule="exact"/>
        <w:widowControl w:val="off"/>
        <w:rPr>
          <w:rFonts w:hint="eastAsia" w:ascii="宋体" w:hAnsi="宋体" w:eastAsia="宋体" w:cs="宋体"/>
          <w:color w:val="auto"/>
          <w:sz w:val="21"/>
          <w:szCs w:val="21"/>
          <w:highlight w:val="none"/>
        </w:rPr>
        <w:outlineLvl w:val="0"/>
      </w:pPr>
      <w:r/>
      <w:bookmarkStart w:id="631" w:name="_Toc14174"/>
      <w:r/>
      <w:bookmarkStart w:id="632" w:name="_Toc13519"/>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仲裁或诉讼</w:t>
      </w:r>
      <w:bookmarkEnd w:id="586"/>
      <w:r/>
      <w:bookmarkEnd w:id="631"/>
      <w:r/>
      <w:bookmarkEnd w:id="632"/>
      <w:r/>
      <w:r/>
    </w:p>
    <w:p>
      <w:pPr>
        <w:ind w:left="0" w:firstLine="42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w:t>
      </w:r>
      <w:r>
        <w:rPr>
          <w:rFonts w:hint="eastAsia" w:ascii="宋体" w:hAnsi="宋体" w:eastAsia="宋体" w:cs="宋体"/>
          <w:color w:val="auto"/>
          <w:sz w:val="21"/>
          <w:szCs w:val="21"/>
          <w:highlight w:val="none"/>
        </w:rPr>
        <w:t xml:space="preserve">种方式解决：</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盱眙县      </w:t>
      </w:r>
      <w:r>
        <w:rPr>
          <w:rFonts w:hint="eastAsia" w:ascii="宋体" w:hAnsi="宋体" w:eastAsia="宋体" w:cs="宋体"/>
          <w:color w:val="auto"/>
          <w:sz w:val="21"/>
          <w:szCs w:val="21"/>
          <w:highlight w:val="none"/>
        </w:rPr>
        <w:t xml:space="preserve">人民法院起诉。</w:t>
      </w:r>
      <w:bookmarkEnd w:id="587"/>
      <w:r/>
      <w:bookmarkEnd w:id="588"/>
      <w:r/>
      <w:bookmarkEnd w:id="589"/>
      <w:r/>
      <w:bookmarkEnd w:id="590"/>
      <w:r/>
      <w:bookmarkEnd w:id="591"/>
      <w:r/>
      <w:bookmarkEnd w:id="592"/>
      <w:r/>
      <w:r/>
    </w:p>
    <w:p>
      <w:pPr>
        <w:pStyle w:val="936"/>
        <w:ind w:left="0" w:firstLine="422"/>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承包人承担所有材料检测费用。</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发包人、承包人根据《中华人民共和国建筑法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建设工程质量管理条例》和《房屋建筑工程质量保修办法》，经协商一致，对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w:t>
      </w:r>
      <w:r>
        <w:rPr>
          <w:rFonts w:hint="eastAsia" w:ascii="宋体" w:hAnsi="宋体" w:eastAsia="宋体" w:cs="宋体"/>
          <w:color w:val="auto"/>
          <w:sz w:val="21"/>
          <w:szCs w:val="21"/>
          <w:highlight w:val="none"/>
          <w:lang w:eastAsia="zh-CN"/>
        </w:rPr>
        <w:t xml:space="preserve">签订</w:t>
      </w:r>
      <w:r>
        <w:rPr>
          <w:rFonts w:hint="eastAsia" w:ascii="宋体" w:hAnsi="宋体" w:eastAsia="宋体" w:cs="宋体"/>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承包人在质量保修期内，按照有关</w:t>
      </w:r>
      <w:r>
        <w:rPr>
          <w:rFonts w:hint="eastAsia" w:ascii="宋体" w:hAnsi="宋体" w:eastAsia="宋体" w:cs="宋体"/>
          <w:bCs/>
          <w:color w:val="auto"/>
          <w:sz w:val="21"/>
          <w:szCs w:val="21"/>
          <w:highlight w:val="none"/>
          <w:lang w:eastAsia="zh-CN"/>
        </w:rPr>
        <w:t xml:space="preserve">法律法规</w:t>
      </w:r>
      <w:r>
        <w:rPr>
          <w:rFonts w:hint="eastAsia" w:ascii="宋体" w:hAnsi="宋体" w:eastAsia="宋体" w:cs="宋体"/>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质量保修范围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具体质量保修内容双方约定如下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双方根据《建设工程质量管理条例》及有关规定，约定本工程的质量保修期如下</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bCs/>
          <w:color w:val="auto"/>
          <w:sz w:val="21"/>
          <w:szCs w:val="21"/>
          <w:highlight w:val="none"/>
          <w:u w:val="single"/>
        </w:rPr>
        <w:t xml:space="preserve">贰个</w:t>
      </w:r>
      <w:r>
        <w:rPr>
          <w:rFonts w:hint="eastAsia" w:ascii="宋体" w:hAnsi="宋体" w:eastAsia="宋体" w:cs="宋体"/>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道路、水泥地坪等为</w:t>
      </w:r>
      <w:r>
        <w:rPr>
          <w:rFonts w:hint="eastAsia" w:ascii="宋体" w:hAnsi="宋体" w:eastAsia="宋体" w:cs="宋体"/>
          <w:bCs/>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绿化、苗木等免费养护期为</w:t>
      </w:r>
      <w:r>
        <w:rPr>
          <w:rFonts w:hint="eastAsia" w:ascii="宋体" w:hAnsi="宋体" w:eastAsia="宋体" w:cs="宋体"/>
          <w:color w:val="auto"/>
          <w:sz w:val="21"/>
          <w:szCs w:val="21"/>
          <w:highlight w:val="none"/>
          <w:u w:val="single"/>
        </w:rPr>
        <w:t xml:space="preserve">贰年</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lang w:val="en-US" w:eastAsia="zh-CN"/>
        </w:rPr>
        <w:t xml:space="preserve"> 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四</w:t>
      </w:r>
      <w:r>
        <w:rPr>
          <w:rFonts w:hint="eastAsia" w:ascii="宋体" w:hAnsi="宋体" w:eastAsia="宋体" w:cs="宋体"/>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属于保修范围和内容的项目，承包人应在接到修理通知之</w:t>
      </w:r>
      <w:r>
        <w:rPr>
          <w:rFonts w:hint="eastAsia" w:ascii="宋体" w:hAnsi="宋体" w:cs="宋体"/>
          <w:color w:val="auto"/>
          <w:sz w:val="21"/>
          <w:szCs w:val="21"/>
          <w:highlight w:val="none"/>
          <w:lang w:eastAsia="zh-CN"/>
        </w:rPr>
        <w:t xml:space="preserve">日起</w:t>
      </w:r>
      <w:r>
        <w:rPr>
          <w:rFonts w:hint="eastAsia" w:ascii="宋体" w:hAnsi="宋体" w:eastAsia="宋体" w:cs="宋体"/>
          <w:color w:val="auto"/>
          <w:sz w:val="21"/>
          <w:szCs w:val="21"/>
          <w:highlight w:val="none"/>
          <w:u w:val="single"/>
          <w:lang w:val="en-US" w:eastAsia="zh-CN"/>
        </w:rPr>
        <w:t xml:space="preserve">24小时</w:t>
      </w:r>
      <w:r>
        <w:rPr>
          <w:rFonts w:hint="eastAsia" w:ascii="宋体" w:hAnsi="宋体" w:eastAsia="宋体" w:cs="宋体"/>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附件2：</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在建设过程中，为加强建设工程廉政建设，规范建设工程各项活动中发包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1.1应严格遵守国家关于建设工程的有关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1.3各项活动必须坚持公开、公平、公正、诚信、透明的原则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除法律法规另有规定者外</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2.3不得要求、暗示或接受承包人和相关单位为个人装修住房、婚丧嫁娶、配偶子女的工作安排以及出国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3.3不得接受或暗示为发包人、相关单位或个人装修住房、婚丧嫁娶、配偶子女的工作安排以及出国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4.1发包人工作人员有违反本责任书第一、二条责任行为的，依据有关</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本责任书一式四份，发包</w:t>
      </w:r>
      <w:r>
        <w:rPr>
          <w:rFonts w:hint="eastAsia" w:ascii="宋体" w:hAnsi="宋体" w:eastAsia="宋体" w:cs="宋体"/>
          <w:color w:val="auto"/>
          <w:sz w:val="21"/>
          <w:szCs w:val="21"/>
          <w:highlight w:val="none"/>
          <w:lang w:eastAsia="zh-CN"/>
        </w:rPr>
        <w:t xml:space="preserve">人和</w:t>
      </w:r>
      <w:r>
        <w:rPr>
          <w:rFonts w:hint="eastAsia" w:ascii="宋体" w:hAnsi="宋体" w:eastAsia="宋体" w:cs="宋体"/>
          <w:color w:val="auto"/>
          <w:sz w:val="21"/>
          <w:szCs w:val="21"/>
          <w:highlight w:val="none"/>
        </w:rPr>
        <w:t xml:space="preserve">承包人各执二份，具有同等效力。</w:t>
      </w:r>
      <w:r/>
    </w:p>
    <w:p>
      <w:pPr>
        <w:pStyle w:val="944"/>
        <w:ind w:left="0" w:firstLine="36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4"/>
        <w:ind w:left="0" w:righ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firstLine="63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                    年    月    日</w:t>
      </w:r>
      <w:r/>
    </w:p>
    <w:p>
      <w:pPr>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left"/>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jc w:val="center"/>
        <w:pageBreakBefore w:val="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建设工程承发包安全管理协议</w:t>
      </w:r>
      <w:r/>
    </w:p>
    <w:p>
      <w:pPr>
        <w:ind w:firstLine="1897"/>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pageBreakBefore w:val="0"/>
        <w:spacing w:line="3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发包人（全称）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（简称甲方）</w:t>
      </w:r>
      <w:r/>
    </w:p>
    <w:p>
      <w:pPr>
        <w:ind w:firstLine="422"/>
        <w:pageBreakBefore w:val="0"/>
        <w:spacing w:line="38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承包人（全称）</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工程地址：</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乙方在施工前要认真</w:t>
      </w:r>
      <w:r>
        <w:rPr>
          <w:rFonts w:hint="eastAsia" w:ascii="宋体" w:hAnsi="宋体" w:eastAsia="宋体" w:cs="宋体"/>
          <w:color w:val="auto"/>
          <w:sz w:val="21"/>
          <w:szCs w:val="21"/>
          <w:highlight w:val="none"/>
          <w:lang w:eastAsia="zh-CN"/>
        </w:rPr>
        <w:t xml:space="preserve">勘查现场</w:t>
      </w:r>
      <w:r>
        <w:rPr>
          <w:rFonts w:hint="eastAsia" w:ascii="宋体" w:hAnsi="宋体" w:eastAsia="宋体" w:cs="宋体"/>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甲乙双方的有关领导必须认真对本单位职工进行安全生产制度及安全技术知识教育，增强</w:t>
      </w:r>
      <w:r>
        <w:rPr>
          <w:rFonts w:hint="eastAsia" w:ascii="宋体" w:hAnsi="宋体" w:eastAsia="宋体" w:cs="宋体"/>
          <w:color w:val="auto"/>
          <w:sz w:val="21"/>
          <w:szCs w:val="21"/>
          <w:highlight w:val="none"/>
          <w:lang w:eastAsia="zh-CN"/>
        </w:rPr>
        <w:t xml:space="preserve">法治观念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增强</w:t>
      </w:r>
      <w:r>
        <w:rPr>
          <w:rFonts w:hint="eastAsia" w:ascii="宋体" w:hAnsi="宋体" w:eastAsia="宋体" w:cs="宋体"/>
          <w:color w:val="auto"/>
          <w:sz w:val="21"/>
          <w:szCs w:val="21"/>
          <w:highlight w:val="none"/>
        </w:rPr>
        <w:t xml:space="preserve">职工的安全生产思想意识和自我</w:t>
      </w:r>
      <w:r>
        <w:rPr>
          <w:rFonts w:hint="eastAsia" w:ascii="宋体" w:hAnsi="宋体" w:cs="宋体"/>
          <w:color w:val="auto"/>
          <w:sz w:val="21"/>
          <w:szCs w:val="21"/>
          <w:highlight w:val="none"/>
          <w:lang w:eastAsia="zh-CN"/>
        </w:rPr>
        <w:t xml:space="preserve">保护</w:t>
      </w:r>
      <w:r>
        <w:rPr>
          <w:rFonts w:hint="eastAsia" w:ascii="宋体" w:hAnsi="宋体" w:eastAsia="宋体" w:cs="宋体"/>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13.</w:t>
      </w:r>
      <w:r>
        <w:rPr>
          <w:rFonts w:hint="eastAsia" w:ascii="宋体" w:hAnsi="宋体" w:eastAsia="宋体" w:cs="宋体"/>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乙方必须严格执行各类防火防爆制度，易燃易爆场所严禁吸烟及动用明火，消防器材不准挪作他用。电焊、</w:t>
      </w:r>
      <w:r>
        <w:rPr>
          <w:rFonts w:hint="eastAsia" w:ascii="宋体" w:hAnsi="宋体" w:cs="宋体"/>
          <w:color w:val="auto"/>
          <w:sz w:val="21"/>
          <w:szCs w:val="21"/>
          <w:highlight w:val="none"/>
          <w:lang w:eastAsia="zh-CN"/>
        </w:rPr>
        <w:t xml:space="preserve">切割</w:t>
      </w:r>
      <w:r>
        <w:rPr>
          <w:rFonts w:hint="eastAsia" w:ascii="宋体" w:hAnsi="宋体" w:eastAsia="宋体" w:cs="宋体"/>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乙方需用甲方提供的电气设备，在使用前应先进行检测，并做好检测记录，如不符合安全规定的应及时整改，整改合格后</w:t>
      </w:r>
      <w:r>
        <w:rPr>
          <w:rFonts w:hint="eastAsia" w:ascii="宋体" w:hAnsi="宋体" w:eastAsia="宋体" w:cs="宋体"/>
          <w:color w:val="auto"/>
          <w:sz w:val="21"/>
          <w:szCs w:val="21"/>
          <w:highlight w:val="none"/>
          <w:lang w:eastAsia="zh-CN"/>
        </w:rPr>
        <w:t xml:space="preserve">方可</w:t>
      </w:r>
      <w:r>
        <w:rPr>
          <w:rFonts w:hint="eastAsia" w:ascii="宋体" w:hAnsi="宋体" w:eastAsia="宋体" w:cs="宋体"/>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本协议经立协双方签字、盖章有效。作为合同正本的附件一式四份，甲、乙双方各执二份。</w:t>
      </w:r>
      <w:r/>
    </w:p>
    <w:p>
      <w:pPr>
        <w:ind w:firstLine="420"/>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或其委托代理人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03"/>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pStyle w:val="940"/>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43"/>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943"/>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43"/>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4"/>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944"/>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973"/>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973"/>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973"/>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973"/>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973"/>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973"/>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73"/>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943"/>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943"/>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50"/>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95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93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950"/>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950"/>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950"/>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943"/>
        <w:numPr>
          <w:ilvl w:val="0"/>
          <w:numId w:val="9"/>
        </w:numPr>
        <w:ind w:firstLine="361"/>
        <w:jc w:val="center"/>
        <w:pageBreakBefore w:val="0"/>
        <w:spacing w:line="380" w:lineRule="exact"/>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报价明细表</w:t>
      </w:r>
      <w:r/>
    </w:p>
    <w:tbl>
      <w:tblPr>
        <w:tblStyle w:val="938"/>
        <w:tblW w:w="93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930"/>
        <w:gridCol w:w="2491"/>
        <w:gridCol w:w="917"/>
        <w:gridCol w:w="961"/>
        <w:gridCol w:w="1165"/>
        <w:gridCol w:w="1457"/>
        <w:gridCol w:w="844"/>
      </w:tblGrid>
      <w:tr>
        <w:trPr>
          <w:trHeight w:val="52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全费用工程量清单与计价表</w:t>
            </w:r>
            <w:r/>
          </w:p>
        </w:tc>
      </w:tr>
      <w:tr>
        <w:trPr>
          <w:trHeight w:val="440"/>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项目名称：盱眙县黄花塘镇倜傥村五星生猪养殖小区改造项目</w:t>
            </w:r>
            <w:r/>
          </w:p>
        </w:tc>
      </w:tr>
      <w:tr>
        <w:trPr>
          <w:trHeight w:val="353"/>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工程量</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2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全费用金额(元) </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60"/>
        </w:trPr>
        <w:tc>
          <w:tcPr>
            <w:shd w:val="clear" w:color="ffffff" w:fill="ffffff"/>
            <w:tcBorders>
              <w:top w:val="single" w:color="000000" w:sz="4" w:space="0"/>
              <w:left w:val="single" w:color="000000" w:sz="4" w:space="0"/>
              <w:bottom w:val="single" w:color="000000" w:sz="4" w:space="0"/>
              <w:right w:val="single" w:color="000000" w:sz="4" w:space="0"/>
            </w:tcBorders>
            <w:tcW w:w="5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49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17"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暂估价</w:t>
            </w:r>
            <w:r/>
          </w:p>
        </w:tc>
      </w:tr>
      <w:tr>
        <w:trPr>
          <w:trHeight w:val="253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地暖地面改造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拆除对象：保育塑料漏粪板、支架、旧垫层                                          2、回填：土方分层夯实抬高350mm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混凝土：C25商品混凝土，厚度4cm+3cm面层                                                      4、保温层：20mm挤塑聚苯板 XPS 阻燃</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地暖改造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1、8匹空气能热泵、系统控制柜、阀门、圆形保温水箱、空气能循环水泵、地暖管道铺设等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1、公称容量：15吨（原料塔拆除）                      2、总高度：4.8m（含塔顶、筒体、下锥、支腿、地基基础）                        3、筒体节数：3节，镀锌， 整体稳固                                             4、 板</w:t>
            </w:r>
            <w:r>
              <w:rPr>
                <w:rFonts w:hint="eastAsia" w:ascii="宋体" w:hAnsi="宋体" w:eastAsia="宋体" w:cs="宋体"/>
                <w:i w:val="0"/>
                <w:iCs w:val="0"/>
                <w:color w:val="000000"/>
                <w:sz w:val="21"/>
                <w:szCs w:val="21"/>
                <w:u w:val="none"/>
                <w:lang w:val="en-US" w:eastAsia="zh-CN" w:bidi="ar"/>
              </w:rPr>
              <w:t xml:space="preserve">材与材质热镀锌钢板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1、名称：-18°C冷库               2、尺寸：4m*4m*2m                      3、冷库保温库体、 冷库门、压缩机组、室内蒸发器、电控系统、辅材配套、地基基础</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产区刮粪机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1、刮粪机检修：锈蚀严重的转角轮拆除更换安装新转角轮，每套4个，损坏电机拆除更换安装新电机每套1个，刮粪机8mm槽盘更换12mm，每套2个，8mm钢丝绳更换10mm，每套200米。 （原品牌同类型）</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1、长3*宽0.6m原水泥漏粪板拆除更换，确保养4公斤小猪不卡腿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栋舍漏粪板损坏更换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1、长2.2*宽0.6m原水泥漏粪板拆除更换，确保养4公斤小猪不卡腿                     2、满足业主使用需求，投标单位自行勘探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栋舍风机维修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1、原损坏54风机拆除安装新50大风机，原洞口修补                   2、名称：50寸蝴蝶拢           </w:t>
            </w:r>
            <w:r>
              <w:rPr>
                <w:rFonts w:hint="eastAsia" w:ascii="宋体" w:hAnsi="宋体" w:eastAsia="宋体" w:cs="宋体"/>
                <w:i w:val="0"/>
                <w:iCs w:val="0"/>
                <w:color w:val="000000"/>
                <w:sz w:val="21"/>
                <w:szCs w:val="21"/>
                <w:u w:val="none"/>
                <w:lang w:val="en-US" w:eastAsia="zh-CN" w:bidi="ar"/>
              </w:rPr>
              <w:t xml:space="preserve">    3、型号：HNP50 / 9FJ12.7T-3      4、扇叶直径：1270mm（50英寸）        5、框尺寸：1380×1380×360mm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1、原损坏36风机拆除安装新36大风机，原洞口修补                  2、名称：36寸蝴蝶拢                 </w:t>
            </w:r>
            <w:r>
              <w:rPr>
                <w:rFonts w:hint="eastAsia" w:ascii="宋体" w:hAnsi="宋体" w:eastAsia="宋体" w:cs="宋体"/>
                <w:i w:val="0"/>
                <w:iCs w:val="0"/>
                <w:color w:val="000000"/>
                <w:sz w:val="21"/>
                <w:szCs w:val="21"/>
                <w:u w:val="none"/>
                <w:lang w:val="en-US" w:eastAsia="zh-CN" w:bidi="ar"/>
              </w:rPr>
              <w:t xml:space="preserve">    3、型号：HNP50 / 9FJ12.7T-3      4、扇叶直径：1000mm（36英寸）        5、框尺寸：1000*1000*450mm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1、原损坏24风机拆除安装新36大风机，原洞口扩大                   2、名称：36寸蝴蝶拢              3、型号：HNP</w:t>
            </w:r>
            <w:r>
              <w:rPr>
                <w:rFonts w:hint="eastAsia" w:ascii="宋体" w:hAnsi="宋体" w:eastAsia="宋体" w:cs="宋体"/>
                <w:i w:val="0"/>
                <w:iCs w:val="0"/>
                <w:color w:val="000000"/>
                <w:sz w:val="21"/>
                <w:szCs w:val="21"/>
                <w:u w:val="none"/>
                <w:lang w:val="en-US" w:eastAsia="zh-CN" w:bidi="ar"/>
              </w:rPr>
              <w:t xml:space="preserve">50 / 9FJ12.7T-3      4、扇叶直径：1000mm（36英寸）        5、框尺寸：框尺寸：1000*1000*450mm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栋舍风机更换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1、原损坏18风机拆除安装新36大风机，原洞口扩大                    2、名称：18寸蝴蝶拢             </w:t>
            </w:r>
            <w:r>
              <w:rPr>
                <w:rFonts w:hint="eastAsia" w:ascii="宋体" w:hAnsi="宋体" w:eastAsia="宋体" w:cs="宋体"/>
                <w:i w:val="0"/>
                <w:iCs w:val="0"/>
                <w:color w:val="000000"/>
                <w:sz w:val="21"/>
                <w:szCs w:val="21"/>
                <w:u w:val="none"/>
                <w:lang w:val="en-US" w:eastAsia="zh-CN" w:bidi="ar"/>
              </w:rPr>
              <w:t xml:space="preserve">       3、型号：HNP50 / 9FJ12.7T-3      4、扇叶直径：500mm（18英寸）        5、框尺寸：500*500×250mm                                  6、电机：1.1kW，380V/50Hz，3相，IP55，F级绝缘                   7、转速：电机1400r/min，扇叶450r/ min                                       8、 扇叶：6片，304不锈钢，厚1.2mm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环控改造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1、保育每单元增加一套环控器2个温度探头配套控制线；育肥每栋增加一套环控器2个温度探头配套控制线，育肥舍：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1、每栋环控电箱宽600mm高400mm深200mm一个，电箱宽400mm高600mm深200mm一个，锈蚀电箱拆除更换1.0mm厚304不锈钢新电箱，内部元器件，控制面板元器件拆除安装到新电箱，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栋舍水帘改造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一、保育湿帘洞口长8.4米高1.8米，原湿帘系统拆除更换新湿帘系统。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1、湿帘外挂带PVC水槽；湿帘框架铝合金材质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二、育肥湿帘洞口长7.2米高1.8米，原湿帘系统拆除更换新湿帘系统，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新湿帘系统：1、湿帘外挂不带PVC水槽，用场区原水池供水；湿帘框架铝合金材质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2、湿帘纸7060型，10CM厚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3、配套水泵及循环水管道系统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4、配套幕帘系统，幕帘布为PE双面涂塑布，手摇绞车手动控制。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育肥需要更换，保育按需更换，都无智能开关装置，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水帘用蓄水池需要修缮水泵不换</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1、育肥不锈钢食槽长2米，宽0.65米，高0.85米。双面十孔位，每侧5个采食位，201不锈钢壁厚1.0mm，料槽每两栏共用一个，每个食槽安装一个阳光板盖板。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育肥水碗改造、水线检修改造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1、原饮水嘴拆除更换育肥饮水碗配套饮水杆，201不锈钢材质，水碗与下水管之间通过软管连接。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栋舍单元门更换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1、每栋育肥舍2个门0.9m*2.05m，不锈钢门                                 2、原门拆除更换不锈钢门 含安装、五金配件等                                3、投标单位自行勘探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开门洞</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1、拆除每栋门1m*2.2m，包含后期加固，垃圾外运。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屋面板更换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1、原屋面不动局部维修，保温棉+防雨布（投标报价不得高于23元每平方，样式选样）                              2、屋面保温板： 加厚防雨布（屋面专用顶布）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3、材质：PVC涂塑三防布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宽度：4m整幅（无拼接少漏水）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5、性能：防水、防晒、抗撕裂、耐老化、抗风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6、工艺：四周热合包边、预留打孔、可加拉绳固定                                    7、质保8年，投标单位自行勘探，满足甲方使用需求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95"/>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1.具备不锈钢浸泡池具备加热功能，总尺寸长1.2*宽*1.2高1.5，内部分59cm和40cm小池(需要定制)                       2.烘干房里配备20KW.380V电暖风,尺寸规格:长800*宽650*高600mm3.对开门饭菜蒸箱6千瓦，尺寸长宽高mm:680*680*910mm                                      4.功能房尺寸:一间长3.5m*宽2m，一间3.5m*宽1.5m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育肥栏杆检修、底部加密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育肥栏底部加钢板3127.4米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1.钢板规格：钢板高度0.4米，厚度0.6mm。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2、钢板镀锌处理，镀锌层平均厚度不小于80um。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3.钢板通过不锈钢U型螺栓安装在栏片上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4.过道栅栏下端使用10cm的挡墙      所有育肥栏杆（主过道+内侧栏杆）现场焊接</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3127.40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88"/>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暖风机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 工业养殖款                 2、外形尺寸（长×宽×高）：780×650×660mm                  3、控温范围：0–60℃ 可调，智能恒温</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育肥料塔及料线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1、公称容量：25吨（原料塔拆除）                      2、总高度：6.8m（含塔顶、筒体、下锥、支腿、地基基础）                        3、筒体节数：3节，整体稳固                   4、 </w:t>
            </w:r>
            <w:r>
              <w:rPr>
                <w:rFonts w:hint="eastAsia" w:ascii="宋体" w:hAnsi="宋体" w:eastAsia="宋体" w:cs="宋体"/>
                <w:i w:val="0"/>
                <w:iCs w:val="0"/>
                <w:color w:val="000000"/>
                <w:sz w:val="21"/>
                <w:szCs w:val="21"/>
                <w:u w:val="none"/>
                <w:lang w:val="en-US" w:eastAsia="zh-CN" w:bidi="ar"/>
              </w:rPr>
              <w:t xml:space="preserve">板材与材质镀锌钢板                    5、结构配置：塔顶、爬梯、观察窗、下锥角度、出料口、紧急下料口                                                                              6、绞龙主机：管径：φ165，叶片：加厚锰钢绞龙叶片，电机：4kW 国标电机，380V                    7、管路与配件： 输送管：镀锌钢管，壁厚1.0mm，转角：90°镀锌转角，控制系统：电控箱+启停按钮+缺料报警</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2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透明瓦更换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一、原刮粪道阳光板盖板及支撑拆除                                      1、原采光板拆除，更换原材质透明彩钢瓦，支撑更换原材质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彩钢瓦屋面更换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1、原彩钢瓦屋面拆除                      2、参照原屋面做法，更换夹芯板等，满足甲方要求。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育肥定位栏拆除大栏安装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1、定位栏拆除：                               2、240套定位栏拆除。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拆除不锈钢食槽</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1、不锈钢通体食槽拆除。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育肥大栏安装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1、每单元栏尺寸7.4*6.7*0.9米。栏体整体热浸锌处理，镀锌层厚度不小于80um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育肥料管改造</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1、料管开孔，增加60下料三通配套下料管，下料管可伸缩调节。每食槽2套。                           2、投标单位自行勘探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1、名称：pvc线管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3、规格：25mm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2、配线形式：照明线路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3、规格：WDZBN-BYJ-25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1、名称：led灯泡（φ13.5）             2、螺口：E27螺口                                       3、瓦数：60w</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单项五孔插座含线盒、螺丝等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场地平整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3、土方场内转运（路肩回填宽：0.5m）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4、余方弃置，投标单位自行勘探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3、压实，达到规范要求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3、养护：按规范要求养护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4、支撑：复合模板支撑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密闭连廊（大棚式）</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一、常规单体拱棚：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跨度1.4米、肩高2.5米 （按现场实际情况调整）。                            二、主体钢架参数（镀锌大棚管）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拱杆：Φ32×1.0mm 镀锌圆管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纵梁（拉杆）：Φ20×0.8mm 镀锌管 3道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立柱（侧边加固）：Φ30×1.0mm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门架/门头：40×40方管 镀锌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三、棚膜参数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类型：立面透明亚克力板、顶面采用加厚防雨布                                含地基基础及所有五金配件等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eastAsia" w:ascii="Arial" w:hAnsi="Arial" w:cs="Arial"/>
                <w:b/>
                <w:bCs/>
                <w:i w:val="0"/>
                <w:iCs w:val="0"/>
                <w:color w:val="000000"/>
                <w:sz w:val="20"/>
                <w:szCs w:val="20"/>
                <w:u w:val="none"/>
              </w:rPr>
            </w:pPr>
            <w:r>
              <w:rPr>
                <w:rFonts w:hint="eastAsia" w:ascii="Arial" w:hAnsi="Arial" w:cs="Arial"/>
                <w:b/>
                <w:bCs/>
                <w:i w:val="0"/>
                <w:iCs w:val="0"/>
                <w:color w:val="000000"/>
                <w:sz w:val="20"/>
                <w:szCs w:val="20"/>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抹灰面油漆（外墙）</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1、外墙腻子2遍                    2、外墙刷乳胶漆2遍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抹灰面油漆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墙面及顶面：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1、抹灰面上901胶混合腻子批二遍                2、刷乳胶漆二遍</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1、名称：LED 圆形吸顶灯           2、尺寸：直径 500mm*厚 50mm                           3、色温：6500K 白光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1、原屋面清理。局部铲除、找平   2、3厚sbs改性沥青防水卷材(-20℃)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7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环保区罗茨风机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一、标准参数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电机：1.1kW 380V 50Hz（220V单相需定制）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风量：0.6–1.8 m³/min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风压：9.8–39.2 kPa（0.1–0.4kg）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转速：2800r/min 直联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口径：DN25/DN32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噪音：70–78dB（配消音器≤65dB）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整机重量：45–60kg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收集池安装防护盖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1、每个收集池直径2.8米，增加支撑及耐腐蚀网格盖板，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36.96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溶气罐更换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1、气浮溶气罐内部腐蚀增加1台气浮溶气罐，需专业人员更换。                                           2、满足业主使用需求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叠螺机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1、型号：301                                 2、材质：304不锈钢（整机，寿命10年+）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控制：全自动（进泥、加药、清洗、排泥，24小时无人值守）</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792"/>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清理池体</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1、生化池内部结构异常，清理池体内沉淀物并对所清理物进行环保处理，不得随意抛弃，清理后恢复池体功能，需专业人员清理                       2、投标单位自行勘探，满足业主使用需求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86"/>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沼气柜的钢丝软管需更换</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1、沼气柜的钢丝软管10米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一、50风机防回风布袋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克重：680g/㎡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1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一、36风机防回风布袋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84"/>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一、24风机防回风布袋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风机加装回风罩</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一、18风机防回风布袋               1、主材：加厚三防布/PVC涂塑防雨布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克重：650g/㎡ 加厚耐磨款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性能：防风、防雨、防晒、耐老化、阻燃、防回风倒灌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工艺：双线锁边、四周加厚牛津布包边、预留安装孔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一、部位：产区赶猪道围墙改造              1.砖品种、规格、强度等级:标准红砖砌筑；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2.砂浆强度等级、配合比:水泥砂浆M5.0；                                     3、含抹灰压顶等工序，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墙面一般抹灰（外连廊）</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1、8厚DPM20水泥砂浆粘接层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12厚DPM15水泥砂浆打底扫毛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料塔盖拉绳安装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1、增加料塔墙外开盖装置，安装拉手、钢丝绳、滑轮等保证人员能在围墙外开启关闭料塔盖。</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土方开挖</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1、土壤类别：三类土                                2、挖土深度：0.5米                                  3、弃土运距：投标单位自行考虑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1、废弃料品种：素土                      2、运距：场内转运3km以内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1.混凝土种类:商品砼；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36.00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零星砌筑</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1.零星砌砖名称、部位:围墙；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2.砖品种、规格、强度等级:砖砌筑；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3.砂浆强度等级、配合比:水泥砂浆M5.0；                                     4、含抹灰压顶等工序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521.64 </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4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电子地磅</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1.名称：SCS-50t；                           2.尺寸：台面3m×10m；                        3.型号：Q235面板12mm；                     4.数字式传感器8台；                  5.数字仪表；                              6.OIML Ⅲ级；                                              7.含引坡及基础混凝土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最高分辨率可达2560 × 1440 @25 fps，在该分辨率下可输出实时图像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支持背光补偿，强光抑制，3D数字降噪，数字宽动态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支持人形检测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支持开放型网络视频接口，ISAPI，SDK，GB28181协议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智能补光，支持白光/红外双补光，红外最远可达30 m，白光最远可达20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1个内置麦克风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符合IP67防尘防水设计</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51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满接64路4MP视频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可接驳符合ONVIF、RTSP、GB28181标准的网络摄像机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支持H.265、H.264编码前端自适应接入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支持12路1080P解码（开启解码增强，可提升至16路1080P解码）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支持800万像素高清网络视频的预览、存储与回放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支持HDMI与VGA异源输出，HDMI最大支持4K超高清显示输出，VGA支持1080P高清显示输出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自带8个SATA接口，最大支持10TB硬盘</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8TB容量，3.5英寸，SATA3.0接口，5400RPM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空气盘， CMR传统磁记录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传输速率215MB/s，流畅存储视频有效防止丢帧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满足数据严苛的7*24小时运行可靠性、安全性的需求</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43寸超窄边LED液晶监视器 屏幕尺寸:43"LED 16:9 最大分辨率:1920*1080 解析4K 可视角度:178°/178°  亮度/对比度:320cd/㎡ 1200:1  响应时间:8ms  接口:HDMI、VGA</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二层网管交换机，交换容量336Gbps，包转发率78Mpps，24口10/100/1000Mbps自适应电口交换机，固化4个SFP千兆光口，支持VLAN、ACL、端口镜像、端口聚合等功能</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22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24个10/100Mbps自适应电口+1个10/100/1000Mbps自适应上联电口+1个1000Mbps上联Combo口，其中24个口支持PoE/PoE+供电，整机最大PoE输出功率180W，交换机容量8.8Gbps，包转发率6.6Mpps，非网管型交换机，金属外壳，6kV防雷</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250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 PoE千兆接入口+1千兆上联光口，内置3公里SC单纤光模块（单纤3KM，TX1310/RX1550），整机PoE输出功率80W，交换机容量18Gbps，包转发率13.5Mpps，非网管型交换机。推荐对端使用光纤收发器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单模单纤千兆光模块，支持工作温度0℃~75℃，BIDI光模块，最大传输距离3公里，LC口或SC口，TX：1550nm，RX：1310nm。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标准19英寸2U设计，14槽机架，可插入14台光纤收发器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CAT6网线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光缆</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空开、插排、光纤跳线、汇聚箱、套管等</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光纤成端及链路测试</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43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围挡</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一、名称：电焊铁丝网围挡（含预埋、基础）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高度：1.8m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长度：3.0m/跨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材质：Q235低碳钢丝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二、网片参数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 丝径：塑后2.0–2.5mm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网孔：50×150mm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网片尺寸：1.8m×3.0m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4、边框：20×30×0.8矩形管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三、立柱参数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1、材质：Q235 圆管/方管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圆管：Φ40×1.2mm，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方管：40×40×1.2mm，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大型机械进出场费用</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暂列金额</w:t>
            </w:r>
            <w:r/>
          </w:p>
        </w:tc>
        <w:tc>
          <w:tcPr>
            <w:shd w:val="clear" w:color="auto" w:fill="auto"/>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不可竞争费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660"/>
        </w:trPr>
        <w:tc>
          <w:tcPr>
            <w:gridSpan w:val="6"/>
            <w:shd w:val="clear" w:color="auto" w:fill="auto"/>
            <w:tcBorders>
              <w:top w:val="single" w:color="000000" w:sz="4" w:space="0"/>
              <w:left w:val="single" w:color="000000" w:sz="4" w:space="0"/>
              <w:bottom w:val="single" w:color="000000" w:sz="4" w:space="0"/>
              <w:right w:val="single" w:color="000000" w:sz="4" w:space="0"/>
            </w:tcBorders>
            <w:tcW w:w="70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本页小计</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bottom"/>
            <w:textDirection w:val="lrTb"/>
            <w:noWrap/>
          </w:tcPr>
          <w:p>
            <w:pPr>
              <w:rPr>
                <w:rFonts w:hint="default" w:ascii="Arial" w:hAnsi="Arial" w:cs="Arial"/>
                <w:b/>
                <w:bCs/>
                <w:i w:val="0"/>
                <w:iCs w:val="0"/>
                <w:color w:val="000000"/>
                <w:sz w:val="20"/>
                <w:szCs w:val="20"/>
                <w:u w:val="none"/>
              </w:rPr>
            </w:pPr>
            <w:r>
              <w:rPr>
                <w:rFonts w:hint="default" w:ascii="Arial" w:hAnsi="Arial" w:cs="Arial"/>
                <w:b/>
                <w:bCs/>
                <w:i w:val="0"/>
                <w:iCs w:val="0"/>
                <w:color w:val="000000"/>
                <w:sz w:val="20"/>
                <w:szCs w:val="20"/>
                <w:u w:val="none"/>
              </w:rPr>
            </w:r>
            <w:r/>
          </w:p>
        </w:tc>
      </w:tr>
      <w:tr>
        <w:trPr>
          <w:trHeight w:val="369"/>
        </w:trPr>
        <w:tc>
          <w:tcPr>
            <w:gridSpan w:val="8"/>
            <w:shd w:val="clear" w:color="auto" w:fill="auto"/>
            <w:tcBorders>
              <w:top w:val="single" w:color="000000" w:sz="4" w:space="0"/>
              <w:left w:val="single" w:color="000000" w:sz="4" w:space="0"/>
              <w:bottom w:val="single" w:color="000000" w:sz="4" w:space="0"/>
              <w:right w:val="single" w:color="000000" w:sz="4" w:space="0"/>
            </w:tcBorders>
            <w:tcW w:w="9315" w:type="dxa"/>
            <w:vAlign w:val="center"/>
            <w:textDirection w:val="lrTb"/>
            <w:noWrap w:val="false"/>
          </w:tcPr>
          <w:p>
            <w:pPr>
              <w:jc w:val="left"/>
              <w:pageBreakBefore w:val="0"/>
              <w:spacing w:line="380" w:lineRule="exact"/>
              <w:rPr>
                <w:rFonts w:hint="eastAsia" w:ascii="仿宋" w:hAnsi="仿宋" w:eastAsia="仿宋" w:cs="仿宋"/>
                <w:b w:val="0"/>
                <w:bCs w:val="0"/>
                <w:color w:val="auto"/>
                <w:sz w:val="22"/>
                <w:szCs w:val="22"/>
                <w:highlight w:val="none"/>
              </w:rPr>
            </w:pPr>
            <w:r>
              <w:rPr>
                <w:rFonts w:hint="eastAsia" w:ascii="仿宋" w:hAnsi="仿宋" w:eastAsia="仿宋" w:cs="仿宋"/>
                <w:color w:val="auto"/>
                <w:sz w:val="22"/>
                <w:szCs w:val="22"/>
                <w:highlight w:val="none"/>
              </w:rPr>
              <w:t xml:space="preserve">注：</w:t>
            </w:r>
            <w:r>
              <w:rPr>
                <w:rFonts w:hint="eastAsia" w:ascii="仿宋" w:hAnsi="仿宋" w:eastAsia="仿宋" w:cs="仿宋"/>
                <w:b w:val="0"/>
                <w:bCs w:val="0"/>
                <w:color w:val="auto"/>
                <w:sz w:val="22"/>
                <w:szCs w:val="22"/>
                <w:highlight w:val="none"/>
              </w:rPr>
              <w:t xml:space="preserve">自行现场勘查。</w:t>
            </w:r>
            <w:r/>
          </w:p>
          <w:p>
            <w:pPr>
              <w:rPr>
                <w:rFonts w:hint="default" w:ascii="Arial" w:hAnsi="Arial" w:cs="Arial"/>
                <w:b/>
                <w:bCs/>
                <w:i w:val="0"/>
                <w:iCs w:val="0"/>
                <w:color w:val="000000"/>
                <w:sz w:val="20"/>
                <w:szCs w:val="20"/>
                <w:u w:val="none"/>
              </w:rPr>
            </w:pPr>
            <w:r>
              <w:rPr>
                <w:rFonts w:ascii="仿宋" w:hAnsi="仿宋" w:eastAsia="仿宋" w:cs="仿宋"/>
                <w:color w:val="auto"/>
                <w:sz w:val="22"/>
                <w:szCs w:val="22"/>
                <w:highlight w:val="none"/>
              </w:rPr>
              <w:t xml:space="preserve">本项目按全费用报价。全费用单价：其应包括但不限于按国家规范完成本项目所有的人工、材料以及完成实体工程量的辅助材料、机械设备、管理费、利润、运输、脚手架费、模板、税金、二次搬运、清理、保洁、培训费、交通费用、差旅费用、绿化迁移及恢复费、安全文明施工费、税费以及各项措施项目费、风险和政策性文件规定的各项应有费用。全费用工程量清单中每一个子目和单项均需计算填写单价、合价。每道工序均需要业主或监理签证确认后再进行下一道工序，每道工序业主或监理未确认工程款不予支付</w:t>
            </w:r>
            <w:r>
              <w:rPr>
                <w:rFonts w:hint="eastAsia" w:ascii="仿宋" w:hAnsi="仿宋" w:eastAsia="仿宋" w:cs="仿宋"/>
                <w:color w:val="auto"/>
                <w:sz w:val="22"/>
                <w:szCs w:val="22"/>
                <w:highlight w:val="none"/>
                <w:lang w:val="zh-CN"/>
              </w:rPr>
              <w:t xml:space="preserve"> </w:t>
            </w:r>
            <w:r/>
          </w:p>
        </w:tc>
      </w:tr>
    </w:tbl>
    <w:p>
      <w:pPr>
        <w:pStyle w:val="943"/>
        <w:numPr>
          <w:ilvl w:val="0"/>
          <w:numId w:val="0"/>
        </w:numPr>
        <w:jc w:val="center"/>
        <w:pageBreakBefore w:val="0"/>
        <w:spacing w:line="380" w:lineRule="exact"/>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 xml:space="preserve">                       供应商名称</w:t>
      </w:r>
      <w:r>
        <w:rPr>
          <w:rFonts w:hint="eastAsia" w:ascii="仿宋" w:hAnsi="仿宋" w:eastAsia="仿宋" w:cs="仿宋"/>
          <w:color w:val="auto"/>
          <w:sz w:val="22"/>
          <w:szCs w:val="22"/>
          <w:highlight w:val="none"/>
          <w:lang w:val="zh-CN"/>
        </w:rPr>
        <w:t xml:space="preserve">：</w:t>
      </w:r>
      <w:r>
        <w:rPr>
          <w:rFonts w:hint="eastAsia" w:ascii="仿宋" w:hAnsi="仿宋" w:eastAsia="仿宋" w:cs="仿宋"/>
          <w:color w:val="auto"/>
          <w:sz w:val="22"/>
          <w:szCs w:val="22"/>
          <w:highlight w:val="none"/>
          <w:u w:val="single"/>
          <w:lang w:val="zh-CN"/>
        </w:rPr>
        <w:t xml:space="preserve">        （电子签章）     </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w:t>
      </w:r>
      <w:r>
        <w:rPr>
          <w:rFonts w:hint="eastAsia" w:ascii="仿宋" w:hAnsi="仿宋" w:eastAsia="仿宋" w:cs="仿宋"/>
          <w:color w:val="auto"/>
          <w:sz w:val="22"/>
          <w:szCs w:val="22"/>
          <w:highlight w:val="none"/>
        </w:rPr>
        <w:t xml:space="preserve">法定代表人</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u w:val="single"/>
        </w:rPr>
        <w:t xml:space="preserve">（电子签章或电子签字）</w:t>
      </w:r>
      <w:r/>
    </w:p>
    <w:p>
      <w:pPr>
        <w:jc w:val="center"/>
        <w:pageBreakBefore w:val="0"/>
        <w:spacing w:line="380" w:lineRule="exact"/>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 xml:space="preserve">                        日期：</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年 </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月</w:t>
      </w:r>
      <w:r>
        <w:rPr>
          <w:rFonts w:hint="eastAsia" w:ascii="仿宋" w:hAnsi="仿宋" w:eastAsia="仿宋" w:cs="仿宋"/>
          <w:color w:val="auto"/>
          <w:sz w:val="22"/>
          <w:szCs w:val="22"/>
          <w:highlight w:val="none"/>
          <w:u w:val="single"/>
          <w:lang w:val="zh-CN"/>
        </w:rPr>
        <w:t xml:space="preserve">      </w:t>
      </w:r>
      <w:r>
        <w:rPr>
          <w:rFonts w:hint="eastAsia" w:ascii="仿宋" w:hAnsi="仿宋" w:eastAsia="仿宋" w:cs="仿宋"/>
          <w:color w:val="auto"/>
          <w:sz w:val="22"/>
          <w:szCs w:val="22"/>
          <w:highlight w:val="none"/>
          <w:lang w:val="zh-CN"/>
        </w:rPr>
        <w:t xml:space="preserve">日</w:t>
      </w: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br w:type="page" w:clear="all"/>
      </w:r>
      <w:r/>
    </w:p>
    <w:p>
      <w:pPr>
        <w:pStyle w:val="943"/>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970"/>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973"/>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935"/>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rPr>
          <w:rFonts w:hint="eastAsia" w:ascii="仿宋" w:hAnsi="仿宋" w:eastAsia="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olor w:val="auto"/>
          <w:sz w:val="28"/>
          <w:szCs w:val="28"/>
          <w:highlight w:val="none"/>
          <w:lang w:val="en-US" w:eastAsia="zh-CN"/>
        </w:rPr>
        <w:t xml:space="preserve">单位</w:t>
      </w:r>
      <w:r>
        <w:rPr>
          <w:rFonts w:hint="eastAsia" w:ascii="仿宋" w:hAnsi="仿宋" w:eastAsia="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943"/>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955"/>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943"/>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964"/>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3" w:name="_Toc49352288"/>
      <w:r/>
      <w:bookmarkStart w:id="634" w:name="_Toc12956505"/>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3"/>
      <w:r/>
      <w:bookmarkEnd w:id="634"/>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35"/>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939"/>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8"/>
          <w:szCs w:val="28"/>
          <w:highlight w:val="none"/>
          <w:lang w:eastAsia="zh-CN"/>
        </w:rPr>
        <w:t xml:space="preserve">：</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39"/>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939"/>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s="仿宋_GB2312"/>
          <w:color w:val="auto"/>
          <w:sz w:val="28"/>
          <w:szCs w:val="28"/>
          <w:highlight w:val="none"/>
          <w:lang w:eastAsia="zh-CN"/>
        </w:rPr>
        <w:t xml:space="preserve">：</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970"/>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仿宋_GB2312">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945"/>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7"/>
  </w:num>
  <w:num w:numId="3">
    <w:abstractNumId w:val="0"/>
  </w:num>
  <w:num w:numId="4">
    <w:abstractNumId w:val="6"/>
  </w:num>
  <w:num w:numId="5">
    <w:abstractNumId w:val="3"/>
  </w:num>
  <w:num w:numId="6">
    <w:abstractNumId w:val="2"/>
  </w:num>
  <w:num w:numId="7">
    <w:abstractNumId w:val="5"/>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33"/>
    <w:next w:val="933"/>
    <w:link w:val="766"/>
    <w:uiPriority w:val="9"/>
    <w:qFormat/>
    <w:pPr>
      <w:keepLines/>
      <w:keepNext/>
      <w:spacing w:before="480" w:after="200"/>
      <w:outlineLvl w:val="0"/>
    </w:pPr>
    <w:rPr>
      <w:rFonts w:ascii="Arial" w:hAnsi="Arial" w:eastAsia="Arial" w:cs="Arial"/>
      <w:sz w:val="40"/>
      <w:szCs w:val="40"/>
    </w:rPr>
  </w:style>
  <w:style w:type="character" w:styleId="766">
    <w:name w:val="Heading 1 Char"/>
    <w:basedOn w:val="937"/>
    <w:link w:val="765"/>
    <w:uiPriority w:val="9"/>
    <w:rPr>
      <w:rFonts w:ascii="Arial" w:hAnsi="Arial" w:eastAsia="Arial" w:cs="Arial"/>
      <w:sz w:val="40"/>
      <w:szCs w:val="40"/>
    </w:rPr>
  </w:style>
  <w:style w:type="character" w:styleId="767">
    <w:name w:val="Heading 2 Char"/>
    <w:basedOn w:val="937"/>
    <w:link w:val="934"/>
    <w:uiPriority w:val="9"/>
    <w:rPr>
      <w:rFonts w:ascii="Arial" w:hAnsi="Arial" w:eastAsia="Arial" w:cs="Arial"/>
      <w:sz w:val="34"/>
    </w:rPr>
  </w:style>
  <w:style w:type="character" w:styleId="768">
    <w:name w:val="Heading 3 Char"/>
    <w:basedOn w:val="937"/>
    <w:link w:val="935"/>
    <w:uiPriority w:val="9"/>
    <w:rPr>
      <w:rFonts w:ascii="Arial" w:hAnsi="Arial" w:eastAsia="Arial" w:cs="Arial"/>
      <w:sz w:val="30"/>
      <w:szCs w:val="30"/>
    </w:rPr>
  </w:style>
  <w:style w:type="character" w:styleId="769">
    <w:name w:val="Heading 4 Char"/>
    <w:basedOn w:val="937"/>
    <w:link w:val="936"/>
    <w:uiPriority w:val="9"/>
    <w:rPr>
      <w:rFonts w:ascii="Arial" w:hAnsi="Arial" w:eastAsia="Arial" w:cs="Arial"/>
      <w:b/>
      <w:bCs/>
      <w:sz w:val="26"/>
      <w:szCs w:val="26"/>
    </w:rPr>
  </w:style>
  <w:style w:type="paragraph" w:styleId="770">
    <w:name w:val="Heading 5"/>
    <w:basedOn w:val="933"/>
    <w:next w:val="933"/>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basedOn w:val="937"/>
    <w:link w:val="770"/>
    <w:uiPriority w:val="9"/>
    <w:rPr>
      <w:rFonts w:ascii="Arial" w:hAnsi="Arial" w:eastAsia="Arial" w:cs="Arial"/>
      <w:b/>
      <w:bCs/>
      <w:sz w:val="24"/>
      <w:szCs w:val="24"/>
    </w:rPr>
  </w:style>
  <w:style w:type="paragraph" w:styleId="772">
    <w:name w:val="Heading 6"/>
    <w:basedOn w:val="933"/>
    <w:next w:val="933"/>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basedOn w:val="937"/>
    <w:link w:val="772"/>
    <w:uiPriority w:val="9"/>
    <w:rPr>
      <w:rFonts w:ascii="Arial" w:hAnsi="Arial" w:eastAsia="Arial" w:cs="Arial"/>
      <w:b/>
      <w:bCs/>
      <w:sz w:val="22"/>
      <w:szCs w:val="22"/>
    </w:rPr>
  </w:style>
  <w:style w:type="paragraph" w:styleId="774">
    <w:name w:val="Heading 7"/>
    <w:basedOn w:val="933"/>
    <w:next w:val="933"/>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7"/>
    <w:link w:val="774"/>
    <w:uiPriority w:val="9"/>
    <w:rPr>
      <w:rFonts w:ascii="Arial" w:hAnsi="Arial" w:eastAsia="Arial" w:cs="Arial"/>
      <w:b/>
      <w:bCs/>
      <w:i/>
      <w:iCs/>
      <w:sz w:val="22"/>
      <w:szCs w:val="22"/>
    </w:rPr>
  </w:style>
  <w:style w:type="paragraph" w:styleId="776">
    <w:name w:val="Heading 8"/>
    <w:basedOn w:val="933"/>
    <w:next w:val="933"/>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basedOn w:val="937"/>
    <w:link w:val="776"/>
    <w:uiPriority w:val="9"/>
    <w:rPr>
      <w:rFonts w:ascii="Arial" w:hAnsi="Arial" w:eastAsia="Arial" w:cs="Arial"/>
      <w:i/>
      <w:iCs/>
      <w:sz w:val="22"/>
      <w:szCs w:val="22"/>
    </w:rPr>
  </w:style>
  <w:style w:type="paragraph" w:styleId="778">
    <w:name w:val="Heading 9"/>
    <w:basedOn w:val="933"/>
    <w:next w:val="933"/>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basedOn w:val="937"/>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33"/>
    <w:next w:val="933"/>
    <w:link w:val="782"/>
    <w:uiPriority w:val="10"/>
    <w:qFormat/>
    <w:pPr>
      <w:contextualSpacing/>
      <w:spacing w:before="300" w:after="200"/>
    </w:pPr>
    <w:rPr>
      <w:sz w:val="48"/>
      <w:szCs w:val="48"/>
    </w:rPr>
  </w:style>
  <w:style w:type="character" w:styleId="782">
    <w:name w:val="Title Char"/>
    <w:basedOn w:val="937"/>
    <w:link w:val="781"/>
    <w:uiPriority w:val="10"/>
    <w:rPr>
      <w:sz w:val="48"/>
      <w:szCs w:val="48"/>
    </w:rPr>
  </w:style>
  <w:style w:type="paragraph" w:styleId="783">
    <w:name w:val="Subtitle"/>
    <w:basedOn w:val="933"/>
    <w:next w:val="933"/>
    <w:link w:val="784"/>
    <w:uiPriority w:val="11"/>
    <w:qFormat/>
    <w:pPr>
      <w:spacing w:before="200" w:after="200"/>
    </w:pPr>
    <w:rPr>
      <w:sz w:val="24"/>
      <w:szCs w:val="24"/>
    </w:rPr>
  </w:style>
  <w:style w:type="character" w:styleId="784">
    <w:name w:val="Subtitle Char"/>
    <w:basedOn w:val="937"/>
    <w:link w:val="783"/>
    <w:uiPriority w:val="11"/>
    <w:rPr>
      <w:sz w:val="24"/>
      <w:szCs w:val="24"/>
    </w:rPr>
  </w:style>
  <w:style w:type="paragraph" w:styleId="785">
    <w:name w:val="Quote"/>
    <w:basedOn w:val="933"/>
    <w:next w:val="933"/>
    <w:link w:val="786"/>
    <w:uiPriority w:val="29"/>
    <w:qFormat/>
    <w:pPr>
      <w:ind w:left="720" w:right="720"/>
    </w:pPr>
    <w:rPr>
      <w:i/>
    </w:rPr>
  </w:style>
  <w:style w:type="character" w:styleId="786">
    <w:name w:val="Quote Char"/>
    <w:link w:val="785"/>
    <w:uiPriority w:val="29"/>
    <w:rPr>
      <w:i/>
    </w:rPr>
  </w:style>
  <w:style w:type="paragraph" w:styleId="787">
    <w:name w:val="Intense Quote"/>
    <w:basedOn w:val="933"/>
    <w:next w:val="93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7"/>
    <w:link w:val="946"/>
    <w:uiPriority w:val="99"/>
  </w:style>
  <w:style w:type="character" w:styleId="790">
    <w:name w:val="Footer Char"/>
    <w:basedOn w:val="937"/>
    <w:link w:val="945"/>
    <w:uiPriority w:val="99"/>
  </w:style>
  <w:style w:type="paragraph" w:styleId="791">
    <w:name w:val="Caption"/>
    <w:basedOn w:val="933"/>
    <w:next w:val="933"/>
    <w:uiPriority w:val="35"/>
    <w:semiHidden/>
    <w:unhideWhenUsed/>
    <w:qFormat/>
    <w:pPr>
      <w:spacing w:line="276" w:lineRule="auto"/>
    </w:pPr>
    <w:rPr>
      <w:b/>
      <w:bCs/>
      <w:color w:val="4f81bd" w:themeColor="accent1"/>
      <w:sz w:val="18"/>
      <w:szCs w:val="18"/>
    </w:rPr>
  </w:style>
  <w:style w:type="character" w:styleId="792">
    <w:name w:val="Caption Char"/>
    <w:basedOn w:val="791"/>
    <w:link w:val="945"/>
    <w:uiPriority w:val="99"/>
  </w:style>
  <w:style w:type="table" w:styleId="793">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9">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30">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1">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2">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3">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4">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4">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5">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6">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7">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8">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9">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1">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2">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3">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4">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5">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6">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5">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6">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7">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8">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9">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90">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2">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3">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4">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5">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6">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7">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9">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0">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1">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2">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3">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4">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6">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7">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8">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9">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0">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1">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3"/>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7"/>
    <w:uiPriority w:val="99"/>
    <w:unhideWhenUsed/>
    <w:rPr>
      <w:vertAlign w:val="superscript"/>
    </w:rPr>
  </w:style>
  <w:style w:type="paragraph" w:styleId="922">
    <w:name w:val="endnote text"/>
    <w:basedOn w:val="933"/>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7"/>
    <w:uiPriority w:val="99"/>
    <w:semiHidden/>
    <w:unhideWhenUsed/>
    <w:rPr>
      <w:vertAlign w:val="superscript"/>
    </w:rPr>
  </w:style>
  <w:style w:type="paragraph" w:styleId="925">
    <w:name w:val="toc 3"/>
    <w:basedOn w:val="933"/>
    <w:next w:val="933"/>
    <w:uiPriority w:val="39"/>
    <w:unhideWhenUsed/>
    <w:pPr>
      <w:ind w:left="567" w:right="0" w:firstLine="0"/>
      <w:spacing w:after="57"/>
    </w:pPr>
  </w:style>
  <w:style w:type="paragraph" w:styleId="926">
    <w:name w:val="toc 4"/>
    <w:basedOn w:val="933"/>
    <w:next w:val="933"/>
    <w:uiPriority w:val="39"/>
    <w:unhideWhenUsed/>
    <w:pPr>
      <w:ind w:left="850" w:right="0" w:firstLine="0"/>
      <w:spacing w:after="57"/>
    </w:pPr>
  </w:style>
  <w:style w:type="paragraph" w:styleId="927">
    <w:name w:val="toc 5"/>
    <w:basedOn w:val="933"/>
    <w:next w:val="933"/>
    <w:uiPriority w:val="39"/>
    <w:unhideWhenUsed/>
    <w:pPr>
      <w:ind w:left="1134"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6"/>
    <w:link w:val="977"/>
    <w:uiPriority w:val="0"/>
    <w:qFormat/>
    <w:pPr>
      <w:jc w:val="both"/>
      <w:widowControl w:val="off"/>
    </w:pPr>
    <w:rPr>
      <w:rFonts w:ascii="Times New Roman" w:hAnsi="Times New Roman" w:eastAsia="宋体" w:cs="Times New Roman"/>
      <w:sz w:val="21"/>
      <w:szCs w:val="24"/>
      <w:lang w:val="en-US" w:eastAsia="zh-CN" w:bidi="ar-SA"/>
    </w:rPr>
  </w:style>
  <w:style w:type="paragraph" w:styleId="934">
    <w:name w:val="Heading 2"/>
    <w:basedOn w:val="933"/>
    <w:next w:val="9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35">
    <w:name w:val="Heading 3"/>
    <w:basedOn w:val="933"/>
    <w:next w:val="93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936">
    <w:name w:val="Heading 4"/>
    <w:basedOn w:val="933"/>
    <w:next w:val="933"/>
    <w:uiPriority w:val="0"/>
    <w:qFormat/>
    <w:pPr>
      <w:keepLines/>
      <w:keepNext/>
      <w:spacing w:before="280" w:after="290" w:line="372" w:lineRule="auto"/>
      <w:outlineLvl w:val="3"/>
    </w:pPr>
    <w:rPr>
      <w:rFonts w:ascii="Arial" w:hAnsi="Arial" w:eastAsia="黑体"/>
      <w:b/>
      <w:bCs/>
      <w:sz w:val="28"/>
      <w:szCs w:val="28"/>
    </w:rPr>
  </w:style>
  <w:style w:type="character" w:styleId="937" w:default="1">
    <w:name w:val="Default Paragraph Font"/>
    <w:uiPriority w:val="0"/>
    <w:semiHidden/>
    <w:qFormat/>
  </w:style>
  <w:style w:type="table" w:styleId="938" w:default="1">
    <w:name w:val="Normal Table"/>
    <w:uiPriority w:val="0"/>
    <w:semiHidden/>
    <w:qFormat/>
    <w:tblPr>
      <w:tblCellMar>
        <w:left w:w="108" w:type="dxa"/>
        <w:top w:w="0" w:type="dxa"/>
        <w:right w:w="108" w:type="dxa"/>
        <w:bottom w:w="0" w:type="dxa"/>
      </w:tblCellMar>
    </w:tblPr>
  </w:style>
  <w:style w:type="paragraph" w:styleId="939">
    <w:name w:val="Normal Indent"/>
    <w:basedOn w:val="933"/>
    <w:next w:val="933"/>
    <w:uiPriority w:val="0"/>
    <w:qFormat/>
    <w:pPr>
      <w:ind w:firstLine="200"/>
    </w:pPr>
    <w:rPr>
      <w:sz w:val="20"/>
    </w:rPr>
  </w:style>
  <w:style w:type="paragraph" w:styleId="940">
    <w:name w:val="toa heading"/>
    <w:basedOn w:val="933"/>
    <w:next w:val="933"/>
    <w:uiPriority w:val="0"/>
    <w:qFormat/>
    <w:pPr>
      <w:spacing w:before="120" w:beforeAutospacing="0"/>
    </w:pPr>
    <w:rPr>
      <w:rFonts w:ascii="Arial" w:hAnsi="Arial"/>
      <w:sz w:val="24"/>
    </w:rPr>
  </w:style>
  <w:style w:type="paragraph" w:styleId="941">
    <w:name w:val="Body Text"/>
    <w:basedOn w:val="933"/>
    <w:next w:val="933"/>
    <w:uiPriority w:val="0"/>
    <w:qFormat/>
    <w:pPr>
      <w:jc w:val="center"/>
    </w:pPr>
    <w:rPr>
      <w:rFonts w:eastAsia="仿宋_GB2312"/>
      <w:sz w:val="28"/>
    </w:rPr>
  </w:style>
  <w:style w:type="paragraph" w:styleId="942">
    <w:name w:val="List Bullet 2"/>
    <w:basedOn w:val="933"/>
    <w:uiPriority w:val="0"/>
    <w:qFormat/>
    <w:pPr>
      <w:numPr>
        <w:ilvl w:val="0"/>
        <w:numId w:val="1"/>
      </w:numPr>
    </w:pPr>
  </w:style>
  <w:style w:type="paragraph" w:styleId="943">
    <w:name w:val="Plain Text"/>
    <w:basedOn w:val="933"/>
    <w:uiPriority w:val="0"/>
    <w:qFormat/>
    <w:rPr>
      <w:rFonts w:ascii="宋体"/>
      <w:szCs w:val="20"/>
    </w:rPr>
  </w:style>
  <w:style w:type="paragraph" w:styleId="944">
    <w:name w:val="Body Text Indent 2"/>
    <w:basedOn w:val="933"/>
    <w:uiPriority w:val="0"/>
    <w:qFormat/>
    <w:pPr>
      <w:ind w:right="-1" w:firstLine="540"/>
      <w:tabs>
        <w:tab w:val="left" w:pos="9741" w:leader="none"/>
      </w:tabs>
    </w:pPr>
    <w:rPr>
      <w:rFonts w:eastAsia="仿宋_GB2312"/>
      <w:sz w:val="28"/>
    </w:rPr>
  </w:style>
  <w:style w:type="paragraph" w:styleId="945">
    <w:name w:val="Footer"/>
    <w:basedOn w:val="933"/>
    <w:uiPriority w:val="0"/>
    <w:qFormat/>
    <w:pPr>
      <w:jc w:val="left"/>
      <w:tabs>
        <w:tab w:val="center" w:pos="4153" w:leader="none"/>
        <w:tab w:val="right" w:pos="8306" w:leader="none"/>
      </w:tabs>
    </w:pPr>
    <w:rPr>
      <w:rFonts w:ascii="Verdana" w:hAnsi="Verdana"/>
      <w:sz w:val="18"/>
      <w:szCs w:val="18"/>
    </w:rPr>
  </w:style>
  <w:style w:type="paragraph" w:styleId="946">
    <w:name w:val="Header"/>
    <w:basedOn w:val="93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47">
    <w:name w:val="toc 1"/>
    <w:basedOn w:val="933"/>
    <w:next w:val="933"/>
    <w:uiPriority w:val="39"/>
    <w:unhideWhenUsed/>
    <w:qFormat/>
    <w:pPr>
      <w:ind w:left="0" w:right="0" w:firstLine="0"/>
      <w:spacing w:after="57"/>
    </w:pPr>
  </w:style>
  <w:style w:type="paragraph" w:styleId="948">
    <w:name w:val="toc 6"/>
    <w:basedOn w:val="933"/>
    <w:next w:val="933"/>
    <w:uiPriority w:val="0"/>
    <w:qFormat/>
    <w:pPr>
      <w:ind w:left="1050"/>
      <w:jc w:val="left"/>
    </w:pPr>
    <w:rPr>
      <w:sz w:val="18"/>
      <w:szCs w:val="18"/>
    </w:rPr>
  </w:style>
  <w:style w:type="paragraph" w:styleId="949">
    <w:name w:val="toc 2"/>
    <w:basedOn w:val="933"/>
    <w:next w:val="933"/>
    <w:uiPriority w:val="0"/>
    <w:unhideWhenUsed/>
    <w:qFormat/>
    <w:pPr>
      <w:ind w:left="283"/>
      <w:spacing w:after="57"/>
    </w:pPr>
  </w:style>
  <w:style w:type="paragraph" w:styleId="950">
    <w:name w:val="Normal (Web)"/>
    <w:basedOn w:val="933"/>
    <w:uiPriority w:val="0"/>
    <w:qFormat/>
    <w:pPr>
      <w:ind w:left="0" w:right="0"/>
      <w:jc w:val="left"/>
      <w:spacing w:before="0" w:beforeAutospacing="1" w:after="0" w:afterAutospacing="1"/>
    </w:pPr>
    <w:rPr>
      <w:sz w:val="24"/>
      <w:lang w:val="en-US" w:eastAsia="zh-CN" w:bidi="ar"/>
    </w:rPr>
  </w:style>
  <w:style w:type="table" w:styleId="9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2">
    <w:name w:val="Strong"/>
    <w:basedOn w:val="937"/>
    <w:uiPriority w:val="0"/>
    <w:qFormat/>
    <w:rPr>
      <w:b/>
    </w:rPr>
  </w:style>
  <w:style w:type="paragraph" w:styleId="953" w:customStyle="1">
    <w:name w:val="首行缩进"/>
    <w:basedOn w:val="933"/>
    <w:uiPriority w:val="0"/>
    <w:qFormat/>
    <w:pPr>
      <w:ind w:firstLine="420"/>
      <w:spacing w:line="360" w:lineRule="auto"/>
    </w:pPr>
    <w:rPr>
      <w:sz w:val="20"/>
    </w:rPr>
  </w:style>
  <w:style w:type="paragraph" w:styleId="954" w:customStyle="1">
    <w:name w:val="信息标题1"/>
    <w:basedOn w:val="933"/>
    <w:next w:val="93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5" w:customStyle="1">
    <w:name w:val="段"/>
    <w:basedOn w:val="956"/>
    <w:next w:val="933"/>
    <w:uiPriority w:val="0"/>
    <w:qFormat/>
    <w:pPr>
      <w:ind w:firstLine="200"/>
      <w:jc w:val="both"/>
    </w:pPr>
    <w:rPr>
      <w:rFonts w:hint="default" w:ascii="宋体" w:hAnsi="Times New Roman" w:eastAsia="宋体" w:cs="Times New Roman"/>
      <w:sz w:val="21"/>
      <w:szCs w:val="22"/>
    </w:rPr>
  </w:style>
  <w:style w:type="paragraph" w:styleId="956" w:customStyle="1">
    <w:name w:val="正文13"/>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57" w:customStyle="1">
    <w:name w:val="正文首行缩进1"/>
    <w:basedOn w:val="958"/>
    <w:next w:val="959"/>
    <w:uiPriority w:val="0"/>
    <w:qFormat/>
    <w:pPr>
      <w:ind w:firstLine="420"/>
      <w:spacing w:after="120"/>
      <w:tabs>
        <w:tab w:val="left" w:pos="2020" w:leader="none"/>
        <w:tab w:val="center" w:pos="4535" w:leader="none"/>
      </w:tabs>
    </w:pPr>
    <w:rPr>
      <w:sz w:val="21"/>
    </w:rPr>
  </w:style>
  <w:style w:type="paragraph" w:styleId="958" w:customStyle="1">
    <w:name w:val="正文文本1"/>
    <w:basedOn w:val="933"/>
    <w:next w:val="933"/>
    <w:uiPriority w:val="0"/>
    <w:qFormat/>
    <w:pPr>
      <w:jc w:val="center"/>
    </w:pPr>
    <w:rPr>
      <w:rFonts w:eastAsia="仿宋_GB2312"/>
      <w:sz w:val="28"/>
    </w:rPr>
  </w:style>
  <w:style w:type="paragraph" w:styleId="959" w:customStyle="1">
    <w:name w:val="正文首行缩进 211"/>
    <w:basedOn w:val="960"/>
    <w:uiPriority w:val="99"/>
    <w:qFormat/>
    <w:pPr>
      <w:ind w:firstLine="420"/>
    </w:pPr>
    <w:rPr>
      <w:sz w:val="24"/>
    </w:rPr>
  </w:style>
  <w:style w:type="paragraph" w:styleId="960" w:customStyle="1">
    <w:name w:val="正文文本缩进11"/>
    <w:basedOn w:val="961"/>
    <w:uiPriority w:val="99"/>
    <w:qFormat/>
    <w:pPr>
      <w:ind w:firstLine="538"/>
    </w:pPr>
    <w:rPr>
      <w:sz w:val="28"/>
    </w:rPr>
  </w:style>
  <w:style w:type="paragraph" w:styleId="961" w:customStyle="1">
    <w:name w:val="正文112"/>
    <w:next w:val="957"/>
    <w:uiPriority w:val="99"/>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一级条标题"/>
    <w:basedOn w:val="963"/>
    <w:next w:val="95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customStyle="1">
    <w:name w:val="章标题"/>
    <w:basedOn w:val="933"/>
    <w:next w:val="933"/>
    <w:uiPriority w:val="99"/>
    <w:qFormat/>
    <w:pPr>
      <w:jc w:val="center"/>
      <w:spacing w:before="158" w:after="153" w:line="1292" w:lineRule="atLeast"/>
      <w:widowControl/>
    </w:pPr>
    <w:rPr>
      <w:rFonts w:ascii="Arial" w:eastAsia="黑体" w:cs="黑体"/>
      <w:sz w:val="31"/>
      <w:szCs w:val="22"/>
      <w:lang w:eastAsia="en-US"/>
    </w:rPr>
  </w:style>
  <w:style w:type="paragraph" w:styleId="964" w:customStyle="1">
    <w:name w:val="[Normal]"/>
    <w:uiPriority w:val="0"/>
    <w:qFormat/>
    <w:rPr>
      <w:rFonts w:ascii="方正仿宋简体" w:hAnsi="Times New Roman" w:eastAsia="方正仿宋简体" w:cs="Courier New"/>
      <w:sz w:val="24"/>
      <w:szCs w:val="22"/>
      <w:lang w:val="zh-CN" w:eastAsia="zh-CN" w:bidi="ar-SA"/>
    </w:rPr>
  </w:style>
  <w:style w:type="paragraph" w:styleId="965" w:customStyle="1">
    <w:name w:val="标题 21"/>
    <w:basedOn w:val="933"/>
    <w:next w:val="933"/>
    <w:uiPriority w:val="0"/>
    <w:qFormat/>
    <w:pPr>
      <w:keepLines/>
      <w:keepNext/>
      <w:spacing w:before="260" w:after="260" w:line="413" w:lineRule="auto"/>
      <w:outlineLvl w:val="1"/>
    </w:pPr>
    <w:rPr>
      <w:rFonts w:ascii="Arial" w:hAnsi="Arial" w:eastAsia="黑体"/>
      <w:b/>
      <w:sz w:val="32"/>
      <w:szCs w:val="20"/>
    </w:rPr>
  </w:style>
  <w:style w:type="paragraph" w:styleId="966"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967" w:customStyle="1">
    <w:name w:val="Table Text"/>
    <w:basedOn w:val="933"/>
    <w:uiPriority w:val="0"/>
    <w:semiHidden/>
    <w:qFormat/>
    <w:rPr>
      <w:rFonts w:ascii="宋体" w:hAnsi="宋体" w:eastAsia="宋体" w:cs="宋体"/>
      <w:sz w:val="24"/>
      <w:szCs w:val="24"/>
      <w:lang w:val="en-US" w:eastAsia="en-US" w:bidi="ar-SA"/>
    </w:rPr>
  </w:style>
  <w:style w:type="table" w:styleId="968" w:customStyle="1">
    <w:name w:val="Table Normal"/>
    <w:uiPriority w:val="0"/>
    <w:unhideWhenUsed/>
    <w:qFormat/>
    <w:tblPr>
      <w:tblCellMar>
        <w:left w:w="0" w:type="dxa"/>
        <w:top w:w="0" w:type="dxa"/>
        <w:right w:w="0" w:type="dxa"/>
        <w:bottom w:w="0" w:type="dxa"/>
      </w:tblCellMar>
    </w:tblPr>
  </w:style>
  <w:style w:type="paragraph" w:styleId="969" w:customStyle="1">
    <w:name w:val="正文_0"/>
    <w:basedOn w:val="933"/>
    <w:uiPriority w:val="0"/>
    <w:qFormat/>
    <w:rPr>
      <w:rFonts w:ascii="Times New Roman" w:hAnsi="Times New Roman" w:eastAsia="宋体" w:cs="Times New Roman"/>
    </w:rPr>
  </w:style>
  <w:style w:type="paragraph" w:styleId="970" w:customStyle="1">
    <w:name w:val="正文1"/>
    <w:basedOn w:val="971"/>
    <w:next w:val="933"/>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971" w:customStyle="1">
    <w:name w:val="样式1"/>
    <w:basedOn w:val="933"/>
    <w:uiPriority w:val="0"/>
    <w:qFormat/>
    <w:pPr>
      <w:ind w:left="432" w:firstLine="288"/>
      <w:tabs>
        <w:tab w:val="left" w:pos="1110" w:leader="none"/>
      </w:tabs>
    </w:pPr>
    <w:rPr>
      <w:rFonts w:ascii="宋体" w:hAnsi="宋体"/>
      <w:szCs w:val="21"/>
    </w:rPr>
  </w:style>
  <w:style w:type="paragraph" w:styleId="972" w:customStyle="1">
    <w:name w:val="List Paragraph"/>
    <w:basedOn w:val="933"/>
    <w:uiPriority w:val="0"/>
    <w:qFormat/>
    <w:pPr>
      <w:ind w:firstLine="200"/>
    </w:pPr>
    <w:rPr>
      <w:rFonts w:ascii="Calibri" w:hAnsi="Calibri"/>
      <w:szCs w:val="22"/>
    </w:rPr>
  </w:style>
  <w:style w:type="paragraph" w:styleId="973" w:customStyle="1">
    <w:name w:val="普通正文"/>
    <w:basedOn w:val="933"/>
    <w:uiPriority w:val="0"/>
    <w:qFormat/>
    <w:pPr>
      <w:ind w:firstLine="480"/>
      <w:jc w:val="left"/>
      <w:spacing w:before="120" w:after="120" w:line="360" w:lineRule="auto"/>
    </w:pPr>
    <w:rPr>
      <w:rFonts w:ascii="Arial" w:hAnsi="Arial"/>
      <w:sz w:val="24"/>
    </w:rPr>
  </w:style>
  <w:style w:type="paragraph" w:styleId="974" w:customStyle="1">
    <w:name w:val="批注文字1"/>
    <w:basedOn w:val="933"/>
    <w:uiPriority w:val="0"/>
    <w:qFormat/>
    <w:pPr>
      <w:jc w:val="left"/>
    </w:pPr>
  </w:style>
  <w:style w:type="paragraph" w:styleId="975" w:customStyle="1">
    <w:name w:val="正文首行缩进 21"/>
    <w:basedOn w:val="976"/>
    <w:uiPriority w:val="0"/>
    <w:qFormat/>
    <w:pPr>
      <w:ind w:firstLine="420"/>
    </w:pPr>
  </w:style>
  <w:style w:type="paragraph" w:styleId="976" w:customStyle="1">
    <w:name w:val="正文文本缩进1"/>
    <w:basedOn w:val="933"/>
    <w:uiPriority w:val="0"/>
    <w:qFormat/>
    <w:pPr>
      <w:ind w:left="420"/>
      <w:spacing w:after="120"/>
    </w:pPr>
  </w:style>
  <w:style w:type="character" w:styleId="977" w:customStyle="1">
    <w:name w:val="超链接1"/>
    <w:link w:val="933"/>
    <w:uiPriority w:val="0"/>
    <w:qFormat/>
    <w:rPr>
      <w:rFonts w:ascii="Times New Roman" w:hAnsi="Times New Roman" w:eastAsia="宋体" w:cs="Times New Roman"/>
      <w:sz w:val="21"/>
      <w:szCs w:val="24"/>
      <w:lang w:val="en-US" w:eastAsia="zh-CN" w:bidi="ar-SA"/>
    </w:rPr>
  </w:style>
  <w:style w:type="table" w:styleId="978" w:customStyle="1">
    <w:name w:val="网格型1"/>
    <w:basedOn w:val="97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79" w:customStyle="1">
    <w:name w:val="普通表格1"/>
    <w:uiPriority w:val="0"/>
    <w:semiHidden/>
    <w:qFormat/>
    <w:tblPr/>
  </w:style>
  <w:style w:type="character" w:styleId="980" w:customStyle="1">
    <w:name w:val="font21"/>
    <w:basedOn w:val="937"/>
    <w:uiPriority w:val="0"/>
    <w:qFormat/>
    <w:rPr>
      <w:rFonts w:hint="eastAsia" w:ascii="黑体" w:hAnsi="宋体" w:eastAsia="黑体" w:cs="黑体"/>
      <w:color w:val="000000"/>
      <w:sz w:val="21"/>
      <w:szCs w:val="21"/>
      <w:u w:val="none"/>
    </w:rPr>
  </w:style>
  <w:style w:type="character" w:styleId="981" w:customStyle="1">
    <w:name w:val="font71"/>
    <w:basedOn w:val="937"/>
    <w:uiPriority w:val="0"/>
    <w:qFormat/>
    <w:rPr>
      <w:rFonts w:hint="eastAsia" w:ascii="宋体" w:hAnsi="宋体" w:eastAsia="宋体" w:cs="宋体"/>
      <w:color w:val="000000"/>
      <w:sz w:val="21"/>
      <w:szCs w:val="21"/>
      <w:u w:val="none"/>
    </w:rPr>
  </w:style>
  <w:style w:type="character" w:styleId="982" w:customStyle="1">
    <w:name w:val="font81"/>
    <w:basedOn w:val="937"/>
    <w:uiPriority w:val="0"/>
    <w:qFormat/>
    <w:rPr>
      <w:rFonts w:hint="eastAsia" w:ascii="黑体" w:hAnsi="宋体" w:eastAsia="黑体" w:cs="黑体"/>
      <w:color w:val="ff6600"/>
      <w:sz w:val="21"/>
      <w:szCs w:val="21"/>
      <w:u w:val="none"/>
    </w:rPr>
  </w:style>
  <w:style w:type="character" w:styleId="983" w:customStyle="1">
    <w:name w:val="font01"/>
    <w:basedOn w:val="937"/>
    <w:uiPriority w:val="0"/>
    <w:qFormat/>
    <w:rPr>
      <w:rFonts w:hint="default" w:ascii="Arial" w:hAnsi="Arial" w:cs="Arial"/>
      <w:color w:val="000000"/>
      <w:sz w:val="20"/>
      <w:szCs w:val="20"/>
      <w:u w:val="none"/>
    </w:rPr>
  </w:style>
  <w:style w:type="character" w:styleId="984" w:customStyle="1">
    <w:name w:val="font51"/>
    <w:basedOn w:val="937"/>
    <w:uiPriority w:val="0"/>
    <w:qFormat/>
    <w:rPr>
      <w:rFonts w:hint="eastAsia" w:ascii="宋体" w:hAnsi="宋体" w:eastAsia="宋体" w:cs="宋体"/>
      <w:color w:val="000000"/>
      <w:sz w:val="22"/>
      <w:szCs w:val="22"/>
      <w:u w:val="none"/>
    </w:rPr>
  </w:style>
  <w:style w:type="paragraph" w:styleId="985" w:customStyle="1">
    <w:name w:val="正文文本111"/>
    <w:basedOn w:val="933"/>
    <w:next w:val="986"/>
    <w:uiPriority w:val="0"/>
    <w:qFormat/>
    <w:pPr>
      <w:jc w:val="center"/>
    </w:pPr>
    <w:rPr>
      <w:rFonts w:eastAsia="仿宋_GB2312"/>
      <w:sz w:val="28"/>
    </w:rPr>
  </w:style>
  <w:style w:type="paragraph" w:styleId="986" w:customStyle="1">
    <w:name w:val="目录 21"/>
    <w:basedOn w:val="933"/>
    <w:next w:val="933"/>
    <w:uiPriority w:val="39"/>
    <w:qFormat/>
    <w:pPr>
      <w:ind w:left="210"/>
    </w:pPr>
    <w:rPr>
      <w:smallCaps/>
    </w:rPr>
  </w:style>
  <w:style w:type="paragraph" w:styleId="987" w:customStyle="1">
    <w:name w:val="样式 样式 左侧:  2 字符 + 左侧:  0.85 厘米 首行缩进:  2 字符1"/>
    <w:basedOn w:val="933"/>
    <w:uiPriority w:val="0"/>
    <w:qFormat/>
    <w:pPr>
      <w:ind w:left="482" w:firstLine="200"/>
    </w:pPr>
    <w:rPr>
      <w:rFonts w:ascii="Times New Roman" w:hAnsi="Times New Roman" w:cs="宋体"/>
      <w:szCs w:val="20"/>
    </w:rPr>
  </w:style>
  <w:style w:type="character" w:styleId="988" w:customStyle="1">
    <w:name w:val="font91"/>
    <w:basedOn w:val="937"/>
    <w:uiPriority w:val="0"/>
    <w:qFormat/>
    <w:rPr>
      <w:rFonts w:hint="eastAsia" w:ascii="宋体" w:hAnsi="宋体" w:eastAsia="宋体" w:cs="宋体"/>
      <w:color w:val="000000"/>
      <w:sz w:val="20"/>
      <w:szCs w:val="20"/>
      <w:u w:val="none"/>
    </w:rPr>
  </w:style>
  <w:style w:type="character" w:styleId="989" w:customStyle="1">
    <w:name w:val="font101"/>
    <w:basedOn w:val="937"/>
    <w:uiPriority w:val="0"/>
    <w:qFormat/>
    <w:rPr>
      <w:rFonts w:hint="eastAsia" w:ascii="宋体" w:hAnsi="宋体" w:eastAsia="宋体" w:cs="宋体"/>
      <w:b/>
      <w:bCs/>
      <w:color w:val="000000"/>
      <w:sz w:val="20"/>
      <w:szCs w:val="20"/>
      <w:u w:val="none"/>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4</cp:revision>
  <dcterms:created xsi:type="dcterms:W3CDTF">2024-03-14T00:27:00Z</dcterms:created>
  <dcterms:modified xsi:type="dcterms:W3CDTF">2026-05-20T07:17:05Z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5E8E76D13AF9477E9A8F81403227889D_13</vt:lpwstr>
  </property>
  <property fmtid="{D5CDD505-2E9C-101B-9397-08002B2CF9AE}" pid="4" name="KSOTemplateDocerSaveRecord">
    <vt:lpwstr>eyJoZGlkIjoiZWMzNzI4YWJmYzBjYzMyMDcxNTU1YzJjN2MyNTQzMTciLCJ1c2VySWQiOiIzMDY0OTk4NTkifQ==</vt:lpwstr>
  </property>
</Properties>
</file>