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rPr>
          <w:rFonts w:hint="eastAsia" w:ascii="黑体" w:hAnsi="黑体" w:eastAsia="黑体"/>
          <w:b/>
          <w:sz w:val="72"/>
          <w:szCs w:val="72"/>
          <w:highlight w:val="none"/>
        </w:rPr>
      </w:pPr>
    </w:p>
    <w:p>
      <w:pPr>
        <w:spacing w:line="1040" w:lineRule="exact"/>
        <w:jc w:val="center"/>
        <w:rPr>
          <w:rFonts w:hint="eastAsia" w:ascii="黑体" w:hAnsi="黑体" w:eastAsia="黑体"/>
          <w:bCs/>
          <w:sz w:val="72"/>
          <w:szCs w:val="72"/>
          <w:highlight w:val="none"/>
        </w:rPr>
      </w:pPr>
      <w:r>
        <w:rPr>
          <w:rFonts w:hint="eastAsia" w:ascii="黑体" w:hAnsi="黑体" w:eastAsia="黑体"/>
          <w:bCs/>
          <w:sz w:val="72"/>
          <w:szCs w:val="72"/>
          <w:highlight w:val="none"/>
        </w:rPr>
        <w:t>竞 争 性 磋 商 文 件</w:t>
      </w:r>
    </w:p>
    <w:p>
      <w:pPr>
        <w:ind w:firstLine="2862"/>
        <w:jc w:val="center"/>
        <w:rPr>
          <w:rFonts w:hint="eastAsia" w:ascii="宋体" w:hAnsi="宋体"/>
          <w:bCs/>
          <w:sz w:val="36"/>
          <w:highlight w:val="none"/>
        </w:rPr>
      </w:pPr>
    </w:p>
    <w:p>
      <w:pPr>
        <w:ind w:firstLine="2862"/>
        <w:jc w:val="center"/>
        <w:rPr>
          <w:rFonts w:hint="eastAsia" w:ascii="宋体" w:hAnsi="宋体"/>
          <w:bCs/>
          <w:sz w:val="36"/>
          <w:highlight w:val="none"/>
        </w:rPr>
      </w:pPr>
    </w:p>
    <w:p>
      <w:pPr>
        <w:ind w:firstLine="2862"/>
        <w:jc w:val="center"/>
        <w:rPr>
          <w:rFonts w:hint="eastAsia" w:ascii="宋体" w:hAnsi="宋体"/>
          <w:bCs/>
          <w:sz w:val="36"/>
          <w:highlight w:val="none"/>
        </w:rPr>
      </w:pPr>
    </w:p>
    <w:p>
      <w:pPr>
        <w:spacing w:line="760" w:lineRule="exact"/>
        <w:jc w:val="center"/>
        <w:rPr>
          <w:rFonts w:hint="eastAsia" w:ascii="黑体" w:hAnsi="黑体" w:eastAsia="黑体"/>
          <w:bCs/>
          <w:sz w:val="36"/>
          <w:szCs w:val="36"/>
          <w:highlight w:val="none"/>
        </w:rPr>
      </w:pPr>
      <w:r>
        <w:rPr>
          <w:rFonts w:hint="eastAsia" w:ascii="黑体" w:hAnsi="黑体" w:eastAsia="黑体"/>
          <w:bCs/>
          <w:sz w:val="36"/>
          <w:szCs w:val="36"/>
          <w:highlight w:val="none"/>
        </w:rPr>
        <w:t>项目名称：盱眙县人民法院无纸化办案服务项目</w:t>
      </w:r>
    </w:p>
    <w:p>
      <w:pPr>
        <w:spacing w:line="760" w:lineRule="exact"/>
        <w:jc w:val="center"/>
        <w:rPr>
          <w:rFonts w:hint="eastAsia" w:ascii="黑体" w:hAnsi="黑体" w:eastAsia="黑体"/>
          <w:bCs/>
          <w:sz w:val="36"/>
          <w:szCs w:val="36"/>
          <w:highlight w:val="none"/>
        </w:rPr>
      </w:pPr>
    </w:p>
    <w:p>
      <w:pPr>
        <w:spacing w:line="760" w:lineRule="exact"/>
        <w:jc w:val="center"/>
        <w:rPr>
          <w:rFonts w:hint="eastAsia" w:ascii="黑体" w:hAnsi="黑体" w:eastAsia="黑体"/>
          <w:bCs/>
          <w:sz w:val="36"/>
          <w:szCs w:val="36"/>
          <w:highlight w:val="none"/>
        </w:rPr>
      </w:pPr>
    </w:p>
    <w:p>
      <w:pPr>
        <w:spacing w:line="760" w:lineRule="exact"/>
        <w:ind w:firstLine="720" w:firstLineChars="200"/>
        <w:rPr>
          <w:rFonts w:hint="eastAsia" w:ascii="黑体" w:hAnsi="黑体" w:eastAsia="黑体"/>
          <w:bCs/>
          <w:sz w:val="36"/>
          <w:szCs w:val="36"/>
          <w:highlight w:val="none"/>
          <w:lang w:eastAsia="zh-CN"/>
        </w:rPr>
      </w:pPr>
      <w:r>
        <w:rPr>
          <w:rFonts w:hint="eastAsia" w:ascii="黑体" w:hAnsi="黑体" w:eastAsia="黑体"/>
          <w:bCs/>
          <w:sz w:val="36"/>
          <w:szCs w:val="36"/>
          <w:highlight w:val="none"/>
        </w:rPr>
        <w:t xml:space="preserve">项目编号： </w:t>
      </w:r>
      <w:r>
        <w:rPr>
          <w:rFonts w:hint="eastAsia" w:ascii="黑体" w:hAnsi="黑体" w:eastAsia="黑体"/>
          <w:bCs/>
          <w:sz w:val="36"/>
          <w:szCs w:val="36"/>
          <w:highlight w:val="none"/>
          <w:lang w:eastAsia="zh-CN"/>
        </w:rPr>
        <w:t>JSZC-320830-ZHGC-C2026-0012</w:t>
      </w:r>
    </w:p>
    <w:p>
      <w:pPr>
        <w:ind w:left="-359" w:firstLine="360"/>
        <w:jc w:val="left"/>
        <w:rPr>
          <w:rFonts w:hint="eastAsia" w:ascii="黑体" w:hAnsi="黑体" w:eastAsia="黑体"/>
          <w:bCs/>
          <w:sz w:val="36"/>
          <w:szCs w:val="36"/>
          <w:highlight w:val="none"/>
        </w:rPr>
      </w:pPr>
    </w:p>
    <w:p>
      <w:pPr>
        <w:rPr>
          <w:rFonts w:hint="eastAsia" w:ascii="黑体" w:hAnsi="黑体" w:eastAsia="黑体"/>
          <w:bCs/>
          <w:sz w:val="32"/>
          <w:highlight w:val="none"/>
        </w:rPr>
      </w:pPr>
    </w:p>
    <w:p>
      <w:pPr>
        <w:pStyle w:val="43"/>
        <w:ind w:firstLine="624" w:firstLineChars="195"/>
        <w:rPr>
          <w:rFonts w:hint="eastAsia" w:ascii="黑体" w:hAnsi="黑体" w:eastAsia="黑体"/>
          <w:bCs/>
          <w:sz w:val="36"/>
          <w:szCs w:val="36"/>
          <w:highlight w:val="none"/>
          <w:u w:val="single"/>
        </w:rPr>
      </w:pPr>
      <w:r>
        <w:rPr>
          <w:rFonts w:hint="eastAsia" w:ascii="黑体" w:hAnsi="黑体" w:eastAsia="黑体"/>
          <w:bCs/>
          <w:sz w:val="32"/>
          <w:highlight w:val="none"/>
        </w:rPr>
        <w:t>采购代理：</w:t>
      </w:r>
      <w:r>
        <w:rPr>
          <w:rFonts w:hint="eastAsia" w:ascii="黑体" w:hAnsi="黑体" w:eastAsia="黑体"/>
          <w:bCs/>
          <w:sz w:val="36"/>
          <w:szCs w:val="36"/>
          <w:highlight w:val="none"/>
        </w:rPr>
        <w:t xml:space="preserve">江苏泽豪工程咨询管理有限公司 </w:t>
      </w:r>
    </w:p>
    <w:p>
      <w:pPr>
        <w:tabs>
          <w:tab w:val="center" w:pos="5215"/>
        </w:tabs>
        <w:jc w:val="center"/>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 </w:t>
      </w:r>
    </w:p>
    <w:p>
      <w:pPr>
        <w:tabs>
          <w:tab w:val="center" w:pos="5215"/>
        </w:tabs>
        <w:jc w:val="center"/>
        <w:rPr>
          <w:rFonts w:hint="eastAsia" w:ascii="黑体" w:hAnsi="黑体" w:eastAsia="黑体"/>
          <w:bCs/>
          <w:color w:val="000000"/>
          <w:sz w:val="36"/>
          <w:szCs w:val="36"/>
          <w:highlight w:val="none"/>
        </w:rPr>
      </w:pPr>
    </w:p>
    <w:p>
      <w:pPr>
        <w:tabs>
          <w:tab w:val="center" w:pos="5215"/>
        </w:tabs>
        <w:jc w:val="center"/>
        <w:rPr>
          <w:rFonts w:hint="eastAsia" w:ascii="黑体" w:hAnsi="黑体" w:eastAsia="黑体"/>
          <w:bCs/>
          <w:color w:val="000000"/>
          <w:sz w:val="36"/>
          <w:szCs w:val="36"/>
          <w:highlight w:val="none"/>
        </w:rPr>
      </w:pPr>
    </w:p>
    <w:p>
      <w:pPr>
        <w:tabs>
          <w:tab w:val="center" w:pos="5215"/>
        </w:tabs>
        <w:jc w:val="center"/>
        <w:rPr>
          <w:rFonts w:hint="eastAsia" w:ascii="黑体" w:hAnsi="黑体" w:eastAsia="黑体"/>
          <w:b/>
          <w:sz w:val="36"/>
          <w:szCs w:val="36"/>
          <w:highlight w:val="none"/>
        </w:rPr>
      </w:pPr>
      <w:r>
        <w:rPr>
          <w:rFonts w:hint="eastAsia" w:ascii="黑体" w:hAnsi="黑体" w:eastAsia="黑体"/>
          <w:b/>
          <w:color w:val="000000"/>
          <w:sz w:val="36"/>
          <w:szCs w:val="36"/>
          <w:highlight w:val="none"/>
        </w:rPr>
        <w:t>二〇二六</w:t>
      </w:r>
      <w:r>
        <w:rPr>
          <w:rFonts w:hint="eastAsia" w:ascii="黑体" w:hAnsi="黑体" w:eastAsia="黑体"/>
          <w:b/>
          <w:sz w:val="36"/>
          <w:szCs w:val="36"/>
          <w:highlight w:val="none"/>
        </w:rPr>
        <w:t>年六月</w:t>
      </w:r>
      <w:r>
        <w:rPr>
          <w:rFonts w:hint="eastAsia" w:ascii="黑体" w:hAnsi="黑体" w:eastAsia="黑体"/>
          <w:b/>
          <w:sz w:val="36"/>
          <w:szCs w:val="36"/>
          <w:highlight w:val="none"/>
          <w:lang w:val="en-US" w:eastAsia="zh-CN"/>
        </w:rPr>
        <w:t>十八</w:t>
      </w:r>
      <w:r>
        <w:rPr>
          <w:rFonts w:hint="eastAsia" w:ascii="黑体" w:hAnsi="黑体" w:eastAsia="黑体"/>
          <w:b/>
          <w:sz w:val="36"/>
          <w:szCs w:val="36"/>
          <w:highlight w:val="none"/>
        </w:rPr>
        <w:t>日</w:t>
      </w:r>
    </w:p>
    <w:p>
      <w:pPr>
        <w:spacing w:line="520" w:lineRule="exact"/>
        <w:rPr>
          <w:rFonts w:hint="eastAsia" w:ascii="仿宋" w:hAnsi="仿宋" w:eastAsia="仿宋"/>
          <w:b/>
          <w:bCs/>
          <w:sz w:val="36"/>
          <w:szCs w:val="36"/>
          <w:highlight w:val="none"/>
        </w:rPr>
      </w:pPr>
    </w:p>
    <w:p>
      <w:pPr>
        <w:spacing w:line="520" w:lineRule="exact"/>
        <w:ind w:firstLine="3054"/>
        <w:rPr>
          <w:rFonts w:hint="eastAsia" w:ascii="仿宋" w:hAnsi="仿宋" w:eastAsia="仿宋"/>
          <w:b/>
          <w:bCs/>
          <w:sz w:val="36"/>
          <w:szCs w:val="36"/>
          <w:highlight w:val="none"/>
        </w:rPr>
      </w:pPr>
      <w:r>
        <w:rPr>
          <w:rFonts w:hint="eastAsia" w:ascii="仿宋" w:hAnsi="仿宋" w:eastAsia="仿宋"/>
          <w:b/>
          <w:bCs/>
          <w:sz w:val="36"/>
          <w:szCs w:val="36"/>
          <w:highlight w:val="none"/>
        </w:rPr>
        <w:t>第一章   磋商邀请</w:t>
      </w:r>
    </w:p>
    <w:p>
      <w:pPr>
        <w:spacing w:line="520" w:lineRule="exact"/>
        <w:ind w:firstLine="548"/>
        <w:rPr>
          <w:rFonts w:hint="eastAsia" w:ascii="仿宋" w:hAnsi="仿宋" w:eastAsia="仿宋"/>
          <w:sz w:val="28"/>
          <w:highlight w:val="none"/>
        </w:rPr>
      </w:pPr>
      <w:r>
        <w:rPr>
          <w:rFonts w:hint="eastAsia" w:ascii="仿宋" w:hAnsi="仿宋" w:eastAsia="仿宋"/>
          <w:sz w:val="28"/>
          <w:highlight w:val="none"/>
        </w:rPr>
        <w:t>受盱眙县人民法院的委托，江苏泽豪工程咨询管理有限公司就该单位无纸化办案服务项目进行竞争性磋商采购，现邀请符合条件的供应商参加竞争性磋商。</w:t>
      </w:r>
    </w:p>
    <w:p>
      <w:pPr>
        <w:spacing w:line="520" w:lineRule="exact"/>
        <w:ind w:left="1" w:firstLine="537"/>
        <w:rPr>
          <w:rFonts w:hint="eastAsia" w:ascii="仿宋" w:hAnsi="仿宋" w:eastAsia="仿宋"/>
          <w:sz w:val="28"/>
          <w:szCs w:val="28"/>
          <w:highlight w:val="none"/>
        </w:rPr>
      </w:pPr>
      <w:r>
        <w:rPr>
          <w:rFonts w:hint="eastAsia"/>
          <w:highlight w:val="none"/>
        </w:rPr>
        <w:pict>
          <v:rect id="矩形 1" o:spid="_x0000_s2050" o:spt="1" style="position:absolute;left:0pt;margin-left:-1.45pt;margin-top:5.75pt;height:162.3pt;width:482.25pt;z-index:102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">
            <v:path/>
            <v:fill focussize="0,0"/>
            <v:stroke/>
            <v:imagedata o:title=""/>
            <o:lock v:ext="edit"/>
            <v:textbox>
              <w:txbxContent>
                <w:p>
                  <w:pPr>
                    <w:spacing w:line="520" w:lineRule="exact"/>
                    <w:ind w:firstLine="560"/>
                    <w:rPr>
                      <w:rFonts w:hint="eastAsia" w:ascii="仿宋" w:hAnsi="仿宋" w:eastAsia="仿宋"/>
                      <w:sz w:val="28"/>
                      <w:szCs w:val="28"/>
                    </w:rPr>
                  </w:pPr>
                  <w:r>
                    <w:rPr>
                      <w:rFonts w:hint="eastAsia" w:ascii="仿宋" w:hAnsi="仿宋" w:eastAsia="仿宋"/>
                      <w:sz w:val="28"/>
                    </w:rPr>
                    <w:t>盱眙县人民法院无纸化办案服务项目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2026年6月</w:t>
                  </w:r>
                  <w:r>
                    <w:rPr>
                      <w:rFonts w:hint="eastAsia" w:ascii="仿宋" w:hAnsi="仿宋" w:eastAsia="仿宋"/>
                      <w:sz w:val="28"/>
                      <w:lang w:val="en-US" w:eastAsia="zh-CN"/>
                    </w:rPr>
                    <w:t>30</w:t>
                  </w:r>
                  <w:r>
                    <w:rPr>
                      <w:rFonts w:hint="eastAsia" w:ascii="仿宋" w:hAnsi="仿宋" w:eastAsia="仿宋"/>
                      <w:sz w:val="28"/>
                    </w:rPr>
                    <w:t>日9时00分（北京时间）前递交响应文件。</w:t>
                  </w:r>
                </w:p>
                <w:p/>
                <w:p/>
              </w:txbxContent>
            </v:textbox>
          </v:rect>
        </w:pict>
      </w:r>
    </w:p>
    <w:p>
      <w:pPr>
        <w:spacing w:line="520" w:lineRule="exact"/>
        <w:ind w:firstLine="565"/>
        <w:rPr>
          <w:rFonts w:hint="eastAsia" w:ascii="仿宋" w:hAnsi="仿宋" w:eastAsia="仿宋"/>
          <w:sz w:val="28"/>
          <w:szCs w:val="28"/>
          <w:highlight w:val="none"/>
        </w:rPr>
      </w:pPr>
    </w:p>
    <w:p>
      <w:pPr>
        <w:spacing w:line="520" w:lineRule="exact"/>
        <w:ind w:firstLine="565"/>
        <w:rPr>
          <w:rFonts w:hint="eastAsia" w:ascii="仿宋" w:hAnsi="仿宋" w:eastAsia="仿宋"/>
          <w:sz w:val="28"/>
          <w:szCs w:val="28"/>
          <w:highlight w:val="none"/>
        </w:rPr>
      </w:pPr>
    </w:p>
    <w:p>
      <w:pPr>
        <w:spacing w:line="520" w:lineRule="exact"/>
        <w:rPr>
          <w:rFonts w:hint="eastAsia" w:ascii="仿宋" w:hAnsi="仿宋" w:eastAsia="仿宋"/>
          <w:sz w:val="28"/>
          <w:szCs w:val="28"/>
          <w:highlight w:val="none"/>
        </w:rPr>
      </w:pPr>
    </w:p>
    <w:p>
      <w:pPr>
        <w:spacing w:line="520" w:lineRule="exact"/>
        <w:rPr>
          <w:rFonts w:hint="eastAsia" w:ascii="仿宋" w:hAnsi="仿宋" w:eastAsia="仿宋"/>
          <w:sz w:val="28"/>
          <w:szCs w:val="28"/>
          <w:highlight w:val="none"/>
        </w:rPr>
      </w:pP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一、项目基本情况</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（一）项目编号： 盱眙县人民法院无纸化办案服务项目</w:t>
      </w:r>
    </w:p>
    <w:p>
      <w:pPr>
        <w:spacing w:line="520" w:lineRule="exact"/>
        <w:ind w:firstLine="565"/>
        <w:rPr>
          <w:rFonts w:hint="eastAsia" w:ascii="仿宋" w:hAnsi="仿宋" w:eastAsia="仿宋"/>
          <w:bCs/>
          <w:sz w:val="28"/>
          <w:szCs w:val="28"/>
          <w:highlight w:val="none"/>
          <w:lang w:eastAsia="zh-CN"/>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JSZC-320830-ZHGC-C2026-0012</w:t>
      </w:r>
    </w:p>
    <w:p>
      <w:pPr>
        <w:spacing w:line="520" w:lineRule="exact"/>
        <w:ind w:firstLine="565"/>
        <w:rPr>
          <w:rFonts w:hint="eastAsia" w:ascii="仿宋" w:hAnsi="仿宋" w:eastAsia="仿宋"/>
          <w:sz w:val="28"/>
          <w:szCs w:val="28"/>
          <w:highlight w:val="none"/>
        </w:rPr>
      </w:pPr>
      <w:r>
        <w:rPr>
          <w:rFonts w:hint="eastAsia" w:ascii="仿宋" w:hAnsi="仿宋" w:eastAsia="仿宋"/>
          <w:bCs/>
          <w:sz w:val="28"/>
          <w:szCs w:val="28"/>
          <w:highlight w:val="none"/>
        </w:rPr>
        <w:t>（三）采购方式：竞争性磋商</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（四）预算金额：</w:t>
      </w:r>
      <w:r>
        <w:rPr>
          <w:rFonts w:hint="eastAsia" w:ascii="仿宋" w:hAnsi="仿宋" w:eastAsia="仿宋"/>
          <w:sz w:val="28"/>
          <w:szCs w:val="28"/>
          <w:highlight w:val="none"/>
          <w:u w:val="single"/>
        </w:rPr>
        <w:t xml:space="preserve"> 150</w:t>
      </w:r>
      <w:r>
        <w:rPr>
          <w:rFonts w:hint="eastAsia" w:ascii="仿宋" w:hAnsi="仿宋" w:eastAsia="仿宋"/>
          <w:sz w:val="28"/>
          <w:szCs w:val="28"/>
          <w:highlight w:val="none"/>
        </w:rPr>
        <w:t>万元</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sz w:val="28"/>
          <w:szCs w:val="28"/>
          <w:highlight w:val="none"/>
          <w:u w:val="single"/>
        </w:rPr>
        <w:t xml:space="preserve">150 </w:t>
      </w:r>
      <w:r>
        <w:rPr>
          <w:rFonts w:hint="eastAsia" w:ascii="仿宋" w:hAnsi="仿宋" w:eastAsia="仿宋"/>
          <w:sz w:val="28"/>
          <w:szCs w:val="28"/>
          <w:highlight w:val="none"/>
        </w:rPr>
        <w:t>万元</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（六）采购需求：</w:t>
      </w:r>
      <w:r>
        <w:rPr>
          <w:rFonts w:hint="eastAsia" w:ascii="仿宋" w:hAnsi="仿宋" w:eastAsia="仿宋"/>
          <w:sz w:val="28"/>
          <w:szCs w:val="28"/>
          <w:highlight w:val="none"/>
        </w:rPr>
        <w:t>诉讼辅助服务、卷宗辅助服务、驻庭辅助服务。</w:t>
      </w:r>
    </w:p>
    <w:p>
      <w:pPr>
        <w:spacing w:line="50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（七）合同履行期限：一年（从合同签订完成之日算起）。</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（八）本项目（□是</w:t>
      </w:r>
      <w:r>
        <w:rPr>
          <w:rFonts w:ascii="Wingdings 2" w:hAnsi="Wingdings 2" w:eastAsia="Wingdings 2" w:cs="Wingdings 2"/>
          <w:sz w:val="28"/>
          <w:szCs w:val="28"/>
          <w:highlight w:val="none"/>
        </w:rPr>
        <w:t>R</w:t>
      </w:r>
      <w:r>
        <w:rPr>
          <w:rFonts w:hint="eastAsia" w:ascii="仿宋" w:hAnsi="仿宋" w:eastAsia="仿宋"/>
          <w:sz w:val="28"/>
          <w:szCs w:val="28"/>
          <w:highlight w:val="none"/>
        </w:rPr>
        <w:t>否）接受联合体竞争性磋商。</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（九）本项目采购标的对应的中小企业划分标准所属行业为行业应用软件开发服务 。</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二、申请人的资格要求：</w:t>
      </w:r>
    </w:p>
    <w:p>
      <w:pPr>
        <w:spacing w:line="520" w:lineRule="exact"/>
        <w:ind w:firstLine="560"/>
        <w:rPr>
          <w:rFonts w:hint="eastAsia" w:ascii="仿宋" w:hAnsi="仿宋" w:eastAsia="仿宋"/>
          <w:b/>
          <w:sz w:val="28"/>
          <w:szCs w:val="28"/>
          <w:highlight w:val="none"/>
        </w:rPr>
      </w:pPr>
      <w:r>
        <w:rPr>
          <w:rFonts w:hint="eastAsia" w:ascii="仿宋" w:hAnsi="仿宋" w:eastAsia="仿宋"/>
          <w:sz w:val="28"/>
          <w:szCs w:val="28"/>
          <w:highlight w:val="none"/>
        </w:rPr>
        <w:t>（一）符合《中华人民共和国政府采购法》第二十二条规定；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（二）落实政府采购政策需满足的资格要求：</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1 </w:t>
      </w:r>
      <w:r>
        <w:rPr>
          <w:rFonts w:hint="eastAsia" w:ascii="仿宋" w:hAnsi="仿宋" w:eastAsia="仿宋"/>
          <w:sz w:val="28"/>
          <w:szCs w:val="28"/>
          <w:highlight w:val="none"/>
          <w:lang w:val="zh-CN"/>
        </w:rPr>
        <w:t>种方式落实政府采购促进中小企业发展的要求：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2.</w:t>
      </w:r>
      <w:r>
        <w:rPr>
          <w:rFonts w:hint="eastAsia" w:ascii="仿宋" w:hAnsi="仿宋" w:eastAsia="仿宋"/>
          <w:sz w:val="28"/>
          <w:szCs w:val="28"/>
          <w:highlight w:val="none"/>
          <w:lang w:val="zh-CN"/>
        </w:rPr>
        <w:t>本项目通过以下第（）种方式预留部分采购份额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对小微企业报价给予扣除，用扣除后的价格参加评审，具体详见第二章“供应商须知”第35.1项</w:t>
      </w:r>
      <w:r>
        <w:rPr>
          <w:rFonts w:hint="eastAsia" w:ascii="仿宋" w:hAnsi="仿宋" w:eastAsia="仿宋"/>
          <w:sz w:val="28"/>
          <w:szCs w:val="28"/>
          <w:highlight w:val="none"/>
          <w:lang w:val="zh-CN"/>
        </w:rPr>
        <w:t>。</w:t>
      </w:r>
    </w:p>
    <w:p>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sz w:val="28"/>
          <w:szCs w:val="28"/>
          <w:highlight w:val="none"/>
        </w:rPr>
        <w:t>（三）本项目的特定资格要求：无。</w:t>
      </w:r>
    </w:p>
    <w:p>
      <w:pPr>
        <w:spacing w:line="520" w:lineRule="exact"/>
        <w:ind w:firstLine="560"/>
        <w:rPr>
          <w:rFonts w:hint="eastAsia" w:ascii="仿宋" w:hAnsi="仿宋" w:eastAsia="仿宋"/>
          <w:sz w:val="28"/>
          <w:szCs w:val="28"/>
          <w:highlight w:val="none"/>
        </w:rPr>
      </w:pPr>
      <w:r>
        <w:rPr>
          <w:rFonts w:hint="eastAsia" w:ascii="仿宋" w:hAnsi="仿宋" w:eastAsia="仿宋" w:cs="宋体"/>
          <w:color w:val="000000"/>
          <w:sz w:val="28"/>
          <w:szCs w:val="28"/>
          <w:highlight w:val="none"/>
        </w:rPr>
        <w:t>（四）拒绝下述条件的供应商参加本次采购活动：</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pPr>
        <w:spacing w:line="520" w:lineRule="exact"/>
        <w:ind w:firstLine="560"/>
        <w:rPr>
          <w:rFonts w:hint="eastAsia" w:ascii="仿宋" w:hAnsi="仿宋" w:eastAsia="仿宋"/>
          <w:b/>
          <w:i/>
          <w:color w:val="000000"/>
          <w:sz w:val="28"/>
          <w:szCs w:val="28"/>
          <w:highlight w:val="none"/>
        </w:rPr>
      </w:pPr>
      <w:r>
        <w:rPr>
          <w:rFonts w:hint="eastAsia" w:ascii="仿宋" w:hAnsi="仿宋" w:eastAsia="仿宋"/>
          <w:color w:val="000000"/>
          <w:sz w:val="28"/>
          <w:szCs w:val="28"/>
          <w:highlight w:val="none"/>
        </w:rPr>
        <w:t>2.凡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3.供应商被“信用中国”网站、“中国政府采购网”列入失信被执行人、重大税收违法案件当事人名单、政府采购严重违法失信行为记录名单。</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三、获取磋商文件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1.时间：自磋商公告发布之日起五个工作日。</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2.方式：在“淮安市政府采购网”自行免费下载磋商文件。</w:t>
      </w:r>
    </w:p>
    <w:p>
      <w:pPr>
        <w:spacing w:line="500" w:lineRule="exact"/>
        <w:ind w:firstLine="565"/>
        <w:rPr>
          <w:rFonts w:hint="eastAsia" w:ascii="仿宋" w:hAnsi="仿宋" w:eastAsia="仿宋"/>
          <w:sz w:val="28"/>
          <w:szCs w:val="28"/>
          <w:highlight w:val="none"/>
        </w:rPr>
      </w:pPr>
      <w:r>
        <w:rPr>
          <w:rFonts w:hint="eastAsia" w:ascii="仿宋" w:hAnsi="仿宋" w:eastAsia="仿宋"/>
          <w:color w:val="000000"/>
          <w:sz w:val="28"/>
          <w:szCs w:val="28"/>
          <w:highlight w:val="none"/>
        </w:rPr>
        <w:t>四、</w:t>
      </w:r>
      <w:r>
        <w:rPr>
          <w:rFonts w:hint="eastAsia" w:ascii="仿宋" w:hAnsi="仿宋" w:eastAsia="仿宋"/>
          <w:sz w:val="28"/>
          <w:szCs w:val="28"/>
          <w:highlight w:val="none"/>
        </w:rPr>
        <w:t>提交响应文件截止时间、磋商时间和地点</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（一）电子响应文件提交截止时间及磋商时间：2026年6月</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日上午9:00。</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（二）电子响应文件上传地址：“苏采云”政府采购交易系统网上开标大厅。</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五、公告期限</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自本公告发布之日起5个工作日。</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六、其他补充事宜</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本项目仅采购非进口产品（注：本文件所称进口产品是指通过中国海关报关验放进入中国境内且产自关境外的产品）。</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七、对本次采购提出询问，请按以下方式联系。</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1.采购人信息</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名称：盱眙县人民法院 </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地址：盱眙县二环路18号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联系方式：钱岑  0517-83589719</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2.采购代理机构信息</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名称：江苏泽豪工程咨询管理有限公司 </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地址：盱眙县中澳生态城商业区52号楼206室</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联系方式：吴小玄  15261779247</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八、其他</w:t>
      </w:r>
    </w:p>
    <w:p>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具体办理指南和操作手册见链接：</w:t>
      </w:r>
      <w:r>
        <w:rPr>
          <w:rFonts w:hint="eastAsia" w:ascii="仿宋" w:hAnsi="仿宋" w:eastAsia="仿宋"/>
          <w:color w:val="000000"/>
          <w:sz w:val="28"/>
          <w:szCs w:val="28"/>
          <w:highlight w:val="none"/>
        </w:rPr>
        <w:t>http://www.ccgp-jiangsu.gov.cn/jiangsu/zlxz/ee/ee3a4bc5a3454aa2b0d9312230633ce9.html</w:t>
      </w:r>
    </w:p>
    <w:p>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有关本次磋商活动的事项若存在变动或修改，敬请及时关注盱眙县人民法院在“淮安市政府采购网”发布的更正公告。</w:t>
      </w:r>
    </w:p>
    <w:p>
      <w:pPr>
        <w:spacing w:line="520" w:lineRule="exact"/>
        <w:ind w:firstLine="565"/>
        <w:rPr>
          <w:rFonts w:hint="eastAsia" w:ascii="宋体" w:hAnsi="宋体"/>
          <w:bCs/>
          <w:sz w:val="32"/>
          <w:szCs w:val="32"/>
          <w:highlight w:val="none"/>
        </w:rPr>
      </w:pPr>
      <w:r>
        <w:rPr>
          <w:rFonts w:ascii="仿宋" w:hAnsi="仿宋" w:eastAsia="仿宋"/>
          <w:sz w:val="28"/>
          <w:szCs w:val="28"/>
          <w:highlight w:val="none"/>
        </w:rPr>
        <w:t>3</w:t>
      </w:r>
      <w:r>
        <w:rPr>
          <w:rFonts w:hint="eastAsia" w:ascii="仿宋" w:hAnsi="仿宋" w:eastAsia="仿宋"/>
          <w:sz w:val="28"/>
          <w:szCs w:val="28"/>
          <w:highlight w:val="none"/>
        </w:rPr>
        <w:t>. 本次采购不收取磋商保证金。</w:t>
      </w:r>
    </w:p>
    <w:p>
      <w:pPr>
        <w:spacing w:line="520" w:lineRule="exact"/>
        <w:ind w:firstLine="2692"/>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第二章   供应商须知</w:t>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一、总则</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1.适用范围</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本竞争性磋商文件仅适用于本次采购邀请中所述项目的采购。</w:t>
      </w:r>
    </w:p>
    <w:p>
      <w:pPr>
        <w:spacing w:line="520" w:lineRule="exact"/>
        <w:rPr>
          <w:rFonts w:hint="eastAsia" w:ascii="仿宋" w:hAnsi="仿宋" w:eastAsia="仿宋"/>
          <w:bCs/>
          <w:sz w:val="28"/>
          <w:highlight w:val="none"/>
        </w:rPr>
      </w:pPr>
      <w:r>
        <w:rPr>
          <w:rFonts w:hint="eastAsia" w:ascii="仿宋" w:hAnsi="仿宋" w:eastAsia="仿宋"/>
          <w:bCs/>
          <w:sz w:val="28"/>
          <w:highlight w:val="none"/>
        </w:rPr>
        <w:t>2.合格的供应商</w:t>
      </w:r>
    </w:p>
    <w:p>
      <w:pPr>
        <w:spacing w:line="520" w:lineRule="exact"/>
        <w:ind w:left="-359" w:firstLine="915"/>
        <w:rPr>
          <w:rFonts w:hint="eastAsia" w:ascii="仿宋" w:hAnsi="仿宋" w:eastAsia="仿宋"/>
          <w:sz w:val="28"/>
          <w:szCs w:val="28"/>
          <w:highlight w:val="none"/>
        </w:rPr>
      </w:pPr>
      <w:r>
        <w:rPr>
          <w:rFonts w:hint="eastAsia" w:ascii="仿宋" w:hAnsi="仿宋" w:eastAsia="仿宋"/>
          <w:sz w:val="28"/>
          <w:szCs w:val="21"/>
          <w:highlight w:val="none"/>
        </w:rPr>
        <w:t>2.1</w:t>
      </w:r>
      <w:r>
        <w:rPr>
          <w:rFonts w:hint="eastAsia" w:ascii="仿宋" w:hAnsi="仿宋" w:eastAsia="仿宋"/>
          <w:sz w:val="28"/>
          <w:szCs w:val="28"/>
          <w:highlight w:val="none"/>
        </w:rPr>
        <w:t xml:space="preserve">满足第一章磋商邀请中供应商资格要求的规定。 </w:t>
      </w:r>
    </w:p>
    <w:p>
      <w:pPr>
        <w:spacing w:line="520" w:lineRule="exact"/>
        <w:ind w:firstLine="566"/>
        <w:rPr>
          <w:rFonts w:hint="eastAsia" w:ascii="仿宋" w:hAnsi="仿宋" w:eastAsia="仿宋"/>
          <w:sz w:val="28"/>
          <w:szCs w:val="28"/>
          <w:highlight w:val="none"/>
        </w:rPr>
      </w:pPr>
      <w:r>
        <w:rPr>
          <w:rFonts w:hint="eastAsia" w:ascii="仿宋" w:hAnsi="仿宋" w:eastAsia="仿宋" w:cs="Arial"/>
          <w:spacing w:val="6"/>
          <w:sz w:val="28"/>
          <w:szCs w:val="28"/>
          <w:highlight w:val="none"/>
        </w:rPr>
        <w:t>2.2</w:t>
      </w:r>
      <w:r>
        <w:rPr>
          <w:rFonts w:hint="eastAsia" w:ascii="仿宋" w:hAnsi="仿宋" w:eastAsia="仿宋"/>
          <w:sz w:val="28"/>
          <w:szCs w:val="28"/>
          <w:highlight w:val="none"/>
        </w:rPr>
        <w:t>满足磋商文件中实质性条款的规定。</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3.适用法律</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3.1《中华人民共和国政府采购法》《中华人民共和国政府采购法实施条例》《政府采购竞争性磋商采购方式管理暂行办法》等有关法律、规章和规定等。</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4.磋商费用</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4.1供应商应自行承担所有与参加磋商有关的费用。不论磋商的结果如何，盱眙县人民法院在任何情况下均无义务和责任承担这些费用。</w:t>
      </w:r>
    </w:p>
    <w:p>
      <w:pPr>
        <w:spacing w:line="520" w:lineRule="exact"/>
        <w:ind w:firstLine="562"/>
        <w:rPr>
          <w:rFonts w:hint="eastAsia" w:ascii="仿宋" w:hAnsi="仿宋" w:eastAsia="仿宋"/>
          <w:b/>
          <w:bCs/>
          <w:sz w:val="28"/>
          <w:szCs w:val="28"/>
          <w:highlight w:val="none"/>
        </w:rPr>
      </w:pPr>
      <w:r>
        <w:rPr>
          <w:rFonts w:hint="eastAsia" w:ascii="仿宋" w:hAnsi="仿宋" w:eastAsia="仿宋"/>
          <w:sz w:val="28"/>
          <w:szCs w:val="28"/>
          <w:highlight w:val="none"/>
        </w:rPr>
        <w:t>4.2本次采购项目不得以任何形式向投标人收取标书工本费及专家评审费。</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5.磋商文件的约束力</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5.1供应商一旦参加本项目采购活动，即被认为接受了本磋商文件的规定和约束。</w:t>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二、磋商文件</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6.磋商文件构成</w:t>
      </w:r>
    </w:p>
    <w:p>
      <w:pPr>
        <w:spacing w:line="520" w:lineRule="exact"/>
        <w:ind w:firstLine="560"/>
        <w:rPr>
          <w:rFonts w:hint="eastAsia" w:ascii="仿宋" w:hAnsi="仿宋" w:eastAsia="仿宋"/>
          <w:sz w:val="28"/>
          <w:szCs w:val="28"/>
          <w:highlight w:val="none"/>
        </w:rPr>
      </w:pPr>
      <w:r>
        <w:rPr>
          <w:rFonts w:hint="eastAsia" w:ascii="仿宋" w:hAnsi="仿宋" w:eastAsia="仿宋"/>
          <w:bCs/>
          <w:sz w:val="28"/>
          <w:highlight w:val="none"/>
        </w:rPr>
        <w:t>6.1磋商文件</w:t>
      </w:r>
      <w:r>
        <w:rPr>
          <w:rFonts w:hint="eastAsia" w:ascii="仿宋" w:hAnsi="仿宋" w:eastAsia="仿宋"/>
          <w:sz w:val="28"/>
          <w:szCs w:val="28"/>
          <w:highlight w:val="none"/>
        </w:rPr>
        <w:t>由以下部分组成：</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（1）磋商邀请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（2）供应商须知</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（3）评审方法与评审标准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（4）合同格式及条款</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（5）采购需求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（6）响应文件格式</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7.磋商文件的澄清和修改</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7.2采购人可以视采购项目的具体情况，组织供应商进行现场考察或召开磋商前答疑会，但不单独或分别组织只有一个供应商参加的现场考察和答疑会。</w:t>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三、响应文件的编制</w:t>
      </w:r>
    </w:p>
    <w:p>
      <w:pPr>
        <w:spacing w:line="520" w:lineRule="exact"/>
        <w:rPr>
          <w:rFonts w:hint="eastAsia" w:ascii="仿宋" w:hAnsi="仿宋" w:eastAsia="仿宋"/>
          <w:sz w:val="28"/>
          <w:szCs w:val="28"/>
          <w:highlight w:val="none"/>
        </w:rPr>
      </w:pPr>
      <w:bookmarkStart w:id="0" w:name="_Toc20823286"/>
      <w:bookmarkStart w:id="1" w:name="_Toc16938530"/>
      <w:bookmarkStart w:id="2" w:name="_Toc462564073"/>
      <w:bookmarkStart w:id="3" w:name="_Toc513029214"/>
      <w:r>
        <w:rPr>
          <w:rFonts w:hint="eastAsia" w:ascii="仿宋" w:hAnsi="仿宋" w:eastAsia="仿宋"/>
          <w:sz w:val="28"/>
          <w:szCs w:val="28"/>
          <w:highlight w:val="none"/>
        </w:rPr>
        <w:t>8.响应文件的语言及度量衡单位</w:t>
      </w:r>
      <w:bookmarkEnd w:id="0"/>
      <w:bookmarkEnd w:id="1"/>
      <w:bookmarkEnd w:id="2"/>
      <w:bookmarkEnd w:id="3"/>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8.1供应商提交的响应文件以及供应商与采购人就有关磋商的所有来往通知、函件和文件均应使用简体中文。</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8.2 除技术性能另有规定外，响应文件所使用的度量衡单位，均须采用国家法定计量单位。</w:t>
      </w:r>
    </w:p>
    <w:p>
      <w:pPr>
        <w:spacing w:line="520" w:lineRule="exact"/>
        <w:rPr>
          <w:rFonts w:hint="eastAsia" w:ascii="仿宋" w:hAnsi="仿宋" w:eastAsia="仿宋"/>
          <w:sz w:val="28"/>
          <w:szCs w:val="28"/>
          <w:highlight w:val="none"/>
        </w:rPr>
      </w:pPr>
      <w:bookmarkStart w:id="4" w:name="_Toc20823287"/>
      <w:bookmarkStart w:id="5" w:name="_Toc16938531"/>
      <w:bookmarkStart w:id="6" w:name="_Toc513029215"/>
      <w:bookmarkStart w:id="7" w:name="_Toc462564074"/>
      <w:r>
        <w:rPr>
          <w:rFonts w:hint="eastAsia" w:ascii="仿宋" w:hAnsi="仿宋" w:eastAsia="仿宋"/>
          <w:sz w:val="28"/>
          <w:szCs w:val="28"/>
          <w:highlight w:val="none"/>
        </w:rPr>
        <w:t>9.响应文件构成</w:t>
      </w:r>
      <w:bookmarkEnd w:id="4"/>
      <w:bookmarkEnd w:id="5"/>
      <w:bookmarkEnd w:id="6"/>
      <w:bookmarkEnd w:id="7"/>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9.2 如响应文件制作工具中格式和内容与“江苏政府采购网”“淮安市政府采购网”发布的磋商文件不一致，请以“江苏政府采购网”“淮安市政府采购网”发布的磋商文件为准。</w:t>
      </w:r>
    </w:p>
    <w:p>
      <w:pPr>
        <w:spacing w:line="520" w:lineRule="exact"/>
        <w:rPr>
          <w:rFonts w:hint="eastAsia" w:ascii="仿宋" w:hAnsi="仿宋" w:eastAsia="仿宋"/>
          <w:sz w:val="28"/>
          <w:szCs w:val="28"/>
          <w:highlight w:val="none"/>
        </w:rPr>
      </w:pPr>
      <w:bookmarkStart w:id="8" w:name="_Toc14577357"/>
      <w:bookmarkStart w:id="9" w:name="_Toc513029216"/>
      <w:bookmarkStart w:id="10" w:name="_Toc14577354"/>
      <w:bookmarkStart w:id="11" w:name="_Toc513029219"/>
      <w:bookmarkStart w:id="12" w:name="_Toc49090507"/>
      <w:bookmarkStart w:id="13" w:name="_Toc49090509"/>
      <w:bookmarkStart w:id="14" w:name="_Toc14577355"/>
      <w:bookmarkStart w:id="15" w:name="_Toc49090508"/>
      <w:r>
        <w:rPr>
          <w:rFonts w:hint="eastAsia" w:ascii="仿宋" w:hAnsi="仿宋" w:eastAsia="仿宋"/>
          <w:sz w:val="28"/>
          <w:szCs w:val="28"/>
          <w:highlight w:val="none"/>
        </w:rPr>
        <w:t>10.证明磋商响应标的符合磋商文件规定的文件</w:t>
      </w:r>
      <w:bookmarkEnd w:id="8"/>
      <w:bookmarkEnd w:id="9"/>
      <w:bookmarkEnd w:id="10"/>
      <w:bookmarkEnd w:id="11"/>
      <w:bookmarkEnd w:id="12"/>
      <w:bookmarkEnd w:id="13"/>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10.1供应商应按照磋商文件要求提交证明文件，证明其及磋商响应标的符合磋商文件规定。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10.2磋商文件对证明文件无明确形式要求的，证明文件可以以文字资料、图纸和数据等形式提交。</w:t>
      </w:r>
      <w:bookmarkEnd w:id="14"/>
      <w:bookmarkEnd w:id="15"/>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11.分项报价表</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11.1供应商应按照磋商文件规定格式填报分项报价表。</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11.2磋商货币。响应文件中的单价和总价无特殊规定的采用人民币报价，以元为单位标注。磋商文件中另有规定的按规定执行。</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11.3本次采购项目招标代理费参照江苏省招标投标协会苏招协【2022】002号《江苏省招标代理收费的指导意见》文件收取13000元，由采购人支付。</w:t>
      </w:r>
    </w:p>
    <w:p>
      <w:pPr>
        <w:spacing w:line="520" w:lineRule="exact"/>
        <w:rPr>
          <w:rFonts w:hint="eastAsia" w:ascii="仿宋" w:hAnsi="仿宋" w:eastAsia="仿宋"/>
          <w:sz w:val="28"/>
          <w:szCs w:val="28"/>
          <w:highlight w:val="none"/>
        </w:rPr>
      </w:pPr>
      <w:bookmarkStart w:id="16" w:name="_Hlt26670486"/>
      <w:bookmarkEnd w:id="16"/>
      <w:bookmarkStart w:id="17" w:name="_Hlt26670482"/>
      <w:bookmarkEnd w:id="17"/>
      <w:bookmarkStart w:id="18" w:name="_Hlt26954848"/>
      <w:bookmarkEnd w:id="18"/>
      <w:bookmarkStart w:id="19" w:name="_Hlt26954846"/>
      <w:bookmarkEnd w:id="19"/>
      <w:bookmarkStart w:id="20" w:name="_Hlt26954731"/>
      <w:bookmarkEnd w:id="20"/>
      <w:r>
        <w:rPr>
          <w:rFonts w:hint="eastAsia" w:ascii="仿宋" w:hAnsi="仿宋" w:eastAsia="仿宋"/>
          <w:sz w:val="28"/>
          <w:szCs w:val="28"/>
          <w:highlight w:val="none"/>
        </w:rPr>
        <w:t>12.技术要求响应及偏离表、商务要求响应及偏离表（如有）</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12.1供应商需对磋商文件中的技术要求与商务要求逐项作出响应或偏离，并说明原因。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12.2供应商可在响应文件中提供认为需要的其他技术文件或说明。</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13.1供应商需根据磋商文件要求提供有关售后服务的管理制度，售后服务机构的分布情况，售后服务人员的数量、素质、技术水平及售后服务的反应能力等。</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13.2供应商需根据磋商文件要求提供培训计划。</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13.3供应商需根据磋商文件要求提供磋商响应标的的主要组成部分、功能设计、实现思路及关键技术等。</w:t>
      </w:r>
    </w:p>
    <w:p>
      <w:pPr>
        <w:spacing w:line="520" w:lineRule="exact"/>
        <w:rPr>
          <w:rFonts w:hint="eastAsia" w:ascii="仿宋" w:hAnsi="仿宋" w:eastAsia="仿宋"/>
          <w:sz w:val="28"/>
          <w:szCs w:val="28"/>
          <w:highlight w:val="none"/>
        </w:rPr>
      </w:pPr>
      <w:bookmarkStart w:id="21" w:name="_Toc14577359"/>
      <w:bookmarkStart w:id="22" w:name="_Toc49090510"/>
      <w:r>
        <w:rPr>
          <w:rFonts w:hint="eastAsia" w:ascii="仿宋" w:hAnsi="仿宋" w:eastAsia="仿宋"/>
          <w:sz w:val="28"/>
          <w:szCs w:val="28"/>
          <w:highlight w:val="none"/>
        </w:rPr>
        <w:t>14.磋商响应函</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14.1供应商应按照磋商文件中提供的格式完整、正确填写磋商响应函。</w:t>
      </w:r>
      <w:bookmarkEnd w:id="21"/>
      <w:bookmarkEnd w:id="22"/>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15.方案部分（本项目不涉及）</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15.1本项目评标标准中的方案部分采用暗标方式进行评审。</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15.2编制要求：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15.3供应商需按15.2的要求编制方案，否则按未提供方案处理。</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16.磋商有效期</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16.1磋商有效期为从磋商之日起计算的九十天。磋商有效期比规定短的将被视为</w:t>
      </w:r>
      <w:r>
        <w:rPr>
          <w:rFonts w:hint="eastAsia" w:ascii="仿宋" w:hAnsi="仿宋" w:eastAsia="仿宋"/>
          <w:sz w:val="28"/>
          <w:szCs w:val="28"/>
          <w:highlight w:val="none"/>
          <w:lang w:val="zh-CN"/>
        </w:rPr>
        <w:t>非响应磋商而予以拒绝。</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17.响应文件的签署</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17.1响应文件仅需要在供应商进行签章的位置应进行电子签章。电子响应文件不得涂改、行间插字或删除，如果出现上述情况应重新编制。</w:t>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四、响应文件上传</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18.响应文件的上传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18.1供应商应当按照《操作手册》规定，在提交响应文件截止时间前制作并上传电子响应文件。 </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19.提交响应文件截止时间</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19.1供应商上传电子响应文件的时间不得迟于磋商公告中规定的提交响应文件截止时间。</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19.2供应商应充分考虑到网络环境、网络带宽等风险因素，如因供应商自身原因造成的电子响应文件上传不成功的按照本磋商文件第二章第26.3.2条规定做无效响应处理。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19.3 采购人可以按照规定，通过修改磋商文件酌情延长提交响应文件截止日期，在此情况下，供应商的所有权利和义务以及供应商受制的截止日期均应以延长后新的截止日期为准。</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20.响应文件被拒绝接收的情形</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20.1在磋商文件规定的提交响应文件截止时间后上传的任何电子响应文件。</w:t>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21.响应文件的撤回和修改</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21.1响应文件的撤回</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21.1.1供应商可在提交响应文件截止时间前，登录“苏采云”撤回电子响应文件。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21.1.2供应商在提交响应文件截止时间前撤回电子响应文件，且未重新上传的，则认为其不再参与本项目磋商活动。</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21.2响应文件的修改</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21.2.1供应商可在提交响应文件截止时间前，登录“苏采云”修改电子响应文件，电子响应文件以最终完成上传的为准。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21.2.2供应商不得在提交响应文件截止时间之后修改电子响应文件。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21.3</w:t>
      </w:r>
      <w:r>
        <w:rPr>
          <w:rFonts w:hint="eastAsia" w:ascii="仿宋" w:hAnsi="仿宋" w:eastAsia="仿宋"/>
          <w:sz w:val="28"/>
          <w:highlight w:val="none"/>
        </w:rPr>
        <w:t>供应商不</w:t>
      </w:r>
      <w:r>
        <w:rPr>
          <w:rFonts w:hint="eastAsia" w:ascii="仿宋" w:hAnsi="仿宋" w:eastAsia="仿宋"/>
          <w:sz w:val="28"/>
          <w:szCs w:val="28"/>
          <w:highlight w:val="none"/>
        </w:rPr>
        <w:t>得在提交电子响应文件截止时间起至磋商有效期满前撤回、修改电子响应文件。</w:t>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五、响应文件的解密与评审</w:t>
      </w:r>
    </w:p>
    <w:p>
      <w:pPr>
        <w:spacing w:line="520" w:lineRule="exact"/>
        <w:rPr>
          <w:rFonts w:hint="eastAsia" w:ascii="仿宋" w:hAnsi="仿宋" w:eastAsia="仿宋"/>
          <w:sz w:val="28"/>
          <w:szCs w:val="28"/>
          <w:highlight w:val="none"/>
        </w:rPr>
      </w:pPr>
      <w:bookmarkStart w:id="23" w:name="_Toc16938546"/>
      <w:bookmarkStart w:id="24" w:name="_Toc20823302"/>
      <w:bookmarkStart w:id="25" w:name="_Toc513029230"/>
      <w:r>
        <w:rPr>
          <w:rFonts w:hint="eastAsia" w:ascii="仿宋" w:hAnsi="仿宋" w:eastAsia="仿宋"/>
          <w:sz w:val="28"/>
          <w:szCs w:val="28"/>
          <w:highlight w:val="none"/>
        </w:rPr>
        <w:t>2</w:t>
      </w:r>
      <w:bookmarkEnd w:id="23"/>
      <w:bookmarkEnd w:id="24"/>
      <w:bookmarkEnd w:id="25"/>
      <w:r>
        <w:rPr>
          <w:rFonts w:hint="eastAsia" w:ascii="仿宋" w:hAnsi="仿宋" w:eastAsia="仿宋"/>
          <w:sz w:val="28"/>
          <w:szCs w:val="28"/>
          <w:highlight w:val="none"/>
        </w:rPr>
        <w:t>2.响应文件解密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22.1供应商应当按照《操作手册》规定，在苏采云系统规定的时间内对磋商响应文件进行解密。</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23.磋商小组</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23.1采购人将组织磋商小组对响应文件进行评审。磋商小组由采购人代表和有关技术、经济等方面的专家组成，且人员构成符合政府采购有关规定。</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23.2磋商小组独立工作，负责评审所有响应文件并确定成交候选人。</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24.评审过程的保密与公正</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24.1磋商小组、采购人和工作人员、相关监督人员等与评审工作有关的人员，对评审情况以及在评审过程中获悉的国家秘密、商业秘密负有保密责任。</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24.2在评审过程中，供应商不得以任何行为影响磋商评审过程，否则其响应文件将被作为无效响应文件。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24.3在项目评审期间，采购人将设专门人员与供应商联系。</w:t>
      </w:r>
    </w:p>
    <w:p>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4.4 采购人和磋商小组不向未成交的供应商解释未成交原因，也不公布评审过程中的相关细节。</w:t>
      </w:r>
    </w:p>
    <w:p>
      <w:pPr>
        <w:spacing w:line="520" w:lineRule="exact"/>
        <w:rPr>
          <w:rFonts w:hint="eastAsia" w:ascii="仿宋" w:hAnsi="仿宋" w:eastAsia="仿宋"/>
          <w:sz w:val="28"/>
          <w:szCs w:val="28"/>
          <w:highlight w:val="none"/>
        </w:rPr>
      </w:pPr>
      <w:bookmarkStart w:id="26" w:name="_Toc20823304"/>
      <w:bookmarkStart w:id="27" w:name="_Toc16938548"/>
      <w:bookmarkStart w:id="28" w:name="_Toc513029232"/>
      <w:r>
        <w:rPr>
          <w:rFonts w:hint="eastAsia" w:ascii="仿宋" w:hAnsi="仿宋" w:eastAsia="仿宋"/>
          <w:sz w:val="28"/>
          <w:szCs w:val="28"/>
          <w:highlight w:val="none"/>
        </w:rPr>
        <w:t>25.评审过程中的澄清</w:t>
      </w:r>
      <w:bookmarkEnd w:id="26"/>
      <w:bookmarkEnd w:id="27"/>
      <w:bookmarkEnd w:id="28"/>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操作</w:t>
      </w:r>
      <w:r>
        <w:rPr>
          <w:rFonts w:hint="eastAsia" w:ascii="仿宋" w:hAnsi="仿宋" w:eastAsia="仿宋"/>
          <w:sz w:val="28"/>
          <w:szCs w:val="28"/>
          <w:highlight w:val="none"/>
        </w:rPr>
        <w:t>方式</w:t>
      </w:r>
      <w:r>
        <w:rPr>
          <w:rFonts w:ascii="仿宋" w:hAnsi="仿宋" w:eastAsia="仿宋"/>
          <w:sz w:val="28"/>
          <w:szCs w:val="28"/>
          <w:highlight w:val="none"/>
        </w:rPr>
        <w:t>见</w:t>
      </w:r>
      <w:r>
        <w:rPr>
          <w:rFonts w:hint="eastAsia" w:ascii="仿宋" w:hAnsi="仿宋" w:eastAsia="仿宋"/>
          <w:sz w:val="28"/>
          <w:szCs w:val="28"/>
          <w:highlight w:val="none"/>
        </w:rPr>
        <w:t>《操作手册》。</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 接到磋商小组澄清、说明和更正要求的供应商如未按规定作出澄清、说明和更正，其风险由供应商自行承担。</w:t>
      </w:r>
    </w:p>
    <w:p>
      <w:pPr>
        <w:spacing w:line="520" w:lineRule="exact"/>
        <w:rPr>
          <w:rFonts w:hint="eastAsia" w:ascii="仿宋" w:hAnsi="仿宋" w:eastAsia="仿宋"/>
          <w:sz w:val="28"/>
          <w:szCs w:val="28"/>
          <w:highlight w:val="none"/>
        </w:rPr>
      </w:pPr>
      <w:bookmarkStart w:id="29" w:name="_Toc513029233"/>
      <w:bookmarkStart w:id="30" w:name="_Toc20823305"/>
      <w:bookmarkStart w:id="31" w:name="_Toc16938549"/>
      <w:r>
        <w:rPr>
          <w:rFonts w:hint="eastAsia" w:ascii="仿宋" w:hAnsi="仿宋" w:eastAsia="仿宋"/>
          <w:sz w:val="28"/>
          <w:szCs w:val="28"/>
          <w:highlight w:val="none"/>
        </w:rPr>
        <w:t>26.对响应文件的审</w:t>
      </w:r>
      <w:bookmarkEnd w:id="29"/>
      <w:bookmarkEnd w:id="30"/>
      <w:bookmarkEnd w:id="31"/>
      <w:r>
        <w:rPr>
          <w:rFonts w:hint="eastAsia" w:ascii="仿宋" w:hAnsi="仿宋" w:eastAsia="仿宋"/>
          <w:sz w:val="28"/>
          <w:szCs w:val="28"/>
          <w:highlight w:val="none"/>
        </w:rPr>
        <w:t>查</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26.1响应文件审查分为资格审查和符合性审查。</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 资格审查：由磋商小组依据法律法规和磋商文件的规定，对响应文件中的资格证明文件进行审查，以确定供应商是否具备参加磋商的资格。</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磋商小组在进行资格审查的同时，将在“信用中国”网站（www.creditchina.gov.cn）查询供应商的信用记录，以确定供应商是否具备磋商资格,查询结果留存并归档。</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26.1.2 符合性审查：依据磋商文件的规定，由磋商小组从响应文件的有效性、完整性和对磋商文件的响应程度进行审查，以确定是否对磋商文件的实质性要求作出响应。</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26.2在详细评审之前，磋商小组将首先审查每份响应文件是否实质性响应了磋商文件的要求。实质性响应的响应文件应该是与磋商文件要求的条款、条件和规格相符，没有重大偏离或保留。</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26.3未实质性响应磋商文件的情形</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26.3.1供应商在苏采云系统规定的时间内未成功解密电子响应文件的。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26.3.2供应商未按照磋商文件要求上传电子响应文件的。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26.3.3同一供应商提交两个（含两个）以上不同的响应文件或者最后报价的。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26.3.4供应商不具备磋商文件中规定资格要求的。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26.3.5供应商的最后报价超过了采购预算。</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26.3.6磋商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26.3.7不符合磋商文件中规定的实质性要求和条件的（实质性要求和条件是指本磋商文件中用带星号（“★”）的商务和技术要求）。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26.3.9 响应文件含有采购人不能接受的附加条件的。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26.3.10按照第37.4的要求本项目中具有“强制采购”产品，但未提供经国家确定的认证机构出具的、处于有效期之内该节能产品认证证书图片的；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26.3.11响应文件未按照磋商文件要求加盖CA电子公章的。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26.3.12其他法律法规及本磋商文件规定的属无效响应的情形。</w:t>
      </w:r>
    </w:p>
    <w:p>
      <w:pPr>
        <w:spacing w:line="360" w:lineRule="auto"/>
        <w:ind w:firstLine="560"/>
        <w:rPr>
          <w:rFonts w:hint="eastAsia" w:ascii="仿宋" w:hAnsi="仿宋" w:eastAsia="仿宋"/>
          <w:sz w:val="28"/>
          <w:szCs w:val="28"/>
          <w:highlight w:val="none"/>
        </w:rPr>
      </w:pPr>
      <w:r>
        <w:rPr>
          <w:rFonts w:hint="eastAsia" w:ascii="仿宋" w:hAnsi="仿宋" w:eastAsia="仿宋"/>
          <w:sz w:val="28"/>
          <w:szCs w:val="28"/>
          <w:highlight w:val="none"/>
        </w:rPr>
        <w:t>26.3.13供应商未按照采购文件第六章响应文件“</w:t>
      </w:r>
      <w:r>
        <w:rPr>
          <w:rFonts w:hint="eastAsia" w:ascii="仿宋" w:hAnsi="仿宋" w:eastAsia="仿宋" w:cs="仿宋"/>
          <w:sz w:val="28"/>
          <w:szCs w:val="28"/>
          <w:highlight w:val="none"/>
        </w:rPr>
        <w:t>四、团队配置要求</w:t>
      </w:r>
      <w:r>
        <w:rPr>
          <w:rFonts w:hint="eastAsia" w:ascii="仿宋" w:hAnsi="仿宋" w:eastAsia="仿宋"/>
          <w:sz w:val="28"/>
          <w:szCs w:val="28"/>
          <w:highlight w:val="none"/>
        </w:rPr>
        <w:t>”提供人员配备表的。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26.4未实质性响应磋商文件的响应文件按无效响应处理。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26.5如果响应文件实质上没有响应磋商文件的要求，磋商小组将予以拒绝，供应商不得通过修改或撤销不符合要求的偏离或保留而使其成为实质性响应的文件。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26.6供应商在项目评审全过程中应保持通信畅通，并安排专人与磋商小组联系。</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27.磋商程序及评审方法和评审标准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27.1磋商程序</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已提交响应文件的供应商，在提交最后报价之前，可以根据磋商情况退出磋商</w:t>
      </w:r>
      <w:r>
        <w:rPr>
          <w:rFonts w:hint="eastAsia" w:ascii="仿宋" w:hAnsi="仿宋" w:eastAsia="仿宋"/>
          <w:sz w:val="28"/>
          <w:szCs w:val="28"/>
          <w:highlight w:val="none"/>
        </w:rPr>
        <w:t>，并在苏采云系统中提交“退出磋商函”并加盖CA电子公章</w:t>
      </w:r>
      <w:r>
        <w:rPr>
          <w:rFonts w:ascii="仿宋" w:hAnsi="仿宋" w:eastAsia="仿宋"/>
          <w:sz w:val="28"/>
          <w:szCs w:val="28"/>
          <w:highlight w:val="none"/>
        </w:rPr>
        <w:t>。</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 评审方法和评审标准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27.2.1评审方法。经磋商确定最终采购需求和提交最后报价的供应商后，由磋商小组采用综合评分法对提交最后报价的供应商的响应文件和最后报价进行综合评分。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27.2.2评审标准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见本磋商文件第三章规定。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27.3采购活动终止的情况</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出现下列情形之一的，本次竞争性磋商采购活动将被终止：</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27.3.1因情况变化，不再符合规定的竞争性磋商采购方式适用情形的。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27.3.2出现影响采购公正的违法、违规行为的。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27.3.3除本磋商文件第二章第27.1.2条第三款规定的情形外，在采购过程中符合要求的供应商或者最后报价未超过采购预算的供应商不足3家的。</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27.3.4在苏采云系统规定时间内成功解密电子响应文件的供应商不足3家的。</w:t>
      </w:r>
    </w:p>
    <w:p>
      <w:pPr>
        <w:spacing w:line="520" w:lineRule="exact"/>
        <w:rPr>
          <w:rFonts w:hint="eastAsia" w:ascii="仿宋" w:hAnsi="仿宋" w:eastAsia="仿宋"/>
          <w:bCs/>
          <w:sz w:val="28"/>
          <w:highlight w:val="none"/>
        </w:rPr>
      </w:pPr>
      <w:r>
        <w:rPr>
          <w:rFonts w:hint="eastAsia" w:ascii="仿宋" w:hAnsi="仿宋" w:eastAsia="仿宋"/>
          <w:bCs/>
          <w:sz w:val="28"/>
          <w:highlight w:val="none"/>
        </w:rPr>
        <w:t>28.推荐成交候选供应商</w:t>
      </w:r>
    </w:p>
    <w:p>
      <w:pPr>
        <w:spacing w:line="520" w:lineRule="exact"/>
        <w:ind w:firstLine="539"/>
        <w:rPr>
          <w:rFonts w:hint="eastAsia" w:ascii="仿宋" w:hAnsi="仿宋" w:eastAsia="仿宋"/>
          <w:sz w:val="28"/>
          <w:highlight w:val="none"/>
        </w:rPr>
      </w:pPr>
      <w:r>
        <w:rPr>
          <w:rFonts w:hint="eastAsia" w:ascii="仿宋" w:hAnsi="仿宋" w:eastAsia="仿宋"/>
          <w:sz w:val="28"/>
          <w:highlight w:val="none"/>
        </w:rPr>
        <w:t>28.1磋商小组将对通过资格性审查和符合性审查的响应文件进行评价和比较。</w:t>
      </w:r>
    </w:p>
    <w:p>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28.2磋商小组</w:t>
      </w:r>
      <w:r>
        <w:rPr>
          <w:rFonts w:hint="eastAsia" w:ascii="仿宋" w:hAnsi="仿宋" w:eastAsia="仿宋"/>
          <w:sz w:val="28"/>
          <w:szCs w:val="28"/>
          <w:highlight w:val="none"/>
        </w:rPr>
        <w:t>按磋商文件第三章中公布的评标标准对每份合格响应文件进行评审，推荐3名成交候选供应商</w:t>
      </w:r>
      <w:r>
        <w:rPr>
          <w:rFonts w:hint="eastAsia" w:ascii="仿宋" w:hAnsi="仿宋" w:eastAsia="仿宋" w:cs="楷体"/>
          <w:sz w:val="28"/>
          <w:szCs w:val="28"/>
          <w:highlight w:val="none"/>
        </w:rPr>
        <w:t>。</w:t>
      </w:r>
      <w:r>
        <w:rPr>
          <w:rFonts w:ascii="仿宋" w:hAnsi="仿宋" w:eastAsia="仿宋" w:cs="楷体"/>
          <w:sz w:val="28"/>
          <w:szCs w:val="28"/>
          <w:highlight w:val="none"/>
        </w:rPr>
        <w:t xml:space="preserve"> </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w:t>
      </w:r>
      <w:r>
        <w:rPr>
          <w:rFonts w:ascii="仿宋" w:hAnsi="仿宋" w:eastAsia="仿宋"/>
          <w:sz w:val="28"/>
          <w:szCs w:val="28"/>
          <w:highlight w:val="none"/>
        </w:rPr>
        <w:t xml:space="preserve">.3 </w:t>
      </w:r>
      <w:r>
        <w:rPr>
          <w:rFonts w:hint="eastAsia" w:ascii="仿宋" w:hAnsi="仿宋" w:eastAsia="仿宋"/>
          <w:sz w:val="28"/>
          <w:szCs w:val="28"/>
          <w:highlight w:val="none"/>
        </w:rPr>
        <w:t>磋商小组发现磋商文件存在歧义、重大缺陷导致评审工作无法进行，或者磋商文件内容存在违反国家有关规定的，评审工作停止，采购人修改磋商文件后重新组织采购活动。</w:t>
      </w:r>
    </w:p>
    <w:p>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29.磋商过程保密</w:t>
      </w:r>
    </w:p>
    <w:p>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29.1在宣布成交结果前，凡属于审查、澄清、磋商、评审响应文件和确定成交等相关信息，</w:t>
      </w:r>
      <w:r>
        <w:rPr>
          <w:rFonts w:hint="eastAsia" w:ascii="仿宋" w:hAnsi="仿宋" w:eastAsia="仿宋"/>
          <w:sz w:val="28"/>
          <w:szCs w:val="28"/>
          <w:highlight w:val="none"/>
        </w:rPr>
        <w:t>均不得泄露给任何供应商或与评审工作无关的人员。</w:t>
      </w:r>
    </w:p>
    <w:p>
      <w:pPr>
        <w:spacing w:line="520" w:lineRule="exact"/>
        <w:ind w:firstLine="540"/>
        <w:rPr>
          <w:rFonts w:hint="eastAsia" w:ascii="仿宋" w:hAnsi="仿宋" w:eastAsia="仿宋"/>
          <w:sz w:val="28"/>
          <w:highlight w:val="none"/>
        </w:rPr>
      </w:pPr>
      <w:r>
        <w:rPr>
          <w:rFonts w:hint="eastAsia" w:ascii="仿宋" w:hAnsi="仿宋" w:eastAsia="仿宋" w:cs="楷体"/>
          <w:sz w:val="28"/>
          <w:szCs w:val="28"/>
          <w:highlight w:val="none"/>
        </w:rPr>
        <w:t>29</w:t>
      </w:r>
      <w:r>
        <w:rPr>
          <w:rFonts w:ascii="仿宋" w:hAnsi="仿宋" w:eastAsia="仿宋" w:cs="楷体"/>
          <w:sz w:val="28"/>
          <w:szCs w:val="28"/>
          <w:highlight w:val="none"/>
        </w:rPr>
        <w:t>.</w:t>
      </w:r>
      <w:r>
        <w:rPr>
          <w:rFonts w:hint="eastAsia" w:ascii="仿宋" w:hAnsi="仿宋" w:eastAsia="仿宋" w:cs="楷体"/>
          <w:sz w:val="28"/>
          <w:szCs w:val="28"/>
          <w:highlight w:val="none"/>
        </w:rPr>
        <w:t>2</w:t>
      </w:r>
      <w:r>
        <w:rPr>
          <w:rFonts w:hint="eastAsia" w:ascii="仿宋" w:hAnsi="仿宋" w:eastAsia="仿宋"/>
          <w:sz w:val="28"/>
          <w:highlight w:val="none"/>
        </w:rPr>
        <w:t>供应商不得探听上述信息，不得以任何行为影响磋商过程，否则将被取消成交资格。</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29.3 磋商小组名单在磋商前确定，并在磋商结果确定前保密。</w:t>
      </w:r>
    </w:p>
    <w:p>
      <w:pPr>
        <w:spacing w:line="520" w:lineRule="exact"/>
        <w:ind w:right="-634"/>
        <w:rPr>
          <w:rFonts w:hint="eastAsia" w:ascii="仿宋" w:hAnsi="仿宋" w:eastAsia="仿宋"/>
          <w:b/>
          <w:bCs/>
          <w:sz w:val="32"/>
          <w:szCs w:val="32"/>
          <w:highlight w:val="none"/>
        </w:rPr>
      </w:pPr>
      <w:r>
        <w:rPr>
          <w:rFonts w:hint="eastAsia" w:ascii="仿宋" w:hAnsi="仿宋" w:eastAsia="仿宋"/>
          <w:b/>
          <w:bCs/>
          <w:sz w:val="32"/>
          <w:szCs w:val="32"/>
          <w:highlight w:val="none"/>
        </w:rPr>
        <w:t>六、确定成交及签订合同</w:t>
      </w:r>
    </w:p>
    <w:p>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30.确定成交供应商</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30.1采购人将从磋商小组推荐的符合采购需求的成交候选</w:t>
      </w:r>
      <w:r>
        <w:rPr>
          <w:rFonts w:hint="eastAsia" w:ascii="仿宋" w:hAnsi="仿宋" w:eastAsia="仿宋"/>
          <w:sz w:val="28"/>
          <w:szCs w:val="28"/>
          <w:highlight w:val="none"/>
        </w:rPr>
        <w:t>供应商</w:t>
      </w:r>
      <w:r>
        <w:rPr>
          <w:rFonts w:hint="eastAsia" w:ascii="仿宋" w:hAnsi="仿宋" w:eastAsia="仿宋"/>
          <w:sz w:val="28"/>
          <w:highlight w:val="none"/>
        </w:rPr>
        <w:t>中按排名先后确定成交供应商。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30.2采购人将在淮安市政府采购网发布成交结果公告。</w:t>
      </w:r>
    </w:p>
    <w:p>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30.3成交候选人在合同签订前，如经查实从参加该成交项目之日起计算所参加的政府采购活动前三年内，在经营活动中有行贿犯罪记录的，采购人将取消其成交候选人资格。</w:t>
      </w:r>
    </w:p>
    <w:p>
      <w:pPr>
        <w:spacing w:line="520" w:lineRule="exact"/>
        <w:rPr>
          <w:rFonts w:hint="eastAsia" w:ascii="仿宋" w:hAnsi="仿宋" w:eastAsia="仿宋"/>
          <w:sz w:val="28"/>
          <w:highlight w:val="none"/>
        </w:rPr>
      </w:pPr>
      <w:r>
        <w:rPr>
          <w:rFonts w:hint="eastAsia" w:ascii="仿宋" w:hAnsi="仿宋" w:eastAsia="仿宋"/>
          <w:sz w:val="28"/>
          <w:highlight w:val="none"/>
        </w:rPr>
        <w:t>31.成交通知书</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31.2成交通知书将是合同的一个组成部分。对采购人和成交供应商均具有法律效力。成交通知书发出后，采购人改变成交结果的，或者成交供应商放弃成交项目的，应当依法承担法律责任。</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32.签订合同</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32.1采购人与成交供应商应在成交通知书发出之日起三十日内签订政府采购合同。磋商文件、成交供应商的响应文件及澄清文件等均为签订合同依据。</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32.2成交供应商自成交通知书发出之日起三十日内无正当理由不与采购人签订合同的，将按规定进行处理。</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33.货物和服务的减少</w:t>
      </w:r>
    </w:p>
    <w:p>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33.1采购结束后，采购人若由于各种客观原因，必须对采购项目所牵涉的货物和服务进行适当的减少时，在双方协商一致的前提下，可以按照磋商时的价格水平做相应的调减，并据此签订补充合同。</w:t>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七、质疑处理</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34</w:t>
      </w:r>
      <w:r>
        <w:rPr>
          <w:rFonts w:ascii="仿宋" w:hAnsi="仿宋" w:eastAsia="仿宋"/>
          <w:sz w:val="28"/>
          <w:szCs w:val="28"/>
          <w:highlight w:val="none"/>
        </w:rPr>
        <w:t>.</w:t>
      </w:r>
      <w:r>
        <w:rPr>
          <w:rFonts w:hint="eastAsia" w:ascii="仿宋" w:hAnsi="仿宋" w:eastAsia="仿宋"/>
          <w:sz w:val="28"/>
          <w:szCs w:val="28"/>
          <w:highlight w:val="none"/>
        </w:rPr>
        <w:t>质疑处理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34.1供应商认为采购文件、采购过程和采购结果使自己的权益受到损害的，可以在知道或应知其权益受到损害之日起七个工作日内，以书面形式根据下述34.5条款的规定向采购人提出质疑。</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34.2上述应知其权益受到损害之日是指：</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（1）对磋商文件提出质疑的，为采购文件公告期限届满之日起计算；</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34.3质疑供应商是指直接参加本次磋商活动的供应商，未参加磋商活动的供应商或在磋商活动中自身权益未受到损害的供应商所提出的质疑不予受理。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34.4质疑供应商在法定质疑期内应当一次性针对同一采购环节提出质疑，若质疑供应商针对同一环节提出两次及两次以上质疑，仅受理第一次提出的质疑。</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34.5质疑函应当包括以下主要内容，附上相关证明材料。否则，采购人不予受理。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（2）质疑项目的名称、编号；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（4）事实依据；</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（5）必要的法律依据；</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（6）提起质疑的日期；</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34.6供应商（含潜在供应商）对采购方式、采购需求、供应商资格条件、评审方法与评审标准、合同文本的询问、质疑请向采购人提出，由采购人负责答复。供应商对其他事项的询问、质疑请向采购人提出，由采购人负责答复。</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34.7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有权不予受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八、政府采购政策功能落实</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35.政策功能落实</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35.1小微型企业价格扣除</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35.1.1</w:t>
      </w:r>
      <w:r>
        <w:rPr>
          <w:rFonts w:hint="eastAsia" w:ascii="仿宋" w:hAnsi="仿宋" w:eastAsia="仿宋"/>
          <w:sz w:val="28"/>
          <w:szCs w:val="28"/>
          <w:highlight w:val="none"/>
          <w:lang w:val="zh-CN"/>
        </w:rPr>
        <w:t>对于未预留份额专门面向中小企业采购的采购项目，供应商提供的货物或者服务</w:t>
      </w:r>
      <w:r>
        <w:rPr>
          <w:rFonts w:hint="eastAsia" w:ascii="仿宋" w:hAnsi="仿宋" w:eastAsia="仿宋"/>
          <w:sz w:val="28"/>
          <w:szCs w:val="28"/>
          <w:highlight w:val="none"/>
        </w:rPr>
        <w:t>符合下列情形的，享受本办法规定的中小企业扶持政策给予小微企业报价20%的扣除，用扣除后的价格参与评审：</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（1）在货物采购项目中，货物由中小企业制造，即货物由中小企业生产且使用该中小企业商号或者注册商标；</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（2）在服务采购项目中，服务由中小企业承接，即提供服务的人员为中小企业依照《中华人民共和国劳动合同法》订立劳动合同的从业人员。</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35.1.2在货物采购项目中，供应商提供的货物既有中小企业制造货物，也有大型企业制造货物的，不享受本办法规定的中小企业扶持政策。</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35.2联合体及分包</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35.2.1以联合体形式参加政府采购活动，联合体各方均为中小企业的，联合体视同中小企业。其中，联合体各方均为小微企业的，联合体视同小微企业。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35.2.2享受扶持政策获得政府采购合同的，小微企业不得将合同分包给大中型企业，中型企业不得将合同分包给大型企业。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35.3小微型企业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（1）供应商须按照磋商文件的要求提供相应的《企业声明函》，详见磋商文件第六章示范格式。</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（2）企业标准请参照《政府采购促进中小企业发展管理办法》（财库〔2020〕46号）文件规定自行填写。</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35.4残疾人福利单位</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（1）残疾人福利单位需按照招标文件的要求提供《残疾人福利性单位声明函》，详见招标文件第六章示范格式。</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（2）残疾人福利单位标准请参照《关于促进残疾人就业政府采购政策的通知》（财库〔2017〕141号）。</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35.5监狱和戒毒企业</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（2）监狱企业标准请参照《关于政府采购支持监狱企业发展有关问题的通知》（财库〔2014〕68号）。</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36. 节能、环保政策（本项目不涉及）</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36.2节能产品</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36.3环保产品</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被列入“环境标志产品品目清单”的，实行优先采购。</w:t>
      </w:r>
    </w:p>
    <w:p>
      <w:pPr>
        <w:spacing w:line="520" w:lineRule="exact"/>
        <w:ind w:firstLine="560"/>
        <w:rPr>
          <w:rFonts w:hint="eastAsia" w:ascii="仿宋" w:hAnsi="仿宋" w:eastAsia="仿宋"/>
          <w:sz w:val="28"/>
          <w:highlight w:val="none"/>
        </w:rPr>
      </w:pPr>
      <w:r>
        <w:rPr>
          <w:rFonts w:hint="eastAsia" w:ascii="仿宋" w:hAnsi="仿宋" w:eastAsia="仿宋"/>
          <w:sz w:val="28"/>
          <w:szCs w:val="28"/>
          <w:highlight w:val="none"/>
        </w:rPr>
        <w:t>36.4本项目中实行“强制采购”的，需</w:t>
      </w:r>
      <w:r>
        <w:rPr>
          <w:rFonts w:hint="eastAsia" w:ascii="仿宋" w:hAnsi="仿宋" w:eastAsia="仿宋"/>
          <w:sz w:val="28"/>
          <w:highlight w:val="none"/>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pPr>
        <w:spacing w:line="520" w:lineRule="exact"/>
        <w:ind w:firstLine="560"/>
        <w:rPr>
          <w:rFonts w:hint="eastAsia" w:ascii="仿宋" w:hAnsi="仿宋" w:eastAsia="仿宋"/>
          <w:bCs/>
          <w:color w:val="000000"/>
          <w:sz w:val="28"/>
          <w:szCs w:val="28"/>
          <w:highlight w:val="none"/>
        </w:rPr>
      </w:pPr>
      <w:r>
        <w:rPr>
          <w:rFonts w:hint="eastAsia" w:ascii="仿宋" w:hAnsi="仿宋" w:eastAsia="仿宋"/>
          <w:sz w:val="28"/>
          <w:szCs w:val="28"/>
          <w:highlight w:val="none"/>
        </w:rPr>
        <w:t>36.5节能、环保产品的品目清单按照《关于印发环境标志产品政府采购品目清单的通知》（财库〔2019〕18号）、《关于印发节能产品政府采购品目清单的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通知》（财库〔2019〕19号）执行。国家对品目清单进行调整的，按照最新调整的品目清单执行。</w:t>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37.政府绿色采购</w:t>
      </w:r>
    </w:p>
    <w:p>
      <w:pPr>
        <w:spacing w:line="520" w:lineRule="exact"/>
        <w:ind w:firstLine="280"/>
        <w:rPr>
          <w:rFonts w:hint="eastAsia" w:ascii="仿宋" w:hAnsi="仿宋" w:eastAsia="仿宋"/>
          <w:bCs/>
          <w:color w:val="000000"/>
          <w:sz w:val="28"/>
          <w:szCs w:val="28"/>
          <w:highlight w:val="none"/>
        </w:rPr>
      </w:pPr>
      <w:r>
        <w:rPr>
          <w:rFonts w:hint="eastAsia" w:ascii="仿宋" w:hAnsi="仿宋" w:eastAsia="仿宋"/>
          <w:sz w:val="28"/>
          <w:szCs w:val="28"/>
          <w:highlight w:val="none"/>
        </w:rPr>
        <w:t>根据《江苏省财政厅关于加强政府绿色采购有关事项的通知》（苏财购〔2023〕65号）的要求，落实政府绿色采购相关政策，具体如下：</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37.1本项目为货物类采购项目的，所提供的产品需综合考虑节能环保、节水、循环再生、低碳、有机等因素；本项目为物业、合同能源管理等服务类采购项目的，应在服务中加强绿色低碳管理。</w:t>
      </w:r>
    </w:p>
    <w:p>
      <w:pPr>
        <w:pStyle w:val="215"/>
        <w:spacing w:after="0"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37.2本项目中涉及商品的</w:t>
      </w:r>
      <w:r>
        <w:rPr>
          <w:rFonts w:ascii="仿宋" w:hAnsi="仿宋" w:eastAsia="仿宋"/>
          <w:sz w:val="28"/>
          <w:szCs w:val="28"/>
          <w:highlight w:val="none"/>
        </w:rPr>
        <w:t>包装应按照“财办库〔2020〕123号《关于印发《商品包装政府采购需求标准（试行）</w:t>
      </w:r>
      <w:r>
        <w:rPr>
          <w:rFonts w:hint="eastAsia" w:ascii="仿宋" w:hAnsi="仿宋" w:eastAsia="仿宋"/>
          <w:sz w:val="28"/>
          <w:szCs w:val="28"/>
          <w:highlight w:val="none"/>
        </w:rPr>
        <w:t>》《</w:t>
      </w:r>
      <w:r>
        <w:rPr>
          <w:rFonts w:ascii="仿宋" w:hAnsi="仿宋" w:eastAsia="仿宋"/>
          <w:sz w:val="28"/>
          <w:szCs w:val="28"/>
          <w:highlight w:val="none"/>
        </w:rPr>
        <w:t>快递包装政府采购需求标准（试行）》的通知》”执行</w:t>
      </w:r>
      <w:r>
        <w:rPr>
          <w:rFonts w:hint="eastAsia" w:ascii="仿宋" w:hAnsi="仿宋" w:eastAsia="仿宋"/>
          <w:sz w:val="28"/>
          <w:szCs w:val="28"/>
          <w:highlight w:val="none"/>
        </w:rPr>
        <w:t>，在供货、安装过程中能做到低碳物流、环保节约、提高资源利用率；涉及设备运维参考《绿色数据中心政府采购需求标准（试行）》（财库〔2023〕7号文）执行。</w:t>
      </w:r>
    </w:p>
    <w:p>
      <w:pPr>
        <w:pStyle w:val="215"/>
        <w:spacing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37.3本项目中涉及涂料、胶黏剂、油墨、清洗剂等挥发性有机物产品的，要执行国家和江苏省VOCs含量限制标准，优先使用低挥发性原辅材料，使用低VOCs含量的涂料、胶黏剂等。</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38. 履约资金扶持政策</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38.2有融资贷款需求的成交人，与采购人在苏采云【合同在线签订】模块中进行合同在线签订时，【账户信息完善】的“是否融资”一栏中需选择“是”，同时完善收款账号信息和合同补充协议（融资账号）。</w:t>
      </w:r>
    </w:p>
    <w:p>
      <w:pPr>
        <w:pStyle w:val="35"/>
        <w:spacing w:line="520" w:lineRule="exact"/>
        <w:ind w:left="0" w:firstLine="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39.采购本国产品的支持政策</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37.1 本项目政府采购活动中既有本国产品又有非本国产品参与竞争的，依法对本国产品给予价格评审优惠，对本国产品的报价给予20%的价格扣除，用扣除后的价格参与评审。</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37.3 投标人需按照招标文件的要求提供《关于符合本国产品标准的声明函》（以下简称《声明函》，详见第六章“示范格式六”），如不提供将不享受本国产品价格评审优惠。</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37.4 投标人需在《声明函》中逐一、准确填写产品名称、厂名、生产厂址三项信息，三项信息中任意一项未填写的视为该项产品不符合本国产品标准，不享受本国产品价格评审优惠。</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pStyle w:val="35"/>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43"/>
        <w:rPr>
          <w:highlight w:val="none"/>
        </w:rPr>
      </w:pPr>
    </w:p>
    <w:p>
      <w:pPr>
        <w:spacing w:line="520" w:lineRule="exact"/>
        <w:ind w:firstLine="560"/>
        <w:jc w:val="center"/>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第三章  评审方法与评审标准</w:t>
      </w:r>
    </w:p>
    <w:p>
      <w:pPr>
        <w:spacing w:line="520" w:lineRule="exact"/>
        <w:ind w:firstLine="539"/>
        <w:rPr>
          <w:rFonts w:hint="eastAsia" w:ascii="仿宋" w:hAnsi="仿宋" w:eastAsia="仿宋"/>
          <w:sz w:val="28"/>
          <w:highlight w:val="none"/>
        </w:rPr>
      </w:pPr>
      <w:r>
        <w:rPr>
          <w:rFonts w:hint="eastAsia" w:ascii="仿宋" w:hAnsi="仿宋" w:eastAsia="仿宋"/>
          <w:sz w:val="28"/>
          <w:szCs w:val="28"/>
          <w:highlight w:val="none"/>
          <w:lang w:val="zh-CN"/>
        </w:rPr>
        <w:t>一、本项目采用综合评分法进行评审。</w:t>
      </w:r>
      <w:r>
        <w:rPr>
          <w:rFonts w:hint="eastAsia" w:ascii="仿宋" w:hAnsi="仿宋" w:eastAsia="仿宋"/>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二、磋商小组将依据下列评审标准进行评审，本评标标准的总分为100分。</w:t>
      </w:r>
    </w:p>
    <w:p>
      <w:pPr>
        <w:spacing w:line="520" w:lineRule="exact"/>
        <w:ind w:firstLine="560"/>
        <w:rPr>
          <w:rFonts w:hint="eastAsia" w:ascii="仿宋" w:hAnsi="仿宋" w:eastAsia="仿宋" w:cs="仿宋"/>
          <w:sz w:val="24"/>
          <w:highlight w:val="none"/>
        </w:rPr>
      </w:pPr>
      <w:r>
        <w:rPr>
          <w:rFonts w:hint="eastAsia" w:ascii="仿宋" w:hAnsi="仿宋" w:eastAsia="仿宋" w:cs="仿宋"/>
          <w:sz w:val="28"/>
          <w:szCs w:val="28"/>
          <w:highlight w:val="none"/>
        </w:rPr>
        <w:t>三、具体标准：</w:t>
      </w:r>
    </w:p>
    <w:tbl>
      <w:tblPr>
        <w:tblStyle w:val="36"/>
        <w:tblW w:w="94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549"/>
        <w:gridCol w:w="5861"/>
        <w:gridCol w:w="12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2"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评审项目</w:t>
            </w:r>
          </w:p>
        </w:tc>
        <w:tc>
          <w:tcPr>
            <w:tcW w:w="5861"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评分细则</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单项分数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80"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投标报价</w:t>
            </w:r>
          </w:p>
        </w:tc>
        <w:tc>
          <w:tcPr>
            <w:tcW w:w="5861"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满足招标文件要求且投标价格最低的为评标基准价，其价格分为满分。其他投标供应商的价格分按照下列公式计算（小数点保留两位）:投标报价得分＝（评标基准价/投标报价）×1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2" w:hRule="atLeast"/>
          <w:jc w:val="center"/>
        </w:trPr>
        <w:tc>
          <w:tcPr>
            <w:tcW w:w="736" w:type="dxa"/>
            <w:tcBorders>
              <w:bottom w:val="single" w:color="auto" w:sz="4" w:space="0"/>
            </w:tcBorders>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1549" w:type="dxa"/>
            <w:tcBorders>
              <w:bottom w:val="single" w:color="auto" w:sz="4" w:space="0"/>
            </w:tcBorders>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项目理解</w:t>
            </w:r>
          </w:p>
        </w:tc>
        <w:tc>
          <w:tcPr>
            <w:tcW w:w="5861" w:type="dxa"/>
            <w:tcBorders>
              <w:bottom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根据供应商提供的项目理解方案进行评审：包含但不限于：①项目概述与需求分析②无纸化办案理解和建议③司法辅助集约化服务整体设计思路；</w:t>
            </w:r>
            <w:bookmarkStart w:id="32" w:name="OLE_LINK4"/>
            <w:r>
              <w:rPr>
                <w:rFonts w:hint="eastAsia" w:ascii="仿宋" w:hAnsi="仿宋" w:eastAsia="仿宋" w:cs="仿宋"/>
                <w:sz w:val="24"/>
                <w:highlight w:val="none"/>
              </w:rPr>
              <w:t>上述方案进行综合评议。</w:t>
            </w:r>
          </w:p>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方案详尽、精细，科学合理，操作性强，得</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分；方案较为全面，较详细合理、规范科学，得</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分；方案简单，操作性一般，得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分；无则不得分。</w:t>
            </w:r>
            <w:bookmarkEnd w:id="32"/>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8" w:hRule="atLeast"/>
          <w:jc w:val="center"/>
        </w:trPr>
        <w:tc>
          <w:tcPr>
            <w:tcW w:w="736" w:type="dxa"/>
            <w:vMerge w:val="restart"/>
            <w:tcBorders>
              <w:top w:val="single" w:color="auto" w:sz="4" w:space="0"/>
            </w:tcBorders>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1549" w:type="dxa"/>
            <w:vMerge w:val="restart"/>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服务方案</w:t>
            </w: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根据供应商提供的诉讼辅助服务方案进行评审：包含但不限于对诉讼辅助各岗位工作流程、岗位职责、工作时效性、岗位科技赋能等方面进行综合评议。</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方案详尽、精细，科学合理，操作性强，得</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分；方案较为全面，较详细合理、规范科学，得3分；方案简单，操作性一般，得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8" w:hRule="atLeast"/>
          <w:jc w:val="center"/>
        </w:trPr>
        <w:tc>
          <w:tcPr>
            <w:tcW w:w="736" w:type="dxa"/>
            <w:vMerge w:val="continue"/>
            <w:tcBorders>
              <w:top w:val="single" w:color="auto" w:sz="4" w:space="0"/>
            </w:tcBorders>
            <w:vAlign w:val="center"/>
          </w:tcPr>
          <w:p>
            <w:pPr>
              <w:spacing w:line="240" w:lineRule="auto"/>
              <w:jc w:val="center"/>
              <w:rPr>
                <w:rFonts w:hint="eastAsia" w:ascii="仿宋" w:hAnsi="仿宋" w:eastAsia="仿宋" w:cs="仿宋"/>
                <w:sz w:val="24"/>
                <w:highlight w:val="none"/>
              </w:rPr>
            </w:pPr>
          </w:p>
        </w:tc>
        <w:tc>
          <w:tcPr>
            <w:tcW w:w="1549" w:type="dxa"/>
            <w:vMerge w:val="continue"/>
            <w:tcBorders>
              <w:top w:val="single" w:color="auto" w:sz="4" w:space="0"/>
            </w:tcBorders>
            <w:vAlign w:val="center"/>
          </w:tcPr>
          <w:p>
            <w:pPr>
              <w:spacing w:line="240" w:lineRule="auto"/>
              <w:rPr>
                <w:rFonts w:hint="eastAsia" w:ascii="仿宋" w:hAnsi="仿宋" w:eastAsia="仿宋" w:cs="仿宋"/>
                <w:sz w:val="24"/>
                <w:highlight w:val="none"/>
              </w:rPr>
            </w:pP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材料收转服务方案进行评审：包含但不限于对工作流程、服务内容、岗位职责、工作时效性、岗位科技赋能等方面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8" w:hRule="atLeast"/>
          <w:jc w:val="center"/>
        </w:trPr>
        <w:tc>
          <w:tcPr>
            <w:tcW w:w="736" w:type="dxa"/>
            <w:vMerge w:val="continue"/>
            <w:tcBorders>
              <w:top w:val="single" w:color="auto" w:sz="4" w:space="0"/>
            </w:tcBorders>
            <w:vAlign w:val="center"/>
          </w:tcPr>
          <w:p>
            <w:pPr>
              <w:spacing w:line="240" w:lineRule="auto"/>
              <w:jc w:val="center"/>
              <w:rPr>
                <w:rFonts w:hint="eastAsia" w:ascii="仿宋" w:hAnsi="仿宋" w:eastAsia="仿宋" w:cs="仿宋"/>
                <w:sz w:val="24"/>
                <w:highlight w:val="none"/>
              </w:rPr>
            </w:pPr>
          </w:p>
        </w:tc>
        <w:tc>
          <w:tcPr>
            <w:tcW w:w="1549" w:type="dxa"/>
            <w:vMerge w:val="continue"/>
            <w:tcBorders>
              <w:top w:val="single" w:color="auto" w:sz="4" w:space="0"/>
            </w:tcBorders>
            <w:vAlign w:val="center"/>
          </w:tcPr>
          <w:p>
            <w:pPr>
              <w:spacing w:line="240" w:lineRule="auto"/>
              <w:rPr>
                <w:rFonts w:hint="eastAsia" w:ascii="仿宋" w:hAnsi="仿宋" w:eastAsia="仿宋" w:cs="仿宋"/>
                <w:sz w:val="24"/>
                <w:highlight w:val="none"/>
              </w:rPr>
            </w:pP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随案扫描服务方案进行评审：包含但不限于对工作流程、材料分类及扫描规范、岗位职责、工作时效性、岗位科技赋能等方面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8" w:hRule="atLeast"/>
          <w:jc w:val="center"/>
        </w:trPr>
        <w:tc>
          <w:tcPr>
            <w:tcW w:w="736" w:type="dxa"/>
            <w:vMerge w:val="continue"/>
            <w:tcBorders>
              <w:top w:val="single" w:color="auto" w:sz="4" w:space="0"/>
            </w:tcBorders>
            <w:vAlign w:val="center"/>
          </w:tcPr>
          <w:p>
            <w:pPr>
              <w:spacing w:line="240" w:lineRule="auto"/>
              <w:jc w:val="center"/>
              <w:rPr>
                <w:rFonts w:hint="eastAsia" w:ascii="仿宋" w:hAnsi="仿宋" w:eastAsia="仿宋" w:cs="仿宋"/>
                <w:sz w:val="24"/>
                <w:highlight w:val="none"/>
              </w:rPr>
            </w:pPr>
          </w:p>
        </w:tc>
        <w:tc>
          <w:tcPr>
            <w:tcW w:w="1549" w:type="dxa"/>
            <w:vMerge w:val="continue"/>
            <w:tcBorders>
              <w:top w:val="single" w:color="auto" w:sz="4" w:space="0"/>
            </w:tcBorders>
            <w:vAlign w:val="center"/>
          </w:tcPr>
          <w:p>
            <w:pPr>
              <w:spacing w:line="240" w:lineRule="auto"/>
              <w:rPr>
                <w:rFonts w:hint="eastAsia" w:ascii="仿宋" w:hAnsi="仿宋" w:eastAsia="仿宋" w:cs="仿宋"/>
                <w:sz w:val="24"/>
                <w:highlight w:val="none"/>
              </w:rPr>
            </w:pP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bookmarkStart w:id="33" w:name="OLE_LINK18"/>
            <w:r>
              <w:rPr>
                <w:rFonts w:hint="eastAsia" w:ascii="仿宋" w:hAnsi="仿宋" w:eastAsia="仿宋" w:cs="仿宋"/>
                <w:sz w:val="24"/>
                <w:highlight w:val="none"/>
              </w:rPr>
              <w:t>根据供应商提供的卷宗管理服务方案进行评审：包含但不限于对工作流程、工作内容、岗位职责、工作时效性、岗位科技赋能等方面进行综合评议。方案详尽、精细，科学合理，操作性强，得3分；方案较为全面，较详细合理、规范科学，得2分；方案简单，操作性一般，得1分；无则不得分。</w:t>
            </w:r>
            <w:bookmarkEnd w:id="33"/>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8" w:hRule="atLeast"/>
          <w:jc w:val="center"/>
        </w:trPr>
        <w:tc>
          <w:tcPr>
            <w:tcW w:w="736" w:type="dxa"/>
            <w:vMerge w:val="continue"/>
            <w:tcBorders>
              <w:top w:val="single" w:color="auto" w:sz="4" w:space="0"/>
            </w:tcBorders>
            <w:vAlign w:val="center"/>
          </w:tcPr>
          <w:p>
            <w:pPr>
              <w:spacing w:line="240" w:lineRule="auto"/>
              <w:jc w:val="center"/>
              <w:rPr>
                <w:rFonts w:hint="eastAsia" w:ascii="仿宋" w:hAnsi="仿宋" w:eastAsia="仿宋" w:cs="仿宋"/>
                <w:sz w:val="24"/>
                <w:highlight w:val="none"/>
              </w:rPr>
            </w:pPr>
          </w:p>
        </w:tc>
        <w:tc>
          <w:tcPr>
            <w:tcW w:w="1549" w:type="dxa"/>
            <w:vMerge w:val="continue"/>
            <w:tcBorders>
              <w:top w:val="single" w:color="auto" w:sz="4" w:space="0"/>
            </w:tcBorders>
            <w:vAlign w:val="center"/>
          </w:tcPr>
          <w:p>
            <w:pPr>
              <w:spacing w:line="240" w:lineRule="auto"/>
              <w:rPr>
                <w:rFonts w:hint="eastAsia" w:ascii="仿宋" w:hAnsi="仿宋" w:eastAsia="仿宋" w:cs="仿宋"/>
                <w:sz w:val="24"/>
                <w:highlight w:val="none"/>
              </w:rPr>
            </w:pP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归档服务方案进行评审：包含但不限于电子归档和纸质归档服务流程、操作步骤等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8" w:hRule="atLeast"/>
          <w:jc w:val="center"/>
        </w:trPr>
        <w:tc>
          <w:tcPr>
            <w:tcW w:w="736" w:type="dxa"/>
            <w:vMerge w:val="continue"/>
            <w:tcBorders>
              <w:top w:val="single" w:color="auto" w:sz="4" w:space="0"/>
            </w:tcBorders>
            <w:vAlign w:val="center"/>
          </w:tcPr>
          <w:p>
            <w:pPr>
              <w:spacing w:line="240" w:lineRule="auto"/>
              <w:jc w:val="center"/>
              <w:rPr>
                <w:rFonts w:hint="eastAsia" w:ascii="仿宋" w:hAnsi="仿宋" w:eastAsia="仿宋" w:cs="仿宋"/>
                <w:sz w:val="24"/>
                <w:highlight w:val="none"/>
              </w:rPr>
            </w:pPr>
          </w:p>
        </w:tc>
        <w:tc>
          <w:tcPr>
            <w:tcW w:w="1549" w:type="dxa"/>
            <w:vMerge w:val="continue"/>
            <w:tcBorders>
              <w:top w:val="single" w:color="auto" w:sz="4" w:space="0"/>
            </w:tcBorders>
            <w:vAlign w:val="center"/>
          </w:tcPr>
          <w:p>
            <w:pPr>
              <w:spacing w:line="240" w:lineRule="auto"/>
              <w:rPr>
                <w:rFonts w:hint="eastAsia" w:ascii="仿宋" w:hAnsi="仿宋" w:eastAsia="仿宋" w:cs="仿宋"/>
                <w:sz w:val="24"/>
                <w:highlight w:val="none"/>
              </w:rPr>
            </w:pPr>
          </w:p>
        </w:tc>
        <w:tc>
          <w:tcPr>
            <w:tcW w:w="5861"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根据供应商提供的驻庭辅助服务方案进行评审：包含但不限于对诉讼辅助各岗位工作流程、岗位职责、工作时效性、岗位科技赋能等方面进行综合评议。</w:t>
            </w:r>
          </w:p>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4"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基础性配套服务</w:t>
            </w:r>
          </w:p>
        </w:tc>
        <w:tc>
          <w:tcPr>
            <w:tcW w:w="5861" w:type="dxa"/>
            <w:vAlign w:val="center"/>
          </w:tcPr>
          <w:p>
            <w:pPr>
              <w:spacing w:line="240" w:lineRule="auto"/>
              <w:rPr>
                <w:rFonts w:hint="eastAsia" w:ascii="仿宋" w:hAnsi="仿宋" w:eastAsia="仿宋" w:cs="仿宋"/>
                <w:bCs/>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供应商随服务提供图像优化系统软件支持①挂接本地文件②扫描自动图像优化参数调整③支持缩略图浏览④自动优化包括一键优化、背景消除、图像增强、去黑边噪孔、自动纠偏、封面优化、印章加深、页码转换⑤手动修图包括自由擦除、框选擦除、裁剪、A四填充、梯形校正、旋转色彩优化⑥与材料系统对接⑦支持材料跟踪⑧服务数据统计等功能；</w:t>
            </w:r>
            <w:r>
              <w:rPr>
                <w:rFonts w:hint="eastAsia" w:ascii="仿宋" w:hAnsi="仿宋" w:eastAsia="仿宋" w:cs="仿宋"/>
                <w:bCs/>
                <w:sz w:val="24"/>
                <w:highlight w:val="none"/>
              </w:rPr>
              <w:t>每提供一个功能相关截图和业务场景下说明得</w:t>
            </w:r>
            <w:r>
              <w:rPr>
                <w:rFonts w:hint="eastAsia" w:ascii="仿宋" w:hAnsi="仿宋" w:eastAsia="仿宋" w:cs="仿宋"/>
                <w:bCs/>
                <w:sz w:val="24"/>
                <w:highlight w:val="yellow"/>
                <w:lang w:val="en-US" w:eastAsia="zh-CN"/>
              </w:rPr>
              <w:t>1</w:t>
            </w:r>
            <w:r>
              <w:rPr>
                <w:rFonts w:hint="eastAsia" w:ascii="仿宋" w:hAnsi="仿宋" w:eastAsia="仿宋" w:cs="仿宋"/>
                <w:bCs/>
                <w:sz w:val="24"/>
                <w:highlight w:val="yellow"/>
              </w:rPr>
              <w:t>分，只提供说明没有截图不得分，本项最高得</w:t>
            </w:r>
            <w:r>
              <w:rPr>
                <w:rFonts w:hint="eastAsia" w:ascii="仿宋" w:hAnsi="仿宋" w:eastAsia="仿宋" w:cs="仿宋"/>
                <w:bCs/>
                <w:sz w:val="24"/>
                <w:highlight w:val="yellow"/>
                <w:lang w:val="en-US" w:eastAsia="zh-CN"/>
              </w:rPr>
              <w:t>8</w:t>
            </w:r>
            <w:r>
              <w:rPr>
                <w:rFonts w:hint="eastAsia" w:ascii="仿宋" w:hAnsi="仿宋" w:eastAsia="仿宋" w:cs="仿宋"/>
                <w:bCs/>
                <w:sz w:val="24"/>
                <w:highlight w:val="yellow"/>
              </w:rPr>
              <w:t>分</w:t>
            </w:r>
            <w:r>
              <w:rPr>
                <w:rFonts w:hint="eastAsia" w:ascii="仿宋" w:hAnsi="仿宋" w:eastAsia="仿宋" w:cs="仿宋"/>
                <w:bCs/>
                <w:sz w:val="24"/>
                <w:highlight w:val="none"/>
              </w:rPr>
              <w:t>，</w:t>
            </w:r>
            <w:r>
              <w:rPr>
                <w:rFonts w:hint="eastAsia" w:ascii="仿宋" w:hAnsi="仿宋" w:eastAsia="仿宋" w:cs="仿宋"/>
                <w:bCs/>
                <w:sz w:val="24"/>
                <w:highlight w:val="none"/>
              </w:rPr>
              <w:t>未提供不得分。</w:t>
            </w:r>
          </w:p>
          <w:p>
            <w:pPr>
              <w:spacing w:line="240" w:lineRule="auto"/>
              <w:jc w:val="left"/>
              <w:rPr>
                <w:rFonts w:hint="eastAsia" w:ascii="仿宋" w:hAnsi="仿宋" w:eastAsia="仿宋" w:cs="仿宋"/>
                <w:sz w:val="24"/>
                <w:highlight w:val="none"/>
              </w:rPr>
            </w:pPr>
            <w:r>
              <w:rPr>
                <w:rFonts w:hint="eastAsia" w:ascii="仿宋" w:hAnsi="仿宋" w:eastAsia="仿宋" w:cs="仿宋"/>
                <w:b/>
                <w:bCs/>
                <w:sz w:val="24"/>
                <w:highlight w:val="none"/>
              </w:rPr>
              <w:t>说明：提供相关功能截图作为证明材料，并加盖供应商公章。</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w:t>
            </w:r>
            <w:bookmarkStart w:id="34" w:name="OLE_LINK6"/>
            <w:r>
              <w:rPr>
                <w:rFonts w:hint="eastAsia" w:ascii="仿宋" w:hAnsi="仿宋" w:eastAsia="仿宋" w:cs="仿宋"/>
                <w:sz w:val="24"/>
                <w:highlight w:val="none"/>
              </w:rPr>
              <w:t>根据供应商提卷宗加工配套软件功能进行评审：①卷宗加工软件需支持模板配置，提供打印封面，目录，备考表，档案盒等功能；②需支持对接审判和档案等系统，减少手工录入工作量以及手工录入准确性的问题；③需支持卷宗归档后加册功能，规范归档加册流程；④需支持分卷册自动生成并打印条形码，解决档案分册条形码打印问题；⑤需要支持自动生成卷册信息，无需手工引入；上述功能提供截图，每项1分，共计5分，每有一项缺项的扣1分，扣完为止，未提供不得分。</w:t>
            </w:r>
            <w:bookmarkEnd w:id="34"/>
          </w:p>
          <w:p>
            <w:pPr>
              <w:spacing w:line="240" w:lineRule="auto"/>
              <w:jc w:val="left"/>
              <w:rPr>
                <w:rFonts w:hint="eastAsia" w:ascii="仿宋" w:hAnsi="仿宋" w:eastAsia="仿宋" w:cs="仿宋"/>
                <w:b/>
                <w:sz w:val="24"/>
                <w:highlight w:val="none"/>
              </w:rPr>
            </w:pPr>
            <w:r>
              <w:rPr>
                <w:rFonts w:hint="eastAsia" w:ascii="仿宋" w:hAnsi="仿宋" w:eastAsia="仿宋" w:cs="仿宋"/>
                <w:b/>
                <w:bCs/>
                <w:sz w:val="24"/>
                <w:highlight w:val="none"/>
              </w:rPr>
              <w:t>说明：提供相关功能截图作为证明材料，并加盖供应商公章。</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13</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4"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服务标准和服务质量</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1）根据供应商提供的服务标准方案进行评审：包含但不限于①电子卷宗随案同步生成标准②案件归档卷宗排序标准；上述方案进行综合评议，每项1分，共计2分，每有一项缺项的扣1分，每有一项内容不完整或有缺陷的扣0.5分，扣完为止，未提供不得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2）根据供应商提供的服务质量方案进行评审：包含但不限于①全流程服务各岗位绩效考核体系②绩效管理办法；上述方案进行综合评议，每项1分，共计2分，每有一项缺项的扣1分，每有一项内容不完整或有缺陷的扣0.5分，扣完为止，未提供不得分。</w:t>
            </w:r>
          </w:p>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注：内容不完整或有缺陷是指：非专门针对本项目或不适用本项目需求的情形、套用其他项目方案、内容前后矛盾、涉及的规范及标准错误等及其他情形。</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6"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项目组织</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供应商提供的项目组织方案进行评审：包含但不限于①项目进度计划②内部管理架构③管理规章制度；上述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培训方案</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根据供应商提供的培训方案进行评审：包含但不限于①内部培训②法院端培训③</w:t>
            </w:r>
            <w:bookmarkStart w:id="35" w:name="_Toc144292927"/>
            <w:r>
              <w:rPr>
                <w:rFonts w:hint="eastAsia" w:ascii="仿宋" w:hAnsi="仿宋" w:eastAsia="仿宋" w:cs="仿宋"/>
                <w:sz w:val="24"/>
                <w:highlight w:val="none"/>
              </w:rPr>
              <w:t>员工培训管理制度</w:t>
            </w:r>
            <w:bookmarkEnd w:id="35"/>
            <w:r>
              <w:rPr>
                <w:rFonts w:hint="eastAsia" w:ascii="仿宋" w:hAnsi="仿宋" w:eastAsia="仿宋" w:cs="仿宋"/>
                <w:sz w:val="24"/>
                <w:highlight w:val="none"/>
              </w:rPr>
              <w:t>；上述方案进行综合评议，方案详尽、精细，科学合理，操作性强，得3分；方案较为全面，较详细合理、规范科学，得2分；方案简单，操作性一般，得1分；无则不得分。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8"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人力资源保障措施</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供应商提供的人力资源保障措施方案进行评审：包含但不限于①员工入离职管理制度②薪酬制度规范③员工晋升机制④员工奖惩制度；上述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4"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9</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应急情况处理</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供应商提供的应急情况处理方案进行评审：包含但不限于①应急事项的处理流程②处理方法③日常预防机制；上述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4" w:hRule="atLeast"/>
          <w:jc w:val="center"/>
        </w:trPr>
        <w:tc>
          <w:tcPr>
            <w:tcW w:w="73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10</w:t>
            </w:r>
          </w:p>
        </w:tc>
        <w:tc>
          <w:tcPr>
            <w:tcW w:w="154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安全保密方案</w:t>
            </w:r>
          </w:p>
        </w:tc>
        <w:tc>
          <w:tcPr>
            <w:tcW w:w="5861"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供应商提供的安全保密方案进行评审：包含但不限于①保密安全管理制度②保密安全管理规范③保密安全管理措施；上述方案进行综合评议，方案详尽、精细，科学合理，操作性强，得3分；方案较为全面，较详细合理、规范科学，得2分；方案简单，操作性一般，得1分；无则不得分。</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9" w:hRule="atLeast"/>
          <w:jc w:val="center"/>
        </w:trPr>
        <w:tc>
          <w:tcPr>
            <w:tcW w:w="8146" w:type="dxa"/>
            <w:gridSpan w:val="3"/>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合计</w:t>
            </w:r>
          </w:p>
        </w:tc>
        <w:tc>
          <w:tcPr>
            <w:tcW w:w="1283"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70</w:t>
            </w:r>
            <w:r>
              <w:rPr>
                <w:rFonts w:hint="eastAsia" w:ascii="仿宋" w:hAnsi="仿宋" w:eastAsia="仿宋" w:cs="仿宋"/>
                <w:sz w:val="24"/>
                <w:highlight w:val="none"/>
              </w:rPr>
              <w:t>分</w:t>
            </w:r>
          </w:p>
        </w:tc>
      </w:tr>
    </w:tbl>
    <w:p>
      <w:pPr>
        <w:ind w:firstLine="560"/>
        <w:rPr>
          <w:rFonts w:hint="eastAsia" w:ascii="仿宋" w:hAnsi="仿宋" w:eastAsia="仿宋" w:cs="仿宋"/>
          <w:sz w:val="24"/>
          <w:highlight w:val="none"/>
        </w:rPr>
      </w:pPr>
    </w:p>
    <w:p>
      <w:pPr>
        <w:ind w:firstLine="560"/>
        <w:rPr>
          <w:rFonts w:hint="eastAsia" w:ascii="仿宋" w:hAnsi="仿宋" w:eastAsia="仿宋" w:cs="仿宋"/>
          <w:sz w:val="24"/>
          <w:highlight w:val="none"/>
        </w:rPr>
      </w:pPr>
      <w:r>
        <w:rPr>
          <w:rFonts w:hint="eastAsia" w:ascii="仿宋" w:hAnsi="仿宋" w:eastAsia="仿宋" w:cs="仿宋"/>
          <w:sz w:val="24"/>
          <w:highlight w:val="none"/>
        </w:rPr>
        <w:t>3、商务评分（</w:t>
      </w:r>
      <w:r>
        <w:rPr>
          <w:rFonts w:hint="eastAsia" w:ascii="仿宋" w:hAnsi="仿宋" w:eastAsia="仿宋" w:cs="仿宋"/>
          <w:sz w:val="24"/>
          <w:highlight w:val="none"/>
          <w:lang w:val="en-US" w:eastAsia="zh-CN"/>
        </w:rPr>
        <w:t>29</w:t>
      </w:r>
      <w:r>
        <w:rPr>
          <w:rFonts w:hint="eastAsia" w:ascii="仿宋" w:hAnsi="仿宋" w:eastAsia="仿宋" w:cs="仿宋"/>
          <w:sz w:val="24"/>
          <w:highlight w:val="none"/>
        </w:rPr>
        <w:t>分）</w:t>
      </w:r>
    </w:p>
    <w:tbl>
      <w:tblPr>
        <w:tblStyle w:val="36"/>
        <w:tblW w:w="93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530"/>
        <w:gridCol w:w="5906"/>
        <w:gridCol w:w="12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4"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1530"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评审项目</w:t>
            </w:r>
          </w:p>
        </w:tc>
        <w:tc>
          <w:tcPr>
            <w:tcW w:w="5906"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评分细则</w:t>
            </w:r>
          </w:p>
        </w:tc>
        <w:tc>
          <w:tcPr>
            <w:tcW w:w="1232"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单项分数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6"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1530"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2023年以来相关业绩情况</w:t>
            </w:r>
          </w:p>
        </w:tc>
        <w:tc>
          <w:tcPr>
            <w:tcW w:w="5906" w:type="dxa"/>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根据投标人提供</w:t>
            </w:r>
            <w:r>
              <w:rPr>
                <w:rFonts w:hint="eastAsia" w:ascii="仿宋" w:hAnsi="仿宋" w:eastAsia="仿宋" w:cs="仿宋"/>
                <w:sz w:val="24"/>
                <w:highlight w:val="none"/>
                <w:lang w:val="en-US" w:eastAsia="zh-CN"/>
              </w:rPr>
              <w:t>2023年6月</w:t>
            </w:r>
            <w:r>
              <w:rPr>
                <w:rFonts w:hint="eastAsia" w:ascii="仿宋" w:hAnsi="仿宋" w:eastAsia="仿宋" w:cs="仿宋"/>
                <w:sz w:val="24"/>
                <w:highlight w:val="none"/>
              </w:rPr>
              <w:t>以来类似项目业绩情况进行评审：</w:t>
            </w:r>
          </w:p>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供应商具有司法辅助类似业绩合同的，每个得1分，最高得5分。</w:t>
            </w:r>
          </w:p>
          <w:p>
            <w:pPr>
              <w:spacing w:line="240" w:lineRule="auto"/>
              <w:rPr>
                <w:rFonts w:hint="eastAsia" w:ascii="仿宋" w:hAnsi="仿宋" w:eastAsia="仿宋" w:cs="仿宋"/>
                <w:b/>
                <w:sz w:val="24"/>
                <w:highlight w:val="none"/>
              </w:rPr>
            </w:pPr>
            <w:r>
              <w:rPr>
                <w:rFonts w:hint="eastAsia" w:ascii="仿宋" w:hAnsi="仿宋" w:eastAsia="仿宋" w:cs="仿宋"/>
                <w:b/>
                <w:sz w:val="24"/>
                <w:highlight w:val="none"/>
              </w:rPr>
              <w:t>注：</w:t>
            </w:r>
          </w:p>
          <w:p>
            <w:pPr>
              <w:spacing w:line="240" w:lineRule="auto"/>
              <w:rPr>
                <w:rFonts w:hint="eastAsia" w:ascii="仿宋" w:hAnsi="仿宋" w:eastAsia="仿宋" w:cs="仿宋"/>
                <w:b/>
                <w:sz w:val="24"/>
                <w:highlight w:val="none"/>
              </w:rPr>
            </w:pPr>
            <w:r>
              <w:rPr>
                <w:rFonts w:hint="eastAsia" w:ascii="仿宋" w:hAnsi="仿宋" w:eastAsia="仿宋" w:cs="仿宋"/>
                <w:b/>
                <w:sz w:val="24"/>
                <w:highlight w:val="none"/>
              </w:rPr>
              <w:t>1、须提供以上相关业绩的合同扫描件并加盖投标人公章；</w:t>
            </w:r>
          </w:p>
          <w:p>
            <w:pPr>
              <w:spacing w:line="240" w:lineRule="auto"/>
              <w:jc w:val="left"/>
              <w:rPr>
                <w:rFonts w:hint="eastAsia" w:ascii="仿宋" w:hAnsi="仿宋" w:eastAsia="仿宋" w:cs="仿宋"/>
                <w:sz w:val="24"/>
                <w:highlight w:val="none"/>
              </w:rPr>
            </w:pPr>
            <w:r>
              <w:rPr>
                <w:rFonts w:hint="eastAsia" w:ascii="仿宋" w:hAnsi="仿宋" w:eastAsia="仿宋" w:cs="仿宋"/>
                <w:b/>
                <w:sz w:val="24"/>
                <w:highlight w:val="none"/>
              </w:rPr>
              <w:t>2、同一业绩涉及多个服务内容，按一个业绩计算。</w:t>
            </w:r>
          </w:p>
        </w:tc>
        <w:tc>
          <w:tcPr>
            <w:tcW w:w="1232"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7"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1530" w:type="dxa"/>
            <w:vAlign w:val="center"/>
          </w:tcPr>
          <w:p>
            <w:pPr>
              <w:spacing w:line="24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服务能力</w:t>
            </w:r>
          </w:p>
        </w:tc>
        <w:tc>
          <w:tcPr>
            <w:tcW w:w="5906" w:type="dxa"/>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根据提供自主知识产权的软件著作权证书情况进行综合评审：材料收转类似系统</w:t>
            </w:r>
            <w:bookmarkStart w:id="36" w:name="OLE_LINK14"/>
            <w:r>
              <w:rPr>
                <w:rFonts w:hint="eastAsia" w:ascii="仿宋" w:hAnsi="仿宋" w:eastAsia="仿宋" w:cs="仿宋"/>
                <w:sz w:val="24"/>
                <w:highlight w:val="none"/>
              </w:rPr>
              <w:t>、图像优化类似系统</w:t>
            </w:r>
            <w:bookmarkEnd w:id="36"/>
            <w:r>
              <w:rPr>
                <w:rFonts w:hint="eastAsia" w:ascii="仿宋" w:hAnsi="仿宋" w:eastAsia="仿宋" w:cs="仿宋"/>
                <w:sz w:val="24"/>
                <w:highlight w:val="none"/>
              </w:rPr>
              <w:t>、中间库管理类似系统，归档审查类似系统软件；全部提供得8分，每少1类软件著作权证书扣2分，扣完为止；</w:t>
            </w:r>
          </w:p>
          <w:p>
            <w:pPr>
              <w:spacing w:line="240" w:lineRule="auto"/>
              <w:jc w:val="left"/>
              <w:rPr>
                <w:rFonts w:hint="eastAsia" w:ascii="仿宋" w:hAnsi="仿宋" w:eastAsia="仿宋" w:cs="仿宋"/>
                <w:b/>
                <w:sz w:val="24"/>
                <w:highlight w:val="none"/>
              </w:rPr>
            </w:pPr>
            <w:r>
              <w:rPr>
                <w:rFonts w:hint="eastAsia" w:ascii="仿宋" w:hAnsi="仿宋" w:eastAsia="仿宋" w:cs="仿宋"/>
                <w:b/>
                <w:sz w:val="24"/>
                <w:highlight w:val="none"/>
              </w:rPr>
              <w:t>说明：</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1、属于供应商自有的：需提供①计算机软件著作权登记证书扫描件，证书著作权人名称须与投标供应商名称一致； </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2、属于供应商购买的，需提供①计算机软件著作权登记证书扫描件；②购买合同扫描件； </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3、属于供应商取得授权使用许可的，需提供①计算机软件著作权登记证书扫描件；②授权许可使用合同扫描件；</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4、提供以上相关证明材料扫描件并加盖投标人公章，未按要求提供或提供不齐全不得分。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5、多个计算机软件著作权登记证书包含内容重复的，只计算一次分值。</w:t>
            </w:r>
          </w:p>
        </w:tc>
        <w:tc>
          <w:tcPr>
            <w:tcW w:w="1232"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8分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5" w:hRule="atLeast"/>
          <w:jc w:val="center"/>
        </w:trPr>
        <w:tc>
          <w:tcPr>
            <w:tcW w:w="709" w:type="dxa"/>
            <w:vMerge w:val="restart"/>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1530" w:type="dxa"/>
            <w:vMerge w:val="restart"/>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拟派项目经理和现场服务人员能力</w:t>
            </w:r>
          </w:p>
        </w:tc>
        <w:tc>
          <w:tcPr>
            <w:tcW w:w="5906" w:type="dxa"/>
            <w:tcBorders>
              <w:bottom w:val="single" w:color="auto" w:sz="4" w:space="0"/>
            </w:tcBorders>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为满足项目实际需要，拟投入本项目的项目经理（仅限一人）资质要求如下：</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（1）具有中级及以上专业职称的得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分，取得初级专业职称的得</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（2）具有市级及以上保密部门颁发的安全保密管理员证书，得1分；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备注：本项最高得3分，提供不全或未提供不得分。项目经理需提供相关证件证明材料扫描件，并提供人员在投标单位服务的在职证明(2026年任意一个月社保证明或关联缴纳证明)，不提供者不得分。</w:t>
            </w:r>
          </w:p>
        </w:tc>
        <w:tc>
          <w:tcPr>
            <w:tcW w:w="1232" w:type="dxa"/>
            <w:tcBorders>
              <w:bottom w:val="single" w:color="auto" w:sz="4" w:space="0"/>
            </w:tcBorders>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1" w:hRule="atLeast"/>
          <w:jc w:val="center"/>
        </w:trPr>
        <w:tc>
          <w:tcPr>
            <w:tcW w:w="709" w:type="dxa"/>
            <w:vMerge w:val="continue"/>
            <w:vAlign w:val="center"/>
          </w:tcPr>
          <w:p>
            <w:pPr>
              <w:spacing w:line="240" w:lineRule="auto"/>
              <w:jc w:val="center"/>
              <w:rPr>
                <w:rFonts w:hint="eastAsia" w:ascii="仿宋" w:hAnsi="仿宋" w:eastAsia="仿宋" w:cs="仿宋"/>
                <w:sz w:val="24"/>
                <w:highlight w:val="none"/>
              </w:rPr>
            </w:pPr>
          </w:p>
        </w:tc>
        <w:tc>
          <w:tcPr>
            <w:tcW w:w="1530" w:type="dxa"/>
            <w:vMerge w:val="continue"/>
            <w:vAlign w:val="center"/>
          </w:tcPr>
          <w:p>
            <w:pPr>
              <w:spacing w:line="240" w:lineRule="auto"/>
              <w:jc w:val="center"/>
              <w:rPr>
                <w:rFonts w:hint="eastAsia" w:ascii="仿宋" w:hAnsi="仿宋" w:eastAsia="仿宋" w:cs="仿宋"/>
                <w:sz w:val="24"/>
                <w:highlight w:val="none"/>
              </w:rPr>
            </w:pPr>
          </w:p>
        </w:tc>
        <w:tc>
          <w:tcPr>
            <w:tcW w:w="5906" w:type="dxa"/>
            <w:tcBorders>
              <w:top w:val="single" w:color="auto" w:sz="4" w:space="0"/>
              <w:bottom w:val="single" w:color="auto" w:sz="4" w:space="0"/>
            </w:tcBorders>
            <w:vAlign w:val="center"/>
          </w:tcPr>
          <w:p>
            <w:pPr>
              <w:spacing w:line="240" w:lineRule="auto"/>
              <w:jc w:val="left"/>
              <w:rPr>
                <w:rFonts w:hint="eastAsia" w:ascii="仿宋" w:hAnsi="仿宋" w:eastAsia="仿宋" w:cs="仿宋"/>
                <w:sz w:val="24"/>
                <w:highlight w:val="none"/>
              </w:rPr>
            </w:pPr>
            <w:bookmarkStart w:id="37" w:name="OLE_LINK1"/>
            <w:r>
              <w:rPr>
                <w:rFonts w:hint="eastAsia" w:ascii="仿宋" w:hAnsi="仿宋" w:eastAsia="仿宋" w:cs="仿宋"/>
                <w:sz w:val="24"/>
                <w:highlight w:val="none"/>
              </w:rPr>
              <w:t>为满足项目实际需要，拟投入本项目的驻场管理人员（仅限一人）资质要求如下：</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（1）具有法学、计算机或人力资源专业背景，取得本科及以上学历得1分，未提供不得分；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（2）具有法律职业资格证书（B）证的，得0.5分；具有法律职业资格证书（A）证的，得1分；未提供不得分。（提供通过证书编号在司法部政务服务平台</w:t>
            </w:r>
            <w:r>
              <w:rPr>
                <w:highlight w:val="none"/>
              </w:rPr>
              <w:fldChar w:fldCharType="begin"/>
            </w:r>
            <w:r>
              <w:rPr>
                <w:highlight w:val="none"/>
              </w:rPr>
              <w:instrText xml:space="preserve"> HYPERLINK "http://www.moj.gov.cn/" </w:instrText>
            </w:r>
            <w:r>
              <w:rPr>
                <w:highlight w:val="none"/>
              </w:rPr>
              <w:fldChar w:fldCharType="separate"/>
            </w:r>
            <w:r>
              <w:rPr>
                <w:rFonts w:hint="eastAsia" w:ascii="仿宋" w:hAnsi="仿宋" w:eastAsia="仿宋" w:cs="仿宋"/>
                <w:sz w:val="24"/>
                <w:highlight w:val="none"/>
              </w:rPr>
              <w:t>http://www.moj.gov.cn/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 法律职业资格信息查询的截图）。</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（3）具有市级及以上档案管理部门颁发的档案人员上岗培训证书的，得1分；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备注：本项最高得3分，提供不全或未提供不得分。驻场服务经理需提供相关证件证明材料扫描件，并提供人员在投标单位服务的在职证明</w:t>
            </w:r>
            <w:r>
              <w:rPr>
                <w:rFonts w:hint="eastAsia" w:ascii="仿宋" w:hAnsi="仿宋" w:eastAsia="仿宋" w:cs="仿宋"/>
                <w:spacing w:val="9"/>
                <w:sz w:val="24"/>
                <w:highlight w:val="none"/>
              </w:rPr>
              <w:t>(</w:t>
            </w:r>
            <w:r>
              <w:rPr>
                <w:rFonts w:hint="eastAsia" w:ascii="仿宋" w:hAnsi="仿宋" w:eastAsia="仿宋" w:cs="仿宋"/>
                <w:sz w:val="24"/>
                <w:highlight w:val="none"/>
              </w:rPr>
              <w:t>2026年任意一个月社保证明或关联缴纳证明</w:t>
            </w:r>
            <w:r>
              <w:rPr>
                <w:rFonts w:hint="eastAsia" w:ascii="仿宋" w:hAnsi="仿宋" w:eastAsia="仿宋" w:cs="仿宋"/>
                <w:spacing w:val="6"/>
                <w:sz w:val="24"/>
                <w:highlight w:val="none"/>
              </w:rPr>
              <w:t>)</w:t>
            </w:r>
            <w:r>
              <w:rPr>
                <w:rFonts w:hint="eastAsia" w:ascii="仿宋" w:hAnsi="仿宋" w:eastAsia="仿宋" w:cs="仿宋"/>
                <w:sz w:val="24"/>
                <w:highlight w:val="none"/>
              </w:rPr>
              <w:t>，不提供者不得分。</w:t>
            </w:r>
            <w:bookmarkEnd w:id="37"/>
          </w:p>
        </w:tc>
        <w:tc>
          <w:tcPr>
            <w:tcW w:w="1232" w:type="dxa"/>
            <w:tcBorders>
              <w:top w:val="single" w:color="auto" w:sz="4" w:space="0"/>
              <w:bottom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90" w:hRule="atLeast"/>
          <w:jc w:val="center"/>
        </w:trPr>
        <w:tc>
          <w:tcPr>
            <w:tcW w:w="709" w:type="dxa"/>
            <w:vMerge w:val="continue"/>
            <w:vAlign w:val="center"/>
          </w:tcPr>
          <w:p>
            <w:pPr>
              <w:spacing w:line="240" w:lineRule="auto"/>
              <w:jc w:val="center"/>
              <w:rPr>
                <w:rFonts w:hint="eastAsia" w:ascii="仿宋" w:hAnsi="仿宋" w:eastAsia="仿宋" w:cs="仿宋"/>
                <w:sz w:val="24"/>
                <w:highlight w:val="none"/>
              </w:rPr>
            </w:pPr>
          </w:p>
        </w:tc>
        <w:tc>
          <w:tcPr>
            <w:tcW w:w="1530" w:type="dxa"/>
            <w:vMerge w:val="continue"/>
            <w:vAlign w:val="center"/>
          </w:tcPr>
          <w:p>
            <w:pPr>
              <w:spacing w:line="240" w:lineRule="auto"/>
              <w:jc w:val="center"/>
              <w:rPr>
                <w:rFonts w:hint="eastAsia" w:ascii="仿宋" w:hAnsi="仿宋" w:eastAsia="仿宋" w:cs="仿宋"/>
                <w:sz w:val="24"/>
                <w:highlight w:val="none"/>
              </w:rPr>
            </w:pPr>
          </w:p>
        </w:tc>
        <w:tc>
          <w:tcPr>
            <w:tcW w:w="5906" w:type="dxa"/>
            <w:tcBorders>
              <w:top w:val="single" w:color="auto" w:sz="4" w:space="0"/>
            </w:tcBorders>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为满足项目实际需要，拟投入本项目的驻场服务人员资质要求如下：</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供应商拟投入本项目的现场服务人员需同时具有档案专业助理馆员（或以上）资格证书和国家保密机关颁发的保密教育培训证书</w:t>
            </w:r>
            <w:bookmarkStart w:id="38" w:name="OLE_LINK16"/>
            <w:r>
              <w:rPr>
                <w:rFonts w:hint="eastAsia" w:ascii="仿宋" w:hAnsi="仿宋" w:eastAsia="仿宋" w:cs="仿宋"/>
                <w:sz w:val="24"/>
                <w:highlight w:val="none"/>
              </w:rPr>
              <w:t>，每提供一名得1分，最高3分，未提供不得分；</w:t>
            </w:r>
            <w:bookmarkEnd w:id="38"/>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备注：本项最高得3分，驻场服务人员需提供相关证件证明材料扫描件，并提供人员在投标单位服务的在职证明</w:t>
            </w:r>
            <w:r>
              <w:rPr>
                <w:rFonts w:hint="eastAsia" w:ascii="仿宋" w:hAnsi="仿宋" w:eastAsia="仿宋" w:cs="仿宋"/>
                <w:spacing w:val="9"/>
                <w:sz w:val="24"/>
                <w:highlight w:val="none"/>
              </w:rPr>
              <w:t>(</w:t>
            </w:r>
            <w:r>
              <w:rPr>
                <w:rFonts w:hint="eastAsia" w:ascii="仿宋" w:hAnsi="仿宋" w:eastAsia="仿宋" w:cs="仿宋"/>
                <w:sz w:val="24"/>
                <w:highlight w:val="none"/>
              </w:rPr>
              <w:t>2026年任意一个月社保证明或关联缴纳证明</w:t>
            </w:r>
            <w:r>
              <w:rPr>
                <w:rFonts w:hint="eastAsia" w:ascii="仿宋" w:hAnsi="仿宋" w:eastAsia="仿宋" w:cs="仿宋"/>
                <w:spacing w:val="6"/>
                <w:sz w:val="24"/>
                <w:highlight w:val="none"/>
              </w:rPr>
              <w:t>)</w:t>
            </w:r>
            <w:r>
              <w:rPr>
                <w:rFonts w:hint="eastAsia" w:ascii="仿宋" w:hAnsi="仿宋" w:eastAsia="仿宋" w:cs="仿宋"/>
                <w:sz w:val="24"/>
                <w:highlight w:val="none"/>
              </w:rPr>
              <w:t>，不提供者不得分。</w:t>
            </w:r>
          </w:p>
        </w:tc>
        <w:tc>
          <w:tcPr>
            <w:tcW w:w="1232"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4"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1530"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管理体系证书</w:t>
            </w:r>
          </w:p>
        </w:tc>
        <w:tc>
          <w:tcPr>
            <w:tcW w:w="5906" w:type="dxa"/>
            <w:tcBorders>
              <w:top w:val="single" w:color="auto" w:sz="4" w:space="0"/>
            </w:tcBorders>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投标人具有经中国国家认证认可监督管理委员会认证机构颁发有效的服务质量管理体系认证证书、职业健康安全管理体系认证证书、档案数字化服务管理体系认证证书；且体系覆盖范围含“档案数字化加工”或“档案数字化服务”的每个证书得1分，只提供认证证书但体系覆盖范围不符的每个证书得 0.5分，未提供不得分，本项最高得3分。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说明：投标文件中提供全国认证认可信息公共服务平台官网认证信息查询截图和证书扫描件，不提供或提供的认证证书不符合本评分项要求的不得分。</w:t>
            </w:r>
          </w:p>
        </w:tc>
        <w:tc>
          <w:tcPr>
            <w:tcW w:w="1232"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4"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1530"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资质证书</w:t>
            </w:r>
          </w:p>
        </w:tc>
        <w:tc>
          <w:tcPr>
            <w:tcW w:w="5906" w:type="dxa"/>
            <w:tcBorders>
              <w:top w:val="single" w:color="auto" w:sz="4" w:space="0"/>
            </w:tcBorders>
            <w:vAlign w:val="center"/>
          </w:tcPr>
          <w:p>
            <w:pPr>
              <w:spacing w:line="240" w:lineRule="auto"/>
              <w:jc w:val="left"/>
              <w:rPr>
                <w:rFonts w:hint="eastAsia" w:ascii="仿宋" w:hAnsi="仿宋" w:eastAsia="仿宋" w:cs="仿宋"/>
                <w:sz w:val="24"/>
                <w:highlight w:val="none"/>
              </w:rPr>
            </w:pPr>
            <w:bookmarkStart w:id="39" w:name="OLE_LINK17"/>
            <w:r>
              <w:rPr>
                <w:rFonts w:hint="eastAsia" w:ascii="仿宋" w:hAnsi="仿宋" w:eastAsia="仿宋" w:cs="仿宋"/>
                <w:sz w:val="24"/>
                <w:highlight w:val="none"/>
              </w:rPr>
              <w:t>（1）供应商具有知识产权合规管理体系认证证书的得1分，未提供不得分。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（2）供应商具有业务连续性管理体系认证证书的得1分，未提供不得分。</w:t>
            </w:r>
          </w:p>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（3）供应商具有隐私信息管理体系认证证书的得1分，未提供不得分。</w:t>
            </w:r>
            <w:bookmarkEnd w:id="39"/>
          </w:p>
          <w:p>
            <w:pPr>
              <w:spacing w:line="240" w:lineRule="auto"/>
              <w:jc w:val="left"/>
              <w:rPr>
                <w:rFonts w:hint="eastAsia" w:ascii="仿宋" w:hAnsi="仿宋" w:eastAsia="仿宋" w:cs="仿宋"/>
                <w:sz w:val="24"/>
                <w:highlight w:val="none"/>
              </w:rPr>
            </w:pPr>
            <w:r>
              <w:rPr>
                <w:rFonts w:hint="eastAsia" w:ascii="仿宋" w:hAnsi="仿宋" w:eastAsia="仿宋" w:cs="仿宋"/>
                <w:b/>
                <w:sz w:val="24"/>
                <w:highlight w:val="none"/>
              </w:rPr>
              <w:t>说明：提供相关证书扫描件并加盖公章.</w:t>
            </w:r>
          </w:p>
        </w:tc>
        <w:tc>
          <w:tcPr>
            <w:tcW w:w="1232"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9" w:hRule="atLeast"/>
          <w:jc w:val="center"/>
        </w:trPr>
        <w:tc>
          <w:tcPr>
            <w:tcW w:w="709"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1530"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保密资质</w:t>
            </w:r>
          </w:p>
        </w:tc>
        <w:tc>
          <w:tcPr>
            <w:tcW w:w="5906" w:type="dxa"/>
            <w:tcBorders>
              <w:top w:val="single" w:color="auto" w:sz="4" w:space="0"/>
            </w:tcBorders>
            <w:vAlign w:val="center"/>
          </w:tcPr>
          <w:p>
            <w:pPr>
              <w:spacing w:line="240" w:lineRule="auto"/>
              <w:jc w:val="left"/>
              <w:rPr>
                <w:rFonts w:hint="eastAsia" w:ascii="仿宋" w:hAnsi="仿宋" w:eastAsia="仿宋" w:cs="仿宋"/>
                <w:sz w:val="24"/>
                <w:highlight w:val="none"/>
              </w:rPr>
            </w:pPr>
            <w:r>
              <w:rPr>
                <w:rFonts w:hint="eastAsia" w:ascii="仿宋" w:hAnsi="仿宋" w:eastAsia="仿宋" w:cs="仿宋"/>
                <w:sz w:val="24"/>
                <w:highlight w:val="none"/>
              </w:rPr>
              <w:t>供应商取得档案涉密类企业安全等级资质证书（甲级）的得2分，取得档案涉密类企业安全等级资质证书（乙级）的得1分，不提供者不得分。</w:t>
            </w:r>
          </w:p>
          <w:p>
            <w:pPr>
              <w:spacing w:line="240" w:lineRule="auto"/>
              <w:jc w:val="left"/>
              <w:rPr>
                <w:rFonts w:hint="eastAsia" w:ascii="仿宋" w:hAnsi="仿宋" w:eastAsia="仿宋" w:cs="仿宋"/>
                <w:sz w:val="24"/>
                <w:highlight w:val="none"/>
              </w:rPr>
            </w:pPr>
            <w:r>
              <w:rPr>
                <w:rFonts w:hint="eastAsia" w:ascii="仿宋" w:hAnsi="仿宋" w:eastAsia="仿宋" w:cs="仿宋"/>
                <w:b/>
                <w:sz w:val="24"/>
                <w:highlight w:val="none"/>
              </w:rPr>
              <w:t>说明：提供相关证书扫描件并加盖公章.</w:t>
            </w:r>
          </w:p>
        </w:tc>
        <w:tc>
          <w:tcPr>
            <w:tcW w:w="1232" w:type="dxa"/>
            <w:tcBorders>
              <w:top w:val="single" w:color="auto" w:sz="4" w:space="0"/>
            </w:tcBorders>
            <w:vAlign w:val="center"/>
          </w:tcPr>
          <w:p>
            <w:pPr>
              <w:spacing w:line="240" w:lineRule="auto"/>
              <w:rPr>
                <w:rFonts w:hint="eastAsia" w:ascii="仿宋" w:hAnsi="仿宋" w:eastAsia="仿宋" w:cs="仿宋"/>
                <w:sz w:val="24"/>
                <w:highlight w:val="none"/>
              </w:rPr>
            </w:pPr>
            <w:r>
              <w:rPr>
                <w:rFonts w:hint="eastAsia" w:ascii="仿宋" w:hAnsi="仿宋" w:eastAsia="仿宋" w:cs="仿宋"/>
                <w:sz w:val="24"/>
                <w:highlight w:val="none"/>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0" w:hRule="atLeast"/>
          <w:jc w:val="center"/>
        </w:trPr>
        <w:tc>
          <w:tcPr>
            <w:tcW w:w="8145" w:type="dxa"/>
            <w:gridSpan w:val="3"/>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rPr>
              <w:t>合计</w:t>
            </w:r>
          </w:p>
        </w:tc>
        <w:tc>
          <w:tcPr>
            <w:tcW w:w="1232" w:type="dxa"/>
            <w:vAlign w:val="center"/>
          </w:tcPr>
          <w:p>
            <w:pPr>
              <w:spacing w:line="24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30</w:t>
            </w:r>
            <w:r>
              <w:rPr>
                <w:rFonts w:hint="eastAsia" w:ascii="仿宋" w:hAnsi="仿宋" w:eastAsia="仿宋" w:cs="仿宋"/>
                <w:sz w:val="24"/>
                <w:highlight w:val="none"/>
              </w:rPr>
              <w:t>分</w:t>
            </w:r>
          </w:p>
        </w:tc>
      </w:tr>
    </w:tbl>
    <w:p>
      <w:pPr>
        <w:jc w:val="cente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第四章  合同格式及条款</w:t>
      </w:r>
    </w:p>
    <w:p>
      <w:pPr>
        <w:spacing w:line="520" w:lineRule="exact"/>
        <w:ind w:firstLine="550"/>
        <w:jc w:val="center"/>
        <w:rPr>
          <w:rFonts w:hint="eastAsia" w:ascii="仿宋" w:hAnsi="仿宋" w:eastAsia="仿宋"/>
          <w:bCs/>
          <w:sz w:val="28"/>
          <w:szCs w:val="28"/>
          <w:highlight w:val="none"/>
        </w:rPr>
      </w:pPr>
      <w:r>
        <w:rPr>
          <w:rFonts w:hint="eastAsia" w:ascii="仿宋" w:hAnsi="仿宋" w:eastAsia="仿宋"/>
          <w:bCs/>
          <w:sz w:val="28"/>
          <w:szCs w:val="28"/>
          <w:highlight w:val="none"/>
        </w:rPr>
        <w:t>一、合同格式</w:t>
      </w:r>
    </w:p>
    <w:p>
      <w:pPr>
        <w:spacing w:line="520" w:lineRule="exact"/>
        <w:ind w:firstLine="550"/>
        <w:rPr>
          <w:rFonts w:hint="eastAsia" w:ascii="仿宋" w:hAnsi="仿宋" w:eastAsia="仿宋"/>
          <w:bCs/>
          <w:sz w:val="28"/>
          <w:szCs w:val="28"/>
          <w:highlight w:val="none"/>
          <w:u w:val="single"/>
        </w:rPr>
      </w:pPr>
      <w:r>
        <w:rPr>
          <w:rFonts w:hint="eastAsia" w:ascii="仿宋" w:hAnsi="仿宋" w:eastAsia="仿宋"/>
          <w:bCs/>
          <w:sz w:val="28"/>
          <w:szCs w:val="28"/>
          <w:highlight w:val="none"/>
        </w:rPr>
        <w:t>甲方（全称）：</w:t>
      </w:r>
      <w:r>
        <w:rPr>
          <w:rFonts w:hint="eastAsia" w:ascii="仿宋" w:hAnsi="仿宋" w:eastAsia="仿宋"/>
          <w:bCs/>
          <w:sz w:val="28"/>
          <w:szCs w:val="28"/>
          <w:highlight w:val="none"/>
          <w:u w:val="single"/>
        </w:rPr>
        <w:t xml:space="preserve">                        （简称甲方）</w:t>
      </w:r>
    </w:p>
    <w:p>
      <w:pPr>
        <w:spacing w:line="520" w:lineRule="exact"/>
        <w:ind w:firstLine="550"/>
        <w:rPr>
          <w:rFonts w:hint="eastAsia" w:ascii="仿宋" w:hAnsi="仿宋" w:eastAsia="仿宋"/>
          <w:bCs/>
          <w:sz w:val="28"/>
          <w:szCs w:val="28"/>
          <w:highlight w:val="none"/>
          <w:u w:val="single"/>
        </w:rPr>
      </w:pPr>
      <w:r>
        <w:rPr>
          <w:rFonts w:hint="eastAsia" w:ascii="仿宋" w:hAnsi="仿宋" w:eastAsia="仿宋"/>
          <w:bCs/>
          <w:sz w:val="28"/>
          <w:szCs w:val="28"/>
          <w:highlight w:val="none"/>
        </w:rPr>
        <w:t xml:space="preserve">乙方（全称）： </w:t>
      </w:r>
      <w:r>
        <w:rPr>
          <w:rFonts w:hint="eastAsia" w:ascii="仿宋" w:hAnsi="仿宋" w:eastAsia="仿宋"/>
          <w:bCs/>
          <w:sz w:val="28"/>
          <w:szCs w:val="28"/>
          <w:highlight w:val="none"/>
          <w:u w:val="single"/>
        </w:rPr>
        <w:t xml:space="preserve">                       （简称乙方）</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甲、乙双方根据项目编号：</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项目名称：盱眙县人民法院无纸化办案服务项目采购结果及竞争性磋商文件的要求,经协商一致,达成如下购销合同:</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一、合同金额</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 xml:space="preserve">本合同的总金额（人民币大写）为 </w:t>
      </w:r>
      <w:r>
        <w:rPr>
          <w:rFonts w:hint="eastAsia" w:ascii="仿宋" w:hAnsi="仿宋" w:eastAsia="仿宋"/>
          <w:bCs/>
          <w:sz w:val="28"/>
          <w:szCs w:val="28"/>
          <w:highlight w:val="none"/>
          <w:u w:val="single"/>
        </w:rPr>
        <w:t xml:space="preserve">            元（¥）</w:t>
      </w:r>
      <w:r>
        <w:rPr>
          <w:rFonts w:hint="eastAsia" w:ascii="仿宋" w:hAnsi="仿宋" w:eastAsia="仿宋"/>
          <w:bCs/>
          <w:sz w:val="28"/>
          <w:szCs w:val="28"/>
          <w:highlight w:val="none"/>
        </w:rPr>
        <w:t>（详见采购清单）</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二、项目内容及范围</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诉讼辅助服务、卷宗辅助服务、驻庭辅助服务。</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三、项目建设周期地点</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（一）项目建设周期：一年（从合同签订完成之日算起）。</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（二）项目建设地点：采购人指定地点。</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四、履约保证金</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本项目无需缴纳履约保证金</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五</w:t>
      </w:r>
      <w:r>
        <w:rPr>
          <w:rFonts w:hint="eastAsia" w:ascii="仿宋" w:hAnsi="仿宋" w:eastAsia="仿宋"/>
          <w:bCs/>
          <w:sz w:val="28"/>
          <w:szCs w:val="28"/>
          <w:highlight w:val="none"/>
        </w:rPr>
        <w:t>、付款方式</w:t>
      </w:r>
    </w:p>
    <w:p>
      <w:pPr>
        <w:keepNext w:val="0"/>
        <w:keepLines w:val="0"/>
        <w:pageBreakBefore w:val="0"/>
        <w:widowControl w:val="0"/>
        <w:spacing w:line="520" w:lineRule="exact"/>
        <w:ind w:firstLine="550"/>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合同签订生效后预付第一个月的40%作为预付款，后期按月支付剩余合同款项。</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六、</w:t>
      </w:r>
      <w:r>
        <w:rPr>
          <w:rFonts w:hint="eastAsia" w:ascii="仿宋" w:hAnsi="仿宋" w:eastAsia="仿宋"/>
          <w:bCs/>
          <w:sz w:val="28"/>
          <w:szCs w:val="28"/>
          <w:highlight w:val="none"/>
        </w:rPr>
        <w:t>技术服务、培训等</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（1）工作时间</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国家法定工作日和法院统一要求加班的节假日，上午8:30-11：45，下午：14:00-18:45。成交供应商应严格执行考勤制度，做好考勤登记，确保员工准时上班。</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（2）技术服务</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（3）培训</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成交供应商应制定全流程各环节服务标准培训内容，负责多轮次对采购人工作人员和本项目实施人员进行相关培训，培训内容包括但不限于集约化办案理解、纸质卷宗流转机制、辅助事项管理系统和文书平台等，确保项目实施顺利和项目实施成效。</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（三）安全保密</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为确保数字档案馆系统和数据信息的安全保密，中标人相关人员需与甲方签订保密协议。</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七、</w:t>
      </w:r>
      <w:r>
        <w:rPr>
          <w:rFonts w:hint="eastAsia" w:ascii="仿宋" w:hAnsi="仿宋" w:eastAsia="仿宋"/>
          <w:bCs/>
          <w:sz w:val="28"/>
          <w:szCs w:val="28"/>
          <w:highlight w:val="none"/>
        </w:rPr>
        <w:t>其他要求</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1）为确保盱眙法院司法辅助集约化服务成效，供应商需着力推进贯穿调解，立案，送达，庭审，裁判，结案，执行，归档等环节的全流程集约化办案配套系统优化（比如文书自动生成、电子签章流程、全线上审批、事务集约化办理等）。服务期间供应商提供的相关配套服务软件需与盱眙法院办案核心业务系统如审判、材料、档案等进行无缝对接，确保数据准确性及一致性。</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2）投标人须承诺在投标文件中所附的投标人员资质、社保、企业资质、合同案例等相应材料扫描件，签订合同后两个工作日需将原件交与盱眙法院验证真实性和有效性，如发现有提供虚假材料的，盱眙法院将追究违约责任。</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（3）未尽事项。本文件未尽之处按照最高院、省高院和市中院有关规定执行。</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八、</w:t>
      </w:r>
      <w:r>
        <w:rPr>
          <w:rFonts w:hint="eastAsia" w:ascii="仿宋" w:hAnsi="仿宋" w:eastAsia="仿宋"/>
          <w:bCs/>
          <w:sz w:val="28"/>
          <w:szCs w:val="28"/>
          <w:highlight w:val="none"/>
        </w:rPr>
        <w:t>知识产权</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本项目合同中所采用的、由乙方授权甲方使用的应</w:t>
      </w:r>
      <w:r>
        <w:rPr>
          <w:rFonts w:hint="eastAsia" w:ascii="仿宋" w:hAnsi="仿宋" w:eastAsia="仿宋"/>
          <w:bCs/>
          <w:sz w:val="28"/>
          <w:szCs w:val="28"/>
          <w:highlight w:val="none"/>
        </w:rPr>
        <w:t>用系统软件</w:t>
      </w:r>
      <w:r>
        <w:rPr>
          <w:rFonts w:hint="eastAsia" w:ascii="仿宋" w:hAnsi="仿宋" w:eastAsia="仿宋"/>
          <w:bCs/>
          <w:sz w:val="28"/>
          <w:szCs w:val="28"/>
          <w:highlight w:val="none"/>
        </w:rPr>
        <w:t>产品的知识产权，归乙方或者其他软件著作权单位所有。未经乙方或者其他软件著作权单位许可，甲方不得超出或扩大使用版权的范围。</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九</w:t>
      </w:r>
      <w:r>
        <w:rPr>
          <w:rFonts w:hint="eastAsia" w:ascii="仿宋" w:hAnsi="仿宋" w:eastAsia="仿宋"/>
          <w:bCs/>
          <w:sz w:val="28"/>
          <w:szCs w:val="28"/>
          <w:highlight w:val="none"/>
        </w:rPr>
        <w:t>、保密条款</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（一）乙方对甲方提供的技术资料承担保密义务。未经甲方允许，乙方不得将属于甲方的任何资料用于本合同之外的目的；</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（二）乙方应严格控制所接触到的本项目所有数据，不得在本项目指定存储介质和存储环境之外保存数据；</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（三）乙方应妥善保管甲方提供的各种资料。本合同履行完毕后，除双方另有约定外，乙方应按甲方要求退还或销毁甲方提供的技术资料；</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（四）甲方对于因签订和履行本合同所知悉的乙方的保密信息应予以保密并仅限用于本合同目的；</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（五）乙方实施项目的一切程序都应符合国家安全、保密的有关规定和标准；</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（六）涉密人员范围：乙方参与项目工作和接触、知悉甲方保密内容的所有人员。上述人员均需同甲方签订保密协议；</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（七）本合同保密条款长期有效，不因合同履行期限届满或合同终止、解除等失效。</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十</w:t>
      </w:r>
      <w:r>
        <w:rPr>
          <w:rFonts w:hint="eastAsia" w:ascii="仿宋" w:hAnsi="仿宋" w:eastAsia="仿宋"/>
          <w:bCs/>
          <w:sz w:val="28"/>
          <w:szCs w:val="28"/>
          <w:highlight w:val="none"/>
        </w:rPr>
        <w:t>、违约责任</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（一）乙方所供服务不符合招标文件规定的，甲方有权拒收和解除合同，甲方同意更换的，乙方在征得甲方同意的时间内未能更换的，按逾期交付的违约责任处理；</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（二）乙方进场前必须和甲方签订项目保密协议，如乙方违反保密要求，由此造成的其他一切损失由乙方承担；</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（三）一方不按期履行合同，并经另一方提示后7日内仍不履行合同的，守约方有权解除合同，违约方还应赔偿由此给守约方造成的全部损失；</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四</w:t>
      </w:r>
      <w:r>
        <w:rPr>
          <w:rFonts w:hint="eastAsia" w:ascii="仿宋" w:hAnsi="仿宋" w:eastAsia="仿宋"/>
          <w:bCs/>
          <w:sz w:val="28"/>
          <w:szCs w:val="28"/>
          <w:highlight w:val="none"/>
        </w:rPr>
        <w:t>）其它应承担的违约责任，以《中华人民共和国民法典》和其它有关法律法规规定为准，无相关规定的，双方协商解决。</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十、不可抗力</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（一）不可抗力是指战争、地震等不能预见、不能避免并不能克服的客观情况；</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（二）如因不可抗力因素造成项目进程拖延或不能履行合同约定的全部或部分义务，则违约责任免予追究。但一方迟延履行合同义务后发生不可抗力的，不能免除责任；</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（三）遭遇不可抗力事件的一方应及时通知另一方，并在事件发生后 5 个日内向另一方提供有关该事件的证明文件和书面说明，书面说明中应包括不可抗力对合同履行产生影响的原因及程度的说明；</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（四）遭遇不可抗力事件的一方应采取积极措施防止损失扩大，否则应就损失扩大部分向受损方承担赔偿责任；</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（五）甲乙双方根据不可抗力对合同履行的影响程度，协商确定是否延期履行、变更或解除合同。</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十</w:t>
      </w:r>
      <w:r>
        <w:rPr>
          <w:rFonts w:hint="eastAsia" w:ascii="仿宋" w:hAnsi="仿宋" w:eastAsia="仿宋"/>
          <w:bCs/>
          <w:sz w:val="28"/>
          <w:szCs w:val="28"/>
          <w:highlight w:val="none"/>
          <w:lang w:val="en-US" w:eastAsia="zh-CN"/>
        </w:rPr>
        <w:t>一</w:t>
      </w:r>
      <w:r>
        <w:rPr>
          <w:rFonts w:hint="eastAsia" w:ascii="仿宋" w:hAnsi="仿宋" w:eastAsia="仿宋"/>
          <w:bCs/>
          <w:sz w:val="28"/>
          <w:szCs w:val="28"/>
          <w:highlight w:val="none"/>
        </w:rPr>
        <w:t>、合同纠纷处理</w:t>
      </w:r>
    </w:p>
    <w:p>
      <w:pPr>
        <w:spacing w:line="520" w:lineRule="exact"/>
        <w:ind w:firstLine="550"/>
        <w:rPr>
          <w:rFonts w:hint="eastAsia" w:ascii="仿宋" w:hAnsi="仿宋" w:eastAsia="仿宋"/>
          <w:bCs/>
          <w:sz w:val="28"/>
          <w:szCs w:val="28"/>
          <w:highlight w:val="none"/>
          <w:lang w:eastAsia="zh-CN"/>
        </w:rPr>
      </w:pPr>
      <w:r>
        <w:rPr>
          <w:rFonts w:hint="eastAsia" w:ascii="仿宋" w:hAnsi="仿宋" w:eastAsia="仿宋"/>
          <w:bCs/>
          <w:sz w:val="28"/>
          <w:szCs w:val="28"/>
          <w:highlight w:val="none"/>
        </w:rPr>
        <w:t>凡与本合同有关而引起的一切争议，甲乙双方应首先通过友好协商解决</w:t>
      </w:r>
      <w:r>
        <w:rPr>
          <w:rFonts w:hint="eastAsia" w:ascii="仿宋" w:hAnsi="仿宋" w:eastAsia="仿宋"/>
          <w:bCs/>
          <w:sz w:val="28"/>
          <w:szCs w:val="28"/>
          <w:highlight w:val="none"/>
          <w:lang w:eastAsia="zh-CN"/>
        </w:rPr>
        <w:t>。</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十</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、组成本合同的文件包括</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合同格式及条款；</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招标文件和乙方的投标文件；</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中标通知书；</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甲乙双方商定的其他必要文件。上述合同文件内容互为补充，如有不明确，由甲方负责解释。</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十</w:t>
      </w:r>
      <w:r>
        <w:rPr>
          <w:rFonts w:hint="eastAsia" w:ascii="仿宋" w:hAnsi="仿宋" w:eastAsia="仿宋"/>
          <w:bCs/>
          <w:sz w:val="28"/>
          <w:szCs w:val="28"/>
          <w:highlight w:val="none"/>
          <w:lang w:val="en-US" w:eastAsia="zh-CN"/>
        </w:rPr>
        <w:t>三</w:t>
      </w:r>
      <w:r>
        <w:rPr>
          <w:rFonts w:hint="eastAsia" w:ascii="仿宋" w:hAnsi="仿宋" w:eastAsia="仿宋"/>
          <w:bCs/>
          <w:sz w:val="28"/>
          <w:szCs w:val="28"/>
          <w:highlight w:val="none"/>
        </w:rPr>
        <w:t>、 合同生效及其它</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本项目磋商文件、乙方提交的投标文件、本次招标的中标通知书和乙方的澄清等内容将作为本次采购合同文件的主要内容。乙方在合同履行过程中若发生服务内容缩减、服务不及时的现象，甲方有权对乙方处以适当的经济处罚。</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十</w:t>
      </w:r>
      <w:r>
        <w:rPr>
          <w:rFonts w:hint="eastAsia" w:ascii="仿宋" w:hAnsi="仿宋" w:eastAsia="仿宋"/>
          <w:bCs/>
          <w:sz w:val="28"/>
          <w:szCs w:val="28"/>
          <w:highlight w:val="none"/>
          <w:lang w:val="en-US" w:eastAsia="zh-CN"/>
        </w:rPr>
        <w:t>四</w:t>
      </w:r>
      <w:r>
        <w:rPr>
          <w:rFonts w:hint="eastAsia" w:ascii="仿宋" w:hAnsi="仿宋" w:eastAsia="仿宋"/>
          <w:bCs/>
          <w:sz w:val="28"/>
          <w:szCs w:val="28"/>
          <w:highlight w:val="none"/>
        </w:rPr>
        <w:t>、本合同经甲、乙双方加盖电子签章后生效。</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本合同应按照中华人民共和国的现行法律进行解释。</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甲方：                            乙方：</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法定代表人或授权代表：            法定代表人或授权代表：</w:t>
      </w:r>
    </w:p>
    <w:p>
      <w:pPr>
        <w:spacing w:line="520" w:lineRule="exact"/>
        <w:ind w:firstLine="550"/>
        <w:rPr>
          <w:rFonts w:hint="eastAsia" w:ascii="仿宋" w:hAnsi="仿宋" w:eastAsia="仿宋"/>
          <w:bCs/>
          <w:sz w:val="28"/>
          <w:szCs w:val="28"/>
          <w:highlight w:val="none"/>
        </w:rPr>
      </w:pPr>
      <w:r>
        <w:rPr>
          <w:rFonts w:hint="eastAsia" w:ascii="仿宋" w:hAnsi="仿宋" w:eastAsia="仿宋"/>
          <w:bCs/>
          <w:sz w:val="28"/>
          <w:szCs w:val="28"/>
          <w:highlight w:val="none"/>
        </w:rPr>
        <w:t>联系电话：                        联系电话：</w:t>
      </w:r>
    </w:p>
    <w:p>
      <w:pPr>
        <w:spacing w:line="520" w:lineRule="exact"/>
        <w:ind w:firstLine="550"/>
        <w:rPr>
          <w:rFonts w:hint="eastAsia" w:ascii="仿宋" w:hAnsi="仿宋" w:eastAsia="仿宋"/>
          <w:sz w:val="28"/>
          <w:szCs w:val="28"/>
          <w:highlight w:val="none"/>
        </w:rPr>
      </w:pPr>
      <w:r>
        <w:rPr>
          <w:rFonts w:hint="eastAsia" w:ascii="仿宋" w:hAnsi="仿宋" w:eastAsia="仿宋"/>
          <w:bCs/>
          <w:sz w:val="28"/>
          <w:szCs w:val="28"/>
          <w:highlight w:val="none"/>
        </w:rPr>
        <w:t>签订日期：                        签订日期：</w:t>
      </w:r>
      <w:bookmarkStart w:id="47" w:name="_GoBack"/>
      <w:bookmarkEnd w:id="47"/>
    </w:p>
    <w:p>
      <w:pPr>
        <w:tabs>
          <w:tab w:val="left" w:pos="180"/>
        </w:tabs>
        <w:spacing w:line="520" w:lineRule="exact"/>
        <w:ind w:firstLine="3533"/>
        <w:rPr>
          <w:rFonts w:hint="eastAsia" w:ascii="仿宋" w:hAnsi="仿宋" w:eastAsia="仿宋"/>
          <w:sz w:val="28"/>
          <w:szCs w:val="28"/>
          <w:highlight w:val="none"/>
        </w:rPr>
      </w:pPr>
    </w:p>
    <w:p>
      <w:pPr>
        <w:tabs>
          <w:tab w:val="left" w:pos="180"/>
        </w:tabs>
        <w:spacing w:line="520" w:lineRule="exact"/>
        <w:ind w:firstLine="3533"/>
        <w:rPr>
          <w:rFonts w:hint="eastAsia" w:ascii="仿宋" w:hAnsi="仿宋" w:eastAsia="仿宋"/>
          <w:sz w:val="28"/>
          <w:szCs w:val="28"/>
          <w:highlight w:val="none"/>
        </w:rPr>
      </w:pPr>
      <w:r>
        <w:rPr>
          <w:rFonts w:hint="eastAsia" w:ascii="仿宋" w:hAnsi="仿宋" w:eastAsia="仿宋"/>
          <w:sz w:val="28"/>
          <w:szCs w:val="28"/>
          <w:highlight w:val="none"/>
        </w:rPr>
        <w:t>二、合同条款</w:t>
      </w:r>
    </w:p>
    <w:p>
      <w:pPr>
        <w:spacing w:line="520" w:lineRule="exact"/>
        <w:rPr>
          <w:rFonts w:hint="eastAsia" w:ascii="仿宋" w:hAnsi="仿宋" w:eastAsia="仿宋"/>
          <w:sz w:val="28"/>
          <w:highlight w:val="none"/>
        </w:rPr>
      </w:pPr>
      <w:r>
        <w:rPr>
          <w:rFonts w:hint="eastAsia" w:ascii="仿宋" w:hAnsi="仿宋" w:eastAsia="仿宋"/>
          <w:sz w:val="28"/>
          <w:highlight w:val="none"/>
        </w:rPr>
        <w:t>1.定义</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本合同中下列术语应解释为</w:t>
      </w:r>
      <w:r>
        <w:rPr>
          <w:rFonts w:hint="eastAsia" w:ascii="仿宋" w:hAnsi="仿宋" w:eastAsia="仿宋"/>
          <w:sz w:val="28"/>
          <w:szCs w:val="28"/>
          <w:highlight w:val="none"/>
        </w:rPr>
        <w:t>:</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（1）“合同”系指甲方和乙方（以下简称合同双方）签署的、合同格式中列明的合同双方所达成的协议，包括所有的附件、附录和构成合同的所有文件。</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（2）“合同价”系指根据合同规定，乙方在完全履行合同义务后甲方应支付给乙方的价格。</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（3）“货物（含软件及相关服务）”系指乙方按合同要求，须向甲方提供的一切设备、机械、仪表、备件、工具、技术及手册等有关材料。</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（4）“服务”系指根据合同规定乙方承担与供货有关的所有辅助服务，如运输、保险以及其他的服务，如安装、调试、提供技术援助、培训和其他类似的义务。</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（5）“甲方”系指购买货物（含软件及相关服务）的单位。</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（6）“乙方”系指根据合同规定提供货物（含软件及相关服务）和服务的供应商。</w:t>
      </w:r>
    </w:p>
    <w:p>
      <w:pPr>
        <w:spacing w:line="520" w:lineRule="exact"/>
        <w:rPr>
          <w:rFonts w:hint="eastAsia" w:ascii="仿宋" w:hAnsi="仿宋" w:eastAsia="仿宋"/>
          <w:bCs/>
          <w:sz w:val="28"/>
          <w:highlight w:val="none"/>
        </w:rPr>
      </w:pPr>
      <w:r>
        <w:rPr>
          <w:rFonts w:hint="eastAsia" w:ascii="仿宋" w:hAnsi="仿宋" w:eastAsia="仿宋"/>
          <w:bCs/>
          <w:sz w:val="28"/>
          <w:highlight w:val="none"/>
        </w:rPr>
        <w:t>2.技术规范</w:t>
      </w:r>
    </w:p>
    <w:p>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p>
    <w:p>
      <w:pPr>
        <w:spacing w:line="520" w:lineRule="exact"/>
        <w:rPr>
          <w:rFonts w:hint="eastAsia" w:ascii="仿宋" w:hAnsi="仿宋" w:eastAsia="仿宋"/>
          <w:sz w:val="28"/>
          <w:highlight w:val="none"/>
        </w:rPr>
      </w:pPr>
      <w:r>
        <w:rPr>
          <w:rFonts w:hint="eastAsia" w:ascii="仿宋" w:hAnsi="仿宋" w:eastAsia="仿宋"/>
          <w:sz w:val="28"/>
          <w:highlight w:val="none"/>
        </w:rPr>
        <w:t>3.专利权</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3.1乙方须保障甲方在使用该货物</w:t>
      </w:r>
      <w:r>
        <w:rPr>
          <w:rFonts w:hint="eastAsia" w:ascii="仿宋" w:hAnsi="仿宋" w:eastAsia="仿宋"/>
          <w:sz w:val="28"/>
          <w:szCs w:val="28"/>
          <w:highlight w:val="none"/>
        </w:rPr>
        <w:t>（含软件及相关服务）</w:t>
      </w:r>
      <w:r>
        <w:rPr>
          <w:rFonts w:hint="eastAsia" w:ascii="仿宋" w:hAnsi="仿宋" w:eastAsia="仿宋"/>
          <w:sz w:val="28"/>
          <w:highlight w:val="none"/>
        </w:rPr>
        <w:t>或其任何一部分时不受到第三方关于侵犯专利权、商标权、版权、专有技术等权利的指控。如果任何第三方提出侵权指控，乙方须与第三方交涉并承担可能发生的一切损失和费用。</w:t>
      </w:r>
    </w:p>
    <w:p>
      <w:pPr>
        <w:spacing w:line="520" w:lineRule="exact"/>
        <w:rPr>
          <w:rFonts w:hint="eastAsia" w:ascii="仿宋" w:hAnsi="仿宋" w:eastAsia="仿宋"/>
          <w:sz w:val="28"/>
          <w:highlight w:val="none"/>
        </w:rPr>
      </w:pPr>
      <w:r>
        <w:rPr>
          <w:rFonts w:hint="eastAsia" w:ascii="仿宋" w:hAnsi="仿宋" w:eastAsia="仿宋"/>
          <w:sz w:val="28"/>
          <w:highlight w:val="none"/>
        </w:rPr>
        <w:t>4.包装要求</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4.1除合同另有规定外，乙方提供的全部货物</w:t>
      </w:r>
      <w:r>
        <w:rPr>
          <w:rFonts w:hint="eastAsia" w:ascii="仿宋" w:hAnsi="仿宋" w:eastAsia="仿宋"/>
          <w:sz w:val="28"/>
          <w:szCs w:val="28"/>
          <w:highlight w:val="none"/>
        </w:rPr>
        <w:t>（含软件及相关服务），</w:t>
      </w:r>
      <w:r>
        <w:rPr>
          <w:rFonts w:hint="eastAsia" w:ascii="仿宋" w:hAnsi="仿宋" w:eastAsia="仿宋"/>
          <w:sz w:val="28"/>
          <w:highlight w:val="none"/>
        </w:rPr>
        <w:t>均应按相应的标准保护措施进行包装，使包装适应于远距离运输、防潮、防震、防锈和防粗暴装卸，确保货物</w:t>
      </w:r>
      <w:r>
        <w:rPr>
          <w:rFonts w:hint="eastAsia" w:ascii="仿宋" w:hAnsi="仿宋" w:eastAsia="仿宋"/>
          <w:sz w:val="28"/>
          <w:szCs w:val="28"/>
          <w:highlight w:val="none"/>
        </w:rPr>
        <w:t>（含软件及相关服务）</w:t>
      </w:r>
      <w:r>
        <w:rPr>
          <w:rFonts w:hint="eastAsia" w:ascii="仿宋" w:hAnsi="仿宋" w:eastAsia="仿宋"/>
          <w:sz w:val="28"/>
          <w:highlight w:val="none"/>
        </w:rPr>
        <w:t>安全无损运抵至现场。由于包装不善所引起的货物</w:t>
      </w:r>
      <w:r>
        <w:rPr>
          <w:rFonts w:hint="eastAsia" w:ascii="仿宋" w:hAnsi="仿宋" w:eastAsia="仿宋"/>
          <w:sz w:val="28"/>
          <w:szCs w:val="28"/>
          <w:highlight w:val="none"/>
        </w:rPr>
        <w:t>（含软件及相关服务）</w:t>
      </w:r>
      <w:r>
        <w:rPr>
          <w:rFonts w:hint="eastAsia" w:ascii="仿宋" w:hAnsi="仿宋" w:eastAsia="仿宋"/>
          <w:sz w:val="28"/>
          <w:highlight w:val="none"/>
        </w:rPr>
        <w:t>锈蚀、损坏和损失均由乙方承担。</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4.2每件包装箱内应附一份详细装箱单和质量合格证。</w:t>
      </w:r>
    </w:p>
    <w:p>
      <w:pPr>
        <w:spacing w:line="520" w:lineRule="exact"/>
        <w:rPr>
          <w:rFonts w:hint="eastAsia" w:ascii="仿宋" w:hAnsi="仿宋" w:eastAsia="仿宋"/>
          <w:sz w:val="28"/>
          <w:highlight w:val="none"/>
        </w:rPr>
      </w:pPr>
      <w:r>
        <w:rPr>
          <w:rFonts w:hint="eastAsia" w:ascii="仿宋" w:hAnsi="仿宋" w:eastAsia="仿宋"/>
          <w:sz w:val="28"/>
          <w:highlight w:val="none"/>
        </w:rPr>
        <w:t>5.装运标志</w:t>
      </w:r>
    </w:p>
    <w:p>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乙方应在每一包装箱邻接的四侧用不褪色的油漆以醒目的中文字样做出下列标记:</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（1）收货人</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2</w:t>
      </w:r>
      <w:r>
        <w:rPr>
          <w:rFonts w:hint="eastAsia" w:ascii="仿宋" w:hAnsi="仿宋" w:eastAsia="仿宋"/>
          <w:sz w:val="28"/>
          <w:szCs w:val="28"/>
          <w:highlight w:val="none"/>
        </w:rPr>
        <w:t>）合同号</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）装运标志</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4</w:t>
      </w:r>
      <w:r>
        <w:rPr>
          <w:rFonts w:hint="eastAsia" w:ascii="仿宋" w:hAnsi="仿宋" w:eastAsia="仿宋"/>
          <w:sz w:val="28"/>
          <w:szCs w:val="28"/>
          <w:highlight w:val="none"/>
        </w:rPr>
        <w:t>）收货人代号</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5</w:t>
      </w:r>
      <w:r>
        <w:rPr>
          <w:rFonts w:hint="eastAsia" w:ascii="仿宋" w:hAnsi="仿宋" w:eastAsia="仿宋"/>
          <w:sz w:val="28"/>
          <w:szCs w:val="28"/>
          <w:highlight w:val="none"/>
        </w:rPr>
        <w:t>）目的地</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6</w:t>
      </w:r>
      <w:r>
        <w:rPr>
          <w:rFonts w:hint="eastAsia" w:ascii="仿宋" w:hAnsi="仿宋" w:eastAsia="仿宋"/>
          <w:sz w:val="28"/>
          <w:szCs w:val="28"/>
          <w:highlight w:val="none"/>
        </w:rPr>
        <w:t>）货物（含软件及相关服务）名称、品目号和箱号</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7</w:t>
      </w:r>
      <w:r>
        <w:rPr>
          <w:rFonts w:hint="eastAsia" w:ascii="仿宋" w:hAnsi="仿宋" w:eastAsia="仿宋"/>
          <w:sz w:val="28"/>
          <w:szCs w:val="28"/>
          <w:highlight w:val="none"/>
        </w:rPr>
        <w:t>）毛重／净重</w:t>
      </w:r>
      <w:r>
        <w:rPr>
          <w:rFonts w:ascii="仿宋" w:hAnsi="仿宋" w:eastAsia="仿宋"/>
          <w:sz w:val="28"/>
          <w:szCs w:val="28"/>
          <w:highlight w:val="none"/>
        </w:rPr>
        <w:t xml:space="preserve"> </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8</w:t>
      </w:r>
      <w:r>
        <w:rPr>
          <w:rFonts w:hint="eastAsia" w:ascii="仿宋" w:hAnsi="仿宋" w:eastAsia="仿宋"/>
          <w:sz w:val="28"/>
          <w:szCs w:val="28"/>
          <w:highlight w:val="none"/>
        </w:rPr>
        <w:t>）尺寸（长</w:t>
      </w:r>
      <w:r>
        <w:rPr>
          <w:rFonts w:ascii="仿宋" w:hAnsi="仿宋" w:eastAsia="仿宋"/>
          <w:sz w:val="28"/>
          <w:szCs w:val="28"/>
          <w:highlight w:val="none"/>
        </w:rPr>
        <w:t>X</w:t>
      </w:r>
      <w:r>
        <w:rPr>
          <w:rFonts w:hint="eastAsia" w:ascii="仿宋" w:hAnsi="仿宋" w:eastAsia="仿宋"/>
          <w:sz w:val="28"/>
          <w:szCs w:val="28"/>
          <w:highlight w:val="none"/>
        </w:rPr>
        <w:t>宽</w:t>
      </w:r>
      <w:r>
        <w:rPr>
          <w:rFonts w:ascii="仿宋" w:hAnsi="仿宋" w:eastAsia="仿宋"/>
          <w:sz w:val="28"/>
          <w:szCs w:val="28"/>
          <w:highlight w:val="none"/>
        </w:rPr>
        <w:t>X</w:t>
      </w:r>
      <w:r>
        <w:rPr>
          <w:rFonts w:hint="eastAsia" w:ascii="仿宋" w:hAnsi="仿宋" w:eastAsia="仿宋"/>
          <w:sz w:val="28"/>
          <w:szCs w:val="28"/>
          <w:highlight w:val="none"/>
        </w:rPr>
        <w:t>高，以厘米计）</w:t>
      </w:r>
      <w:r>
        <w:rPr>
          <w:rFonts w:ascii="仿宋" w:hAnsi="仿宋" w:eastAsia="仿宋"/>
          <w:sz w:val="28"/>
          <w:szCs w:val="28"/>
          <w:highlight w:val="none"/>
        </w:rPr>
        <w:t xml:space="preserve"> </w:t>
      </w:r>
    </w:p>
    <w:p>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如果货物（含软件及相关服务）单件重量在两吨或两吨以上，乙方应在每件包装箱的两侧用中文和适当的运输标志标明</w:t>
      </w:r>
      <w:r>
        <w:rPr>
          <w:rFonts w:ascii="仿宋" w:hAnsi="仿宋" w:eastAsia="仿宋"/>
          <w:sz w:val="28"/>
          <w:szCs w:val="28"/>
          <w:highlight w:val="none"/>
        </w:rPr>
        <w:t>“</w:t>
      </w:r>
      <w:r>
        <w:rPr>
          <w:rFonts w:hint="eastAsia" w:ascii="仿宋" w:hAnsi="仿宋" w:eastAsia="仿宋"/>
          <w:sz w:val="28"/>
          <w:szCs w:val="28"/>
          <w:highlight w:val="none"/>
        </w:rPr>
        <w:t>重心</w:t>
      </w:r>
      <w:r>
        <w:rPr>
          <w:rFonts w:ascii="仿宋" w:hAnsi="仿宋" w:eastAsia="仿宋"/>
          <w:sz w:val="28"/>
          <w:szCs w:val="28"/>
          <w:highlight w:val="none"/>
        </w:rPr>
        <w:t>”</w:t>
      </w:r>
      <w:r>
        <w:rPr>
          <w:rFonts w:hint="eastAsia" w:ascii="仿宋" w:hAnsi="仿宋" w:eastAsia="仿宋"/>
          <w:sz w:val="28"/>
          <w:szCs w:val="28"/>
          <w:highlight w:val="none"/>
        </w:rPr>
        <w:t>和</w:t>
      </w:r>
      <w:r>
        <w:rPr>
          <w:rFonts w:ascii="仿宋" w:hAnsi="仿宋" w:eastAsia="仿宋"/>
          <w:sz w:val="28"/>
          <w:szCs w:val="28"/>
          <w:highlight w:val="none"/>
        </w:rPr>
        <w:t>“</w:t>
      </w:r>
      <w:r>
        <w:rPr>
          <w:rFonts w:hint="eastAsia" w:ascii="仿宋" w:hAnsi="仿宋" w:eastAsia="仿宋"/>
          <w:sz w:val="28"/>
          <w:szCs w:val="28"/>
          <w:highlight w:val="none"/>
        </w:rPr>
        <w:t>吊装点</w:t>
      </w:r>
      <w:r>
        <w:rPr>
          <w:rFonts w:ascii="仿宋" w:hAnsi="仿宋" w:eastAsia="仿宋"/>
          <w:sz w:val="28"/>
          <w:szCs w:val="28"/>
          <w:highlight w:val="none"/>
        </w:rPr>
        <w:t>”</w:t>
      </w:r>
      <w:r>
        <w:rPr>
          <w:rFonts w:hint="eastAsia" w:ascii="仿宋" w:hAnsi="仿宋" w:eastAsia="仿宋"/>
          <w:sz w:val="28"/>
          <w:szCs w:val="28"/>
          <w:highlight w:val="none"/>
        </w:rPr>
        <w:t>，以便装卸和搬运。根据货物（含软件及相关服务）的特点和运输的不同要求，乙方应在包装箱上清楚地标有“小心轻放”、</w:t>
      </w:r>
      <w:r>
        <w:rPr>
          <w:rFonts w:ascii="仿宋" w:hAnsi="仿宋" w:eastAsia="仿宋"/>
          <w:sz w:val="28"/>
          <w:szCs w:val="28"/>
          <w:highlight w:val="none"/>
        </w:rPr>
        <w:t>“</w:t>
      </w:r>
      <w:r>
        <w:rPr>
          <w:rFonts w:hint="eastAsia" w:ascii="仿宋" w:hAnsi="仿宋" w:eastAsia="仿宋"/>
          <w:sz w:val="28"/>
          <w:szCs w:val="28"/>
          <w:highlight w:val="none"/>
        </w:rPr>
        <w:t>勿倒置”、</w:t>
      </w:r>
      <w:r>
        <w:rPr>
          <w:rFonts w:ascii="仿宋" w:hAnsi="仿宋" w:eastAsia="仿宋"/>
          <w:sz w:val="28"/>
          <w:szCs w:val="28"/>
          <w:highlight w:val="none"/>
        </w:rPr>
        <w:t>“</w:t>
      </w:r>
      <w:r>
        <w:rPr>
          <w:rFonts w:hint="eastAsia" w:ascii="仿宋" w:hAnsi="仿宋" w:eastAsia="仿宋"/>
          <w:sz w:val="28"/>
          <w:szCs w:val="28"/>
          <w:highlight w:val="none"/>
        </w:rPr>
        <w:t>防潮</w:t>
      </w:r>
      <w:r>
        <w:rPr>
          <w:rFonts w:ascii="仿宋" w:hAnsi="仿宋" w:eastAsia="仿宋"/>
          <w:sz w:val="28"/>
          <w:szCs w:val="28"/>
          <w:highlight w:val="none"/>
        </w:rPr>
        <w:t>”</w:t>
      </w:r>
      <w:r>
        <w:rPr>
          <w:rFonts w:hint="eastAsia" w:ascii="仿宋" w:hAnsi="仿宋" w:eastAsia="仿宋"/>
          <w:sz w:val="28"/>
          <w:szCs w:val="28"/>
          <w:highlight w:val="none"/>
        </w:rPr>
        <w:t>等字样和其他适当的标记。</w:t>
      </w:r>
      <w:r>
        <w:rPr>
          <w:rFonts w:ascii="仿宋" w:hAnsi="仿宋" w:eastAsia="仿宋"/>
          <w:sz w:val="28"/>
          <w:szCs w:val="28"/>
          <w:highlight w:val="none"/>
        </w:rPr>
        <w:t xml:space="preserve"> </w:t>
      </w:r>
    </w:p>
    <w:p>
      <w:pPr>
        <w:spacing w:line="520" w:lineRule="exact"/>
        <w:ind w:firstLine="660"/>
        <w:rPr>
          <w:rFonts w:hint="eastAsia"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因缺少装运标志或者装运标志不明确导致货物在运输、装卸过程中产生的损失，乙方应承担相应的过错责任。</w:t>
      </w:r>
    </w:p>
    <w:p>
      <w:pPr>
        <w:spacing w:line="520" w:lineRule="exact"/>
        <w:rPr>
          <w:rFonts w:hint="eastAsia" w:ascii="仿宋" w:hAnsi="仿宋" w:eastAsia="仿宋"/>
          <w:sz w:val="28"/>
          <w:highlight w:val="none"/>
        </w:rPr>
      </w:pPr>
      <w:r>
        <w:rPr>
          <w:rFonts w:hint="eastAsia" w:ascii="仿宋" w:hAnsi="仿宋" w:eastAsia="仿宋"/>
          <w:sz w:val="28"/>
          <w:highlight w:val="none"/>
        </w:rPr>
        <w:t>6.付款方式</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6.1本合同以人民币付款。</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6.2乙方应按照与甲方签订的合同规定交货。交货后乙方向甲方提供下列单据，甲方按合同规定审核后付款:</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（1）发票；</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（2）制造厂家出具的质量检验证书等；</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（3）装箱单；</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（4）验收合格证；</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（5）使用方加盖公章证明货物交付使用合格的验收表。</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6.3甲方将按磋商文件中规定的付款方式安排付款。</w:t>
      </w:r>
    </w:p>
    <w:p>
      <w:pPr>
        <w:spacing w:line="520" w:lineRule="exact"/>
        <w:rPr>
          <w:rFonts w:hint="eastAsia" w:ascii="仿宋" w:hAnsi="仿宋" w:eastAsia="仿宋"/>
          <w:sz w:val="28"/>
          <w:highlight w:val="none"/>
        </w:rPr>
      </w:pPr>
      <w:r>
        <w:rPr>
          <w:rFonts w:hint="eastAsia" w:ascii="仿宋" w:hAnsi="仿宋" w:eastAsia="仿宋"/>
          <w:sz w:val="28"/>
          <w:highlight w:val="none"/>
        </w:rPr>
        <w:t>7.伴随服务</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7.1乙方应按照国家有关规定和合同中所附的服务承诺提供服务。</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7.2除第7.1条规定外，乙方还应提供下列服务:</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（1）货物的现场安装和启动监督；</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（2）提供货物组装和维修所需的工具；</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（3）在合同中乙方承诺的期限内对所提供货物实施运行监督、维修，但前提条件是该服务并不能免除乙方在质量保证期内应承担的义务；</w:t>
      </w:r>
    </w:p>
    <w:p>
      <w:pPr>
        <w:spacing w:line="520" w:lineRule="exact"/>
        <w:ind w:firstLine="560"/>
        <w:rPr>
          <w:rFonts w:hint="eastAsia" w:ascii="仿宋" w:hAnsi="仿宋" w:eastAsia="仿宋"/>
          <w:sz w:val="28"/>
          <w:highlight w:val="none"/>
        </w:rPr>
      </w:pPr>
      <w:r>
        <w:rPr>
          <w:rFonts w:hint="eastAsia" w:ascii="仿宋" w:hAnsi="仿宋" w:eastAsia="仿宋"/>
          <w:sz w:val="28"/>
          <w:highlight w:val="none"/>
        </w:rPr>
        <w:t>（4）在项目交货现场就货物的安装、启动、运行、维护对甲方人员进行培训。</w:t>
      </w:r>
    </w:p>
    <w:p>
      <w:pPr>
        <w:spacing w:line="520" w:lineRule="exact"/>
        <w:ind w:firstLine="660"/>
        <w:rPr>
          <w:rFonts w:hint="eastAsia" w:ascii="仿宋" w:hAnsi="仿宋" w:eastAsia="仿宋"/>
          <w:sz w:val="28"/>
          <w:highlight w:val="none"/>
        </w:rPr>
      </w:pPr>
      <w:r>
        <w:rPr>
          <w:rFonts w:hint="eastAsia" w:ascii="仿宋" w:hAnsi="仿宋" w:eastAsia="仿宋"/>
          <w:sz w:val="28"/>
          <w:highlight w:val="none"/>
        </w:rPr>
        <w:t>7.3伴随服务的费用应含在合同价中，不单独进行支付。</w:t>
      </w:r>
    </w:p>
    <w:p>
      <w:pPr>
        <w:spacing w:line="520" w:lineRule="exact"/>
        <w:rPr>
          <w:rFonts w:hint="eastAsia" w:ascii="仿宋" w:hAnsi="仿宋" w:eastAsia="仿宋"/>
          <w:sz w:val="28"/>
          <w:highlight w:val="none"/>
        </w:rPr>
      </w:pPr>
      <w:r>
        <w:rPr>
          <w:rFonts w:hint="eastAsia" w:ascii="仿宋" w:hAnsi="仿宋" w:eastAsia="仿宋"/>
          <w:sz w:val="28"/>
          <w:highlight w:val="none"/>
        </w:rPr>
        <w:t>8.质量保证</w:t>
      </w:r>
    </w:p>
    <w:p>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p>
    <w:p>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.2 </w:t>
      </w:r>
      <w:r>
        <w:rPr>
          <w:rFonts w:hint="eastAsia" w:ascii="仿宋" w:hAnsi="仿宋" w:eastAsia="仿宋"/>
          <w:sz w:val="28"/>
          <w:szCs w:val="28"/>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p>
    <w:p>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.3 </w:t>
      </w:r>
      <w:r>
        <w:rPr>
          <w:rFonts w:hint="eastAsia" w:ascii="仿宋" w:hAnsi="仿宋" w:eastAsia="仿宋"/>
          <w:sz w:val="28"/>
          <w:szCs w:val="28"/>
          <w:highlight w:val="none"/>
        </w:rPr>
        <w:t>乙方在收到通知后三十天内应免费维修或更换有缺陷的货物（含软件及相关服务）或部件。</w:t>
      </w:r>
      <w:r>
        <w:rPr>
          <w:rFonts w:ascii="仿宋" w:hAnsi="仿宋" w:eastAsia="仿宋"/>
          <w:sz w:val="28"/>
          <w:szCs w:val="28"/>
          <w:highlight w:val="none"/>
        </w:rPr>
        <w:t xml:space="preserve"> </w:t>
      </w:r>
    </w:p>
    <w:p>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.4 </w:t>
      </w:r>
      <w:r>
        <w:rPr>
          <w:rFonts w:hint="eastAsia" w:ascii="仿宋" w:hAnsi="仿宋" w:eastAsia="仿宋"/>
          <w:sz w:val="28"/>
          <w:szCs w:val="28"/>
          <w:highlight w:val="none"/>
        </w:rPr>
        <w:t>如果乙方在收到通知后三十天内没有弥补缺陷，甲方可采取必要的补救措施，但风险和费用将由乙方承担。</w:t>
      </w:r>
    </w:p>
    <w:p>
      <w:pPr>
        <w:spacing w:line="520" w:lineRule="exact"/>
        <w:ind w:firstLine="658"/>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 xml:space="preserve">.5 </w:t>
      </w:r>
      <w:r>
        <w:rPr>
          <w:rFonts w:hint="eastAsia" w:ascii="仿宋" w:hAnsi="仿宋" w:eastAsia="仿宋"/>
          <w:sz w:val="28"/>
          <w:szCs w:val="28"/>
          <w:highlight w:val="none"/>
        </w:rPr>
        <w:t>除合同专用条款规定外，合同项下货物（含软件及相关服务）的质量保证期为自货物（含软件及相关服务）通过最终验收起</w:t>
      </w:r>
      <w:r>
        <w:rPr>
          <w:rFonts w:ascii="仿宋" w:hAnsi="仿宋" w:eastAsia="仿宋"/>
          <w:sz w:val="28"/>
          <w:szCs w:val="28"/>
          <w:highlight w:val="none"/>
        </w:rPr>
        <w:t>12</w:t>
      </w:r>
      <w:r>
        <w:rPr>
          <w:rFonts w:hint="eastAsia" w:ascii="仿宋" w:hAnsi="仿宋" w:eastAsia="仿宋"/>
          <w:sz w:val="28"/>
          <w:szCs w:val="28"/>
          <w:highlight w:val="none"/>
        </w:rPr>
        <w:t>个月。</w:t>
      </w:r>
    </w:p>
    <w:p>
      <w:pPr>
        <w:spacing w:line="520" w:lineRule="exact"/>
        <w:rPr>
          <w:rFonts w:hint="eastAsia" w:ascii="仿宋" w:hAnsi="仿宋" w:eastAsia="仿宋"/>
          <w:sz w:val="28"/>
          <w:highlight w:val="none"/>
        </w:rPr>
      </w:pPr>
      <w:r>
        <w:rPr>
          <w:rFonts w:hint="eastAsia" w:ascii="仿宋" w:hAnsi="仿宋" w:eastAsia="仿宋"/>
          <w:sz w:val="28"/>
          <w:highlight w:val="none"/>
        </w:rPr>
        <w:t>9.检验及安装</w:t>
      </w:r>
    </w:p>
    <w:p>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p>
    <w:p>
      <w:pPr>
        <w:spacing w:line="520" w:lineRule="exact"/>
        <w:ind w:firstLine="660"/>
        <w:rPr>
          <w:rFonts w:hint="eastAsia" w:ascii="仿宋" w:hAnsi="仿宋" w:eastAsia="仿宋"/>
          <w:b/>
          <w:sz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.2 </w:t>
      </w:r>
      <w:r>
        <w:rPr>
          <w:rFonts w:hint="eastAsia" w:ascii="仿宋" w:hAnsi="仿宋" w:eastAsia="仿宋"/>
          <w:sz w:val="28"/>
          <w:szCs w:val="28"/>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90</w:t>
      </w:r>
      <w:r>
        <w:rPr>
          <w:rFonts w:hint="eastAsia" w:ascii="仿宋" w:hAnsi="仿宋" w:eastAsia="仿宋"/>
          <w:sz w:val="28"/>
          <w:szCs w:val="28"/>
          <w:highlight w:val="none"/>
        </w:rPr>
        <w:t>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p>
    <w:p>
      <w:pPr>
        <w:spacing w:line="520" w:lineRule="exact"/>
        <w:ind w:firstLine="660"/>
        <w:rPr>
          <w:rFonts w:hint="eastAsia" w:ascii="仿宋" w:hAnsi="仿宋" w:eastAsia="仿宋"/>
          <w:b/>
          <w:sz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.3 </w:t>
      </w:r>
      <w:r>
        <w:rPr>
          <w:rFonts w:hint="eastAsia" w:ascii="仿宋" w:hAnsi="仿宋" w:eastAsia="仿宋"/>
          <w:sz w:val="28"/>
          <w:szCs w:val="28"/>
          <w:highlight w:val="none"/>
        </w:rPr>
        <w:t>如果货物（含软件及相关服务）的质量和规格与合同不符，或在第</w:t>
      </w:r>
      <w:r>
        <w:rPr>
          <w:rFonts w:ascii="仿宋" w:hAnsi="仿宋" w:eastAsia="仿宋"/>
          <w:sz w:val="28"/>
          <w:szCs w:val="28"/>
          <w:highlight w:val="none"/>
        </w:rPr>
        <w:t>11</w:t>
      </w:r>
      <w:r>
        <w:rPr>
          <w:rFonts w:hint="eastAsia" w:ascii="仿宋" w:hAnsi="仿宋" w:eastAsia="仿宋"/>
          <w:sz w:val="28"/>
          <w:szCs w:val="28"/>
          <w:highlight w:val="none"/>
        </w:rPr>
        <w:t>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p>
    <w:p>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.4 </w:t>
      </w:r>
      <w:r>
        <w:rPr>
          <w:rFonts w:hint="eastAsia" w:ascii="仿宋" w:hAnsi="仿宋" w:eastAsia="仿宋"/>
          <w:sz w:val="28"/>
          <w:szCs w:val="28"/>
          <w:highlight w:val="none"/>
        </w:rPr>
        <w:t>甲方有权提出在货物（含软件及相关服务）制造过程中派人到制造厂进行监造，乙方有义务为甲方监造人员提供方便。</w:t>
      </w:r>
    </w:p>
    <w:p>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.5 </w:t>
      </w:r>
      <w:r>
        <w:rPr>
          <w:rFonts w:hint="eastAsia" w:ascii="仿宋" w:hAnsi="仿宋" w:eastAsia="仿宋"/>
          <w:sz w:val="28"/>
          <w:szCs w:val="28"/>
          <w:highlight w:val="none"/>
        </w:rPr>
        <w:t>制造厂对所供货物（含软件及相关服务）进行机械运转试验和性能试验时，必须提前通知甲方。</w:t>
      </w:r>
      <w:r>
        <w:rPr>
          <w:rFonts w:ascii="仿宋" w:hAnsi="仿宋" w:eastAsia="仿宋"/>
          <w:sz w:val="28"/>
          <w:szCs w:val="28"/>
          <w:highlight w:val="none"/>
        </w:rPr>
        <w:t xml:space="preserve"> </w:t>
      </w:r>
    </w:p>
    <w:p>
      <w:pPr>
        <w:spacing w:line="520" w:lineRule="exact"/>
        <w:ind w:firstLine="660"/>
        <w:rPr>
          <w:rFonts w:hint="eastAsia" w:ascii="仿宋" w:hAnsi="仿宋" w:eastAsia="仿宋"/>
          <w:sz w:val="28"/>
          <w:szCs w:val="28"/>
          <w:highlight w:val="none"/>
        </w:rPr>
      </w:pPr>
      <w:r>
        <w:rPr>
          <w:rFonts w:hint="eastAsia" w:ascii="仿宋" w:hAnsi="仿宋" w:eastAsia="仿宋"/>
          <w:sz w:val="28"/>
          <w:szCs w:val="28"/>
          <w:highlight w:val="none"/>
        </w:rPr>
        <w:t>9</w:t>
      </w:r>
      <w:r>
        <w:rPr>
          <w:rFonts w:ascii="仿宋" w:hAnsi="仿宋" w:eastAsia="仿宋"/>
          <w:sz w:val="28"/>
          <w:szCs w:val="28"/>
          <w:highlight w:val="none"/>
        </w:rPr>
        <w:t xml:space="preserve">.6 </w:t>
      </w:r>
      <w:r>
        <w:rPr>
          <w:rFonts w:hint="eastAsia" w:ascii="仿宋" w:hAnsi="仿宋" w:eastAsia="仿宋"/>
          <w:sz w:val="28"/>
          <w:szCs w:val="28"/>
          <w:highlight w:val="none"/>
        </w:rPr>
        <w:t>货物（含软件及相关服务）的安装按磋商文件要求进行。</w:t>
      </w:r>
    </w:p>
    <w:p>
      <w:pPr>
        <w:spacing w:line="520" w:lineRule="exact"/>
        <w:rPr>
          <w:rFonts w:hint="eastAsia" w:ascii="仿宋" w:hAnsi="仿宋" w:eastAsia="仿宋"/>
          <w:sz w:val="28"/>
          <w:highlight w:val="none"/>
        </w:rPr>
      </w:pPr>
      <w:r>
        <w:rPr>
          <w:rFonts w:hint="eastAsia" w:ascii="仿宋" w:hAnsi="仿宋" w:eastAsia="仿宋"/>
          <w:sz w:val="28"/>
          <w:highlight w:val="none"/>
        </w:rPr>
        <w:t>10.索赔</w:t>
      </w:r>
    </w:p>
    <w:p>
      <w:pPr>
        <w:spacing w:line="520" w:lineRule="exact"/>
        <w:ind w:firstLine="658"/>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.1 </w:t>
      </w:r>
      <w:r>
        <w:rPr>
          <w:rFonts w:hint="eastAsia" w:ascii="仿宋" w:hAnsi="仿宋" w:eastAsia="仿宋"/>
          <w:sz w:val="28"/>
          <w:szCs w:val="28"/>
          <w:highlight w:val="none"/>
        </w:rPr>
        <w:t>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p>
    <w:p>
      <w:pPr>
        <w:spacing w:line="520" w:lineRule="exact"/>
        <w:ind w:firstLine="658"/>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.2 </w:t>
      </w:r>
      <w:r>
        <w:rPr>
          <w:rFonts w:hint="eastAsia" w:ascii="仿宋" w:hAnsi="仿宋" w:eastAsia="仿宋"/>
          <w:sz w:val="28"/>
          <w:szCs w:val="28"/>
          <w:highlight w:val="none"/>
        </w:rPr>
        <w:t>在第</w:t>
      </w:r>
      <w:r>
        <w:rPr>
          <w:rFonts w:ascii="仿宋" w:hAnsi="仿宋" w:eastAsia="仿宋"/>
          <w:sz w:val="28"/>
          <w:szCs w:val="28"/>
          <w:highlight w:val="none"/>
        </w:rPr>
        <w:t xml:space="preserve"> </w:t>
      </w:r>
      <w:r>
        <w:rPr>
          <w:rFonts w:hint="eastAsia" w:ascii="仿宋" w:hAnsi="仿宋" w:eastAsia="仿宋"/>
          <w:sz w:val="28"/>
          <w:szCs w:val="28"/>
          <w:highlight w:val="none"/>
        </w:rPr>
        <w:t>8条和第9条规定的检验期和质量保证期内，如果乙方对甲方提出的索赔和差异负有责任，乙方应按照甲方同意的下列一种或多种方式解决索赔事宜:</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1</w:t>
      </w:r>
      <w:r>
        <w:rPr>
          <w:rFonts w:hint="eastAsia" w:ascii="仿宋" w:hAnsi="仿宋" w:eastAsia="仿宋"/>
          <w:sz w:val="28"/>
          <w:szCs w:val="28"/>
          <w:highlight w:val="none"/>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2</w:t>
      </w:r>
      <w:r>
        <w:rPr>
          <w:rFonts w:hint="eastAsia" w:ascii="仿宋" w:hAnsi="仿宋" w:eastAsia="仿宋"/>
          <w:sz w:val="28"/>
          <w:szCs w:val="28"/>
          <w:highlight w:val="none"/>
        </w:rPr>
        <w:t>）根据货物（含软件及相关服务）的低劣程度、损坏程度以及甲方遭受损失的数额，经买卖双方商定降低货物（含软件及相关服务）的价格。</w:t>
      </w:r>
    </w:p>
    <w:p>
      <w:pPr>
        <w:spacing w:line="520" w:lineRule="exact"/>
        <w:ind w:firstLine="420"/>
        <w:rPr>
          <w:rFonts w:hint="eastAsia" w:ascii="仿宋" w:hAnsi="仿宋" w:eastAsia="仿宋"/>
          <w:sz w:val="28"/>
          <w:szCs w:val="28"/>
          <w:highlight w:val="none"/>
        </w:rPr>
      </w:pPr>
      <w:r>
        <w:rPr>
          <w:rFonts w:hint="eastAsia" w:ascii="仿宋" w:hAnsi="仿宋" w:eastAsia="仿宋"/>
          <w:sz w:val="28"/>
          <w:szCs w:val="28"/>
          <w:highlight w:val="none"/>
        </w:rPr>
        <w:t>（</w:t>
      </w:r>
      <w:r>
        <w:rPr>
          <w:rFonts w:ascii="仿宋" w:hAnsi="仿宋" w:eastAsia="仿宋"/>
          <w:sz w:val="28"/>
          <w:szCs w:val="28"/>
          <w:highlight w:val="none"/>
        </w:rPr>
        <w:t>3</w:t>
      </w:r>
      <w:r>
        <w:rPr>
          <w:rFonts w:hint="eastAsia" w:ascii="仿宋" w:hAnsi="仿宋" w:eastAsia="仿宋"/>
          <w:sz w:val="28"/>
          <w:szCs w:val="28"/>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p>
    <w:p>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 xml:space="preserve">.3 </w:t>
      </w:r>
      <w:r>
        <w:rPr>
          <w:rFonts w:hint="eastAsia" w:ascii="仿宋" w:hAnsi="仿宋" w:eastAsia="仿宋"/>
          <w:sz w:val="28"/>
          <w:szCs w:val="28"/>
          <w:highlight w:val="none"/>
        </w:rPr>
        <w:t>如果在甲方发出索赔通知后</w:t>
      </w:r>
      <w:r>
        <w:rPr>
          <w:rFonts w:ascii="仿宋" w:hAnsi="仿宋" w:eastAsia="仿宋"/>
          <w:sz w:val="28"/>
          <w:szCs w:val="28"/>
          <w:highlight w:val="none"/>
        </w:rPr>
        <w:t>3</w:t>
      </w:r>
      <w:r>
        <w:rPr>
          <w:rFonts w:hint="eastAsia" w:ascii="仿宋" w:hAnsi="仿宋" w:eastAsia="仿宋"/>
          <w:sz w:val="28"/>
          <w:szCs w:val="28"/>
          <w:highlight w:val="none"/>
        </w:rPr>
        <w:t>0天内，乙方未能答复，上述索赔应视为已被乙方接受。若乙方未能在甲方提出索赔通知后</w:t>
      </w:r>
      <w:r>
        <w:rPr>
          <w:rFonts w:ascii="仿宋" w:hAnsi="仿宋" w:eastAsia="仿宋"/>
          <w:sz w:val="28"/>
          <w:szCs w:val="28"/>
          <w:highlight w:val="none"/>
        </w:rPr>
        <w:t>30</w:t>
      </w:r>
      <w:r>
        <w:rPr>
          <w:rFonts w:hint="eastAsia" w:ascii="仿宋" w:hAnsi="仿宋" w:eastAsia="仿宋"/>
          <w:sz w:val="28"/>
          <w:szCs w:val="28"/>
          <w:highlight w:val="none"/>
        </w:rPr>
        <w:t>天内或甲方同意的更长时间内，按照第</w:t>
      </w:r>
      <w:r>
        <w:rPr>
          <w:rFonts w:ascii="仿宋" w:hAnsi="仿宋" w:eastAsia="仿宋"/>
          <w:sz w:val="28"/>
          <w:szCs w:val="28"/>
          <w:highlight w:val="none"/>
        </w:rPr>
        <w:t>1</w:t>
      </w:r>
      <w:r>
        <w:rPr>
          <w:rFonts w:hint="eastAsia" w:ascii="仿宋" w:hAnsi="仿宋" w:eastAsia="仿宋"/>
          <w:sz w:val="28"/>
          <w:szCs w:val="28"/>
          <w:highlight w:val="none"/>
        </w:rPr>
        <w:t>0.</w:t>
      </w:r>
      <w:r>
        <w:rPr>
          <w:rFonts w:ascii="仿宋" w:hAnsi="仿宋" w:eastAsia="仿宋"/>
          <w:sz w:val="28"/>
          <w:szCs w:val="28"/>
          <w:highlight w:val="none"/>
        </w:rPr>
        <w:t>2</w:t>
      </w:r>
      <w:r>
        <w:rPr>
          <w:rFonts w:hint="eastAsia" w:ascii="仿宋" w:hAnsi="仿宋" w:eastAsia="仿宋"/>
          <w:sz w:val="28"/>
          <w:szCs w:val="28"/>
          <w:highlight w:val="none"/>
        </w:rPr>
        <w:t>条规定的任何一种方法解决索赔事宜，甲方将从已付款或从乙方开具的履约保证金中扣回索赔金额。如果这些金额不足以补偿索赔金额，甲方有权向乙方提出不足部分的补偿。</w:t>
      </w:r>
    </w:p>
    <w:p>
      <w:pPr>
        <w:spacing w:line="520" w:lineRule="exact"/>
        <w:rPr>
          <w:rFonts w:hint="eastAsia" w:ascii="仿宋" w:hAnsi="仿宋" w:eastAsia="仿宋"/>
          <w:sz w:val="28"/>
          <w:highlight w:val="none"/>
        </w:rPr>
      </w:pPr>
      <w:r>
        <w:rPr>
          <w:rFonts w:hint="eastAsia" w:ascii="仿宋" w:hAnsi="仿宋" w:eastAsia="仿宋"/>
          <w:sz w:val="28"/>
          <w:highlight w:val="none"/>
        </w:rPr>
        <w:t>11.拖延交货</w:t>
      </w:r>
    </w:p>
    <w:p>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乙方应按照合同专用条款中规定的交货期交货和提供服务。</w:t>
      </w:r>
      <w:r>
        <w:rPr>
          <w:rFonts w:ascii="仿宋" w:hAnsi="仿宋" w:eastAsia="仿宋"/>
          <w:sz w:val="28"/>
          <w:szCs w:val="28"/>
          <w:highlight w:val="none"/>
        </w:rPr>
        <w:t xml:space="preserve"> </w:t>
      </w:r>
    </w:p>
    <w:p>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 xml:space="preserve">.2 </w:t>
      </w:r>
      <w:r>
        <w:rPr>
          <w:rFonts w:hint="eastAsia" w:ascii="仿宋" w:hAnsi="仿宋" w:eastAsia="仿宋"/>
          <w:sz w:val="28"/>
          <w:szCs w:val="28"/>
          <w:highlight w:val="none"/>
        </w:rPr>
        <w:t>如果乙方毫无理由地拖延交货，将受到以下制裁:没收履约保证金，加收违约损失赔偿和／或终止合同。</w:t>
      </w:r>
      <w:r>
        <w:rPr>
          <w:rFonts w:ascii="仿宋" w:hAnsi="仿宋" w:eastAsia="仿宋"/>
          <w:sz w:val="28"/>
          <w:szCs w:val="28"/>
          <w:highlight w:val="none"/>
        </w:rPr>
        <w:t xml:space="preserve"> </w:t>
      </w:r>
    </w:p>
    <w:p>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1</w:t>
      </w:r>
      <w:r>
        <w:rPr>
          <w:rFonts w:ascii="仿宋" w:hAnsi="仿宋" w:eastAsia="仿宋"/>
          <w:sz w:val="28"/>
          <w:szCs w:val="28"/>
          <w:highlight w:val="none"/>
        </w:rPr>
        <w:t xml:space="preserve">.3 </w:t>
      </w:r>
      <w:r>
        <w:rPr>
          <w:rFonts w:hint="eastAsia" w:ascii="仿宋" w:hAnsi="仿宋" w:eastAsia="仿宋"/>
          <w:sz w:val="28"/>
          <w:szCs w:val="28"/>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12.误期赔偿</w:t>
      </w:r>
    </w:p>
    <w:p>
      <w:pPr>
        <w:spacing w:line="520" w:lineRule="exact"/>
        <w:ind w:firstLine="567"/>
        <w:rPr>
          <w:rFonts w:hint="eastAsia" w:ascii="仿宋" w:hAnsi="仿宋" w:eastAsia="仿宋"/>
          <w:sz w:val="28"/>
          <w:szCs w:val="28"/>
          <w:highlight w:val="none"/>
        </w:rPr>
      </w:pPr>
      <w:r>
        <w:rPr>
          <w:rFonts w:hint="eastAsia" w:ascii="仿宋" w:hAnsi="仿宋" w:eastAsia="仿宋"/>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13.不可抗力</w:t>
      </w:r>
    </w:p>
    <w:p>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3</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p>
    <w:p>
      <w:pPr>
        <w:spacing w:line="520" w:lineRule="exact"/>
        <w:ind w:firstLine="567"/>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3</w:t>
      </w:r>
      <w:r>
        <w:rPr>
          <w:rFonts w:ascii="仿宋" w:hAnsi="仿宋" w:eastAsia="仿宋"/>
          <w:sz w:val="28"/>
          <w:szCs w:val="28"/>
          <w:highlight w:val="none"/>
        </w:rPr>
        <w:t xml:space="preserve">.2 </w:t>
      </w:r>
      <w:r>
        <w:rPr>
          <w:rFonts w:hint="eastAsia" w:ascii="仿宋" w:hAnsi="仿宋" w:eastAsia="仿宋"/>
          <w:sz w:val="28"/>
          <w:szCs w:val="28"/>
          <w:highlight w:val="none"/>
        </w:rPr>
        <w:t>受事故影响的一方应在不可抗力事故发生后尽快以电报、传真或电传通知另一方，并在事故发生后</w:t>
      </w:r>
      <w:r>
        <w:rPr>
          <w:rFonts w:ascii="仿宋" w:hAnsi="仿宋" w:eastAsia="仿宋"/>
          <w:sz w:val="28"/>
          <w:szCs w:val="28"/>
          <w:highlight w:val="none"/>
        </w:rPr>
        <w:t>14</w:t>
      </w:r>
      <w:r>
        <w:rPr>
          <w:rFonts w:hint="eastAsia" w:ascii="仿宋" w:hAnsi="仿宋" w:eastAsia="仿宋"/>
          <w:sz w:val="28"/>
          <w:szCs w:val="28"/>
          <w:highlight w:val="none"/>
        </w:rPr>
        <w:t>天内，将有关部门出具的证明文件用特快专递寄给或送给另一方。如果不可抗力影响时间延续</w:t>
      </w:r>
      <w:r>
        <w:rPr>
          <w:rFonts w:ascii="仿宋" w:hAnsi="仿宋" w:eastAsia="仿宋"/>
          <w:sz w:val="28"/>
          <w:szCs w:val="28"/>
          <w:highlight w:val="none"/>
        </w:rPr>
        <w:t>120</w:t>
      </w:r>
      <w:r>
        <w:rPr>
          <w:rFonts w:hint="eastAsia" w:ascii="仿宋" w:hAnsi="仿宋" w:eastAsia="仿宋"/>
          <w:sz w:val="28"/>
          <w:szCs w:val="28"/>
          <w:highlight w:val="none"/>
        </w:rPr>
        <w:t>天以上，双方应通过友好协商在合理的时间内达成进一步履行合同的协议。</w:t>
      </w:r>
      <w:r>
        <w:rPr>
          <w:rFonts w:ascii="仿宋" w:hAnsi="仿宋" w:eastAsia="仿宋"/>
          <w:sz w:val="28"/>
          <w:szCs w:val="28"/>
          <w:highlight w:val="none"/>
        </w:rPr>
        <w:t xml:space="preserve"> </w:t>
      </w:r>
    </w:p>
    <w:p>
      <w:pPr>
        <w:spacing w:line="520" w:lineRule="exact"/>
        <w:rPr>
          <w:rFonts w:hint="eastAsia" w:ascii="仿宋" w:hAnsi="仿宋" w:eastAsia="仿宋"/>
          <w:sz w:val="28"/>
          <w:highlight w:val="none"/>
        </w:rPr>
      </w:pPr>
      <w:r>
        <w:rPr>
          <w:rFonts w:hint="eastAsia" w:ascii="仿宋" w:hAnsi="仿宋" w:eastAsia="仿宋"/>
          <w:sz w:val="28"/>
          <w:highlight w:val="none"/>
        </w:rPr>
        <w:t>14.税费</w:t>
      </w:r>
    </w:p>
    <w:p>
      <w:pPr>
        <w:spacing w:line="520" w:lineRule="exact"/>
        <w:ind w:firstLine="567"/>
        <w:rPr>
          <w:rFonts w:hint="eastAsia" w:ascii="仿宋" w:hAnsi="仿宋" w:eastAsia="仿宋"/>
          <w:sz w:val="28"/>
          <w:highlight w:val="none"/>
        </w:rPr>
      </w:pPr>
      <w:r>
        <w:rPr>
          <w:rFonts w:hint="eastAsia" w:ascii="仿宋" w:hAnsi="仿宋" w:eastAsia="仿宋"/>
          <w:sz w:val="28"/>
          <w:highlight w:val="none"/>
        </w:rPr>
        <w:t>14.1中国政府根据现行税法规定对甲方征收的与本合同有关的一切税费，均由甲方负担。</w:t>
      </w:r>
    </w:p>
    <w:p>
      <w:pPr>
        <w:spacing w:line="520" w:lineRule="exact"/>
        <w:ind w:firstLine="567"/>
        <w:rPr>
          <w:rFonts w:hint="eastAsia" w:ascii="仿宋" w:hAnsi="仿宋" w:eastAsia="仿宋"/>
          <w:sz w:val="28"/>
          <w:highlight w:val="none"/>
        </w:rPr>
      </w:pPr>
      <w:r>
        <w:rPr>
          <w:rFonts w:hint="eastAsia" w:ascii="仿宋" w:hAnsi="仿宋" w:eastAsia="仿宋"/>
          <w:sz w:val="28"/>
          <w:highlight w:val="none"/>
        </w:rPr>
        <w:t>14.2中国政府根据现行税法规定对乙方征收的与本合同有关的一切税费均由乙方负担。</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15.仲裁</w:t>
      </w:r>
    </w:p>
    <w:p>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p>
    <w:p>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.2 </w:t>
      </w:r>
      <w:r>
        <w:rPr>
          <w:rFonts w:hint="eastAsia" w:ascii="仿宋" w:hAnsi="仿宋" w:eastAsia="仿宋"/>
          <w:sz w:val="28"/>
          <w:szCs w:val="28"/>
          <w:highlight w:val="none"/>
        </w:rPr>
        <w:t>仲裁裁决应为终局裁决，对双方均具有约束力。</w:t>
      </w:r>
      <w:r>
        <w:rPr>
          <w:rFonts w:ascii="仿宋" w:hAnsi="仿宋" w:eastAsia="仿宋"/>
          <w:sz w:val="28"/>
          <w:szCs w:val="28"/>
          <w:highlight w:val="none"/>
        </w:rPr>
        <w:t xml:space="preserve"> </w:t>
      </w:r>
    </w:p>
    <w:p>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.3 </w:t>
      </w:r>
      <w:r>
        <w:rPr>
          <w:rFonts w:hint="eastAsia" w:ascii="仿宋" w:hAnsi="仿宋" w:eastAsia="仿宋"/>
          <w:sz w:val="28"/>
          <w:szCs w:val="28"/>
          <w:highlight w:val="none"/>
        </w:rPr>
        <w:t>仲裁费除仲裁机构另有裁决外应由败诉方负担。</w:t>
      </w:r>
    </w:p>
    <w:p>
      <w:pPr>
        <w:spacing w:line="520" w:lineRule="exact"/>
        <w:ind w:firstLine="57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5</w:t>
      </w:r>
      <w:r>
        <w:rPr>
          <w:rFonts w:ascii="仿宋" w:hAnsi="仿宋" w:eastAsia="仿宋"/>
          <w:sz w:val="28"/>
          <w:szCs w:val="28"/>
          <w:highlight w:val="none"/>
        </w:rPr>
        <w:t xml:space="preserve">.4 </w:t>
      </w:r>
      <w:r>
        <w:rPr>
          <w:rFonts w:hint="eastAsia" w:ascii="仿宋" w:hAnsi="仿宋" w:eastAsia="仿宋"/>
          <w:sz w:val="28"/>
          <w:szCs w:val="28"/>
          <w:highlight w:val="none"/>
        </w:rPr>
        <w:t>在仲裁期间，除正在进行仲裁的部分外，合同其他部分继续执行。</w:t>
      </w:r>
      <w:r>
        <w:rPr>
          <w:rFonts w:hint="eastAsia" w:ascii="仿宋" w:hAnsi="仿宋" w:eastAsia="仿宋"/>
          <w:b/>
          <w:sz w:val="28"/>
          <w:szCs w:val="28"/>
          <w:highlight w:val="none"/>
        </w:rPr>
        <w:t xml:space="preserve"> </w:t>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16.违约终止合同</w:t>
      </w:r>
    </w:p>
    <w:p>
      <w:pPr>
        <w:spacing w:line="520" w:lineRule="exact"/>
        <w:ind w:firstLine="570"/>
        <w:rPr>
          <w:rFonts w:hint="eastAsia" w:ascii="仿宋" w:hAnsi="仿宋" w:eastAsia="仿宋"/>
          <w:sz w:val="28"/>
          <w:szCs w:val="28"/>
          <w:highlight w:val="none"/>
        </w:rPr>
      </w:pPr>
      <w:r>
        <w:rPr>
          <w:rFonts w:hint="eastAsia" w:ascii="仿宋" w:hAnsi="仿宋" w:eastAsia="仿宋"/>
          <w:sz w:val="28"/>
          <w:szCs w:val="28"/>
          <w:highlight w:val="none"/>
        </w:rPr>
        <w:t>16</w:t>
      </w:r>
      <w:r>
        <w:rPr>
          <w:rFonts w:ascii="仿宋" w:hAnsi="仿宋" w:eastAsia="仿宋"/>
          <w:sz w:val="28"/>
          <w:szCs w:val="28"/>
          <w:highlight w:val="none"/>
        </w:rPr>
        <w:t>.</w:t>
      </w:r>
      <w:r>
        <w:rPr>
          <w:rFonts w:hint="eastAsia" w:ascii="仿宋" w:hAnsi="仿宋" w:eastAsia="仿宋"/>
          <w:sz w:val="28"/>
          <w:szCs w:val="28"/>
          <w:highlight w:val="none"/>
        </w:rPr>
        <w:t>1</w:t>
      </w:r>
      <w:r>
        <w:rPr>
          <w:rFonts w:ascii="仿宋" w:hAnsi="仿宋" w:eastAsia="仿宋"/>
          <w:sz w:val="28"/>
          <w:szCs w:val="28"/>
          <w:highlight w:val="none"/>
        </w:rPr>
        <w:t xml:space="preserve"> </w:t>
      </w:r>
      <w:r>
        <w:rPr>
          <w:rFonts w:hint="eastAsia" w:ascii="仿宋" w:hAnsi="仿宋" w:eastAsia="仿宋"/>
          <w:sz w:val="28"/>
          <w:szCs w:val="28"/>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p>
    <w:p>
      <w:pPr>
        <w:pStyle w:val="280"/>
        <w:spacing w:line="520" w:lineRule="exact"/>
        <w:ind w:firstLine="560"/>
        <w:rPr>
          <w:rFonts w:hint="eastAsia" w:hAnsi="仿宋" w:cs="Times New Roman"/>
          <w:sz w:val="28"/>
          <w:szCs w:val="28"/>
          <w:highlight w:val="none"/>
        </w:rPr>
      </w:pPr>
      <w:r>
        <w:rPr>
          <w:rFonts w:hint="eastAsia" w:hAnsi="仿宋" w:cs="Times New Roman"/>
          <w:sz w:val="28"/>
          <w:szCs w:val="28"/>
          <w:highlight w:val="none"/>
        </w:rPr>
        <w:t>（1）如果乙方未能在合同规定的期限或甲方同意延期的限期内提供全部或部分货物（含软件及相关服务）；</w:t>
      </w:r>
      <w:r>
        <w:rPr>
          <w:rFonts w:hAnsi="仿宋" w:cs="Times New Roman"/>
          <w:sz w:val="28"/>
          <w:szCs w:val="28"/>
          <w:highlight w:val="none"/>
        </w:rPr>
        <w:t xml:space="preserve"> </w:t>
      </w:r>
    </w:p>
    <w:p>
      <w:pPr>
        <w:pStyle w:val="280"/>
        <w:spacing w:line="520" w:lineRule="exact"/>
        <w:ind w:firstLine="560"/>
        <w:rPr>
          <w:rFonts w:hint="eastAsia" w:hAnsi="仿宋" w:cs="Times New Roman"/>
          <w:sz w:val="28"/>
          <w:szCs w:val="28"/>
          <w:highlight w:val="none"/>
        </w:rPr>
      </w:pPr>
      <w:r>
        <w:rPr>
          <w:rFonts w:hint="eastAsia" w:hAnsi="仿宋" w:cs="Times New Roman"/>
          <w:sz w:val="28"/>
          <w:szCs w:val="28"/>
          <w:highlight w:val="none"/>
        </w:rPr>
        <w:t>（</w:t>
      </w:r>
      <w:r>
        <w:rPr>
          <w:rFonts w:hAnsi="仿宋" w:cs="Times New Roman"/>
          <w:sz w:val="28"/>
          <w:szCs w:val="28"/>
          <w:highlight w:val="none"/>
        </w:rPr>
        <w:t>2</w:t>
      </w:r>
      <w:r>
        <w:rPr>
          <w:rFonts w:hint="eastAsia" w:hAnsi="仿宋" w:cs="Times New Roman"/>
          <w:sz w:val="28"/>
          <w:szCs w:val="28"/>
          <w:highlight w:val="none"/>
        </w:rPr>
        <w:t>）如果乙方未能履行合同规定的其它义务。</w:t>
      </w:r>
      <w:r>
        <w:rPr>
          <w:rFonts w:hAnsi="仿宋" w:cs="Times New Roman"/>
          <w:sz w:val="28"/>
          <w:szCs w:val="28"/>
          <w:highlight w:val="none"/>
        </w:rPr>
        <w:t xml:space="preserve"> </w:t>
      </w:r>
    </w:p>
    <w:p>
      <w:pPr>
        <w:pStyle w:val="280"/>
        <w:spacing w:line="520" w:lineRule="exact"/>
        <w:ind w:firstLine="560"/>
        <w:rPr>
          <w:rFonts w:hint="eastAsia" w:hAnsi="仿宋" w:cs="Times New Roman"/>
          <w:sz w:val="28"/>
          <w:szCs w:val="28"/>
          <w:highlight w:val="none"/>
        </w:rPr>
      </w:pPr>
      <w:r>
        <w:rPr>
          <w:rFonts w:hint="eastAsia" w:hAnsi="仿宋" w:cs="Times New Roman"/>
          <w:sz w:val="28"/>
          <w:szCs w:val="28"/>
          <w:highlight w:val="none"/>
        </w:rPr>
        <w:t>16</w:t>
      </w:r>
      <w:r>
        <w:rPr>
          <w:rFonts w:hAnsi="仿宋" w:cs="Times New Roman"/>
          <w:sz w:val="28"/>
          <w:szCs w:val="28"/>
          <w:highlight w:val="none"/>
        </w:rPr>
        <w:t xml:space="preserve">.2 </w:t>
      </w:r>
      <w:r>
        <w:rPr>
          <w:rFonts w:hint="eastAsia" w:hAnsi="仿宋" w:cs="Times New Roman"/>
          <w:sz w:val="28"/>
          <w:szCs w:val="28"/>
          <w:highlight w:val="none"/>
        </w:rPr>
        <w:t>在甲方根据第17</w:t>
      </w:r>
      <w:r>
        <w:rPr>
          <w:rFonts w:hAnsi="仿宋" w:cs="Times New Roman"/>
          <w:sz w:val="28"/>
          <w:szCs w:val="28"/>
          <w:highlight w:val="none"/>
        </w:rPr>
        <w:t>.</w:t>
      </w:r>
      <w:r>
        <w:rPr>
          <w:rFonts w:hint="eastAsia" w:hAnsi="仿宋" w:cs="Times New Roman"/>
          <w:sz w:val="28"/>
          <w:szCs w:val="28"/>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05"/>
        <w:spacing w:line="520" w:lineRule="exact"/>
        <w:rPr>
          <w:rFonts w:hint="eastAsia" w:ascii="仿宋" w:hAnsi="仿宋" w:eastAsia="仿宋"/>
          <w:sz w:val="28"/>
          <w:highlight w:val="none"/>
        </w:rPr>
      </w:pPr>
      <w:r>
        <w:rPr>
          <w:rFonts w:hint="eastAsia" w:ascii="仿宋" w:hAnsi="仿宋" w:eastAsia="仿宋"/>
          <w:sz w:val="28"/>
          <w:highlight w:val="none"/>
        </w:rPr>
        <w:t>17.破产中止合同</w:t>
      </w:r>
    </w:p>
    <w:p>
      <w:pPr>
        <w:pStyle w:val="205"/>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17.1如果乙方破产或无清偿能力，甲方和见证方可在任何时候以书面形式通知乙方终止合同而不给乙方补偿。该中止合同将不损害或影响甲方和使用方已经采取或将要采取的任何行动或补救措施的权力。</w:t>
      </w:r>
    </w:p>
    <w:p>
      <w:pPr>
        <w:pStyle w:val="205"/>
        <w:spacing w:line="520" w:lineRule="exact"/>
        <w:rPr>
          <w:rFonts w:hint="eastAsia" w:ascii="仿宋" w:hAnsi="仿宋" w:eastAsia="仿宋"/>
          <w:sz w:val="28"/>
          <w:highlight w:val="none"/>
        </w:rPr>
      </w:pPr>
      <w:r>
        <w:rPr>
          <w:rFonts w:hint="eastAsia" w:ascii="仿宋" w:hAnsi="仿宋" w:eastAsia="仿宋"/>
          <w:sz w:val="28"/>
          <w:highlight w:val="none"/>
        </w:rPr>
        <w:t>18.转让</w:t>
      </w:r>
    </w:p>
    <w:p>
      <w:pPr>
        <w:pStyle w:val="205"/>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18.1 除甲方和见证方事先书面同意外，乙方不得部分转让或全部转让其应履行的合同义务。</w:t>
      </w:r>
    </w:p>
    <w:p>
      <w:pPr>
        <w:pStyle w:val="205"/>
        <w:spacing w:line="520" w:lineRule="exact"/>
        <w:rPr>
          <w:rFonts w:hint="eastAsia" w:ascii="仿宋" w:hAnsi="仿宋" w:eastAsia="仿宋"/>
          <w:sz w:val="28"/>
          <w:highlight w:val="none"/>
        </w:rPr>
      </w:pPr>
      <w:r>
        <w:rPr>
          <w:rFonts w:hint="eastAsia" w:ascii="仿宋" w:hAnsi="仿宋" w:eastAsia="仿宋"/>
          <w:sz w:val="28"/>
          <w:highlight w:val="none"/>
        </w:rPr>
        <w:t>19.合同生效及其它</w:t>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19.1盱眙县人民法院 </w:t>
      </w:r>
      <w:r>
        <w:rPr>
          <w:rFonts w:hint="eastAsia" w:ascii="仿宋" w:hAnsi="仿宋" w:eastAsia="仿宋"/>
          <w:sz w:val="28"/>
          <w:szCs w:val="28"/>
          <w:highlight w:val="none"/>
          <w:lang w:eastAsia="zh-CN"/>
        </w:rPr>
        <w:t>JSZC-320830-ZHGC-C2026-0012</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JSZC-320830-ZHGC-C2026-0012</w:t>
      </w:r>
      <w:r>
        <w:rPr>
          <w:rFonts w:hint="eastAsia" w:ascii="仿宋" w:hAnsi="仿宋" w:eastAsia="仿宋"/>
          <w:sz w:val="28"/>
          <w:szCs w:val="28"/>
          <w:highlight w:val="none"/>
        </w:rPr>
        <w:t>响应文件、本次磋商的成交通知书和乙方的澄清等内容将作为本次采购合同文件的主要内容。乙方在合同履行过程中若发生服务内容缩减、服务不及时的现象，甲方有权对乙方处以适当的经济处罚。</w:t>
      </w:r>
    </w:p>
    <w:p>
      <w:pPr>
        <w:pStyle w:val="205"/>
        <w:spacing w:line="520" w:lineRule="exact"/>
        <w:ind w:firstLine="560"/>
        <w:rPr>
          <w:rFonts w:hint="eastAsia" w:ascii="仿宋" w:hAnsi="仿宋" w:eastAsia="仿宋"/>
          <w:sz w:val="28"/>
          <w:szCs w:val="24"/>
          <w:highlight w:val="none"/>
        </w:rPr>
      </w:pPr>
      <w:r>
        <w:rPr>
          <w:rFonts w:hint="eastAsia" w:ascii="仿宋" w:hAnsi="仿宋" w:eastAsia="仿宋"/>
          <w:sz w:val="28"/>
          <w:szCs w:val="24"/>
          <w:highlight w:val="none"/>
        </w:rPr>
        <w:t>19.2</w:t>
      </w:r>
      <w:r>
        <w:rPr>
          <w:rFonts w:hint="eastAsia" w:ascii="仿宋" w:hAnsi="仿宋" w:eastAsia="仿宋"/>
          <w:sz w:val="28"/>
          <w:szCs w:val="28"/>
          <w:highlight w:val="none"/>
        </w:rPr>
        <w:t>本合同经甲、乙双方加盖电子签章后生效。</w:t>
      </w:r>
      <w:r>
        <w:rPr>
          <w:rFonts w:hint="eastAsia" w:ascii="仿宋" w:hAnsi="仿宋" w:eastAsia="仿宋"/>
          <w:sz w:val="28"/>
          <w:szCs w:val="24"/>
          <w:highlight w:val="none"/>
        </w:rPr>
        <w:t xml:space="preserve">    </w:t>
      </w:r>
    </w:p>
    <w:p>
      <w:pPr>
        <w:pStyle w:val="20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p>
    <w:p>
      <w:pPr>
        <w:pStyle w:val="20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p>
    <w:p>
      <w:pPr>
        <w:spacing w:line="520" w:lineRule="exact"/>
        <w:ind w:firstLine="560"/>
        <w:rPr>
          <w:rFonts w:hint="eastAsia" w:ascii="仿宋" w:hAnsi="仿宋" w:eastAsia="仿宋"/>
          <w:bCs/>
          <w:sz w:val="28"/>
          <w:szCs w:val="28"/>
          <w:highlight w:val="none"/>
        </w:rPr>
      </w:pPr>
      <w:r>
        <w:rPr>
          <w:rFonts w:hint="eastAsia" w:ascii="仿宋" w:hAnsi="仿宋" w:eastAsia="仿宋"/>
          <w:sz w:val="28"/>
          <w:highlight w:val="none"/>
        </w:rPr>
        <w:t>19.5本合同应按照中华人民共和国的现行法律进行解释。</w:t>
      </w:r>
    </w:p>
    <w:p>
      <w:pPr>
        <w:pStyle w:val="205"/>
        <w:numPr>
          <w:ilvl w:val="0"/>
          <w:numId w:val="2"/>
        </w:numPr>
        <w:spacing w:line="520" w:lineRule="exact"/>
        <w:ind w:firstLine="2873"/>
        <w:rPr>
          <w:rFonts w:hint="eastAsia" w:ascii="仿宋" w:hAnsi="仿宋" w:eastAsia="仿宋"/>
          <w:b/>
          <w:bCs/>
          <w:sz w:val="36"/>
          <w:szCs w:val="36"/>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 项目采购需求</w:t>
      </w:r>
    </w:p>
    <w:p>
      <w:pPr>
        <w:pStyle w:val="205"/>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一、项目概况</w:t>
      </w:r>
    </w:p>
    <w:tbl>
      <w:tblPr>
        <w:tblStyle w:val="36"/>
        <w:tblW w:w="90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3"/>
        <w:gridCol w:w="1532"/>
        <w:gridCol w:w="3025"/>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 w:hRule="atLeast"/>
          <w:jc w:val="center"/>
        </w:trPr>
        <w:tc>
          <w:tcPr>
            <w:tcW w:w="2783"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项目名称</w:t>
            </w:r>
          </w:p>
        </w:tc>
        <w:tc>
          <w:tcPr>
            <w:tcW w:w="1532"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服务</w:t>
            </w:r>
          </w:p>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期限</w:t>
            </w:r>
          </w:p>
        </w:tc>
        <w:tc>
          <w:tcPr>
            <w:tcW w:w="3025"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工作概述</w:t>
            </w:r>
          </w:p>
        </w:tc>
        <w:tc>
          <w:tcPr>
            <w:tcW w:w="1698"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最高投标限价（万元）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3" w:hRule="atLeast"/>
          <w:jc w:val="center"/>
        </w:trPr>
        <w:tc>
          <w:tcPr>
            <w:tcW w:w="2783"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无纸化办案服务项目</w:t>
            </w:r>
          </w:p>
        </w:tc>
        <w:tc>
          <w:tcPr>
            <w:tcW w:w="1532"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12个月</w:t>
            </w:r>
          </w:p>
        </w:tc>
        <w:tc>
          <w:tcPr>
            <w:tcW w:w="3025" w:type="dxa"/>
            <w:vAlign w:val="center"/>
          </w:tcPr>
          <w:p>
            <w:pPr>
              <w:spacing w:line="240" w:lineRule="auto"/>
              <w:jc w:val="center"/>
              <w:rPr>
                <w:rFonts w:hint="eastAsia" w:ascii="仿宋_GB2312" w:hAnsi="宋体" w:eastAsia="仿宋_GB2312" w:cs="宋体"/>
                <w:sz w:val="28"/>
                <w:szCs w:val="28"/>
                <w:highlight w:val="none"/>
              </w:rPr>
            </w:pPr>
            <w:r>
              <w:rPr>
                <w:rFonts w:hint="eastAsia" w:ascii="仿宋_GB2312" w:hAnsi="宋体" w:eastAsia="仿宋_GB2312" w:cs="宋体"/>
                <w:sz w:val="28"/>
                <w:szCs w:val="28"/>
                <w:highlight w:val="none"/>
              </w:rPr>
              <w:t>诉讼辅助服务、卷宗辅助服务、驻庭辅助服务</w:t>
            </w:r>
          </w:p>
        </w:tc>
        <w:tc>
          <w:tcPr>
            <w:tcW w:w="1698" w:type="dxa"/>
            <w:vAlign w:val="center"/>
          </w:tcPr>
          <w:p>
            <w:pPr>
              <w:spacing w:line="240" w:lineRule="auto"/>
              <w:jc w:val="center"/>
              <w:rPr>
                <w:rFonts w:hint="eastAsia" w:ascii="仿宋_GB2312" w:hAnsi="宋体" w:eastAsia="仿宋_GB2312" w:cs="宋体"/>
                <w:color w:val="0000FF"/>
                <w:sz w:val="28"/>
                <w:szCs w:val="28"/>
                <w:highlight w:val="none"/>
              </w:rPr>
            </w:pPr>
            <w:r>
              <w:rPr>
                <w:rFonts w:hint="eastAsia" w:ascii="仿宋_GB2312" w:hAnsi="宋体" w:eastAsia="仿宋_GB2312" w:cs="宋体"/>
                <w:sz w:val="28"/>
                <w:szCs w:val="28"/>
                <w:highlight w:val="none"/>
              </w:rPr>
              <w:t>150.00</w:t>
            </w:r>
          </w:p>
        </w:tc>
      </w:tr>
    </w:tbl>
    <w:p>
      <w:pPr>
        <w:rPr>
          <w:highlight w:val="none"/>
        </w:rPr>
      </w:pPr>
    </w:p>
    <w:p>
      <w:pPr>
        <w:spacing w:line="520" w:lineRule="exact"/>
        <w:ind w:firstLine="560" w:firstLineChars="200"/>
        <w:rPr>
          <w:rFonts w:hint="eastAsia" w:ascii="仿宋" w:hAnsi="仿宋" w:eastAsia="仿宋" w:cs="仿宋"/>
          <w:sz w:val="28"/>
          <w:szCs w:val="28"/>
          <w:highlight w:val="none"/>
        </w:rPr>
      </w:pPr>
      <w:bookmarkStart w:id="40" w:name="_Toc101058585"/>
      <w:bookmarkStart w:id="41" w:name="_Toc150154880"/>
      <w:r>
        <w:rPr>
          <w:rFonts w:hint="eastAsia" w:ascii="仿宋" w:hAnsi="仿宋" w:eastAsia="仿宋" w:cs="仿宋"/>
          <w:sz w:val="28"/>
          <w:szCs w:val="28"/>
          <w:highlight w:val="none"/>
        </w:rPr>
        <w:t>（1）根据项目内容要求，中标人应完成整体运作流程图、岗位职责、岗位要求、工作流程、工作业务量及工作人数安排。中标人需负责各岗位人员的招聘、上岗培训、日常管理、业务流程等全面性的工作。不得出现因岗位设置不齐全、岗位人数不符合而导致的工作效能问题，影响审判效率。</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（2）采购人对项目运转的结果和质量进行监督管理。</w:t>
      </w:r>
    </w:p>
    <w:p>
      <w:pPr>
        <w:pStyle w:val="4"/>
        <w:spacing w:before="0" w:after="0" w:line="520" w:lineRule="exact"/>
        <w:ind w:firstLine="562" w:firstLineChars="200"/>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二、项目内容</w:t>
      </w:r>
    </w:p>
    <w:p>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（1）供应商根据盱眙法院集约化办案要求，现场成立诉讼辅助小组、卷宗辅助小组、驻庭辅助小组提供司法辅助集约化服务。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2）供应商负责对盱眙法院合同期内立案的且纳入无纸化办案的速裁和执行案件完成材料收转、立案扫描、补充扫描、中间库管理、纸质卷归档理卷、档案装订以及无纸化办案涉及到的软、硬件基础性配套服务等工作，实现盱眙法院无</w:t>
      </w:r>
      <w:r>
        <w:rPr>
          <w:rFonts w:hint="eastAsia" w:ascii="仿宋" w:hAnsi="仿宋" w:eastAsia="仿宋" w:cs="仿宋"/>
          <w:sz w:val="28"/>
          <w:szCs w:val="28"/>
          <w:highlight w:val="none"/>
        </w:rPr>
        <w:t>纸化办案试点需求，</w:t>
      </w:r>
      <w:r>
        <w:rPr>
          <w:rFonts w:ascii="仿宋" w:hAnsi="仿宋" w:eastAsia="仿宋" w:cs="仿宋"/>
          <w:sz w:val="28"/>
          <w:szCs w:val="28"/>
          <w:highlight w:val="none"/>
        </w:rPr>
        <w:t>其他</w:t>
      </w:r>
      <w:r>
        <w:rPr>
          <w:rFonts w:hint="eastAsia" w:ascii="仿宋" w:hAnsi="仿宋" w:eastAsia="仿宋" w:cs="仿宋"/>
          <w:sz w:val="28"/>
          <w:szCs w:val="28"/>
          <w:highlight w:val="none"/>
        </w:rPr>
        <w:t>不纳入无纸化试点的普通民商事和执行</w:t>
      </w:r>
      <w:r>
        <w:rPr>
          <w:rFonts w:ascii="仿宋" w:hAnsi="仿宋" w:eastAsia="仿宋" w:cs="仿宋"/>
          <w:sz w:val="28"/>
          <w:szCs w:val="28"/>
          <w:highlight w:val="none"/>
        </w:rPr>
        <w:t>案件要实现电子卷宗随案同步生成</w:t>
      </w:r>
      <w:r>
        <w:rPr>
          <w:rFonts w:hint="eastAsia" w:ascii="仿宋" w:hAnsi="仿宋" w:eastAsia="仿宋" w:cs="仿宋"/>
          <w:sz w:val="28"/>
          <w:szCs w:val="28"/>
          <w:highlight w:val="none"/>
        </w:rPr>
        <w:t>，提升法官获得感，；同时完成合同期内不纳入无纸化办理的如刑事、破产、知产、建工等案件以及各类文书档案的传统档案数字化加工工作。</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以“科技赋能+数据服务+知识服务+司法辅助”为抓手，使法官办案、社会服务、集约化管理与信息化有机结合，推动业务流程再造，依托诉讼材料驱动立案、审理、鉴定等事务网上办理，办案全过程网上留痕，做到可管理、可统计、可追溯；通过辅助事务外包和智能文书生成、集约送达、集中归档等手段，为办案团队减负，使法官专注于“阅、审、写”。</w:t>
      </w:r>
    </w:p>
    <w:p>
      <w:pPr>
        <w:pStyle w:val="5"/>
        <w:spacing w:before="0" w:after="0" w:line="520" w:lineRule="exact"/>
        <w:ind w:firstLine="562" w:firstLineChars="200"/>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项目管理</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3.1.1 现场服务主管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（1）负责驻场服务团队所有工作安排，及时与院方各部门交流对接，监管调度员工工作量，根据现场情况及时整理每周、月、季度工作汇报，分析提升审判执行绩效，逐步提升服务满意度。</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（2）负责驻场服务人员工资申报核算、社保申报、人员入离职工作，各岗位业务培训，协助主管推进日常工作，制发工作日报，周报和月报，兼机动岗。</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诉讼辅助服务</w:t>
      </w:r>
    </w:p>
    <w:p>
      <w:pPr>
        <w:pStyle w:val="6"/>
        <w:spacing w:before="0" w:after="0" w:line="520" w:lineRule="exact"/>
        <w:ind w:firstLine="562"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3.2.1案件查询与热线电话服务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案件信息查询、诉服热线电话接听，微信公众号回复，诉服平台问题处理与跟踪。</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3.2.2立案信息录入服务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负责民商事、执行等案件信息快速录入及核对工作，指导当事人填写相关材料，立案完毕后初次分案。</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3.2.3查档调档服务</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跟进处理当事人调档、阅卷，审查前来调档、阅卷的手续是否符合条件，调取相关档案、卷宗，陪同当事人阅卷或复制相关卷宗材料，归还已查阅完成之档案、卷宗；</w:t>
      </w:r>
    </w:p>
    <w:p>
      <w:pPr>
        <w:pStyle w:val="6"/>
        <w:spacing w:before="0" w:after="0" w:line="520" w:lineRule="exact"/>
        <w:ind w:firstLine="562"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3.2.4鉴定辅助服务</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负责接收、审查、通知当事人提交欠缺资料，鉴定立案、排期、通知、摇号、制作委托书、鉴定材料协助送达，负责鉴定相关平台信息录入和统计上报，鉴定材料归档等工作。</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卷宗辅助服务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主要工作包含：材料收转、立案扫描、补充扫描、卷宗管理、卷宗归档等工作。积极推进混合单套制归档改革，实现以“电子档案为主，纸质档案为辅”的办案模式，将传统纸质卷宗审理案件，转变为办公办案全流程无纸化。</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3.4.1材料收转</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（1）供应商应提供先立后扫和先扫后立模式下，立案材料收转机制，提升立案效率。</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（2）供应商应提供案件办理过程中邮寄材料、当庭提交材料等方式下材料收转机制，提升电子卷宗随案生成率。</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（3）供应商应提供案件归档阶段纸质案卷收转机制，提升纸质案件归档效率及周期。</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（4）单次收取的材料扫描前需去重、分类、重命名，24小时内导入进智能卷宗系统。</w:t>
      </w:r>
    </w:p>
    <w:p>
      <w:pPr>
        <w:pStyle w:val="6"/>
        <w:spacing w:before="0" w:after="0" w:line="520" w:lineRule="exact"/>
        <w:ind w:firstLine="562"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3.4.2随案扫描</w:t>
      </w:r>
    </w:p>
    <w:p>
      <w:pPr>
        <w:pStyle w:val="8"/>
        <w:spacing w:before="0" w:after="0" w:line="520" w:lineRule="exact"/>
        <w:ind w:firstLine="562" w:firstLineChars="200"/>
        <w:rPr>
          <w:rFonts w:hint="eastAsia" w:ascii="仿宋" w:hAnsi="仿宋" w:eastAsia="仿宋" w:cs="仿宋"/>
          <w:b w:val="0"/>
          <w:bCs w:val="0"/>
          <w:sz w:val="28"/>
          <w:szCs w:val="28"/>
          <w:highlight w:val="none"/>
        </w:rPr>
      </w:pPr>
      <w:r>
        <w:rPr>
          <w:rFonts w:hint="eastAsia" w:ascii="仿宋" w:hAnsi="仿宋" w:eastAsia="仿宋" w:cs="仿宋"/>
          <w:sz w:val="28"/>
          <w:szCs w:val="28"/>
          <w:highlight w:val="none"/>
        </w:rPr>
        <w:t>3.4.2.1立案扫描</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（1）按照阅卷习惯、档案级要求进行电子化服务；</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（2）在1日内完成纸质卷宗电子化工作，当日完成扫描的起诉立案材料当日移送中院编目。</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（3）制定完整，高效的起诉立案材料电子化标准作业流程和分类方案，提高立案效率及提升无纸化阅卷成效。</w:t>
      </w:r>
    </w:p>
    <w:p>
      <w:pPr>
        <w:pStyle w:val="8"/>
        <w:spacing w:before="0" w:after="0" w:line="520" w:lineRule="exact"/>
        <w:ind w:firstLine="562" w:firstLineChars="200"/>
        <w:rPr>
          <w:rFonts w:hint="eastAsia" w:ascii="仿宋" w:hAnsi="仿宋" w:eastAsia="仿宋" w:cs="仿宋"/>
          <w:b w:val="0"/>
          <w:bCs w:val="0"/>
          <w:sz w:val="28"/>
          <w:szCs w:val="28"/>
          <w:highlight w:val="none"/>
        </w:rPr>
      </w:pPr>
      <w:r>
        <w:rPr>
          <w:rFonts w:hint="eastAsia" w:ascii="仿宋" w:hAnsi="仿宋" w:eastAsia="仿宋" w:cs="仿宋"/>
          <w:sz w:val="28"/>
          <w:szCs w:val="28"/>
          <w:highlight w:val="none"/>
        </w:rPr>
        <w:t>3.4.2.2补充扫描</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（1）供应商应提供补充材料分类、扫描和交接等规范方案。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（2）供应商应制定完整，高效的补充材料电子化标准作业流程，提高随案扫描成效和提升无纸化阅卷成效。</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（3）时效性要求：供应商收到补充材料时，根据材料移送时间，1日内完成电子化工作，电子化后的材料移送中间库。</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3.5.4卷宗管理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（1）诉讼材料收转发管理设计方案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提供材料流转机制，包括卷宗借阅归还流程等。</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（2）中间库管理</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提供中间库管理方案，包括材料入库、在库管理、卷宗出库、卷宗借阅，中间库库区维护。</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3.5.1卷宗归档</w:t>
      </w:r>
    </w:p>
    <w:p>
      <w:pPr>
        <w:spacing w:line="520" w:lineRule="exact"/>
        <w:ind w:firstLine="560" w:firstLineChars="200"/>
        <w:rPr>
          <w:rFonts w:hint="eastAsia" w:ascii="仿宋" w:hAnsi="仿宋" w:eastAsia="仿宋" w:cs="仿宋"/>
          <w:sz w:val="28"/>
          <w:szCs w:val="28"/>
          <w:highlight w:val="none"/>
        </w:rPr>
      </w:pPr>
      <w:bookmarkStart w:id="42" w:name="_Hlk214974453"/>
      <w:r>
        <w:rPr>
          <w:rFonts w:hint="eastAsia" w:ascii="仿宋" w:hAnsi="仿宋" w:eastAsia="仿宋" w:cs="仿宋"/>
          <w:sz w:val="28"/>
          <w:szCs w:val="28"/>
          <w:highlight w:val="none"/>
        </w:rPr>
        <w:t>（1）归档服务流程方案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案件结案后，书记员需通过供应商提供的相关配套事项管理系统（留痕管理）发起归档整理事务。成交供应商对提交归档整理的案件，根据法院的归档要求，在规定工作日内完成纸质档案整理、页码制作、纸质材料标记、目录封面打印，档案装订等工作。成交供应商须提供适合采购人的归档服务流程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（2）归档业务优化与效率提升方案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统一业务庭电子归档标准、大幅提升归档工作效率，供应商须配套提供专业归档助手工具软件，具备案件材料智能校验核对、归档内容自动质检、纸质材料批量标识标注等实用功能，依托智能化工具严控归档质量、简化归档流程。</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（2）纸质档案加工服务</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供应商提供纸质档案加工方案，包括提供案卷接收、档案整理、归档（补充）扫描、图像质检、档案装订、质检上架、数据备份等服务。</w:t>
      </w:r>
      <w:bookmarkEnd w:id="42"/>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驻庭辅助服务</w:t>
      </w:r>
    </w:p>
    <w:p>
      <w:pPr>
        <w:pStyle w:val="7"/>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对盱眙县法院三个派出法庭提供驻庭辅助服务，服务内容包括立案信息登记、驻庭扫描，中间库分库管理和纸质卷宗归档理卷等。</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基础性配套服务</w:t>
      </w:r>
    </w:p>
    <w:p>
      <w:pPr>
        <w:pStyle w:val="6"/>
        <w:spacing w:before="0" w:after="0" w:line="520" w:lineRule="exact"/>
        <w:ind w:firstLine="562" w:firstLineChars="200"/>
        <w:rPr>
          <w:rFonts w:hint="eastAsia" w:ascii="仿宋" w:hAnsi="仿宋" w:eastAsia="仿宋" w:cs="仿宋"/>
          <w:b w:val="0"/>
          <w:sz w:val="28"/>
          <w:szCs w:val="28"/>
          <w:highlight w:val="none"/>
        </w:rPr>
      </w:pPr>
      <w:bookmarkStart w:id="43" w:name="_Hlk213419617"/>
      <w:r>
        <w:rPr>
          <w:rFonts w:hint="eastAsia" w:ascii="仿宋" w:hAnsi="仿宋" w:eastAsia="仿宋" w:cs="仿宋"/>
          <w:sz w:val="28"/>
          <w:szCs w:val="28"/>
          <w:highlight w:val="none"/>
        </w:rPr>
        <w:t>3.6.1诉讼材料收转发管理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配套采购人无纸化办案需求，供应商应提供一套基于材料管理、卷宗（中间库）管理以及卷宗查询的卷宗流转管理系统，便捷实体卷宗的追溯管理，同时可以统计电子卷宗生成各环节时效性。供应商承诺提供的配套系统可以与采购人审判、执行业务系统实现无缝对接，并确保与采购人核心办案系统数据保持一致，供应商要具有上述要求的开发能力。采购人负责提供对接所需的原系统相关技术资料及相关协调工作，对接费用由供应商承担。供应商需提供卷宗管理（包括①材料登记②材料加工③材料入库④在库管理⑤卷宗出库⑥卷宗借阅⑦中间库库区维护⑧出库申请⑨卷宗整理⑩上诉管理）相关功能截图。</w:t>
      </w:r>
    </w:p>
    <w:p>
      <w:pPr>
        <w:pStyle w:val="6"/>
        <w:spacing w:before="0" w:after="0" w:line="520" w:lineRule="exact"/>
        <w:ind w:firstLine="562" w:firstLineChars="200"/>
        <w:rPr>
          <w:rFonts w:hint="eastAsia" w:ascii="仿宋" w:hAnsi="仿宋" w:eastAsia="仿宋" w:cs="仿宋"/>
          <w:b w:val="0"/>
          <w:sz w:val="28"/>
          <w:szCs w:val="28"/>
          <w:highlight w:val="none"/>
        </w:rPr>
      </w:pPr>
      <w:r>
        <w:rPr>
          <w:rFonts w:hint="eastAsia" w:ascii="仿宋" w:hAnsi="仿宋" w:eastAsia="仿宋" w:cs="仿宋"/>
          <w:sz w:val="28"/>
          <w:szCs w:val="28"/>
          <w:highlight w:val="none"/>
        </w:rPr>
        <w:t>3.6.2数字化扫描加工配套工具软件</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必须有能力根据法院提供的技术文档开发接口系统。实现与法院审判系统、执行系统、电子卷宗系统、材料收转发系统、编目系统、电子档案管理系统数据交换接口开发，定期将质检通过的电子扫描件及电子档案目录数据上传到电子档案管理平台、电子卷宗管理平台，并实现与审执系统等业务系统资源共享。采购人负责提供对接所需的原系统相关技术资料及相关协调工作。因考虑法院审判工作的需要，且法院审判系统和电子档案管理系统是内部工作系统，不对外联网，接口的详细数据不宜对外公开。采购人不再另行支付相应的费用。也不为软件知识产权可能产生的纠纷负责。</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提供数字化加工相关软件需要提供①挂接本地文件②扫描自动图像优化参数调整③支持缩略图浏览④扫描仪参数设置⑤自动优化包括一键优化、背景消除、图像增强、去黑边噪孔、自动纠偏、封面优化、印章加深、页码转换⑥手动修图包括自由擦除、框选擦除、裁剪、A四填充、梯形校正、旋转色彩优化⑦自定义修图快捷键⑧与“一张网”材料系统对接⑨支持材料跟踪⑩服务数据统计等功能。</w:t>
      </w:r>
      <w:bookmarkEnd w:id="43"/>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数字化加工配套软件需支持模板配置，提供打印封面，目录，备考表，档案盒等功能；需支持对接审判和档案等系统自动获取案件结构化数据功能，减少手工录入工作量以及手工录入准确性的问题；需支持卷宗归档后加册功能，规范归档加册流程；需支持分卷册自动生成并打印条形码，解决档案分册条形码打印问题；需要支持自动生成卷册信息，无需手工引入。</w:t>
      </w:r>
    </w:p>
    <w:p>
      <w:pPr>
        <w:pStyle w:val="4"/>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服务标准及服务质量需求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建立健全</w:t>
      </w:r>
      <w:r>
        <w:rPr>
          <w:rFonts w:hint="eastAsia" w:ascii="仿宋" w:hAnsi="仿宋" w:eastAsia="仿宋" w:cs="仿宋"/>
          <w:color w:val="FF0000"/>
          <w:sz w:val="28"/>
          <w:szCs w:val="28"/>
          <w:highlight w:val="none"/>
        </w:rPr>
        <w:t>盱眙法院</w:t>
      </w:r>
      <w:r>
        <w:rPr>
          <w:rFonts w:hint="eastAsia" w:ascii="仿宋" w:hAnsi="仿宋" w:eastAsia="仿宋" w:cs="仿宋"/>
          <w:sz w:val="28"/>
          <w:szCs w:val="28"/>
          <w:highlight w:val="none"/>
        </w:rPr>
        <w:t>无纸化办案全流程服务质量和标准，主要内容包括建立配套服务标准和管理体系。</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服务标准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（1）成交供应商须提供电子卷宗随案生成标准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（2）成交供应商须提供案件归档卷宗排序标准。</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服务质量</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成交供应商须提供为满足本次项目全流程服务可量化绩效考核体系方案。为充分激发员工积极性，绩效考核体系须包括客观指标和主观指标，并提供相对应的监管方案。</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（1）成交供应商须提供全流程服务绩效考核体系。</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（2）成交供应商须提供绩效管理办法。</w:t>
      </w:r>
    </w:p>
    <w:p>
      <w:pPr>
        <w:pStyle w:val="4"/>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★项目组织要求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（1）项目组成员不少于21人且必须包括项目管理岗、诉讼辅助岗、卷宗辅助岗、驻庭辅助岗等岗位，现场人员必须服从法院管理。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（2）本项目的项目经理应具有丰富的</w:t>
      </w:r>
      <w:r>
        <w:rPr>
          <w:rFonts w:hint="eastAsia" w:ascii="仿宋" w:hAnsi="仿宋" w:eastAsia="仿宋" w:cs="仿宋"/>
          <w:sz w:val="28"/>
          <w:szCs w:val="28"/>
          <w:highlight w:val="none"/>
        </w:rPr>
        <w:t>司法辅助集约化服务项目</w:t>
      </w:r>
      <w:r>
        <w:rPr>
          <w:rFonts w:hint="eastAsia" w:ascii="仿宋" w:hAnsi="仿宋" w:eastAsia="仿宋" w:cs="仿宋"/>
          <w:sz w:val="28"/>
          <w:szCs w:val="28"/>
          <w:highlight w:val="none"/>
        </w:rPr>
        <w:t>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（3）本项目的项目团队中至少需包含一名线上技术支持工程师。线上技术支持工程师在采购人建立的微信群等沟通工具中实时进行答疑和相关故障排除。</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本项目拟派团队人员在上岗前须具备专业技能培训经历；至少具备大专以上学历，服务态度端正、作风优良，熟悉法院中需要服务岗位的业务流程，熟练掌握电脑等办公设备，遵守法院的规章制度和保密制度。</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w:t>
      </w:r>
      <w:r>
        <w:rPr>
          <w:rFonts w:hint="eastAsia" w:ascii="仿宋" w:hAnsi="仿宋" w:eastAsia="仿宋" w:cs="仿宋"/>
          <w:sz w:val="28"/>
          <w:szCs w:val="28"/>
          <w:highlight w:val="none"/>
        </w:rPr>
        <w:t>供应商随服务提供4台电脑。</w:t>
      </w:r>
      <w:r>
        <w:rPr>
          <w:rFonts w:hint="eastAsia" w:ascii="仿宋" w:hAnsi="仿宋" w:eastAsia="仿宋" w:cs="仿宋"/>
          <w:sz w:val="28"/>
          <w:szCs w:val="28"/>
          <w:highlight w:val="none"/>
        </w:rPr>
        <w:t>采购人为成交供应商提供办公场地、办公桌椅、其余硬件设备（电脑、扫描仪、打印机等）；以及强弱电、门禁、监控；耗材（硒鼓、碳粉、普通A4纸、卷皮、卷盒）。</w:t>
      </w:r>
    </w:p>
    <w:p>
      <w:pPr>
        <w:pStyle w:val="4"/>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★服务人员要求</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现场服务人员</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（1）坚持四项基本原则，有良好的政治素质，遵纪守法，作风正派，品行端正，无违法犯罪记录，热爱法院工作；</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（2）大专及以上学历；</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（3）具有正常履行职责的身体条件和工作能力，工作责任感强，能吃苦耐劳，工作细致，能承受较强工作压力，有良好的沟通能力和团队合作精神；</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（4）身体健康，能胜任审判执行事务性岗位的工作；</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（5）能熟练操作计算机，会使用常用办公软件（如:Word、Excel），快速进行文字输入工作；</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（6）遵守人民法院日常管理制度及工作规范。</w:t>
      </w:r>
    </w:p>
    <w:p>
      <w:pPr>
        <w:pStyle w:val="5"/>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下列人员不得担任本项目服务人员</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（1）因犯罪受过刑事处罚或被列入失信被执行人的；</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（2）曾被开除公职或辞退的；</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（3）涉嫌违法违纪正在接受审查的。</w:t>
      </w:r>
    </w:p>
    <w:p>
      <w:pPr>
        <w:pStyle w:val="4"/>
        <w:spacing w:before="0" w:after="0" w:line="520" w:lineRule="exact"/>
        <w:ind w:firstLine="560" w:firstLineChars="200"/>
        <w:rPr>
          <w:rFonts w:hint="eastAsia" w:ascii="仿宋" w:hAnsi="仿宋" w:eastAsia="仿宋" w:cs="仿宋"/>
          <w:sz w:val="28"/>
          <w:szCs w:val="28"/>
          <w:highlight w:val="none"/>
        </w:rPr>
      </w:pPr>
      <w:bookmarkStart w:id="44" w:name="OLE_LINK10"/>
      <w:r>
        <w:rPr>
          <w:rFonts w:hint="eastAsia" w:ascii="仿宋" w:hAnsi="仿宋" w:eastAsia="仿宋" w:cs="仿宋"/>
          <w:sz w:val="28"/>
          <w:szCs w:val="28"/>
          <w:highlight w:val="none"/>
        </w:rPr>
        <w:t>★</w:t>
      </w:r>
      <w:bookmarkEnd w:id="44"/>
      <w:r>
        <w:rPr>
          <w:rFonts w:hint="eastAsia" w:ascii="仿宋" w:hAnsi="仿宋" w:eastAsia="仿宋" w:cs="仿宋"/>
          <w:sz w:val="28"/>
          <w:szCs w:val="28"/>
          <w:highlight w:val="none"/>
        </w:rPr>
        <w:t>时间进度要求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本项目要求成交供应商于合同签订后</w:t>
      </w:r>
      <w:r>
        <w:rPr>
          <w:rFonts w:hint="eastAsia" w:ascii="仿宋" w:hAnsi="仿宋" w:eastAsia="仿宋" w:cs="仿宋"/>
          <w:sz w:val="28"/>
          <w:szCs w:val="28"/>
          <w:highlight w:val="none"/>
        </w:rPr>
        <w:t>10个工作日</w:t>
      </w:r>
      <w:r>
        <w:rPr>
          <w:rFonts w:hint="eastAsia" w:ascii="仿宋" w:hAnsi="仿宋" w:eastAsia="仿宋" w:cs="仿宋"/>
          <w:sz w:val="28"/>
          <w:szCs w:val="28"/>
          <w:highlight w:val="none"/>
        </w:rPr>
        <w:t>内完成相关软、硬件系统调试、全流程业务梳理及全面开展工作。</w:t>
      </w:r>
    </w:p>
    <w:p>
      <w:pPr>
        <w:pStyle w:val="4"/>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★保密要求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（1）中标人及其工作人员应签订《保密协议》，严守在履行本合同中通过各种方式知悉的案件信息、技术秘密和其他业务信息，不得泄露。</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（2）中标人在进行服务过程中，必须确保</w:t>
      </w:r>
      <w:r>
        <w:rPr>
          <w:rFonts w:hint="eastAsia" w:ascii="仿宋" w:hAnsi="仿宋" w:eastAsia="仿宋" w:cs="仿宋"/>
          <w:bCs/>
          <w:sz w:val="28"/>
          <w:szCs w:val="28"/>
          <w:highlight w:val="none"/>
        </w:rPr>
        <w:t>采购人</w:t>
      </w:r>
      <w:r>
        <w:rPr>
          <w:rFonts w:hint="eastAsia" w:ascii="仿宋" w:hAnsi="仿宋" w:eastAsia="仿宋" w:cs="仿宋"/>
          <w:sz w:val="28"/>
          <w:szCs w:val="28"/>
          <w:highlight w:val="none"/>
        </w:rPr>
        <w:t>的信息安全，未经</w:t>
      </w:r>
      <w:r>
        <w:rPr>
          <w:rFonts w:hint="eastAsia" w:ascii="仿宋" w:hAnsi="仿宋" w:eastAsia="仿宋" w:cs="仿宋"/>
          <w:bCs/>
          <w:sz w:val="28"/>
          <w:szCs w:val="28"/>
          <w:highlight w:val="none"/>
        </w:rPr>
        <w:t>采购人</w:t>
      </w:r>
      <w:r>
        <w:rPr>
          <w:rFonts w:hint="eastAsia" w:ascii="仿宋" w:hAnsi="仿宋" w:eastAsia="仿宋" w:cs="仿宋"/>
          <w:sz w:val="28"/>
          <w:szCs w:val="28"/>
          <w:highlight w:val="none"/>
        </w:rPr>
        <w:t>同意不得擅自删除、修改和转移业务系统中的信息。</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（3）服务完成后，中标人应返还</w:t>
      </w:r>
      <w:r>
        <w:rPr>
          <w:rFonts w:hint="eastAsia" w:ascii="仿宋" w:hAnsi="仿宋" w:eastAsia="仿宋" w:cs="仿宋"/>
          <w:bCs/>
          <w:sz w:val="28"/>
          <w:szCs w:val="28"/>
          <w:highlight w:val="none"/>
        </w:rPr>
        <w:t>采购人</w:t>
      </w:r>
      <w:r>
        <w:rPr>
          <w:rFonts w:hint="eastAsia" w:ascii="仿宋" w:hAnsi="仿宋" w:eastAsia="仿宋" w:cs="仿宋"/>
          <w:sz w:val="28"/>
          <w:szCs w:val="28"/>
          <w:highlight w:val="none"/>
        </w:rPr>
        <w:t>的业务资料和服务过程中取得的各种材料，不得存留复制品、照片、视频。</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（4）中标人应与从事本项目工作的工作人员签订有关保密协议，约束其履行保密义务，并提交采购人壹份备案。</w:t>
      </w:r>
    </w:p>
    <w:p>
      <w:pPr>
        <w:pStyle w:val="4"/>
        <w:spacing w:before="0" w:after="0"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★其他要求</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（1）为确保</w:t>
      </w:r>
      <w:r>
        <w:rPr>
          <w:rFonts w:hint="eastAsia" w:ascii="仿宋" w:hAnsi="仿宋" w:eastAsia="仿宋" w:cs="仿宋"/>
          <w:color w:val="EE0000"/>
          <w:sz w:val="28"/>
          <w:szCs w:val="28"/>
          <w:highlight w:val="none"/>
        </w:rPr>
        <w:t>盱眙法院</w:t>
      </w:r>
      <w:r>
        <w:rPr>
          <w:rFonts w:hint="eastAsia" w:ascii="仿宋" w:hAnsi="仿宋" w:eastAsia="仿宋" w:cs="仿宋"/>
          <w:sz w:val="28"/>
          <w:szCs w:val="28"/>
          <w:highlight w:val="none"/>
        </w:rPr>
        <w:t>司法辅助集约化服务成效，供应商需着力推进贯穿调解，立案，送达，庭审，裁判，结案，执行，归档等环节的全流程集约化办案配套系统优化（比如文书自动生成、电子签章流程、全线上审批、事务集约化办理等）。供应商应基于最高院“一张网”系统进行软件功能升级和改造，经双方评估软件改造工作量不大情况下承诺不收取软件开发费用。服务期间供应商提供的相关配套服务软件需与</w:t>
      </w:r>
      <w:r>
        <w:rPr>
          <w:rFonts w:hint="eastAsia" w:ascii="仿宋" w:hAnsi="仿宋" w:eastAsia="仿宋" w:cs="仿宋"/>
          <w:color w:val="EE0000"/>
          <w:sz w:val="28"/>
          <w:szCs w:val="28"/>
          <w:highlight w:val="none"/>
        </w:rPr>
        <w:t>盱眙法院</w:t>
      </w:r>
      <w:r>
        <w:rPr>
          <w:rFonts w:hint="eastAsia" w:ascii="仿宋" w:hAnsi="仿宋" w:eastAsia="仿宋" w:cs="仿宋"/>
          <w:sz w:val="28"/>
          <w:szCs w:val="28"/>
          <w:highlight w:val="none"/>
        </w:rPr>
        <w:t>办案核心业务系统如审判、材料、档案等进行无缝对接，确保数据准确性及一致性。</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（2）投标人须承诺在投标文件中所附的投标人员资质、社保、企业资质、合同案例等相应材料扫描件，签订合同后两个工作日需将原件交与</w:t>
      </w:r>
      <w:r>
        <w:rPr>
          <w:rFonts w:hint="eastAsia" w:ascii="仿宋" w:hAnsi="仿宋" w:eastAsia="仿宋" w:cs="仿宋"/>
          <w:color w:val="EE0000"/>
          <w:sz w:val="28"/>
          <w:szCs w:val="28"/>
          <w:highlight w:val="none"/>
        </w:rPr>
        <w:t>盱眙法院</w:t>
      </w:r>
      <w:r>
        <w:rPr>
          <w:rFonts w:hint="eastAsia" w:ascii="仿宋" w:hAnsi="仿宋" w:eastAsia="仿宋" w:cs="仿宋"/>
          <w:sz w:val="28"/>
          <w:szCs w:val="28"/>
          <w:highlight w:val="none"/>
        </w:rPr>
        <w:t>验证真实性和有效性，如发现有提供虚假材料的，</w:t>
      </w:r>
      <w:r>
        <w:rPr>
          <w:rFonts w:hint="eastAsia" w:ascii="仿宋" w:hAnsi="仿宋" w:eastAsia="仿宋" w:cs="仿宋"/>
          <w:color w:val="EE0000"/>
          <w:sz w:val="28"/>
          <w:szCs w:val="28"/>
          <w:highlight w:val="none"/>
        </w:rPr>
        <w:t>盱眙法院</w:t>
      </w:r>
      <w:r>
        <w:rPr>
          <w:rFonts w:hint="eastAsia" w:ascii="仿宋" w:hAnsi="仿宋" w:eastAsia="仿宋" w:cs="仿宋"/>
          <w:sz w:val="28"/>
          <w:szCs w:val="28"/>
          <w:highlight w:val="none"/>
        </w:rPr>
        <w:t>将追究违约责任。</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（3）未尽事项。本文件未尽之处按照最高院、省高院和市中院有关规定执行。</w:t>
      </w:r>
    </w:p>
    <w:p>
      <w:pPr>
        <w:pStyle w:val="3"/>
        <w:spacing w:before="0" w:after="0" w:line="520" w:lineRule="exact"/>
        <w:ind w:firstLine="562" w:firstLineChars="200"/>
        <w:rPr>
          <w:rFonts w:hint="eastAsia" w:ascii="仿宋" w:hAnsi="仿宋" w:eastAsia="仿宋" w:cs="仿宋"/>
          <w:b/>
          <w:bCs/>
          <w:sz w:val="28"/>
          <w:szCs w:val="28"/>
          <w:highlight w:val="none"/>
        </w:rPr>
      </w:pPr>
      <w:bookmarkStart w:id="45" w:name="_Toc45264038"/>
      <w:r>
        <w:rPr>
          <w:rFonts w:hint="eastAsia" w:ascii="仿宋" w:hAnsi="仿宋" w:eastAsia="仿宋" w:cs="仿宋"/>
          <w:b/>
          <w:bCs/>
          <w:sz w:val="28"/>
          <w:szCs w:val="28"/>
          <w:highlight w:val="none"/>
        </w:rPr>
        <w:t>三、技术服务、培训等</w:t>
      </w:r>
      <w:bookmarkEnd w:id="45"/>
    </w:p>
    <w:p>
      <w:pPr>
        <w:spacing w:line="52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（1）工作时间</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国家法定工作日和法院统一要求加班的节假日，上午8:30-11：45，下午：14:00-18:45。成交供应商应严格执行考勤制度，做好考勤登记，确保员工准时上班。</w:t>
      </w:r>
    </w:p>
    <w:p>
      <w:pPr>
        <w:spacing w:line="52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（2）技术服务</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p>
    <w:p>
      <w:pPr>
        <w:spacing w:line="52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（3）培训</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成交供应商应制定全流程各环节服务标准培训内容，负责多轮次对采购人工作人员和本项目实施人员进行相关培训，培训内容包括但不限于集约化办案理解、纸质卷宗流转机制、辅助事项管理系统和文书平台等，确保项目实施顺利和项目实施成效。</w:t>
      </w:r>
    </w:p>
    <w:p>
      <w:pPr>
        <w:spacing w:line="520" w:lineRule="exact"/>
        <w:ind w:firstLine="560" w:firstLineChars="200"/>
        <w:rPr>
          <w:rFonts w:hint="eastAsia" w:ascii="仿宋" w:hAnsi="仿宋" w:eastAsia="仿宋" w:cs="仿宋"/>
          <w:sz w:val="28"/>
          <w:szCs w:val="28"/>
          <w:highlight w:val="none"/>
        </w:rPr>
      </w:pPr>
    </w:p>
    <w:bookmarkEnd w:id="40"/>
    <w:bookmarkEnd w:id="41"/>
    <w:p>
      <w:pPr>
        <w:spacing w:line="480" w:lineRule="exact"/>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pStyle w:val="35"/>
        <w:rPr>
          <w:rFonts w:hint="eastAsia" w:ascii="仿宋" w:hAnsi="仿宋" w:eastAsia="仿宋"/>
          <w:highlight w:val="none"/>
        </w:rPr>
      </w:pP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附件一：</w:t>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保密协议书</w:t>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甲方：</w:t>
      </w:r>
    </w:p>
    <w:p>
      <w:pPr>
        <w:widowControl/>
        <w:spacing w:line="480" w:lineRule="exact"/>
        <w:jc w:val="left"/>
        <w:rPr>
          <w:rFonts w:hint="eastAsia" w:ascii="仿宋" w:hAnsi="仿宋" w:eastAsia="仿宋" w:cs="仿宋"/>
          <w:b/>
          <w:bCs/>
          <w:sz w:val="28"/>
          <w:szCs w:val="28"/>
          <w:highlight w:val="none"/>
          <w:u w:val="single"/>
        </w:rPr>
      </w:pPr>
      <w:r>
        <w:rPr>
          <w:rFonts w:hint="eastAsia" w:ascii="仿宋" w:hAnsi="仿宋" w:eastAsia="仿宋" w:cs="仿宋"/>
          <w:sz w:val="28"/>
          <w:szCs w:val="28"/>
          <w:highlight w:val="none"/>
        </w:rPr>
        <w:t>乙方：</w:t>
      </w:r>
    </w:p>
    <w:p>
      <w:pPr>
        <w:spacing w:line="48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鉴于乙方接受甲方委托，将在合同规定的期限内对甲方响应服务，而在提供服务过程中，乙方将不可避免地接触到甲方的涉密信息和数据，为落实保密措施，做好保密工作，切实维护国家安全和利益以及甲方部门的利益，双方就有关保密事宜达成如下意见：</w:t>
      </w:r>
    </w:p>
    <w:p>
      <w:pPr>
        <w:pStyle w:val="308"/>
        <w:spacing w:line="48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一、甲方职责</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1、甲方应对乙方及乙方明确为甲方的技术人员进行保密责任和保密义务的提醒，并对乙方技术服务人员进行技术服务具体实施进行全程跟踪、监督和管理。</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2、对于乙方提出的与技术服务密切相关且必须提供保密资料等相关事宜进行保密审查认证，并对提供给乙方的相关保密资料提出比较明确的保密要求，做好交接登记工作。</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3、发现乙方在为甲方实施技术服务过程中存在安全隐患和泄密漏洞的，应当及时提出，并督促落实改进措施，确保安全。</w:t>
      </w:r>
    </w:p>
    <w:p>
      <w:pPr>
        <w:pStyle w:val="308"/>
        <w:spacing w:line="480" w:lineRule="exact"/>
        <w:ind w:firstLine="56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 二、乙方职责</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乙方在接受甲方委托之日起，应当事先做好相关准备工作：一是明确具体上门服务的技术人员（名单附后），且做到相对固定；二是乙方需与相关技术服务人员签订保密协议并对相关技术服务人员进行保密教育，明确保密责任、义务；三是做到持证上岗(确认身份)。应技术服务需要增加的相关技术人员，按同等要求落实相关措施，四是乙方因人员变动需对维护人员进行调整须及时向甲方提交变动信息报备。</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3、乙方在为甲方提供技术服务时，甲方根据乙方提出的要求，必须提供保密资料时，双方应当办理交接手续，做好登记、使用台账。</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乙方未经甲方允许，严禁自行复制甲方数据和相关资料，确因工作需要复制数据和资料，须书面申请并报甲方同意复制后方可进行，并确保携带、使用、存放全过程的安全，所复制数据和资料不得另行复制，按原件要求严格管理。</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乙方在完成甲方某项技术服务任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6、乙方对于甲方提供的保密资料以及相关技术服务人员在为甲方提供技术服务时掌握的其他涉密信息，均不得向第三方或其他无关人员透露，应按照技术服务需要严格控制使用、知悉范围。</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7、乙方在使用电子设备(包括笔记本电脑、移动存储介质等)为甲方提供技术服务时，应严格按照国家有关保密规定要求，落实技防、人防、物防综合防范措施，确保安全。</w:t>
      </w:r>
    </w:p>
    <w:p>
      <w:pPr>
        <w:pStyle w:val="308"/>
        <w:tabs>
          <w:tab w:val="left" w:pos="315"/>
        </w:tabs>
        <w:spacing w:line="480" w:lineRule="exact"/>
        <w:ind w:firstLine="56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三、其他事宜</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1、由于双方违反约定，造成泄密事件发生或者产生严重泄密隐患的，由违约一方承担全部责任。</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2、如有乙方相关技术服务人员离岗离职，乙方须与相关技术服务人员签订保密承诺书，并向甲方备案。</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3、本协议未尽事宜，双方另行协商。</w:t>
      </w:r>
    </w:p>
    <w:p>
      <w:pPr>
        <w:pStyle w:val="308"/>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4、若双方在相关问题上发生异议，协商不成，通过诉讼至甲方所在地人民法院解决。</w:t>
      </w:r>
    </w:p>
    <w:p>
      <w:p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本协议一式肆份，甲、乙双方执贰份，双方签字盖章后生效。。</w:t>
      </w:r>
    </w:p>
    <w:p>
      <w:p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单位盖章:（电子签章）              单位盖章:（电子签章）</w:t>
      </w:r>
    </w:p>
    <w:p>
      <w:pPr>
        <w:spacing w:line="48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代表签字:                          代表签字:</w:t>
      </w:r>
    </w:p>
    <w:p>
      <w:pPr>
        <w:spacing w:line="480" w:lineRule="exact"/>
        <w:ind w:firstLine="560"/>
        <w:rPr>
          <w:rFonts w:hint="eastAsia" w:ascii="黑体" w:hAnsi="黑体" w:eastAsia="黑体"/>
          <w:b/>
          <w:bCs/>
          <w:sz w:val="36"/>
          <w:szCs w:val="36"/>
          <w:highlight w:val="none"/>
        </w:rPr>
      </w:pPr>
      <w:r>
        <w:rPr>
          <w:rFonts w:hint="eastAsia" w:ascii="仿宋" w:hAnsi="仿宋" w:eastAsia="仿宋" w:cs="仿宋"/>
          <w:color w:val="000000"/>
          <w:sz w:val="28"/>
          <w:szCs w:val="28"/>
          <w:highlight w:val="none"/>
        </w:rPr>
        <w:t>签订日期:                          签订日期:</w:t>
      </w: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p>
    <w:p>
      <w:pPr>
        <w:pStyle w:val="20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p>
    <w:p>
      <w:pPr>
        <w:pStyle w:val="205"/>
        <w:rPr>
          <w:rFonts w:hint="eastAsia" w:ascii="黑体" w:hAnsi="黑体" w:eastAsia="黑体"/>
          <w:sz w:val="44"/>
          <w:szCs w:val="44"/>
          <w:highlight w:val="none"/>
        </w:rPr>
      </w:pPr>
    </w:p>
    <w:p>
      <w:pPr>
        <w:pStyle w:val="205"/>
        <w:rPr>
          <w:rFonts w:hint="eastAsia" w:ascii="黑体" w:hAnsi="黑体" w:eastAsia="黑体"/>
          <w:sz w:val="32"/>
          <w:highlight w:val="none"/>
        </w:rPr>
      </w:pPr>
    </w:p>
    <w:p>
      <w:pPr>
        <w:pStyle w:val="205"/>
        <w:rPr>
          <w:rFonts w:hint="eastAsia" w:ascii="黑体" w:hAnsi="黑体" w:eastAsia="黑体"/>
          <w:sz w:val="32"/>
          <w:highlight w:val="none"/>
        </w:rPr>
      </w:pPr>
    </w:p>
    <w:p>
      <w:pPr>
        <w:spacing w:line="400" w:lineRule="exact"/>
        <w:ind w:firstLine="1446"/>
        <w:rPr>
          <w:rFonts w:hint="eastAsia" w:ascii="黑体" w:hAnsi="黑体" w:eastAsia="黑体"/>
          <w:b/>
          <w:bCs/>
          <w:sz w:val="36"/>
          <w:highlight w:val="none"/>
        </w:rPr>
      </w:pPr>
      <w:r>
        <w:rPr>
          <w:rFonts w:hint="eastAsia" w:ascii="黑体" w:hAnsi="黑体" w:eastAsia="黑体"/>
          <w:b/>
          <w:bCs/>
          <w:sz w:val="36"/>
          <w:highlight w:val="none"/>
        </w:rPr>
        <w:t>项目名称:</w:t>
      </w:r>
    </w:p>
    <w:p>
      <w:pPr>
        <w:pStyle w:val="205"/>
        <w:rPr>
          <w:rFonts w:hint="eastAsia" w:ascii="黑体" w:hAnsi="黑体" w:eastAsia="黑体"/>
          <w:sz w:val="32"/>
          <w:highlight w:val="none"/>
        </w:rPr>
      </w:pPr>
    </w:p>
    <w:p>
      <w:pPr>
        <w:pStyle w:val="205"/>
        <w:ind w:firstLine="1066"/>
        <w:rPr>
          <w:rFonts w:hint="eastAsia" w:ascii="黑体" w:hAnsi="黑体" w:eastAsia="黑体"/>
          <w:b/>
          <w:sz w:val="36"/>
          <w:szCs w:val="24"/>
          <w:highlight w:val="none"/>
        </w:rPr>
      </w:pPr>
    </w:p>
    <w:p>
      <w:pPr>
        <w:pStyle w:val="205"/>
        <w:ind w:firstLine="1066"/>
        <w:rPr>
          <w:rFonts w:hint="eastAsia" w:ascii="黑体" w:hAnsi="黑体" w:eastAsia="黑体"/>
          <w:b/>
          <w:sz w:val="36"/>
          <w:szCs w:val="24"/>
          <w:highlight w:val="none"/>
        </w:rPr>
      </w:pPr>
    </w:p>
    <w:p>
      <w:pPr>
        <w:pStyle w:val="205"/>
        <w:ind w:firstLine="1428"/>
        <w:rPr>
          <w:rFonts w:hint="eastAsia" w:ascii="黑体" w:hAnsi="黑体" w:eastAsia="黑体"/>
          <w:b/>
          <w:sz w:val="36"/>
          <w:szCs w:val="24"/>
          <w:highlight w:val="none"/>
        </w:rPr>
      </w:pPr>
      <w:r>
        <w:rPr>
          <w:rFonts w:hint="eastAsia" w:ascii="黑体" w:hAnsi="黑体" w:eastAsia="黑体"/>
          <w:b/>
          <w:sz w:val="36"/>
          <w:szCs w:val="24"/>
          <w:highlight w:val="none"/>
        </w:rPr>
        <w:t>项目编号:</w:t>
      </w:r>
    </w:p>
    <w:p>
      <w:pPr>
        <w:spacing w:line="400" w:lineRule="exact"/>
        <w:rPr>
          <w:rFonts w:hint="eastAsia" w:ascii="黑体" w:hAnsi="黑体" w:eastAsia="黑体"/>
          <w:sz w:val="32"/>
          <w:szCs w:val="20"/>
          <w:highlight w:val="none"/>
        </w:rPr>
      </w:pPr>
    </w:p>
    <w:p>
      <w:pPr>
        <w:spacing w:line="400" w:lineRule="exact"/>
        <w:rPr>
          <w:rFonts w:hint="eastAsia" w:ascii="黑体" w:hAnsi="黑体" w:eastAsia="黑体"/>
          <w:sz w:val="32"/>
          <w:szCs w:val="20"/>
          <w:highlight w:val="none"/>
        </w:rPr>
      </w:pPr>
    </w:p>
    <w:p>
      <w:pPr>
        <w:spacing w:line="400" w:lineRule="exact"/>
        <w:rPr>
          <w:rFonts w:hint="eastAsia" w:ascii="黑体" w:hAnsi="黑体" w:eastAsia="黑体"/>
          <w:sz w:val="32"/>
          <w:szCs w:val="20"/>
          <w:highlight w:val="none"/>
        </w:rPr>
      </w:pPr>
    </w:p>
    <w:p>
      <w:pPr>
        <w:spacing w:line="400" w:lineRule="exact"/>
        <w:rPr>
          <w:rFonts w:hint="eastAsia" w:ascii="黑体" w:hAnsi="黑体" w:eastAsia="黑体"/>
          <w:sz w:val="32"/>
          <w:szCs w:val="20"/>
          <w:highlight w:val="none"/>
        </w:rPr>
      </w:pPr>
    </w:p>
    <w:p>
      <w:pPr>
        <w:spacing w:line="400" w:lineRule="exact"/>
        <w:rPr>
          <w:rFonts w:hint="eastAsia" w:ascii="黑体" w:hAnsi="黑体" w:eastAsia="黑体"/>
          <w:sz w:val="32"/>
          <w:szCs w:val="20"/>
          <w:highlight w:val="none"/>
        </w:rPr>
      </w:pPr>
    </w:p>
    <w:p>
      <w:pPr>
        <w:spacing w:line="400" w:lineRule="exact"/>
        <w:ind w:firstLine="1428"/>
        <w:rPr>
          <w:rFonts w:hint="eastAsia" w:ascii="黑体" w:hAnsi="黑体" w:eastAsia="黑体"/>
          <w:b/>
          <w:bCs/>
          <w:sz w:val="32"/>
          <w:highlight w:val="none"/>
        </w:rPr>
      </w:pPr>
      <w:r>
        <w:rPr>
          <w:rFonts w:hint="eastAsia" w:ascii="黑体" w:hAnsi="黑体" w:eastAsia="黑体"/>
          <w:b/>
          <w:bCs/>
          <w:sz w:val="36"/>
          <w:highlight w:val="none"/>
        </w:rPr>
        <w:t>供应商:</w:t>
      </w:r>
    </w:p>
    <w:p>
      <w:pPr>
        <w:pStyle w:val="205"/>
        <w:rPr>
          <w:rFonts w:hint="eastAsia" w:ascii="黑体" w:hAnsi="黑体" w:eastAsia="黑体"/>
          <w:sz w:val="32"/>
          <w:highlight w:val="none"/>
        </w:rPr>
      </w:pPr>
    </w:p>
    <w:p>
      <w:pPr>
        <w:pStyle w:val="205"/>
        <w:ind w:firstLine="1904"/>
        <w:rPr>
          <w:rFonts w:hint="eastAsia" w:ascii="黑体" w:hAnsi="黑体" w:eastAsia="黑体"/>
          <w:sz w:val="32"/>
          <w:highlight w:val="none"/>
        </w:rPr>
      </w:pPr>
    </w:p>
    <w:p>
      <w:pPr>
        <w:pStyle w:val="205"/>
        <w:ind w:firstLine="1904"/>
        <w:rPr>
          <w:rFonts w:hint="eastAsia" w:ascii="黑体" w:hAnsi="黑体" w:eastAsia="黑体"/>
          <w:sz w:val="32"/>
          <w:highlight w:val="none"/>
        </w:rPr>
      </w:pPr>
    </w:p>
    <w:p>
      <w:pPr>
        <w:pStyle w:val="205"/>
        <w:jc w:val="center"/>
        <w:rPr>
          <w:rFonts w:hint="eastAsia" w:hAnsi="宋体"/>
          <w:sz w:val="28"/>
          <w:szCs w:val="28"/>
          <w:highlight w:val="none"/>
        </w:rPr>
      </w:pPr>
      <w:r>
        <w:rPr>
          <w:rFonts w:hint="eastAsia" w:ascii="黑体" w:hAnsi="黑体" w:eastAsia="黑体"/>
          <w:b/>
          <w:sz w:val="36"/>
          <w:szCs w:val="24"/>
          <w:highlight w:val="none"/>
        </w:rPr>
        <w:t>年    月    日</w:t>
      </w:r>
    </w:p>
    <w:p>
      <w:pPr>
        <w:spacing w:line="640" w:lineRule="exact"/>
        <w:ind w:firstLine="3521"/>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一、磋商函</w:t>
      </w:r>
    </w:p>
    <w:p>
      <w:pPr>
        <w:spacing w:line="640" w:lineRule="exact"/>
        <w:rPr>
          <w:rFonts w:hint="eastAsia" w:ascii="仿宋" w:hAnsi="仿宋" w:eastAsia="仿宋"/>
          <w:sz w:val="28"/>
          <w:highlight w:val="none"/>
        </w:rPr>
      </w:pPr>
      <w:r>
        <w:rPr>
          <w:rFonts w:hint="eastAsia" w:ascii="仿宋" w:hAnsi="仿宋" w:eastAsia="仿宋"/>
          <w:sz w:val="28"/>
          <w:highlight w:val="none"/>
        </w:rPr>
        <w:t>盱眙县人民法院 :</w:t>
      </w:r>
    </w:p>
    <w:p>
      <w:pPr>
        <w:pStyle w:val="240"/>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关于          采购项目</w:t>
      </w:r>
      <w:r>
        <w:rPr>
          <w:rFonts w:hint="eastAsia" w:ascii="仿宋" w:hAnsi="仿宋" w:eastAsia="仿宋"/>
          <w:sz w:val="28"/>
          <w:szCs w:val="28"/>
          <w:highlight w:val="none"/>
        </w:rPr>
        <w:t>（项目编号:            ）</w:t>
      </w:r>
      <w:r>
        <w:rPr>
          <w:rFonts w:hint="eastAsia" w:ascii="仿宋" w:hAnsi="仿宋" w:eastAsia="仿宋"/>
          <w:sz w:val="28"/>
          <w:highlight w:val="none"/>
        </w:rPr>
        <w:t>磋商文件（包括更正公告，如果有的话）收悉，我们经详细审阅和研究，现决定参加本项目磋商。</w:t>
      </w:r>
      <w:r>
        <w:rPr>
          <w:rFonts w:hint="eastAsia" w:ascii="仿宋" w:hAnsi="仿宋" w:eastAsia="仿宋"/>
          <w:sz w:val="28"/>
          <w:szCs w:val="28"/>
          <w:highlight w:val="none"/>
        </w:rPr>
        <w:t>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（供应商单位名称），全权处理本次项目磋商的有关事宜。</w:t>
      </w:r>
    </w:p>
    <w:p>
      <w:pPr>
        <w:spacing w:line="640" w:lineRule="exact"/>
        <w:ind w:firstLine="560"/>
        <w:rPr>
          <w:rFonts w:hint="eastAsia" w:ascii="仿宋" w:hAnsi="仿宋" w:eastAsia="仿宋"/>
          <w:color w:val="000000"/>
          <w:sz w:val="28"/>
          <w:szCs w:val="28"/>
          <w:highlight w:val="none"/>
        </w:rPr>
      </w:pPr>
      <w:r>
        <w:rPr>
          <w:rFonts w:hint="eastAsia" w:ascii="仿宋" w:hAnsi="仿宋" w:eastAsia="仿宋"/>
          <w:sz w:val="28"/>
          <w:highlight w:val="none"/>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pPr>
        <w:pStyle w:val="240"/>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3、按照磋商文件中规定的各项要求，我方愿以</w:t>
      </w:r>
      <w:r>
        <w:rPr>
          <w:rFonts w:hint="eastAsia" w:ascii="仿宋" w:hAnsi="仿宋" w:eastAsia="仿宋" w:cs="Arial"/>
          <w:sz w:val="28"/>
          <w:highlight w:val="none"/>
        </w:rPr>
        <w:t>（大写、人民币）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元）的磋商总报价并按磋商文件的规定要求提供</w:t>
      </w:r>
      <w:r>
        <w:rPr>
          <w:rFonts w:hint="eastAsia" w:ascii="仿宋" w:hAnsi="仿宋" w:eastAsia="仿宋"/>
          <w:sz w:val="28"/>
          <w:highlight w:val="none"/>
        </w:rPr>
        <w:t>货物和</w:t>
      </w:r>
      <w:r>
        <w:rPr>
          <w:rFonts w:hint="eastAsia" w:ascii="仿宋" w:hAnsi="仿宋" w:eastAsia="仿宋" w:cs="Arial"/>
          <w:sz w:val="28"/>
          <w:highlight w:val="none"/>
        </w:rPr>
        <w:t>服务。</w:t>
      </w:r>
    </w:p>
    <w:p>
      <w:pPr>
        <w:spacing w:line="640" w:lineRule="exact"/>
        <w:ind w:firstLine="560"/>
        <w:rPr>
          <w:rFonts w:hint="eastAsia" w:ascii="仿宋" w:hAnsi="仿宋" w:eastAsia="仿宋"/>
          <w:sz w:val="28"/>
          <w:szCs w:val="28"/>
          <w:highlight w:val="none"/>
        </w:rPr>
      </w:pPr>
      <w:r>
        <w:rPr>
          <w:rFonts w:hint="eastAsia" w:ascii="仿宋" w:hAnsi="仿宋" w:eastAsia="仿宋"/>
          <w:sz w:val="28"/>
          <w:highlight w:val="none"/>
        </w:rPr>
        <w:t>4、如果我们成交，我们将按磋商文件规定的时间提供货物和服务</w:t>
      </w:r>
      <w:r>
        <w:rPr>
          <w:rFonts w:hint="eastAsia" w:ascii="仿宋" w:hAnsi="仿宋" w:eastAsia="仿宋"/>
          <w:sz w:val="28"/>
          <w:szCs w:val="28"/>
          <w:highlight w:val="none"/>
        </w:rPr>
        <w:t>。</w:t>
      </w:r>
    </w:p>
    <w:p>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5、我方同意按照磋商文件中规定，本响应文件的有效期为从磋商之日起计算90天，在此期间，本响应文件将始终对我们具有约束力，并可随时被接受。如果我们成交，本响应文件在此期间之后将继续保持有效，直到合同生效。</w:t>
      </w:r>
    </w:p>
    <w:p>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6、我们同意向贵方提供贵方可能要求的与磋商有关的任何证据或资料</w:t>
      </w:r>
      <w:r>
        <w:rPr>
          <w:rFonts w:hint="eastAsia" w:ascii="仿宋" w:hAnsi="仿宋" w:eastAsia="仿宋"/>
          <w:sz w:val="28"/>
          <w:highlight w:val="none"/>
        </w:rPr>
        <w:t>，并保证所提供的都是真实的、准确的。</w:t>
      </w:r>
    </w:p>
    <w:p>
      <w:pPr>
        <w:spacing w:line="640" w:lineRule="exact"/>
        <w:ind w:firstLine="567"/>
        <w:rPr>
          <w:rFonts w:hint="eastAsia" w:ascii="仿宋" w:hAnsi="仿宋" w:eastAsia="仿宋"/>
          <w:sz w:val="28"/>
          <w:szCs w:val="28"/>
          <w:highlight w:val="none"/>
        </w:rPr>
      </w:pPr>
      <w:r>
        <w:rPr>
          <w:rFonts w:hint="eastAsia" w:ascii="仿宋" w:hAnsi="仿宋" w:eastAsia="仿宋"/>
          <w:sz w:val="28"/>
          <w:highlight w:val="none"/>
        </w:rPr>
        <w:t>7、</w:t>
      </w:r>
      <w:r>
        <w:rPr>
          <w:rFonts w:hint="eastAsia" w:ascii="仿宋" w:hAnsi="仿宋" w:eastAsia="仿宋"/>
          <w:sz w:val="28"/>
          <w:szCs w:val="28"/>
          <w:highlight w:val="none"/>
        </w:rPr>
        <w:t>一旦我方成交，我方将按照磋商文件的规定，严格履行合同的责任和义务，并保证按磋商文件中规定的时间内提供</w:t>
      </w:r>
      <w:r>
        <w:rPr>
          <w:rFonts w:hint="eastAsia" w:ascii="仿宋" w:hAnsi="仿宋" w:eastAsia="仿宋"/>
          <w:sz w:val="28"/>
          <w:highlight w:val="none"/>
        </w:rPr>
        <w:t>货物和</w:t>
      </w:r>
      <w:r>
        <w:rPr>
          <w:rFonts w:hint="eastAsia" w:ascii="仿宋" w:hAnsi="仿宋" w:eastAsia="仿宋"/>
          <w:sz w:val="28"/>
          <w:szCs w:val="28"/>
          <w:highlight w:val="none"/>
        </w:rPr>
        <w:t>服务。</w:t>
      </w:r>
    </w:p>
    <w:p>
      <w:pPr>
        <w:spacing w:line="640" w:lineRule="exact"/>
        <w:ind w:firstLine="567"/>
        <w:rPr>
          <w:rFonts w:hint="eastAsia" w:ascii="仿宋" w:hAnsi="仿宋" w:eastAsia="仿宋"/>
          <w:sz w:val="28"/>
          <w:highlight w:val="none"/>
        </w:rPr>
      </w:pPr>
    </w:p>
    <w:p>
      <w:pPr>
        <w:spacing w:line="640" w:lineRule="exact"/>
        <w:ind w:firstLine="567"/>
        <w:rPr>
          <w:rFonts w:hint="eastAsia" w:ascii="仿宋" w:hAnsi="仿宋" w:eastAsia="仿宋"/>
          <w:sz w:val="28"/>
          <w:szCs w:val="28"/>
          <w:highlight w:val="none"/>
        </w:rPr>
      </w:pPr>
    </w:p>
    <w:p>
      <w:pPr>
        <w:pStyle w:val="240"/>
        <w:spacing w:before="0" w:after="0" w:line="640" w:lineRule="exact"/>
        <w:ind w:right="561" w:firstLine="3360"/>
        <w:rPr>
          <w:rFonts w:hint="eastAsia" w:ascii="仿宋" w:hAnsi="仿宋" w:eastAsia="仿宋"/>
          <w:sz w:val="28"/>
          <w:highlight w:val="none"/>
          <w:u w:val="single"/>
        </w:rPr>
      </w:pPr>
      <w:r>
        <w:rPr>
          <w:rFonts w:hint="eastAsia" w:ascii="仿宋" w:hAnsi="仿宋" w:eastAsia="仿宋"/>
          <w:sz w:val="28"/>
          <w:highlight w:val="none"/>
        </w:rPr>
        <w:t>供应商名称:</w:t>
      </w:r>
      <w:r>
        <w:rPr>
          <w:rFonts w:hint="eastAsia" w:ascii="仿宋" w:hAnsi="仿宋" w:eastAsia="仿宋"/>
          <w:sz w:val="28"/>
          <w:highlight w:val="none"/>
          <w:u w:val="single"/>
        </w:rPr>
        <w:t xml:space="preserve">  （电子签章）           </w:t>
      </w:r>
    </w:p>
    <w:p>
      <w:pPr>
        <w:pStyle w:val="240"/>
        <w:spacing w:before="0" w:after="0" w:line="640" w:lineRule="exact"/>
        <w:ind w:right="561" w:firstLine="3360"/>
        <w:rPr>
          <w:rFonts w:hint="eastAsia" w:ascii="仿宋" w:hAnsi="仿宋" w:eastAsia="仿宋"/>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u w:val="single"/>
        </w:rPr>
        <w:t xml:space="preserve">             </w:t>
      </w:r>
    </w:p>
    <w:p>
      <w:pPr>
        <w:spacing w:line="640" w:lineRule="exact"/>
        <w:ind w:right="561" w:firstLine="3360"/>
        <w:rPr>
          <w:rFonts w:hint="eastAsia" w:ascii="仿宋" w:hAnsi="仿宋" w:eastAsia="仿宋"/>
          <w:color w:val="000000"/>
          <w:sz w:val="28"/>
          <w:szCs w:val="28"/>
          <w:highlight w:val="none"/>
          <w:u w:val="single"/>
        </w:rPr>
      </w:pPr>
      <w:r>
        <w:rPr>
          <w:rFonts w:hint="eastAsia" w:ascii="仿宋" w:hAnsi="仿宋" w:eastAsia="仿宋"/>
          <w:sz w:val="28"/>
          <w:szCs w:val="28"/>
          <w:highlight w:val="none"/>
        </w:rPr>
        <w:t>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u w:val="single"/>
        </w:rPr>
        <w:t xml:space="preserve">             </w:t>
      </w:r>
    </w:p>
    <w:p>
      <w:pPr>
        <w:pStyle w:val="205"/>
        <w:spacing w:line="640" w:lineRule="exact"/>
        <w:ind w:right="561"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pPr>
        <w:spacing w:line="440" w:lineRule="exact"/>
        <w:ind w:firstLine="3408"/>
        <w:rPr>
          <w:rFonts w:hint="eastAsia" w:ascii="宋体" w:hAnsi="宋体"/>
          <w:b/>
          <w:bCs/>
          <w:spacing w:val="20"/>
          <w:sz w:val="32"/>
          <w:szCs w:val="32"/>
          <w:highlight w:val="none"/>
        </w:rPr>
      </w:pPr>
    </w:p>
    <w:p>
      <w:pPr>
        <w:spacing w:line="440" w:lineRule="exact"/>
        <w:ind w:firstLine="3357"/>
        <w:rPr>
          <w:rFonts w:hint="eastAsia" w:ascii="宋体" w:hAnsi="宋体"/>
          <w:b/>
          <w:bCs/>
          <w:sz w:val="32"/>
          <w:szCs w:val="32"/>
          <w:highlight w:val="none"/>
        </w:rPr>
      </w:pPr>
    </w:p>
    <w:p>
      <w:pPr>
        <w:spacing w:line="440" w:lineRule="exact"/>
        <w:ind w:firstLine="3357"/>
        <w:rPr>
          <w:rFonts w:hint="eastAsia" w:ascii="宋体" w:hAnsi="宋体"/>
          <w:b/>
          <w:bCs/>
          <w:sz w:val="32"/>
          <w:szCs w:val="32"/>
          <w:highlight w:val="none"/>
        </w:rPr>
      </w:pPr>
    </w:p>
    <w:p>
      <w:pPr>
        <w:spacing w:line="440" w:lineRule="exact"/>
        <w:ind w:firstLine="2926"/>
        <w:rPr>
          <w:rFonts w:hint="eastAsia" w:ascii="仿宋" w:hAnsi="仿宋" w:eastAsia="仿宋"/>
          <w:sz w:val="28"/>
          <w:szCs w:val="28"/>
          <w:highlight w:val="none"/>
        </w:rPr>
      </w:pPr>
    </w:p>
    <w:p>
      <w:pPr>
        <w:spacing w:line="440" w:lineRule="exact"/>
        <w:ind w:firstLine="3357"/>
        <w:rPr>
          <w:rFonts w:hint="eastAsia" w:ascii="宋体" w:hAnsi="宋体"/>
          <w:b/>
          <w:bCs/>
          <w:sz w:val="32"/>
          <w:szCs w:val="32"/>
          <w:highlight w:val="none"/>
        </w:rPr>
      </w:pPr>
    </w:p>
    <w:p>
      <w:pPr>
        <w:spacing w:line="440" w:lineRule="exact"/>
        <w:ind w:firstLine="3357"/>
        <w:rPr>
          <w:rFonts w:hint="eastAsia" w:ascii="宋体" w:hAnsi="宋体"/>
          <w:b/>
          <w:bCs/>
          <w:sz w:val="32"/>
          <w:szCs w:val="32"/>
          <w:highlight w:val="none"/>
        </w:rPr>
      </w:pPr>
    </w:p>
    <w:p>
      <w:pPr>
        <w:spacing w:line="440" w:lineRule="exact"/>
        <w:ind w:firstLine="3357"/>
        <w:rPr>
          <w:rFonts w:hint="eastAsia" w:ascii="宋体" w:hAnsi="宋体"/>
          <w:b/>
          <w:bCs/>
          <w:sz w:val="32"/>
          <w:szCs w:val="32"/>
          <w:highlight w:val="none"/>
        </w:rPr>
      </w:pPr>
    </w:p>
    <w:p>
      <w:pPr>
        <w:spacing w:line="440" w:lineRule="exact"/>
        <w:ind w:firstLine="3357"/>
        <w:rPr>
          <w:rFonts w:hint="eastAsia" w:ascii="宋体" w:hAnsi="宋体"/>
          <w:b/>
          <w:bCs/>
          <w:sz w:val="32"/>
          <w:szCs w:val="32"/>
          <w:highlight w:val="none"/>
        </w:rPr>
      </w:pPr>
    </w:p>
    <w:p>
      <w:pPr>
        <w:spacing w:line="440" w:lineRule="exact"/>
        <w:ind w:firstLine="3357"/>
        <w:rPr>
          <w:rFonts w:hint="eastAsia" w:ascii="宋体" w:hAnsi="宋体"/>
          <w:b/>
          <w:bCs/>
          <w:sz w:val="32"/>
          <w:szCs w:val="32"/>
          <w:highlight w:val="none"/>
        </w:rPr>
      </w:pPr>
    </w:p>
    <w:p>
      <w:pPr>
        <w:widowControl/>
        <w:spacing w:before="19" w:line="440" w:lineRule="exact"/>
        <w:rPr>
          <w:rFonts w:hint="eastAsia" w:ascii="仿宋" w:hAnsi="仿宋" w:eastAsia="仿宋"/>
          <w:b/>
          <w:sz w:val="32"/>
          <w:szCs w:val="32"/>
          <w:highlight w:val="none"/>
        </w:rPr>
      </w:pPr>
    </w:p>
    <w:p>
      <w:pPr>
        <w:spacing w:line="440" w:lineRule="exact"/>
        <w:jc w:val="center"/>
        <w:rPr>
          <w:rFonts w:hint="eastAsia" w:ascii="仿宋" w:hAnsi="仿宋" w:eastAsia="仿宋" w:cs="Arial"/>
          <w:bCs/>
          <w:sz w:val="28"/>
          <w:highlight w:val="none"/>
        </w:rPr>
      </w:pPr>
    </w:p>
    <w:p>
      <w:pPr>
        <w:spacing w:line="440" w:lineRule="exact"/>
        <w:jc w:val="center"/>
        <w:rPr>
          <w:rFonts w:hint="eastAsia" w:ascii="仿宋" w:hAnsi="仿宋" w:eastAsia="仿宋" w:cs="Arial"/>
          <w:bCs/>
          <w:sz w:val="28"/>
          <w:highlight w:val="none"/>
        </w:rPr>
      </w:pPr>
    </w:p>
    <w:p>
      <w:pPr>
        <w:spacing w:line="440" w:lineRule="exact"/>
        <w:jc w:val="both"/>
        <w:rPr>
          <w:rFonts w:hint="eastAsia" w:ascii="仿宋" w:hAnsi="仿宋" w:eastAsia="仿宋" w:cs="Arial"/>
          <w:bCs/>
          <w:sz w:val="28"/>
          <w:highlight w:val="none"/>
        </w:rPr>
      </w:pPr>
    </w:p>
    <w:p>
      <w:pPr>
        <w:spacing w:line="440" w:lineRule="exact"/>
        <w:jc w:val="center"/>
        <w:rPr>
          <w:rFonts w:hint="eastAsia" w:ascii="仿宋" w:hAnsi="仿宋" w:eastAsia="仿宋" w:cs="Arial"/>
          <w:bCs/>
          <w:sz w:val="28"/>
          <w:highlight w:val="none"/>
        </w:rPr>
      </w:pPr>
    </w:p>
    <w:p>
      <w:pPr>
        <w:pStyle w:val="205"/>
        <w:jc w:val="center"/>
        <w:rPr>
          <w:rFonts w:hint="eastAsia" w:ascii="仿宋" w:hAnsi="仿宋" w:eastAsia="仿宋"/>
          <w:b/>
          <w:sz w:val="32"/>
          <w:szCs w:val="32"/>
          <w:highlight w:val="none"/>
        </w:rPr>
      </w:pPr>
      <w:r>
        <w:rPr>
          <w:rFonts w:hint="eastAsia" w:ascii="仿宋" w:hAnsi="仿宋" w:eastAsia="仿宋"/>
          <w:b/>
          <w:sz w:val="32"/>
          <w:szCs w:val="32"/>
          <w:highlight w:val="none"/>
        </w:rPr>
        <w:t>二、磋商报价明细表</w:t>
      </w:r>
    </w:p>
    <w:p>
      <w:pPr>
        <w:pStyle w:val="205"/>
        <w:spacing w:line="340" w:lineRule="exact"/>
        <w:jc w:val="center"/>
        <w:rPr>
          <w:rFonts w:hint="eastAsia" w:ascii="仿宋" w:hAnsi="仿宋" w:eastAsia="仿宋" w:cs="Calibri"/>
          <w:sz w:val="24"/>
          <w:szCs w:val="24"/>
          <w:highlight w:val="none"/>
        </w:rPr>
      </w:pPr>
    </w:p>
    <w:tbl>
      <w:tblPr>
        <w:tblStyle w:val="36"/>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序号</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服务</w:t>
            </w:r>
            <w:r>
              <w:rPr>
                <w:rFonts w:ascii="仿宋" w:hAnsi="仿宋" w:eastAsia="仿宋"/>
                <w:sz w:val="24"/>
                <w:szCs w:val="24"/>
                <w:highlight w:val="none"/>
              </w:rPr>
              <w:t>名称</w:t>
            </w: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服务内容</w:t>
            </w: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服务地点</w:t>
            </w: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交付期</w:t>
            </w: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分项单价</w:t>
            </w: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分项总价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1</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2</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3</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4</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5</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6</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7</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8</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hint="eastAsia" w:ascii="仿宋" w:hAnsi="仿宋" w:eastAsia="仿宋"/>
                <w:sz w:val="24"/>
                <w:szCs w:val="24"/>
                <w:highlight w:val="none"/>
              </w:rPr>
              <w:t>9</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w:t>
            </w:r>
          </w:p>
        </w:tc>
        <w:tc>
          <w:tcPr>
            <w:tcW w:w="130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w:t>
            </w:r>
          </w:p>
        </w:tc>
        <w:tc>
          <w:tcPr>
            <w:tcW w:w="163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30"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45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395"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c>
          <w:tcPr>
            <w:tcW w:w="1206" w:type="dxa"/>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7974" w:type="dxa"/>
            <w:gridSpan w:val="6"/>
            <w:tcMar>
              <w:top w:w="0" w:type="dxa"/>
              <w:left w:w="108" w:type="dxa"/>
              <w:bottom w:w="0" w:type="dxa"/>
              <w:right w:w="108" w:type="dxa"/>
            </w:tcMar>
            <w:vAlign w:val="center"/>
          </w:tcPr>
          <w:p>
            <w:pPr>
              <w:pStyle w:val="205"/>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sz w:val="24"/>
                <w:szCs w:val="24"/>
                <w:highlight w:val="none"/>
              </w:rPr>
            </w:pPr>
            <w:r>
              <w:rPr>
                <w:rFonts w:hint="eastAsia" w:ascii="仿宋" w:hAnsi="仿宋" w:eastAsia="仿宋"/>
                <w:sz w:val="24"/>
                <w:szCs w:val="24"/>
                <w:highlight w:val="none"/>
              </w:rPr>
              <w:t>磋商</w:t>
            </w:r>
            <w:r>
              <w:rPr>
                <w:rFonts w:ascii="仿宋" w:hAnsi="仿宋" w:eastAsia="仿宋"/>
                <w:sz w:val="24"/>
                <w:szCs w:val="24"/>
                <w:highlight w:val="none"/>
              </w:rPr>
              <w:t>总报价（人民币：元）</w:t>
            </w:r>
          </w:p>
        </w:tc>
        <w:tc>
          <w:tcPr>
            <w:tcW w:w="1206" w:type="dxa"/>
            <w:tcMar>
              <w:top w:w="0" w:type="dxa"/>
              <w:left w:w="108" w:type="dxa"/>
              <w:bottom w:w="0" w:type="dxa"/>
              <w:right w:w="108" w:type="dxa"/>
            </w:tcMar>
          </w:tcPr>
          <w:p>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highlight w:val="none"/>
              </w:rPr>
            </w:pPr>
            <w:r>
              <w:rPr>
                <w:rFonts w:ascii="仿宋" w:hAnsi="仿宋" w:eastAsia="仿宋"/>
                <w:sz w:val="24"/>
                <w:szCs w:val="24"/>
                <w:highlight w:val="none"/>
              </w:rPr>
              <w:t> </w:t>
            </w:r>
          </w:p>
        </w:tc>
      </w:tr>
    </w:tbl>
    <w:p>
      <w:pPr>
        <w:pStyle w:val="205"/>
        <w:spacing w:line="440" w:lineRule="exact"/>
        <w:ind w:firstLine="411"/>
        <w:rPr>
          <w:rFonts w:hint="eastAsia" w:ascii="仿宋" w:hAnsi="仿宋" w:eastAsia="仿宋"/>
          <w:sz w:val="28"/>
          <w:szCs w:val="24"/>
          <w:highlight w:val="none"/>
        </w:rPr>
      </w:pPr>
    </w:p>
    <w:p>
      <w:pPr>
        <w:pStyle w:val="205"/>
        <w:spacing w:line="440" w:lineRule="exact"/>
        <w:ind w:firstLine="411"/>
        <w:rPr>
          <w:rFonts w:hint="eastAsia" w:ascii="仿宋" w:hAnsi="仿宋" w:eastAsia="仿宋"/>
          <w:sz w:val="28"/>
          <w:szCs w:val="28"/>
          <w:highlight w:val="none"/>
        </w:rPr>
      </w:pPr>
      <w:r>
        <w:rPr>
          <w:rFonts w:ascii="仿宋" w:hAnsi="仿宋" w:eastAsia="仿宋"/>
          <w:sz w:val="28"/>
          <w:szCs w:val="24"/>
          <w:highlight w:val="none"/>
        </w:rPr>
        <w:t>备注：1</w:t>
      </w:r>
      <w:r>
        <w:rPr>
          <w:rFonts w:hint="eastAsia" w:ascii="仿宋" w:hAnsi="仿宋" w:eastAsia="仿宋"/>
          <w:sz w:val="28"/>
          <w:szCs w:val="24"/>
          <w:highlight w:val="none"/>
        </w:rPr>
        <w:t>、</w:t>
      </w:r>
      <w:r>
        <w:rPr>
          <w:rFonts w:ascii="仿宋" w:hAnsi="仿宋" w:eastAsia="仿宋"/>
          <w:sz w:val="28"/>
          <w:szCs w:val="24"/>
          <w:highlight w:val="none"/>
        </w:rPr>
        <w:t>报价采用总承包方式，“</w:t>
      </w:r>
      <w:r>
        <w:rPr>
          <w:rFonts w:hint="eastAsia" w:ascii="仿宋" w:hAnsi="仿宋" w:eastAsia="仿宋"/>
          <w:sz w:val="28"/>
          <w:szCs w:val="24"/>
          <w:highlight w:val="none"/>
        </w:rPr>
        <w:t>磋商</w:t>
      </w:r>
      <w:r>
        <w:rPr>
          <w:rFonts w:ascii="仿宋" w:hAnsi="仿宋" w:eastAsia="仿宋"/>
          <w:sz w:val="28"/>
          <w:szCs w:val="24"/>
          <w:highlight w:val="none"/>
        </w:rPr>
        <w:t>总报价”应包括所投</w:t>
      </w:r>
      <w:r>
        <w:rPr>
          <w:rFonts w:hint="eastAsia" w:ascii="仿宋" w:hAnsi="仿宋" w:eastAsia="仿宋"/>
          <w:sz w:val="28"/>
          <w:szCs w:val="24"/>
          <w:highlight w:val="none"/>
        </w:rPr>
        <w:t>服务</w:t>
      </w:r>
      <w:r>
        <w:rPr>
          <w:rFonts w:ascii="仿宋" w:hAnsi="仿宋" w:eastAsia="仿宋"/>
          <w:sz w:val="28"/>
          <w:szCs w:val="24"/>
          <w:highlight w:val="none"/>
        </w:rPr>
        <w:t>（包含与</w:t>
      </w:r>
      <w:r>
        <w:rPr>
          <w:rFonts w:hint="eastAsia" w:ascii="仿宋" w:hAnsi="仿宋" w:eastAsia="仿宋"/>
          <w:sz w:val="28"/>
          <w:szCs w:val="24"/>
          <w:highlight w:val="none"/>
        </w:rPr>
        <w:t>服务</w:t>
      </w:r>
      <w:r>
        <w:rPr>
          <w:rFonts w:ascii="仿宋" w:hAnsi="仿宋" w:eastAsia="仿宋"/>
          <w:sz w:val="28"/>
          <w:szCs w:val="24"/>
          <w:highlight w:val="none"/>
        </w:rPr>
        <w:t>相关的</w:t>
      </w:r>
      <w:r>
        <w:rPr>
          <w:rFonts w:hint="eastAsia" w:ascii="仿宋" w:hAnsi="仿宋" w:eastAsia="仿宋"/>
          <w:sz w:val="28"/>
          <w:szCs w:val="24"/>
          <w:highlight w:val="none"/>
        </w:rPr>
        <w:t>货物</w:t>
      </w:r>
      <w:r>
        <w:rPr>
          <w:rFonts w:ascii="仿宋" w:hAnsi="仿宋" w:eastAsia="仿宋"/>
          <w:sz w:val="28"/>
          <w:szCs w:val="24"/>
          <w:highlight w:val="none"/>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磋商</w:t>
      </w:r>
      <w:r>
        <w:rPr>
          <w:rFonts w:ascii="仿宋" w:hAnsi="仿宋" w:eastAsia="仿宋"/>
          <w:sz w:val="28"/>
          <w:szCs w:val="24"/>
          <w:highlight w:val="none"/>
        </w:rPr>
        <w:t>文件中另有规定的除外。</w:t>
      </w:r>
    </w:p>
    <w:p>
      <w:pPr>
        <w:spacing w:line="440" w:lineRule="exact"/>
        <w:ind w:firstLine="2875"/>
        <w:rPr>
          <w:rFonts w:hint="eastAsia" w:ascii="仿宋" w:hAnsi="仿宋" w:eastAsia="仿宋"/>
          <w:b/>
          <w:sz w:val="32"/>
          <w:szCs w:val="32"/>
          <w:highlight w:val="none"/>
        </w:rPr>
      </w:pPr>
      <w:r>
        <w:rPr>
          <w:rFonts w:hint="eastAsia" w:ascii="仿宋" w:hAnsi="仿宋" w:eastAsia="仿宋"/>
          <w:b/>
          <w:sz w:val="32"/>
          <w:szCs w:val="32"/>
          <w:highlight w:val="none"/>
        </w:rPr>
        <w:t>三、服务要求响应偏离表</w:t>
      </w:r>
    </w:p>
    <w:tbl>
      <w:tblPr>
        <w:tblStyle w:val="36"/>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4"/>
                <w:highlight w:val="none"/>
              </w:rPr>
            </w:pPr>
            <w:r>
              <w:rPr>
                <w:rFonts w:hint="eastAsia" w:ascii="仿宋" w:hAnsi="仿宋" w:eastAsia="仿宋" w:cs="Arial"/>
                <w:sz w:val="24"/>
                <w:highlight w:val="none"/>
              </w:rPr>
              <w:t>序号</w:t>
            </w:r>
          </w:p>
        </w:tc>
        <w:tc>
          <w:tcPr>
            <w:tcW w:w="3420" w:type="dxa"/>
            <w:vAlign w:val="center"/>
          </w:tcPr>
          <w:p>
            <w:pPr>
              <w:jc w:val="center"/>
              <w:rPr>
                <w:rFonts w:hint="eastAsia" w:ascii="仿宋" w:hAnsi="仿宋" w:eastAsia="仿宋" w:cs="Arial"/>
                <w:sz w:val="24"/>
                <w:highlight w:val="none"/>
              </w:rPr>
            </w:pPr>
            <w:r>
              <w:rPr>
                <w:rFonts w:hint="eastAsia" w:ascii="仿宋" w:hAnsi="仿宋" w:eastAsia="仿宋" w:cs="Arial"/>
                <w:sz w:val="24"/>
                <w:highlight w:val="none"/>
              </w:rPr>
              <w:t>项目采购需求中主要服务描述</w:t>
            </w:r>
          </w:p>
        </w:tc>
        <w:tc>
          <w:tcPr>
            <w:tcW w:w="2880" w:type="dxa"/>
            <w:vAlign w:val="center"/>
          </w:tcPr>
          <w:p>
            <w:pPr>
              <w:jc w:val="center"/>
              <w:rPr>
                <w:rFonts w:hint="eastAsia" w:ascii="仿宋" w:hAnsi="仿宋" w:eastAsia="仿宋" w:cs="Arial"/>
                <w:sz w:val="24"/>
                <w:highlight w:val="none"/>
              </w:rPr>
            </w:pPr>
            <w:r>
              <w:rPr>
                <w:rFonts w:hint="eastAsia" w:ascii="仿宋" w:hAnsi="仿宋" w:eastAsia="仿宋" w:cs="Arial"/>
                <w:sz w:val="24"/>
                <w:highlight w:val="none"/>
              </w:rPr>
              <w:t>所报服务及相关描述</w:t>
            </w:r>
          </w:p>
        </w:tc>
        <w:tc>
          <w:tcPr>
            <w:tcW w:w="1080" w:type="dxa"/>
            <w:vAlign w:val="center"/>
          </w:tcPr>
          <w:p>
            <w:pPr>
              <w:ind w:firstLine="240"/>
              <w:rPr>
                <w:rFonts w:hint="eastAsia" w:ascii="仿宋" w:hAnsi="仿宋" w:eastAsia="仿宋" w:cs="Arial"/>
                <w:sz w:val="24"/>
                <w:highlight w:val="none"/>
              </w:rPr>
            </w:pPr>
            <w:r>
              <w:rPr>
                <w:rFonts w:hint="eastAsia" w:ascii="仿宋" w:hAnsi="仿宋" w:eastAsia="仿宋" w:cs="Arial"/>
                <w:sz w:val="24"/>
                <w:highlight w:val="none"/>
              </w:rPr>
              <w:t>偏离</w:t>
            </w:r>
          </w:p>
          <w:p>
            <w:pPr>
              <w:ind w:firstLine="240"/>
              <w:rPr>
                <w:rFonts w:hint="eastAsia" w:ascii="仿宋" w:hAnsi="仿宋" w:eastAsia="仿宋" w:cs="Arial"/>
                <w:sz w:val="24"/>
                <w:highlight w:val="none"/>
              </w:rPr>
            </w:pPr>
            <w:r>
              <w:rPr>
                <w:rFonts w:hint="eastAsia" w:ascii="仿宋" w:hAnsi="仿宋" w:eastAsia="仿宋" w:cs="Arial"/>
                <w:sz w:val="24"/>
                <w:highlight w:val="none"/>
              </w:rPr>
              <w:t>情况</w:t>
            </w:r>
          </w:p>
        </w:tc>
        <w:tc>
          <w:tcPr>
            <w:tcW w:w="1080" w:type="dxa"/>
            <w:vAlign w:val="center"/>
          </w:tcPr>
          <w:p>
            <w:pPr>
              <w:spacing w:line="360" w:lineRule="auto"/>
              <w:jc w:val="center"/>
              <w:rPr>
                <w:rFonts w:hint="eastAsia" w:ascii="仿宋" w:hAnsi="仿宋" w:eastAsia="仿宋" w:cs="Arial"/>
                <w:sz w:val="24"/>
                <w:highlight w:val="none"/>
              </w:rPr>
            </w:pPr>
            <w:r>
              <w:rPr>
                <w:rFonts w:hint="eastAsia" w:ascii="仿宋" w:hAnsi="仿宋" w:eastAsia="仿宋" w:cs="Arial"/>
                <w:sz w:val="24"/>
                <w:highlight w:val="none"/>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pacing w:val="-6"/>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rPr>
                <w:rFonts w:hint="eastAsia" w:ascii="仿宋" w:hAnsi="仿宋" w:eastAsia="仿宋" w:cs="Arial"/>
                <w:spacing w:val="-6"/>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rPr>
                <w:rFonts w:hint="eastAsia" w:ascii="仿宋" w:hAnsi="仿宋" w:eastAsia="仿宋"/>
                <w:spacing w:val="-10"/>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jc w:val="center"/>
              <w:rPr>
                <w:rFonts w:hint="eastAsia" w:ascii="仿宋" w:hAnsi="仿宋" w:eastAsia="仿宋" w:cs="Arial"/>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hint="eastAsia" w:ascii="仿宋" w:hAnsi="仿宋" w:eastAsia="仿宋" w:cs="Arial"/>
                <w:sz w:val="28"/>
                <w:szCs w:val="28"/>
                <w:highlight w:val="none"/>
              </w:rPr>
            </w:pPr>
          </w:p>
        </w:tc>
        <w:tc>
          <w:tcPr>
            <w:tcW w:w="3420" w:type="dxa"/>
            <w:vAlign w:val="center"/>
          </w:tcPr>
          <w:p>
            <w:pPr>
              <w:rPr>
                <w:rFonts w:hint="eastAsia" w:ascii="仿宋" w:hAnsi="仿宋" w:eastAsia="仿宋"/>
                <w:spacing w:val="-10"/>
                <w:sz w:val="24"/>
                <w:highlight w:val="none"/>
              </w:rPr>
            </w:pPr>
          </w:p>
        </w:tc>
        <w:tc>
          <w:tcPr>
            <w:tcW w:w="2880" w:type="dxa"/>
            <w:vAlign w:val="center"/>
          </w:tcPr>
          <w:p>
            <w:pPr>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c>
          <w:tcPr>
            <w:tcW w:w="1080" w:type="dxa"/>
            <w:vAlign w:val="center"/>
          </w:tcPr>
          <w:p>
            <w:pPr>
              <w:spacing w:line="360" w:lineRule="auto"/>
              <w:jc w:val="center"/>
              <w:rPr>
                <w:rFonts w:hint="eastAsia" w:ascii="仿宋" w:hAnsi="仿宋" w:eastAsia="仿宋" w:cs="Arial"/>
                <w:sz w:val="24"/>
                <w:highlight w:val="none"/>
              </w:rPr>
            </w:pPr>
          </w:p>
        </w:tc>
      </w:tr>
    </w:tbl>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注:（</w:t>
      </w:r>
      <w:r>
        <w:rPr>
          <w:rFonts w:ascii="仿宋" w:hAnsi="仿宋" w:eastAsia="仿宋"/>
          <w:sz w:val="28"/>
          <w:szCs w:val="28"/>
          <w:highlight w:val="none"/>
        </w:rPr>
        <w:t>1</w:t>
      </w:r>
      <w:r>
        <w:rPr>
          <w:rFonts w:hint="eastAsia" w:ascii="仿宋" w:hAnsi="仿宋" w:eastAsia="仿宋"/>
          <w:sz w:val="28"/>
          <w:szCs w:val="28"/>
          <w:highlight w:val="none"/>
        </w:rPr>
        <w:t>）是否偏离用符号</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分别表示正偏离、完全响应、负偏离。</w:t>
      </w:r>
      <w:r>
        <w:rPr>
          <w:rFonts w:ascii="仿宋" w:hAnsi="仿宋" w:eastAsia="仿宋"/>
          <w:sz w:val="28"/>
          <w:szCs w:val="28"/>
          <w:highlight w:val="none"/>
        </w:rPr>
        <w:t xml:space="preserve"> </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（2）供应商必须仔细阅读本磋商文件第五章中所有服务条款和相关要求，并将响应情况及偏离情况逐项填入上表，响应时不得对原有服务进行直接复制粘贴及简单表述为完全响应。</w:t>
      </w:r>
    </w:p>
    <w:p>
      <w:pPr>
        <w:spacing w:line="440" w:lineRule="exact"/>
        <w:ind w:firstLine="2875"/>
        <w:rPr>
          <w:rFonts w:hint="eastAsia" w:ascii="仿宋" w:hAnsi="仿宋" w:eastAsia="仿宋"/>
          <w:b/>
          <w:sz w:val="32"/>
          <w:szCs w:val="32"/>
          <w:highlight w:val="none"/>
        </w:rPr>
      </w:pPr>
    </w:p>
    <w:p>
      <w:pPr>
        <w:spacing w:line="440" w:lineRule="exact"/>
        <w:ind w:firstLine="2875"/>
        <w:rPr>
          <w:rFonts w:hint="eastAsia" w:ascii="仿宋" w:hAnsi="仿宋" w:eastAsia="仿宋"/>
          <w:b/>
          <w:sz w:val="32"/>
          <w:szCs w:val="32"/>
          <w:highlight w:val="none"/>
        </w:rPr>
      </w:pPr>
    </w:p>
    <w:p>
      <w:pPr>
        <w:spacing w:line="440" w:lineRule="exact"/>
        <w:ind w:firstLine="2875"/>
        <w:rPr>
          <w:rFonts w:hint="eastAsia" w:ascii="仿宋" w:hAnsi="仿宋" w:eastAsia="仿宋"/>
          <w:b/>
          <w:sz w:val="32"/>
          <w:szCs w:val="32"/>
          <w:highlight w:val="none"/>
        </w:rPr>
      </w:pPr>
    </w:p>
    <w:p>
      <w:pPr>
        <w:spacing w:line="440" w:lineRule="exact"/>
        <w:rPr>
          <w:rFonts w:hint="eastAsia" w:ascii="仿宋" w:hAnsi="仿宋" w:eastAsia="仿宋"/>
          <w:b/>
          <w:sz w:val="32"/>
          <w:szCs w:val="32"/>
          <w:highlight w:val="none"/>
        </w:rPr>
      </w:pPr>
    </w:p>
    <w:p>
      <w:pPr>
        <w:spacing w:line="440" w:lineRule="exact"/>
        <w:ind w:firstLine="3855"/>
        <w:rPr>
          <w:rFonts w:hint="eastAsia" w:ascii="仿宋" w:hAnsi="仿宋" w:eastAsia="仿宋"/>
          <w:b/>
          <w:bCs/>
          <w:sz w:val="32"/>
          <w:szCs w:val="32"/>
          <w:highlight w:val="none"/>
        </w:rPr>
      </w:pPr>
      <w:r>
        <w:rPr>
          <w:rFonts w:hint="eastAsia" w:ascii="仿宋" w:hAnsi="仿宋" w:eastAsia="仿宋"/>
          <w:b/>
          <w:sz w:val="32"/>
          <w:szCs w:val="32"/>
          <w:highlight w:val="none"/>
        </w:rPr>
        <w:t>四、人员配备表</w:t>
      </w:r>
    </w:p>
    <w:tbl>
      <w:tblPr>
        <w:tblStyle w:val="36"/>
        <w:tblW w:w="97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jc w:val="center"/>
        </w:trPr>
        <w:tc>
          <w:tcPr>
            <w:tcW w:w="1072" w:type="dxa"/>
            <w:vAlign w:val="center"/>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1076" w:type="dxa"/>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姓名</w:t>
            </w:r>
          </w:p>
        </w:tc>
        <w:tc>
          <w:tcPr>
            <w:tcW w:w="1076" w:type="dxa"/>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性别</w:t>
            </w:r>
          </w:p>
        </w:tc>
        <w:tc>
          <w:tcPr>
            <w:tcW w:w="1076" w:type="dxa"/>
            <w:vAlign w:val="center"/>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年龄</w:t>
            </w:r>
          </w:p>
        </w:tc>
        <w:tc>
          <w:tcPr>
            <w:tcW w:w="1215" w:type="dxa"/>
            <w:vAlign w:val="center"/>
          </w:tcPr>
          <w:p>
            <w:pPr>
              <w:spacing w:line="520" w:lineRule="exact"/>
              <w:ind w:firstLine="140"/>
              <w:rPr>
                <w:rFonts w:hint="eastAsia" w:ascii="仿宋" w:hAnsi="仿宋" w:eastAsia="仿宋" w:cs="仿宋"/>
                <w:sz w:val="28"/>
                <w:szCs w:val="28"/>
                <w:highlight w:val="none"/>
              </w:rPr>
            </w:pPr>
            <w:r>
              <w:rPr>
                <w:rFonts w:hint="eastAsia" w:ascii="仿宋" w:hAnsi="仿宋" w:eastAsia="仿宋" w:cs="仿宋"/>
                <w:sz w:val="28"/>
                <w:szCs w:val="28"/>
                <w:highlight w:val="none"/>
              </w:rPr>
              <w:t>学历</w:t>
            </w:r>
          </w:p>
        </w:tc>
        <w:tc>
          <w:tcPr>
            <w:tcW w:w="1121" w:type="dxa"/>
            <w:vAlign w:val="center"/>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职称</w:t>
            </w:r>
          </w:p>
        </w:tc>
        <w:tc>
          <w:tcPr>
            <w:tcW w:w="1490" w:type="dxa"/>
            <w:vAlign w:val="center"/>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相关证书</w:t>
            </w:r>
          </w:p>
        </w:tc>
        <w:tc>
          <w:tcPr>
            <w:tcW w:w="1624" w:type="dxa"/>
            <w:vAlign w:val="center"/>
          </w:tcPr>
          <w:p>
            <w:pPr>
              <w:spacing w:line="52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拟任岗位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076" w:type="dxa"/>
          </w:tcPr>
          <w:p>
            <w:pPr>
              <w:spacing w:line="520" w:lineRule="exact"/>
              <w:rPr>
                <w:rFonts w:hint="eastAsia" w:ascii="仿宋" w:hAnsi="仿宋" w:eastAsia="仿宋" w:cs="仿宋"/>
                <w:sz w:val="28"/>
                <w:szCs w:val="28"/>
                <w:highlight w:val="none"/>
              </w:rPr>
            </w:pPr>
          </w:p>
        </w:tc>
        <w:tc>
          <w:tcPr>
            <w:tcW w:w="1215" w:type="dxa"/>
          </w:tcPr>
          <w:p>
            <w:pPr>
              <w:spacing w:line="520" w:lineRule="exact"/>
              <w:rPr>
                <w:rFonts w:hint="eastAsia" w:ascii="仿宋" w:hAnsi="仿宋" w:eastAsia="仿宋" w:cs="仿宋"/>
                <w:sz w:val="28"/>
                <w:szCs w:val="28"/>
                <w:highlight w:val="none"/>
              </w:rPr>
            </w:pPr>
          </w:p>
        </w:tc>
        <w:tc>
          <w:tcPr>
            <w:tcW w:w="1121" w:type="dxa"/>
          </w:tcPr>
          <w:p>
            <w:pPr>
              <w:spacing w:line="520" w:lineRule="exact"/>
              <w:rPr>
                <w:rFonts w:hint="eastAsia" w:ascii="仿宋" w:hAnsi="仿宋" w:eastAsia="仿宋" w:cs="仿宋"/>
                <w:sz w:val="28"/>
                <w:szCs w:val="28"/>
                <w:highlight w:val="none"/>
              </w:rPr>
            </w:pPr>
          </w:p>
        </w:tc>
        <w:tc>
          <w:tcPr>
            <w:tcW w:w="1490" w:type="dxa"/>
          </w:tcPr>
          <w:p>
            <w:pPr>
              <w:spacing w:line="520" w:lineRule="exact"/>
              <w:rPr>
                <w:rFonts w:hint="eastAsia" w:ascii="仿宋" w:hAnsi="仿宋" w:eastAsia="仿宋" w:cs="仿宋"/>
                <w:sz w:val="28"/>
                <w:szCs w:val="28"/>
                <w:highlight w:val="none"/>
              </w:rPr>
            </w:pPr>
          </w:p>
        </w:tc>
        <w:tc>
          <w:tcPr>
            <w:tcW w:w="1624" w:type="dxa"/>
          </w:tcPr>
          <w:p>
            <w:pPr>
              <w:spacing w:line="520" w:lineRule="exact"/>
              <w:rPr>
                <w:rFonts w:hint="eastAsia" w:ascii="仿宋" w:hAnsi="仿宋" w:eastAsia="仿宋" w:cs="仿宋"/>
                <w:sz w:val="28"/>
                <w:szCs w:val="28"/>
                <w:highlight w:val="none"/>
              </w:rPr>
            </w:pPr>
          </w:p>
        </w:tc>
      </w:tr>
    </w:tbl>
    <w:p>
      <w:pPr>
        <w:spacing w:line="440" w:lineRule="exact"/>
        <w:ind w:firstLine="3357"/>
        <w:rPr>
          <w:rFonts w:hint="eastAsia" w:ascii="仿宋" w:hAnsi="仿宋" w:eastAsia="仿宋"/>
          <w:b/>
          <w:bCs/>
          <w:sz w:val="32"/>
          <w:szCs w:val="32"/>
          <w:highlight w:val="none"/>
        </w:rPr>
      </w:pPr>
    </w:p>
    <w:p>
      <w:pPr>
        <w:spacing w:line="440" w:lineRule="exact"/>
        <w:rPr>
          <w:rFonts w:hint="eastAsia" w:ascii="仿宋" w:hAnsi="仿宋" w:eastAsia="仿宋"/>
          <w:sz w:val="28"/>
          <w:szCs w:val="28"/>
          <w:highlight w:val="none"/>
          <w:u w:val="single"/>
        </w:rPr>
      </w:pPr>
      <w:r>
        <w:rPr>
          <w:rFonts w:hint="eastAsia" w:ascii="仿宋" w:hAnsi="仿宋" w:eastAsia="仿宋"/>
          <w:sz w:val="28"/>
          <w:szCs w:val="28"/>
          <w:highlight w:val="none"/>
        </w:rPr>
        <w:t>投标人:</w:t>
      </w:r>
      <w:r>
        <w:rPr>
          <w:rFonts w:hint="eastAsia" w:ascii="仿宋" w:hAnsi="仿宋" w:eastAsia="仿宋"/>
          <w:sz w:val="28"/>
          <w:szCs w:val="28"/>
          <w:highlight w:val="none"/>
          <w:u w:val="single"/>
        </w:rPr>
        <w:t xml:space="preserve">        （电子签章）      </w:t>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pPr>
        <w:spacing w:line="440" w:lineRule="exact"/>
        <w:ind w:firstLine="3357"/>
        <w:rPr>
          <w:rFonts w:hint="eastAsia" w:ascii="仿宋" w:hAnsi="仿宋" w:eastAsia="仿宋"/>
          <w:b/>
          <w:bCs/>
          <w:sz w:val="32"/>
          <w:szCs w:val="32"/>
          <w:highlight w:val="none"/>
        </w:rPr>
      </w:pPr>
    </w:p>
    <w:p>
      <w:pPr>
        <w:spacing w:line="520" w:lineRule="exact"/>
        <w:rPr>
          <w:rFonts w:hint="eastAsia" w:ascii="仿宋" w:hAnsi="仿宋" w:eastAsia="仿宋"/>
          <w:b/>
          <w:bCs/>
          <w:sz w:val="32"/>
          <w:szCs w:val="32"/>
          <w:highlight w:val="none"/>
        </w:rPr>
      </w:pPr>
    </w:p>
    <w:p>
      <w:pPr>
        <w:spacing w:line="520" w:lineRule="exact"/>
        <w:rPr>
          <w:rFonts w:hint="eastAsia" w:ascii="仿宋" w:hAnsi="仿宋" w:eastAsia="仿宋"/>
          <w:b/>
          <w:bCs/>
          <w:sz w:val="32"/>
          <w:szCs w:val="32"/>
          <w:highlight w:val="none"/>
        </w:rPr>
      </w:pP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五、资质审查时供应商必须提交的资格证明文件</w:t>
      </w:r>
    </w:p>
    <w:p>
      <w:pPr>
        <w:pStyle w:val="205"/>
        <w:spacing w:line="520" w:lineRule="exact"/>
        <w:ind w:firstLine="551"/>
        <w:rPr>
          <w:rFonts w:hint="eastAsia" w:ascii="仿宋" w:hAnsi="仿宋" w:eastAsia="仿宋"/>
          <w:b/>
          <w:bCs/>
          <w:sz w:val="32"/>
          <w:szCs w:val="32"/>
          <w:highlight w:val="none"/>
        </w:rPr>
      </w:pPr>
      <w:r>
        <w:rPr>
          <w:rFonts w:hint="eastAsia" w:ascii="仿宋" w:hAnsi="仿宋" w:eastAsia="仿宋"/>
          <w:sz w:val="28"/>
          <w:szCs w:val="28"/>
          <w:highlight w:val="none"/>
        </w:rPr>
        <w:t>1、供应商提供下列材料之一:</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（1）</w:t>
      </w:r>
      <w:r>
        <w:rPr>
          <w:rFonts w:hint="eastAsia" w:ascii="仿宋" w:hAnsi="仿宋" w:eastAsia="仿宋" w:cs="Arial"/>
          <w:bCs/>
          <w:sz w:val="28"/>
          <w:szCs w:val="28"/>
          <w:highlight w:val="none"/>
        </w:rPr>
        <w:t>法定代表人资格证明</w:t>
      </w:r>
      <w:r>
        <w:rPr>
          <w:rFonts w:hint="eastAsia" w:ascii="仿宋" w:hAnsi="仿宋" w:eastAsia="仿宋"/>
          <w:sz w:val="28"/>
          <w:highlight w:val="none"/>
        </w:rPr>
        <w:t>（格式详见示范格式一）和</w:t>
      </w:r>
      <w:r>
        <w:rPr>
          <w:rFonts w:hint="eastAsia" w:ascii="仿宋" w:hAnsi="仿宋" w:eastAsia="仿宋"/>
          <w:bCs/>
          <w:sz w:val="28"/>
          <w:highlight w:val="none"/>
        </w:rPr>
        <w:t>法定代表人</w:t>
      </w:r>
      <w:r>
        <w:rPr>
          <w:rFonts w:hint="eastAsia" w:ascii="仿宋" w:hAnsi="仿宋" w:eastAsia="仿宋"/>
          <w:bCs/>
          <w:sz w:val="28"/>
          <w:szCs w:val="28"/>
          <w:highlight w:val="none"/>
        </w:rPr>
        <w:t>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pPr>
        <w:spacing w:line="520" w:lineRule="exact"/>
        <w:ind w:firstLine="420"/>
        <w:rPr>
          <w:rFonts w:hint="eastAsia" w:ascii="仿宋" w:hAnsi="仿宋" w:eastAsia="仿宋"/>
          <w:sz w:val="28"/>
          <w:highlight w:val="none"/>
        </w:rPr>
      </w:pPr>
      <w:r>
        <w:rPr>
          <w:rFonts w:hint="eastAsia" w:ascii="仿宋" w:hAnsi="仿宋" w:eastAsia="仿宋"/>
          <w:sz w:val="28"/>
          <w:highlight w:val="none"/>
        </w:rPr>
        <w:t>（2）授权委托书（格式详见示范格式二）和</w:t>
      </w:r>
      <w:r>
        <w:rPr>
          <w:rFonts w:hint="eastAsia" w:ascii="仿宋" w:hAnsi="仿宋" w:eastAsia="仿宋"/>
          <w:bCs/>
          <w:sz w:val="28"/>
          <w:szCs w:val="28"/>
          <w:highlight w:val="none"/>
        </w:rPr>
        <w:t>受托人身份证（加盖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pPr>
        <w:spacing w:line="520" w:lineRule="exact"/>
        <w:ind w:firstLine="700"/>
        <w:rPr>
          <w:rFonts w:hint="eastAsia" w:ascii="仿宋" w:hAnsi="仿宋" w:eastAsia="仿宋"/>
          <w:sz w:val="28"/>
          <w:highlight w:val="none"/>
          <w:lang w:val="zh-CN"/>
        </w:rPr>
      </w:pPr>
      <w:r>
        <w:rPr>
          <w:rFonts w:hint="eastAsia" w:ascii="仿宋" w:hAnsi="仿宋" w:eastAsia="仿宋"/>
          <w:sz w:val="28"/>
          <w:highlight w:val="none"/>
        </w:rPr>
        <w:t>2、供应商符合《中华人民共和国政府采购法》第二十二条规定条件的承诺函</w:t>
      </w:r>
      <w:r>
        <w:rPr>
          <w:rFonts w:hint="eastAsia" w:ascii="仿宋" w:hAnsi="仿宋" w:eastAsia="仿宋"/>
          <w:sz w:val="28"/>
          <w:highlight w:val="none"/>
          <w:lang w:val="zh-CN"/>
        </w:rPr>
        <w:t>（</w:t>
      </w:r>
      <w:r>
        <w:rPr>
          <w:rFonts w:hint="eastAsia" w:ascii="仿宋" w:hAnsi="仿宋" w:eastAsia="仿宋"/>
          <w:sz w:val="28"/>
          <w:highlight w:val="none"/>
        </w:rPr>
        <w:t>格式详见示范格式三</w:t>
      </w:r>
      <w:r>
        <w:rPr>
          <w:rFonts w:hint="eastAsia" w:ascii="仿宋" w:hAnsi="仿宋" w:eastAsia="仿宋"/>
          <w:sz w:val="28"/>
          <w:highlight w:val="none"/>
          <w:lang w:val="zh-CN"/>
        </w:rPr>
        <w:t>）；</w:t>
      </w:r>
    </w:p>
    <w:p>
      <w:pPr>
        <w:spacing w:line="520" w:lineRule="exact"/>
        <w:ind w:firstLine="700"/>
        <w:rPr>
          <w:rFonts w:hint="eastAsia" w:ascii="仿宋" w:hAnsi="仿宋" w:eastAsia="仿宋"/>
          <w:sz w:val="28"/>
          <w:szCs w:val="28"/>
          <w:highlight w:val="none"/>
        </w:rPr>
      </w:pPr>
      <w:r>
        <w:rPr>
          <w:rFonts w:hint="eastAsia" w:ascii="仿宋" w:hAnsi="仿宋" w:eastAsia="仿宋"/>
          <w:sz w:val="28"/>
          <w:highlight w:val="none"/>
          <w:lang w:val="zh-CN"/>
        </w:rPr>
        <w:t>3、</w:t>
      </w:r>
      <w:r>
        <w:rPr>
          <w:rFonts w:hint="eastAsia" w:ascii="仿宋" w:hAnsi="仿宋" w:eastAsia="仿宋"/>
          <w:sz w:val="28"/>
          <w:szCs w:val="28"/>
          <w:highlight w:val="none"/>
        </w:rPr>
        <w:t>落实政府采购政策需满足的资格要求（提供下列任一项材料即可，</w:t>
      </w:r>
      <w:r>
        <w:rPr>
          <w:rFonts w:hint="eastAsia" w:ascii="仿宋" w:hAnsi="仿宋" w:eastAsia="仿宋"/>
          <w:sz w:val="28"/>
          <w:szCs w:val="28"/>
          <w:highlight w:val="none"/>
          <w:lang w:val="zh-CN"/>
        </w:rPr>
        <w:t>非专门面向中小企业或者预留份额的采购项目，本项无需提供</w:t>
      </w:r>
      <w:r>
        <w:rPr>
          <w:rFonts w:hint="eastAsia" w:ascii="仿宋" w:hAnsi="仿宋" w:eastAsia="仿宋"/>
          <w:sz w:val="28"/>
          <w:szCs w:val="28"/>
          <w:highlight w:val="none"/>
        </w:rPr>
        <w:t>）:</w:t>
      </w:r>
    </w:p>
    <w:p>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（1）企业声明函（详见示范格式四）；</w:t>
      </w:r>
    </w:p>
    <w:p>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（2）《残疾人福利性单位声明函》（详见示范格式五）；</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（3）由省级以上监狱管理局、戒毒管理局（含新疆生产建设兵团）出具的属于监狱企业的证明文件）（加盖出具单位公章的电子件）。</w:t>
      </w:r>
    </w:p>
    <w:p>
      <w:pPr>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4</w:t>
      </w:r>
      <w:r>
        <w:rPr>
          <w:rFonts w:hint="eastAsia" w:ascii="仿宋" w:hAnsi="仿宋" w:eastAsia="仿宋"/>
          <w:color w:val="000000"/>
          <w:sz w:val="28"/>
          <w:szCs w:val="28"/>
          <w:highlight w:val="none"/>
          <w:lang w:val="zh-CN"/>
        </w:rPr>
        <w:t>、</w:t>
      </w:r>
      <w:r>
        <w:rPr>
          <w:rFonts w:hint="eastAsia" w:ascii="仿宋" w:hAnsi="仿宋" w:eastAsia="仿宋"/>
          <w:sz w:val="28"/>
          <w:szCs w:val="28"/>
          <w:highlight w:val="none"/>
        </w:rPr>
        <w:t>根据本项目的特定资格要求，</w:t>
      </w:r>
      <w:r>
        <w:rPr>
          <w:rFonts w:hint="eastAsia" w:ascii="仿宋" w:hAnsi="仿宋" w:eastAsia="仿宋"/>
          <w:color w:val="000000"/>
          <w:sz w:val="28"/>
          <w:szCs w:val="28"/>
          <w:highlight w:val="none"/>
          <w:lang w:val="zh-CN"/>
        </w:rPr>
        <w:t>供应商还须提供下列资料</w:t>
      </w:r>
      <w:r>
        <w:rPr>
          <w:rFonts w:hint="eastAsia" w:ascii="仿宋" w:hAnsi="仿宋" w:eastAsia="仿宋"/>
          <w:sz w:val="28"/>
          <w:szCs w:val="28"/>
          <w:highlight w:val="none"/>
        </w:rPr>
        <w:t>:无</w:t>
      </w:r>
    </w:p>
    <w:p>
      <w:pPr>
        <w:spacing w:line="520" w:lineRule="exact"/>
        <w:ind w:firstLine="560"/>
        <w:rPr>
          <w:rFonts w:hint="eastAsia" w:ascii="仿宋" w:hAnsi="仿宋" w:eastAsia="仿宋"/>
          <w:sz w:val="28"/>
          <w:szCs w:val="28"/>
          <w:highlight w:val="none"/>
        </w:rPr>
      </w:pPr>
    </w:p>
    <w:p>
      <w:pPr>
        <w:spacing w:line="520" w:lineRule="exact"/>
        <w:ind w:firstLine="548"/>
        <w:rPr>
          <w:rFonts w:hint="eastAsia" w:ascii="仿宋" w:hAnsi="仿宋" w:eastAsia="仿宋"/>
          <w:sz w:val="28"/>
          <w:szCs w:val="28"/>
          <w:highlight w:val="none"/>
        </w:rPr>
      </w:pPr>
    </w:p>
    <w:p>
      <w:pPr>
        <w:spacing w:line="520" w:lineRule="exact"/>
        <w:ind w:firstLine="548"/>
        <w:rPr>
          <w:rFonts w:hint="eastAsia" w:ascii="仿宋" w:hAnsi="仿宋" w:eastAsia="仿宋"/>
          <w:bCs/>
          <w:sz w:val="28"/>
          <w:highlight w:val="none"/>
        </w:rPr>
      </w:pPr>
    </w:p>
    <w:p>
      <w:pPr>
        <w:spacing w:line="520" w:lineRule="exact"/>
        <w:ind w:firstLine="548"/>
        <w:rPr>
          <w:rFonts w:hint="eastAsia" w:ascii="仿宋" w:hAnsi="仿宋" w:eastAsia="仿宋" w:cs="Arial"/>
          <w:bCs/>
          <w:sz w:val="28"/>
          <w:highlight w:val="none"/>
        </w:rPr>
      </w:pPr>
    </w:p>
    <w:p>
      <w:pPr>
        <w:spacing w:line="520" w:lineRule="exact"/>
        <w:rPr>
          <w:rFonts w:hint="eastAsia" w:ascii="仿宋" w:hAnsi="仿宋" w:eastAsia="仿宋" w:cs="Arial"/>
          <w:bCs/>
          <w:sz w:val="28"/>
          <w:highlight w:val="none"/>
        </w:rPr>
      </w:pPr>
    </w:p>
    <w:p>
      <w:pPr>
        <w:spacing w:line="520" w:lineRule="exact"/>
        <w:ind w:firstLine="548"/>
        <w:rPr>
          <w:rFonts w:hint="eastAsia" w:ascii="仿宋" w:hAnsi="仿宋" w:eastAsia="仿宋" w:cs="Arial"/>
          <w:bCs/>
          <w:sz w:val="28"/>
          <w:highlight w:val="none"/>
        </w:rPr>
      </w:pPr>
    </w:p>
    <w:p>
      <w:pPr>
        <w:widowControl/>
        <w:spacing w:line="520" w:lineRule="exact"/>
        <w:ind w:firstLine="1269"/>
        <w:jc w:val="left"/>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六、综合评分时供应商需提供的证明文件</w:t>
      </w:r>
    </w:p>
    <w:p>
      <w:pPr>
        <w:spacing w:line="520" w:lineRule="exact"/>
        <w:ind w:firstLine="840"/>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（供应商根据第三章评标标准的要求提供相关材料）</w:t>
      </w: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p>
    <w:p>
      <w:pPr>
        <w:widowControl/>
        <w:spacing w:line="520" w:lineRule="exact"/>
        <w:jc w:val="both"/>
        <w:rPr>
          <w:rFonts w:hint="eastAsia" w:ascii="仿宋" w:hAnsi="仿宋" w:eastAsia="仿宋" w:cs="Arial"/>
          <w:b/>
          <w:bCs/>
          <w:sz w:val="32"/>
          <w:highlight w:val="none"/>
        </w:rPr>
      </w:pPr>
    </w:p>
    <w:p>
      <w:pPr>
        <w:widowControl/>
        <w:spacing w:line="520" w:lineRule="exact"/>
        <w:jc w:val="center"/>
        <w:rPr>
          <w:rFonts w:hint="eastAsia" w:ascii="仿宋" w:hAnsi="仿宋" w:eastAsia="仿宋" w:cs="Arial"/>
          <w:b/>
          <w:bCs/>
          <w:sz w:val="32"/>
          <w:highlight w:val="none"/>
        </w:rPr>
      </w:pPr>
      <w:r>
        <w:rPr>
          <w:rFonts w:hint="eastAsia" w:ascii="仿宋" w:hAnsi="仿宋" w:eastAsia="仿宋" w:cs="Arial"/>
          <w:b/>
          <w:bCs/>
          <w:sz w:val="32"/>
          <w:highlight w:val="none"/>
        </w:rPr>
        <w:t>七、供应商认为需提供的其他材料</w:t>
      </w:r>
    </w:p>
    <w:p>
      <w:pPr>
        <w:spacing w:line="520" w:lineRule="exact"/>
        <w:ind w:firstLine="840"/>
        <w:rPr>
          <w:rFonts w:hint="eastAsia" w:ascii="仿宋" w:hAnsi="仿宋" w:eastAsia="仿宋" w:cs="楷体_GB2312"/>
          <w:sz w:val="28"/>
          <w:szCs w:val="28"/>
          <w:highlight w:val="none"/>
          <w:lang w:val="zh-CN"/>
        </w:rPr>
      </w:pPr>
    </w:p>
    <w:p>
      <w:pPr>
        <w:widowControl/>
        <w:spacing w:line="520" w:lineRule="exact"/>
        <w:ind w:firstLine="560"/>
        <w:jc w:val="left"/>
        <w:rPr>
          <w:rFonts w:hint="eastAsia" w:ascii="仿宋" w:hAnsi="仿宋" w:eastAsia="仿宋" w:cs="楷体_GB2312"/>
          <w:sz w:val="28"/>
          <w:szCs w:val="28"/>
          <w:highlight w:val="none"/>
          <w:lang w:val="zh-CN"/>
        </w:rPr>
      </w:pPr>
    </w:p>
    <w:p>
      <w:pPr>
        <w:spacing w:line="440" w:lineRule="exact"/>
        <w:ind w:firstLine="2877"/>
        <w:rPr>
          <w:rFonts w:hint="eastAsia" w:ascii="宋体" w:hAnsi="宋体"/>
          <w:b/>
          <w:sz w:val="36"/>
          <w:highlight w:val="none"/>
        </w:rPr>
      </w:pPr>
      <w:bookmarkStart w:id="46" w:name="_Toc157775454"/>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rPr>
          <w:rFonts w:hint="eastAsia" w:ascii="宋体" w:hAnsi="宋体"/>
          <w:b/>
          <w:sz w:val="36"/>
          <w:highlight w:val="none"/>
        </w:rPr>
      </w:pPr>
    </w:p>
    <w:p>
      <w:pPr>
        <w:spacing w:line="440" w:lineRule="exact"/>
        <w:ind w:firstLine="2877"/>
        <w:rPr>
          <w:rFonts w:hint="eastAsia" w:ascii="宋体" w:hAnsi="宋体"/>
          <w:b/>
          <w:sz w:val="36"/>
          <w:highlight w:val="none"/>
        </w:rPr>
      </w:pPr>
    </w:p>
    <w:p>
      <w:pPr>
        <w:spacing w:line="440" w:lineRule="exact"/>
        <w:ind w:firstLine="2557"/>
        <w:rPr>
          <w:rFonts w:hint="eastAsia" w:ascii="仿宋" w:hAnsi="仿宋" w:eastAsia="仿宋"/>
          <w:b/>
          <w:sz w:val="32"/>
          <w:szCs w:val="32"/>
          <w:highlight w:val="none"/>
        </w:rPr>
      </w:pPr>
      <w:r>
        <w:rPr>
          <w:rFonts w:hint="eastAsia" w:ascii="仿宋" w:hAnsi="仿宋" w:eastAsia="仿宋"/>
          <w:b/>
          <w:sz w:val="32"/>
          <w:szCs w:val="32"/>
          <w:highlight w:val="none"/>
        </w:rPr>
        <w:t>八、示范格式</w:t>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46"/>
    </w:p>
    <w:p>
      <w:pPr>
        <w:spacing w:line="440" w:lineRule="exact"/>
        <w:ind w:firstLine="2570"/>
        <w:rPr>
          <w:rFonts w:hint="eastAsia" w:ascii="仿宋" w:hAnsi="仿宋" w:eastAsia="仿宋" w:cs="Arial"/>
          <w:b/>
          <w:bCs/>
          <w:sz w:val="32"/>
          <w:highlight w:val="none"/>
        </w:rPr>
      </w:pPr>
    </w:p>
    <w:p>
      <w:pPr>
        <w:spacing w:line="640" w:lineRule="exact"/>
        <w:ind w:firstLine="2891"/>
        <w:rPr>
          <w:rFonts w:hint="eastAsia"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（供应商单位名称）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项目，签署上述项目的响应文件、进行招标、签署合同和处理与之有关的一切事务。</w:t>
      </w:r>
    </w:p>
    <w:p>
      <w:pPr>
        <w:spacing w:line="640" w:lineRule="exact"/>
        <w:rPr>
          <w:rFonts w:hint="eastAsia" w:ascii="仿宋" w:hAnsi="仿宋" w:eastAsia="仿宋" w:cs="楷体_GB2312"/>
          <w:sz w:val="28"/>
          <w:szCs w:val="28"/>
          <w:highlight w:val="none"/>
          <w:lang w:val="zh-CN"/>
        </w:rPr>
      </w:pPr>
    </w:p>
    <w:p>
      <w:pPr>
        <w:spacing w:line="640" w:lineRule="exact"/>
        <w:ind w:firstLine="280"/>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r>
        <w:rPr>
          <w:rFonts w:ascii="仿宋" w:hAnsi="仿宋" w:eastAsia="仿宋" w:cs="楷体_GB2312"/>
          <w:sz w:val="28"/>
          <w:szCs w:val="28"/>
          <w:highlight w:val="none"/>
          <w:lang w:val="zh-CN"/>
        </w:rPr>
        <w:t xml:space="preserve">                     </w:t>
      </w:r>
    </w:p>
    <w:p>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sz w:val="28"/>
          <w:highlight w:val="none"/>
        </w:rPr>
        <w:t>注:供应商法定代表人</w:t>
      </w:r>
      <w:r>
        <w:rPr>
          <w:rFonts w:hint="eastAsia" w:ascii="仿宋" w:hAnsi="仿宋" w:eastAsia="仿宋"/>
          <w:bCs/>
          <w:color w:val="000000"/>
          <w:sz w:val="28"/>
          <w:szCs w:val="28"/>
          <w:highlight w:val="none"/>
        </w:rPr>
        <w:t>参加磋商的，必须附</w:t>
      </w:r>
      <w:r>
        <w:rPr>
          <w:rFonts w:hint="eastAsia" w:ascii="仿宋" w:hAnsi="仿宋" w:eastAsia="仿宋"/>
          <w:bCs/>
          <w:sz w:val="28"/>
          <w:highlight w:val="none"/>
        </w:rPr>
        <w:t>法定代表人</w:t>
      </w:r>
      <w:r>
        <w:rPr>
          <w:rFonts w:hint="eastAsia" w:ascii="仿宋" w:hAnsi="仿宋" w:eastAsia="仿宋"/>
          <w:bCs/>
          <w:color w:val="000000"/>
          <w:sz w:val="28"/>
          <w:szCs w:val="28"/>
          <w:highlight w:val="none"/>
        </w:rPr>
        <w:t>身份证扫描件。</w:t>
      </w:r>
      <w:r>
        <w:rPr>
          <w:rFonts w:hint="eastAsia" w:ascii="仿宋" w:hAnsi="仿宋" w:eastAsia="仿宋"/>
          <w:color w:val="000000"/>
          <w:sz w:val="28"/>
          <w:szCs w:val="28"/>
          <w:highlight w:val="none"/>
        </w:rPr>
        <w:t>法定代表人授权其他人参加磋商的，仅需填写“授权委托书”。</w:t>
      </w:r>
    </w:p>
    <w:p>
      <w:pPr>
        <w:spacing w:line="640" w:lineRule="exact"/>
        <w:rPr>
          <w:rFonts w:hint="eastAsia" w:ascii="仿宋" w:hAnsi="仿宋" w:eastAsia="仿宋"/>
          <w:b/>
          <w:sz w:val="32"/>
          <w:highlight w:val="none"/>
        </w:rPr>
      </w:pPr>
    </w:p>
    <w:p>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sz w:val="32"/>
          <w:highlight w:val="none"/>
        </w:rPr>
        <w:t>示范格式二</w:t>
      </w:r>
    </w:p>
    <w:p>
      <w:pPr>
        <w:spacing w:line="520" w:lineRule="exact"/>
        <w:ind w:firstLine="3213"/>
        <w:rPr>
          <w:rFonts w:hint="eastAsia" w:ascii="仿宋" w:hAnsi="仿宋" w:eastAsia="仿宋"/>
          <w:b/>
          <w:bCs/>
          <w:sz w:val="28"/>
          <w:highlight w:val="none"/>
        </w:rPr>
      </w:pPr>
      <w:r>
        <w:rPr>
          <w:rFonts w:hint="eastAsia" w:ascii="仿宋" w:hAnsi="仿宋" w:eastAsia="仿宋"/>
          <w:b/>
          <w:bCs/>
          <w:sz w:val="32"/>
          <w:highlight w:val="none"/>
        </w:rPr>
        <w:t>授权委托书</w:t>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致盱眙县人民法院 :</w:t>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u w:val="single"/>
        </w:rPr>
        <w:t xml:space="preserve">          </w:t>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u w:val="single"/>
        </w:rPr>
        <w:t xml:space="preserve">           </w:t>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代表我公司参加盱眙县人民法院 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采购项目的政府采购活动，受托人有权在该招标活动中，以我单位的名义签署磋商函和响应文件，与采购人协商、澄清、解释，签订合同书并执行一切与此有关的事项。</w:t>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委托期限:至上述事宜处理完毕止。</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pPr>
        <w:spacing w:line="520" w:lineRule="exact"/>
        <w:ind w:left="-359" w:firstLine="548"/>
        <w:rPr>
          <w:rFonts w:hint="eastAsia" w:ascii="仿宋" w:hAnsi="仿宋" w:eastAsia="仿宋"/>
          <w:bCs/>
          <w:sz w:val="28"/>
          <w:highlight w:val="none"/>
        </w:rPr>
      </w:pPr>
    </w:p>
    <w:p>
      <w:pPr>
        <w:spacing w:line="520" w:lineRule="exact"/>
        <w:ind w:firstLine="560"/>
        <w:rPr>
          <w:rFonts w:hint="eastAsia" w:ascii="仿宋" w:hAnsi="仿宋" w:eastAsia="仿宋"/>
          <w:color w:val="000000"/>
          <w:sz w:val="28"/>
          <w:szCs w:val="28"/>
          <w:highlight w:val="none"/>
        </w:rPr>
      </w:pPr>
      <w:r>
        <w:rPr>
          <w:rFonts w:hint="eastAsia" w:ascii="仿宋" w:hAnsi="仿宋" w:eastAsia="仿宋"/>
          <w:bCs/>
          <w:sz w:val="28"/>
          <w:highlight w:val="none"/>
        </w:rPr>
        <w:t>注:供应商委托</w:t>
      </w:r>
      <w:r>
        <w:rPr>
          <w:rFonts w:hint="eastAsia" w:ascii="仿宋" w:hAnsi="仿宋" w:eastAsia="仿宋"/>
          <w:bCs/>
          <w:color w:val="000000"/>
          <w:sz w:val="28"/>
          <w:szCs w:val="28"/>
          <w:highlight w:val="none"/>
        </w:rPr>
        <w:t>受托人参加磋商的，必须附受托人身份证</w:t>
      </w:r>
      <w:r>
        <w:rPr>
          <w:rFonts w:hint="eastAsia" w:ascii="仿宋" w:hAnsi="仿宋" w:eastAsia="仿宋"/>
          <w:sz w:val="28"/>
          <w:szCs w:val="28"/>
          <w:highlight w:val="none"/>
        </w:rPr>
        <w:t>扫描</w:t>
      </w:r>
      <w:r>
        <w:rPr>
          <w:rFonts w:hint="eastAsia" w:ascii="仿宋" w:hAnsi="仿宋" w:eastAsia="仿宋"/>
          <w:bCs/>
          <w:color w:val="000000"/>
          <w:sz w:val="28"/>
          <w:szCs w:val="28"/>
          <w:highlight w:val="none"/>
        </w:rPr>
        <w:t>件。</w:t>
      </w:r>
      <w:r>
        <w:rPr>
          <w:rFonts w:hint="eastAsia" w:ascii="仿宋" w:hAnsi="仿宋" w:eastAsia="仿宋"/>
          <w:color w:val="000000"/>
          <w:sz w:val="28"/>
          <w:szCs w:val="28"/>
          <w:highlight w:val="none"/>
        </w:rPr>
        <w:t>法定代表人直接参加磋商的，仅需填写“法定代表人资格证明”。</w:t>
      </w:r>
    </w:p>
    <w:p>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pPr>
        <w:rPr>
          <w:rFonts w:hint="eastAsia" w:ascii="仿宋" w:hAnsi="仿宋" w:eastAsia="仿宋"/>
          <w:b/>
          <w:sz w:val="32"/>
          <w:szCs w:val="32"/>
          <w:highlight w:val="none"/>
        </w:rPr>
      </w:pPr>
    </w:p>
    <w:p>
      <w:pPr>
        <w:spacing w:line="520" w:lineRule="exact"/>
        <w:jc w:val="center"/>
        <w:rPr>
          <w:rFonts w:hint="eastAsia" w:ascii="仿宋" w:hAnsi="仿宋" w:eastAsia="仿宋"/>
          <w:b/>
          <w:bCs/>
          <w:sz w:val="32"/>
          <w:highlight w:val="none"/>
        </w:rPr>
      </w:pPr>
      <w:r>
        <w:rPr>
          <w:rFonts w:hint="eastAsia" w:ascii="仿宋" w:hAnsi="仿宋" w:eastAsia="仿宋"/>
          <w:b/>
          <w:bCs/>
          <w:sz w:val="32"/>
          <w:highlight w:val="none"/>
        </w:rPr>
        <w:t>符合《中华人民共和国政府采购法》第二十二条规定条件的声明函</w:t>
      </w:r>
    </w:p>
    <w:p>
      <w:pPr>
        <w:spacing w:line="520" w:lineRule="exact"/>
        <w:ind w:firstLine="840"/>
        <w:rPr>
          <w:rFonts w:hint="eastAsia" w:ascii="仿宋" w:hAnsi="仿宋" w:eastAsia="仿宋"/>
          <w:color w:val="000000"/>
          <w:sz w:val="28"/>
          <w:szCs w:val="28"/>
          <w:highlight w:val="none"/>
        </w:rPr>
      </w:pPr>
    </w:p>
    <w:p>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w:t>
      </w:r>
      <w:r>
        <w:rPr>
          <w:rFonts w:hint="eastAsia" w:ascii="仿宋" w:hAnsi="仿宋" w:eastAsia="仿宋"/>
          <w:sz w:val="28"/>
          <w:szCs w:val="28"/>
          <w:highlight w:val="none"/>
        </w:rPr>
        <w:t>贵</w:t>
      </w:r>
      <w:r>
        <w:rPr>
          <w:rFonts w:hint="eastAsia" w:ascii="仿宋" w:hAnsi="仿宋" w:eastAsia="仿宋"/>
          <w:sz w:val="28"/>
          <w:szCs w:val="28"/>
          <w:highlight w:val="none"/>
          <w:lang w:val="en-US" w:eastAsia="zh-CN"/>
        </w:rPr>
        <w:t>单位</w:t>
      </w:r>
      <w:r>
        <w:rPr>
          <w:rFonts w:hint="eastAsia" w:ascii="仿宋" w:hAnsi="仿宋" w:eastAsia="仿宋"/>
          <w:sz w:val="28"/>
          <w:szCs w:val="28"/>
          <w:highlight w:val="none"/>
        </w:rPr>
        <w:t>组织实施</w:t>
      </w:r>
      <w:r>
        <w:rPr>
          <w:rFonts w:hint="eastAsia" w:ascii="仿宋" w:hAnsi="仿宋" w:eastAsia="仿宋"/>
          <w:color w:val="000000"/>
          <w:sz w:val="28"/>
          <w:szCs w:val="28"/>
          <w:highlight w:val="none"/>
        </w:rPr>
        <w:t>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1、我单位具有独立承担民事责任的能力；</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2、我单位具有良好的商业信誉和健全的财务会计制度；</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3、我单位具有履行合同所必需的设备和专业技术能力；</w:t>
      </w:r>
    </w:p>
    <w:p>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4、我单位有依法缴纳税收和社会保障资金的良好记录；</w:t>
      </w:r>
    </w:p>
    <w:p>
      <w:pPr>
        <w:spacing w:line="640" w:lineRule="exact"/>
        <w:ind w:firstLine="560"/>
        <w:jc w:val="lef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6、我单位满足法律、行政法规规定的其他条件。</w:t>
      </w:r>
    </w:p>
    <w:p>
      <w:pPr>
        <w:spacing w:line="520" w:lineRule="exact"/>
        <w:rPr>
          <w:rFonts w:hint="eastAsia" w:ascii="仿宋" w:hAnsi="仿宋" w:eastAsia="仿宋"/>
          <w:color w:val="000000"/>
          <w:sz w:val="28"/>
          <w:szCs w:val="28"/>
          <w:highlight w:val="none"/>
          <w:u w:val="single"/>
        </w:rPr>
      </w:pPr>
    </w:p>
    <w:p>
      <w:pPr>
        <w:spacing w:line="520" w:lineRule="exact"/>
        <w:rPr>
          <w:rFonts w:hint="eastAsia" w:ascii="仿宋" w:hAnsi="仿宋" w:eastAsia="仿宋"/>
          <w:color w:val="000000"/>
          <w:sz w:val="28"/>
          <w:szCs w:val="28"/>
          <w:highlight w:val="none"/>
          <w:u w:val="single"/>
        </w:rPr>
      </w:pPr>
    </w:p>
    <w:p>
      <w:pPr>
        <w:spacing w:line="640" w:lineRule="exact"/>
        <w:ind w:firstLine="4480"/>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承诺人</w:t>
      </w:r>
      <w:r>
        <w:rPr>
          <w:rFonts w:hint="eastAsia" w:ascii="仿宋" w:hAnsi="仿宋" w:eastAsia="仿宋" w:cs="楷体_GB2312"/>
          <w:sz w:val="28"/>
          <w:szCs w:val="28"/>
          <w:highlight w:val="none"/>
          <w:lang w:val="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pPr>
        <w:spacing w:line="520" w:lineRule="exact"/>
        <w:rPr>
          <w:rFonts w:hint="eastAsia" w:ascii="仿宋" w:hAnsi="仿宋" w:eastAsia="仿宋"/>
          <w:color w:val="000000"/>
          <w:sz w:val="28"/>
          <w:szCs w:val="28"/>
          <w:highlight w:val="none"/>
          <w:u w:val="single"/>
        </w:rPr>
      </w:pPr>
    </w:p>
    <w:p>
      <w:pPr>
        <w:rPr>
          <w:rFonts w:hint="eastAsia" w:ascii="仿宋" w:hAnsi="仿宋" w:eastAsia="仿宋"/>
          <w:b/>
          <w:sz w:val="32"/>
          <w:szCs w:val="32"/>
          <w:highlight w:val="none"/>
        </w:rPr>
      </w:pPr>
    </w:p>
    <w:p>
      <w:pPr>
        <w:rPr>
          <w:rFonts w:hint="eastAsia" w:ascii="仿宋" w:hAnsi="仿宋" w:eastAsia="仿宋"/>
          <w:sz w:val="28"/>
          <w:szCs w:val="28"/>
          <w:highlight w:val="none"/>
        </w:rPr>
      </w:pP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企业声明函（服务）</w:t>
      </w:r>
    </w:p>
    <w:p>
      <w:pPr>
        <w:pStyle w:val="195"/>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pPr>
        <w:pStyle w:val="195"/>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pPr>
        <w:pStyle w:val="195"/>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pPr>
        <w:pStyle w:val="195"/>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pPr>
        <w:pStyle w:val="195"/>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pPr>
        <w:pStyle w:val="195"/>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pPr>
        <w:pStyle w:val="195"/>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pPr>
        <w:rPr>
          <w:highlight w:val="none"/>
        </w:rPr>
      </w:pPr>
    </w:p>
    <w:p>
      <w:pPr>
        <w:pStyle w:val="195"/>
        <w:spacing w:line="520" w:lineRule="exact"/>
        <w:ind w:firstLine="643"/>
        <w:jc w:val="left"/>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pPr>
        <w:widowControl/>
        <w:spacing w:line="640" w:lineRule="exact"/>
        <w:jc w:val="center"/>
        <w:rPr>
          <w:rFonts w:hint="eastAsia" w:ascii="仿宋" w:hAnsi="仿宋" w:eastAsia="仿宋" w:cs="宋体"/>
          <w:sz w:val="24"/>
          <w:highlight w:val="none"/>
        </w:rPr>
      </w:pPr>
      <w:r>
        <w:rPr>
          <w:rFonts w:hint="eastAsia" w:ascii="仿宋" w:hAnsi="仿宋" w:eastAsia="仿宋" w:cs="宋体"/>
          <w:b/>
          <w:bCs/>
          <w:color w:val="000000"/>
          <w:sz w:val="32"/>
          <w:szCs w:val="32"/>
          <w:highlight w:val="none"/>
        </w:rPr>
        <w:t>残疾人福利性单位声明函</w:t>
      </w:r>
    </w:p>
    <w:p>
      <w:pPr>
        <w:pStyle w:val="195"/>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pPr>
        <w:pStyle w:val="195"/>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1</w:t>
      </w:r>
      <w:r>
        <w:rPr>
          <w:rFonts w:hint="eastAsia" w:ascii="仿宋" w:hAnsi="仿宋" w:eastAsia="仿宋"/>
          <w:bCs/>
          <w:color w:val="000000"/>
          <w:sz w:val="28"/>
          <w:szCs w:val="28"/>
          <w:highlight w:val="none"/>
        </w:rPr>
        <w:t>、根据《财政部 民政部 中国残疾人联合会关于促进残疾人就业政府采购政策的通知》（财库〔2017〕141 号）规定的划分标准，本公司为残疾人福利性企业。</w:t>
      </w:r>
    </w:p>
    <w:p>
      <w:pPr>
        <w:pStyle w:val="195"/>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pPr>
        <w:pStyle w:val="195"/>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注:</w:t>
      </w:r>
      <w:r>
        <w:rPr>
          <w:rFonts w:hint="eastAsia" w:ascii="仿宋" w:hAnsi="仿宋" w:eastAsia="仿宋"/>
          <w:bCs/>
          <w:color w:val="000000"/>
          <w:sz w:val="28"/>
          <w:szCs w:val="28"/>
          <w:highlight w:val="none"/>
        </w:rPr>
        <w:t>本公司对上述声明的真实性负责。如有虚假，将依法承担相应责任。</w:t>
      </w:r>
    </w:p>
    <w:p>
      <w:pPr>
        <w:pStyle w:val="195"/>
        <w:spacing w:line="640" w:lineRule="exact"/>
        <w:ind w:firstLine="560"/>
        <w:rPr>
          <w:rFonts w:hint="eastAsia" w:ascii="仿宋" w:hAnsi="仿宋" w:eastAsia="仿宋"/>
          <w:sz w:val="28"/>
          <w:szCs w:val="28"/>
          <w:highlight w:val="none"/>
        </w:rPr>
      </w:pP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sz w:val="28"/>
          <w:szCs w:val="28"/>
          <w:highlight w:val="none"/>
        </w:rPr>
        <w:t>需提供此函。</w:t>
      </w:r>
    </w:p>
    <w:p>
      <w:pPr>
        <w:pStyle w:val="7"/>
        <w:spacing w:line="520" w:lineRule="exact"/>
        <w:ind w:firstLine="0"/>
        <w:jc w:val="left"/>
        <w:rPr>
          <w:rFonts w:hint="eastAsia" w:ascii="仿宋" w:hAnsi="仿宋" w:eastAsia="仿宋"/>
          <w:b/>
          <w:sz w:val="32"/>
          <w:szCs w:val="32"/>
          <w:highlight w:val="none"/>
        </w:rPr>
      </w:pPr>
    </w:p>
    <w:p>
      <w:pPr>
        <w:pStyle w:val="7"/>
        <w:spacing w:line="520" w:lineRule="exact"/>
        <w:ind w:firstLine="0"/>
        <w:jc w:val="left"/>
        <w:rPr>
          <w:rFonts w:hint="eastAsia" w:ascii="仿宋" w:hAnsi="仿宋" w:eastAsia="仿宋"/>
          <w:bCs/>
          <w:color w:val="000000"/>
          <w:sz w:val="28"/>
          <w:szCs w:val="28"/>
          <w:highlight w:val="none"/>
        </w:rPr>
      </w:pPr>
      <w:r>
        <w:rPr>
          <w:rFonts w:hint="eastAsia" w:ascii="仿宋" w:hAnsi="仿宋" w:eastAsia="仿宋"/>
          <w:b/>
          <w:sz w:val="32"/>
          <w:szCs w:val="32"/>
          <w:highlight w:val="none"/>
        </w:rPr>
        <w:t>示范格式六</w:t>
      </w:r>
    </w:p>
    <w:p>
      <w:pPr>
        <w:pStyle w:val="7"/>
        <w:spacing w:line="560" w:lineRule="exact"/>
        <w:ind w:firstLine="560"/>
        <w:jc w:val="center"/>
        <w:rPr>
          <w:rFonts w:hint="eastAsia" w:ascii="仿宋" w:hAnsi="仿宋" w:eastAsia="仿宋"/>
          <w:bCs/>
          <w:color w:val="000000"/>
          <w:sz w:val="28"/>
          <w:szCs w:val="28"/>
          <w:highlight w:val="none"/>
        </w:rPr>
      </w:pPr>
      <w:r>
        <w:rPr>
          <w:rFonts w:hint="eastAsia" w:ascii="仿宋" w:hAnsi="仿宋" w:eastAsia="仿宋" w:cs="宋体"/>
          <w:b/>
          <w:bCs/>
          <w:color w:val="000000"/>
          <w:sz w:val="32"/>
          <w:szCs w:val="32"/>
          <w:highlight w:val="none"/>
        </w:rPr>
        <w:t>关于符合本国产品标准的声明函</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（产品名称1）</w:t>
      </w:r>
      <w:r>
        <w:rPr>
          <w:rFonts w:hint="eastAsia" w:ascii="仿宋" w:hAnsi="仿宋" w:eastAsia="仿宋"/>
          <w:bCs/>
          <w:color w:val="000000"/>
          <w:sz w:val="36"/>
          <w:szCs w:val="36"/>
          <w:highlight w:val="none"/>
          <w:u w:val="single"/>
          <w:vertAlign w:val="superscript"/>
        </w:rPr>
        <w:t>1</w:t>
      </w:r>
      <w:r>
        <w:rPr>
          <w:rFonts w:hint="eastAsia" w:ascii="仿宋" w:hAnsi="仿宋" w:eastAsia="仿宋"/>
          <w:bCs/>
          <w:color w:val="000000"/>
          <w:sz w:val="28"/>
          <w:szCs w:val="28"/>
          <w:highlight w:val="none"/>
        </w:rPr>
        <w:t>，生产厂为</w:t>
      </w:r>
      <w:r>
        <w:rPr>
          <w:rFonts w:hint="eastAsia" w:ascii="仿宋" w:hAnsi="仿宋" w:eastAsia="仿宋"/>
          <w:bCs/>
          <w:color w:val="000000"/>
          <w:sz w:val="28"/>
          <w:szCs w:val="28"/>
          <w:highlight w:val="none"/>
          <w:u w:val="single"/>
        </w:rPr>
        <w:t>（厂名）</w:t>
      </w:r>
      <w:r>
        <w:rPr>
          <w:rFonts w:hint="eastAsia" w:ascii="仿宋" w:hAnsi="仿宋" w:eastAsia="仿宋"/>
          <w:bCs/>
          <w:color w:val="000000"/>
          <w:sz w:val="36"/>
          <w:szCs w:val="36"/>
          <w:highlight w:val="none"/>
          <w:vertAlign w:val="superscript"/>
        </w:rPr>
        <w:t>2</w:t>
      </w:r>
      <w:r>
        <w:rPr>
          <w:rFonts w:hint="eastAsia" w:ascii="仿宋" w:hAnsi="仿宋" w:eastAsia="仿宋"/>
          <w:bCs/>
          <w:color w:val="000000"/>
          <w:sz w:val="28"/>
          <w:szCs w:val="28"/>
          <w:highlight w:val="none"/>
        </w:rPr>
        <w:t>，厂址为</w:t>
      </w:r>
      <w:r>
        <w:rPr>
          <w:rFonts w:hint="eastAsia" w:ascii="仿宋" w:hAnsi="仿宋" w:eastAsia="仿宋"/>
          <w:bCs/>
          <w:color w:val="000000"/>
          <w:sz w:val="28"/>
          <w:szCs w:val="28"/>
          <w:highlight w:val="none"/>
          <w:u w:val="single"/>
        </w:rPr>
        <w:t>（生产厂址）</w:t>
      </w:r>
      <w:r>
        <w:rPr>
          <w:rFonts w:hint="eastAsia" w:ascii="仿宋" w:hAnsi="仿宋" w:eastAsia="仿宋"/>
          <w:bCs/>
          <w:color w:val="000000"/>
          <w:sz w:val="28"/>
          <w:szCs w:val="28"/>
          <w:highlight w:val="none"/>
        </w:rPr>
        <w:t>。</w:t>
      </w:r>
      <w:r>
        <w:rPr>
          <w:rFonts w:hint="eastAsia" w:ascii="仿宋" w:hAnsi="仿宋" w:eastAsia="仿宋"/>
          <w:bCs/>
          <w:color w:val="000000"/>
          <w:sz w:val="28"/>
          <w:szCs w:val="28"/>
          <w:highlight w:val="none"/>
          <w:u w:val="single"/>
        </w:rPr>
        <w:t>（产品名称1）</w:t>
      </w:r>
      <w:r>
        <w:rPr>
          <w:rFonts w:hint="eastAsia" w:ascii="仿宋" w:hAnsi="仿宋" w:eastAsia="仿宋"/>
          <w:bCs/>
          <w:color w:val="000000"/>
          <w:sz w:val="28"/>
          <w:szCs w:val="28"/>
          <w:highlight w:val="none"/>
        </w:rPr>
        <w:t xml:space="preserve"> 的中国境内生产的组件成本占比≥</w:t>
      </w:r>
      <w:r>
        <w:rPr>
          <w:rFonts w:hint="eastAsia" w:ascii="仿宋" w:hAnsi="仿宋" w:eastAsia="仿宋"/>
          <w:bCs/>
          <w:color w:val="000000"/>
          <w:sz w:val="28"/>
          <w:szCs w:val="28"/>
          <w:highlight w:val="none"/>
          <w:u w:val="single"/>
        </w:rPr>
        <w:t>（规定比例）</w:t>
      </w:r>
      <w:r>
        <w:rPr>
          <w:rFonts w:hint="eastAsia" w:ascii="仿宋" w:hAnsi="仿宋" w:eastAsia="仿宋"/>
          <w:bCs/>
          <w:color w:val="000000"/>
          <w:sz w:val="32"/>
          <w:szCs w:val="32"/>
          <w:highlight w:val="none"/>
          <w:vertAlign w:val="superscript"/>
        </w:rPr>
        <w:t>3</w:t>
      </w:r>
      <w:r>
        <w:rPr>
          <w:rFonts w:hint="eastAsia" w:ascii="仿宋" w:hAnsi="仿宋" w:eastAsia="仿宋"/>
          <w:bCs/>
          <w:color w:val="000000"/>
          <w:sz w:val="28"/>
          <w:szCs w:val="28"/>
          <w:highlight w:val="none"/>
        </w:rPr>
        <w:t>。</w:t>
      </w:r>
      <w:r>
        <w:rPr>
          <w:rFonts w:hint="eastAsia" w:ascii="仿宋" w:hAnsi="仿宋" w:eastAsia="仿宋"/>
          <w:bCs/>
          <w:color w:val="000000"/>
          <w:sz w:val="28"/>
          <w:szCs w:val="28"/>
          <w:highlight w:val="none"/>
          <w:u w:val="single"/>
        </w:rPr>
        <w:t>（产品名称1）</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（关键组件）</w:t>
      </w:r>
      <w:r>
        <w:rPr>
          <w:rFonts w:hint="eastAsia" w:ascii="仿宋" w:hAnsi="仿宋" w:eastAsia="仿宋"/>
          <w:bCs/>
          <w:color w:val="000000"/>
          <w:sz w:val="32"/>
          <w:szCs w:val="32"/>
          <w:highlight w:val="none"/>
          <w:vertAlign w:val="superscript"/>
        </w:rPr>
        <w:t>4</w:t>
      </w:r>
      <w:r>
        <w:rPr>
          <w:rFonts w:hint="eastAsia" w:ascii="仿宋" w:hAnsi="仿宋" w:eastAsia="仿宋"/>
          <w:bCs/>
          <w:color w:val="000000"/>
          <w:sz w:val="28"/>
          <w:szCs w:val="28"/>
          <w:highlight w:val="none"/>
        </w:rPr>
        <w:t>在中国境内生产。</w:t>
      </w:r>
      <w:r>
        <w:rPr>
          <w:rFonts w:hint="eastAsia" w:ascii="仿宋" w:hAnsi="仿宋" w:eastAsia="仿宋"/>
          <w:bCs/>
          <w:color w:val="000000"/>
          <w:sz w:val="28"/>
          <w:szCs w:val="28"/>
          <w:highlight w:val="none"/>
          <w:u w:val="single"/>
        </w:rPr>
        <w:t>（产品名称1）</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（关键工序）</w:t>
      </w:r>
      <w:r>
        <w:rPr>
          <w:rFonts w:hint="eastAsia" w:ascii="仿宋" w:hAnsi="仿宋" w:eastAsia="仿宋"/>
          <w:bCs/>
          <w:color w:val="000000"/>
          <w:sz w:val="36"/>
          <w:szCs w:val="36"/>
          <w:highlight w:val="none"/>
          <w:vertAlign w:val="superscript"/>
        </w:rPr>
        <w:t>5</w:t>
      </w:r>
      <w:r>
        <w:rPr>
          <w:rFonts w:hint="eastAsia" w:ascii="仿宋" w:hAnsi="仿宋" w:eastAsia="仿宋"/>
          <w:bCs/>
          <w:color w:val="000000"/>
          <w:sz w:val="28"/>
          <w:szCs w:val="28"/>
          <w:highlight w:val="none"/>
        </w:rPr>
        <w:t>在中国境内完成。</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w:t>
      </w:r>
      <w:r>
        <w:rPr>
          <w:rFonts w:hint="eastAsia" w:ascii="仿宋" w:hAnsi="仿宋" w:eastAsia="仿宋"/>
          <w:bCs/>
          <w:color w:val="000000"/>
          <w:sz w:val="28"/>
          <w:szCs w:val="28"/>
          <w:highlight w:val="none"/>
          <w:u w:val="single"/>
        </w:rPr>
        <w:t>（产品名称2）</w:t>
      </w:r>
      <w:r>
        <w:rPr>
          <w:rFonts w:hint="eastAsia" w:ascii="仿宋" w:hAnsi="仿宋" w:eastAsia="仿宋"/>
          <w:bCs/>
          <w:color w:val="000000"/>
          <w:sz w:val="28"/>
          <w:szCs w:val="28"/>
          <w:highlight w:val="none"/>
        </w:rPr>
        <w:t>，生产厂为</w:t>
      </w:r>
      <w:r>
        <w:rPr>
          <w:rFonts w:hint="eastAsia" w:ascii="仿宋" w:hAnsi="仿宋" w:eastAsia="仿宋"/>
          <w:bCs/>
          <w:color w:val="000000"/>
          <w:sz w:val="28"/>
          <w:szCs w:val="28"/>
          <w:highlight w:val="none"/>
          <w:u w:val="single"/>
        </w:rPr>
        <w:t>（厂名）</w:t>
      </w:r>
      <w:r>
        <w:rPr>
          <w:rFonts w:hint="eastAsia" w:ascii="仿宋" w:hAnsi="仿宋" w:eastAsia="仿宋"/>
          <w:bCs/>
          <w:color w:val="000000"/>
          <w:sz w:val="28"/>
          <w:szCs w:val="28"/>
          <w:highlight w:val="none"/>
        </w:rPr>
        <w:t>，厂址为</w:t>
      </w:r>
      <w:r>
        <w:rPr>
          <w:rFonts w:hint="eastAsia" w:ascii="仿宋" w:hAnsi="仿宋" w:eastAsia="仿宋"/>
          <w:bCs/>
          <w:color w:val="000000"/>
          <w:sz w:val="28"/>
          <w:szCs w:val="28"/>
          <w:highlight w:val="none"/>
          <w:u w:val="single"/>
        </w:rPr>
        <w:t>（生产厂址）</w:t>
      </w:r>
      <w:r>
        <w:rPr>
          <w:rFonts w:hint="eastAsia" w:ascii="仿宋" w:hAnsi="仿宋" w:eastAsia="仿宋"/>
          <w:bCs/>
          <w:color w:val="000000"/>
          <w:sz w:val="28"/>
          <w:szCs w:val="28"/>
          <w:highlight w:val="none"/>
        </w:rPr>
        <w:t>。</w:t>
      </w:r>
      <w:r>
        <w:rPr>
          <w:rFonts w:hint="eastAsia" w:ascii="仿宋" w:hAnsi="仿宋" w:eastAsia="仿宋"/>
          <w:bCs/>
          <w:color w:val="000000"/>
          <w:sz w:val="28"/>
          <w:szCs w:val="28"/>
          <w:highlight w:val="none"/>
          <w:u w:val="single"/>
        </w:rPr>
        <w:t>（产品名称2）</w:t>
      </w:r>
      <w:r>
        <w:rPr>
          <w:rFonts w:hint="eastAsia" w:ascii="仿宋" w:hAnsi="仿宋" w:eastAsia="仿宋"/>
          <w:bCs/>
          <w:color w:val="000000"/>
          <w:sz w:val="28"/>
          <w:szCs w:val="28"/>
          <w:highlight w:val="none"/>
        </w:rPr>
        <w:t>的中国境内生产的组件成本占比≥</w:t>
      </w:r>
      <w:r>
        <w:rPr>
          <w:rFonts w:hint="eastAsia" w:ascii="仿宋" w:hAnsi="仿宋" w:eastAsia="仿宋"/>
          <w:bCs/>
          <w:color w:val="000000"/>
          <w:sz w:val="28"/>
          <w:szCs w:val="28"/>
          <w:highlight w:val="none"/>
          <w:u w:val="single"/>
        </w:rPr>
        <w:t>（规定比例）</w:t>
      </w:r>
      <w:r>
        <w:rPr>
          <w:rFonts w:hint="eastAsia" w:ascii="仿宋" w:hAnsi="仿宋" w:eastAsia="仿宋"/>
          <w:bCs/>
          <w:color w:val="000000"/>
          <w:sz w:val="28"/>
          <w:szCs w:val="28"/>
          <w:highlight w:val="none"/>
        </w:rPr>
        <w:t>。（</w:t>
      </w:r>
      <w:r>
        <w:rPr>
          <w:rFonts w:hint="eastAsia" w:ascii="仿宋" w:hAnsi="仿宋" w:eastAsia="仿宋"/>
          <w:bCs/>
          <w:color w:val="000000"/>
          <w:sz w:val="28"/>
          <w:szCs w:val="28"/>
          <w:highlight w:val="none"/>
          <w:u w:val="single"/>
        </w:rPr>
        <w:t>产品名称2）</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（关键组件）</w:t>
      </w:r>
      <w:r>
        <w:rPr>
          <w:rFonts w:hint="eastAsia" w:ascii="仿宋" w:hAnsi="仿宋" w:eastAsia="仿宋"/>
          <w:bCs/>
          <w:color w:val="000000"/>
          <w:sz w:val="28"/>
          <w:szCs w:val="28"/>
          <w:highlight w:val="none"/>
        </w:rPr>
        <w:t>在中国境内生产。</w:t>
      </w:r>
      <w:r>
        <w:rPr>
          <w:rFonts w:hint="eastAsia" w:ascii="仿宋" w:hAnsi="仿宋" w:eastAsia="仿宋"/>
          <w:bCs/>
          <w:color w:val="000000"/>
          <w:sz w:val="28"/>
          <w:szCs w:val="28"/>
          <w:highlight w:val="none"/>
          <w:u w:val="single"/>
        </w:rPr>
        <w:t>（产品名称1）</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（关键工序）</w:t>
      </w:r>
      <w:r>
        <w:rPr>
          <w:rFonts w:hint="eastAsia" w:ascii="仿宋" w:hAnsi="仿宋" w:eastAsia="仿宋"/>
          <w:bCs/>
          <w:color w:val="000000"/>
          <w:sz w:val="28"/>
          <w:szCs w:val="28"/>
          <w:highlight w:val="none"/>
        </w:rPr>
        <w:t>在中国境内完成。</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本公司（单位）对上述声明内容的真实性负责。如有虚假，愿承担相应法律责任。</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4933"/>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公司（单位）名称（盖章）：　</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                                日期：　   年　  月　  日       </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注：1.产品如有型号，请在“产品名称”栏一并填写。</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2.生产厂名与厂址应与生产厂营业执照载明的相关信息保持一致。</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3.该产品的中国境内生产的组件成本占比相关要求实施前，“规定比例”栏可不填，下同。</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4.该产品的关键组件要求实施前，“关键组件”栏可不填，下同。</w:t>
      </w:r>
    </w:p>
    <w:p>
      <w:pPr>
        <w:pStyle w:val="7"/>
        <w:keepNext w:val="0"/>
        <w:keepLines w:val="0"/>
        <w:pageBreakBefore w:val="0"/>
        <w:widowControl w:val="0"/>
        <w:kinsoku/>
        <w:wordWrap/>
        <w:overflowPunct/>
        <w:topLinePunct w:val="0"/>
        <w:autoSpaceDE/>
        <w:autoSpaceDN/>
        <w:bidi w:val="0"/>
        <w:adjustRightInd/>
        <w:snapToGrid/>
        <w:spacing w:after="0" w:line="500" w:lineRule="exact"/>
        <w:ind w:firstLine="560"/>
        <w:textAlignment w:val="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5.该产品的关键工序要求实施前，“关键工序”栏可不填，下同。</w:t>
      </w:r>
    </w:p>
    <w:p>
      <w:pPr>
        <w:spacing w:line="640" w:lineRule="exact"/>
        <w:rPr>
          <w:rFonts w:hint="eastAsia" w:ascii="仿宋" w:hAnsi="仿宋" w:eastAsia="仿宋"/>
          <w:color w:val="000000"/>
          <w:sz w:val="28"/>
          <w:szCs w:val="28"/>
          <w:highlight w:val="none"/>
        </w:rPr>
      </w:pPr>
    </w:p>
    <w:p>
      <w:pPr>
        <w:spacing w:line="640" w:lineRule="exact"/>
        <w:ind w:firstLine="565"/>
        <w:rPr>
          <w:rFonts w:hint="eastAsia" w:ascii="仿宋" w:hAnsi="仿宋" w:eastAsia="仿宋"/>
          <w:b/>
          <w:bCs/>
          <w:color w:val="000000"/>
          <w:sz w:val="32"/>
          <w:szCs w:val="32"/>
          <w:highlight w:val="none"/>
        </w:rPr>
      </w:pPr>
    </w:p>
    <w:p>
      <w:pPr>
        <w:spacing w:line="640" w:lineRule="exact"/>
        <w:ind w:firstLine="565"/>
        <w:rPr>
          <w:rFonts w:hint="eastAsia" w:ascii="仿宋" w:hAnsi="仿宋" w:eastAsia="仿宋"/>
          <w:b/>
          <w:bCs/>
          <w:color w:val="000000"/>
          <w:sz w:val="32"/>
          <w:szCs w:val="32"/>
          <w:highlight w:val="none"/>
        </w:rPr>
      </w:pPr>
      <w:r>
        <w:rPr>
          <w:rFonts w:hint="eastAsia" w:ascii="仿宋" w:hAnsi="仿宋" w:eastAsia="仿宋"/>
          <w:b/>
          <w:color w:val="000000"/>
          <w:sz w:val="32"/>
          <w:szCs w:val="32"/>
          <w:highlight w:val="none"/>
        </w:rPr>
        <w:t>示范格式六</w:t>
      </w:r>
    </w:p>
    <w:p>
      <w:pPr>
        <w:jc w:val="center"/>
        <w:rPr>
          <w:rFonts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质疑函范本</w:t>
      </w:r>
    </w:p>
    <w:p>
      <w:pPr>
        <w:spacing w:before="290" w:line="360" w:lineRule="auto"/>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一、质疑供应商基本信息</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质疑供应商：</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邮编：</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联系电话：</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授权代表：</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联系电话：</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邮编：</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二、质疑项目基本情况</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质疑项目的名称：</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包号：</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采购人名称：</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采购文件获取日期：</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三、质疑事项具体内容</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质疑事项1：</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事实依据：</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法律依据：</w:t>
      </w: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p>
    <w:p>
      <w:pPr>
        <w:spacing w:line="360" w:lineRule="auto"/>
        <w:rPr>
          <w:rFonts w:ascii="方正仿宋_GBK" w:hAnsi="方正仿宋_GBK" w:eastAsia="方正仿宋_GBK" w:cs="方正仿宋_GBK"/>
          <w:color w:val="000000"/>
          <w:sz w:val="28"/>
          <w:szCs w:val="28"/>
          <w:highlight w:val="none"/>
        </w:rPr>
      </w:pP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质疑事项2</w:t>
      </w:r>
    </w:p>
    <w:p>
      <w:pPr>
        <w:spacing w:line="360" w:lineRule="auto"/>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w:t>
      </w:r>
    </w:p>
    <w:p>
      <w:pPr>
        <w:spacing w:line="360" w:lineRule="auto"/>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四、与质疑事项相关的质疑请求</w:t>
      </w:r>
    </w:p>
    <w:p>
      <w:pPr>
        <w:spacing w:line="360" w:lineRule="auto"/>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请求：</w:t>
      </w:r>
      <w:r>
        <w:rPr>
          <w:rFonts w:hint="eastAsia" w:ascii="方正仿宋_GBK" w:hAnsi="方正仿宋_GBK" w:eastAsia="方正仿宋_GBK" w:cs="方正仿宋_GBK"/>
          <w:color w:val="000000"/>
          <w:sz w:val="28"/>
          <w:szCs w:val="28"/>
          <w:highlight w:val="none"/>
          <w:u w:val="single"/>
        </w:rPr>
        <w:t xml:space="preserve">                                                                     </w:t>
      </w:r>
    </w:p>
    <w:p>
      <w:pPr>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p>
    <w:p>
      <w:pPr>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p>
    <w:p>
      <w:pPr>
        <w:spacing w:line="40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质疑函制作说明：</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1.供应商提出质疑时，应提交质疑函和必要的证明材料。</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3.质疑供应商若对项目的某一分包进行质疑，质疑函中应列明具体分包号。</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4.质疑函的质疑事项应具体、明确，并有必要的事实依据和法律依据。</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5.质疑函的质疑请求应与质疑事项相关。</w:t>
      </w:r>
    </w:p>
    <w:p>
      <w:pPr>
        <w:widowControl/>
        <w:spacing w:line="400" w:lineRule="exact"/>
        <w:ind w:firstLine="480"/>
        <w:jc w:val="lef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6.质疑供应商为自然人的，质疑函应由本人签字；质疑供应商为法人或者其他组织的，质疑函应由法定代表人、主要负责人，或者其授权代表签字或者盖章，并加盖公章。</w:t>
      </w:r>
    </w:p>
    <w:p>
      <w:pPr>
        <w:spacing w:line="520" w:lineRule="exact"/>
        <w:ind w:firstLine="548"/>
        <w:rPr>
          <w:rFonts w:hint="eastAsia" w:ascii="仿宋" w:hAnsi="仿宋" w:eastAsia="仿宋" w:cs="Arial"/>
          <w:bCs/>
          <w:sz w:val="28"/>
          <w:highlight w:val="none"/>
        </w:rPr>
      </w:pPr>
    </w:p>
    <w:sectPr>
      <w:footerReference r:id="rId3" w:type="default"/>
      <w:footerReference r:id="rId4"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0"/>
      <w:framePr w:wrap="around" w:vAnchor="text" w:hAnchor="margin" w:xAlign="center" w:y="1"/>
      <w:rPr>
        <w:rStyle w:val="218"/>
      </w:rPr>
    </w:pPr>
    <w:r>
      <w:fldChar w:fldCharType="begin"/>
    </w:r>
    <w:r>
      <w:rPr>
        <w:rStyle w:val="218"/>
      </w:rPr>
      <w:instrText xml:space="preserve">PAGE  </w:instrText>
    </w:r>
    <w:r>
      <w:fldChar w:fldCharType="separate"/>
    </w:r>
    <w:r>
      <w:rPr>
        <w:rStyle w:val="218"/>
      </w:rPr>
      <w:t>20</w:t>
    </w:r>
    <w:r>
      <w:fldChar w:fldCharType="end"/>
    </w:r>
  </w:p>
  <w:p>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0"/>
      <w:framePr w:wrap="around" w:vAnchor="text" w:hAnchor="margin" w:xAlign="center" w:y="1"/>
      <w:rPr>
        <w:rStyle w:val="218"/>
      </w:rPr>
    </w:pPr>
    <w:r>
      <w:fldChar w:fldCharType="begin"/>
    </w:r>
    <w:r>
      <w:rPr>
        <w:rStyle w:val="218"/>
      </w:rPr>
      <w:instrText xml:space="preserve">PAGE  </w:instrText>
    </w:r>
    <w:r>
      <w:fldChar w:fldCharType="end"/>
    </w:r>
  </w:p>
  <w:p>
    <w:pPr>
      <w:pStyle w:val="2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156FA"/>
    <w:multiLevelType w:val="singleLevel"/>
    <w:tmpl w:val="E27156FA"/>
    <w:lvl w:ilvl="0" w:tentative="0">
      <w:start w:val="5"/>
      <w:numFmt w:val="chineseCounting"/>
      <w:suff w:val="space"/>
      <w:lvlText w:val="第%1章"/>
      <w:lvlJc w:val="left"/>
      <w:rPr>
        <w:rFonts w:hint="eastAsia"/>
      </w:rPr>
    </w:lvl>
  </w:abstractNum>
  <w:abstractNum w:abstractNumId="1">
    <w:nsid w:val="68B298F7"/>
    <w:multiLevelType w:val="multilevel"/>
    <w:tmpl w:val="68B298F7"/>
    <w:lvl w:ilvl="0" w:tentative="0">
      <w:start w:val="1"/>
      <w:numFmt w:val="decimal"/>
      <w:pStyle w:val="19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7CD"/>
    <w:rsid w:val="000157CD"/>
    <w:rsid w:val="002007F4"/>
    <w:rsid w:val="0023194B"/>
    <w:rsid w:val="00453820"/>
    <w:rsid w:val="007E749F"/>
    <w:rsid w:val="00841922"/>
    <w:rsid w:val="00B72A0A"/>
    <w:rsid w:val="00DF3919"/>
    <w:rsid w:val="15C736BF"/>
    <w:rsid w:val="20B73621"/>
    <w:rsid w:val="2136108F"/>
    <w:rsid w:val="373564A4"/>
    <w:rsid w:val="43534F2E"/>
    <w:rsid w:val="4BE95059"/>
    <w:rsid w:val="57F30F43"/>
    <w:rsid w:val="5A1D0D69"/>
    <w:rsid w:val="5D805541"/>
    <w:rsid w:val="5E8E2998"/>
    <w:rsid w:val="641009D3"/>
    <w:rsid w:val="6BAB60C7"/>
    <w:rsid w:val="6D393EC5"/>
    <w:rsid w:val="700B0351"/>
    <w:rsid w:val="763A37D7"/>
    <w:rsid w:val="7C2563EB"/>
    <w:rsid w:val="7F8D7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3">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4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Layout w:type="fixed"/>
      <w:tblCellMar>
        <w:top w:w="0" w:type="dxa"/>
        <w:left w:w="108" w:type="dxa"/>
        <w:bottom w:w="0" w:type="dxa"/>
        <w:right w:w="108" w:type="dxa"/>
      </w:tblCellMar>
    </w:tblPr>
  </w:style>
  <w:style w:type="paragraph" w:styleId="2">
    <w:name w:val="Document Map"/>
    <w:basedOn w:val="1"/>
    <w:qFormat/>
    <w:uiPriority w:val="99"/>
    <w:pPr>
      <w:shd w:val="clear" w:color="auto" w:fill="000080"/>
    </w:pPr>
  </w:style>
  <w:style w:type="paragraph" w:styleId="7">
    <w:name w:val="Normal Indent"/>
    <w:basedOn w:val="1"/>
    <w:unhideWhenUsed/>
    <w:qFormat/>
    <w:uiPriority w:val="99"/>
    <w:pPr>
      <w:ind w:firstLine="420"/>
    </w:pPr>
    <w:rPr>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Body Text"/>
    <w:basedOn w:val="1"/>
    <w:next w:val="16"/>
    <w:unhideWhenUsed/>
    <w:qFormat/>
    <w:uiPriority w:val="99"/>
    <w:pPr>
      <w:spacing w:after="120"/>
      <w:ind w:firstLine="200"/>
    </w:pPr>
    <w:rPr>
      <w:rFonts w:eastAsia="仿宋"/>
      <w:sz w:val="28"/>
      <w:szCs w:val="22"/>
    </w:rPr>
  </w:style>
  <w:style w:type="paragraph" w:styleId="16">
    <w:name w:val="Body Text First Indent"/>
    <w:basedOn w:val="15"/>
    <w:next w:val="17"/>
    <w:qFormat/>
    <w:uiPriority w:val="0"/>
    <w:pPr>
      <w:spacing w:after="0" w:line="480" w:lineRule="exact"/>
      <w:ind w:firstLine="360"/>
    </w:pPr>
    <w:rPr>
      <w:sz w:val="24"/>
      <w:szCs w:val="24"/>
    </w:rPr>
  </w:style>
  <w:style w:type="paragraph" w:styleId="17">
    <w:name w:val="toc 6"/>
    <w:basedOn w:val="1"/>
    <w:next w:val="1"/>
    <w:unhideWhenUsed/>
    <w:qFormat/>
    <w:uiPriority w:val="39"/>
    <w:pPr>
      <w:spacing w:after="57"/>
      <w:ind w:left="1417"/>
    </w:pPr>
  </w:style>
  <w:style w:type="paragraph" w:styleId="18">
    <w:name w:val="Body Text Indent"/>
    <w:basedOn w:val="1"/>
    <w:qFormat/>
    <w:uiPriority w:val="0"/>
    <w:pPr>
      <w:ind w:firstLine="630"/>
    </w:pPr>
    <w:rPr>
      <w:rFonts w:ascii="楷体_GB2312" w:eastAsia="楷体_GB2312"/>
      <w:sz w:val="3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endnote text"/>
    <w:basedOn w:val="1"/>
    <w:link w:val="191"/>
    <w:semiHidden/>
    <w:unhideWhenUsed/>
    <w:qFormat/>
    <w:uiPriority w:val="99"/>
    <w:pPr>
      <w:spacing w:after="0" w:line="240" w:lineRule="auto"/>
    </w:pPr>
    <w:rPr>
      <w:sz w:val="20"/>
    </w:rPr>
  </w:style>
  <w:style w:type="paragraph" w:styleId="24">
    <w:name w:val="footer"/>
    <w:basedOn w:val="1"/>
    <w:link w:val="64"/>
    <w:unhideWhenUsed/>
    <w:qFormat/>
    <w:uiPriority w:val="99"/>
    <w:pPr>
      <w:tabs>
        <w:tab w:val="center" w:pos="7143"/>
        <w:tab w:val="right" w:pos="14287"/>
      </w:tabs>
      <w:spacing w:after="0" w:line="240" w:lineRule="auto"/>
    </w:pPr>
  </w:style>
  <w:style w:type="paragraph" w:styleId="25">
    <w:name w:val="header"/>
    <w:basedOn w:val="1"/>
    <w:link w:val="62"/>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7"/>
    <w:qFormat/>
    <w:uiPriority w:val="11"/>
    <w:pPr>
      <w:spacing w:before="200" w:after="200"/>
    </w:pPr>
    <w:rPr>
      <w:sz w:val="24"/>
    </w:rPr>
  </w:style>
  <w:style w:type="paragraph" w:styleId="29">
    <w:name w:val="footnote text"/>
    <w:basedOn w:val="1"/>
    <w:link w:val="190"/>
    <w:semiHidden/>
    <w:unhideWhenUsed/>
    <w:qFormat/>
    <w:uiPriority w:val="99"/>
    <w:pPr>
      <w:spacing w:after="40" w:line="240" w:lineRule="auto"/>
    </w:pPr>
    <w:rPr>
      <w:sz w:val="18"/>
    </w:rPr>
  </w:style>
  <w:style w:type="paragraph" w:styleId="30">
    <w:name w:val="table of figures"/>
    <w:basedOn w:val="1"/>
    <w:next w:val="1"/>
    <w:unhideWhenUsed/>
    <w:qFormat/>
    <w:uiPriority w:val="99"/>
    <w:pPr>
      <w:spacing w:after="0"/>
    </w:pPr>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0" w:afterAutospacing="1"/>
      <w:jc w:val="left"/>
    </w:pPr>
    <w:rPr>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2"/>
    <w:basedOn w:val="18"/>
    <w:qFormat/>
    <w:uiPriority w:val="0"/>
    <w:pPr>
      <w:widowControl/>
      <w:spacing w:after="120"/>
      <w:ind w:left="420" w:firstLine="420"/>
    </w:pPr>
    <w:rPr>
      <w:rFonts w:ascii="仿宋_GB2312" w:eastAsia="仿宋_GB2312"/>
      <w:color w:val="FF6600"/>
      <w:sz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page number"/>
    <w:basedOn w:val="38"/>
    <w:semiHidden/>
    <w:unhideWhenUsed/>
    <w:qFormat/>
    <w:uiPriority w:val="99"/>
  </w:style>
  <w:style w:type="character" w:styleId="41">
    <w:name w:val="Hyperlink"/>
    <w:unhideWhenUsed/>
    <w:qFormat/>
    <w:uiPriority w:val="99"/>
    <w:rPr>
      <w:color w:val="0000FF"/>
      <w:u w:val="single"/>
    </w:rPr>
  </w:style>
  <w:style w:type="character" w:styleId="42">
    <w:name w:val="footnote reference"/>
    <w:unhideWhenUsed/>
    <w:qFormat/>
    <w:uiPriority w:val="99"/>
    <w:rPr>
      <w:vertAlign w:val="superscript"/>
    </w:rPr>
  </w:style>
  <w:style w:type="paragraph" w:customStyle="1" w:styleId="43">
    <w:name w:val="段"/>
    <w:next w:val="1"/>
    <w:qFormat/>
    <w:uiPriority w:val="0"/>
    <w:pPr>
      <w:spacing w:after="160" w:line="278" w:lineRule="auto"/>
      <w:ind w:firstLine="200"/>
      <w:jc w:val="both"/>
    </w:pPr>
    <w:rPr>
      <w:rFonts w:ascii="宋体" w:hAnsi="Calibri" w:eastAsia="宋体" w:cs="Times New Roman"/>
      <w:sz w:val="21"/>
      <w:lang w:val="en-US" w:eastAsia="zh-CN" w:bidi="ar-SA"/>
    </w:rPr>
  </w:style>
  <w:style w:type="paragraph" w:customStyle="1" w:styleId="44">
    <w:name w:val="标题 51"/>
    <w:basedOn w:val="1"/>
    <w:next w:val="1"/>
    <w:unhideWhenUsed/>
    <w:qFormat/>
    <w:uiPriority w:val="9"/>
    <w:pPr>
      <w:keepNext/>
      <w:keepLines/>
      <w:spacing w:before="320" w:after="200"/>
      <w:outlineLvl w:val="4"/>
    </w:pPr>
    <w:rPr>
      <w:rFonts w:ascii="Arial" w:hAnsi="Arial" w:eastAsia="Arial" w:cs="Arial"/>
      <w:b/>
      <w:bCs/>
      <w:sz w:val="24"/>
    </w:rPr>
  </w:style>
  <w:style w:type="character" w:customStyle="1" w:styleId="45">
    <w:name w:val="标题 1 字符"/>
    <w:link w:val="3"/>
    <w:qFormat/>
    <w:uiPriority w:val="9"/>
    <w:rPr>
      <w:rFonts w:ascii="Arial" w:hAnsi="Arial" w:eastAsia="Arial" w:cs="Arial"/>
      <w:sz w:val="40"/>
      <w:szCs w:val="40"/>
    </w:rPr>
  </w:style>
  <w:style w:type="character" w:customStyle="1" w:styleId="46">
    <w:name w:val="标题 2 字符"/>
    <w:link w:val="4"/>
    <w:qFormat/>
    <w:uiPriority w:val="9"/>
    <w:rPr>
      <w:rFonts w:ascii="Arial" w:hAnsi="Arial" w:eastAsia="Arial" w:cs="Arial"/>
      <w:sz w:val="34"/>
    </w:rPr>
  </w:style>
  <w:style w:type="character" w:customStyle="1" w:styleId="47">
    <w:name w:val="标题 3 字符"/>
    <w:link w:val="5"/>
    <w:qFormat/>
    <w:uiPriority w:val="9"/>
    <w:rPr>
      <w:rFonts w:ascii="Arial" w:hAnsi="Arial" w:eastAsia="Arial" w:cs="Arial"/>
      <w:sz w:val="30"/>
      <w:szCs w:val="30"/>
    </w:rPr>
  </w:style>
  <w:style w:type="character" w:customStyle="1" w:styleId="48">
    <w:name w:val="标题 4 字符"/>
    <w:link w:val="6"/>
    <w:qFormat/>
    <w:uiPriority w:val="9"/>
    <w:rPr>
      <w:rFonts w:ascii="Arial" w:hAnsi="Arial" w:eastAsia="Arial" w:cs="Arial"/>
      <w:b/>
      <w:bCs/>
      <w:sz w:val="26"/>
      <w:szCs w:val="26"/>
    </w:rPr>
  </w:style>
  <w:style w:type="character" w:customStyle="1" w:styleId="49">
    <w:name w:val="标题 5 字符"/>
    <w:link w:val="8"/>
    <w:qFormat/>
    <w:uiPriority w:val="9"/>
    <w:rPr>
      <w:rFonts w:ascii="Arial" w:hAnsi="Arial" w:eastAsia="Arial" w:cs="Arial"/>
      <w:b/>
      <w:bCs/>
      <w:sz w:val="24"/>
      <w:szCs w:val="24"/>
    </w:rPr>
  </w:style>
  <w:style w:type="character" w:customStyle="1" w:styleId="50">
    <w:name w:val="标题 6 字符"/>
    <w:link w:val="9"/>
    <w:qFormat/>
    <w:uiPriority w:val="9"/>
    <w:rPr>
      <w:rFonts w:ascii="Arial" w:hAnsi="Arial" w:eastAsia="Arial" w:cs="Arial"/>
      <w:b/>
      <w:bCs/>
      <w:sz w:val="22"/>
      <w:szCs w:val="22"/>
    </w:rPr>
  </w:style>
  <w:style w:type="character" w:customStyle="1" w:styleId="51">
    <w:name w:val="标题 7 字符"/>
    <w:link w:val="10"/>
    <w:qFormat/>
    <w:uiPriority w:val="9"/>
    <w:rPr>
      <w:rFonts w:ascii="Arial" w:hAnsi="Arial" w:eastAsia="Arial" w:cs="Arial"/>
      <w:b/>
      <w:bCs/>
      <w:i/>
      <w:iCs/>
      <w:sz w:val="22"/>
      <w:szCs w:val="22"/>
    </w:rPr>
  </w:style>
  <w:style w:type="character" w:customStyle="1" w:styleId="52">
    <w:name w:val="标题 8 字符"/>
    <w:link w:val="11"/>
    <w:qFormat/>
    <w:uiPriority w:val="9"/>
    <w:rPr>
      <w:rFonts w:ascii="Arial" w:hAnsi="Arial" w:eastAsia="Arial" w:cs="Arial"/>
      <w:i/>
      <w:iCs/>
      <w:sz w:val="22"/>
      <w:szCs w:val="22"/>
    </w:rPr>
  </w:style>
  <w:style w:type="character" w:customStyle="1" w:styleId="53">
    <w:name w:val="标题 9 字符"/>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
    <w:link w:val="34"/>
    <w:qFormat/>
    <w:uiPriority w:val="10"/>
    <w:rPr>
      <w:sz w:val="48"/>
      <w:szCs w:val="48"/>
    </w:rPr>
  </w:style>
  <w:style w:type="character" w:customStyle="1" w:styleId="57">
    <w:name w:val="副标题 字符"/>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页眉 字符"/>
    <w:link w:val="25"/>
    <w:qFormat/>
    <w:uiPriority w:val="99"/>
  </w:style>
  <w:style w:type="character" w:customStyle="1" w:styleId="63">
    <w:name w:val="Footer Char"/>
    <w:qFormat/>
    <w:uiPriority w:val="99"/>
  </w:style>
  <w:style w:type="character" w:customStyle="1" w:styleId="64">
    <w:name w:val="页脚 字符"/>
    <w:link w:val="24"/>
    <w:qFormat/>
    <w:uiPriority w:val="99"/>
  </w:style>
  <w:style w:type="table" w:customStyle="1" w:styleId="6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6">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7">
    <w:name w:val="无格式表格 21"/>
    <w:qFormat/>
    <w:uiPriority w:val="59"/>
    <w:tblPr>
      <w:tblBorders>
        <w:top w:val="single" w:color="000000" w:sz="4" w:space="0"/>
        <w:left w:val="none" w:color="000000" w:sz="4" w:space="0"/>
        <w:bottom w:val="single" w:color="000000" w:sz="4" w:space="0"/>
        <w:right w:val="none" w:color="000000" w:sz="4" w:space="0"/>
      </w:tblBorders>
      <w:tblLayout w:type="fixed"/>
      <w:tblCellMar>
        <w:top w:w="0" w:type="dxa"/>
        <w:left w:w="108" w:type="dxa"/>
        <w:bottom w:w="0" w:type="dxa"/>
        <w:right w:w="108" w:type="dxa"/>
      </w:tblCellMar>
    </w:tblPr>
  </w:style>
  <w:style w:type="table" w:customStyle="1" w:styleId="68">
    <w:name w:val="无格式表格 31"/>
    <w:qFormat/>
    <w:uiPriority w:val="99"/>
    <w:tblPr>
      <w:tblLayout w:type="fixed"/>
      <w:tblCellMar>
        <w:top w:w="0" w:type="dxa"/>
        <w:left w:w="0" w:type="dxa"/>
        <w:bottom w:w="0" w:type="dxa"/>
        <w:right w:w="0" w:type="dxa"/>
      </w:tblCellMar>
    </w:tblPr>
  </w:style>
  <w:style w:type="table" w:customStyle="1" w:styleId="69">
    <w:name w:val="无格式表格 41"/>
    <w:qFormat/>
    <w:uiPriority w:val="99"/>
    <w:tblPr>
      <w:tblLayout w:type="fixed"/>
      <w:tblCellMar>
        <w:top w:w="0" w:type="dxa"/>
        <w:left w:w="0" w:type="dxa"/>
        <w:bottom w:w="0" w:type="dxa"/>
        <w:right w:w="0" w:type="dxa"/>
      </w:tblCellMar>
    </w:tblPr>
  </w:style>
  <w:style w:type="table" w:customStyle="1" w:styleId="70">
    <w:name w:val="无格式表格 51"/>
    <w:qFormat/>
    <w:uiPriority w:val="99"/>
    <w:tblPr>
      <w:tblLayout w:type="fixed"/>
      <w:tblCellMar>
        <w:top w:w="0" w:type="dxa"/>
        <w:left w:w="0" w:type="dxa"/>
        <w:bottom w:w="0" w:type="dxa"/>
        <w:right w:w="0" w:type="dxa"/>
      </w:tblCellMar>
    </w:tblPr>
  </w:style>
  <w:style w:type="table" w:customStyle="1" w:styleId="71">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top w:w="0" w:type="dxa"/>
        <w:left w:w="0" w:type="dxa"/>
        <w:bottom w:w="0" w:type="dxa"/>
        <w:right w:w="0" w:type="dxa"/>
      </w:tblCellMar>
    </w:tblPr>
  </w:style>
  <w:style w:type="table" w:customStyle="1" w:styleId="7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7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7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7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7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7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table" w:customStyle="1" w:styleId="78">
    <w:name w:val="网格表 2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79">
    <w:name w:val="Grid Table 2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0">
    <w:name w:val="Grid Table 2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1">
    <w:name w:val="Grid Table 2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2">
    <w:name w:val="Grid Table 2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3">
    <w:name w:val="Grid Table 2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84">
    <w:name w:val="Grid Table 2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85">
    <w:name w:val="网格表 3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6">
    <w:name w:val="Grid Table 3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7">
    <w:name w:val="Grid Table 3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8">
    <w:name w:val="Grid Table 3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9">
    <w:name w:val="Grid Table 3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90">
    <w:name w:val="Grid Table 3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91">
    <w:name w:val="Grid Table 3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92">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top w:w="0" w:type="dxa"/>
        <w:left w:w="0" w:type="dxa"/>
        <w:bottom w:w="0" w:type="dxa"/>
        <w:right w:w="0" w:type="dxa"/>
      </w:tblCellMar>
    </w:tblPr>
  </w:style>
  <w:style w:type="table" w:customStyle="1" w:styleId="9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top w:w="0" w:type="dxa"/>
        <w:left w:w="0" w:type="dxa"/>
        <w:bottom w:w="0" w:type="dxa"/>
        <w:right w:w="0" w:type="dxa"/>
      </w:tblCellMar>
    </w:tblPr>
  </w:style>
  <w:style w:type="table" w:customStyle="1" w:styleId="9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top w:w="0" w:type="dxa"/>
        <w:left w:w="0" w:type="dxa"/>
        <w:bottom w:w="0" w:type="dxa"/>
        <w:right w:w="0" w:type="dxa"/>
      </w:tblCellMar>
    </w:tblPr>
  </w:style>
  <w:style w:type="table" w:customStyle="1" w:styleId="9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top w:w="0" w:type="dxa"/>
        <w:left w:w="0" w:type="dxa"/>
        <w:bottom w:w="0" w:type="dxa"/>
        <w:right w:w="0" w:type="dxa"/>
      </w:tblCellMar>
    </w:tblPr>
  </w:style>
  <w:style w:type="table" w:customStyle="1" w:styleId="9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top w:w="0" w:type="dxa"/>
        <w:left w:w="0" w:type="dxa"/>
        <w:bottom w:w="0" w:type="dxa"/>
        <w:right w:w="0" w:type="dxa"/>
      </w:tblCellMar>
    </w:tblPr>
  </w:style>
  <w:style w:type="table" w:customStyle="1" w:styleId="9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9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99">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6">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0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0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0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11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113">
    <w:name w:val="网格表 7 彩色1"/>
    <w:qFormat/>
    <w:uiPriority w:val="99"/>
    <w:tblPr>
      <w:tblBorders>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1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1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20">
    <w:name w:val="清单表 1 浅色1"/>
    <w:qFormat/>
    <w:uiPriority w:val="99"/>
    <w:tblPr>
      <w:tblLayout w:type="fixed"/>
      <w:tblCellMar>
        <w:top w:w="0" w:type="dxa"/>
        <w:left w:w="0" w:type="dxa"/>
        <w:bottom w:w="0" w:type="dxa"/>
        <w:right w:w="0" w:type="dxa"/>
      </w:tblCellMar>
    </w:tblPr>
  </w:style>
  <w:style w:type="table" w:customStyle="1" w:styleId="121">
    <w:name w:val="List Table 1 Light - Accent 1"/>
    <w:qFormat/>
    <w:uiPriority w:val="99"/>
    <w:tblPr>
      <w:tblLayout w:type="fixed"/>
      <w:tblCellMar>
        <w:top w:w="0" w:type="dxa"/>
        <w:left w:w="0" w:type="dxa"/>
        <w:bottom w:w="0" w:type="dxa"/>
        <w:right w:w="0" w:type="dxa"/>
      </w:tblCellMar>
    </w:tblPr>
  </w:style>
  <w:style w:type="table" w:customStyle="1" w:styleId="122">
    <w:name w:val="List Table 1 Light - Accent 2"/>
    <w:qFormat/>
    <w:uiPriority w:val="99"/>
    <w:tblPr>
      <w:tblLayout w:type="fixed"/>
      <w:tblCellMar>
        <w:top w:w="0" w:type="dxa"/>
        <w:left w:w="0" w:type="dxa"/>
        <w:bottom w:w="0" w:type="dxa"/>
        <w:right w:w="0" w:type="dxa"/>
      </w:tblCellMar>
    </w:tblPr>
  </w:style>
  <w:style w:type="table" w:customStyle="1" w:styleId="123">
    <w:name w:val="List Table 1 Light - Accent 3"/>
    <w:qFormat/>
    <w:uiPriority w:val="99"/>
    <w:tblPr>
      <w:tblLayout w:type="fixed"/>
      <w:tblCellMar>
        <w:top w:w="0" w:type="dxa"/>
        <w:left w:w="0" w:type="dxa"/>
        <w:bottom w:w="0" w:type="dxa"/>
        <w:right w:w="0" w:type="dxa"/>
      </w:tblCellMar>
    </w:tblPr>
  </w:style>
  <w:style w:type="table" w:customStyle="1" w:styleId="124">
    <w:name w:val="List Table 1 Light - Accent 4"/>
    <w:qFormat/>
    <w:uiPriority w:val="99"/>
    <w:tblPr>
      <w:tblLayout w:type="fixed"/>
      <w:tblCellMar>
        <w:top w:w="0" w:type="dxa"/>
        <w:left w:w="0" w:type="dxa"/>
        <w:bottom w:w="0" w:type="dxa"/>
        <w:right w:w="0" w:type="dxa"/>
      </w:tblCellMar>
    </w:tblPr>
  </w:style>
  <w:style w:type="table" w:customStyle="1" w:styleId="125">
    <w:name w:val="List Table 1 Light - Accent 5"/>
    <w:qFormat/>
    <w:uiPriority w:val="99"/>
    <w:tblPr>
      <w:tblLayout w:type="fixed"/>
      <w:tblCellMar>
        <w:top w:w="0" w:type="dxa"/>
        <w:left w:w="0" w:type="dxa"/>
        <w:bottom w:w="0" w:type="dxa"/>
        <w:right w:w="0" w:type="dxa"/>
      </w:tblCellMar>
    </w:tblPr>
  </w:style>
  <w:style w:type="table" w:customStyle="1" w:styleId="126">
    <w:name w:val="List Table 1 Light - Accent 6"/>
    <w:qFormat/>
    <w:uiPriority w:val="99"/>
    <w:tblPr>
      <w:tblLayout w:type="fixed"/>
      <w:tblCellMar>
        <w:top w:w="0" w:type="dxa"/>
        <w:left w:w="0" w:type="dxa"/>
        <w:bottom w:w="0" w:type="dxa"/>
        <w:right w:w="0" w:type="dxa"/>
      </w:tblCellMar>
    </w:tblPr>
  </w:style>
  <w:style w:type="table" w:customStyle="1" w:styleId="127">
    <w:name w:val="清单表 21"/>
    <w:qFormat/>
    <w:uiPriority w:val="99"/>
    <w:tblPr>
      <w:tblBorders>
        <w:top w:val="single" w:color="6F6F6F" w:sz="4" w:space="0"/>
        <w:bottom w:val="single" w:color="6F6F6F" w:sz="4" w:space="0"/>
        <w:insideH w:val="single" w:color="6F6F6F" w:sz="4" w:space="0"/>
      </w:tblBorders>
      <w:tblLayout w:type="fixed"/>
      <w:tblCellMar>
        <w:top w:w="0" w:type="dxa"/>
        <w:left w:w="0" w:type="dxa"/>
        <w:bottom w:w="0" w:type="dxa"/>
        <w:right w:w="0" w:type="dxa"/>
      </w:tblCellMar>
    </w:tblPr>
  </w:style>
  <w:style w:type="table" w:customStyle="1" w:styleId="128">
    <w:name w:val="List Table 2 - Accent 1"/>
    <w:qFormat/>
    <w:uiPriority w:val="99"/>
    <w:tblPr>
      <w:tblBorders>
        <w:top w:val="single" w:color="9BB7D9" w:sz="4" w:space="0"/>
        <w:bottom w:val="single" w:color="9BB7D9" w:sz="4" w:space="0"/>
        <w:insideH w:val="single" w:color="9BB7D9" w:sz="4" w:space="0"/>
      </w:tblBorders>
      <w:tblLayout w:type="fixed"/>
      <w:tblCellMar>
        <w:top w:w="0" w:type="dxa"/>
        <w:left w:w="0" w:type="dxa"/>
        <w:bottom w:w="0" w:type="dxa"/>
        <w:right w:w="0" w:type="dxa"/>
      </w:tblCellMar>
    </w:tblPr>
  </w:style>
  <w:style w:type="table" w:customStyle="1" w:styleId="129">
    <w:name w:val="List Table 2 - Accent 2"/>
    <w:qFormat/>
    <w:uiPriority w:val="99"/>
    <w:tblPr>
      <w:tblBorders>
        <w:top w:val="single" w:color="DB9B9A" w:sz="4" w:space="0"/>
        <w:bottom w:val="single" w:color="DB9B9A" w:sz="4" w:space="0"/>
        <w:insideH w:val="single" w:color="DB9B9A" w:sz="4" w:space="0"/>
      </w:tblBorders>
      <w:tblLayout w:type="fixed"/>
      <w:tblCellMar>
        <w:top w:w="0" w:type="dxa"/>
        <w:left w:w="0" w:type="dxa"/>
        <w:bottom w:w="0" w:type="dxa"/>
        <w:right w:w="0" w:type="dxa"/>
      </w:tblCellMar>
    </w:tblPr>
  </w:style>
  <w:style w:type="table" w:customStyle="1" w:styleId="130">
    <w:name w:val="List Table 2 - Accent 3"/>
    <w:qFormat/>
    <w:uiPriority w:val="99"/>
    <w:tblPr>
      <w:tblBorders>
        <w:top w:val="single" w:color="C6D8A1" w:sz="4" w:space="0"/>
        <w:bottom w:val="single" w:color="C6D8A1" w:sz="4" w:space="0"/>
        <w:insideH w:val="single" w:color="C6D8A1" w:sz="4" w:space="0"/>
      </w:tblBorders>
      <w:tblLayout w:type="fixed"/>
      <w:tblCellMar>
        <w:top w:w="0" w:type="dxa"/>
        <w:left w:w="0" w:type="dxa"/>
        <w:bottom w:w="0" w:type="dxa"/>
        <w:right w:w="0" w:type="dxa"/>
      </w:tblCellMar>
    </w:tblPr>
  </w:style>
  <w:style w:type="table" w:customStyle="1" w:styleId="131">
    <w:name w:val="List Table 2 - Accent 4"/>
    <w:qFormat/>
    <w:uiPriority w:val="99"/>
    <w:tblPr>
      <w:tblBorders>
        <w:top w:val="single" w:color="B7A7CA" w:sz="4" w:space="0"/>
        <w:bottom w:val="single" w:color="B7A7CA" w:sz="4" w:space="0"/>
        <w:insideH w:val="single" w:color="B7A7CA" w:sz="4" w:space="0"/>
      </w:tblBorders>
      <w:tblLayout w:type="fixed"/>
      <w:tblCellMar>
        <w:top w:w="0" w:type="dxa"/>
        <w:left w:w="0" w:type="dxa"/>
        <w:bottom w:w="0" w:type="dxa"/>
        <w:right w:w="0" w:type="dxa"/>
      </w:tblCellMar>
    </w:tblPr>
  </w:style>
  <w:style w:type="table" w:customStyle="1" w:styleId="132">
    <w:name w:val="List Table 2 - Accent 5"/>
    <w:qFormat/>
    <w:uiPriority w:val="99"/>
    <w:tblPr>
      <w:tblBorders>
        <w:top w:val="single" w:color="99D0DE" w:sz="4" w:space="0"/>
        <w:bottom w:val="single" w:color="99D0DE" w:sz="4" w:space="0"/>
        <w:insideH w:val="single" w:color="99D0DE" w:sz="4" w:space="0"/>
      </w:tblBorders>
      <w:tblLayout w:type="fixed"/>
      <w:tblCellMar>
        <w:top w:w="0" w:type="dxa"/>
        <w:left w:w="0" w:type="dxa"/>
        <w:bottom w:w="0" w:type="dxa"/>
        <w:right w:w="0" w:type="dxa"/>
      </w:tblCellMar>
    </w:tblPr>
  </w:style>
  <w:style w:type="table" w:customStyle="1" w:styleId="133">
    <w:name w:val="List Table 2 - Accent 6"/>
    <w:qFormat/>
    <w:uiPriority w:val="99"/>
    <w:tblPr>
      <w:tblBorders>
        <w:top w:val="single" w:color="FAC396" w:sz="4" w:space="0"/>
        <w:bottom w:val="single" w:color="FAC396" w:sz="4" w:space="0"/>
        <w:insideH w:val="single" w:color="FAC396" w:sz="4" w:space="0"/>
      </w:tblBorders>
      <w:tblLayout w:type="fixed"/>
      <w:tblCellMar>
        <w:top w:w="0" w:type="dxa"/>
        <w:left w:w="0" w:type="dxa"/>
        <w:bottom w:w="0" w:type="dxa"/>
        <w:right w:w="0" w:type="dxa"/>
      </w:tblCellMar>
    </w:tblPr>
  </w:style>
  <w:style w:type="table" w:customStyle="1" w:styleId="134">
    <w:name w:val="清单表 31"/>
    <w:qFormat/>
    <w:uiPriority w:val="99"/>
    <w:tblPr>
      <w:tblBorders>
        <w:top w:val="single" w:color="000000" w:sz="4" w:space="0"/>
        <w:left w:val="single" w:color="000000" w:sz="4" w:space="0"/>
        <w:bottom w:val="single" w:color="000000" w:sz="4" w:space="0"/>
        <w:right w:val="single" w:color="000000" w:sz="4" w:space="0"/>
      </w:tblBorders>
      <w:tblLayout w:type="fixed"/>
      <w:tblCellMar>
        <w:top w:w="0" w:type="dxa"/>
        <w:left w:w="0" w:type="dxa"/>
        <w:bottom w:w="0" w:type="dxa"/>
        <w:right w:w="0" w:type="dxa"/>
      </w:tblCellMar>
    </w:tblPr>
  </w:style>
  <w:style w:type="table" w:customStyle="1" w:styleId="135">
    <w:name w:val="List Table 3 - Accent 1"/>
    <w:qFormat/>
    <w:uiPriority w:val="99"/>
    <w:tblPr>
      <w:tblBorders>
        <w:top w:val="single" w:color="4F81BD" w:sz="4" w:space="0"/>
        <w:left w:val="single" w:color="4F81BD" w:sz="4" w:space="0"/>
        <w:bottom w:val="single" w:color="4F81BD" w:sz="4" w:space="0"/>
        <w:right w:val="single" w:color="4F81BD" w:sz="4" w:space="0"/>
      </w:tblBorders>
      <w:tblLayout w:type="fixed"/>
      <w:tblCellMar>
        <w:top w:w="0" w:type="dxa"/>
        <w:left w:w="0" w:type="dxa"/>
        <w:bottom w:w="0" w:type="dxa"/>
        <w:right w:w="0" w:type="dxa"/>
      </w:tblCellMar>
    </w:tblPr>
  </w:style>
  <w:style w:type="table" w:customStyle="1" w:styleId="136">
    <w:name w:val="List Table 3 - Accent 2"/>
    <w:qFormat/>
    <w:uiPriority w:val="99"/>
    <w:tblPr>
      <w:tblBorders>
        <w:top w:val="single" w:color="D99695" w:sz="4" w:space="0"/>
        <w:left w:val="single" w:color="D99695" w:sz="4" w:space="0"/>
        <w:bottom w:val="single" w:color="D99695" w:sz="4" w:space="0"/>
        <w:right w:val="single" w:color="D99695" w:sz="4" w:space="0"/>
      </w:tblBorders>
      <w:tblLayout w:type="fixed"/>
      <w:tblCellMar>
        <w:top w:w="0" w:type="dxa"/>
        <w:left w:w="0" w:type="dxa"/>
        <w:bottom w:w="0" w:type="dxa"/>
        <w:right w:w="0" w:type="dxa"/>
      </w:tblCellMar>
    </w:tblPr>
  </w:style>
  <w:style w:type="table" w:customStyle="1" w:styleId="137">
    <w:name w:val="List Table 3 - Accent 3"/>
    <w:qFormat/>
    <w:uiPriority w:val="99"/>
    <w:tblPr>
      <w:tblBorders>
        <w:top w:val="single" w:color="C3D69B" w:sz="4" w:space="0"/>
        <w:left w:val="single" w:color="C3D69B" w:sz="4" w:space="0"/>
        <w:bottom w:val="single" w:color="C3D69B" w:sz="4" w:space="0"/>
        <w:right w:val="single" w:color="C3D69B" w:sz="4" w:space="0"/>
      </w:tblBorders>
      <w:tblLayout w:type="fixed"/>
      <w:tblCellMar>
        <w:top w:w="0" w:type="dxa"/>
        <w:left w:w="0" w:type="dxa"/>
        <w:bottom w:w="0" w:type="dxa"/>
        <w:right w:w="0" w:type="dxa"/>
      </w:tblCellMar>
    </w:tblPr>
  </w:style>
  <w:style w:type="table" w:customStyle="1" w:styleId="138">
    <w:name w:val="List Table 3 - Accent 4"/>
    <w:qFormat/>
    <w:uiPriority w:val="99"/>
    <w:tblPr>
      <w:tblBorders>
        <w:top w:val="single" w:color="B2A1C6" w:sz="4" w:space="0"/>
        <w:left w:val="single" w:color="B2A1C6" w:sz="4" w:space="0"/>
        <w:bottom w:val="single" w:color="B2A1C6" w:sz="4" w:space="0"/>
        <w:right w:val="single" w:color="B2A1C6" w:sz="4" w:space="0"/>
      </w:tblBorders>
      <w:tblLayout w:type="fixed"/>
      <w:tblCellMar>
        <w:top w:w="0" w:type="dxa"/>
        <w:left w:w="0" w:type="dxa"/>
        <w:bottom w:w="0" w:type="dxa"/>
        <w:right w:w="0" w:type="dxa"/>
      </w:tblCellMar>
    </w:tblPr>
  </w:style>
  <w:style w:type="table" w:customStyle="1" w:styleId="139">
    <w:name w:val="List Table 3 - Accent 5"/>
    <w:qFormat/>
    <w:uiPriority w:val="99"/>
    <w:tblPr>
      <w:tblBorders>
        <w:top w:val="single" w:color="92CCDC" w:sz="4" w:space="0"/>
        <w:left w:val="single" w:color="92CCDC" w:sz="4" w:space="0"/>
        <w:bottom w:val="single" w:color="92CCDC" w:sz="4" w:space="0"/>
        <w:right w:val="single" w:color="92CCDC" w:sz="4" w:space="0"/>
      </w:tblBorders>
      <w:tblLayout w:type="fixed"/>
      <w:tblCellMar>
        <w:top w:w="0" w:type="dxa"/>
        <w:left w:w="0" w:type="dxa"/>
        <w:bottom w:w="0" w:type="dxa"/>
        <w:right w:w="0" w:type="dxa"/>
      </w:tblCellMar>
    </w:tblPr>
  </w:style>
  <w:style w:type="table" w:customStyle="1" w:styleId="140">
    <w:name w:val="List Table 3 - Accent 6"/>
    <w:qFormat/>
    <w:uiPriority w:val="99"/>
    <w:tblPr>
      <w:tblBorders>
        <w:top w:val="single" w:color="FAC090" w:sz="4" w:space="0"/>
        <w:left w:val="single" w:color="FAC090" w:sz="4" w:space="0"/>
        <w:bottom w:val="single" w:color="FAC090" w:sz="4" w:space="0"/>
        <w:right w:val="single" w:color="FAC090" w:sz="4" w:space="0"/>
      </w:tblBorders>
      <w:tblLayout w:type="fixed"/>
      <w:tblCellMar>
        <w:top w:w="0" w:type="dxa"/>
        <w:left w:w="0" w:type="dxa"/>
        <w:bottom w:w="0" w:type="dxa"/>
        <w:right w:w="0" w:type="dxa"/>
      </w:tblCellMar>
    </w:tblPr>
  </w:style>
  <w:style w:type="table" w:customStyle="1" w:styleId="141">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top w:w="0" w:type="dxa"/>
        <w:left w:w="0" w:type="dxa"/>
        <w:bottom w:w="0" w:type="dxa"/>
        <w:right w:w="0" w:type="dxa"/>
      </w:tblCellMar>
    </w:tblPr>
  </w:style>
  <w:style w:type="table" w:customStyle="1" w:styleId="14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top w:w="0" w:type="dxa"/>
        <w:left w:w="0" w:type="dxa"/>
        <w:bottom w:w="0" w:type="dxa"/>
        <w:right w:w="0" w:type="dxa"/>
      </w:tblCellMar>
    </w:tblPr>
  </w:style>
  <w:style w:type="table" w:customStyle="1" w:styleId="14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top w:w="0" w:type="dxa"/>
        <w:left w:w="0" w:type="dxa"/>
        <w:bottom w:w="0" w:type="dxa"/>
        <w:right w:w="0" w:type="dxa"/>
      </w:tblCellMar>
    </w:tblPr>
  </w:style>
  <w:style w:type="table" w:customStyle="1" w:styleId="14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top w:w="0" w:type="dxa"/>
        <w:left w:w="0" w:type="dxa"/>
        <w:bottom w:w="0" w:type="dxa"/>
        <w:right w:w="0" w:type="dxa"/>
      </w:tblCellMar>
    </w:tblPr>
  </w:style>
  <w:style w:type="table" w:customStyle="1" w:styleId="14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top w:w="0" w:type="dxa"/>
        <w:left w:w="0" w:type="dxa"/>
        <w:bottom w:w="0" w:type="dxa"/>
        <w:right w:w="0" w:type="dxa"/>
      </w:tblCellMar>
    </w:tblPr>
  </w:style>
  <w:style w:type="table" w:customStyle="1" w:styleId="14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top w:w="0" w:type="dxa"/>
        <w:left w:w="0" w:type="dxa"/>
        <w:bottom w:w="0" w:type="dxa"/>
        <w:right w:w="0" w:type="dxa"/>
      </w:tblCellMar>
    </w:tblPr>
  </w:style>
  <w:style w:type="table" w:customStyle="1" w:styleId="14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top w:w="0" w:type="dxa"/>
        <w:left w:w="0" w:type="dxa"/>
        <w:bottom w:w="0" w:type="dxa"/>
        <w:right w:w="0" w:type="dxa"/>
      </w:tblCellMar>
    </w:tblPr>
  </w:style>
  <w:style w:type="table" w:customStyle="1" w:styleId="148">
    <w:name w:val="清单表 5 深色1"/>
    <w:qFormat/>
    <w:uiPriority w:val="99"/>
    <w:tblPr>
      <w:tblBorders>
        <w:top w:val="single" w:color="7F7F7F" w:sz="32" w:space="0"/>
        <w:left w:val="single" w:color="7F7F7F" w:sz="32" w:space="0"/>
        <w:bottom w:val="single" w:color="7F7F7F" w:sz="32" w:space="0"/>
        <w:right w:val="single" w:color="7F7F7F" w:sz="32" w:space="0"/>
      </w:tblBorders>
      <w:tblLayout w:type="fixed"/>
      <w:tblCellMar>
        <w:top w:w="0" w:type="dxa"/>
        <w:left w:w="0" w:type="dxa"/>
        <w:bottom w:w="0" w:type="dxa"/>
        <w:right w:w="0" w:type="dxa"/>
      </w:tblCellMar>
    </w:tblPr>
  </w:style>
  <w:style w:type="table" w:customStyle="1" w:styleId="14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Layout w:type="fixed"/>
      <w:tblCellMar>
        <w:top w:w="0" w:type="dxa"/>
        <w:left w:w="0" w:type="dxa"/>
        <w:bottom w:w="0" w:type="dxa"/>
        <w:right w:w="0" w:type="dxa"/>
      </w:tblCellMar>
    </w:tblPr>
  </w:style>
  <w:style w:type="table" w:customStyle="1" w:styleId="15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Layout w:type="fixed"/>
      <w:tblCellMar>
        <w:top w:w="0" w:type="dxa"/>
        <w:left w:w="0" w:type="dxa"/>
        <w:bottom w:w="0" w:type="dxa"/>
        <w:right w:w="0" w:type="dxa"/>
      </w:tblCellMar>
    </w:tblPr>
  </w:style>
  <w:style w:type="table" w:customStyle="1" w:styleId="15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Layout w:type="fixed"/>
      <w:tblCellMar>
        <w:top w:w="0" w:type="dxa"/>
        <w:left w:w="0" w:type="dxa"/>
        <w:bottom w:w="0" w:type="dxa"/>
        <w:right w:w="0" w:type="dxa"/>
      </w:tblCellMar>
    </w:tblPr>
  </w:style>
  <w:style w:type="table" w:customStyle="1" w:styleId="15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Layout w:type="fixed"/>
      <w:tblCellMar>
        <w:top w:w="0" w:type="dxa"/>
        <w:left w:w="0" w:type="dxa"/>
        <w:bottom w:w="0" w:type="dxa"/>
        <w:right w:w="0" w:type="dxa"/>
      </w:tblCellMar>
    </w:tblPr>
  </w:style>
  <w:style w:type="table" w:customStyle="1" w:styleId="15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Layout w:type="fixed"/>
      <w:tblCellMar>
        <w:top w:w="0" w:type="dxa"/>
        <w:left w:w="0" w:type="dxa"/>
        <w:bottom w:w="0" w:type="dxa"/>
        <w:right w:w="0" w:type="dxa"/>
      </w:tblCellMar>
    </w:tblPr>
  </w:style>
  <w:style w:type="table" w:customStyle="1" w:styleId="15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Layout w:type="fixed"/>
      <w:tblCellMar>
        <w:top w:w="0" w:type="dxa"/>
        <w:left w:w="0" w:type="dxa"/>
        <w:bottom w:w="0" w:type="dxa"/>
        <w:right w:w="0" w:type="dxa"/>
      </w:tblCellMar>
    </w:tblPr>
  </w:style>
  <w:style w:type="table" w:customStyle="1" w:styleId="155">
    <w:name w:val="清单表 6 彩色1"/>
    <w:qFormat/>
    <w:uiPriority w:val="99"/>
    <w:tblPr>
      <w:tblBorders>
        <w:top w:val="single" w:color="7F7F7F" w:sz="4" w:space="0"/>
        <w:bottom w:val="single" w:color="7F7F7F" w:sz="4" w:space="0"/>
      </w:tblBorders>
      <w:tblLayout w:type="fixed"/>
      <w:tblCellMar>
        <w:top w:w="0" w:type="dxa"/>
        <w:left w:w="0" w:type="dxa"/>
        <w:bottom w:w="0" w:type="dxa"/>
        <w:right w:w="0" w:type="dxa"/>
      </w:tblCellMar>
    </w:tblPr>
  </w:style>
  <w:style w:type="table" w:customStyle="1" w:styleId="156">
    <w:name w:val="List Table 6 Colorful - Accent 1"/>
    <w:qFormat/>
    <w:uiPriority w:val="99"/>
    <w:tblPr>
      <w:tblBorders>
        <w:top w:val="single" w:color="4F81BD" w:sz="4" w:space="0"/>
        <w:bottom w:val="single" w:color="4F81BD" w:sz="4" w:space="0"/>
      </w:tblBorders>
      <w:tblLayout w:type="fixed"/>
      <w:tblCellMar>
        <w:top w:w="0" w:type="dxa"/>
        <w:left w:w="0" w:type="dxa"/>
        <w:bottom w:w="0" w:type="dxa"/>
        <w:right w:w="0" w:type="dxa"/>
      </w:tblCellMar>
    </w:tblPr>
  </w:style>
  <w:style w:type="table" w:customStyle="1" w:styleId="157">
    <w:name w:val="List Table 6 Colorful - Accent 2"/>
    <w:qFormat/>
    <w:uiPriority w:val="99"/>
    <w:tblPr>
      <w:tblBorders>
        <w:top w:val="single" w:color="D99695" w:sz="4" w:space="0"/>
        <w:bottom w:val="single" w:color="D99695" w:sz="4" w:space="0"/>
      </w:tblBorders>
      <w:tblLayout w:type="fixed"/>
      <w:tblCellMar>
        <w:top w:w="0" w:type="dxa"/>
        <w:left w:w="0" w:type="dxa"/>
        <w:bottom w:w="0" w:type="dxa"/>
        <w:right w:w="0" w:type="dxa"/>
      </w:tblCellMar>
    </w:tblPr>
  </w:style>
  <w:style w:type="table" w:customStyle="1" w:styleId="158">
    <w:name w:val="List Table 6 Colorful - Accent 3"/>
    <w:qFormat/>
    <w:uiPriority w:val="99"/>
    <w:tblPr>
      <w:tblBorders>
        <w:top w:val="single" w:color="C3D69B" w:sz="4" w:space="0"/>
        <w:bottom w:val="single" w:color="C3D69B" w:sz="4" w:space="0"/>
      </w:tblBorders>
      <w:tblLayout w:type="fixed"/>
      <w:tblCellMar>
        <w:top w:w="0" w:type="dxa"/>
        <w:left w:w="0" w:type="dxa"/>
        <w:bottom w:w="0" w:type="dxa"/>
        <w:right w:w="0" w:type="dxa"/>
      </w:tblCellMar>
    </w:tblPr>
  </w:style>
  <w:style w:type="table" w:customStyle="1" w:styleId="159">
    <w:name w:val="List Table 6 Colorful - Accent 4"/>
    <w:qFormat/>
    <w:uiPriority w:val="99"/>
    <w:tblPr>
      <w:tblBorders>
        <w:top w:val="single" w:color="B2A1C6" w:sz="4" w:space="0"/>
        <w:bottom w:val="single" w:color="B2A1C6" w:sz="4" w:space="0"/>
      </w:tblBorders>
      <w:tblLayout w:type="fixed"/>
      <w:tblCellMar>
        <w:top w:w="0" w:type="dxa"/>
        <w:left w:w="0" w:type="dxa"/>
        <w:bottom w:w="0" w:type="dxa"/>
        <w:right w:w="0" w:type="dxa"/>
      </w:tblCellMar>
    </w:tblPr>
  </w:style>
  <w:style w:type="table" w:customStyle="1" w:styleId="160">
    <w:name w:val="List Table 6 Colorful - Accent 5"/>
    <w:qFormat/>
    <w:uiPriority w:val="99"/>
    <w:tblPr>
      <w:tblBorders>
        <w:top w:val="single" w:color="92CCDC" w:sz="4" w:space="0"/>
        <w:bottom w:val="single" w:color="92CCDC" w:sz="4" w:space="0"/>
      </w:tblBorders>
      <w:tblLayout w:type="fixed"/>
      <w:tblCellMar>
        <w:top w:w="0" w:type="dxa"/>
        <w:left w:w="0" w:type="dxa"/>
        <w:bottom w:w="0" w:type="dxa"/>
        <w:right w:w="0" w:type="dxa"/>
      </w:tblCellMar>
    </w:tblPr>
  </w:style>
  <w:style w:type="table" w:customStyle="1" w:styleId="161">
    <w:name w:val="List Table 6 Colorful - Accent 6"/>
    <w:qFormat/>
    <w:uiPriority w:val="99"/>
    <w:tblPr>
      <w:tblBorders>
        <w:top w:val="single" w:color="FAC090" w:sz="4" w:space="0"/>
        <w:bottom w:val="single" w:color="FAC090" w:sz="4" w:space="0"/>
      </w:tblBorders>
      <w:tblLayout w:type="fixed"/>
      <w:tblCellMar>
        <w:top w:w="0" w:type="dxa"/>
        <w:left w:w="0" w:type="dxa"/>
        <w:bottom w:w="0" w:type="dxa"/>
        <w:right w:w="0" w:type="dxa"/>
      </w:tblCellMar>
    </w:tblPr>
  </w:style>
  <w:style w:type="table" w:customStyle="1" w:styleId="162">
    <w:name w:val="清单表 7 彩色1"/>
    <w:qFormat/>
    <w:uiPriority w:val="99"/>
    <w:tblPr>
      <w:tblBorders>
        <w:right w:val="single" w:color="7F7F7F" w:sz="4" w:space="0"/>
      </w:tblBorders>
      <w:tblLayout w:type="fixed"/>
      <w:tblCellMar>
        <w:top w:w="0" w:type="dxa"/>
        <w:left w:w="0" w:type="dxa"/>
        <w:bottom w:w="0" w:type="dxa"/>
        <w:right w:w="0" w:type="dxa"/>
      </w:tblCellMar>
    </w:tblPr>
  </w:style>
  <w:style w:type="table" w:customStyle="1" w:styleId="163">
    <w:name w:val="List Table 7 Colorful - Accent 1"/>
    <w:qFormat/>
    <w:uiPriority w:val="99"/>
    <w:tblPr>
      <w:tblBorders>
        <w:right w:val="single" w:color="4F81BD" w:sz="4" w:space="0"/>
      </w:tblBorders>
      <w:tblLayout w:type="fixed"/>
      <w:tblCellMar>
        <w:top w:w="0" w:type="dxa"/>
        <w:left w:w="0" w:type="dxa"/>
        <w:bottom w:w="0" w:type="dxa"/>
        <w:right w:w="0" w:type="dxa"/>
      </w:tblCellMar>
    </w:tblPr>
  </w:style>
  <w:style w:type="table" w:customStyle="1" w:styleId="164">
    <w:name w:val="List Table 7 Colorful - Accent 2"/>
    <w:qFormat/>
    <w:uiPriority w:val="99"/>
    <w:tblPr>
      <w:tblBorders>
        <w:right w:val="single" w:color="D99695" w:sz="4" w:space="0"/>
      </w:tblBorders>
      <w:tblLayout w:type="fixed"/>
      <w:tblCellMar>
        <w:top w:w="0" w:type="dxa"/>
        <w:left w:w="0" w:type="dxa"/>
        <w:bottom w:w="0" w:type="dxa"/>
        <w:right w:w="0" w:type="dxa"/>
      </w:tblCellMar>
    </w:tblPr>
  </w:style>
  <w:style w:type="table" w:customStyle="1" w:styleId="165">
    <w:name w:val="List Table 7 Colorful - Accent 3"/>
    <w:qFormat/>
    <w:uiPriority w:val="99"/>
    <w:tblPr>
      <w:tblBorders>
        <w:right w:val="single" w:color="C3D69B" w:sz="4" w:space="0"/>
      </w:tblBorders>
      <w:tblLayout w:type="fixed"/>
      <w:tblCellMar>
        <w:top w:w="0" w:type="dxa"/>
        <w:left w:w="0" w:type="dxa"/>
        <w:bottom w:w="0" w:type="dxa"/>
        <w:right w:w="0" w:type="dxa"/>
      </w:tblCellMar>
    </w:tblPr>
  </w:style>
  <w:style w:type="table" w:customStyle="1" w:styleId="166">
    <w:name w:val="List Table 7 Colorful - Accent 4"/>
    <w:qFormat/>
    <w:uiPriority w:val="99"/>
    <w:tblPr>
      <w:tblBorders>
        <w:right w:val="single" w:color="B2A1C6" w:sz="4" w:space="0"/>
      </w:tblBorders>
      <w:tblLayout w:type="fixed"/>
      <w:tblCellMar>
        <w:top w:w="0" w:type="dxa"/>
        <w:left w:w="0" w:type="dxa"/>
        <w:bottom w:w="0" w:type="dxa"/>
        <w:right w:w="0" w:type="dxa"/>
      </w:tblCellMar>
    </w:tblPr>
  </w:style>
  <w:style w:type="table" w:customStyle="1" w:styleId="167">
    <w:name w:val="List Table 7 Colorful - Accent 5"/>
    <w:qFormat/>
    <w:uiPriority w:val="99"/>
    <w:tblPr>
      <w:tblBorders>
        <w:right w:val="single" w:color="92CCDC" w:sz="4" w:space="0"/>
      </w:tblBorders>
      <w:tblLayout w:type="fixed"/>
      <w:tblCellMar>
        <w:top w:w="0" w:type="dxa"/>
        <w:left w:w="0" w:type="dxa"/>
        <w:bottom w:w="0" w:type="dxa"/>
        <w:right w:w="0" w:type="dxa"/>
      </w:tblCellMar>
    </w:tblPr>
  </w:style>
  <w:style w:type="table" w:customStyle="1" w:styleId="168">
    <w:name w:val="List Table 7 Colorful - Accent 6"/>
    <w:qFormat/>
    <w:uiPriority w:val="99"/>
    <w:tblPr>
      <w:tblBorders>
        <w:right w:val="single" w:color="FAC090" w:sz="4" w:space="0"/>
      </w:tblBorders>
      <w:tblLayout w:type="fixed"/>
      <w:tblCellMar>
        <w:top w:w="0" w:type="dxa"/>
        <w:left w:w="0" w:type="dxa"/>
        <w:bottom w:w="0" w:type="dxa"/>
        <w:right w:w="0" w:type="dxa"/>
      </w:tblCellMar>
    </w:tblPr>
  </w:style>
  <w:style w:type="table" w:customStyle="1" w:styleId="169">
    <w:name w:val="Lined - Accent"/>
    <w:qFormat/>
    <w:uiPriority w:val="99"/>
    <w:rPr>
      <w:color w:val="404040"/>
    </w:rPr>
    <w:tblPr>
      <w:tblLayout w:type="fixed"/>
      <w:tblCellMar>
        <w:top w:w="0" w:type="dxa"/>
        <w:left w:w="0" w:type="dxa"/>
        <w:bottom w:w="0" w:type="dxa"/>
        <w:right w:w="0" w:type="dxa"/>
      </w:tblCellMar>
    </w:tblPr>
  </w:style>
  <w:style w:type="table" w:customStyle="1" w:styleId="170">
    <w:name w:val="Lined - Accent 1"/>
    <w:qFormat/>
    <w:uiPriority w:val="99"/>
    <w:rPr>
      <w:color w:val="404040"/>
    </w:rPr>
    <w:tblPr>
      <w:tblLayout w:type="fixed"/>
      <w:tblCellMar>
        <w:top w:w="0" w:type="dxa"/>
        <w:left w:w="0" w:type="dxa"/>
        <w:bottom w:w="0" w:type="dxa"/>
        <w:right w:w="0" w:type="dxa"/>
      </w:tblCellMar>
    </w:tblPr>
  </w:style>
  <w:style w:type="table" w:customStyle="1" w:styleId="171">
    <w:name w:val="Lined - Accent 2"/>
    <w:qFormat/>
    <w:uiPriority w:val="99"/>
    <w:rPr>
      <w:color w:val="404040"/>
    </w:rPr>
    <w:tblPr>
      <w:tblLayout w:type="fixed"/>
      <w:tblCellMar>
        <w:top w:w="0" w:type="dxa"/>
        <w:left w:w="0" w:type="dxa"/>
        <w:bottom w:w="0" w:type="dxa"/>
        <w:right w:w="0" w:type="dxa"/>
      </w:tblCellMar>
    </w:tblPr>
  </w:style>
  <w:style w:type="table" w:customStyle="1" w:styleId="172">
    <w:name w:val="Lined - Accent 3"/>
    <w:qFormat/>
    <w:uiPriority w:val="99"/>
    <w:rPr>
      <w:color w:val="404040"/>
    </w:rPr>
    <w:tblPr>
      <w:tblLayout w:type="fixed"/>
      <w:tblCellMar>
        <w:top w:w="0" w:type="dxa"/>
        <w:left w:w="0" w:type="dxa"/>
        <w:bottom w:w="0" w:type="dxa"/>
        <w:right w:w="0" w:type="dxa"/>
      </w:tblCellMar>
    </w:tblPr>
  </w:style>
  <w:style w:type="table" w:customStyle="1" w:styleId="173">
    <w:name w:val="Lined - Accent 4"/>
    <w:qFormat/>
    <w:uiPriority w:val="99"/>
    <w:rPr>
      <w:color w:val="404040"/>
    </w:rPr>
    <w:tblPr>
      <w:tblLayout w:type="fixed"/>
      <w:tblCellMar>
        <w:top w:w="0" w:type="dxa"/>
        <w:left w:w="0" w:type="dxa"/>
        <w:bottom w:w="0" w:type="dxa"/>
        <w:right w:w="0" w:type="dxa"/>
      </w:tblCellMar>
    </w:tblPr>
  </w:style>
  <w:style w:type="table" w:customStyle="1" w:styleId="174">
    <w:name w:val="Lined - Accent 5"/>
    <w:qFormat/>
    <w:uiPriority w:val="99"/>
    <w:rPr>
      <w:color w:val="404040"/>
    </w:rPr>
    <w:tblPr>
      <w:tblLayout w:type="fixed"/>
      <w:tblCellMar>
        <w:top w:w="0" w:type="dxa"/>
        <w:left w:w="0" w:type="dxa"/>
        <w:bottom w:w="0" w:type="dxa"/>
        <w:right w:w="0" w:type="dxa"/>
      </w:tblCellMar>
    </w:tblPr>
  </w:style>
  <w:style w:type="table" w:customStyle="1" w:styleId="175">
    <w:name w:val="Lined - Accent 6"/>
    <w:qFormat/>
    <w:uiPriority w:val="99"/>
    <w:rPr>
      <w:color w:val="404040"/>
    </w:rPr>
    <w:tblPr>
      <w:tblLayout w:type="fixed"/>
      <w:tblCellMar>
        <w:top w:w="0" w:type="dxa"/>
        <w:left w:w="0" w:type="dxa"/>
        <w:bottom w:w="0" w:type="dxa"/>
        <w:right w:w="0" w:type="dxa"/>
      </w:tblCellMar>
    </w:tblPr>
  </w:style>
  <w:style w:type="table" w:customStyle="1" w:styleId="17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0" w:type="dxa"/>
        <w:bottom w:w="0" w:type="dxa"/>
        <w:right w:w="0" w:type="dxa"/>
      </w:tblCellMar>
    </w:tblPr>
  </w:style>
  <w:style w:type="table" w:customStyle="1" w:styleId="17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top w:w="0" w:type="dxa"/>
        <w:left w:w="0" w:type="dxa"/>
        <w:bottom w:w="0" w:type="dxa"/>
        <w:right w:w="0" w:type="dxa"/>
      </w:tblCellMar>
    </w:tblPr>
  </w:style>
  <w:style w:type="table" w:customStyle="1" w:styleId="17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top w:w="0" w:type="dxa"/>
        <w:left w:w="0" w:type="dxa"/>
        <w:bottom w:w="0" w:type="dxa"/>
        <w:right w:w="0" w:type="dxa"/>
      </w:tblCellMar>
    </w:tblPr>
  </w:style>
  <w:style w:type="table" w:customStyle="1" w:styleId="17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top w:w="0" w:type="dxa"/>
        <w:left w:w="0" w:type="dxa"/>
        <w:bottom w:w="0" w:type="dxa"/>
        <w:right w:w="0" w:type="dxa"/>
      </w:tblCellMar>
    </w:tblPr>
  </w:style>
  <w:style w:type="table" w:customStyle="1" w:styleId="18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top w:w="0" w:type="dxa"/>
        <w:left w:w="0" w:type="dxa"/>
        <w:bottom w:w="0" w:type="dxa"/>
        <w:right w:w="0" w:type="dxa"/>
      </w:tblCellMar>
    </w:tblPr>
  </w:style>
  <w:style w:type="table" w:customStyle="1" w:styleId="18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top w:w="0" w:type="dxa"/>
        <w:left w:w="0" w:type="dxa"/>
        <w:bottom w:w="0" w:type="dxa"/>
        <w:right w:w="0" w:type="dxa"/>
      </w:tblCellMar>
    </w:tblPr>
  </w:style>
  <w:style w:type="table" w:customStyle="1" w:styleId="18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top w:w="0" w:type="dxa"/>
        <w:left w:w="0" w:type="dxa"/>
        <w:bottom w:w="0" w:type="dxa"/>
        <w:right w:w="0" w:type="dxa"/>
      </w:tblCellMar>
    </w:tblPr>
  </w:style>
  <w:style w:type="table" w:customStyle="1" w:styleId="18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style>
  <w:style w:type="table" w:customStyle="1" w:styleId="18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18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18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18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18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18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character" w:customStyle="1" w:styleId="190">
    <w:name w:val="脚注文本 字符"/>
    <w:link w:val="29"/>
    <w:qFormat/>
    <w:uiPriority w:val="99"/>
    <w:rPr>
      <w:sz w:val="18"/>
    </w:rPr>
  </w:style>
  <w:style w:type="character" w:customStyle="1" w:styleId="191">
    <w:name w:val="尾注文本 字符"/>
    <w:link w:val="23"/>
    <w:qFormat/>
    <w:uiPriority w:val="99"/>
    <w:rPr>
      <w:sz w:val="20"/>
    </w:rPr>
  </w:style>
  <w:style w:type="paragraph" w:customStyle="1" w:styleId="192">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3">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4">
    <w:name w:val="标题 31"/>
    <w:basedOn w:val="1"/>
    <w:next w:val="195"/>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5">
    <w:name w:val="正文缩进1"/>
    <w:basedOn w:val="1"/>
    <w:next w:val="1"/>
    <w:link w:val="198"/>
    <w:qFormat/>
    <w:uiPriority w:val="0"/>
    <w:pPr>
      <w:ind w:firstLine="420"/>
    </w:pPr>
  </w:style>
  <w:style w:type="character" w:customStyle="1" w:styleId="196">
    <w:name w:val="默认段落字体1"/>
    <w:semiHidden/>
    <w:qFormat/>
    <w:uiPriority w:val="0"/>
  </w:style>
  <w:style w:type="table" w:customStyle="1" w:styleId="197">
    <w:name w:val="普通表格1"/>
    <w:semiHidden/>
    <w:qFormat/>
    <w:uiPriority w:val="0"/>
    <w:pPr>
      <w:spacing w:after="160" w:line="278" w:lineRule="auto"/>
    </w:pPr>
    <w:tblPr>
      <w:tblLayout w:type="fixed"/>
      <w:tblCellMar>
        <w:top w:w="0" w:type="dxa"/>
        <w:left w:w="0" w:type="dxa"/>
        <w:bottom w:w="0" w:type="dxa"/>
        <w:right w:w="0" w:type="dxa"/>
      </w:tblCellMar>
    </w:tblPr>
  </w:style>
  <w:style w:type="character" w:customStyle="1" w:styleId="198">
    <w:name w:val="正文缩进 Char"/>
    <w:link w:val="195"/>
    <w:qFormat/>
    <w:uiPriority w:val="0"/>
    <w:rPr>
      <w:sz w:val="21"/>
      <w:szCs w:val="24"/>
    </w:rPr>
  </w:style>
  <w:style w:type="paragraph" w:customStyle="1" w:styleId="199">
    <w:name w:val="文档结构图1"/>
    <w:basedOn w:val="1"/>
    <w:semiHidden/>
    <w:qFormat/>
    <w:uiPriority w:val="0"/>
    <w:pPr>
      <w:shd w:val="clear" w:color="auto" w:fill="000080"/>
    </w:pPr>
  </w:style>
  <w:style w:type="paragraph" w:customStyle="1" w:styleId="200">
    <w:name w:val="正文文本 31"/>
    <w:basedOn w:val="1"/>
    <w:qFormat/>
    <w:uiPriority w:val="0"/>
    <w:pPr>
      <w:jc w:val="center"/>
    </w:pPr>
    <w:rPr>
      <w:rFonts w:eastAsia="黑体"/>
      <w:sz w:val="72"/>
    </w:rPr>
  </w:style>
  <w:style w:type="paragraph" w:customStyle="1" w:styleId="201">
    <w:name w:val="正文文本1"/>
    <w:basedOn w:val="1"/>
    <w:qFormat/>
    <w:uiPriority w:val="0"/>
    <w:pPr>
      <w:jc w:val="center"/>
    </w:pPr>
    <w:rPr>
      <w:rFonts w:eastAsia="仿宋_GB2312"/>
      <w:sz w:val="28"/>
    </w:rPr>
  </w:style>
  <w:style w:type="paragraph" w:customStyle="1" w:styleId="202">
    <w:name w:val="正文文本缩进1"/>
    <w:basedOn w:val="1"/>
    <w:link w:val="203"/>
    <w:qFormat/>
    <w:uiPriority w:val="0"/>
    <w:pPr>
      <w:spacing w:after="120"/>
      <w:ind w:left="420"/>
    </w:pPr>
  </w:style>
  <w:style w:type="character" w:customStyle="1" w:styleId="203">
    <w:name w:val="正文文本缩进 Char"/>
    <w:link w:val="202"/>
    <w:qFormat/>
    <w:uiPriority w:val="0"/>
    <w:rPr>
      <w:sz w:val="21"/>
      <w:szCs w:val="24"/>
    </w:rPr>
  </w:style>
  <w:style w:type="paragraph" w:customStyle="1" w:styleId="204">
    <w:name w:val="文本块1"/>
    <w:basedOn w:val="1"/>
    <w:qFormat/>
    <w:uiPriority w:val="0"/>
    <w:pPr>
      <w:ind w:left="420" w:right="33"/>
      <w:jc w:val="left"/>
    </w:pPr>
    <w:rPr>
      <w:sz w:val="24"/>
      <w:szCs w:val="20"/>
    </w:rPr>
  </w:style>
  <w:style w:type="paragraph" w:customStyle="1" w:styleId="205">
    <w:name w:val="纯文本1"/>
    <w:basedOn w:val="1"/>
    <w:link w:val="206"/>
    <w:qFormat/>
    <w:uiPriority w:val="0"/>
    <w:rPr>
      <w:rFonts w:ascii="宋体" w:hAnsi="Courier New"/>
      <w:szCs w:val="20"/>
    </w:rPr>
  </w:style>
  <w:style w:type="character" w:customStyle="1" w:styleId="206">
    <w:name w:val="纯文本 Char"/>
    <w:link w:val="205"/>
    <w:qFormat/>
    <w:uiPriority w:val="0"/>
    <w:rPr>
      <w:rFonts w:ascii="宋体" w:hAnsi="Courier New" w:eastAsia="宋体"/>
      <w:sz w:val="21"/>
      <w:lang w:val="en-US" w:eastAsia="zh-CN" w:bidi="ar-SA"/>
    </w:rPr>
  </w:style>
  <w:style w:type="paragraph" w:customStyle="1" w:styleId="207">
    <w:name w:val="日期1"/>
    <w:basedOn w:val="1"/>
    <w:next w:val="1"/>
    <w:qFormat/>
    <w:uiPriority w:val="0"/>
    <w:pPr>
      <w:ind w:left="100"/>
    </w:pPr>
    <w:rPr>
      <w:rFonts w:ascii="黑体" w:eastAsia="黑体"/>
      <w:sz w:val="72"/>
    </w:rPr>
  </w:style>
  <w:style w:type="paragraph" w:customStyle="1" w:styleId="208">
    <w:name w:val="正文文本缩进 21"/>
    <w:basedOn w:val="1"/>
    <w:qFormat/>
    <w:uiPriority w:val="0"/>
    <w:pPr>
      <w:tabs>
        <w:tab w:val="left" w:pos="9741"/>
      </w:tabs>
      <w:ind w:right="-2" w:firstLine="540"/>
    </w:pPr>
    <w:rPr>
      <w:rFonts w:eastAsia="仿宋_GB2312"/>
      <w:sz w:val="28"/>
    </w:rPr>
  </w:style>
  <w:style w:type="paragraph" w:customStyle="1" w:styleId="209">
    <w:name w:val="批注框文本1"/>
    <w:basedOn w:val="1"/>
    <w:semiHidden/>
    <w:qFormat/>
    <w:uiPriority w:val="0"/>
    <w:rPr>
      <w:sz w:val="18"/>
      <w:szCs w:val="18"/>
    </w:rPr>
  </w:style>
  <w:style w:type="paragraph" w:customStyle="1" w:styleId="210">
    <w:name w:val="页脚1"/>
    <w:basedOn w:val="1"/>
    <w:qFormat/>
    <w:uiPriority w:val="0"/>
    <w:pPr>
      <w:tabs>
        <w:tab w:val="center" w:pos="4153"/>
        <w:tab w:val="right" w:pos="8306"/>
      </w:tabs>
      <w:jc w:val="left"/>
    </w:pPr>
    <w:rPr>
      <w:sz w:val="18"/>
      <w:szCs w:val="18"/>
    </w:rPr>
  </w:style>
  <w:style w:type="paragraph" w:customStyle="1" w:styleId="21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2">
    <w:name w:val="正文文本缩进 31"/>
    <w:basedOn w:val="1"/>
    <w:qFormat/>
    <w:uiPriority w:val="0"/>
    <w:pPr>
      <w:ind w:firstLine="435"/>
    </w:pPr>
    <w:rPr>
      <w:rFonts w:ascii="仿宋_GB2312" w:hAnsi="宋体" w:eastAsia="仿宋_GB2312"/>
      <w:sz w:val="28"/>
    </w:rPr>
  </w:style>
  <w:style w:type="paragraph" w:customStyle="1" w:styleId="213">
    <w:name w:val="正文文本 21"/>
    <w:basedOn w:val="1"/>
    <w:qFormat/>
    <w:uiPriority w:val="0"/>
    <w:rPr>
      <w:rFonts w:ascii="仿宋_GB2312" w:eastAsia="仿宋_GB2312"/>
      <w:sz w:val="28"/>
    </w:rPr>
  </w:style>
  <w:style w:type="paragraph" w:customStyle="1" w:styleId="214">
    <w:name w:val="普通(网站)1"/>
    <w:basedOn w:val="1"/>
    <w:unhideWhenUsed/>
    <w:qFormat/>
    <w:uiPriority w:val="99"/>
    <w:pPr>
      <w:spacing w:before="100" w:beforeAutospacing="1" w:after="100" w:afterAutospacing="1"/>
      <w:jc w:val="left"/>
    </w:pPr>
    <w:rPr>
      <w:sz w:val="24"/>
      <w:szCs w:val="20"/>
    </w:rPr>
  </w:style>
  <w:style w:type="paragraph" w:customStyle="1" w:styleId="215">
    <w:name w:val="正文首行缩进 21"/>
    <w:basedOn w:val="202"/>
    <w:link w:val="216"/>
    <w:qFormat/>
    <w:uiPriority w:val="0"/>
    <w:pPr>
      <w:ind w:firstLine="420"/>
    </w:pPr>
  </w:style>
  <w:style w:type="character" w:customStyle="1" w:styleId="216">
    <w:name w:val="正文首行缩进 2 Char"/>
    <w:link w:val="215"/>
    <w:qFormat/>
    <w:uiPriority w:val="0"/>
    <w:rPr>
      <w:sz w:val="21"/>
      <w:szCs w:val="24"/>
    </w:rPr>
  </w:style>
  <w:style w:type="table" w:customStyle="1" w:styleId="217">
    <w:name w:val="网格型1"/>
    <w:basedOn w:val="197"/>
    <w:qFormat/>
    <w:uiPriority w:val="0"/>
    <w:pPr>
      <w:spacing w:after="0"/>
    </w:pPr>
    <w:rPr>
      <w:rFonts w:ascii="Calibri" w:hAnsi="Calibri" w:cs="Calibri"/>
      <w:sz w:val="21"/>
      <w:szCs w:val="22"/>
    </w:rPr>
  </w:style>
  <w:style w:type="character" w:customStyle="1" w:styleId="218">
    <w:name w:val="页码1"/>
    <w:qFormat/>
    <w:uiPriority w:val="0"/>
  </w:style>
  <w:style w:type="character" w:customStyle="1" w:styleId="219">
    <w:name w:val="已访问的超链接1"/>
    <w:qFormat/>
    <w:uiPriority w:val="0"/>
    <w:rPr>
      <w:color w:val="800080"/>
      <w:u w:val="single"/>
    </w:rPr>
  </w:style>
  <w:style w:type="character" w:customStyle="1" w:styleId="220">
    <w:name w:val="超链接1"/>
    <w:qFormat/>
    <w:uiPriority w:val="0"/>
    <w:rPr>
      <w:color w:val="0000FF"/>
      <w:u w:val="single"/>
    </w:rPr>
  </w:style>
  <w:style w:type="character" w:customStyle="1" w:styleId="221">
    <w:name w:val="纯文本 Char1"/>
    <w:qFormat/>
    <w:uiPriority w:val="0"/>
    <w:rPr>
      <w:rFonts w:ascii="宋体" w:hAnsi="Courier New"/>
      <w:sz w:val="21"/>
    </w:rPr>
  </w:style>
  <w:style w:type="paragraph" w:customStyle="1" w:styleId="22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3">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6">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7">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28">
    <w:name w:val="列出段落"/>
    <w:basedOn w:val="1"/>
    <w:qFormat/>
    <w:uiPriority w:val="99"/>
    <w:pPr>
      <w:ind w:firstLine="420"/>
    </w:pPr>
  </w:style>
  <w:style w:type="paragraph" w:customStyle="1" w:styleId="22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0">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2">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4">
    <w:name w:val="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3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7">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8">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9">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0">
    <w:name w:val="普通正文"/>
    <w:basedOn w:val="1"/>
    <w:qFormat/>
    <w:uiPriority w:val="0"/>
    <w:pPr>
      <w:spacing w:before="120" w:after="120" w:line="360" w:lineRule="auto"/>
      <w:ind w:firstLine="480"/>
      <w:jc w:val="left"/>
    </w:pPr>
    <w:rPr>
      <w:rFonts w:ascii="Arial" w:hAnsi="Arial"/>
      <w:sz w:val="24"/>
    </w:rPr>
  </w:style>
  <w:style w:type="paragraph" w:customStyle="1" w:styleId="24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2">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4">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5">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4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7">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8">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9">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0">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1">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5">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8">
    <w:name w:val="Char Char Char Char"/>
    <w:basedOn w:val="199"/>
    <w:qFormat/>
    <w:uiPriority w:val="0"/>
    <w:pPr>
      <w:spacing w:line="360" w:lineRule="auto"/>
    </w:pPr>
    <w:rPr>
      <w:rFonts w:ascii="Tahoma" w:hAnsi="Tahoma"/>
      <w:sz w:val="24"/>
    </w:rPr>
  </w:style>
  <w:style w:type="paragraph" w:customStyle="1" w:styleId="259">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0">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2">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3">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5">
    <w:name w:val="Char"/>
    <w:basedOn w:val="1"/>
    <w:qFormat/>
    <w:uiPriority w:val="0"/>
    <w:pPr>
      <w:tabs>
        <w:tab w:val="left" w:pos="360"/>
      </w:tabs>
    </w:pPr>
    <w:rPr>
      <w:sz w:val="24"/>
    </w:rPr>
  </w:style>
  <w:style w:type="paragraph" w:customStyle="1" w:styleId="266">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7">
    <w:name w:val="标书正文格式"/>
    <w:qFormat/>
    <w:uiPriority w:val="0"/>
    <w:pPr>
      <w:spacing w:after="160" w:line="360" w:lineRule="auto"/>
      <w:ind w:firstLine="480"/>
      <w:jc w:val="both"/>
    </w:pPr>
    <w:rPr>
      <w:rFonts w:ascii="宋体" w:hAnsi="宋体" w:eastAsia="宋体" w:cs="Times New Roman"/>
      <w:sz w:val="24"/>
      <w:szCs w:val="24"/>
      <w:lang w:val="en-US" w:eastAsia="zh-CN" w:bidi="ar-SA"/>
    </w:rPr>
  </w:style>
  <w:style w:type="paragraph" w:customStyle="1" w:styleId="26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9">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0">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2">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3">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Char Char Char Char Char 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7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6">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7">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9">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0">
    <w:name w:val="Default"/>
    <w:qFormat/>
    <w:uiPriority w:val="0"/>
    <w:pPr>
      <w:widowControl w:val="0"/>
      <w:spacing w:after="160" w:line="278" w:lineRule="auto"/>
    </w:pPr>
    <w:rPr>
      <w:rFonts w:ascii="仿宋" w:hAnsi="Times New Roman" w:eastAsia="仿宋" w:cs="仿宋"/>
      <w:color w:val="000000"/>
      <w:sz w:val="24"/>
      <w:szCs w:val="24"/>
      <w:lang w:val="en-US" w:eastAsia="zh-CN" w:bidi="ar-SA"/>
    </w:rPr>
  </w:style>
  <w:style w:type="paragraph" w:customStyle="1" w:styleId="281">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2">
    <w:name w:val="Char1"/>
    <w:basedOn w:val="199"/>
    <w:qFormat/>
    <w:uiPriority w:val="0"/>
    <w:pPr>
      <w:spacing w:line="360" w:lineRule="auto"/>
    </w:pPr>
    <w:rPr>
      <w:rFonts w:ascii="Tahoma" w:hAnsi="Tahoma"/>
      <w:sz w:val="24"/>
    </w:rPr>
  </w:style>
  <w:style w:type="paragraph" w:customStyle="1" w:styleId="283">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4">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9">
    <w:name w:val="默认段落字体 Para Char Char Char Char Char Char Char Char Char1 Char Char Char Char Char Char Char"/>
    <w:basedOn w:val="199"/>
    <w:qFormat/>
    <w:uiPriority w:val="0"/>
    <w:rPr>
      <w:rFonts w:ascii="Tahoma" w:hAnsi="Tahoma"/>
      <w:sz w:val="24"/>
    </w:rPr>
  </w:style>
  <w:style w:type="paragraph" w:customStyle="1" w:styleId="29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2">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8">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9">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0">
    <w:name w:val="正文_2"/>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301">
    <w:name w:val="正文首行缩进_0"/>
    <w:unhideWhenUsed/>
    <w:qFormat/>
    <w:uiPriority w:val="0"/>
    <w:pPr>
      <w:widowControl w:val="0"/>
      <w:spacing w:after="120" w:line="278" w:lineRule="auto"/>
      <w:ind w:firstLine="420"/>
      <w:jc w:val="both"/>
    </w:pPr>
    <w:rPr>
      <w:rFonts w:ascii="Arial Unicode MS" w:hAnsi="Arial Unicode MS" w:eastAsia="Arial Unicode MS" w:cs="Times New Roman"/>
      <w:sz w:val="28"/>
      <w:lang w:val="en-US" w:eastAsia="zh-CN" w:bidi="ar-SA"/>
    </w:rPr>
  </w:style>
  <w:style w:type="paragraph" w:customStyle="1" w:styleId="302">
    <w:name w:val="[Normal]"/>
    <w:qFormat/>
    <w:uiPriority w:val="0"/>
    <w:pPr>
      <w:spacing w:after="160" w:line="278" w:lineRule="auto"/>
    </w:pPr>
    <w:rPr>
      <w:rFonts w:ascii="宋体" w:hAnsi="宋体" w:eastAsia="宋体" w:cs="Times New Roman"/>
      <w:sz w:val="24"/>
      <w:szCs w:val="22"/>
      <w:lang w:val="zh-CN" w:eastAsia="zh-CN" w:bidi="ar-SA"/>
    </w:rPr>
  </w:style>
  <w:style w:type="paragraph" w:customStyle="1" w:styleId="303">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04">
    <w:name w:val="Normal_21"/>
    <w:qFormat/>
    <w:uiPriority w:val="0"/>
    <w:pPr>
      <w:widowControl w:val="0"/>
      <w:spacing w:after="160" w:line="278" w:lineRule="auto"/>
      <w:jc w:val="both"/>
    </w:pPr>
    <w:rPr>
      <w:rFonts w:ascii="Calibri" w:hAnsi="Calibri" w:eastAsia="Times New Roman" w:cs="Times New Roman"/>
      <w:lang w:val="en-US" w:eastAsia="zh-CN" w:bidi="ar-SA"/>
    </w:rPr>
  </w:style>
  <w:style w:type="paragraph" w:customStyle="1" w:styleId="305">
    <w:name w:val="UserStyle_63"/>
    <w:qFormat/>
    <w:uiPriority w:val="0"/>
    <w:pPr>
      <w:widowControl w:val="0"/>
      <w:spacing w:after="160" w:line="278" w:lineRule="auto"/>
      <w:ind w:firstLine="420"/>
      <w:jc w:val="both"/>
    </w:pPr>
    <w:rPr>
      <w:rFonts w:ascii="Calibri" w:hAnsi="Calibri" w:eastAsia="宋体" w:cs="Times New Roman"/>
      <w:sz w:val="21"/>
      <w:szCs w:val="22"/>
      <w:lang w:val="en-US" w:eastAsia="zh-CN" w:bidi="ar-SA"/>
    </w:rPr>
  </w:style>
  <w:style w:type="paragraph" w:customStyle="1" w:styleId="306">
    <w:name w:val="彩色列表 - 强调文字颜色 11"/>
    <w:basedOn w:val="1"/>
    <w:qFormat/>
    <w:uiPriority w:val="34"/>
    <w:pPr>
      <w:widowControl/>
      <w:spacing w:after="200" w:line="276" w:lineRule="auto"/>
      <w:ind w:firstLine="420"/>
    </w:pPr>
  </w:style>
  <w:style w:type="paragraph" w:customStyle="1" w:styleId="307">
    <w:name w:val="ces正文"/>
    <w:basedOn w:val="1"/>
    <w:qFormat/>
    <w:uiPriority w:val="0"/>
    <w:pPr>
      <w:widowControl/>
      <w:tabs>
        <w:tab w:val="left" w:pos="1440"/>
      </w:tabs>
      <w:jc w:val="left"/>
    </w:pPr>
    <w:rPr>
      <w:bCs/>
      <w:szCs w:val="20"/>
    </w:rPr>
  </w:style>
  <w:style w:type="paragraph" w:customStyle="1" w:styleId="308">
    <w:name w:val="纯文本11"/>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2.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4323B6-F034-4778-B2F7-4ED7F594DF5F}">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86</Pages>
  <Words>6067</Words>
  <Characters>34582</Characters>
  <Lines>288</Lines>
  <Paragraphs>81</Paragraphs>
  <TotalTime>49</TotalTime>
  <ScaleCrop>false</ScaleCrop>
  <LinksUpToDate>false</LinksUpToDate>
  <CharactersWithSpaces>40568</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玄姐</cp:lastModifiedBy>
  <cp:lastPrinted>2026-06-18T03:25:28Z</cp:lastPrinted>
  <dcterms:modified xsi:type="dcterms:W3CDTF">2026-06-18T05:13:11Z</dcterms:modified>
  <dc:title>淮安市职业</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2052-11.1.0.9021</vt:lpwstr>
  </property>
  <property fmtid="{D5CDD505-2E9C-101B-9397-08002B2CF9AE}" pid="4" name="ICV">
    <vt:lpwstr>719A252350704CCEA7C871BF20BAE1B5_12</vt:lpwstr>
  </property>
</Properties>
</file>