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rPr>
        <w:t xml:space="preserve">JSZC-320830-SXSD-C2026-0022 </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55"/>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jc w:val="both"/>
        <w:pageBreakBefore w:val="0"/>
        <w:spacing w:line="38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项目名称：盱眙县实验小学运动场地（总部校区篮球场、排球场、看台、三分校排球场等）改造项目</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人：盱眙县实验小学</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采购代理机构：江苏新时代工程项目管理有限公司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6</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宋体" w:hAnsi="宋体" w:eastAsia="宋体" w:cs="宋体"/>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宋体" w:hAnsi="宋体" w:eastAsia="宋体" w:cs="宋体"/>
          <w:b/>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938"/>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盱眙县实验小学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江苏新时代工程项目管理有限公司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JSZC-320830-SXSD-C2026-0022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盱眙县实验小学运动场地（总部校区篮球场、排球场、看台、三分校排球场等）改造项目，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190万元</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43"/>
              <w:numPr>
                <w:ilvl w:val="0"/>
                <w:numId w:val="0"/>
              </w:num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rPr>
                <w:rFonts w:hint="eastAsia" w:ascii="仿宋" w:hAnsi="仿宋" w:eastAsia="仿宋" w:cs="仿宋"/>
                <w:color w:val="auto"/>
                <w:sz w:val="24"/>
                <w:szCs w:val="24"/>
                <w:highlight w:val="none"/>
                <w:lang w:eastAsia="zh-CN"/>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12</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本项目代理费参照苏政采协〔2024〕20号《关于印发〈江苏省政府采购代理服务收费指导意见〉的通知》优惠收取5600元。</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盱眙县实验小学运动场地（总部校区篮球场、排球场、看台、三分校排球场等）改造项目</w:t>
      </w:r>
      <w:r>
        <w:rPr>
          <w:rFonts w:ascii="Segoe UI" w:hAnsi="Segoe UI" w:eastAsia="Segoe UI" w:cs="Segoe UI"/>
          <w:i w:val="0"/>
          <w:iCs w:val="0"/>
          <w:caps w:val="0"/>
          <w:color w:val="auto"/>
          <w:spacing w:val="0"/>
          <w:sz w:val="21"/>
          <w:szCs w:val="21"/>
          <w:highlight w:val="none"/>
          <w:shd w:val="clear" w:color="auto" w:fill="ffffff"/>
        </w:rPr>
        <w:t xml:space="preserve">JSZC-320830-SXSD-C2026-0022</w:t>
      </w:r>
      <w:r>
        <w:rPr>
          <w:rFonts w:hint="eastAsia" w:ascii="仿宋" w:hAnsi="仿宋" w:eastAsia="仿宋" w:cs="仿宋"/>
          <w:color w:val="auto"/>
          <w:sz w:val="24"/>
          <w:szCs w:val="24"/>
          <w:highlight w:val="none"/>
          <w:lang w:eastAsia="zh-CN"/>
        </w:rPr>
        <w:t xml:space="preserve">采购项目的潜在供应商应在</w:t>
      </w:r>
      <w:bookmarkStart w:id="3" w:name="OLE_LINK10"/>
      <w:r>
        <w:rPr>
          <w:rFonts w:hint="eastAsia" w:ascii="仿宋" w:hAnsi="仿宋" w:eastAsia="仿宋" w:cs="仿宋"/>
          <w:color w:val="auto"/>
          <w:sz w:val="24"/>
          <w:szCs w:val="24"/>
          <w:highlight w:val="none"/>
          <w:lang w:eastAsia="zh-CN"/>
        </w:rPr>
        <w:t xml:space="preserve">江苏省政府采购网</w:t>
      </w:r>
      <w:bookmarkEnd w:id="3"/>
      <w:r>
        <w:rPr>
          <w:rFonts w:hint="eastAsia" w:ascii="仿宋" w:hAnsi="仿宋" w:eastAsia="仿宋" w:cs="仿宋"/>
          <w:color w:val="auto"/>
          <w:sz w:val="24"/>
          <w:szCs w:val="24"/>
          <w:highlight w:val="none"/>
          <w:lang w:eastAsia="zh-CN"/>
        </w:rPr>
        <w:t xml:space="preserve">或者淮安市政府采购网获取采购文件，并于202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12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项目编号：JSZC-320830-SXSD-C2026-0022</w:t>
      </w:r>
      <w:r>
        <w:rPr>
          <w:rFonts w:hint="eastAsia" w:ascii="仿宋" w:hAnsi="仿宋" w:eastAsia="仿宋" w:cs="仿宋"/>
          <w:color w:val="auto"/>
          <w:sz w:val="24"/>
          <w:szCs w:val="24"/>
          <w:highlight w:val="non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盱眙县实验小学运动场地（总部校区篮球场、排球场、看台、三分校排球场等）改造项目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190万元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190万元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4" w:name="OLE_LINK43"/>
      <w:r/>
      <w:bookmarkStart w:id="5" w:name="OLE_LINK73"/>
      <w:r>
        <w:rPr>
          <w:rFonts w:hint="eastAsia" w:ascii="仿宋" w:hAnsi="仿宋" w:eastAsia="仿宋" w:cs="仿宋"/>
          <w:color w:val="auto"/>
          <w:sz w:val="24"/>
          <w:szCs w:val="24"/>
          <w:highlight w:val="none"/>
          <w:lang w:eastAsia="zh-CN"/>
        </w:rPr>
        <w:t xml:space="preserve">盱眙县实验小学运动场地（总部校区篮球场、排球场、看台、三分校排球场等）改造项目，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4"/>
      <w:r>
        <w:rPr>
          <w:rFonts w:hint="eastAsia" w:ascii="仿宋" w:hAnsi="仿宋" w:eastAsia="仿宋" w:cs="仿宋"/>
          <w:color w:val="auto"/>
          <w:sz w:val="24"/>
          <w:szCs w:val="24"/>
          <w:highlight w:val="none"/>
        </w:rPr>
        <w:t xml:space="preserve">；</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30日历天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6"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7" w:name="OLE_LINK50"/>
      <w:r>
        <w:rPr>
          <w:rFonts w:hint="eastAsia" w:ascii="仿宋" w:hAnsi="仿宋" w:eastAsia="仿宋" w:cs="仿宋"/>
          <w:color w:val="auto"/>
          <w:sz w:val="24"/>
          <w:szCs w:val="24"/>
          <w:highlight w:val="none"/>
          <w:lang w:val="en-US" w:eastAsia="zh-CN"/>
        </w:rPr>
        <w:t xml:space="preserve">2.</w:t>
      </w:r>
      <w:bookmarkStart w:id="8"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r>
        <w:rPr>
          <w:rFonts w:hint="eastAsia" w:ascii="仿宋" w:hAnsi="仿宋" w:eastAsia="仿宋" w:cs="仿宋"/>
          <w:color w:val="auto"/>
          <w:sz w:val="24"/>
          <w:szCs w:val="24"/>
          <w:highlight w:val="none"/>
          <w:lang w:eastAsia="zh-CN"/>
        </w:rPr>
        <w:t xml:space="preserve">）。</w:t>
      </w:r>
      <w:bookmarkEnd w:id="8"/>
      <w:r/>
      <w:bookmarkEnd w:id="7"/>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9" w:name="OLE_LINK51"/>
      <w:r>
        <w:rPr>
          <w:rFonts w:hint="eastAsia" w:ascii="仿宋" w:hAnsi="仿宋" w:eastAsia="仿宋" w:cs="仿宋"/>
          <w:color w:val="auto"/>
          <w:sz w:val="24"/>
          <w:szCs w:val="24"/>
          <w:highlight w:val="none"/>
          <w:lang w:val="en-US" w:eastAsia="zh-CN"/>
        </w:rPr>
        <w:t xml:space="preserve">3.</w:t>
      </w:r>
      <w:bookmarkStart w:id="10" w:name="OLE_LINK47"/>
      <w:r>
        <w:rPr>
          <w:rFonts w:hint="eastAsia" w:ascii="仿宋" w:hAnsi="仿宋" w:eastAsia="仿宋" w:cs="仿宋"/>
          <w:color w:val="auto"/>
          <w:sz w:val="24"/>
          <w:szCs w:val="24"/>
          <w:highlight w:val="none"/>
        </w:rPr>
        <w:t xml:space="preserve">有效的营业执照</w:t>
      </w:r>
      <w:bookmarkStart w:id="11" w:name="OLE_LINK49"/>
      <w:r>
        <w:rPr>
          <w:rFonts w:hint="eastAsia" w:ascii="仿宋" w:hAnsi="仿宋" w:eastAsia="仿宋" w:cs="仿宋"/>
          <w:color w:val="auto"/>
          <w:sz w:val="24"/>
          <w:szCs w:val="24"/>
          <w:highlight w:val="none"/>
        </w:rPr>
        <w:t xml:space="preserve">（扫描件上传至电子响应文件</w:t>
      </w:r>
      <w:r>
        <w:rPr>
          <w:rFonts w:hint="eastAsia" w:ascii="仿宋" w:hAnsi="仿宋" w:eastAsia="仿宋" w:cs="仿宋"/>
          <w:color w:val="auto"/>
          <w:sz w:val="24"/>
          <w:szCs w:val="24"/>
          <w:highlight w:val="none"/>
          <w:lang w:eastAsia="zh-CN"/>
        </w:rPr>
        <w:t xml:space="preserve">）。</w:t>
      </w:r>
      <w:bookmarkEnd w:id="11"/>
      <w:r/>
      <w:bookmarkEnd w:id="9"/>
      <w:r/>
      <w:bookmarkEnd w:id="10"/>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2"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列入政府采购严重违法失信行为记录名单。由采购单位（采购代理单位）组织磋商小组在资格审查时查询，一旦被查询</w:t>
      </w:r>
      <w:r>
        <w:rPr>
          <w:rFonts w:hint="eastAsia" w:ascii="仿宋" w:hAnsi="仿宋" w:eastAsia="仿宋" w:cs="仿宋"/>
          <w:color w:val="auto"/>
          <w:sz w:val="24"/>
          <w:szCs w:val="24"/>
          <w:highlight w:val="none"/>
          <w:lang w:eastAsia="zh-CN"/>
        </w:rPr>
        <w:t xml:space="preserve">到存在</w:t>
      </w:r>
      <w:r>
        <w:rPr>
          <w:rFonts w:hint="eastAsia" w:ascii="仿宋" w:hAnsi="仿宋" w:eastAsia="仿宋" w:cs="仿宋"/>
          <w:color w:val="auto"/>
          <w:sz w:val="24"/>
          <w:szCs w:val="24"/>
          <w:highlight w:val="none"/>
        </w:rPr>
        <w:t xml:space="preserve">上述失信行为</w:t>
      </w:r>
      <w:r>
        <w:rPr>
          <w:rFonts w:hint="eastAsia" w:ascii="仿宋" w:hAnsi="仿宋" w:eastAsia="仿宋" w:cs="仿宋"/>
          <w:color w:val="auto"/>
          <w:sz w:val="24"/>
          <w:szCs w:val="24"/>
          <w:highlight w:val="none"/>
          <w:lang w:eastAsia="zh-CN"/>
        </w:rPr>
        <w:t xml:space="preserve">记录</w:t>
      </w:r>
      <w:r>
        <w:rPr>
          <w:rFonts w:hint="eastAsia" w:ascii="仿宋" w:hAnsi="仿宋" w:eastAsia="仿宋" w:cs="仿宋"/>
          <w:color w:val="auto"/>
          <w:sz w:val="24"/>
          <w:szCs w:val="24"/>
          <w:highlight w:val="none"/>
        </w:rPr>
        <w:t xml:space="preserve">的，将视为资格审查不通过。</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3"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4" w:name="OLE_LINK55"/>
      <w:r>
        <w:rPr>
          <w:rFonts w:hint="eastAsia" w:ascii="仿宋" w:hAnsi="仿宋" w:eastAsia="仿宋" w:cs="仿宋"/>
          <w:color w:val="auto"/>
          <w:sz w:val="24"/>
          <w:szCs w:val="24"/>
          <w:highlight w:val="none"/>
        </w:rPr>
        <w:t xml:space="preserve">本项目为专门面向中小企业采购的项目。</w:t>
      </w:r>
      <w:bookmarkEnd w:id="1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lang w:eastAsia="zh-CN"/>
        </w:rPr>
        <w:t xml:space="preserve">建筑业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5" w:name="OLE_LINK56"/>
      <w:r/>
      <w:bookmarkStart w:id="16" w:name="OLE_LINK74"/>
      <w:r>
        <w:rPr>
          <w:rFonts w:hint="eastAsia" w:ascii="仿宋" w:hAnsi="仿宋" w:eastAsia="仿宋" w:cs="仿宋"/>
          <w:color w:val="auto"/>
          <w:sz w:val="24"/>
          <w:szCs w:val="24"/>
          <w:highlight w:val="none"/>
          <w:lang w:val="en-US" w:eastAsia="zh-CN"/>
        </w:rPr>
        <w:t xml:space="preserve">1.</w:t>
      </w:r>
      <w:bookmarkStart w:id="17" w:name="OLE_LINK5"/>
      <w:r>
        <w:rPr>
          <w:rFonts w:hint="eastAsia" w:ascii="仿宋" w:hAnsi="仿宋" w:eastAsia="仿宋" w:cs="仿宋"/>
          <w:color w:val="auto"/>
          <w:sz w:val="24"/>
          <w:szCs w:val="24"/>
          <w:highlight w:val="none"/>
          <w:lang w:val="en-US" w:eastAsia="zh-CN"/>
        </w:rPr>
        <w:t xml:space="preserve">供应商</w:t>
      </w:r>
      <w:bookmarkEnd w:id="17"/>
      <w:r>
        <w:rPr>
          <w:rFonts w:hint="eastAsia" w:ascii="仿宋" w:hAnsi="仿宋" w:eastAsia="仿宋" w:cs="仿宋"/>
          <w:color w:val="auto"/>
          <w:sz w:val="24"/>
          <w:szCs w:val="24"/>
          <w:highlight w:val="none"/>
          <w:lang w:val="en-US" w:eastAsia="zh-CN"/>
        </w:rPr>
        <w:t xml:space="preserve">须具备市政公用工程总承包叁级（含）以上资质的法人企业，企业具备安全生产条件，并取得安全生产许可证</w:t>
      </w:r>
      <w:r>
        <w:rPr>
          <w:rFonts w:hint="eastAsia" w:ascii="仿宋" w:hAnsi="仿宋" w:eastAsia="仿宋" w:cs="仿宋"/>
          <w:color w:val="auto"/>
          <w:sz w:val="24"/>
          <w:szCs w:val="24"/>
          <w:highlight w:val="none"/>
        </w:rPr>
        <w:t xml:space="preserve">；</w:t>
      </w:r>
      <w:bookmarkStart w:id="18" w:name="OLE_LINK6"/>
      <w:r>
        <w:rPr>
          <w:rFonts w:hint="eastAsia" w:ascii="仿宋" w:hAnsi="仿宋" w:eastAsia="仿宋" w:cs="仿宋"/>
          <w:color w:val="auto"/>
          <w:sz w:val="24"/>
          <w:szCs w:val="24"/>
          <w:highlight w:val="none"/>
        </w:rPr>
        <w:t xml:space="preserve">（扫描件上传至电子响应文件）</w:t>
      </w:r>
      <w:bookmarkEnd w:id="15"/>
      <w:r/>
      <w:bookmarkEnd w:id="18"/>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bookmarkStart w:id="19" w:name="OLE_LINK17"/>
      <w:r>
        <w:rPr>
          <w:rFonts w:hint="eastAsia" w:ascii="仿宋" w:hAnsi="仿宋" w:eastAsia="仿宋" w:cs="仿宋"/>
          <w:color w:val="auto"/>
          <w:sz w:val="24"/>
          <w:szCs w:val="24"/>
          <w:highlight w:val="none"/>
          <w:lang w:val="en-US" w:eastAsia="zh-CN"/>
        </w:rPr>
        <w:t xml:space="preserve">2.供应商</w:t>
      </w:r>
      <w:r>
        <w:rPr>
          <w:rFonts w:hint="eastAsia" w:ascii="仿宋" w:hAnsi="仿宋" w:eastAsia="仿宋" w:cs="仿宋"/>
          <w:b w:val="0"/>
          <w:bCs w:val="0"/>
          <w:color w:val="auto"/>
          <w:sz w:val="24"/>
          <w:szCs w:val="24"/>
          <w:highlight w:val="none"/>
          <w:lang w:val="en-US" w:eastAsia="zh-CN"/>
        </w:rPr>
        <w:t xml:space="preserve">拟派本项目的项目负责人须具备市政公用工程专业二级（含）以上注册建造师证书（有效期内）及项目经理安全生产考核合格证书B证（有效期内）且满足下列条件：</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①项目负责人不得同时在两个或者两个以上单位受聘或者执业。</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③项目负责人无行贿犯罪行为记录；或有行贿犯罪行为记录，但自记录之日起已超过5年的；</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提供证书及承诺书，承诺书格式自拟，</w:t>
      </w:r>
      <w:r>
        <w:rPr>
          <w:rFonts w:hint="eastAsia" w:ascii="仿宋" w:hAnsi="仿宋" w:eastAsia="仿宋" w:cs="仿宋"/>
          <w:b/>
          <w:bCs/>
          <w:color w:val="auto"/>
          <w:sz w:val="24"/>
          <w:szCs w:val="24"/>
          <w:highlight w:val="none"/>
        </w:rPr>
        <w:t xml:space="preserve">扫描件上传至电子响应文件）</w:t>
      </w:r>
      <w:bookmarkEnd w:id="19"/>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6"/>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20" w:name="OLE_LINK70"/>
      <w:r>
        <w:rPr>
          <w:rFonts w:hint="eastAsia" w:ascii="仿宋" w:hAnsi="仿宋" w:eastAsia="仿宋" w:cs="仿宋"/>
          <w:color w:val="auto"/>
          <w:sz w:val="24"/>
          <w:szCs w:val="24"/>
          <w:highlight w:val="none"/>
        </w:rPr>
        <w:t xml:space="preserve">江苏省政府采购网或者淮安市政府采购网</w:t>
      </w:r>
      <w:bookmarkEnd w:id="20"/>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21"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21"/>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12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22"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22"/>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12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3"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34"/>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4" w:name="OLE_LINK39"/>
      <w:r/>
      <w:bookmarkStart w:id="25" w:name="OLE_LINK7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单位名称：盱眙县实验小学</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单位地址：盱眙县实验小学</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联系人：芮主任15952384225 </w:t>
      </w:r>
      <w:r/>
    </w:p>
    <w:p>
      <w:pPr>
        <w:ind w:firstLine="144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朱老师13770448630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单位名称：江苏新时代工程项目管理有限公司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单位地址：盱眙县合欢大道21-1号 </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联系人：张工</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联系电话：15358668216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项目联系人：张工</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电话：15358668216</w:t>
      </w:r>
      <w:bookmarkEnd w:id="2"/>
      <w:r/>
      <w:bookmarkEnd w:id="24"/>
      <w:r/>
      <w:bookmarkEnd w:id="25"/>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仿宋" w:hAnsi="仿宋" w:eastAsia="仿宋" w:cs="仿宋"/>
          <w:color w:val="auto"/>
          <w:sz w:val="24"/>
          <w:szCs w:val="24"/>
          <w:highlight w:val="none"/>
          <w:lang w:val="en-US" w:eastAsia="zh-CN"/>
        </w:rPr>
        <w:t xml:space="preserve"> </w:t>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shd w:val="nil" w:color="auto"/>
        <w:rPr>
          <w:rFonts w:hint="eastAsia" w:ascii="方正仿宋_GB2312" w:hAnsi="方正仿宋_GB2312" w:eastAsia="方正仿宋_GB2312" w:cs="方正仿宋_GB2312"/>
          <w:b/>
          <w:bCs/>
          <w:color w:val="auto"/>
          <w:sz w:val="30"/>
          <w:szCs w:val="30"/>
          <w:highlight w:val="none"/>
        </w:rPr>
        <w:outlineLvl w:val="0"/>
      </w:pPr>
      <w:r>
        <w:rPr>
          <w:rFonts w:hint="eastAsia" w:ascii="方正仿宋_GB2312" w:hAnsi="方正仿宋_GB2312" w:eastAsia="方正仿宋_GB2312" w:cs="方正仿宋_GB2312"/>
          <w:b/>
          <w:color w:val="auto"/>
          <w:sz w:val="30"/>
          <w:szCs w:val="30"/>
          <w:highlight w:val="none"/>
        </w:rPr>
        <w:br w:type="page" w:clear="all"/>
      </w:r>
      <w:r>
        <w:rPr>
          <w:rFonts w:hint="eastAsia" w:ascii="方正仿宋_GB2312" w:hAnsi="方正仿宋_GB2312" w:eastAsia="方正仿宋_GB2312" w:cs="方正仿宋_GB2312"/>
          <w:b/>
          <w:color w:val="auto"/>
          <w:sz w:val="30"/>
          <w:szCs w:val="30"/>
          <w:highlight w:val="none"/>
        </w:rPr>
      </w:r>
      <w:r/>
    </w:p>
    <w:p>
      <w:pPr>
        <w:jc w:val="center"/>
        <w:pageBreakBefore w:val="0"/>
        <w:spacing w:line="380" w:lineRule="exact"/>
        <w:rPr>
          <w:rFonts w:hint="eastAsia" w:ascii="方正仿宋_GB2312" w:hAnsi="方正仿宋_GB2312" w:eastAsia="方正仿宋_GB2312" w:cs="方正仿宋_GB2312"/>
          <w:b/>
          <w:bCs/>
          <w:color w:val="auto"/>
          <w:sz w:val="30"/>
          <w:szCs w:val="30"/>
          <w:highlight w:val="none"/>
        </w:rPr>
        <w:outlineLvl w:val="0"/>
      </w:pPr>
      <w:r>
        <w:rPr>
          <w:rFonts w:hint="eastAsia" w:ascii="方正仿宋_GB2312" w:hAnsi="方正仿宋_GB2312" w:eastAsia="方正仿宋_GB2312" w:cs="方正仿宋_GB2312"/>
          <w:b/>
          <w:color w:val="auto"/>
          <w:sz w:val="30"/>
          <w:szCs w:val="30"/>
          <w:highlight w:val="none"/>
        </w:rPr>
        <w:t xml:space="preserve">第二章  供应商须知</w:t>
      </w:r>
      <w:r/>
    </w:p>
    <w:p>
      <w:pPr>
        <w:pageBreakBefore w:val="0"/>
        <w:spacing w:line="38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2.2</w:t>
      </w:r>
      <w:r>
        <w:rPr>
          <w:rFonts w:hint="eastAsia" w:ascii="方正仿宋_GB2312" w:hAnsi="方正仿宋_GB2312" w:eastAsia="方正仿宋_GB2312" w:cs="方正仿宋_GB2312"/>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和</w:t>
      </w:r>
      <w:r>
        <w:rPr>
          <w:rFonts w:hint="eastAsia" w:ascii="方正仿宋_GB2312" w:hAnsi="方正仿宋_GB2312" w:eastAsia="方正仿宋_GB2312" w:cs="方正仿宋_GB2312"/>
          <w:color w:val="auto"/>
          <w:sz w:val="24"/>
          <w:szCs w:val="24"/>
          <w:highlight w:val="none"/>
          <w:lang w:eastAsia="zh-CN"/>
        </w:rPr>
        <w:t xml:space="preserve">规定</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4.1供应商应自行承担所有与参加磋商有关的费用。不论磋商的结果如何，</w:t>
      </w:r>
      <w:bookmarkStart w:id="27" w:name="OLE_LINK36"/>
      <w:r>
        <w:rPr>
          <w:rFonts w:hint="eastAsia" w:ascii="方正仿宋_GB2312" w:hAnsi="方正仿宋_GB2312" w:eastAsia="方正仿宋_GB2312" w:cs="方正仿宋_GB2312"/>
          <w:color w:val="auto"/>
          <w:sz w:val="24"/>
          <w:szCs w:val="24"/>
          <w:highlight w:val="none"/>
          <w:lang w:val="en-US" w:eastAsia="zh-CN"/>
        </w:rPr>
        <w:t xml:space="preserve">盱眙</w:t>
      </w:r>
      <w:r>
        <w:rPr>
          <w:rFonts w:hint="eastAsia" w:ascii="方正仿宋_GB2312" w:hAnsi="方正仿宋_GB2312" w:eastAsia="方正仿宋_GB2312" w:cs="方正仿宋_GB2312"/>
          <w:color w:val="auto"/>
          <w:sz w:val="24"/>
          <w:szCs w:val="24"/>
          <w:highlight w:val="none"/>
        </w:rPr>
        <w:t xml:space="preserve">县政府采购中心</w:t>
      </w:r>
      <w:bookmarkEnd w:id="27"/>
      <w:r>
        <w:rPr>
          <w:rFonts w:hint="eastAsia" w:ascii="方正仿宋_GB2312" w:hAnsi="方正仿宋_GB2312" w:eastAsia="方正仿宋_GB2312" w:cs="方正仿宋_GB2312"/>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4.2采购代理</w:t>
      </w:r>
      <w:r>
        <w:rPr>
          <w:rFonts w:hint="eastAsia" w:ascii="方正仿宋_GB2312" w:hAnsi="方正仿宋_GB2312" w:eastAsia="方正仿宋_GB2312" w:cs="方正仿宋_GB2312"/>
          <w:color w:val="auto"/>
          <w:sz w:val="24"/>
          <w:szCs w:val="24"/>
          <w:highlight w:val="none"/>
          <w:lang w:eastAsia="zh-CN"/>
        </w:rPr>
        <w:t xml:space="preserve">机构（</w:t>
      </w:r>
      <w:r>
        <w:rPr>
          <w:rFonts w:hint="eastAsia" w:ascii="方正仿宋_GB2312" w:hAnsi="方正仿宋_GB2312" w:eastAsia="方正仿宋_GB2312" w:cs="方正仿宋_GB2312"/>
          <w:color w:val="auto"/>
          <w:sz w:val="24"/>
          <w:szCs w:val="24"/>
          <w:highlight w:val="none"/>
        </w:rPr>
        <w:t xml:space="preserve">下称代理机构）：采购人委托</w:t>
      </w:r>
      <w:r>
        <w:rPr>
          <w:rFonts w:hint="eastAsia" w:ascii="方正仿宋_GB2312" w:hAnsi="方正仿宋_GB2312" w:eastAsia="方正仿宋_GB2312" w:cs="方正仿宋_GB2312"/>
          <w:color w:val="auto"/>
          <w:sz w:val="24"/>
          <w:szCs w:val="24"/>
          <w:highlight w:val="none"/>
          <w:lang w:eastAsia="zh-CN"/>
        </w:rPr>
        <w:t xml:space="preserve">江苏新时代工程项目管理有限公司</w:t>
      </w:r>
      <w:r>
        <w:rPr>
          <w:rFonts w:hint="eastAsia" w:ascii="方正仿宋_GB2312" w:hAnsi="方正仿宋_GB2312" w:eastAsia="方正仿宋_GB2312" w:cs="方正仿宋_GB2312"/>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7.2对磋商文件的修改将在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7.3供应商须持续关注本项目在</w:t>
      </w:r>
      <w:r>
        <w:rPr>
          <w:rFonts w:hint="eastAsia" w:ascii="方正仿宋_GB2312" w:hAnsi="方正仿宋_GB2312" w:eastAsia="方正仿宋_GB2312" w:cs="方正仿宋_GB2312"/>
          <w:color w:val="auto"/>
          <w:sz w:val="24"/>
          <w:szCs w:val="24"/>
          <w:highlight w:val="none"/>
        </w:rPr>
        <w:t xml:space="preserve">江苏省政府采购网、</w:t>
      </w:r>
      <w:r>
        <w:rPr>
          <w:rFonts w:hint="eastAsia" w:ascii="方正仿宋_GB2312" w:hAnsi="方正仿宋_GB2312" w:eastAsia="方正仿宋_GB2312" w:cs="方正仿宋_GB2312"/>
          <w:color w:val="auto"/>
          <w:sz w:val="24"/>
          <w:szCs w:val="24"/>
          <w:highlight w:val="none"/>
        </w:rPr>
        <w:t xml:space="preserve">淮安市政府采购网、</w:t>
      </w:r>
      <w:r>
        <w:rPr>
          <w:rFonts w:hint="eastAsia" w:ascii="方正仿宋_GB2312" w:hAnsi="方正仿宋_GB2312" w:eastAsia="方正仿宋_GB2312" w:cs="方正仿宋_GB2312"/>
          <w:color w:val="auto"/>
          <w:sz w:val="24"/>
          <w:szCs w:val="24"/>
          <w:highlight w:val="none"/>
        </w:rPr>
        <w:t xml:space="preserve">淮安市公共资源交易中心官网</w:t>
      </w:r>
      <w:r>
        <w:rPr>
          <w:rFonts w:hint="eastAsia" w:ascii="方正仿宋_GB2312" w:hAnsi="方正仿宋_GB2312" w:eastAsia="方正仿宋_GB2312" w:cs="方正仿宋_GB2312"/>
          <w:color w:val="auto"/>
          <w:sz w:val="24"/>
          <w:szCs w:val="24"/>
          <w:highlight w:val="none"/>
        </w:rPr>
        <w:t xml:space="preserve">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8.3如标书制作工具中格式和内容与“淮安市政府采购网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9.磋商报价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方正仿宋_GB2312" w:hAnsi="方正仿宋_GB2312" w:eastAsia="方正仿宋_GB2312" w:cs="方正仿宋_GB2312"/>
          <w:color w:val="auto"/>
          <w:sz w:val="24"/>
          <w:szCs w:val="24"/>
          <w:highlight w:val="none"/>
        </w:rPr>
        <w:t xml:space="preserve">    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全费用报价</w:t>
      </w:r>
      <w:r>
        <w:rPr>
          <w:rFonts w:hint="eastAsia" w:ascii="方正仿宋_GB2312" w:hAnsi="方正仿宋_GB2312" w:eastAsia="方正仿宋_GB2312" w:cs="方正仿宋_GB2312"/>
          <w:color w:val="auto"/>
          <w:sz w:val="24"/>
          <w:szCs w:val="24"/>
          <w:highlight w:val="none"/>
        </w:rPr>
        <w:t xml:space="preserve">，供应商的报价应</w:t>
      </w:r>
      <w:r>
        <w:rPr>
          <w:rFonts w:ascii="FangSong" w:hAnsi="FangSong" w:eastAsia="FangSong" w:cs="FangSong"/>
          <w:color w:val="000000"/>
          <w:sz w:val="22"/>
        </w:rPr>
        <w:t xml:space="preserve">包括但不限于按国家规范完成本项目所有的人工、材料以及完成实体工程量的辅助材料、机械设备、管理费、利润、运输、脚手架费、模板、税金、二次搬运、清理、保洁、培训费、交通费用、差旅费用、绿化迁移及恢复费、安全文明施工费、材料检测费、渣土费、税费以及各项措施项目费、风险和政策性文件规定的各项应有费用</w:t>
      </w:r>
      <w:r>
        <w:rPr>
          <w:rFonts w:hint="eastAsia" w:ascii="方正仿宋_GB2312" w:hAnsi="方正仿宋_GB2312" w:eastAsia="方正仿宋_GB2312" w:cs="方正仿宋_GB2312"/>
          <w:color w:val="auto"/>
          <w:sz w:val="24"/>
          <w:szCs w:val="24"/>
          <w:highlight w:val="none"/>
        </w:rPr>
        <w:t xml:space="preserve">，如有疑问应在本文件规定时间内提出，供应商被确定为成交候选人后，合同价格不作调整（合同另有约定及不可抗力除外）。</w:t>
      </w:r>
      <w:r>
        <w:rPr>
          <w:sz w:val="21"/>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8" w:name="_Toc4104"/>
      <w:r>
        <w:rPr>
          <w:rFonts w:hint="eastAsia" w:ascii="方正仿宋_GB2312" w:hAnsi="方正仿宋_GB2312" w:eastAsia="方正仿宋_GB2312" w:cs="方正仿宋_GB2312"/>
          <w:bCs/>
          <w:color w:val="auto"/>
          <w:sz w:val="24"/>
          <w:szCs w:val="24"/>
          <w:highlight w:val="none"/>
        </w:rPr>
        <w:t xml:space="preserve">10.技术要求响应偏离</w:t>
      </w:r>
      <w:bookmarkEnd w:id="28"/>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 xml:space="preserve">九十日历</w:t>
      </w:r>
      <w:r>
        <w:rPr>
          <w:rFonts w:hint="eastAsia" w:ascii="方正仿宋_GB2312" w:hAnsi="方正仿宋_GB2312" w:eastAsia="方正仿宋_GB2312" w:cs="方正仿宋_GB2312"/>
          <w:color w:val="auto"/>
          <w:sz w:val="24"/>
          <w:szCs w:val="24"/>
          <w:highlight w:val="none"/>
        </w:rPr>
        <w:t xml:space="preserve">天</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磋商有效期比规定短的将被视为</w:t>
      </w:r>
      <w:r>
        <w:rPr>
          <w:rFonts w:hint="eastAsia" w:ascii="方正仿宋_GB2312" w:hAnsi="方正仿宋_GB2312" w:eastAsia="方正仿宋_GB2312" w:cs="方正仿宋_GB2312"/>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14.2</w:t>
      </w:r>
      <w:r>
        <w:rPr>
          <w:rFonts w:hint="eastAsia" w:ascii="方正仿宋_GB2312" w:hAnsi="方正仿宋_GB2312" w:eastAsia="方正仿宋_GB2312" w:cs="方正仿宋_GB2312"/>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16.响应文件的递交及接收截止时间</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 xml:space="preserve">充分考虑</w:t>
      </w:r>
      <w:r>
        <w:rPr>
          <w:rFonts w:hint="eastAsia" w:ascii="方正仿宋_GB2312" w:hAnsi="方正仿宋_GB2312" w:eastAsia="方正仿宋_GB2312" w:cs="方正仿宋_GB2312"/>
          <w:color w:val="auto"/>
          <w:sz w:val="24"/>
          <w:szCs w:val="24"/>
          <w:highlight w:val="none"/>
        </w:rPr>
        <w:t xml:space="preserve">网络环境、网络带宽等风险因素，如因供应商自身原因造成的电子投标文件上传不成功的按照无效投标处理。</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 xml:space="preserve">责任由</w:t>
      </w:r>
      <w:r>
        <w:rPr>
          <w:rFonts w:hint="eastAsia" w:ascii="方正仿宋_GB2312" w:hAnsi="方正仿宋_GB2312" w:eastAsia="方正仿宋_GB2312" w:cs="方正仿宋_GB2312"/>
          <w:color w:val="auto"/>
          <w:sz w:val="24"/>
          <w:szCs w:val="24"/>
          <w:highlight w:val="none"/>
        </w:rPr>
        <w:t xml:space="preserve">供应商</w:t>
      </w:r>
      <w:r>
        <w:rPr>
          <w:rFonts w:hint="eastAsia" w:ascii="方正仿宋_GB2312" w:hAnsi="方正仿宋_GB2312" w:eastAsia="方正仿宋_GB2312" w:cs="方正仿宋_GB2312"/>
          <w:color w:val="auto"/>
          <w:sz w:val="24"/>
          <w:szCs w:val="24"/>
          <w:highlight w:val="none"/>
          <w:lang w:val="zh-CN"/>
        </w:rPr>
        <w:t xml:space="preserve">自负。</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16.3供应商上传电子响应文件的时间不得迟于磋商邀请中规定的截止时间。</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17.响应文件被拒绝接收的情形</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 不见面磋商程序</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.2.2供应商在磋商过程中</w:t>
      </w:r>
      <w:r>
        <w:rPr>
          <w:rFonts w:hint="eastAsia" w:ascii="方正仿宋_GB2312" w:hAnsi="方正仿宋_GB2312" w:eastAsia="方正仿宋_GB2312" w:cs="方正仿宋_GB2312"/>
          <w:bCs/>
          <w:color w:val="auto"/>
          <w:sz w:val="24"/>
          <w:szCs w:val="24"/>
          <w:highlight w:val="none"/>
          <w:lang w:eastAsia="zh-CN"/>
        </w:rPr>
        <w:t xml:space="preserve">涉及</w:t>
      </w:r>
      <w:r>
        <w:rPr>
          <w:rFonts w:hint="eastAsia" w:ascii="方正仿宋_GB2312" w:hAnsi="方正仿宋_GB2312" w:eastAsia="方正仿宋_GB2312" w:cs="方正仿宋_GB2312"/>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 xml:space="preserve">不在要求</w:t>
      </w:r>
      <w:r>
        <w:rPr>
          <w:rFonts w:hint="eastAsia" w:ascii="方正仿宋_GB2312" w:hAnsi="方正仿宋_GB2312" w:eastAsia="方正仿宋_GB2312" w:cs="方正仿宋_GB2312"/>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.3.9.1软件设施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.3.9.2硬件设施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val="zh-CN"/>
        </w:rPr>
        <w:t xml:space="preserve">磋商工作由</w:t>
      </w:r>
      <w:r>
        <w:rPr>
          <w:rFonts w:hint="eastAsia" w:ascii="方正仿宋_GB2312" w:hAnsi="方正仿宋_GB2312" w:eastAsia="方正仿宋_GB2312" w:cs="方正仿宋_GB2312"/>
          <w:color w:val="auto"/>
          <w:sz w:val="24"/>
          <w:szCs w:val="24"/>
          <w:highlight w:val="none"/>
        </w:rPr>
        <w:t xml:space="preserve">采购人（代理机构）</w:t>
      </w:r>
      <w:r>
        <w:rPr>
          <w:rFonts w:hint="eastAsia" w:ascii="方正仿宋_GB2312" w:hAnsi="方正仿宋_GB2312" w:eastAsia="方正仿宋_GB2312" w:cs="方正仿宋_GB2312"/>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977"/>
          <w:rFonts w:hint="eastAsia" w:ascii="方正仿宋_GB2312" w:hAnsi="方正仿宋_GB2312" w:eastAsia="方正仿宋_GB2312" w:cs="方正仿宋_GB2312"/>
          <w:color w:val="auto"/>
          <w:sz w:val="24"/>
          <w:szCs w:val="24"/>
          <w:highlight w:val="none"/>
          <w:lang w:val="zh-CN"/>
        </w:rPr>
        <w:t xml:space="preserve">www.creditchina.gov.cn</w:t>
      </w:r>
      <w:r>
        <w:rPr>
          <w:rStyle w:val="977"/>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977"/>
          <w:rFonts w:hint="eastAsia" w:ascii="方正仿宋_GB2312" w:hAnsi="方正仿宋_GB2312" w:eastAsia="方正仿宋_GB2312" w:cs="方正仿宋_GB2312"/>
          <w:color w:val="auto"/>
          <w:sz w:val="24"/>
          <w:szCs w:val="24"/>
          <w:highlight w:val="none"/>
          <w:lang w:val="zh-CN"/>
        </w:rPr>
        <w:t xml:space="preserve">www.ccgp.gov.cn</w:t>
      </w:r>
      <w:r>
        <w:rPr>
          <w:rStyle w:val="977"/>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20.2.4磋商小组</w:t>
      </w:r>
      <w:r>
        <w:rPr>
          <w:rFonts w:hint="eastAsia" w:ascii="方正仿宋_GB2312" w:hAnsi="方正仿宋_GB2312" w:eastAsia="方正仿宋_GB2312" w:cs="方正仿宋_GB2312"/>
          <w:bCs/>
          <w:color w:val="auto"/>
          <w:sz w:val="24"/>
          <w:szCs w:val="24"/>
          <w:highlight w:val="none"/>
        </w:rPr>
        <w:t xml:space="preserve">将对确定为实质性响应的响应文件进行进一步</w:t>
      </w:r>
      <w:r>
        <w:rPr>
          <w:rFonts w:hint="eastAsia" w:ascii="方正仿宋_GB2312" w:hAnsi="方正仿宋_GB2312" w:eastAsia="方正仿宋_GB2312" w:cs="方正仿宋_GB2312"/>
          <w:color w:val="auto"/>
          <w:sz w:val="24"/>
          <w:szCs w:val="24"/>
          <w:highlight w:val="none"/>
        </w:rPr>
        <w:t xml:space="preserve">初审，</w:t>
      </w:r>
      <w:r>
        <w:rPr>
          <w:rFonts w:hint="eastAsia" w:ascii="方正仿宋_GB2312" w:hAnsi="方正仿宋_GB2312" w:eastAsia="方正仿宋_GB2312" w:cs="方正仿宋_GB2312"/>
          <w:bCs/>
          <w:color w:val="auto"/>
          <w:sz w:val="24"/>
          <w:szCs w:val="24"/>
          <w:highlight w:val="none"/>
        </w:rPr>
        <w:t xml:space="preserve">看其是否有计算上或累加上的算术错误，</w:t>
      </w:r>
      <w:r>
        <w:rPr>
          <w:rFonts w:hint="eastAsia" w:ascii="方正仿宋_GB2312" w:hAnsi="方正仿宋_GB2312" w:eastAsia="方正仿宋_GB2312" w:cs="方正仿宋_GB2312"/>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w:t>
      </w:r>
      <w:r>
        <w:rPr>
          <w:rFonts w:hint="eastAsia" w:ascii="方正仿宋_GB2312" w:hAnsi="方正仿宋_GB2312" w:eastAsia="方正仿宋_GB2312" w:cs="方正仿宋_GB2312"/>
          <w:color w:val="auto"/>
          <w:sz w:val="24"/>
          <w:szCs w:val="24"/>
          <w:highlight w:val="none"/>
          <w:lang w:eastAsia="zh-CN"/>
        </w:rPr>
        <w:t xml:space="preserve">做</w:t>
      </w:r>
      <w:r>
        <w:rPr>
          <w:rFonts w:hint="eastAsia" w:ascii="方正仿宋_GB2312" w:hAnsi="方正仿宋_GB2312" w:eastAsia="方正仿宋_GB2312" w:cs="方正仿宋_GB2312"/>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 xml:space="preserve">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20.8.1</w:t>
      </w: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 xml:space="preserve">，并</w:t>
      </w:r>
      <w:r>
        <w:rPr>
          <w:rFonts w:hint="eastAsia" w:ascii="方正仿宋_GB2312" w:hAnsi="方正仿宋_GB2312" w:eastAsia="方正仿宋_GB2312" w:cs="方正仿宋_GB2312"/>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20.8.2</w:t>
      </w: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 xml:space="preserve">式管</w:t>
      </w:r>
      <w:r>
        <w:rPr>
          <w:rFonts w:hint="eastAsia" w:ascii="方正仿宋_GB2312" w:hAnsi="方正仿宋_GB2312" w:eastAsia="方正仿宋_GB2312" w:cs="方正仿宋_GB2312"/>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 xml:space="preserve">〔2015〕124号</w:t>
      </w:r>
      <w:r>
        <w:rPr>
          <w:rFonts w:hint="eastAsia" w:ascii="方正仿宋_GB2312" w:hAnsi="方正仿宋_GB2312" w:eastAsia="方正仿宋_GB2312" w:cs="方正仿宋_GB2312"/>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认为供应商的报价属于《财政部关于推动解决政府采购异常低价问题的通知》（财库〔202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〕2号）异常低价情形的，将通过苏采云系统，按照财库〔202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.3.2</w:t>
      </w:r>
      <w:r>
        <w:rPr>
          <w:rFonts w:hint="eastAsia" w:ascii="方正仿宋_GB2312" w:hAnsi="方正仿宋_GB2312" w:eastAsia="方正仿宋_GB2312" w:cs="方正仿宋_GB2312"/>
          <w:color w:val="auto"/>
          <w:sz w:val="24"/>
          <w:szCs w:val="24"/>
          <w:highlight w:val="none"/>
        </w:rPr>
        <w:t xml:space="preserve">评</w:t>
      </w:r>
      <w:r>
        <w:rPr>
          <w:rFonts w:hint="eastAsia" w:ascii="方正仿宋_GB2312" w:hAnsi="方正仿宋_GB2312" w:eastAsia="方正仿宋_GB2312" w:cs="方正仿宋_GB2312"/>
          <w:color w:val="auto"/>
          <w:sz w:val="24"/>
          <w:szCs w:val="24"/>
          <w:highlight w:val="none"/>
          <w:lang w:val="en-US" w:eastAsia="zh-CN"/>
        </w:rPr>
        <w:t xml:space="preserve">标</w:t>
      </w:r>
      <w:r>
        <w:rPr>
          <w:rFonts w:hint="eastAsia" w:ascii="方正仿宋_GB2312" w:hAnsi="方正仿宋_GB2312" w:eastAsia="方正仿宋_GB2312" w:cs="方正仿宋_GB2312"/>
          <w:color w:val="auto"/>
          <w:sz w:val="24"/>
          <w:szCs w:val="24"/>
          <w:highlight w:val="none"/>
        </w:rPr>
        <w:t xml:space="preserve">中出现下列情形之一的，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审查程序</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投标（响应）报价低于全部通过符合性审查供应商投标（响应）报价平均值50%的，即投标（响应）报价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投标（响应）报价低于通过符合性审查的次低报价供应商投标（响应）报价50%的，即投标（响应）报价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投标（响应）报价低于采购项目最高限价45%的，即投标（响应）报价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采购人可以结合具体项目实际情况，提高上述第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项中启动异常低价投标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审查后，属于前述第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项情形的，应当要求相关供应商在评审现场合理的时间内对投标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依据专业经验，参考同类项目中标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成交</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应当将其作为无效投标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磋商结束后，磋商小组将要求所有继续参加磋商的供应商凭CA锁</w:t>
      </w:r>
      <w:r>
        <w:rPr>
          <w:rFonts w:hint="eastAsia" w:ascii="方正仿宋_GB2312" w:hAnsi="方正仿宋_GB2312" w:eastAsia="方正仿宋_GB2312" w:cs="方正仿宋_GB2312"/>
          <w:bCs/>
          <w:color w:val="auto"/>
          <w:sz w:val="24"/>
          <w:szCs w:val="24"/>
          <w:highlight w:val="none"/>
          <w:lang w:eastAsia="zh-CN"/>
        </w:rPr>
        <w:t xml:space="preserve">登录</w:t>
      </w:r>
      <w:r>
        <w:rPr>
          <w:rFonts w:hint="eastAsia" w:ascii="方正仿宋_GB2312" w:hAnsi="方正仿宋_GB2312" w:eastAsia="方正仿宋_GB2312" w:cs="方正仿宋_GB2312"/>
          <w:bCs/>
          <w:color w:val="auto"/>
          <w:sz w:val="24"/>
          <w:szCs w:val="24"/>
          <w:highlight w:val="none"/>
          <w:lang w:val="en-US" w:eastAsia="zh-CN"/>
        </w:rPr>
        <w:t xml:space="preserve">苏彩云</w:t>
      </w:r>
      <w:r>
        <w:rPr>
          <w:rFonts w:hint="eastAsia" w:ascii="方正仿宋_GB2312" w:hAnsi="方正仿宋_GB2312" w:eastAsia="方正仿宋_GB2312" w:cs="方正仿宋_GB2312"/>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9" w:name="OLE_LINK13"/>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bookmarkStart w:id="30" w:name="OLE_LINK14"/>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w:t>
      </w:r>
      <w:bookmarkEnd w:id="30"/>
      <w:r>
        <w:rPr>
          <w:rFonts w:hint="eastAsia" w:ascii="方正仿宋_GB2312" w:hAnsi="方正仿宋_GB2312" w:eastAsia="方正仿宋_GB2312" w:cs="方正仿宋_GB2312"/>
          <w:bCs/>
          <w:color w:val="auto"/>
          <w:sz w:val="24"/>
          <w:szCs w:val="24"/>
          <w:highlight w:val="none"/>
        </w:rPr>
        <w:t xml:space="preserve">2评审标准</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见本磋商文件第三章规定。</w:t>
      </w:r>
      <w:bookmarkEnd w:id="29"/>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bookmarkStart w:id="31" w:name="OLE_LINK57"/>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2</w:t>
      </w:r>
      <w:r>
        <w:rPr>
          <w:rFonts w:hint="eastAsia" w:ascii="方正仿宋_GB2312" w:hAnsi="方正仿宋_GB2312" w:eastAsia="方正仿宋_GB2312" w:cs="方正仿宋_GB2312"/>
          <w:b/>
          <w:bCs w:val="0"/>
          <w:color w:val="auto"/>
          <w:sz w:val="24"/>
          <w:szCs w:val="24"/>
          <w:highlight w:val="none"/>
        </w:rPr>
        <w:t xml:space="preserve">.出现下列情形之一的，响应文件按照无效处理：</w:t>
      </w:r>
      <w:bookmarkEnd w:id="31"/>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.7其他</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及本采购文件规定的</w:t>
      </w:r>
      <w:r>
        <w:rPr>
          <w:rFonts w:hint="eastAsia" w:ascii="方正仿宋_GB2312" w:hAnsi="方正仿宋_GB2312" w:eastAsia="方正仿宋_GB2312" w:cs="方正仿宋_GB2312"/>
          <w:color w:val="auto"/>
          <w:sz w:val="24"/>
          <w:szCs w:val="24"/>
          <w:highlight w:val="none"/>
          <w:lang w:eastAsia="zh-CN"/>
        </w:rPr>
        <w:t xml:space="preserve">属于</w:t>
      </w:r>
      <w:r>
        <w:rPr>
          <w:rFonts w:hint="eastAsia" w:ascii="方正仿宋_GB2312" w:hAnsi="方正仿宋_GB2312" w:eastAsia="方正仿宋_GB2312" w:cs="方正仿宋_GB2312"/>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22.11</w:t>
      </w:r>
      <w:r>
        <w:rPr>
          <w:rFonts w:hint="eastAsia" w:ascii="方正仿宋_GB2312" w:hAnsi="方正仿宋_GB2312" w:eastAsia="方正仿宋_GB2312" w:cs="方正仿宋_GB2312"/>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3</w:t>
      </w:r>
      <w:r>
        <w:rPr>
          <w:rFonts w:hint="eastAsia" w:ascii="方正仿宋_GB2312" w:hAnsi="方正仿宋_GB2312" w:eastAsia="方正仿宋_GB2312" w:cs="方正仿宋_GB2312"/>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 xml:space="preserve">〔2014〕214号</w:t>
      </w:r>
      <w:r>
        <w:rPr>
          <w:rFonts w:hint="eastAsia" w:ascii="方正仿宋_GB2312" w:hAnsi="方正仿宋_GB2312" w:eastAsia="方正仿宋_GB2312" w:cs="方正仿宋_GB2312"/>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23.8</w:t>
      </w:r>
      <w:r>
        <w:rPr>
          <w:rFonts w:hint="eastAsia" w:ascii="方正仿宋_GB2312" w:hAnsi="方正仿宋_GB2312" w:eastAsia="方正仿宋_GB2312" w:cs="方正仿宋_GB2312"/>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6</w:t>
      </w:r>
      <w:r>
        <w:rPr>
          <w:rFonts w:hint="eastAsia" w:ascii="方正仿宋_GB2312" w:hAnsi="方正仿宋_GB2312" w:eastAsia="方正仿宋_GB2312" w:cs="方正仿宋_GB2312"/>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.2成交结果将在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 xml:space="preserve">两</w:t>
      </w:r>
      <w:r>
        <w:rPr>
          <w:rFonts w:hint="eastAsia" w:ascii="方正仿宋_GB2312" w:hAnsi="方正仿宋_GB2312" w:eastAsia="方正仿宋_GB2312" w:cs="方正仿宋_GB2312"/>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 xml:space="preserve">具有</w:t>
      </w:r>
      <w:r>
        <w:rPr>
          <w:rFonts w:hint="eastAsia" w:ascii="方正仿宋_GB2312" w:hAnsi="方正仿宋_GB2312" w:eastAsia="方正仿宋_GB2312" w:cs="方正仿宋_GB2312"/>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27.4履约保证金（成交价的1%）</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27.4.1合同签订前</w:t>
      </w:r>
      <w:r>
        <w:rPr>
          <w:rFonts w:hint="eastAsia" w:ascii="方正仿宋_GB2312" w:hAnsi="方正仿宋_GB2312" w:eastAsia="方正仿宋_GB2312" w:cs="方正仿宋_GB2312"/>
          <w:color w:val="auto"/>
          <w:sz w:val="24"/>
          <w:szCs w:val="24"/>
          <w:highlight w:val="none"/>
        </w:rPr>
        <w:t xml:space="preserve">乙方</w:t>
      </w:r>
      <w:r>
        <w:rPr>
          <w:rFonts w:hint="eastAsia" w:ascii="方正仿宋_GB2312" w:hAnsi="方正仿宋_GB2312" w:eastAsia="方正仿宋_GB2312" w:cs="方正仿宋_GB2312"/>
          <w:color w:val="auto"/>
          <w:sz w:val="24"/>
          <w:szCs w:val="24"/>
          <w:highlight w:val="none"/>
          <w:lang w:val="en-US" w:eastAsia="zh-CN"/>
        </w:rPr>
        <w:t xml:space="preserve">向甲方缴纳合同价的1%为</w:t>
      </w:r>
      <w:r>
        <w:rPr>
          <w:rFonts w:hint="eastAsia" w:ascii="方正仿宋_GB2312" w:hAnsi="方正仿宋_GB2312" w:eastAsia="方正仿宋_GB2312" w:cs="方正仿宋_GB2312"/>
          <w:color w:val="auto"/>
          <w:sz w:val="24"/>
          <w:szCs w:val="24"/>
          <w:highlight w:val="none"/>
        </w:rPr>
        <w:t xml:space="preserve">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27.4.2</w:t>
      </w:r>
      <w:r>
        <w:rPr>
          <w:rFonts w:hint="eastAsia" w:ascii="方正仿宋_GB2312" w:hAnsi="方正仿宋_GB2312" w:eastAsia="方正仿宋_GB2312" w:cs="方正仿宋_GB2312"/>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27.4.3</w:t>
      </w:r>
      <w:r>
        <w:rPr>
          <w:rFonts w:hint="eastAsia" w:ascii="方正仿宋_GB2312" w:hAnsi="方正仿宋_GB2312" w:eastAsia="方正仿宋_GB2312" w:cs="方正仿宋_GB2312"/>
          <w:color w:val="auto"/>
          <w:sz w:val="24"/>
          <w:szCs w:val="24"/>
          <w:highlight w:val="none"/>
        </w:rPr>
        <w:t xml:space="preserve">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 xml:space="preserve">形式</w:t>
      </w:r>
      <w:r>
        <w:rPr>
          <w:rFonts w:hint="eastAsia" w:ascii="方正仿宋_GB2312" w:hAnsi="方正仿宋_GB2312" w:eastAsia="方正仿宋_GB2312" w:cs="方正仿宋_GB2312"/>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27.4.4</w:t>
      </w:r>
      <w:r>
        <w:rPr>
          <w:rFonts w:hint="eastAsia" w:ascii="方正仿宋_GB2312" w:hAnsi="方正仿宋_GB2312" w:eastAsia="方正仿宋_GB2312" w:cs="方正仿宋_GB2312"/>
          <w:color w:val="auto"/>
          <w:sz w:val="24"/>
          <w:szCs w:val="24"/>
          <w:highlight w:val="none"/>
        </w:rPr>
        <w:t xml:space="preserve">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 xml:space="preserve">〔2023〕150号</w:t>
      </w:r>
      <w:r>
        <w:rPr>
          <w:rFonts w:hint="eastAsia" w:ascii="方正仿宋_GB2312" w:hAnsi="方正仿宋_GB2312" w:eastAsia="方正仿宋_GB2312" w:cs="方正仿宋_GB2312"/>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27.4.5</w:t>
      </w:r>
      <w:r>
        <w:rPr>
          <w:rFonts w:hint="eastAsia" w:ascii="方正仿宋_GB2312" w:hAnsi="方正仿宋_GB2312" w:eastAsia="方正仿宋_GB2312" w:cs="方正仿宋_GB2312"/>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27.4.6</w:t>
      </w:r>
      <w:r>
        <w:rPr>
          <w:rFonts w:hint="eastAsia" w:ascii="方正仿宋_GB2312" w:hAnsi="方正仿宋_GB2312" w:eastAsia="方正仿宋_GB2312" w:cs="方正仿宋_GB2312"/>
          <w:color w:val="auto"/>
          <w:sz w:val="24"/>
          <w:szCs w:val="24"/>
          <w:highlight w:val="none"/>
        </w:rPr>
        <w:t xml:space="preserve">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 xml:space="preserve">基准利率</w:t>
      </w:r>
      <w:r>
        <w:rPr>
          <w:rFonts w:hint="eastAsia" w:ascii="方正仿宋_GB2312" w:hAnsi="方正仿宋_GB2312" w:eastAsia="方正仿宋_GB2312" w:cs="方正仿宋_GB2312"/>
          <w:color w:val="auto"/>
          <w:sz w:val="24"/>
          <w:szCs w:val="24"/>
          <w:highlight w:val="none"/>
        </w:rPr>
        <w:t xml:space="preserve">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27.4.7</w:t>
      </w:r>
      <w:r>
        <w:rPr>
          <w:rFonts w:hint="eastAsia" w:ascii="方正仿宋_GB2312" w:hAnsi="方正仿宋_GB2312" w:eastAsia="方正仿宋_GB2312" w:cs="方正仿宋_GB2312"/>
          <w:color w:val="auto"/>
          <w:sz w:val="24"/>
          <w:szCs w:val="24"/>
          <w:highlight w:val="none"/>
        </w:rPr>
        <w:t xml:space="preserve">履约保证金在合同约定期间内不予退还</w:t>
      </w:r>
      <w:r>
        <w:rPr>
          <w:rFonts w:hint="eastAsia" w:ascii="方正仿宋_GB2312" w:hAnsi="方正仿宋_GB2312" w:eastAsia="方正仿宋_GB2312" w:cs="方正仿宋_GB2312"/>
          <w:color w:val="auto"/>
          <w:sz w:val="24"/>
          <w:szCs w:val="24"/>
          <w:highlight w:val="none"/>
          <w:lang w:eastAsia="zh-CN"/>
        </w:rPr>
        <w:t xml:space="preserve">或者</w:t>
      </w:r>
      <w:r>
        <w:rPr>
          <w:rFonts w:hint="eastAsia" w:ascii="方正仿宋_GB2312" w:hAnsi="方正仿宋_GB2312" w:eastAsia="方正仿宋_GB2312" w:cs="方正仿宋_GB2312"/>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 xml:space="preserve">十五</w:t>
      </w:r>
      <w:r>
        <w:rPr>
          <w:rFonts w:hint="eastAsia" w:ascii="方正仿宋_GB2312" w:hAnsi="方正仿宋_GB2312" w:eastAsia="方正仿宋_GB2312" w:cs="方正仿宋_GB2312"/>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 xml:space="preserve">十五</w:t>
      </w:r>
      <w:r>
        <w:rPr>
          <w:rFonts w:hint="eastAsia" w:ascii="方正仿宋_GB2312" w:hAnsi="方正仿宋_GB2312" w:eastAsia="方正仿宋_GB2312" w:cs="方正仿宋_GB2312"/>
          <w:bCs/>
          <w:color w:val="auto"/>
          <w:sz w:val="24"/>
          <w:szCs w:val="24"/>
          <w:highlight w:val="none"/>
        </w:rPr>
        <w:t xml:space="preserve">日</w:t>
      </w:r>
      <w:r>
        <w:rPr>
          <w:rFonts w:hint="eastAsia" w:ascii="方正仿宋_GB2312" w:hAnsi="方正仿宋_GB2312" w:eastAsia="方正仿宋_GB2312" w:cs="方正仿宋_GB2312"/>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如果成交供应商没有按照2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条或</w:t>
      </w:r>
      <w:r>
        <w:rPr>
          <w:rFonts w:hint="eastAsia" w:ascii="方正仿宋_GB2312" w:hAnsi="方正仿宋_GB2312" w:eastAsia="方正仿宋_GB2312" w:cs="方正仿宋_GB2312"/>
          <w:color w:val="auto"/>
          <w:sz w:val="24"/>
          <w:szCs w:val="24"/>
          <w:highlight w:val="none"/>
          <w:lang w:val="en-US" w:eastAsia="zh-CN"/>
        </w:rPr>
        <w:t xml:space="preserve">28</w:t>
      </w:r>
      <w:r>
        <w:rPr>
          <w:rFonts w:hint="eastAsia" w:ascii="方正仿宋_GB2312" w:hAnsi="方正仿宋_GB2312" w:eastAsia="方正仿宋_GB2312" w:cs="方正仿宋_GB2312"/>
          <w:color w:val="auto"/>
          <w:sz w:val="24"/>
          <w:szCs w:val="24"/>
          <w:highlight w:val="none"/>
        </w:rPr>
        <w:t xml:space="preserve">条的规定去做，采购人</w:t>
      </w:r>
      <w:r>
        <w:rPr>
          <w:rFonts w:hint="eastAsia" w:ascii="方正仿宋_GB2312" w:hAnsi="方正仿宋_GB2312" w:eastAsia="方正仿宋_GB2312" w:cs="方正仿宋_GB2312"/>
          <w:color w:val="auto"/>
          <w:sz w:val="24"/>
          <w:szCs w:val="24"/>
          <w:highlight w:val="none"/>
          <w:lang w:eastAsia="zh-CN"/>
        </w:rPr>
        <w:t xml:space="preserve">可以</w:t>
      </w:r>
      <w:r>
        <w:rPr>
          <w:rFonts w:hint="eastAsia" w:ascii="方正仿宋_GB2312" w:hAnsi="方正仿宋_GB2312" w:eastAsia="方正仿宋_GB2312" w:cs="方正仿宋_GB2312"/>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 xml:space="preserve">额的</w:t>
      </w:r>
      <w:r>
        <w:rPr>
          <w:rFonts w:hint="eastAsia" w:ascii="方正仿宋_GB2312" w:hAnsi="方正仿宋_GB2312" w:eastAsia="方正仿宋_GB2312" w:cs="方正仿宋_GB2312"/>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.3质疑供应商是指直接参加本次磋商活动的供应商</w:t>
      </w:r>
      <w:r>
        <w:rPr>
          <w:rFonts w:hint="eastAsia" w:ascii="方正仿宋_GB2312" w:hAnsi="方正仿宋_GB2312" w:eastAsia="方正仿宋_GB2312" w:cs="方正仿宋_GB2312"/>
          <w:color w:val="auto"/>
          <w:sz w:val="24"/>
          <w:szCs w:val="24"/>
          <w:highlight w:val="none"/>
          <w:lang w:eastAsia="zh-CN"/>
        </w:rPr>
        <w:t xml:space="preserve">，对</w:t>
      </w:r>
      <w:r>
        <w:rPr>
          <w:rFonts w:hint="eastAsia" w:ascii="方正仿宋_GB2312" w:hAnsi="方正仿宋_GB2312" w:eastAsia="方正仿宋_GB2312" w:cs="方正仿宋_GB2312"/>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 xml:space="preserve">质疑</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.5质疑函必须</w:t>
      </w:r>
      <w:r>
        <w:rPr>
          <w:rFonts w:hint="eastAsia" w:ascii="方正仿宋_GB2312" w:hAnsi="方正仿宋_GB2312" w:eastAsia="方正仿宋_GB2312" w:cs="方正仿宋_GB2312"/>
          <w:color w:val="auto"/>
          <w:sz w:val="24"/>
          <w:szCs w:val="24"/>
          <w:highlight w:val="none"/>
          <w:lang w:eastAsia="zh-CN"/>
        </w:rPr>
        <w:t xml:space="preserve">按照</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.6质疑函应当包括以下主要内容，</w:t>
      </w:r>
      <w:r>
        <w:rPr>
          <w:rFonts w:hint="eastAsia" w:ascii="方正仿宋_GB2312" w:hAnsi="方正仿宋_GB2312" w:eastAsia="方正仿宋_GB2312" w:cs="方正仿宋_GB2312"/>
          <w:color w:val="auto"/>
          <w:sz w:val="24"/>
          <w:szCs w:val="24"/>
          <w:highlight w:val="none"/>
          <w:lang w:val="zh-CN"/>
        </w:rPr>
        <w:t xml:space="preserve">并</w:t>
      </w:r>
      <w:r>
        <w:rPr>
          <w:rFonts w:hint="eastAsia" w:ascii="方正仿宋_GB2312" w:hAnsi="方正仿宋_GB2312" w:eastAsia="方正仿宋_GB2312" w:cs="方正仿宋_GB2312"/>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2" w:name="_Toc16743"/>
      <w:r>
        <w:rPr>
          <w:rFonts w:hint="eastAsia" w:ascii="方正仿宋_GB2312" w:hAnsi="方正仿宋_GB2312" w:eastAsia="方正仿宋_GB2312" w:cs="方正仿宋_GB2312"/>
          <w:color w:val="auto"/>
          <w:sz w:val="24"/>
          <w:szCs w:val="24"/>
          <w:highlight w:val="none"/>
        </w:rPr>
        <w:t xml:space="preserve">（3）具体、明确的质疑事项和与质疑事实相关的请求；</w:t>
      </w:r>
      <w:bookmarkEnd w:id="32"/>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3" w:name="_Toc20203"/>
      <w:r>
        <w:rPr>
          <w:rFonts w:hint="eastAsia" w:ascii="方正仿宋_GB2312" w:hAnsi="方正仿宋_GB2312" w:eastAsia="方正仿宋_GB2312" w:cs="方正仿宋_GB2312"/>
          <w:color w:val="auto"/>
          <w:sz w:val="24"/>
          <w:szCs w:val="24"/>
          <w:highlight w:val="none"/>
        </w:rPr>
        <w:t xml:space="preserve">（4）事实依据；</w:t>
      </w:r>
      <w:bookmarkEnd w:id="33"/>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4" w:name="_Toc18795"/>
      <w:r>
        <w:rPr>
          <w:rFonts w:hint="eastAsia" w:ascii="方正仿宋_GB2312" w:hAnsi="方正仿宋_GB2312" w:eastAsia="方正仿宋_GB2312" w:cs="方正仿宋_GB2312"/>
          <w:color w:val="auto"/>
          <w:sz w:val="24"/>
          <w:szCs w:val="24"/>
          <w:highlight w:val="none"/>
        </w:rPr>
        <w:t xml:space="preserve">（5）必要的法律依据；</w:t>
      </w:r>
      <w:bookmarkEnd w:id="34"/>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5" w:name="_Toc6388"/>
      <w:r>
        <w:rPr>
          <w:rFonts w:hint="eastAsia" w:ascii="方正仿宋_GB2312" w:hAnsi="方正仿宋_GB2312" w:eastAsia="方正仿宋_GB2312" w:cs="方正仿宋_GB2312"/>
          <w:color w:val="auto"/>
          <w:sz w:val="24"/>
          <w:szCs w:val="24"/>
          <w:highlight w:val="none"/>
        </w:rPr>
        <w:t xml:space="preserve">（6）提起质疑的日期；</w:t>
      </w:r>
      <w:bookmarkEnd w:id="35"/>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.投诉</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2</w:t>
      </w:r>
      <w:r>
        <w:rPr>
          <w:rFonts w:hint="eastAsia" w:ascii="方正仿宋_GB2312" w:hAnsi="方正仿宋_GB2312" w:eastAsia="方正仿宋_GB2312" w:cs="方正仿宋_GB2312"/>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w:t>
      </w:r>
      <w:r>
        <w:rPr>
          <w:rFonts w:hint="eastAsia" w:ascii="方正仿宋_GB2312" w:hAnsi="方正仿宋_GB2312" w:eastAsia="方正仿宋_GB2312" w:cs="方正仿宋_GB2312"/>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32.1.1</w:t>
      </w:r>
      <w:r>
        <w:rPr>
          <w:rFonts w:hint="eastAsia" w:ascii="方正仿宋_GB2312" w:hAnsi="方正仿宋_GB2312" w:eastAsia="方正仿宋_GB2312" w:cs="方正仿宋_GB2312"/>
          <w:color w:val="auto"/>
          <w:sz w:val="24"/>
          <w:szCs w:val="24"/>
          <w:highlight w:val="none"/>
          <w:lang w:val="zh-CN"/>
        </w:rPr>
        <w:t xml:space="preserve">对</w:t>
      </w:r>
      <w:r>
        <w:rPr>
          <w:rFonts w:hint="eastAsia" w:ascii="方正仿宋_GB2312" w:hAnsi="方正仿宋_GB2312" w:eastAsia="方正仿宋_GB2312" w:cs="方正仿宋_GB2312"/>
          <w:color w:val="auto"/>
          <w:sz w:val="24"/>
          <w:szCs w:val="24"/>
          <w:highlight w:val="none"/>
        </w:rPr>
        <w:t xml:space="preserve">于未专门面向中小企业或者</w:t>
      </w:r>
      <w:r>
        <w:rPr>
          <w:rFonts w:hint="eastAsia" w:ascii="方正仿宋_GB2312" w:hAnsi="方正仿宋_GB2312" w:eastAsia="方正仿宋_GB2312" w:cs="方正仿宋_GB2312"/>
          <w:color w:val="auto"/>
          <w:sz w:val="24"/>
          <w:szCs w:val="24"/>
          <w:highlight w:val="none"/>
          <w:lang w:val="zh-CN"/>
        </w:rPr>
        <w:t xml:space="preserve">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32.1.2</w:t>
      </w:r>
      <w:r>
        <w:rPr>
          <w:rFonts w:hint="eastAsia" w:ascii="方正仿宋_GB2312" w:hAnsi="方正仿宋_GB2312" w:eastAsia="方正仿宋_GB2312" w:cs="方正仿宋_GB2312"/>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32.1.3</w:t>
      </w:r>
      <w:r>
        <w:rPr>
          <w:rFonts w:hint="eastAsia" w:ascii="方正仿宋_GB2312" w:hAnsi="方正仿宋_GB2312" w:eastAsia="方正仿宋_GB2312" w:cs="方正仿宋_GB2312"/>
          <w:color w:val="auto"/>
          <w:sz w:val="24"/>
          <w:szCs w:val="24"/>
          <w:highlight w:val="none"/>
        </w:rPr>
        <w:t xml:space="preserve">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 xml:space="preserve">〔2011〕300号</w:t>
      </w:r>
      <w:r>
        <w:rPr>
          <w:rFonts w:hint="eastAsia" w:ascii="方正仿宋_GB2312" w:hAnsi="方正仿宋_GB2312" w:eastAsia="方正仿宋_GB2312" w:cs="方正仿宋_GB2312"/>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w:t>
      </w:r>
      <w:r>
        <w:rPr>
          <w:rFonts w:hint="eastAsia" w:ascii="方正仿宋_GB2312" w:hAnsi="方正仿宋_GB2312" w:eastAsia="方正仿宋_GB2312" w:cs="方正仿宋_GB2312"/>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32.2.1</w:t>
      </w:r>
      <w:r>
        <w:rPr>
          <w:rFonts w:hint="eastAsia" w:ascii="方正仿宋_GB2312" w:hAnsi="方正仿宋_GB2312" w:eastAsia="方正仿宋_GB2312" w:cs="方正仿宋_GB2312"/>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32.2.2</w:t>
      </w:r>
      <w:r>
        <w:rPr>
          <w:rFonts w:hint="eastAsia" w:ascii="方正仿宋_GB2312" w:hAnsi="方正仿宋_GB2312" w:eastAsia="方正仿宋_GB2312" w:cs="方正仿宋_GB2312"/>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32.2.3</w:t>
      </w:r>
      <w:r>
        <w:rPr>
          <w:rFonts w:hint="eastAsia" w:ascii="方正仿宋_GB2312" w:hAnsi="方正仿宋_GB2312" w:eastAsia="方正仿宋_GB2312" w:cs="方正仿宋_GB2312"/>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w:t>
      </w:r>
      <w:r>
        <w:rPr>
          <w:rFonts w:hint="eastAsia" w:ascii="方正仿宋_GB2312" w:hAnsi="方正仿宋_GB2312" w:eastAsia="方正仿宋_GB2312" w:cs="方正仿宋_GB2312"/>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32.3.1</w:t>
      </w:r>
      <w:r>
        <w:rPr>
          <w:rFonts w:hint="eastAsia" w:ascii="方正仿宋_GB2312" w:hAnsi="方正仿宋_GB2312" w:eastAsia="方正仿宋_GB2312" w:cs="方正仿宋_GB2312"/>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32.3.2</w:t>
      </w:r>
      <w:r>
        <w:rPr>
          <w:rFonts w:hint="eastAsia" w:ascii="方正仿宋_GB2312" w:hAnsi="方正仿宋_GB2312" w:eastAsia="方正仿宋_GB2312" w:cs="方正仿宋_GB2312"/>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32.3.3</w:t>
      </w:r>
      <w:r>
        <w:rPr>
          <w:rFonts w:hint="eastAsia" w:ascii="方正仿宋_GB2312" w:hAnsi="方正仿宋_GB2312" w:eastAsia="方正仿宋_GB2312" w:cs="方正仿宋_GB2312"/>
          <w:color w:val="auto"/>
          <w:sz w:val="24"/>
          <w:szCs w:val="24"/>
          <w:highlight w:val="none"/>
        </w:rPr>
        <w:t xml:space="preserve">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 xml:space="preserve">〔2014〕68号</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32.3.4</w:t>
      </w:r>
      <w:r>
        <w:rPr>
          <w:rFonts w:hint="eastAsia" w:ascii="方正仿宋_GB2312" w:hAnsi="方正仿宋_GB2312" w:eastAsia="方正仿宋_GB2312" w:cs="方正仿宋_GB2312"/>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33.1</w:t>
      </w:r>
      <w:r>
        <w:rPr>
          <w:rFonts w:hint="eastAsia" w:ascii="方正仿宋_GB2312" w:hAnsi="方正仿宋_GB2312" w:eastAsia="方正仿宋_GB2312" w:cs="方正仿宋_GB2312"/>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被列入“节能产品品目清单”的，实行</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75"/>
        <w:ind w:left="0" w:firstLine="240"/>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75"/>
        <w:ind w:left="0"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.3本项目中</w:t>
      </w:r>
      <w:r>
        <w:rPr>
          <w:rFonts w:hint="eastAsia" w:ascii="方正仿宋_GB2312" w:hAnsi="方正仿宋_GB2312" w:eastAsia="方正仿宋_GB2312" w:cs="方正仿宋_GB2312"/>
          <w:color w:val="auto"/>
          <w:sz w:val="24"/>
          <w:szCs w:val="24"/>
          <w:highlight w:val="none"/>
          <w:lang w:val="en-US" w:eastAsia="zh-CN"/>
        </w:rPr>
        <w:t xml:space="preserve">如</w:t>
      </w:r>
      <w:r>
        <w:rPr>
          <w:rFonts w:hint="eastAsia" w:ascii="方正仿宋_GB2312" w:hAnsi="方正仿宋_GB2312" w:eastAsia="方正仿宋_GB2312" w:cs="方正仿宋_GB2312"/>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both"/>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w:t>
      </w:r>
      <w:r>
        <w:rPr>
          <w:rFonts w:hint="eastAsia" w:ascii="仿宋" w:hAnsi="仿宋" w:eastAsia="仿宋" w:cs="仿宋"/>
          <w:color w:val="auto"/>
          <w:sz w:val="24"/>
          <w:szCs w:val="24"/>
          <w:highlight w:val="none"/>
          <w:lang w:eastAsia="zh-CN"/>
        </w:rPr>
        <w:t xml:space="preserve">商作</w:t>
      </w:r>
      <w:r>
        <w:rPr>
          <w:rFonts w:hint="eastAsia" w:ascii="仿宋" w:hAnsi="仿宋" w:eastAsia="仿宋" w:cs="仿宋"/>
          <w:color w:val="auto"/>
          <w:sz w:val="24"/>
          <w:szCs w:val="24"/>
          <w:highlight w:val="none"/>
        </w:rPr>
        <w:t xml:space="preserve">为成交候选供应商的评标方法。</w:t>
      </w:r>
      <w:r/>
    </w:p>
    <w:p>
      <w:pPr>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二、磋商小组将依据下列评标标准进行评审，本评标标准的总分为100分。</w:t>
      </w:r>
      <w:r/>
    </w:p>
    <w:p>
      <w:pPr>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三、具体标准</w:t>
      </w:r>
      <w:r>
        <w:rPr>
          <w:rFonts w:hint="eastAsia" w:ascii="仿宋" w:hAnsi="仿宋" w:eastAsia="仿宋" w:cs="仿宋"/>
          <w:color w:val="auto"/>
          <w:sz w:val="24"/>
          <w:szCs w:val="24"/>
          <w:highlight w:val="none"/>
          <w:lang w:eastAsia="zh-CN"/>
        </w:rPr>
        <w:t xml:space="preserve">：</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综合评审因素和评分标准（100分）</w:t>
      </w:r>
      <w:r/>
    </w:p>
    <w:tbl>
      <w:tblPr>
        <w:tblStyle w:val="951"/>
        <w:tblW w:w="93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991"/>
        <w:gridCol w:w="1080"/>
        <w:gridCol w:w="5905"/>
        <w:gridCol w:w="888"/>
      </w:tblGrid>
      <w:tr>
        <w:trPr>
          <w:trHeight w:val="792"/>
        </w:trPr>
        <w:tc>
          <w:tcPr>
            <w:tcMar>
              <w:left w:w="108" w:type="dxa"/>
              <w:top w:w="0" w:type="dxa"/>
              <w:right w:w="108" w:type="dxa"/>
              <w:bottom w:w="0" w:type="dxa"/>
            </w:tcMar>
            <w:tcW w:w="476" w:type="dxa"/>
            <w:vAlign w:val="center"/>
            <w:textDirection w:val="lrTb"/>
            <w:noWrap w:val="false"/>
          </w:tcPr>
          <w:p>
            <w:pPr>
              <w:ind w:left="0" w:right="0" w:firstLine="0"/>
              <w:jc w:val="both"/>
              <w:spacing w:before="0" w:after="0" w:line="36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序号</w:t>
            </w:r>
            <w:r/>
          </w:p>
        </w:tc>
        <w:tc>
          <w:tcPr>
            <w:tcMar>
              <w:left w:w="108" w:type="dxa"/>
              <w:top w:w="0" w:type="dxa"/>
              <w:right w:w="108" w:type="dxa"/>
              <w:bottom w:w="0" w:type="dxa"/>
            </w:tcMar>
            <w:tcW w:w="991" w:type="dxa"/>
            <w:vAlign w:val="center"/>
            <w:textDirection w:val="lrTb"/>
            <w:noWrap w:val="false"/>
          </w:tcPr>
          <w:p>
            <w:pPr>
              <w:ind w:left="0" w:right="0" w:firstLine="0"/>
              <w:jc w:val="both"/>
              <w:spacing w:before="0" w:after="0" w:line="36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评分因素</w:t>
            </w:r>
            <w:r/>
          </w:p>
        </w:tc>
        <w:tc>
          <w:tcPr>
            <w:gridSpan w:val="2"/>
            <w:tcMar>
              <w:left w:w="108" w:type="dxa"/>
              <w:top w:w="0" w:type="dxa"/>
              <w:right w:w="108" w:type="dxa"/>
              <w:bottom w:w="0" w:type="dxa"/>
            </w:tcMar>
            <w:tcW w:w="6985" w:type="dxa"/>
            <w:vAlign w:val="center"/>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评审标准</w:t>
            </w:r>
            <w:r/>
          </w:p>
        </w:tc>
        <w:tc>
          <w:tcPr>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分值</w:t>
            </w:r>
            <w:r/>
          </w:p>
        </w:tc>
      </w:tr>
      <w:tr>
        <w:trPr>
          <w:trHeight w:val="1431"/>
        </w:trPr>
        <w:tc>
          <w:tcPr>
            <w:tcMar>
              <w:left w:w="108" w:type="dxa"/>
              <w:top w:w="0" w:type="dxa"/>
              <w:right w:w="108" w:type="dxa"/>
              <w:bottom w:w="0" w:type="dxa"/>
            </w:tcMar>
            <w:tcW w:w="476" w:type="dxa"/>
            <w:vAlign w:val="center"/>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p>
        </w:tc>
        <w:tc>
          <w:tcPr>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投标报价</w:t>
            </w:r>
            <w:r/>
          </w:p>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分）</w:t>
            </w:r>
            <w:r/>
          </w:p>
        </w:tc>
        <w:tc>
          <w:tcPr>
            <w:gridSpan w:val="2"/>
            <w:tcMar>
              <w:left w:w="108" w:type="dxa"/>
              <w:top w:w="0" w:type="dxa"/>
              <w:right w:w="108" w:type="dxa"/>
              <w:bottom w:w="0" w:type="dxa"/>
            </w:tcMar>
            <w:tcW w:w="6985" w:type="dxa"/>
            <w:vAlign w:val="top"/>
            <w:textDirection w:val="lrTb"/>
            <w:noWrap w:val="false"/>
          </w:tcPr>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采用低价优先法计算，即满足招标文件要求且投标价格最低的投标报价为评标基准价，其价格分为满分。其他投标人的价格分统一按照下列公式计算：投标报价得分=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评标基准价/投标报价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x</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c>
          <w:tcPr>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40</w:t>
            </w:r>
            <w:r/>
          </w:p>
        </w:tc>
      </w:tr>
      <w:tr>
        <w:trPr>
          <w:trHeight w:val="1431"/>
        </w:trPr>
        <w:tc>
          <w:tcPr>
            <w:tcMar>
              <w:left w:w="108" w:type="dxa"/>
              <w:top w:w="0" w:type="dxa"/>
              <w:right w:w="108" w:type="dxa"/>
              <w:bottom w:w="0" w:type="dxa"/>
            </w:tcMar>
            <w:tcW w:w="476" w:type="dxa"/>
            <w:vAlign w:val="center"/>
            <w:vMerge w:val="restart"/>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p>
        </w:tc>
        <w:tc>
          <w:tcPr>
            <w:tcMar>
              <w:left w:w="108" w:type="dxa"/>
              <w:top w:w="0" w:type="dxa"/>
              <w:right w:w="108" w:type="dxa"/>
              <w:bottom w:w="0" w:type="dxa"/>
            </w:tcMar>
            <w:tcW w:w="991" w:type="dxa"/>
            <w:vAlign w:val="center"/>
            <w:vMerge w:val="restart"/>
            <w:textDirection w:val="lrTb"/>
            <w:noWrap w:val="false"/>
          </w:tcPr>
          <w:p>
            <w:pPr>
              <w:ind w:left="0" w:right="0" w:firstLine="0"/>
              <w:jc w:val="center"/>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技术部分（</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分）</w:t>
            </w:r>
            <w:r/>
          </w:p>
        </w:tc>
        <w:tc>
          <w:tcPr>
            <w:gridSpan w:val="2"/>
            <w:tcMar>
              <w:left w:w="108" w:type="dxa"/>
              <w:top w:w="0" w:type="dxa"/>
              <w:right w:w="108" w:type="dxa"/>
              <w:bottom w:w="0" w:type="dxa"/>
            </w:tcMar>
            <w:tcW w:w="6985"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1.总体概述：施工组织总体设想、服务承诺、方案针对性及施工标段划分（6分）；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（1）总体概述非常完善合理可行的得6分；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（2）总体概述完善合理可行的得4分；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（3）总体概述基本完善可行的得2分；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（4）总体概述不完善可行的得1分；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1" w:type="dxa"/>
            <w:vAlign w:val="center"/>
            <w:vMerge w:val="continue"/>
            <w:textDirection w:val="lrTb"/>
            <w:noWrap w:val="false"/>
          </w:tcPr>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6985"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2.施工现场平面布置和临时设施、临时道路布置（6分）；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（1）现场平面布置非常完善合理可行的得6分；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（2）现场平面布置完善合理可行的得4分；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（3）现场平面布置基本完善可行的得2分；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（4）现场平面布置不完善可行的得1分；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1" w:type="dxa"/>
            <w:vAlign w:val="center"/>
            <w:vMerge w:val="continue"/>
            <w:textDirection w:val="lrTb"/>
            <w:noWrap w:val="false"/>
          </w:tcPr>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6985"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3.施工进度计划和各阶段进度的保证措施（6分）；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（1）进度计划详尽，项目实施进度、时间点、关键节点、施工网络图等设置清晰准确的得6分；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（2）进度计划基本详尽，项目实施进度、时间点、关键节点、施工网络图等设置基本清晰准确的得4分；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（3）进度计划不够详尽，项目实施进度、时间点、关键节点、施工网络图等设置不够清晰准确的得2分；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（4）进度计划一般，项目实施进度、时间点、关键节点、施工网络图等设置不清晰不准确的得1分；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1" w:type="dxa"/>
            <w:vAlign w:val="center"/>
            <w:vMerge w:val="continue"/>
            <w:textDirection w:val="lrTb"/>
            <w:noWrap w:val="false"/>
          </w:tcPr>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6985"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4.劳动力、机械设备和材料投入计划（6分）；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（1）劳动力机械设备和材料投入科学合理详尽，考虑周全的得6分；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（2）劳动力机械设备和材料投入基本科学合理详尽，考虑基本周全的得4分；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（3）劳动力机械设备和材料投入不够科学合理详尽，考虑不够周全的得2分；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（4）劳动力机械设备和材料投入不科学合理，考虑不周全的得1分；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1" w:type="dxa"/>
            <w:vAlign w:val="center"/>
            <w:vMerge w:val="continue"/>
            <w:textDirection w:val="lrTb"/>
            <w:noWrap w:val="false"/>
          </w:tcPr>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6985"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5.关键施工技术、工艺及工程项目实施的重点、难点和解决方案（6分）；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（1）对施工现场情况了解详尽，对施工重点、难点分析准确，解决方案详细具体、科学合理且符合项目实际的得6分；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（2）对施工现场情况了解详尽，对施工重点、难点分析准确，解决方案基本详细具体、科学合理且符合项目实际的得4分；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（3）对施工现场情况了解不充分，对施工重点、难点分析不完整，提供了不够详细具体、科学合理的解决方案的得2分；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（4）对施工现场情况了解片面，对施工重点、难点分析不完整，所提供的解决方案不具体的得1分；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（5）未提供不得分。</w:t>
            </w:r>
            <w:r/>
          </w:p>
        </w:tc>
        <w:tc>
          <w:tcPr>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1" w:type="dxa"/>
            <w:vAlign w:val="center"/>
            <w:vMerge w:val="continue"/>
            <w:textDirection w:val="lrTb"/>
            <w:noWrap w:val="false"/>
          </w:tcPr>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6985" w:type="dxa"/>
            <w:vAlign w:val="center"/>
            <w:textDirection w:val="lrTb"/>
            <w:noWrap w:val="false"/>
          </w:tcPr>
          <w:p>
            <w:pPr>
              <w:ind w:firstLine="480"/>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b/>
                <w:bCs/>
                <w:color w:val="auto"/>
                <w:sz w:val="24"/>
                <w:szCs w:val="24"/>
                <w:highlight w:val="none"/>
                <w:lang w:val="en-US" w:eastAsia="zh-CN"/>
              </w:rPr>
              <w:t xml:space="preserve"> 6.文明施工、环境保护管理体系与质量管理体系措施（5分）；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（1）对文明施工、环境保护、质量管理详细具体、科学合理的得5分；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（2）对文明施工、环境保护、质量管理基本详细具体、科学合理的得4分；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（3）对文明施工、环境保护、质量管理不够详细具体、科学合理的得3分；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（4）对文明施工、环境保护、质量管理不具体、科学合理的得1分；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（5）未提供不得分。</w:t>
            </w:r>
            <w:r/>
          </w:p>
        </w:tc>
        <w:tc>
          <w:tcPr>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p>
        </w:tc>
      </w:tr>
      <w:tr>
        <w:trPr>
          <w:trHeight w:val="897"/>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1" w:type="dxa"/>
            <w:vAlign w:val="center"/>
            <w:vMerge w:val="continue"/>
            <w:textDirection w:val="lrTb"/>
            <w:noWrap w:val="false"/>
          </w:tcPr>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6985"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7.项目人员配置：管理班子机构健全、职责明确、人员齐配，满足本项目要求（5分）；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（1）机构健全、职责明确、人员齐配的得5分；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（2）机构健全、职责明确、人员基本齐配的得4分；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（3）机构不健全、职责不够明确、人员缺少的得3分；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（4）机构不健全、职责模糊、人员较少的得1分；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p>
        </w:tc>
      </w:tr>
      <w:tr>
        <w:trPr>
          <w:trHeight w:val="1054"/>
        </w:trPr>
        <w:tc>
          <w:tcPr>
            <w:tcMar>
              <w:left w:w="108" w:type="dxa"/>
              <w:top w:w="0" w:type="dxa"/>
              <w:right w:w="108" w:type="dxa"/>
              <w:bottom w:w="0" w:type="dxa"/>
            </w:tcMar>
            <w:tcW w:w="476" w:type="dxa"/>
            <w:vAlign w:val="center"/>
            <w:vMerge w:val="restart"/>
            <w:textDirection w:val="lrTb"/>
            <w:noWrap w:val="false"/>
          </w:tcPr>
          <w:p>
            <w:pPr>
              <w:ind w:left="0" w:right="0" w:firstLine="0"/>
              <w:jc w:val="center"/>
              <w:spacing w:before="0" w:after="0" w:line="36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p>
        </w:tc>
        <w:tc>
          <w:tcPr>
            <w:tcMar>
              <w:left w:w="108" w:type="dxa"/>
              <w:top w:w="0" w:type="dxa"/>
              <w:right w:w="108" w:type="dxa"/>
              <w:bottom w:w="0" w:type="dxa"/>
            </w:tcMar>
            <w:tcW w:w="991" w:type="dxa"/>
            <w:vAlign w:val="center"/>
            <w:vMerge w:val="restart"/>
            <w:textDirection w:val="lrTb"/>
            <w:noWrap w:val="false"/>
          </w:tcPr>
          <w:p>
            <w:pPr>
              <w:ind w:left="0" w:right="0" w:firstLine="0"/>
              <w:jc w:val="center"/>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商务部分（</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1080" w:type="dxa"/>
            <w:vAlign w:val="center"/>
            <w:textDirection w:val="lrTb"/>
            <w:noWrap w:val="false"/>
          </w:tcPr>
          <w:p>
            <w:pPr>
              <w:ind w:left="0" w:right="0" w:firstLine="0"/>
              <w:jc w:val="left"/>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企业</w:t>
            </w:r>
            <w:r>
              <w:rPr>
                <w:rFonts w:hint="eastAsia" w:ascii="仿宋" w:hAnsi="仿宋" w:eastAsia="仿宋" w:cs="仿宋"/>
                <w:color w:val="auto"/>
                <w:sz w:val="24"/>
                <w:szCs w:val="24"/>
                <w:highlight w:val="none"/>
              </w:rPr>
              <w:t xml:space="preserve">业绩</w:t>
            </w:r>
            <w:r/>
          </w:p>
          <w:p>
            <w:pPr>
              <w:ind w:left="0" w:right="0" w:firstLine="0"/>
              <w:jc w:val="left"/>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方正仿宋_GB2312" w:hAnsi="方正仿宋_GB2312" w:eastAsia="方正仿宋_GB2312" w:cs="方正仿宋_GB2312"/>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5905" w:type="dxa"/>
            <w:vAlign w:val="center"/>
            <w:textDirection w:val="lrTb"/>
            <w:noWrap w:val="false"/>
          </w:tcPr>
          <w:p>
            <w:pPr>
              <w:ind w:left="0" w:right="0" w:firstLine="0"/>
              <w:jc w:val="left"/>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  供应商在2022年5月1日以来承担过改造工程业绩有一个得2分，最高为8分，没有不得分。以竣工验收时间为准；【业绩证明材料须提供中标通知书、施工合同、验收证明（竣工验收证明或完工验收鉴定书，并由建设、监理、施工各参建单位签字盖章），缺一不可】相关材料扫描件上传至电子标书。</w:t>
            </w:r>
            <w:r/>
          </w:p>
          <w:p>
            <w:pPr>
              <w:ind w:left="0" w:right="0" w:firstLine="0"/>
              <w:jc w:val="left"/>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方正仿宋_GB2312" w:hAnsi="方正仿宋_GB2312" w:eastAsia="方正仿宋_GB2312" w:cs="方正仿宋_GB2312"/>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b/>
                <w:bCs/>
                <w:color w:val="auto"/>
                <w:sz w:val="24"/>
                <w:szCs w:val="24"/>
                <w:highlight w:val="none"/>
                <w:lang w:val="en-US" w:eastAsia="zh-CN"/>
              </w:rPr>
              <w:t xml:space="preserve">以上工程业绩须提供网站项目业绩的中标人公告网页截图及网址查询链接，否则不予认可，相关材料上传至电子投标文件中。</w:t>
            </w:r>
            <w:r>
              <w:rPr>
                <w:rFonts w:ascii="SimSun" w:hAnsi="SimSun" w:eastAsia="SimSun" w:cs="SimSun"/>
                <w:b/>
                <w:bCs/>
                <w:color w:val="000000"/>
                <w:sz w:val="21"/>
              </w:rPr>
              <w:t xml:space="preserve">企业业绩和项目负责人业绩不得重复得分</w:t>
            </w:r>
            <w:r>
              <w:rPr>
                <w:rFonts w:hint="eastAsia" w:ascii="仿宋" w:hAnsi="仿宋" w:eastAsia="仿宋" w:cs="仿宋"/>
                <w:b/>
                <w:bCs/>
                <w:color w:val="auto"/>
                <w:sz w:val="24"/>
                <w:szCs w:val="24"/>
                <w:highlight w:val="none"/>
                <w:lang w:val="en-US" w:eastAsia="zh-CN"/>
              </w:rPr>
            </w:r>
            <w:r/>
          </w:p>
        </w:tc>
        <w:tc>
          <w:tcPr>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p>
        </w:tc>
      </w:tr>
      <w:tr>
        <w:trPr>
          <w:trHeight w:val="3873"/>
        </w:trPr>
        <w:tc>
          <w:tcPr>
            <w:tcMar>
              <w:left w:w="108" w:type="dxa"/>
              <w:top w:w="0" w:type="dxa"/>
              <w:right w:w="108" w:type="dxa"/>
              <w:bottom w:w="0" w:type="dxa"/>
            </w:tcMar>
            <w:tcW w:w="476" w:type="dxa"/>
            <w:vAlign w:val="center"/>
            <w:vMerge w:val="continue"/>
            <w:textDirection w:val="lrTb"/>
            <w:noWrap w:val="false"/>
          </w:tcPr>
          <w:p>
            <w:pPr>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1" w:type="dxa"/>
            <w:vAlign w:val="center"/>
            <w:vMerge w:val="continue"/>
            <w:textDirection w:val="lrTb"/>
            <w:noWrap w:val="false"/>
          </w:tcPr>
          <w:p>
            <w:pPr>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080" w:type="dxa"/>
            <w:vAlign w:val="center"/>
            <w:textDirection w:val="lrTb"/>
            <w:noWrap w:val="false"/>
          </w:tcPr>
          <w:p>
            <w:pPr>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项目经理业绩（6分）</w:t>
            </w:r>
            <w:r/>
          </w:p>
        </w:tc>
        <w:tc>
          <w:tcPr>
            <w:tcMar>
              <w:left w:w="108" w:type="dxa"/>
              <w:top w:w="0" w:type="dxa"/>
              <w:right w:w="108" w:type="dxa"/>
              <w:bottom w:w="0" w:type="dxa"/>
            </w:tcMar>
            <w:tcW w:w="5905" w:type="dxa"/>
            <w:vAlign w:val="center"/>
            <w:textDirection w:val="lrTb"/>
            <w:noWrap w:val="false"/>
          </w:tcPr>
          <w:p>
            <w:pPr>
              <w:ind w:left="0" w:right="0" w:firstLine="240"/>
              <w:jc w:val="left"/>
              <w:spacing w:before="0" w:after="0" w:line="360" w:lineRule="atLeas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项目经理在2022年5月1日以来承担过改造工程业绩有一个得2分，最高为6分，没有不得分。以竣工验收时间为准；【业绩证明材料须提供中标通知书、施工合同、验收证明（竣工验收证明或完工验收鉴定书，并由建设、设计、监理、施工各参建单位签字盖章），缺一不可。】相关材料扫描件上传至电子标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4"/>
                <w:szCs w:val="24"/>
                <w:highlight w:val="none"/>
                <w:lang w:val="en-US" w:eastAsia="zh-CN"/>
              </w:rPr>
            </w:r>
            <w:r>
              <w:rPr>
                <w:rFonts w:ascii="FangSong" w:hAnsi="FangSong" w:eastAsia="FangSong" w:cs="FangSong"/>
                <w:b/>
                <w:color w:val="000000"/>
                <w:sz w:val="24"/>
              </w:rPr>
              <w:t xml:space="preserve">注：以上工程业绩须提供网站项目业绩的中标人公告网页截图及网址查询链接，否则不予认可，相关材料上传至电子投标文件中。</w:t>
            </w:r>
            <w:r>
              <w:rPr>
                <w:rFonts w:ascii="SimSun" w:hAnsi="SimSun" w:eastAsia="SimSun" w:cs="SimSun"/>
                <w:b/>
                <w:color w:val="000000"/>
                <w:sz w:val="21"/>
              </w:rPr>
              <w:t xml:space="preserve">企业业绩和项目负责人业绩不得重复得分</w:t>
            </w:r>
            <w:r>
              <w:rPr>
                <w:sz w:val="21"/>
              </w:rPr>
            </w:r>
            <w:r/>
          </w:p>
        </w:tc>
        <w:tc>
          <w:tcPr>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p>
        </w:tc>
      </w:tr>
      <w:tr>
        <w:trPr>
          <w:trHeight w:val="1560"/>
        </w:trPr>
        <w:tc>
          <w:tcPr>
            <w:tcMar>
              <w:left w:w="108" w:type="dxa"/>
              <w:top w:w="0" w:type="dxa"/>
              <w:right w:w="108" w:type="dxa"/>
              <w:bottom w:w="0" w:type="dxa"/>
            </w:tcMar>
            <w:tcW w:w="476" w:type="dxa"/>
            <w:vAlign w:val="center"/>
            <w:vMerge w:val="continue"/>
            <w:textDirection w:val="lrTb"/>
            <w:noWrap w:val="false"/>
          </w:tcPr>
          <w:p>
            <w:pPr>
              <w:ind w:left="0" w:right="0" w:firstLine="0"/>
              <w:jc w:val="left"/>
              <w:spacing w:before="0" w:after="0" w:line="360" w:lineRule="atLeas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r>
            <w:r/>
          </w:p>
        </w:tc>
        <w:tc>
          <w:tcPr>
            <w:tcMar>
              <w:left w:w="108" w:type="dxa"/>
              <w:top w:w="0" w:type="dxa"/>
              <w:right w:w="108" w:type="dxa"/>
              <w:bottom w:w="0" w:type="dxa"/>
            </w:tcMar>
            <w:tcW w:w="991" w:type="dxa"/>
            <w:vAlign w:val="center"/>
            <w:vMerge w:val="continue"/>
            <w:textDirection w:val="lrTb"/>
            <w:noWrap w:val="false"/>
          </w:tcPr>
          <w:p>
            <w:pPr>
              <w:ind w:left="0" w:right="0" w:firstLine="0"/>
              <w:jc w:val="left"/>
              <w:spacing w:before="0" w:after="0" w:line="360" w:lineRule="atLeas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r>
            <w:r/>
          </w:p>
        </w:tc>
        <w:tc>
          <w:tcPr>
            <w:tcMar>
              <w:left w:w="108" w:type="dxa"/>
              <w:top w:w="0" w:type="dxa"/>
              <w:right w:w="108" w:type="dxa"/>
              <w:bottom w:w="0" w:type="dxa"/>
            </w:tcMar>
            <w:tcW w:w="1080" w:type="dxa"/>
            <w:vAlign w:val="center"/>
            <w:textDirection w:val="lrTb"/>
            <w:noWrap w:val="false"/>
          </w:tcPr>
          <w:p>
            <w:pPr>
              <w:ind w:left="0" w:right="0" w:firstLine="0"/>
              <w:jc w:val="left"/>
              <w:spacing w:before="0" w:after="0" w:line="360" w:lineRule="atLeas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项目组成人员（6分）</w:t>
            </w:r>
            <w:r/>
          </w:p>
        </w:tc>
        <w:tc>
          <w:tcPr>
            <w:tcMar>
              <w:left w:w="108" w:type="dxa"/>
              <w:top w:w="0" w:type="dxa"/>
              <w:right w:w="108" w:type="dxa"/>
              <w:bottom w:w="0" w:type="dxa"/>
            </w:tcMar>
            <w:tcW w:w="5905" w:type="dxa"/>
            <w:vAlign w:val="center"/>
            <w:textDirection w:val="lrTb"/>
            <w:noWrap w:val="false"/>
          </w:tcPr>
          <w:p>
            <w:pPr>
              <w:ind w:left="0" w:right="0" w:firstLine="240"/>
              <w:jc w:val="left"/>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拟派的施工员、安全员、质量员、资料员、材料员、注册一级造价师具有证书的有一个加1分，共计6分；</w:t>
            </w:r>
            <w:r/>
          </w:p>
          <w:p>
            <w:pPr>
              <w:ind w:left="0" w:right="0" w:firstLine="0"/>
              <w:jc w:val="left"/>
              <w:spacing w:before="0" w:after="0" w:line="360" w:lineRule="atLeas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注：提供相关证书和2025年11月以来任意1个月社保证明扫描件上传电子标书。</w:t>
            </w:r>
            <w:r/>
          </w:p>
        </w:tc>
        <w:tc>
          <w:tcPr>
            <w:tcMar>
              <w:left w:w="108" w:type="dxa"/>
              <w:top w:w="0" w:type="dxa"/>
              <w:right w:w="108" w:type="dxa"/>
              <w:bottom w:w="0" w:type="dxa"/>
            </w:tcMar>
            <w:tcW w:w="888" w:type="dxa"/>
            <w:vAlign w:val="center"/>
            <w:textDirection w:val="lrTb"/>
            <w:noWrap w:val="false"/>
          </w:tcPr>
          <w:p>
            <w:pPr>
              <w:ind w:left="0" w:right="0" w:firstLine="0"/>
              <w:jc w:val="center"/>
              <w:spacing w:before="0" w:after="0" w:line="360" w:lineRule="atLeast"/>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p>
        </w:tc>
      </w:tr>
    </w:tbl>
    <w:p>
      <w:pPr>
        <w:ind w:left="0" w:right="0" w:firstLine="0"/>
        <w:jc w:val="both"/>
        <w:spacing w:before="0" w:after="0"/>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r/>
    </w:p>
    <w:p>
      <w:pPr>
        <w:numPr>
          <w:ilvl w:val="0"/>
          <w:numId w:val="2"/>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6" w:name="OLE_LINK12"/>
      <w:r>
        <w:rPr>
          <w:rFonts w:hint="eastAsia" w:ascii="仿宋" w:hAnsi="仿宋" w:eastAsia="仿宋" w:cs="仿宋"/>
          <w:b/>
          <w:color w:val="auto"/>
          <w:sz w:val="30"/>
          <w:szCs w:val="30"/>
          <w:highlight w:val="none"/>
          <w:lang w:val="en-US" w:eastAsia="zh-CN"/>
        </w:rPr>
        <w:t xml:space="preserve">项目采购需求</w:t>
      </w:r>
      <w:bookmarkEnd w:id="36"/>
      <w:r/>
      <w:r/>
    </w:p>
    <w:p>
      <w:pPr>
        <w:ind w:firstLine="420"/>
        <w:jc w:val="both"/>
        <w:keepLines w:val="0"/>
        <w:keepNext w:val="0"/>
        <w:widowControl/>
        <w:rPr>
          <w:rFonts w:hint="eastAsia" w:ascii="黑体" w:hAnsi="宋体" w:eastAsia="黑体" w:cs="黑体"/>
          <w:i w:val="0"/>
          <w:iCs w:val="0"/>
          <w:color w:val="auto"/>
          <w:sz w:val="21"/>
          <w:szCs w:val="21"/>
          <w:highlight w:val="none"/>
          <w:u w:val="none"/>
          <w:lang w:val="en-US" w:eastAsia="zh-CN" w:bidi="ar"/>
        </w:rPr>
        <w:suppressLineNumbers w:val="0"/>
      </w:pPr>
      <w:r>
        <w:rPr>
          <w:rFonts w:hint="eastAsia" w:ascii="黑体" w:hAnsi="宋体" w:eastAsia="黑体" w:cs="黑体"/>
          <w:i w:val="0"/>
          <w:iCs w:val="0"/>
          <w:color w:val="auto"/>
          <w:sz w:val="21"/>
          <w:szCs w:val="21"/>
          <w:highlight w:val="none"/>
          <w:u w:val="none"/>
          <w:lang w:val="en-US" w:eastAsia="zh-CN" w:bidi="ar"/>
        </w:rPr>
        <w:t xml:space="preserve">一、项目名称:盱眙县实验小学运动场地（总部校区篮球场、排球场、看台、三分校排球场等）改造项目</w:t>
      </w:r>
      <w:r/>
    </w:p>
    <w:p>
      <w:pPr>
        <w:ind w:firstLine="420"/>
        <w:jc w:val="both"/>
        <w:keepLines w:val="0"/>
        <w:keepNext w:val="0"/>
        <w:widowControl/>
        <w:rPr>
          <w:rFonts w:hint="eastAsia" w:ascii="黑体" w:hAnsi="宋体" w:eastAsia="黑体" w:cs="黑体"/>
          <w:i w:val="0"/>
          <w:iCs w:val="0"/>
          <w:color w:val="auto"/>
          <w:sz w:val="21"/>
          <w:szCs w:val="21"/>
          <w:highlight w:val="none"/>
          <w:u w:val="none"/>
          <w:lang w:val="en-US" w:eastAsia="zh-CN" w:bidi="ar"/>
        </w:rPr>
        <w:suppressLineNumbers w:val="0"/>
      </w:pPr>
      <w:r>
        <w:rPr>
          <w:rFonts w:hint="eastAsia" w:ascii="黑体" w:hAnsi="宋体" w:eastAsia="黑体" w:cs="黑体"/>
          <w:i w:val="0"/>
          <w:iCs w:val="0"/>
          <w:color w:val="auto"/>
          <w:sz w:val="21"/>
          <w:szCs w:val="21"/>
          <w:highlight w:val="none"/>
          <w:u w:val="none"/>
          <w:lang w:val="en-US" w:eastAsia="zh-CN" w:bidi="ar"/>
        </w:rPr>
        <w:t xml:space="preserve">二、预算金额:190万元;</w:t>
      </w:r>
      <w:r/>
    </w:p>
    <w:p>
      <w:pPr>
        <w:ind w:firstLine="420"/>
        <w:jc w:val="both"/>
        <w:keepLines w:val="0"/>
        <w:keepNext w:val="0"/>
        <w:widowControl/>
        <w:rPr>
          <w:rFonts w:hint="eastAsia" w:ascii="黑体" w:hAnsi="宋体" w:eastAsia="黑体" w:cs="黑体"/>
          <w:i w:val="0"/>
          <w:iCs w:val="0"/>
          <w:color w:val="auto"/>
          <w:sz w:val="21"/>
          <w:szCs w:val="21"/>
          <w:highlight w:val="none"/>
          <w:u w:val="none"/>
          <w:lang w:val="en-US" w:eastAsia="zh-CN" w:bidi="ar"/>
        </w:rPr>
        <w:suppressLineNumbers w:val="0"/>
      </w:pPr>
      <w:r>
        <w:rPr>
          <w:rFonts w:hint="eastAsia" w:ascii="黑体" w:hAnsi="宋体" w:eastAsia="黑体" w:cs="黑体"/>
          <w:i w:val="0"/>
          <w:iCs w:val="0"/>
          <w:color w:val="auto"/>
          <w:sz w:val="21"/>
          <w:szCs w:val="21"/>
          <w:highlight w:val="none"/>
          <w:u w:val="none"/>
          <w:lang w:val="en-US" w:eastAsia="zh-CN" w:bidi="ar"/>
        </w:rPr>
        <w:t xml:space="preserve">三、最高限价:190万元;</w:t>
      </w:r>
      <w:r/>
    </w:p>
    <w:p>
      <w:pPr>
        <w:ind w:firstLine="420"/>
        <w:jc w:val="both"/>
        <w:keepLines w:val="0"/>
        <w:keepNext w:val="0"/>
        <w:widowControl/>
        <w:rPr>
          <w:rFonts w:hint="eastAsia" w:ascii="黑体" w:hAnsi="宋体" w:eastAsia="黑体" w:cs="黑体"/>
          <w:i w:val="0"/>
          <w:iCs w:val="0"/>
          <w:color w:val="auto"/>
          <w:sz w:val="21"/>
          <w:szCs w:val="21"/>
          <w:highlight w:val="none"/>
          <w:u w:val="none"/>
          <w:lang w:val="en-US" w:eastAsia="zh-CN" w:bidi="ar"/>
        </w:rPr>
        <w:suppressLineNumbers w:val="0"/>
      </w:pPr>
      <w:r>
        <w:rPr>
          <w:rFonts w:hint="eastAsia" w:ascii="黑体" w:hAnsi="宋体" w:eastAsia="黑体" w:cs="黑体"/>
          <w:i w:val="0"/>
          <w:iCs w:val="0"/>
          <w:color w:val="auto"/>
          <w:sz w:val="21"/>
          <w:szCs w:val="21"/>
          <w:highlight w:val="none"/>
          <w:u w:val="none"/>
          <w:lang w:val="en-US" w:eastAsia="zh-CN" w:bidi="ar"/>
        </w:rPr>
        <w:t xml:space="preserve">四、采购范围:盱眙县实验小学运动场地（总部校区篮球场、排球场、看台、三分校排球场等）改造项目，具体详见全费用工程量清单。</w:t>
      </w:r>
      <w:r/>
    </w:p>
    <w:p>
      <w:pPr>
        <w:ind w:firstLine="420"/>
        <w:keepLines w:val="0"/>
        <w:keepNext w:val="0"/>
        <w:pageBreakBefore w:val="0"/>
        <w:spacing w:line="380" w:lineRule="exact"/>
        <w:widowControl w:val="off"/>
        <w:rPr>
          <w:rFonts w:hint="eastAsia" w:ascii="黑体" w:hAnsi="宋体" w:eastAsia="黑体" w:cs="黑体"/>
          <w:i w:val="0"/>
          <w:iCs w:val="0"/>
          <w:color w:val="auto"/>
          <w:sz w:val="21"/>
          <w:szCs w:val="21"/>
          <w:highlight w:val="none"/>
          <w:u w:val="none"/>
          <w:lang w:val="en-US" w:eastAsia="zh-CN" w:bidi="ar"/>
        </w:rPr>
      </w:pPr>
      <w:r>
        <w:rPr>
          <w:rFonts w:hint="eastAsia" w:ascii="黑体" w:hAnsi="宋体" w:eastAsia="黑体" w:cs="黑体"/>
          <w:i w:val="0"/>
          <w:iCs w:val="0"/>
          <w:color w:val="auto"/>
          <w:sz w:val="21"/>
          <w:szCs w:val="21"/>
          <w:highlight w:val="none"/>
          <w:u w:val="none"/>
          <w:lang w:val="en-US" w:eastAsia="zh-CN" w:bidi="ar"/>
        </w:rPr>
        <w:t xml:space="preserve">五、供应商必须对本项目进行现场勘察，现场勘察联系人芮主任：15952384225 ，朱老师：13770448630</w:t>
      </w:r>
      <w:r/>
    </w:p>
    <w:p>
      <w:pPr>
        <w:ind w:firstLine="420"/>
        <w:keepLines w:val="0"/>
        <w:keepNext w:val="0"/>
        <w:pageBreakBefore w:val="0"/>
        <w:spacing w:line="380" w:lineRule="exact"/>
        <w:widowControl w:val="off"/>
        <w:rPr>
          <w:rFonts w:hint="default" w:ascii="黑体" w:hAnsi="宋体" w:eastAsia="黑体" w:cs="黑体"/>
          <w:i w:val="0"/>
          <w:iCs w:val="0"/>
          <w:color w:val="auto"/>
          <w:sz w:val="21"/>
          <w:szCs w:val="21"/>
          <w:highlight w:val="none"/>
          <w:u w:val="none"/>
          <w:lang w:val="en-US" w:eastAsia="zh-CN" w:bidi="ar"/>
        </w:rPr>
      </w:pPr>
      <w:r>
        <w:rPr>
          <w:rFonts w:hint="eastAsia" w:ascii="黑体" w:hAnsi="宋体" w:eastAsia="黑体" w:cs="黑体"/>
          <w:i w:val="0"/>
          <w:iCs w:val="0"/>
          <w:color w:val="auto"/>
          <w:sz w:val="21"/>
          <w:szCs w:val="21"/>
          <w:highlight w:val="none"/>
          <w:u w:val="none"/>
          <w:lang w:val="en-US" w:eastAsia="zh-CN" w:bidi="ar"/>
        </w:rPr>
        <w:t xml:space="preserve">六、全费用工程量清单</w:t>
      </w:r>
      <w:r/>
    </w:p>
    <w:tbl>
      <w:tblPr>
        <w:tblStyle w:val="938"/>
        <w:tblpPr w:horzAnchor="page" w:tblpX="1323" w:vertAnchor="text" w:tblpY="384" w:leftFromText="180" w:topFromText="0" w:rightFromText="180" w:bottomFromText="0"/>
        <w:tblW w:w="101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6"/>
        <w:gridCol w:w="918"/>
        <w:gridCol w:w="3248"/>
        <w:gridCol w:w="684"/>
        <w:gridCol w:w="1121"/>
        <w:gridCol w:w="1384"/>
        <w:gridCol w:w="1500"/>
        <w:gridCol w:w="641"/>
      </w:tblGrid>
      <w:tr>
        <w:trPr>
          <w:trHeight w:val="706"/>
        </w:trPr>
        <w:tc>
          <w:tcPr>
            <w:gridSpan w:val="8"/>
            <w:shd w:val="clear" w:color="auto" w:fill="ffffff"/>
            <w:tcBorders>
              <w:top w:val="single" w:color="000000" w:sz="4" w:space="0"/>
              <w:left w:val="single" w:color="000000" w:sz="4" w:space="0"/>
              <w:bottom w:val="single" w:color="000000" w:sz="4" w:space="0"/>
              <w:right w:val="single" w:color="000000" w:sz="4" w:space="0"/>
            </w:tcBorders>
            <w:tcW w:w="10102"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全费用工程量清单 </w:t>
            </w:r>
            <w:r/>
          </w:p>
        </w:tc>
      </w:tr>
      <w:tr>
        <w:trPr>
          <w:trHeight w:val="400"/>
        </w:trPr>
        <w:tc>
          <w:tcPr>
            <w:gridSpan w:val="8"/>
            <w:shd w:val="clear" w:color="auto" w:fill="ffffff"/>
            <w:tcBorders>
              <w:top w:val="single" w:color="000000" w:sz="4" w:space="0"/>
              <w:left w:val="single" w:color="000000" w:sz="4" w:space="0"/>
              <w:bottom w:val="single" w:color="000000" w:sz="4" w:space="0"/>
              <w:right w:val="single" w:color="000000" w:sz="4" w:space="0"/>
            </w:tcBorders>
            <w:tcW w:w="10102" w:type="dxa"/>
            <w:vAlign w:val="bottom"/>
            <w:textDirection w:val="lrTb"/>
            <w:noWrap w:val="false"/>
          </w:tcPr>
          <w:p>
            <w:pPr>
              <w:jc w:val="both"/>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项目名称：盱眙县实验小学运动场地（总部校区篮球场、排球场、看台、三分校排球场等）改造项目</w:t>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606"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18"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248"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项目特征描述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计量</w:t>
            </w:r>
            <w:r/>
          </w:p>
        </w:tc>
        <w:tc>
          <w:tcPr>
            <w:shd w:val="clear" w:color="auto" w:fill="ffffff"/>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工程量</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全费用金额（元）</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48"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综合评价</w:t>
            </w:r>
            <w:r/>
          </w:p>
        </w:tc>
        <w:tc>
          <w:tcPr>
            <w:shd w:val="clear" w:color="auto" w:fill="ffffff"/>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其中暂估价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三分校校区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48"/>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地面固化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1、位置：地面混凝土起砂处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2、使用混凝土密封固化剂1:3兑水滚涂浸泡，增强地面强度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3、固化后满足甲方使用要求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硅PU</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2、局部找平（现场自行勘察）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一、环保要求（强制性）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VOC：≤670 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苯：≤0.3%；游离TDI：≤0.1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重金属：铅≤50 mg/kg、镉≤10 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邻苯二甲酸酯：总和≤1.0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气味：无刺鼻异味，仅轻微树脂味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二、物理性能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硬度（邵A，20℃）：65–80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回弹值：≥20%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冲击吸收率：≥12%（球场20%–50%）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滑动摩擦系数：0.4–0.7（BPN 80–110，干测）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拉伸强度：≥1.5 MPa；拉断伸长率：≥200%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压缩复原率：≥95%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耐磨性（750g/500r）：≤0.060 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阻燃性：Ⅰ级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三、耐候与耐久（户外寿命关键）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耐人工老化（300h）：不起泡、不剥落、无裂纹；粉化≤1级，ΔE≤6.0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地面固化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1.位置：地面混凝土起砂处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2、使用混凝土密封固化剂1:3兑水滚涂浸泡，增强地面强度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3、固化后满足甲方使用要求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0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硅PU</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2、局部找平（现场自行勘察）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一、环保要求（强制性）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VOC：≤670 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苯：≤0.3%；游离TDI：≤0.1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重金属：铅≤50 mg/kg、镉≤10 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邻苯二甲酸酯：总和≤1.0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气味：无刺鼻异味，仅轻微树脂味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二、物理性能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硬度（邵A，20℃）：65–80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回弹值：≥20%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冲击吸收率：≥12%（球场20%–50%）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滑动摩擦系数：0.4–0.7（BPN 80–110，干测）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拉伸强度：≥1.5 MPa；拉断伸长率：≥200%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压缩复原率：≥95%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耐磨性（750g/500r）：≤0.060 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阻燃性：Ⅰ级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三、耐候与耐久（户外寿命关键）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耐人工老化（300h）：不起泡、不剥落、无裂纹；粉化≤1级，ΔE≤6.0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70"/>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总部篮球场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1.原地面混凝土破除                   2、拆除厚度：25cm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3、垃圾外运、运距自行考虑</w:t>
            </w:r>
            <w:r>
              <w:rPr>
                <w:rFonts w:hint="eastAsia" w:ascii="宋体" w:hAnsi="宋体" w:cs="宋体"/>
                <w:i w:val="0"/>
                <w:iCs w:val="0"/>
                <w:color w:val="auto"/>
                <w:sz w:val="21"/>
                <w:szCs w:val="21"/>
                <w:highlight w:val="none"/>
                <w:u w:val="none"/>
                <w:lang w:val="en-US" w:eastAsia="zh-CN" w:bidi="ar"/>
              </w:rPr>
              <w:t xml:space="preserve">，包含渣土费用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场地平整及清理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原硅PU地面清理                                                       2、垃圾外运、运距自行考虑</w:t>
            </w:r>
            <w:r>
              <w:rPr>
                <w:rFonts w:hint="eastAsia" w:ascii="宋体" w:hAnsi="宋体" w:cs="宋体"/>
                <w:i w:val="0"/>
                <w:iCs w:val="0"/>
                <w:color w:val="auto"/>
                <w:sz w:val="21"/>
                <w:szCs w:val="21"/>
                <w:highlight w:val="none"/>
                <w:u w:val="none"/>
                <w:lang w:val="en-US" w:eastAsia="zh-CN" w:bidi="ar"/>
              </w:rPr>
              <w:t xml:space="preserve">，包含渣土费用</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1.石料规格：级配碎石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1.混凝土强度等级：C30商品混凝土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3、养护：按规范要求养护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9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地面固化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1.位置：地面混凝土起砂处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2、使用混凝土密封固化剂1:3兑水滚涂浸泡，增强地面强度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2、固化后满足甲方使用要求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24"/>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硅PU</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2、局部找平（现场自行勘察）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一、环保要求（强制性）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VOC：≤670 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苯：≤0.3%；游离TDI：≤0.1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重金属：铅≤50 mg/kg、镉≤10 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邻苯二甲酸酯：总和≤1.0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气味：无刺鼻异味，仅轻微树脂味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二、物理性能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硬度（邵A，20℃）：65–80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回弹值：≥20%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冲击吸收率：≥12%（球场20%–50%）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滑动摩擦系数：0.4–0.7（BPN 80–110，干测）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拉伸强度：≥1.5 MPa；拉断伸长率：≥200%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压缩复原率：≥95%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耐磨性（750g/500r）：≤0.060 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阻燃性：Ⅰ级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三、耐候与耐久（户外寿命关键）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耐人工老化（300h）：不起泡、不剥落、无裂纹；粉化≤1级，ΔE≤6.0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934"/>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原排水沟拆除</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1.原排水沟拆除；                        2、原沟盖板利用的放在甲方指定地点，损坏的数量须经甲方认可数量，否则不增加；包含垃 圾清运；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2"/>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6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总部排球场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场地平整及清理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1.原硅PU地面清理                                                       2、垃圾外运、运距自行考虑，包含渣土费用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3,127.50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地面固化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1.位置：地面混凝土起砂处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2、使用混凝土密封固化剂1:3兑水滚涂浸泡，增强地面强度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2、固化后满足甲方使用要求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3,127.50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0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硅PU</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2、局部找平（现场自行勘察）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一、环保要求（强制性）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VOC：≤670 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苯：≤0.3%；游离TDI：≤0.1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重金属：铅≤50 mg/kg、镉≤10 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邻苯二甲酸酯：总和≤1.0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气味：无刺鼻异味，仅轻微树脂味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二、物理性能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硬度（邵A，20℃）：65–80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回弹值：≥20%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冲击吸收率：≥12%（球场20%–50%）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滑动摩擦系数：0.4–0.7（BPN 80–110，干测）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拉伸强度：≥1.5 MPa；拉断伸长率：≥200%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压缩复原率：≥95%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耐磨性（750g/500r）：≤0.060 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阻燃性：Ⅰ级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三、耐候与耐久（户外寿命关键）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耐人工老化（300h）：不起泡、不剥落、无裂纹；粉化≤1级，ΔE≤6.0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落水管：DN110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1、三类土破除40cm厚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2、管道安装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3、土方回填</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土方外运</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弃土</w:t>
            </w:r>
            <w:r>
              <w:rPr>
                <w:rFonts w:hint="eastAsia" w:ascii="宋体" w:hAnsi="宋体" w:eastAsia="宋体" w:cs="宋体"/>
                <w:i w:val="0"/>
                <w:iCs w:val="0"/>
                <w:color w:val="auto"/>
                <w:sz w:val="21"/>
                <w:szCs w:val="21"/>
                <w:highlight w:val="none"/>
                <w:u w:val="none"/>
                <w:lang w:val="en-US" w:eastAsia="zh-CN" w:bidi="ar"/>
              </w:rPr>
              <w:t xml:space="preserve">外运、运距自行考虑，包含渣土费用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1.名称：草坪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2、铺种方式：草坪种植区域铺种植土找平，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3、养护期：两年养护期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排水沟</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1.排水沟（深度：0.5m以内）              2、原混凝土路面破除                   2、砌筑材料品种、规格、强度等级：砖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3、勾缝、抹面要求：抹灰                    4、盖板材质、规格：水泥盖板</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路缘石</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1.材料品种、规格：芝麻白花岗岩路牙1000*150*100mm                  2、基础：C25混凝土10cm</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1.1:2水泥砂浆20mm厚（投标单位自行勘探）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cs="宋体"/>
                <w:b/>
                <w:bCs/>
                <w:i w:val="0"/>
                <w:iCs w:val="0"/>
                <w:color w:val="auto"/>
                <w:sz w:val="21"/>
                <w:szCs w:val="21"/>
                <w:highlight w:val="none"/>
                <w:u w:val="none"/>
                <w:lang w:val="en-US" w:eastAsia="zh-CN"/>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总部看台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拆除看台</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1.原看台土破除、开门洞及地面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2、垃圾外运、运距自行考虑，包含渣土费用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854.70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拆除粉刷层</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原看台台阶粉刷层拆除</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台阶粉刷</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1.1:2水泥砂浆20mm厚</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eastAsia" w:ascii="Arial" w:hAnsi="Arial" w:cs="Arial"/>
                <w:i w:val="0"/>
                <w:iCs w:val="0"/>
                <w:color w:val="auto"/>
                <w:sz w:val="20"/>
                <w:szCs w:val="20"/>
                <w:highlight w:val="none"/>
                <w:u w:val="none"/>
              </w:rPr>
            </w:pPr>
            <w:r>
              <w:rPr>
                <w:rFonts w:hint="eastAsia" w:ascii="Arial" w:hAnsi="Arial" w:cs="Arial"/>
                <w:i w:val="0"/>
                <w:iCs w:val="0"/>
                <w:color w:val="auto"/>
                <w:sz w:val="20"/>
                <w:szCs w:val="20"/>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土方开挖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1.土壤类别：三类土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2.挖土深度：2m 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1.密实度要求：夯填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2.填方材料品种：素土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1.砖品种、规格、强度等级：MU20混凝土实心砖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2.墙体类型：± 0.000以下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3.砂浆强度等级、配合比：专用砂浆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42.14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1.混凝土种类：商品泵送混凝土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2.混凝土强度等级：C15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独立基础</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1.混凝土种类：现浇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2.混凝土强度等级：C35                 3、含模板、养生等</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4.31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2.混凝土强度等级：C35                       3、含模板、养生等</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17.26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直形楼梯</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2.混凝土强度等级：C35                       3、含模板、养生等</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1.钢筋种类、规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格：直径 φ16mm以内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1.钢筋种类、规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格：直径 φ10mm以内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零星钢构</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1.零星钢构柱脚、螺栓等              2、详见图纸</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楼梯扶手</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1.不锈钢栏杆扶手                        2、详见图纸</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碎石垫层</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1.石料规格：级配碎石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137.50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1.混凝土强度等级：C30商品混凝土，内配钢筋∅10@200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3、养护：按规范要求养护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137.50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地面固化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1.位置：看台混凝土起砂处，水泥砂浆粉刷后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2、使用混凝土密封固化剂1:3兑水滚涂浸泡，增强地面强度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2、固化后满足甲方使用要求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645.00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46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硅PU</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2、局部找平（现场自行勘察）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一、环保要求（强制性）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VOC：≤670 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苯：≤0.3%；游离TDI：≤0.1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重金属：铅≤50 mg/kg、镉≤10 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邻苯二甲酸酯：总和≤1.0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气味：无刺鼻异味，仅轻微树脂味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二、物理性能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硬度（邵A，20℃）：65–80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回弹值：≥20%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冲击吸收率：≥12%（球场20%–50%）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滑动摩擦系数：0.4–0.7（BPN 80–110，干测）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拉伸强度：≥1.5 MPa；拉断伸长率：≥200%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压缩复原率：≥95%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耐磨性（750g/500r）：≤0.060 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阻燃性：Ⅰ级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三、耐候与耐久（户外寿命关键）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耐人工老化（300h）：不起泡、不剥落、无裂纹；粉化≤1级，ΔE≤6.0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645.00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701"/>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控制方式：面板控制、电脑控制、电脑定时、中控控制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面板控制： 一键延时启停，紧急停止，模式切换，单键单元控制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电脑控制： 可一键延时启停，单路启停，紧急停止。对功率、温度、烟雾等状态实时检测，并保存操作记录，报警记录。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电脑定时： 每天可设置最多4组时间段，按星期启停。定好时间后，支持脱机定时运行。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中控控制： 提供MODBUS-RTU、MODBUS-TCP、MODBUS-UDP协议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自动联机，直接操作，不用人工设置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配有应急启动模块（QN-Smart/007）， PLC故障应急使用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保护内容：1）零线电缆高温保护  2）高温断电保护  3）短路保护  4）烟雾保护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输入电压：380V，三相五线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输出电压：220V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额定功率：20KW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输出回路：6个单相回路（AC220V）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每路输出最大带载功率：≤3.33KW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回路状态监测：双回路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远程控制：有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分步逐级上电：有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计划任务上电：有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温度检测：有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壳体尺寸：400*300*130 单位mm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逻辑联动控制：有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主断路器：德力西63A断路器*1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交流接触器：德力西32A交流接触器*2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子断路器：德力西32A微型1P断路器*6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控制回路断路器：德力西10A 1P+N微型漏电保护断路器*1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零地排：8位铜排*1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PLC控制器：正松PLC-180控制器*1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PLC控制电源模块：正松DC24V电源*1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串口服务器：485转USB头*1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防水专业音箱</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采用了防水桦木夹板制作，耐磨环保聚脲油漆，15寸大功率低音单元，防水涂层处理；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主要用于室内外扩声，多种安装方式选择；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音色细腻，中音宽广，饱满厚实，保真度高；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广泛应用于广场，多功能厅，游乐场，电竞场，泳池等扩声。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频率响应：60Hz-18KHz ±3dB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频率范围：50Hz-19KHz -10dB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阻抗：8Ω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额定功率：≥450W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峰值功率：≥1800W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单元组成：WF:≥15″*1 HF:≥3″*1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覆盖角度：≥90度（H）×60度（V）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灵敏度：≥98dB/1M/1W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最大声压级：≥130dB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防水等级：IP55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6524"/>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1U机柜式、电源开关防触碰设计；双层双色双拼前面板，采用隐藏式条形出气口及弧形进风口设计，设备散热均匀，有效延长使用寿命。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支持STEREO立体声、PARALLEL并机两种模式选择，可以更为灵活搭配其他设备。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具有工作状态实时指示灯，1个电源指示，2个信号通道指示，2个限幅通道指示，2个保护通道指示。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设有动态压限控制功率电路，保证设备安全稳定运行。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内置D类功率放大电路，采用高集成度数字芯片替代传统变压器，高数字化电路集成，绿色、稳定、高效。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内置削波限幅器，可有效防止严重削波的波形到达扬声器，同时维持全峰值电源输出功率。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支持超高频保护，防止听不见的强烈非音乐高频信号到达扬声器。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支持短路保护功能，自动保护重置功能，防止功放发生短路，或输出电路发生其它应激故障。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设有限幅器，信号峰值过大自动限幅过大输出到达扬声器，最高限幅可达到10V。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支持过热保护，输出级操作温度过高，温控连续变速风扇，从前到后的空气流动。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支持过载保护，峰值负反馈保护，当信号输入输出出现失真、冲击或线电压严重过压时，能有效地对功放进行保护。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内设保护电路，软启动，输入浪涌限制，输出短路、直流，开关机哑音保护，射频干扰保护。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输出功率@立体声8Ω（失真≤1%时）：≥2×800W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输出功率@立体声4Ω（失真≤1%时）：≥2×1190W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输出功率@立体声2Ω（失真≤1%时）：≥2×1490W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频率响应（1W 8Ω）：20Hz～20KHz ±0.5dB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灵敏度（8Ω 1KHz）：0.775V/1V/1.4V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输入链接端子：XLR公，母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输出链接端子：SPEAKO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输入阻抗：20KΩ平衡输入；10KΩ非平衡输入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信噪比（A计权，额定功率8Ω）：≥105dB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阻尼系数 (1KHz &amp; 8Ω）：≥900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互调失真（20Hz-20KHz，半功率）：≤0.02%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总谐波失真（20Hz-20KHz，半功率）：≤0.03%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相位响应（1W &amp; 8Ω，20Hz-20KHz）：≤±1.5°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转换速率：≥60V/us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前面板指示：电源，削波，压限，信号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后面板接口：并机输入：母3针XLR×2，输出：公3针XLR×2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冷却系统：全智能系统随温度变化自动调节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6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≥8路平衡式话筒、线路输入/输出，采用凤凰插接线端子。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麦克风输入和线路输入自由切换，每路输入带48V幻相电源选择。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直观形象、简洁易懂的图形化软件控制界面，为客户带来快捷、实时的操作体验。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支持手机、平板控制与分布式云控制，兼容多方平台控制管理，支持windows系统、iOS系统（iPAD、Iphone）以及Andriod系统。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设备无需光盘，自带安装软件，一台设备对于一个软件版本，解决因为安装光盘丢失以及多个软件版本混乱引起的烦恼。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自带B/S架构服务端，通过网页浏览器访问，不仅实现了通道控制和场景选择，而且直接提供PC客户端及平台组件的下载链接。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Enternet多用途数据传输及控制端口，可以支持实时管理单台及多台设备。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系统内置锁屏功能，有效避免发生误操作。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120db的 A/D与D/A转换， 最高可达96kHz/48K采样率。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DSP音频处理，内置AM自动混音功能、AEC回声消除、AFC自适应反馈消除、ANS噪音消除、自动增益。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输入每通道：前级放大、信号发生器、扩展器、压缩器、≥5段参量均衡。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输出每通道：≥31段参量均衡器、延时器、分频器、高低通滤波器、限幅器。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全功能矩阵混音功能，不单单是混音和自动混音功能，还具备混音分量控制功能。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通道支持拷贝、粘贴、联控功能。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内置自动摄像跟踪功能。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支持8~100组场景预设功能。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具有断电自动保护记忆功能。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配置RS485接口、标准以太网控制接口、2通道可编程GPIO控制接口（可自定义输入输出）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063"/>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反馈抑制器（含音频处理器软件V1.0.3）</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▲采用2寸分辨率为240*320的高清真彩TFT屏，主页面可实时显示电平大小、反馈开启状态、锁屏状态、降噪状态，直观明了；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前面板具有动态降噪、反馈抑制、噪声门、锁屏按键可以一键启动或关闭。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输入通道不少于2路万能输入，支持平衡卡侬插头或6.5插头，支持48V幻象供电，并有独立幻象供电开关按钮；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输出通道不少于2路平衡式线路输出，采用平衡卡侬插头；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▲1个USB Type-A接口，可外接配置电脑；</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▲支持3档前级增益调节，物理面板拨码手动操作，分别对应4dB、+12dB、+18dB；</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物理面板具有输出音量调节旋钮；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内置噪声门功能，通过设定阀值可以滤除部分环境噪声；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物理面板具有AFC旁路开关；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支持AFC自学习声反馈抑制功能，免调试，非传统陷波方式，传声增益提升12dB；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支持ANS动态自适应降噪功能，降噪电平最高达18dB；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提供Peak峰值电平表，监测当前音频信号幅度；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支持多麦克风智能混音、具备话筒优选功能；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支持自动增益控制功能；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支持高通和低通滤波器；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支持压缩器、均衡器，中心频率和Q值可调节；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具一个48V幻象电源总开关，一键控制所有通道幻象电源打开关闭。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每通道有增益开关、输入三段均衡高中低、效果、辅助旋钮。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每通道具有编组控制开关。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每通道都有独立的静音按钮来控制每路的输入信号开关。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每一路通道有独立的PFL（推子前监听）按钮开关，可以监听通道推子前声道信号，而不影响主输出信号。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内置MP3功能，兼容多音频格式，SD/USB接口，可以接SD卡和U盘。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具录音功能，可录制任意时段主输出音频信号至SD卡/U盘，具有双轨录放机或CD的输入输出连接莲花接口。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标准蓝牙系统，连接蓝牙设备进行音频播放。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▲≥2路主输出，≥2路编组输出，≥1路监听输出，≥2辅助发送/返回。</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麦克风输入不少于6路，立体声输入不少于2组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灵敏度：0VU=+4dBu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频率响应：±1dB，20Hz-30KHz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麦克风共模抑制比@1KHz：80dB 典型值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THD+N @14dBu，1KHz：&lt;0.01%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串扰 @1KHz：82dB</w:t>
            </w:r>
            <w:r>
              <w:rPr>
                <w:rFonts w:hint="eastAsia" w:ascii="宋体" w:hAnsi="宋体" w:eastAsia="宋体" w:cs="宋体"/>
                <w:i w:val="0"/>
                <w:iCs w:val="0"/>
                <w:color w:val="auto"/>
                <w:sz w:val="21"/>
                <w:szCs w:val="21"/>
                <w:highlight w:val="none"/>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电源时序器（含电源时序控制器软件V2.0）</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1U机柜式、电源开关防触碰设计。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双层双色双拼前面板，采用隐藏式条形出气口及弧形进风口设计，设备散热均匀，有效延长使用寿命。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大电流三芯电源输入缆线，支持宽电压220V输入。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▲前面板具有≥1路直通220V电源座，≥2路USB DC-5V,1A直流供电接口，≥5个功能键。</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后面板≥8路可控多功能标准插座输出，通用于国际多种类型插头。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设备前面板有液晶显示屏，可实时显示电压、电流、时间、操作菜单等信息。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带≥8个LED指示灯显示，实时查看每个通道的工作状态。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支持定时开启/关闭任意AC220V选通输出接口，当同时开启/关闭全部AC220V选通输出接口时，输出接口逐一开启或关闭，间隔时间0-9s可调。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设备支持TCP/IP网络和串口控制，可通过软件开启/关闭任意AC220V选通输出接口。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▲支持一键恢复出厂设置，支持中控和编程两种工作模式。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带远程干结点信号控制功能及短路信号输出功能，便于联机下一台设备达到统一管理。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接口：前面板≥1个万能插座、≥2个USB口、后面板≥8个万能插座、≥1个网口、≥1个485口、≥1个短路输入，≥1个输出口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电源指示：LED指示灯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6084"/>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有源音箱（含音箱控制软件V1.0）</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支持壁挂或桌面式安装方式，外观精美、时尚。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采用高品质喇叭单元设计，音质清晰，明亮。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支持话筒和电脑音频输入，音量可调。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可广泛用于教室、会议室等小型扩声使用场景。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额定阻抗：4Ω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频率响应：40Hz-20KHz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驱动器：≥4.5英寸低音单元、≥1英寸前纸盆球顶高音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输入：≥1路立体声RCA输入接口，≥2路话筒 15mV（非平衡）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输出：≥1路立体声RCA输出接口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灵敏度：≥75dB/1W/1M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信噪比：≥100dB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最大声压级：≥75dB</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3757"/>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无线话筒（含无线话筒控制软件V1.0）</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具有LED液晶屏显示RF/AF信号强度，自动选讯，可设定频道/频率，状态一目了然。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具有频率自动选定功能，自动回避干扰。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灵敏度可调，接收距离从25米—60米之间可以分段设置。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全新独特ID编码功能，对周围环境或≥10台叠机多套使用，具备优良的抗干扰能力。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支持自动搜索无干扰信道功能，PLL相位锁定频率合成振荡模式。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配套有≥1台接收主机，≥2个手持话筒。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▲双频道频道组数，可切换频率数≥400组</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载波频率：UHF频段（640.125~690.000 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灵敏度：在偏移度等于40KHz，输入6dBμ V时，S/N&gt;80dB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最大偏移度：±68KHz具有音量扩展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频带宽度：50MHz，频率间隔：125KHz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话筒输出功率：30MW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综合S/N比：±105dB(1KHz-A)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综合失真度：&lt;0.5% @ 1KHz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综合频率响应：50Hz-18KHz±3dB具低频衰减滤频电路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最大输出电压：平衡式MIC-LEVEL-0dBV/600Ω，非平衡式0dBV/600Ω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音频输出：XLR平衡式插座独立输出及Φ6.3不平衡式插座混合输出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音量输出调整：输出电平可随意调整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静音控制模式：独立“音码及杂讯锁定”双重静音控制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麦克风使用易购的5号电池，续用时间达≥8小时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天线座带DC9V供电，可直接接放大天线使用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6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天线分配器系统</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UHF天线分配系统，通过将一对天线拆分给无线接收机来扩展无线话筒系统的功能；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一台分配器主机能为≥4台双天线的接收机提供信号，或能为≥2台四天线的接收机提供信号；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具有级联端口能够连接到第五个接收机或第二台分配器；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具有≥4组能够输出为无线接收机UHF系统供电的电源接口。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天线使用对数周期偶极子阵列提供增强的接收能力；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支持母线BNC类型接头，拥有≥12个BNC接口，接收频率范围470-952MHz；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两点增益选择开关可选择3或10分贝增益；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定向天线板配合带有螺纹的集成式支架，可轻松固定在话筒支架上，也可将其悬挂在天花板或墙壁上；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在户外使用不受天气影响。</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2.型号：YJV4*95+1*50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2.型号：YJV4*35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2.型号：YJV4*25+1+16</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2.型号：YJV3*2.5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2.型号：YJV3*4</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1.名称：接线盒/开关盒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2、材质：塑料3、规格：86型安装形式：悬挂4嵌入式安装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1.材质：PVC阻燃电线管                           2、规格：直径110mm                          3、配置形式：暗配详见图纸</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1.材质：PVC阻燃电线管                           2、规格：直径25mm                          3、配置形式：暗配详见图纸</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1.名称：单联扳式暗开关（单控）</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1.名称：单相暗插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1、规格：15A 5孔                            3、安装方式：距地面0.3m安装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1.介质：排水管                       2、规材质、规格：PVC-U 110                       3、连接形式：零件粘接</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1.介质：排水管                       2、规材质、规格：PVC-U 50                      3、连接形式：零件粘接</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1.介质：给水管2、材质、规格：PP-R-203、连接形式：热熔连接4、压力试验及吹、洗设计要求：管道试压、消毒、冲洗</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洗手洗漱台</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洗手洗漱台2000*600：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方镜，大理石台面，陶瓷双盆，下部通长带收纳柜，具体以甲方最终确定为准。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605*450蹲式陶瓷大便器手按式、低水箱、角阀、金属软管等配件，具体尺寸、样式等以甲方要求为准。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小便器</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高度不小于900，宽度不小于350，立式小便器手按落地式、排水栓、角阀、金属软管等配件，具体尺寸、样式等以甲方要求为准。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拖布池</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白色陶瓷拖布池，尺寸不小于550*400*400含不锈钢水龙头、溢水口、防堵下水器、一键排水等配件，具体尺寸、样式等以甲方要求为准。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普通圆灯：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保证亮度，具体样式大小参见图纸以甲方最终确定为准。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卫生间+设备间：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1、龙骨材料种类、规格、中距：轻钢龙骨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2、吊筋规格φ8mm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3、面层材料品种、规格、铝板300*600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木质踢脚线</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踢脚线：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1、100MM高实木踢脚线12厚</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块料地面</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地砖400*400，具体颜色、材质等参见图纸以甲方确定为准。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墙砖400*800，具体颜色、材质等参见图纸以甲方确定为准。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木质门带套</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木质门带套，含门框、门套、铰链、执手锁、门吸门阻等，具体材质及样式等参见图纸具体以甲方确定为准。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墙面及顶面：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抹灰面上 901胶混合腻子批、刷乳胶漆各三遍</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653.56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墙面涂料</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外墙面：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抹灰面上 901胶混合腻子批、刷乳胶漆各三遍</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top"/>
            <w:textDirection w:val="lrTb"/>
            <w:noWrap w:val="false"/>
          </w:tcPr>
          <w:p>
            <w:pPr>
              <w:jc w:val="left"/>
              <w:rPr>
                <w:rFonts w:hint="default" w:ascii="Arial" w:hAnsi="Arial" w:cs="Arial"/>
                <w:i w:val="0"/>
                <w:iCs w:val="0"/>
                <w:color w:val="auto"/>
                <w:sz w:val="22"/>
                <w:szCs w:val="22"/>
                <w:highlight w:val="none"/>
                <w:u w:val="none"/>
              </w:rPr>
            </w:pPr>
            <w:r>
              <w:rPr>
                <w:rFonts w:hint="default" w:ascii="Arial" w:hAnsi="Arial" w:cs="Arial"/>
                <w:i w:val="0"/>
                <w:iCs w:val="0"/>
                <w:color w:val="auto"/>
                <w:sz w:val="22"/>
                <w:szCs w:val="22"/>
                <w:highlight w:val="none"/>
                <w:u w:val="none"/>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石膏板隔墙</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纸面石膏板隔断墙100厚：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1、9.5厚纸面石膏板隔断正反面各一遍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2、50厚隔音岩棉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3、75系轻钢龙骨隔断基层，遇门洞口处做加强框处理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121.83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蹲坑：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150高标准砖，M5混合砂浆砌蹲坑</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卫生间隔断</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2米高抗倍特板隔断蹲坑、含门配件及不锈钢连接骨架、配件等安装牢固，具体尺寸参照图纸满足甲方使用要求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广播间</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1.原广播间设备、线路位移至业主指定位置</w:t>
            </w:r>
            <w:r>
              <w:rPr>
                <w:rFonts w:hint="default" w:ascii="宋体" w:hAnsi="宋体" w:eastAsia="宋体" w:cs="宋体"/>
                <w:i w:val="0"/>
                <w:iCs w:val="0"/>
                <w:color w:val="auto"/>
                <w:sz w:val="21"/>
                <w:szCs w:val="21"/>
                <w:highlight w:val="none"/>
                <w:u w:val="none"/>
                <w:lang w:val="en-US" w:eastAsia="zh-CN" w:bidi="ar"/>
              </w:rPr>
              <w:t xml:space="preserve">                                         2</w:t>
            </w:r>
            <w:r>
              <w:rPr>
                <w:rFonts w:hint="eastAsia" w:ascii="宋体" w:hAnsi="宋体" w:eastAsia="宋体" w:cs="宋体"/>
                <w:i w:val="0"/>
                <w:iCs w:val="0"/>
                <w:color w:val="auto"/>
                <w:sz w:val="21"/>
                <w:szCs w:val="21"/>
                <w:highlight w:val="none"/>
                <w:u w:val="none"/>
                <w:lang w:val="en-US" w:eastAsia="zh-CN" w:bidi="ar"/>
              </w:rPr>
              <w:t xml:space="preserve">、投标单位自行勘探现场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电箱移位</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1.原电箱、电线位移至业主指定位置</w:t>
            </w:r>
            <w:r>
              <w:rPr>
                <w:rFonts w:hint="default" w:ascii="宋体" w:hAnsi="宋体" w:eastAsia="宋体" w:cs="宋体"/>
                <w:i w:val="0"/>
                <w:iCs w:val="0"/>
                <w:color w:val="auto"/>
                <w:sz w:val="21"/>
                <w:szCs w:val="21"/>
                <w:highlight w:val="none"/>
                <w:u w:val="none"/>
                <w:lang w:val="en-US" w:eastAsia="zh-CN" w:bidi="ar"/>
              </w:rPr>
              <w:t xml:space="preserve">                                                             2</w:t>
            </w:r>
            <w:r>
              <w:rPr>
                <w:rFonts w:hint="eastAsia" w:ascii="宋体" w:hAnsi="宋体" w:eastAsia="宋体" w:cs="宋体"/>
                <w:i w:val="0"/>
                <w:iCs w:val="0"/>
                <w:color w:val="auto"/>
                <w:sz w:val="21"/>
                <w:szCs w:val="21"/>
                <w:highlight w:val="none"/>
                <w:u w:val="none"/>
                <w:lang w:val="en-US" w:eastAsia="zh-CN" w:bidi="ar"/>
              </w:rPr>
              <w:t xml:space="preserve">、投标单位自行勘探现场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塑胶跑道</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1.对破损地胶，进行铲除修补，采用原材质，原工艺，及画线。与原跑道相符</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室内篮球场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PVC塑胶运动地板</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1、名称：PVC塑胶运动地板              2、厚度：7.0mm                   3、球反弹率 ≥90%                     4、防滑系数 0.5–0.7（干湿防滑）                            5、耐磨转数 ≥12000转                                 6、防火等级 B1级                                  7、环保等级 无甲醛、防水防潮、静音减震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总部车棚</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膜结构车棚</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1、基坑尺寸：投标方现场勘察；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2、基础钢板≥Q235B材质规格350MM*350MM*16MM；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3、现浇构件钢筋三级钢≥Φ16；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4、土方弃置，投标方现场勘察、外运自行考虑；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5、钢架材料种类、规格、中距：钢结构材质≥Q235B 钢架结构满足要求；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6、白色PVDF膜材： 厚度：0.8±0.02   克重：1100±20   拉伸强度：≥5500N；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7、结构造型根据甲方要求施工含地基基础等辅材。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4"/>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14"/>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大型机械进出场费用</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设计费</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由中标单位支付</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9800.00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9800.00</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不可竞争费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40000.00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40000.00</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8"/>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95"/>
        </w:trPr>
        <w:tc>
          <w:tcPr>
            <w:gridSpan w:val="6"/>
            <w:shd w:val="clear" w:color="auto" w:fill="auto"/>
            <w:tcBorders>
              <w:top w:val="single" w:color="000000" w:sz="4" w:space="0"/>
              <w:left w:val="single" w:color="000000" w:sz="4" w:space="0"/>
              <w:bottom w:val="single" w:color="000000" w:sz="4" w:space="0"/>
              <w:right w:val="single" w:color="000000" w:sz="4" w:space="0"/>
            </w:tcBorders>
            <w:tcW w:w="796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95"/>
        </w:trPr>
        <w:tc>
          <w:tcPr>
            <w:gridSpan w:val="8"/>
            <w:shd w:val="clear" w:color="auto" w:fill="auto"/>
            <w:tcBorders>
              <w:top w:val="single" w:color="000000" w:sz="4" w:space="0"/>
              <w:left w:val="single" w:color="000000" w:sz="4" w:space="0"/>
              <w:bottom w:val="single" w:color="000000" w:sz="4" w:space="0"/>
              <w:right w:val="single" w:color="000000" w:sz="4" w:space="0"/>
            </w:tcBorders>
            <w:tcW w:w="10102" w:type="dxa"/>
            <w:vAlign w:val="center"/>
            <w:textDirection w:val="lrTb"/>
            <w:noWrap w:val="false"/>
          </w:tcPr>
          <w:p>
            <w:pPr>
              <w:jc w:val="left"/>
              <w:pageBreakBefore w:val="0"/>
              <w:spacing w:line="380" w:lineRule="exact"/>
              <w:rPr>
                <w:rFonts w:hint="eastAsia" w:ascii="宋体" w:hAnsi="宋体" w:eastAsia="宋体" w:cs="宋体"/>
                <w:i w:val="0"/>
                <w:iCs w:val="0"/>
                <w:color w:val="auto"/>
                <w:sz w:val="21"/>
                <w:szCs w:val="21"/>
                <w:highlight w:val="none"/>
                <w:u w:val="none"/>
              </w:rPr>
            </w:pPr>
            <w:r>
              <w:rPr>
                <w:rFonts w:hint="eastAsia" w:ascii="仿宋" w:hAnsi="仿宋" w:eastAsia="仿宋" w:cs="仿宋"/>
                <w:b/>
                <w:bCs/>
                <w:color w:val="auto"/>
                <w:sz w:val="24"/>
                <w:szCs w:val="24"/>
                <w:highlight w:val="none"/>
              </w:rPr>
              <w:t xml:space="preserve">注：</w:t>
            </w:r>
            <w:r>
              <w:rPr>
                <w:rFonts w:hint="eastAsia" w:ascii="仿宋" w:hAnsi="仿宋" w:eastAsia="仿宋" w:cs="仿宋"/>
                <w:b/>
                <w:bCs/>
                <w:color w:val="auto"/>
                <w:sz w:val="24"/>
                <w:szCs w:val="24"/>
                <w:highlight w:val="none"/>
                <w:lang w:val="en-US" w:eastAsia="zh-CN"/>
              </w:rPr>
              <w:t xml:space="preserve">须现场勘察</w:t>
            </w:r>
            <w:r>
              <w:rPr>
                <w:rFonts w:hint="eastAsia" w:ascii="仿宋" w:hAnsi="仿宋" w:eastAsia="仿宋" w:cs="仿宋"/>
                <w:b/>
                <w:bCs/>
                <w:color w:val="auto"/>
                <w:sz w:val="24"/>
                <w:szCs w:val="24"/>
                <w:highlight w:val="none"/>
              </w:rPr>
              <w:t xml:space="preserve">。</w:t>
            </w:r>
            <w:r>
              <w:rPr>
                <w:rFonts w:ascii="仿宋" w:hAnsi="仿宋" w:eastAsia="仿宋" w:cs="仿宋"/>
                <w:color w:val="auto"/>
                <w:sz w:val="22"/>
                <w:szCs w:val="22"/>
                <w:highlight w:val="none"/>
              </w:rPr>
              <w:t xml:space="preserve">本项目按全费用报价。全费用单价：其应包括但不限于按国家规范完成本项目所有的人工、材料以及完成实体工程量的辅助材料、机械设备、管理费、利润、运输、脚手架费、模板、税金、二次搬运、清理、保洁、培训费、交通费用、差旅费用、绿化迁移及恢复费、安全文明施工费、</w:t>
            </w:r>
            <w:r>
              <w:rPr>
                <w:rFonts w:hint="eastAsia" w:ascii="仿宋" w:hAnsi="仿宋" w:eastAsia="仿宋" w:cs="仿宋"/>
                <w:color w:val="auto"/>
                <w:sz w:val="22"/>
                <w:szCs w:val="22"/>
                <w:highlight w:val="none"/>
                <w:lang w:val="en-US" w:eastAsia="zh-CN"/>
              </w:rPr>
              <w:t xml:space="preserve">材料检测费</w:t>
            </w:r>
            <w:r>
              <w:rPr>
                <w:rFonts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渣土费、</w:t>
            </w:r>
            <w:r>
              <w:rPr>
                <w:rFonts w:ascii="仿宋" w:hAnsi="仿宋" w:eastAsia="仿宋" w:cs="仿宋"/>
                <w:color w:val="auto"/>
                <w:sz w:val="22"/>
                <w:szCs w:val="22"/>
                <w:highlight w:val="none"/>
              </w:rPr>
              <w:t xml:space="preserve">税费以及各项措施项目费、风险和政策性文件规定的各项应有费用。全费用工程量清单中每一个子目和单项均需计算填写单价、合价。每道工序均需要业主或监理签证确认后再进行下一道工序，每道工序业主或监理未确认工程款不予支付</w:t>
            </w:r>
            <w:r>
              <w:rPr>
                <w:rFonts w:hint="eastAsia" w:ascii="仿宋" w:hAnsi="仿宋" w:eastAsia="仿宋" w:cs="仿宋"/>
                <w:color w:val="auto"/>
                <w:sz w:val="22"/>
                <w:szCs w:val="22"/>
                <w:highlight w:val="none"/>
                <w:lang w:val="zh-CN"/>
              </w:rPr>
              <w:t xml:space="preserve"> </w:t>
            </w:r>
            <w:r/>
          </w:p>
        </w:tc>
      </w:tr>
    </w:tbl>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shd w:val="nil" w:color="auto"/>
        <w:rPr>
          <w:rFonts w:ascii="宋体" w:hAnsi="宋体"/>
          <w:b/>
          <w:bCs/>
          <w:color w:val="auto"/>
          <w:sz w:val="30"/>
          <w:szCs w:val="30"/>
          <w:highlight w:val="none"/>
        </w:rPr>
      </w:pPr>
      <w:r>
        <w:rPr>
          <w:rFonts w:hint="eastAsia" w:ascii="宋体" w:hAnsi="宋体" w:eastAsia="宋体" w:cs="宋体"/>
          <w:b/>
          <w:bCs w:val="0"/>
          <w:color w:val="auto"/>
          <w:sz w:val="30"/>
          <w:szCs w:val="30"/>
          <w:highlight w:val="none"/>
        </w:rPr>
        <w:br w:type="page" w:clear="all"/>
      </w:r>
      <w:r>
        <w:rPr>
          <w:rFonts w:hint="eastAsia" w:ascii="宋体" w:hAnsi="宋体" w:eastAsia="宋体" w:cs="宋体"/>
          <w:b/>
          <w:bCs w:val="0"/>
          <w:color w:val="auto"/>
          <w:sz w:val="30"/>
          <w:szCs w:val="30"/>
          <w:highlight w:val="none"/>
        </w:rPr>
      </w:r>
      <w:r/>
    </w:p>
    <w:p>
      <w:pPr>
        <w:jc w:val="center"/>
        <w:rPr>
          <w:rFonts w:hint="eastAsia" w:ascii="宋体" w:hAnsi="宋体" w:eastAsia="宋体" w:cs="宋体"/>
          <w:b/>
          <w:bCs/>
          <w:color w:val="auto"/>
          <w:sz w:val="30"/>
          <w:szCs w:val="30"/>
          <w:highlight w:val="none"/>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r/>
    </w:p>
    <w:p>
      <w:pPr>
        <w:pStyle w:val="935"/>
        <w:ind w:left="0" w:firstLine="0"/>
        <w:jc w:val="center"/>
        <w:pageBreakBefore w:val="0"/>
        <w:spacing w:before="0" w:after="0" w:line="380" w:lineRule="exact"/>
        <w:rPr>
          <w:rFonts w:hint="eastAsia" w:ascii="宋体" w:hAnsi="宋体" w:eastAsia="宋体" w:cs="宋体"/>
          <w:color w:val="auto"/>
          <w:sz w:val="30"/>
          <w:szCs w:val="30"/>
          <w:highlight w:val="none"/>
          <w:lang w:val="en-US"/>
        </w:rPr>
      </w:pPr>
      <w:r>
        <w:rPr>
          <w:rFonts w:hint="eastAsia" w:hAnsi="宋体"/>
          <w:color w:val="auto"/>
          <w:sz w:val="24"/>
          <w:szCs w:val="40"/>
          <w:highlight w:val="none"/>
          <w:lang w:val="en-US" w:eastAsia="zh-CN"/>
        </w:rPr>
        <w:t xml:space="preserve">  </w:t>
      </w:r>
      <w:r>
        <w:rPr>
          <w:rFonts w:hint="eastAsia" w:ascii="宋体" w:hAnsi="宋体" w:eastAsia="宋体" w:cs="宋体"/>
          <w:color w:val="auto"/>
          <w:sz w:val="30"/>
          <w:szCs w:val="30"/>
          <w:highlight w:val="none"/>
          <w:lang w:val="en-US" w:eastAsia="zh-CN"/>
        </w:rPr>
        <w:t xml:space="preserve">第一部分 合同协议</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lang w:val="en-US" w:eastAsia="zh-CN"/>
        </w:rPr>
        <w:t xml:space="preserve">           </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lang w:val="en-US" w:eastAsia="zh-CN"/>
        </w:rPr>
        <w:t xml:space="preserve">           </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rPr>
        <w:t xml:space="preserve">及有关事项协商一致，共同达成如下协议：</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37" w:name="_Toc351203481"/>
      <w:r>
        <w:rPr>
          <w:rFonts w:hint="eastAsia" w:ascii="宋体" w:hAnsi="宋体" w:eastAsia="宋体" w:cs="宋体"/>
          <w:b w:val="0"/>
          <w:color w:val="auto"/>
          <w:sz w:val="21"/>
          <w:szCs w:val="21"/>
          <w:highlight w:val="none"/>
          <w:lang w:eastAsia="zh-CN"/>
        </w:rPr>
        <w:t xml:space="preserve">一、工程概况</w:t>
      </w:r>
      <w:bookmarkEnd w:id="37"/>
      <w:r/>
      <w:r/>
    </w:p>
    <w:p>
      <w:pPr>
        <w:ind w:firstLine="420"/>
        <w:pageBreakBefore w:val="0"/>
        <w:spacing w:line="380" w:lineRule="exact"/>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3.资金来源：</w:t>
      </w:r>
      <w:r>
        <w:rPr>
          <w:rFonts w:hint="eastAsia" w:ascii="宋体" w:hAnsi="宋体" w:eastAsia="宋体" w:cs="宋体"/>
          <w:bCs/>
          <w:color w:val="auto"/>
          <w:sz w:val="21"/>
          <w:szCs w:val="21"/>
          <w:highlight w:val="none"/>
          <w:u w:val="single"/>
          <w:lang w:val="en-US" w:eastAsia="zh-CN"/>
        </w:rPr>
        <w:t xml:space="preserve">已落实</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4.工程内容：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5.工程承包范围：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38" w:name="_Toc351203482"/>
      <w:r>
        <w:rPr>
          <w:rFonts w:hint="eastAsia" w:ascii="宋体" w:hAnsi="宋体" w:eastAsia="宋体" w:cs="宋体"/>
          <w:b w:val="0"/>
          <w:color w:val="auto"/>
          <w:sz w:val="21"/>
          <w:szCs w:val="21"/>
          <w:highlight w:val="none"/>
          <w:lang w:eastAsia="zh-CN"/>
        </w:rPr>
        <w:t xml:space="preserve">二、合同工期</w:t>
      </w:r>
      <w:bookmarkEnd w:id="38"/>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日历天。工期总日历天数与根据前述计划开竣工日期计算的工期天数不一致的，以工期总日历天数为准。</w:t>
      </w:r>
      <w:r/>
    </w:p>
    <w:p>
      <w:pPr>
        <w:pStyle w:val="936"/>
        <w:numPr>
          <w:ilvl w:val="0"/>
          <w:numId w:val="4"/>
        </w:numPr>
        <w:ind w:firstLine="420"/>
        <w:pageBreakBefore w:val="0"/>
        <w:spacing w:before="0" w:after="0" w:line="380" w:lineRule="exact"/>
        <w:rPr>
          <w:rFonts w:hint="eastAsia" w:ascii="宋体" w:hAnsi="宋体" w:eastAsia="宋体" w:cs="宋体"/>
          <w:color w:val="auto"/>
          <w:sz w:val="21"/>
          <w:szCs w:val="21"/>
          <w:highlight w:val="none"/>
        </w:rPr>
      </w:pPr>
      <w:r/>
      <w:bookmarkStart w:id="39" w:name="_Toc351203483"/>
      <w:r>
        <w:rPr>
          <w:rFonts w:hint="eastAsia" w:ascii="宋体" w:hAnsi="宋体" w:eastAsia="宋体" w:cs="宋体"/>
          <w:b w:val="0"/>
          <w:color w:val="auto"/>
          <w:sz w:val="21"/>
          <w:szCs w:val="21"/>
          <w:highlight w:val="none"/>
          <w:lang w:eastAsia="zh-CN"/>
        </w:rPr>
        <w:t xml:space="preserve">质量标准</w:t>
      </w:r>
      <w:bookmarkEnd w:id="39"/>
      <w:r>
        <w:rPr>
          <w:rFonts w:hint="eastAsia" w:ascii="宋体" w:hAnsi="宋体" w:eastAsia="宋体" w:cs="宋体"/>
          <w:b w:val="0"/>
          <w:color w:val="auto"/>
          <w:sz w:val="21"/>
          <w:szCs w:val="21"/>
          <w:highlight w:val="none"/>
          <w:lang w:eastAsia="zh-CN"/>
        </w:rPr>
        <w:t xml:space="preserve">：</w:t>
      </w:r>
      <w:bookmarkStart w:id="40" w:name="_Toc351203484"/>
      <w:r>
        <w:rPr>
          <w:rFonts w:hint="eastAsia" w:ascii="宋体" w:hAnsi="宋体" w:eastAsia="宋体" w:cs="宋体"/>
          <w:color w:val="auto"/>
          <w:sz w:val="21"/>
          <w:szCs w:val="21"/>
          <w:highlight w:val="none"/>
          <w:lang w:val="en-US" w:eastAsia="zh-CN"/>
        </w:rPr>
        <w:t xml:space="preserve">合格</w:t>
      </w:r>
      <w:r/>
    </w:p>
    <w:p>
      <w:pPr>
        <w:pStyle w:val="936"/>
        <w:numPr>
          <w:ilvl w:val="0"/>
          <w:numId w:val="0"/>
        </w:numPr>
        <w:ind w:firstLine="420"/>
        <w:pageBreakBefore w:val="0"/>
        <w:spacing w:before="0" w:after="0" w:line="380" w:lineRule="exact"/>
        <w:rPr>
          <w:rFonts w:hint="eastAsia" w:ascii="宋体" w:hAnsi="宋体" w:eastAsia="宋体" w:cs="宋体"/>
          <w:color w:val="auto"/>
          <w:sz w:val="21"/>
          <w:szCs w:val="21"/>
          <w:highlight w:val="none"/>
          <w:lang w:eastAsia="zh-CN"/>
        </w:rPr>
      </w:pPr>
      <w:r>
        <w:rPr>
          <w:rFonts w:hint="eastAsia" w:ascii="宋体" w:hAnsi="宋体" w:eastAsia="宋体" w:cs="宋体"/>
          <w:b w:val="0"/>
          <w:color w:val="auto"/>
          <w:sz w:val="21"/>
          <w:szCs w:val="21"/>
          <w:highlight w:val="none"/>
          <w:lang w:eastAsia="zh-CN"/>
        </w:rPr>
        <w:t xml:space="preserve">四、签约合同价与合同价格形式</w:t>
      </w:r>
      <w:bookmarkEnd w:id="40"/>
      <w:r>
        <w:rPr>
          <w:rFonts w:hint="eastAsia" w:ascii="宋体" w:hAnsi="宋体" w:eastAsia="宋体" w:cs="宋体"/>
          <w:b w:val="0"/>
          <w:color w:val="auto"/>
          <w:sz w:val="21"/>
          <w:szCs w:val="21"/>
          <w:highlight w:val="none"/>
          <w:lang w:eastAsia="zh-CN"/>
        </w:rPr>
        <w:tab/>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lang w:val="en-US" w:eastAsia="zh-CN"/>
        </w:rPr>
        <w:t xml:space="preserve">固定单价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1" w:name="_Toc351203485"/>
      <w:r>
        <w:rPr>
          <w:rFonts w:hint="eastAsia" w:ascii="宋体" w:hAnsi="宋体" w:eastAsia="宋体" w:cs="宋体"/>
          <w:b w:val="0"/>
          <w:color w:val="auto"/>
          <w:sz w:val="21"/>
          <w:szCs w:val="21"/>
          <w:highlight w:val="none"/>
          <w:lang w:eastAsia="zh-CN"/>
        </w:rPr>
        <w:t xml:space="preserve">五、</w:t>
      </w:r>
      <w:bookmarkEnd w:id="41"/>
      <w:r>
        <w:rPr>
          <w:rFonts w:hint="eastAsia" w:ascii="宋体" w:hAnsi="宋体" w:eastAsia="宋体" w:cs="宋体"/>
          <w:b w:val="0"/>
          <w:color w:val="auto"/>
          <w:sz w:val="21"/>
          <w:szCs w:val="21"/>
          <w:highlight w:val="none"/>
          <w:lang w:eastAsia="zh-CN"/>
        </w:rPr>
        <w:t xml:space="preserve">项目经理</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2" w:name="_Toc351203486"/>
      <w:r>
        <w:rPr>
          <w:rFonts w:hint="eastAsia" w:ascii="宋体" w:hAnsi="宋体" w:eastAsia="宋体" w:cs="宋体"/>
          <w:b w:val="0"/>
          <w:color w:val="auto"/>
          <w:sz w:val="21"/>
          <w:szCs w:val="21"/>
          <w:highlight w:val="none"/>
          <w:lang w:eastAsia="zh-CN"/>
        </w:rPr>
        <w:t xml:space="preserve">六、合同文件构成</w:t>
      </w:r>
      <w:bookmarkEnd w:id="42"/>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（5）已标价工程量清单或预算书；</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3" w:name="_Toc351203487"/>
      <w:r>
        <w:rPr>
          <w:rFonts w:hint="eastAsia" w:ascii="宋体" w:hAnsi="宋体" w:eastAsia="宋体" w:cs="宋体"/>
          <w:b w:val="0"/>
          <w:color w:val="auto"/>
          <w:sz w:val="21"/>
          <w:szCs w:val="21"/>
          <w:highlight w:val="none"/>
          <w:lang w:eastAsia="zh-CN"/>
        </w:rPr>
        <w:t xml:space="preserve">七、承诺</w:t>
      </w:r>
      <w:bookmarkEnd w:id="43"/>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4" w:name="_Toc351203488"/>
      <w:r>
        <w:rPr>
          <w:rFonts w:hint="eastAsia" w:ascii="宋体" w:hAnsi="宋体" w:eastAsia="宋体" w:cs="宋体"/>
          <w:b w:val="0"/>
          <w:color w:val="auto"/>
          <w:sz w:val="21"/>
          <w:szCs w:val="21"/>
          <w:highlight w:val="none"/>
          <w:lang w:eastAsia="zh-CN"/>
        </w:rPr>
        <w:t xml:space="preserve">八、词语含义</w:t>
      </w:r>
      <w:bookmarkEnd w:id="44"/>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5" w:name="_Toc351203489"/>
      <w:r>
        <w:rPr>
          <w:rFonts w:hint="eastAsia" w:ascii="宋体" w:hAnsi="宋体" w:eastAsia="宋体" w:cs="宋体"/>
          <w:b w:val="0"/>
          <w:color w:val="auto"/>
          <w:sz w:val="21"/>
          <w:szCs w:val="21"/>
          <w:highlight w:val="none"/>
          <w:lang w:eastAsia="zh-CN"/>
        </w:rPr>
        <w:t xml:space="preserve">九、签订时间</w:t>
      </w:r>
      <w:bookmarkEnd w:id="45"/>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6" w:name="_Toc351203490"/>
      <w:r>
        <w:rPr>
          <w:rFonts w:hint="eastAsia" w:ascii="宋体" w:hAnsi="宋体" w:eastAsia="宋体" w:cs="宋体"/>
          <w:b w:val="0"/>
          <w:color w:val="auto"/>
          <w:sz w:val="21"/>
          <w:szCs w:val="21"/>
          <w:highlight w:val="none"/>
          <w:lang w:eastAsia="zh-CN"/>
        </w:rPr>
        <w:t xml:space="preserve">十、签订地点</w:t>
      </w:r>
      <w:bookmarkEnd w:id="46"/>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7" w:name="_Toc351203491"/>
      <w:r>
        <w:rPr>
          <w:rFonts w:hint="eastAsia" w:ascii="宋体" w:hAnsi="宋体" w:eastAsia="宋体" w:cs="宋体"/>
          <w:b w:val="0"/>
          <w:color w:val="auto"/>
          <w:sz w:val="21"/>
          <w:szCs w:val="21"/>
          <w:highlight w:val="none"/>
          <w:lang w:eastAsia="zh-CN"/>
        </w:rPr>
        <w:t xml:space="preserve">十一、补充协议</w:t>
      </w:r>
      <w:bookmarkEnd w:id="47"/>
      <w:r/>
      <w:r/>
    </w:p>
    <w:p>
      <w:pPr>
        <w:ind w:firstLine="420"/>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8" w:name="_Toc351203492"/>
      <w:r>
        <w:rPr>
          <w:rFonts w:hint="eastAsia" w:ascii="宋体" w:hAnsi="宋体" w:eastAsia="宋体" w:cs="宋体"/>
          <w:b w:val="0"/>
          <w:color w:val="auto"/>
          <w:sz w:val="21"/>
          <w:szCs w:val="21"/>
          <w:highlight w:val="none"/>
          <w:lang w:eastAsia="zh-CN"/>
        </w:rPr>
        <w:t xml:space="preserve">十二、合同生效</w:t>
      </w:r>
      <w:bookmarkEnd w:id="48"/>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本合同自发包人、承包人签字盖章后生效。</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9" w:name="_Toc351203493"/>
      <w:r>
        <w:rPr>
          <w:rFonts w:hint="eastAsia" w:ascii="宋体" w:hAnsi="宋体" w:eastAsia="宋体" w:cs="宋体"/>
          <w:b w:val="0"/>
          <w:color w:val="auto"/>
          <w:sz w:val="21"/>
          <w:szCs w:val="21"/>
          <w:highlight w:val="none"/>
          <w:lang w:eastAsia="zh-CN"/>
        </w:rPr>
        <w:t xml:space="preserve">十三、合同份数</w:t>
      </w:r>
      <w:bookmarkEnd w:id="49"/>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w:t>
      </w:r>
      <w:r>
        <w:rPr>
          <w:rFonts w:hint="eastAsia" w:ascii="宋体" w:hAnsi="宋体" w:eastAsia="宋体" w:cs="宋体"/>
          <w:bCs/>
          <w:color w:val="auto"/>
          <w:sz w:val="21"/>
          <w:szCs w:val="21"/>
          <w:highlight w:val="none"/>
          <w:lang w:eastAsia="zh-CN"/>
        </w:rPr>
        <w:t xml:space="preserve">一式</w:t>
      </w:r>
      <w:r>
        <w:rPr>
          <w:rFonts w:hint="eastAsia" w:ascii="宋体" w:hAnsi="宋体" w:eastAsia="宋体" w:cs="宋体"/>
          <w:bCs/>
          <w:color w:val="auto"/>
          <w:sz w:val="21"/>
          <w:szCs w:val="21"/>
          <w:highlight w:val="none"/>
          <w:lang w:val="en-US" w:eastAsia="zh-CN"/>
        </w:rPr>
        <w:t xml:space="preserve">五</w:t>
      </w:r>
      <w:r>
        <w:rPr>
          <w:rFonts w:hint="eastAsia" w:ascii="宋体" w:hAnsi="宋体" w:eastAsia="宋体" w:cs="宋体"/>
          <w:bCs/>
          <w:color w:val="auto"/>
          <w:sz w:val="21"/>
          <w:szCs w:val="21"/>
          <w:highlight w:val="none"/>
          <w:lang w:eastAsia="zh-CN"/>
        </w:rPr>
        <w:t xml:space="preserve">份</w:t>
      </w:r>
      <w:r>
        <w:rPr>
          <w:rFonts w:hint="eastAsia" w:ascii="宋体" w:hAnsi="宋体" w:eastAsia="宋体" w:cs="宋体"/>
          <w:bCs/>
          <w:color w:val="auto"/>
          <w:sz w:val="21"/>
          <w:szCs w:val="21"/>
          <w:highlight w:val="none"/>
        </w:rPr>
        <w:t xml:space="preserve">，均具有同等法律效力，发包人执贰份，承包人执</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代理机构资料存档一份</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                                账号：</w:t>
      </w:r>
      <w:r/>
    </w:p>
    <w:p>
      <w:pPr>
        <w:jc w:val="center"/>
        <w:pageBreakBefore w:val="0"/>
        <w:spacing w:line="380" w:lineRule="exact"/>
        <w:rPr>
          <w:rFonts w:hint="eastAsia" w:ascii="宋体" w:hAnsi="宋体" w:eastAsia="宋体" w:cs="宋体"/>
          <w:b/>
          <w:bCs/>
          <w:color w:val="auto"/>
          <w:sz w:val="30"/>
          <w:szCs w:val="30"/>
          <w:highlight w:val="none"/>
        </w:rPr>
      </w:pPr>
      <w:r/>
      <w:bookmarkStart w:id="50" w:name="_Toc498006745"/>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0"/>
          <w:szCs w:val="30"/>
          <w:highlight w:val="none"/>
        </w:rPr>
        <w:t xml:space="preserve">第二部分 通用合同条款</w:t>
      </w:r>
      <w:bookmarkEnd w:id="50"/>
      <w:r/>
      <w:r/>
    </w:p>
    <w:p>
      <w:pPr>
        <w:jc w:val="center"/>
        <w:pageBreakBefore w:val="0"/>
        <w:spacing w:line="380" w:lineRule="exac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《建设工程施工合同（示范文本）》（GF</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2017</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0201）</w:t>
      </w:r>
      <w:bookmarkStart w:id="51" w:name="_Toc498006746"/>
      <w:r/>
      <w:r/>
    </w:p>
    <w:p>
      <w:pPr>
        <w:pStyle w:val="935"/>
        <w:jc w:val="center"/>
        <w:pageBreakBefore w:val="0"/>
        <w:spacing w:before="0" w:after="0"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第三部分 专用合同条款</w:t>
      </w:r>
      <w:bookmarkEnd w:id="51"/>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52" w:name="_Toc351203633"/>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w:t>
      </w:r>
      <w:bookmarkStart w:id="53" w:name="_Toc296891196"/>
      <w:r/>
      <w:bookmarkStart w:id="54" w:name="_Toc296944495"/>
      <w:r/>
      <w:bookmarkStart w:id="55" w:name="_Toc297048342"/>
      <w:r/>
      <w:bookmarkStart w:id="56" w:name="_Toc292559866"/>
      <w:r/>
      <w:bookmarkStart w:id="57" w:name="_Toc296890984"/>
      <w:r/>
      <w:bookmarkStart w:id="58" w:name="_Toc296347155"/>
      <w:r/>
      <w:bookmarkStart w:id="59" w:name="_Toc297120456"/>
      <w:r/>
      <w:bookmarkStart w:id="60" w:name="_Toc296346657"/>
      <w:r/>
      <w:bookmarkStart w:id="61" w:name="_Toc296503156"/>
      <w:r/>
      <w:bookmarkStart w:id="62" w:name="_Toc292559361"/>
      <w:r>
        <w:rPr>
          <w:rFonts w:hint="eastAsia" w:ascii="宋体" w:hAnsi="宋体" w:eastAsia="宋体" w:cs="宋体"/>
          <w:color w:val="auto"/>
          <w:sz w:val="21"/>
          <w:szCs w:val="21"/>
          <w:highlight w:val="none"/>
          <w:lang w:eastAsia="zh-CN"/>
        </w:rPr>
        <w:t xml:space="preserve">. 一般约定</w:t>
      </w:r>
      <w:bookmarkEnd w:id="52"/>
      <w:r/>
      <w:bookmarkEnd w:id="53"/>
      <w:r/>
      <w:bookmarkEnd w:id="54"/>
      <w:r/>
      <w:bookmarkEnd w:id="55"/>
      <w:r/>
      <w:bookmarkEnd w:id="56"/>
      <w:r/>
      <w:bookmarkEnd w:id="57"/>
      <w:r/>
      <w:bookmarkEnd w:id="58"/>
      <w:r/>
      <w:bookmarkEnd w:id="59"/>
      <w:r/>
      <w:bookmarkEnd w:id="60"/>
      <w:r/>
      <w:bookmarkEnd w:id="61"/>
      <w:r/>
      <w:bookmarkEnd w:id="6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在合同订立及履行过程中，发承包双方书面确认的对合同内容有实质性影响的会议纪要、设计变更、工程变更签证、补充协议、备忘录等资料</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监理人：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设计人：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作为施工现场组成部分的其他场所包括：</w:t>
      </w:r>
      <w:r>
        <w:rPr>
          <w:rFonts w:hint="eastAsia" w:ascii="宋体" w:hAnsi="宋体" w:eastAsia="宋体" w:cs="宋体"/>
          <w:color w:val="auto"/>
          <w:sz w:val="21"/>
          <w:szCs w:val="21"/>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永久占地包括：</w:t>
      </w:r>
      <w:r>
        <w:rPr>
          <w:rFonts w:hint="eastAsia" w:ascii="宋体" w:hAnsi="宋体" w:eastAsia="宋体" w:cs="宋体"/>
          <w:color w:val="auto"/>
          <w:sz w:val="21"/>
          <w:szCs w:val="21"/>
          <w:highlight w:val="none"/>
          <w:u w:val="single"/>
        </w:rPr>
        <w:t xml:space="preserve">依据设计图纸确定</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临时占地包括：</w:t>
      </w:r>
      <w:r>
        <w:rPr>
          <w:rFonts w:hint="eastAsia" w:ascii="宋体" w:hAnsi="宋体" w:eastAsia="宋体" w:cs="宋体"/>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中华人民共和国民法典》</w:t>
      </w:r>
      <w:r>
        <w:rPr>
          <w:rFonts w:hint="eastAsia" w:ascii="宋体" w:hAnsi="宋体" w:cs="宋体"/>
          <w:color w:val="auto"/>
          <w:sz w:val="21"/>
          <w:szCs w:val="21"/>
          <w:highlight w:val="none"/>
          <w:u w:val="single"/>
          <w:lang w:val="en-US" w:eastAsia="zh-CN"/>
        </w:rPr>
        <w:t xml:space="preserve">《中华人民共和国招标投标法》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中华人民共和国建筑法</w:t>
      </w:r>
      <w:r>
        <w:rPr>
          <w:rFonts w:hint="eastAsia" w:ascii="宋体" w:hAnsi="宋体" w:eastAsia="宋体" w:cs="宋体"/>
          <w:color w:val="auto"/>
          <w:sz w:val="21"/>
          <w:szCs w:val="21"/>
          <w:highlight w:val="none"/>
          <w:u w:val="single"/>
          <w:lang w:eastAsia="zh-CN"/>
        </w:rPr>
        <w:t xml:space="preserve">》《建设工程质量管理条例</w:t>
      </w:r>
      <w:r>
        <w:rPr>
          <w:rFonts w:hint="eastAsia" w:ascii="宋体" w:hAnsi="宋体" w:eastAsia="宋体" w:cs="宋体"/>
          <w:color w:val="auto"/>
          <w:sz w:val="21"/>
          <w:szCs w:val="21"/>
          <w:highlight w:val="none"/>
          <w:u w:val="single"/>
        </w:rPr>
        <w:t xml:space="preserve">》等</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按国家标准同时符合强制性规范验收要求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中标通知书、投标函及其附录、招标文件、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、专用合同条款及其附件、通用合同条款、技术标准和要求、图纸、已标价的工程量清单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开工前14日内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提供全套施工图或施工说明2套，如承包人需增加图纸份数，由承包人向设计单位购买或自行复制，费用由承包人承担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 全套施工图纸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承包人文件</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（电子版及打印同时装订成册的</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、投标报价软件版计价文件电子版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  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  一套电子版</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、一套软件版计价文件、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装订成册二套</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书面形式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现场图纸准备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监理人、承包人在施工场地各保存一套完整的图纸和承包人文件</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项目所在地承包人项目部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承包人项目经理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项目所在地监理人办公室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监理工程师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3" w:name="_Toc1749"/>
      <w:r/>
      <w:bookmarkStart w:id="64" w:name="_Toc14538"/>
      <w:r/>
      <w:bookmarkStart w:id="65" w:name="_Toc318581157"/>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交通运输</w:t>
      </w:r>
      <w:bookmarkEnd w:id="63"/>
      <w:r/>
      <w:bookmarkEnd w:id="64"/>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6" w:name="_Toc11558"/>
      <w:r/>
      <w:bookmarkStart w:id="67" w:name="_Toc17634"/>
      <w:r>
        <w:rPr>
          <w:rFonts w:hint="eastAsia" w:ascii="宋体" w:hAnsi="宋体" w:eastAsia="宋体" w:cs="宋体"/>
          <w:color w:val="auto"/>
          <w:sz w:val="21"/>
          <w:szCs w:val="21"/>
          <w:highlight w:val="none"/>
        </w:rPr>
        <w:t xml:space="preserve">1</w:t>
      </w:r>
      <w:bookmarkStart w:id="68" w:name="_Toc303539100"/>
      <w:r/>
      <w:bookmarkStart w:id="69" w:name="_Toc312677986"/>
      <w:r/>
      <w:bookmarkStart w:id="70" w:name="_Toc300934943"/>
      <w:r/>
      <w:bookmarkStart w:id="71" w:name="_Toc304295521"/>
      <w:r/>
      <w:bookmarkStart w:id="72" w:name="_Toc318581155"/>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出入现场的权利</w:t>
      </w:r>
      <w:bookmarkEnd w:id="66"/>
      <w:r/>
      <w:bookmarkEnd w:id="67"/>
      <w:r/>
      <w:r/>
    </w:p>
    <w:p>
      <w:pPr>
        <w:ind w:left="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宋体" w:hAnsi="宋体" w:eastAsia="宋体" w:cs="宋体"/>
          <w:color w:val="auto"/>
          <w:sz w:val="21"/>
          <w:szCs w:val="21"/>
          <w:highlight w:val="none"/>
          <w:u w:val="single"/>
          <w:lang w:eastAsia="zh-CN"/>
        </w:rPr>
        <w:t xml:space="preserve">，由</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已投标时综合考虑，已包含在发包价内。发包人不再予以额外补偿</w:t>
      </w:r>
      <w:r>
        <w:rPr>
          <w:rFonts w:hint="eastAsia" w:ascii="宋体" w:hAnsi="宋体" w:eastAsia="宋体" w:cs="宋体"/>
          <w:color w:val="auto"/>
          <w:sz w:val="21"/>
          <w:szCs w:val="21"/>
          <w:highlight w:val="none"/>
        </w:rPr>
        <w:t xml:space="preserve">。</w:t>
      </w:r>
      <w:bookmarkEnd w:id="68"/>
      <w:r/>
      <w:bookmarkEnd w:id="69"/>
      <w:r/>
      <w:bookmarkEnd w:id="70"/>
      <w:r/>
      <w:bookmarkEnd w:id="71"/>
      <w:r/>
      <w:bookmarkEnd w:id="7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73" w:name="_Toc11813"/>
      <w:r/>
      <w:bookmarkStart w:id="74" w:name="_Toc23298"/>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场内交通</w:t>
      </w:r>
      <w:bookmarkEnd w:id="73"/>
      <w:r/>
      <w:bookmarkEnd w:id="7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以规划红线为界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按现状， 如施工需要的场内道路和交通设施及施工绿色围挡（含绿色围墙、张贴广告等）由承包人自行建设</w:t>
      </w:r>
      <w:r>
        <w:rPr>
          <w:rFonts w:hint="eastAsia" w:ascii="宋体" w:hAnsi="宋体" w:cs="宋体"/>
          <w:color w:val="auto"/>
          <w:sz w:val="21"/>
          <w:szCs w:val="21"/>
          <w:highlight w:val="none"/>
          <w:u w:val="single"/>
          <w:lang w:val="en-US" w:eastAsia="zh-CN"/>
        </w:rPr>
        <w:t xml:space="preserve">和</w:t>
      </w:r>
      <w:r>
        <w:rPr>
          <w:rFonts w:hint="eastAsia" w:ascii="宋体" w:hAnsi="宋体" w:eastAsia="宋体" w:cs="宋体"/>
          <w:color w:val="auto"/>
          <w:sz w:val="21"/>
          <w:szCs w:val="21"/>
          <w:highlight w:val="none"/>
          <w:u w:val="single"/>
        </w:rPr>
        <w:t xml:space="preserve">维护及协调，其费用承包人已根据施工现场实际情况综合考虑，已含在签约合同价中，竣工结算时不做任何调整。因承包人原因造成场内原有道路、绿化、管网损坏的，由承包人负责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超大件和超重件的运输</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运输超大件或超重件所需的道路和桥梁临时加固改造费用和其他有关费用由承担。</w:t>
      </w:r>
      <w:bookmarkEnd w:id="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5" w:name="_Toc19332"/>
      <w:r/>
      <w:bookmarkStart w:id="76" w:name="_Toc29204"/>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知识产权</w:t>
      </w:r>
      <w:bookmarkEnd w:id="75"/>
      <w:r/>
      <w:bookmarkEnd w:id="7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未</w:t>
      </w:r>
      <w:r>
        <w:rPr>
          <w:rFonts w:hint="eastAsia" w:ascii="宋体" w:hAnsi="宋体" w:eastAsia="宋体" w:cs="宋体"/>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7" w:name="_Toc18045"/>
      <w:r/>
      <w:bookmarkStart w:id="78" w:name="_Toc24001"/>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bookmarkEnd w:id="77"/>
      <w:r/>
      <w:bookmarkEnd w:id="7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按通用合同条款执行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工程量清单错误的修正</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不调整综合单价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 工程量按实计算，</w:t>
      </w:r>
      <w:r>
        <w:rPr>
          <w:rFonts w:hint="eastAsia" w:ascii="宋体" w:hAnsi="宋体" w:eastAsia="宋体" w:cs="宋体"/>
          <w:color w:val="auto"/>
          <w:sz w:val="21"/>
          <w:szCs w:val="21"/>
          <w:highlight w:val="none"/>
          <w:u w:val="single"/>
          <w:lang w:eastAsia="zh-CN"/>
        </w:rPr>
        <w:t xml:space="preserve">合同</w:t>
      </w:r>
      <w:r>
        <w:rPr>
          <w:rFonts w:hint="eastAsia" w:ascii="宋体" w:hAnsi="宋体" w:eastAsia="宋体" w:cs="宋体"/>
          <w:color w:val="auto"/>
          <w:sz w:val="21"/>
          <w:szCs w:val="21"/>
          <w:highlight w:val="none"/>
          <w:u w:val="single"/>
        </w:rPr>
        <w:t xml:space="preserve">投标报价（人工、材料、机械、管理费、利润以及各项措施项目费用 </w:t>
      </w:r>
      <w:r>
        <w:rPr>
          <w:rFonts w:hint="eastAsia" w:ascii="宋体" w:hAnsi="宋体" w:eastAsia="宋体" w:cs="宋体"/>
          <w:color w:val="auto"/>
          <w:sz w:val="21"/>
          <w:szCs w:val="21"/>
          <w:highlight w:val="none"/>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79" w:name="_Toc351203634"/>
      <w:r>
        <w:rPr>
          <w:rFonts w:hint="eastAsia" w:ascii="宋体" w:hAnsi="宋体" w:eastAsia="宋体" w:cs="宋体"/>
          <w:color w:val="auto"/>
          <w:sz w:val="21"/>
          <w:szCs w:val="21"/>
          <w:highlight w:val="none"/>
          <w:lang w:eastAsia="zh-CN"/>
        </w:rPr>
        <w:t xml:space="preserve">2</w:t>
      </w:r>
      <w:bookmarkStart w:id="80" w:name="_Toc292559362"/>
      <w:r/>
      <w:bookmarkStart w:id="81" w:name="_Toc296944496"/>
      <w:r/>
      <w:bookmarkStart w:id="82" w:name="_Toc292559867"/>
      <w:r/>
      <w:bookmarkStart w:id="83" w:name="_Toc296503157"/>
      <w:r/>
      <w:bookmarkStart w:id="84" w:name="_Toc296890985"/>
      <w:r/>
      <w:bookmarkStart w:id="85" w:name="_Toc296346658"/>
      <w:r/>
      <w:bookmarkStart w:id="86" w:name="_Toc297048343"/>
      <w:r/>
      <w:bookmarkStart w:id="87" w:name="_Toc296347156"/>
      <w:r/>
      <w:bookmarkStart w:id="88" w:name="_Toc296891197"/>
      <w:r/>
      <w:bookmarkStart w:id="89" w:name="_Toc297120457"/>
      <w:r>
        <w:rPr>
          <w:rFonts w:hint="eastAsia" w:ascii="宋体" w:hAnsi="宋体" w:eastAsia="宋体" w:cs="宋体"/>
          <w:color w:val="auto"/>
          <w:sz w:val="21"/>
          <w:szCs w:val="21"/>
          <w:highlight w:val="none"/>
          <w:lang w:eastAsia="zh-CN"/>
        </w:rPr>
        <w:t xml:space="preserve">. 发包人</w:t>
      </w:r>
      <w:bookmarkEnd w:id="79"/>
      <w:r/>
      <w:bookmarkEnd w:id="80"/>
      <w:r/>
      <w:bookmarkEnd w:id="81"/>
      <w:r/>
      <w:bookmarkEnd w:id="82"/>
      <w:r/>
      <w:bookmarkEnd w:id="83"/>
      <w:r/>
      <w:bookmarkEnd w:id="84"/>
      <w:r/>
      <w:bookmarkEnd w:id="85"/>
      <w:r/>
      <w:bookmarkEnd w:id="86"/>
      <w:r/>
      <w:bookmarkEnd w:id="87"/>
      <w:r/>
      <w:bookmarkEnd w:id="88"/>
      <w:r/>
      <w:bookmarkEnd w:id="89"/>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对监理单位和承包人的工作进行监督、协调及外部组织协调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对不称职的监理、施工人员的更换权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施工现场、施工条件和基础资料的提供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提供施工现场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none"/>
        </w:rPr>
        <w:t xml:space="preserve">开工日期前15天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提供施工条件</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（1）施工现场具备施工条件的要求及完成时间：已完成。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本工程所需施工用电由发包人提供供电接口，从供电接口至施工现场所产生的一切费用及施工中应承担的电费和电损费用由承包人承担。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（3）施工场地与公共道路的通道开通时间和要求：  已开通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（4）工程地质和地下管网线资料的提供时间：开工前一周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（7）图纸会审和设计交底时间：开工前。</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（8）协调处理施工场地周围地下管线和邻近建筑物、构筑物（含文物保护建筑）、</w:t>
      </w:r>
      <w:r>
        <w:rPr>
          <w:rFonts w:hint="eastAsia" w:ascii="宋体" w:hAnsi="宋体" w:eastAsia="宋体" w:cs="宋体"/>
          <w:color w:val="auto"/>
          <w:sz w:val="21"/>
          <w:szCs w:val="21"/>
          <w:highlight w:val="none"/>
          <w:u w:val="single"/>
          <w:lang w:eastAsia="zh-CN"/>
        </w:rPr>
        <w:t xml:space="preserve">古树名木保护</w:t>
      </w:r>
      <w:r>
        <w:rPr>
          <w:rFonts w:hint="eastAsia" w:ascii="宋体" w:hAnsi="宋体" w:eastAsia="宋体" w:cs="宋体"/>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资金来源证明及支付担保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 农民工工资预存要求</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（2）监理单位应对预存资金到账情况进行核查，未满足资金预存要求的，不得签发开工通知。</w:t>
      </w:r>
      <w:r/>
    </w:p>
    <w:p>
      <w:pPr>
        <w:ind w:left="0" w:firstLine="420"/>
        <w:pageBreakBefore w:val="0"/>
        <w:spacing w:line="38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（3）专用账户资金由开户银行动态监管，发包人应确保账户余额始终不低于 2 个月工资总额。</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90" w:name="_Toc351203635"/>
      <w:r>
        <w:rPr>
          <w:rFonts w:hint="eastAsia" w:ascii="宋体" w:hAnsi="宋体" w:eastAsia="宋体" w:cs="宋体"/>
          <w:color w:val="auto"/>
          <w:sz w:val="21"/>
          <w:szCs w:val="21"/>
          <w:highlight w:val="none"/>
          <w:lang w:eastAsia="zh-CN"/>
        </w:rPr>
        <w:t xml:space="preserve">3</w:t>
      </w:r>
      <w:bookmarkStart w:id="91" w:name="_Toc297048344"/>
      <w:r/>
      <w:bookmarkStart w:id="92" w:name="_Toc296944497"/>
      <w:r/>
      <w:bookmarkStart w:id="93" w:name="_Toc296890986"/>
      <w:r/>
      <w:bookmarkStart w:id="94" w:name="_Toc296346659"/>
      <w:r/>
      <w:bookmarkStart w:id="95" w:name="_Toc296347157"/>
      <w:r/>
      <w:bookmarkStart w:id="96" w:name="_Toc292559363"/>
      <w:r/>
      <w:bookmarkStart w:id="97" w:name="_Toc296503158"/>
      <w:r/>
      <w:bookmarkStart w:id="98" w:name="_Toc296891198"/>
      <w:r/>
      <w:bookmarkStart w:id="99" w:name="_Toc292559868"/>
      <w:r/>
      <w:bookmarkStart w:id="100" w:name="_Toc297120458"/>
      <w:r>
        <w:rPr>
          <w:rFonts w:hint="eastAsia" w:ascii="宋体" w:hAnsi="宋体" w:eastAsia="宋体" w:cs="宋体"/>
          <w:color w:val="auto"/>
          <w:sz w:val="21"/>
          <w:szCs w:val="21"/>
          <w:highlight w:val="none"/>
          <w:lang w:eastAsia="zh-CN"/>
        </w:rPr>
        <w:t xml:space="preserve">. 承包人</w:t>
      </w:r>
      <w:bookmarkEnd w:id="90"/>
      <w:r/>
      <w:bookmarkEnd w:id="91"/>
      <w:r/>
      <w:bookmarkEnd w:id="92"/>
      <w:r/>
      <w:bookmarkEnd w:id="93"/>
      <w:r/>
      <w:bookmarkEnd w:id="94"/>
      <w:r/>
      <w:bookmarkEnd w:id="95"/>
      <w:r/>
      <w:bookmarkEnd w:id="96"/>
      <w:r/>
      <w:bookmarkEnd w:id="97"/>
      <w:r/>
      <w:bookmarkEnd w:id="98"/>
      <w:r/>
      <w:bookmarkEnd w:id="99"/>
      <w:r/>
      <w:bookmarkEnd w:id="100"/>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（1）承包人提交的竣工资料的内容：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中标通知书、招标文件、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、合同及协议附件、竣工图纸、变更签证、竣工结算书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   2套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施工单位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申报工程竣工验收之前由承包人负责整理和提交竣工资料（包括竣工图）报相关部门验收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若因承包人提供的竣工资料延误或所报材料不符合要求影响正常工程竣工验收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导致发包人的工程不能按期交付或投入使用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无论哪项拖延，均视为承包人违约</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承包人按每拖延一天 1000元向发包人支付违约金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并且发包人保留进一步向承包人索赔补偿不足部分的权利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  书面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numPr>
          <w:ilvl w:val="0"/>
          <w:numId w:val="5"/>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承包人应履行的其他义务：</w:t>
      </w:r>
      <w:r>
        <w:rPr>
          <w:rFonts w:hint="eastAsia" w:ascii="宋体" w:hAnsi="宋体" w:eastAsia="宋体" w:cs="宋体"/>
          <w:color w:val="auto"/>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5"/>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（3）承包人必须遵守江苏省及淮安市、盱眙县行业主管部门的相关规定，服从行业主管部门的管理，凡</w:t>
      </w:r>
      <w:r>
        <w:rPr>
          <w:rFonts w:hint="eastAsia" w:ascii="宋体" w:hAnsi="宋体" w:eastAsia="宋体" w:cs="宋体"/>
          <w:color w:val="auto"/>
          <w:sz w:val="21"/>
          <w:szCs w:val="21"/>
          <w:highlight w:val="none"/>
          <w:u w:val="single"/>
          <w:lang w:eastAsia="zh-CN"/>
        </w:rPr>
        <w:t xml:space="preserve">涉及</w:t>
      </w:r>
      <w:r>
        <w:rPr>
          <w:rFonts w:hint="eastAsia" w:ascii="宋体" w:hAnsi="宋体" w:eastAsia="宋体" w:cs="宋体"/>
          <w:color w:val="auto"/>
          <w:sz w:val="21"/>
          <w:szCs w:val="21"/>
          <w:highlight w:val="none"/>
          <w:u w:val="single"/>
        </w:rPr>
        <w:t xml:space="preserve">承包人的安全监督、质量监督、施工备案、车辆准运等有关证、照，均由承包人自行办理，发包人给予配合，发生的费用全部由承包人承担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u w:val="single"/>
          <w:lang w:eastAsia="zh-CN"/>
        </w:rPr>
        <w:t xml:space="preserve">涉及的</w:t>
      </w:r>
      <w:r>
        <w:rPr>
          <w:rFonts w:hint="eastAsia" w:ascii="宋体" w:hAnsi="宋体" w:eastAsia="宋体" w:cs="宋体"/>
          <w:color w:val="auto"/>
          <w:sz w:val="21"/>
          <w:szCs w:val="21"/>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（5）承包人所报价格应包含其自身分包引起的各项增加的或额外的费用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（6）承包人加强工程施工车辆的管理，施工车辆不得无故堵塞道路交通，不得沿途</w:t>
      </w:r>
      <w:r>
        <w:rPr>
          <w:rFonts w:hint="eastAsia" w:ascii="宋体" w:hAnsi="宋体" w:eastAsia="宋体" w:cs="宋体"/>
          <w:color w:val="auto"/>
          <w:sz w:val="21"/>
          <w:szCs w:val="21"/>
          <w:highlight w:val="none"/>
          <w:u w:val="single"/>
          <w:lang w:eastAsia="zh-CN"/>
        </w:rPr>
        <w:t xml:space="preserve">抛撒</w:t>
      </w:r>
      <w:r>
        <w:rPr>
          <w:rFonts w:hint="eastAsia" w:ascii="宋体" w:hAnsi="宋体" w:eastAsia="宋体" w:cs="宋体"/>
          <w:color w:val="auto"/>
          <w:sz w:val="21"/>
          <w:szCs w:val="21"/>
          <w:highlight w:val="none"/>
          <w:u w:val="single"/>
        </w:rPr>
        <w:t xml:space="preserve">弃土，并根据发包人的要求，安排人员在主要路口疏导车辆、行人交通，其费用由承包人负责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（7）承包人必须对施工现场临时用水、用电工作，进行统一管理，包括但不限于以下内容：</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③承包人应充分考虑用电负荷控制和漏电保护，否则承担一切损失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④承包人的自行分包项目，其使用水电由承包人自行解决与管理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⑤承包人应该充分考虑为各专业承包人提供足额的用水量，否则造成重新从总水源接水的费用由承包人承担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⑥如因城市供电、供水部门等非发包人原因导致的停电、停水超出国家、省、市相关规定，承包人可提出合理工期索赔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⑦临时水电设施的拆除必须征得监理工程师与发包人的批准，拆除后的临时水、电设施由承包人自行处理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①设置、维修和管理临时排污系统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②每天保持施工道路的畅通与清洁，负责保养及维修进入工地施工区域道路，费用由承包人承担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③收集和处理所有施工现场和生活区域内的所有垃圾，直到竣工交付为止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④承包人应按发包人要求，按规定做好场内道路硬化、布置各项标识、标牌、便于检查、视察或参观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⑤竣工交付时应将其排污设施全部拆除并清理至发包人满意，承包人承担其相应的费用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（9）在现场施工中，承包人应负责自身施工区域与公共区域的安全设施的搭设与维修管理工作，以及为安全检查所进行的管理、协调、配合工作等。</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（12）承包人必须立刻执行发包人派驻的工程师</w:t>
      </w:r>
      <w:r>
        <w:rPr>
          <w:rFonts w:hint="eastAsia" w:ascii="宋体" w:hAnsi="宋体" w:cs="宋体"/>
          <w:color w:val="auto"/>
          <w:sz w:val="21"/>
          <w:szCs w:val="21"/>
          <w:highlight w:val="none"/>
          <w:u w:val="single"/>
          <w:lang w:eastAsia="zh-CN"/>
        </w:rPr>
        <w:t xml:space="preserve">获得</w:t>
      </w:r>
      <w:r>
        <w:rPr>
          <w:rFonts w:hint="eastAsia" w:ascii="宋体" w:hAnsi="宋体" w:eastAsia="宋体" w:cs="宋体"/>
          <w:color w:val="auto"/>
          <w:sz w:val="21"/>
          <w:szCs w:val="21"/>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宋体" w:hAnsi="宋体" w:eastAsia="宋体" w:cs="宋体"/>
          <w:color w:val="auto"/>
          <w:sz w:val="21"/>
          <w:szCs w:val="21"/>
          <w:highlight w:val="none"/>
          <w:u w:val="single"/>
          <w:lang w:eastAsia="zh-CN"/>
        </w:rPr>
        <w:t xml:space="preserve">将</w:t>
      </w:r>
      <w:r>
        <w:rPr>
          <w:rFonts w:hint="eastAsia" w:ascii="宋体" w:hAnsi="宋体" w:eastAsia="宋体" w:cs="宋体"/>
          <w:color w:val="auto"/>
          <w:sz w:val="21"/>
          <w:szCs w:val="21"/>
          <w:highlight w:val="none"/>
          <w:u w:val="single"/>
        </w:rPr>
        <w:t xml:space="preserve">付给承包人的款项中扣除而无须承包人认可，由此造成发包人额外损失或间接损失的，作为债务向承包人追讨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（13）承包人必须签收监理工程师发出的书面资料，如有异议必须在收文之日起3日内书面回复，否则视同认可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①承包人负责上述整个项目的现场管理、工期控制、各专业工程间协调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②承包人负责制定上述整个项目的施工总进度计划、总施工组织设计、执行监理人的有关指令，圆满解决施工、验收中的所有问题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③承包人必须负责将专业工程项目的施工单位纳入总承包管理之中，对其进度、质量、安全等进行管理，确保按时、按</w:t>
      </w:r>
      <w:r>
        <w:rPr>
          <w:rFonts w:hint="eastAsia" w:ascii="宋体" w:hAnsi="宋体" w:eastAsia="宋体" w:cs="宋体"/>
          <w:color w:val="auto"/>
          <w:sz w:val="21"/>
          <w:szCs w:val="21"/>
          <w:highlight w:val="none"/>
          <w:u w:val="single"/>
          <w:lang w:eastAsia="zh-CN"/>
        </w:rPr>
        <w:t xml:space="preserve">质地</w:t>
      </w:r>
      <w:r>
        <w:rPr>
          <w:rFonts w:hint="eastAsia" w:ascii="宋体" w:hAnsi="宋体" w:eastAsia="宋体" w:cs="宋体"/>
          <w:color w:val="auto"/>
          <w:sz w:val="21"/>
          <w:szCs w:val="21"/>
          <w:highlight w:val="none"/>
          <w:u w:val="single"/>
        </w:rPr>
        <w:t xml:space="preserve">完成上述整个项目内所有专业工程项目。具体责任包括但不限于如下列举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a.配合专业工程的施工，包括提供施工场地和工作面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b.承担施工界面交接处产生的缺陷修补及收头处理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d.负责向专业工程单位，按届时的现场条件提供已有的垂直运输机械、脚手架的使用方便，且不得向其收取任何额外的费用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e.督查和落实专业工程单位严格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f.按照国家和地方颁布的工程质量标准、规范，有针对性地落实工程各阶段、各专业的质量管理措施，</w:t>
      </w:r>
      <w:r>
        <w:rPr>
          <w:rFonts w:hint="eastAsia" w:ascii="宋体" w:hAnsi="宋体" w:cs="宋体"/>
          <w:color w:val="auto"/>
          <w:sz w:val="21"/>
          <w:szCs w:val="21"/>
          <w:highlight w:val="none"/>
          <w:u w:val="single"/>
          <w:lang w:eastAsia="zh-CN"/>
        </w:rPr>
        <w:t xml:space="preserve">督促</w:t>
      </w:r>
      <w:r>
        <w:rPr>
          <w:rFonts w:hint="eastAsia" w:ascii="宋体" w:hAnsi="宋体" w:eastAsia="宋体" w:cs="宋体"/>
          <w:color w:val="auto"/>
          <w:sz w:val="21"/>
          <w:szCs w:val="21"/>
          <w:highlight w:val="none"/>
          <w:u w:val="single"/>
        </w:rPr>
        <w:t xml:space="preserve">专业工程单位严格执行，确保工程达到本合同要求的质量目标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g.督促和检查专业工程单位按发包人的要求整理各类施工及竣工</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包括竣工图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的工程技术资料编制，并负责收集整理、汇总本工程施工过程中的有关图纸、技术资料和其他各类工程档案文件资料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h.督查专业工程单位落实产品保护工作。设置足够的为产品保护所需的人力及其他必要的临设，以确保已完工程的完好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16）承包人应协调处理扰民与</w:t>
      </w:r>
      <w:r>
        <w:rPr>
          <w:rFonts w:hint="eastAsia" w:ascii="宋体" w:hAnsi="宋体" w:eastAsia="宋体" w:cs="宋体"/>
          <w:color w:val="auto"/>
          <w:sz w:val="21"/>
          <w:szCs w:val="21"/>
          <w:highlight w:val="none"/>
          <w:u w:val="single"/>
          <w:lang w:eastAsia="zh-CN"/>
        </w:rPr>
        <w:t xml:space="preserve">扰民</w:t>
      </w:r>
      <w:r>
        <w:rPr>
          <w:rFonts w:hint="eastAsia" w:ascii="宋体" w:hAnsi="宋体" w:eastAsia="宋体" w:cs="宋体"/>
          <w:color w:val="auto"/>
          <w:sz w:val="21"/>
          <w:szCs w:val="21"/>
          <w:highlight w:val="none"/>
          <w:u w:val="single"/>
        </w:rPr>
        <w:t xml:space="preserve">问题，非发包人原因引发的一切纠纷由承包人自行解决，发包人不承担任何责任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18）现场项目部环境和职业健康安全管理制度</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《环境因素辨识清单》和《危险源辨识清单》应报监理部备案。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针对识别出的重大环境因素和重大危险源，承包人须编制管理方案，报发包人、监理 单位批准后实施。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承包人须识别出本工程在环境和职业健康安全方面的应急事件，针对应急事件编制 《应急预案》，组织应急演习。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①承包人应按国家、江苏省及淮安市政府有关文件要求建立健全劳动保障制度，按时发放员工工资（</w:t>
      </w:r>
      <w:r>
        <w:rPr>
          <w:rFonts w:hint="eastAsia" w:ascii="宋体" w:hAnsi="宋体" w:eastAsia="宋体" w:cs="宋体"/>
          <w:color w:val="auto"/>
          <w:sz w:val="21"/>
          <w:szCs w:val="21"/>
          <w:highlight w:val="none"/>
          <w:u w:val="single"/>
          <w:lang w:eastAsia="zh-CN"/>
        </w:rPr>
        <w:t xml:space="preserve">含农</w:t>
      </w:r>
      <w:r>
        <w:rPr>
          <w:rFonts w:hint="eastAsia" w:ascii="宋体" w:hAnsi="宋体" w:eastAsia="宋体" w:cs="宋体"/>
          <w:color w:val="auto"/>
          <w:sz w:val="21"/>
          <w:szCs w:val="21"/>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宋体" w:hAnsi="宋体" w:cs="宋体"/>
          <w:color w:val="auto"/>
          <w:sz w:val="21"/>
          <w:szCs w:val="21"/>
          <w:highlight w:val="none"/>
          <w:u w:val="single"/>
          <w:lang w:eastAsia="zh-CN"/>
        </w:rPr>
        <w:t xml:space="preserve">符合</w:t>
      </w:r>
      <w:r>
        <w:rPr>
          <w:rFonts w:hint="eastAsia" w:ascii="宋体" w:hAnsi="宋体" w:eastAsia="宋体" w:cs="宋体"/>
          <w:color w:val="auto"/>
          <w:sz w:val="21"/>
          <w:szCs w:val="21"/>
          <w:highlight w:val="none"/>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5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⑤</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在履行合同过程中，承包人应执行国家和地方的法律法</w:t>
      </w:r>
      <w:r>
        <w:rPr>
          <w:rFonts w:hint="eastAsia" w:ascii="宋体" w:hAnsi="宋体" w:eastAsia="宋体" w:cs="宋体"/>
          <w:color w:val="auto"/>
          <w:sz w:val="21"/>
          <w:szCs w:val="21"/>
          <w:highlight w:val="none"/>
          <w:u w:val="single"/>
          <w:lang w:eastAsia="zh-CN"/>
        </w:rPr>
        <w:t xml:space="preserve">规和</w:t>
      </w:r>
      <w:r>
        <w:rPr>
          <w:rFonts w:hint="eastAsia" w:ascii="宋体" w:hAnsi="宋体" w:eastAsia="宋体" w:cs="宋体"/>
          <w:color w:val="auto"/>
          <w:sz w:val="21"/>
          <w:szCs w:val="21"/>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注：上述相关费用由承包人在投标时自行考虑，已包含在发包价内。施工期间发生的该类一切费用发包人不予补偿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（20）农民工工资支付义务</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 承包人应于每月 10 日前，将上个月需发放的农民工工资数额同步报发包人、监理单位及属地人社部门备案；</w:t>
      </w:r>
      <w:r/>
    </w:p>
    <w:p>
      <w:pPr>
        <w:ind w:left="0" w:firstLine="420"/>
        <w:pageBreakBefore w:val="0"/>
        <w:spacing w:line="380" w:lineRule="exact"/>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 xml:space="preserve">② 承包人须当日足额结清当日农民工工资，不得拖欠、克扣</w:t>
      </w:r>
      <w:r>
        <w:rPr>
          <w:rFonts w:hint="eastAsia" w:ascii="宋体" w:hAnsi="宋体" w:cs="宋体"/>
          <w:color w:val="auto"/>
          <w:sz w:val="21"/>
          <w:szCs w:val="21"/>
          <w:highlight w:val="none"/>
          <w:u w:val="singl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 承包人应对务工人员考勤记录、用工数量、工资核算标准、实发明细等信息的真实性、准确性、完整性负责，因审核把关不当导致工资漏发、错发的，由承包人承担清偿总责；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 承包人须实行农民工实名制管理，建立完整的用工台账（含身份证复印件、考勤记录、工资签收表），随时接受发包人及监管部门核查。</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w:t>
      </w:r>
      <w:r>
        <w:rPr>
          <w:rFonts w:hint="eastAsia" w:ascii="宋体" w:hAnsi="宋体" w:eastAsia="宋体" w:cs="宋体"/>
          <w:color w:val="auto"/>
          <w:sz w:val="21"/>
          <w:szCs w:val="21"/>
          <w:highlight w:val="none"/>
        </w:rPr>
        <w:t xml:space="preserve">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不少于 22 天</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违约责任</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每发现一次</w:t>
      </w:r>
      <w:r>
        <w:rPr>
          <w:rFonts w:hint="eastAsia" w:ascii="宋体" w:hAnsi="宋体" w:eastAsia="宋体" w:cs="宋体"/>
          <w:color w:val="auto"/>
          <w:sz w:val="21"/>
          <w:szCs w:val="21"/>
          <w:highlight w:val="none"/>
          <w:u w:val="single"/>
          <w:lang w:eastAsia="zh-CN"/>
        </w:rPr>
        <w:t xml:space="preserve">罚</w:t>
      </w:r>
      <w:r>
        <w:rPr>
          <w:rFonts w:hint="eastAsia" w:ascii="宋体" w:hAnsi="宋体" w:eastAsia="宋体" w:cs="宋体"/>
          <w:color w:val="auto"/>
          <w:sz w:val="21"/>
          <w:szCs w:val="21"/>
          <w:highlight w:val="none"/>
          <w:u w:val="single"/>
        </w:rPr>
        <w:t xml:space="preserve">中标价的 1%（以三次为限），直至解除合同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罚中标价 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中标价10%直至解除合同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none"/>
          <w:lang w:val="en-US" w:eastAsia="zh-CN"/>
        </w:rPr>
        <w:t xml:space="preserve">3.3.1</w:t>
      </w:r>
      <w:r>
        <w:rPr>
          <w:rFonts w:hint="eastAsia" w:ascii="宋体" w:hAnsi="宋体" w:cs="宋体"/>
          <w:color w:val="auto"/>
          <w:sz w:val="21"/>
          <w:szCs w:val="21"/>
          <w:highlight w:val="none"/>
          <w:u w:val="single"/>
          <w:lang w:val="en-US" w:eastAsia="zh-CN"/>
        </w:rPr>
        <w:t xml:space="preserve">承包人须确保本项目总部校区、三分校两个施工现场，每日在场的施工及管理人员数量须达8人以上，且人员配置须同时满足各施工面的作业进度、安全管理及质量管控要求。</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承包人提交项目管理机构及施工现场管理人员安排报告的期限：接到开工通知后 7天内，向监理人报送并经发包人确认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承包人无正当理由拒绝撤换主要施工管理人员的违约责任：</w:t>
      </w:r>
      <w:r>
        <w:rPr>
          <w:rFonts w:hint="eastAsia" w:ascii="宋体" w:hAnsi="宋体" w:eastAsia="宋体" w:cs="宋体"/>
          <w:color w:val="auto"/>
          <w:sz w:val="21"/>
          <w:szCs w:val="21"/>
          <w:highlight w:val="none"/>
          <w:u w:val="single"/>
        </w:rPr>
        <w:t xml:space="preserve">承包人拒绝更换的，发包人有权解除合同</w:t>
      </w:r>
      <w:r>
        <w:rPr>
          <w:rFonts w:hint="eastAsia" w:ascii="宋体" w:hAnsi="宋体" w:cs="宋体"/>
          <w:color w:val="auto"/>
          <w:sz w:val="21"/>
          <w:szCs w:val="21"/>
          <w:highlight w:val="none"/>
          <w:u w:val="single"/>
          <w:lang w:eastAsia="zh-CN"/>
        </w:rPr>
        <w:t xml:space="preserve">，并</w:t>
      </w:r>
      <w:r>
        <w:rPr>
          <w:rFonts w:hint="eastAsia" w:ascii="宋体" w:hAnsi="宋体" w:eastAsia="宋体" w:cs="宋体"/>
          <w:color w:val="auto"/>
          <w:sz w:val="21"/>
          <w:szCs w:val="21"/>
          <w:highlight w:val="none"/>
          <w:u w:val="single"/>
        </w:rPr>
        <w:t xml:space="preserve">追究由此带来的发包人一切损失，且承包人应承担合同价千分之二/人•次的违约金</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承包人主要施工管理人员离开施工现场的批准要求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承包人主要施工管理人员必须常驻工地，接受发包人及监理人的考勤，每</w:t>
      </w:r>
      <w:r>
        <w:rPr>
          <w:rFonts w:hint="eastAsia" w:ascii="宋体" w:hAnsi="宋体" w:cs="宋体"/>
          <w:color w:val="auto"/>
          <w:sz w:val="21"/>
          <w:szCs w:val="21"/>
          <w:highlight w:val="none"/>
          <w:u w:val="single"/>
          <w:lang w:eastAsia="zh-CN"/>
        </w:rPr>
        <w:t xml:space="preserve">张工</w:t>
      </w:r>
      <w:r>
        <w:rPr>
          <w:rFonts w:hint="eastAsia" w:ascii="宋体" w:hAnsi="宋体" w:eastAsia="宋体" w:cs="宋体"/>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承包人擅自更换主要施工管理人员的违约责任： </w:t>
      </w:r>
      <w:r>
        <w:rPr>
          <w:rFonts w:hint="eastAsia" w:ascii="宋体" w:hAnsi="宋体" w:eastAsia="宋体" w:cs="宋体"/>
          <w:color w:val="auto"/>
          <w:sz w:val="21"/>
          <w:szCs w:val="21"/>
          <w:highlight w:val="none"/>
          <w:u w:val="single"/>
        </w:rPr>
        <w:t xml:space="preserve">承包人主要施工管理人员必须常驻工地，接受发包人及监理人的考勤，每</w:t>
      </w:r>
      <w:r>
        <w:rPr>
          <w:rFonts w:hint="eastAsia" w:ascii="宋体" w:hAnsi="宋体" w:cs="宋体"/>
          <w:color w:val="auto"/>
          <w:sz w:val="21"/>
          <w:szCs w:val="21"/>
          <w:highlight w:val="none"/>
          <w:u w:val="single"/>
          <w:lang w:eastAsia="zh-CN"/>
        </w:rPr>
        <w:t xml:space="preserve">张工</w:t>
      </w:r>
      <w:r>
        <w:rPr>
          <w:rFonts w:hint="eastAsia" w:ascii="宋体" w:hAnsi="宋体" w:eastAsia="宋体" w:cs="宋体"/>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 向发包人交纳违约金不低于合同价千分之一/人•次，如擅自离开施工现场而未参加工地例会的，向发包人</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01" w:name="_Toc296944498"/>
      <w:r/>
      <w:bookmarkStart w:id="102" w:name="_Toc296891199"/>
      <w:r/>
      <w:bookmarkStart w:id="103" w:name="_Toc300934945"/>
      <w:r/>
      <w:bookmarkStart w:id="104" w:name="_Toc297216151"/>
      <w:r/>
      <w:bookmarkStart w:id="105" w:name="_Toc296503159"/>
      <w:r/>
      <w:bookmarkStart w:id="106" w:name="_Toc292559869"/>
      <w:r/>
      <w:bookmarkStart w:id="107" w:name="_Toc296347158"/>
      <w:r/>
      <w:bookmarkStart w:id="108" w:name="_Toc292559364"/>
      <w:r/>
      <w:bookmarkStart w:id="109" w:name="_Toc312677988"/>
      <w:r/>
      <w:bookmarkStart w:id="110" w:name="_Toc303539102"/>
      <w:r/>
      <w:bookmarkStart w:id="111" w:name="_Toc296890987"/>
      <w:r/>
      <w:bookmarkStart w:id="112" w:name="_Toc297123492"/>
      <w:r/>
      <w:bookmarkStart w:id="113" w:name="_Toc297048345"/>
      <w:r/>
      <w:bookmarkStart w:id="114" w:name="_Toc304295523"/>
      <w:r/>
      <w:bookmarkStart w:id="115" w:name="_Toc296346660"/>
      <w:r/>
      <w:bookmarkStart w:id="116" w:name="_Toc29712045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分包</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17" w:name="_Toc296944499"/>
      <w:r/>
      <w:bookmarkStart w:id="118" w:name="_Toc296503160"/>
      <w:r/>
      <w:bookmarkStart w:id="119" w:name="_Toc292559365"/>
      <w:r/>
      <w:bookmarkStart w:id="120" w:name="_Toc296891200"/>
      <w:r/>
      <w:bookmarkStart w:id="121" w:name="_Toc300934946"/>
      <w:r/>
      <w:bookmarkStart w:id="122" w:name="_Toc297123493"/>
      <w:r/>
      <w:bookmarkStart w:id="123" w:name="_Toc296890988"/>
      <w:r/>
      <w:bookmarkStart w:id="124" w:name="_Toc297048346"/>
      <w:r/>
      <w:bookmarkStart w:id="125" w:name="_Toc297120460"/>
      <w:r/>
      <w:bookmarkStart w:id="126" w:name="_Toc297216152"/>
      <w:r/>
      <w:bookmarkStart w:id="127" w:name="_Toc296347159"/>
      <w:r/>
      <w:bookmarkStart w:id="128" w:name="_Toc303539103"/>
      <w:r/>
      <w:bookmarkStart w:id="129" w:name="_Toc296346661"/>
      <w:r/>
      <w:bookmarkStart w:id="130" w:name="_Toc304295524"/>
      <w:r/>
      <w:bookmarkStart w:id="131" w:name="_Toc292559870"/>
      <w:r/>
      <w:bookmarkStart w:id="132" w:name="_Toc312677989"/>
      <w:r/>
      <w:bookmarkStart w:id="133" w:name="_Toc318581158"/>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分包的一般约定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除发包人允许分包的专业工程外，均为禁止分包的工程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default"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rPr>
        <w:t xml:space="preserve">主体结构、关键性工作的范围</w:t>
      </w:r>
      <w:r>
        <w:rPr>
          <w:rFonts w:hint="eastAsia" w:ascii="宋体" w:hAnsi="宋体" w:cs="宋体"/>
          <w:color w:val="auto"/>
          <w:sz w:val="21"/>
          <w:szCs w:val="21"/>
          <w:highlight w:val="none"/>
          <w:lang w:eastAsia="zh-CN"/>
        </w:rPr>
        <w:t xml:space="preserve">：</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Start w:id="134" w:name="_Toc297048347"/>
      <w:r/>
      <w:bookmarkStart w:id="135" w:name="_Toc296503161"/>
      <w:r/>
      <w:bookmarkStart w:id="136" w:name="_Toc304295525"/>
      <w:r/>
      <w:bookmarkStart w:id="137" w:name="_Toc296891201"/>
      <w:r/>
      <w:bookmarkStart w:id="138" w:name="_Toc303539104"/>
      <w:r/>
      <w:bookmarkStart w:id="139" w:name="_Toc297216153"/>
      <w:r/>
      <w:bookmarkStart w:id="140" w:name="_Toc297120461"/>
      <w:r/>
      <w:bookmarkStart w:id="141" w:name="_Toc297123494"/>
      <w:r/>
      <w:bookmarkStart w:id="142" w:name="_Toc296944500"/>
      <w:r/>
      <w:bookmarkStart w:id="143" w:name="_Toc296347160"/>
      <w:r/>
      <w:bookmarkStart w:id="144" w:name="_Toc296890989"/>
      <w:r/>
      <w:bookmarkStart w:id="145" w:name="_Toc300934947"/>
      <w:r/>
      <w:bookmarkStart w:id="146" w:name="_Toc296346662"/>
      <w:r>
        <w:rPr>
          <w:rFonts w:hint="eastAsia" w:ascii="宋体" w:hAnsi="宋体" w:cs="宋体"/>
          <w:color w:val="auto"/>
          <w:sz w:val="21"/>
          <w:szCs w:val="21"/>
          <w:highlight w:val="none"/>
          <w:u w:val="single"/>
          <w:lang w:val="en-US" w:eastAsia="zh-CN"/>
        </w:rPr>
        <w:t xml:space="preserve"> /  </w:t>
      </w:r>
      <w:r>
        <w:rPr>
          <w:rFonts w:hint="eastAsia" w:ascii="宋体" w:hAnsi="宋体" w:cs="宋体"/>
          <w:color w:val="auto"/>
          <w:sz w:val="21"/>
          <w:szCs w:val="21"/>
          <w:highlight w:val="none"/>
          <w:u w:val="none"/>
          <w:lang w:val="en-US" w:eastAsia="zh-CN"/>
        </w:rPr>
        <w:t xml:space="preserve">。</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47" w:name="_Toc312677990"/>
      <w:r/>
      <w:bookmarkStart w:id="148" w:name="_Toc31858115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.2分包的确定</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分包合同价款</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cs="宋体"/>
          <w:color w:val="auto"/>
          <w:sz w:val="21"/>
          <w:szCs w:val="21"/>
          <w:highlight w:val="none"/>
          <w:lang w:eastAsia="zh-CN"/>
        </w:rPr>
        <w:t xml:space="preserve">：</w:t>
      </w:r>
      <w:bookmarkEnd w:id="147"/>
      <w:r/>
      <w:bookmarkEnd w:id="14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工程照管与成品、半成品保护</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以合同签订日期与承包人进场日期先到者为起始时间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履约担保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提供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w:t>
      </w:r>
      <w:r>
        <w:rPr>
          <w:rFonts w:hint="eastAsia" w:ascii="宋体" w:hAnsi="宋体" w:eastAsia="宋体" w:cs="宋体"/>
          <w:color w:val="auto"/>
          <w:sz w:val="21"/>
          <w:szCs w:val="21"/>
          <w:highlight w:val="none"/>
          <w:lang w:eastAsia="zh-CN"/>
        </w:rPr>
        <w:t xml:space="preserve">期限</w:t>
      </w:r>
      <w:r>
        <w:rPr>
          <w:rFonts w:hint="eastAsia" w:ascii="宋体" w:hAnsi="宋体" w:eastAsia="宋体" w:cs="宋体"/>
          <w:color w:val="auto"/>
          <w:sz w:val="21"/>
          <w:szCs w:val="21"/>
          <w:highlight w:val="none"/>
        </w:rPr>
        <w:t xml:space="preserve">：</w:t>
      </w:r>
      <w:bookmarkStart w:id="149" w:name="_Toc351203636"/>
      <w:r/>
      <w:r/>
    </w:p>
    <w:p>
      <w:pPr>
        <w:ind w:left="0" w:firstLine="420"/>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①合同签订前</w:t>
      </w:r>
      <w:r>
        <w:rPr>
          <w:rFonts w:hint="eastAsia" w:ascii="宋体" w:hAnsi="宋体" w:eastAsia="宋体" w:cs="宋体"/>
          <w:color w:val="auto"/>
          <w:sz w:val="21"/>
          <w:szCs w:val="21"/>
          <w:highlight w:val="none"/>
        </w:rPr>
        <w:t xml:space="preserve">承包人</w:t>
      </w:r>
      <w:r>
        <w:rPr>
          <w:rFonts w:hint="eastAsia" w:ascii="宋体" w:hAnsi="宋体" w:eastAsia="宋体" w:cs="宋体"/>
          <w:color w:val="auto"/>
          <w:sz w:val="21"/>
          <w:szCs w:val="21"/>
          <w:highlight w:val="none"/>
          <w:lang w:val="en-US" w:eastAsia="zh-CN"/>
        </w:rPr>
        <w:t xml:space="preserve">向甲方缴纳合同价的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本合同的履约保证金。</w:t>
      </w:r>
      <w:r>
        <w:rPr>
          <w:rFonts w:hint="eastAsia" w:ascii="宋体" w:hAnsi="宋体" w:eastAsia="宋体" w:cs="宋体"/>
          <w:color w:val="auto"/>
          <w:sz w:val="21"/>
          <w:szCs w:val="21"/>
          <w:highlight w:val="none"/>
          <w:lang w:val="en-US" w:eastAsia="zh-CN"/>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承包人提供的履约保证金可以是人民币形式（银行本票、汇票、支票、电汇），或银行保函、担保公司的保证担保或保险公司的保证保险等多种形式。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承包人选取银行保函、担保公司的保证担保或保险公司的保证保险等</w:t>
      </w:r>
      <w:r>
        <w:rPr>
          <w:rFonts w:hint="eastAsia" w:ascii="宋体" w:hAnsi="宋体" w:cs="宋体"/>
          <w:color w:val="auto"/>
          <w:sz w:val="21"/>
          <w:szCs w:val="21"/>
          <w:highlight w:val="none"/>
          <w:lang w:eastAsia="zh-CN"/>
        </w:rPr>
        <w:t xml:space="preserve">形式</w:t>
      </w:r>
      <w:r>
        <w:rPr>
          <w:rFonts w:hint="eastAsia" w:ascii="宋体" w:hAnsi="宋体" w:eastAsia="宋体" w:cs="宋体"/>
          <w:color w:val="auto"/>
          <w:sz w:val="21"/>
          <w:szCs w:val="21"/>
          <w:highlight w:val="none"/>
        </w:rPr>
        <w:t xml:space="preserve">向采购人缴纳的，如保函（担保、保险等）的约定期到期但承包人履约仍未结束的，承包人须进行续保。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未能履行合同规定的义务，</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人有权从履约保证金中取得补偿。</w:t>
      </w:r>
      <w:r/>
    </w:p>
    <w:p>
      <w:pPr>
        <w:ind w:left="0" w:firstLine="42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rPr>
        <w:t xml:space="preserve">履约保证金在合同约定期间内不予退还或者应完全有效，约定期间届满之日起 5个工作日内，</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人应将履约保证金退还</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；逾期退还的，按中国人民银行同期贷款</w:t>
      </w:r>
      <w:r>
        <w:rPr>
          <w:rFonts w:hint="eastAsia" w:ascii="宋体" w:hAnsi="宋体" w:eastAsia="宋体" w:cs="宋体"/>
          <w:color w:val="auto"/>
          <w:sz w:val="21"/>
          <w:szCs w:val="21"/>
          <w:highlight w:val="none"/>
          <w:lang w:eastAsia="zh-CN"/>
        </w:rPr>
        <w:t xml:space="preserve">基准利率</w:t>
      </w:r>
      <w:r>
        <w:rPr>
          <w:rFonts w:hint="eastAsia" w:ascii="宋体" w:hAnsi="宋体" w:eastAsia="宋体" w:cs="宋体"/>
          <w:color w:val="auto"/>
          <w:sz w:val="21"/>
          <w:szCs w:val="21"/>
          <w:highlight w:val="none"/>
        </w:rPr>
        <w:t xml:space="preserve">上浮20%后的利率支付超期资金占用费，但因</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自身原因导致无法及时退还的除外。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rPr>
        <w:t xml:space="preserve">履约保证金在合同约定期间内不予退还</w:t>
      </w:r>
      <w:r>
        <w:rPr>
          <w:rFonts w:hint="eastAsia" w:ascii="宋体" w:hAnsi="宋体" w:eastAsia="宋体" w:cs="宋体"/>
          <w:color w:val="auto"/>
          <w:sz w:val="21"/>
          <w:szCs w:val="21"/>
          <w:highlight w:val="none"/>
          <w:lang w:eastAsia="zh-CN"/>
        </w:rPr>
        <w:t xml:space="preserve">或者</w:t>
      </w:r>
      <w:r>
        <w:rPr>
          <w:rFonts w:hint="eastAsia" w:ascii="宋体" w:hAnsi="宋体" w:eastAsia="宋体" w:cs="宋体"/>
          <w:color w:val="auto"/>
          <w:sz w:val="21"/>
          <w:szCs w:val="21"/>
          <w:highlight w:val="none"/>
        </w:rPr>
        <w:t xml:space="preserve">完全有效，履约保证金在项目验收合格后无息退还给</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w:t>
      </w:r>
      <w:r/>
    </w:p>
    <w:p>
      <w:pPr>
        <w:ind w:left="0" w:firstLine="422"/>
        <w:pageBreakBefore w:val="0"/>
        <w:spacing w:line="38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w:t>
      </w:r>
      <w:bookmarkStart w:id="150" w:name="_Toc296891202"/>
      <w:r/>
      <w:bookmarkStart w:id="151" w:name="_Toc297048348"/>
      <w:r/>
      <w:bookmarkStart w:id="152" w:name="_Toc292559871"/>
      <w:r/>
      <w:bookmarkStart w:id="153" w:name="_Toc296503162"/>
      <w:r/>
      <w:bookmarkStart w:id="154" w:name="_Toc297120462"/>
      <w:r/>
      <w:bookmarkStart w:id="155" w:name="_Toc267251413"/>
      <w:r/>
      <w:bookmarkStart w:id="156" w:name="_Toc292559366"/>
      <w:r/>
      <w:bookmarkStart w:id="157" w:name="_Toc296890990"/>
      <w:r/>
      <w:bookmarkStart w:id="158" w:name="_Toc296347161"/>
      <w:r/>
      <w:bookmarkStart w:id="159" w:name="_Toc296944501"/>
      <w:r/>
      <w:bookmarkStart w:id="160" w:name="_Toc296346663"/>
      <w:r>
        <w:rPr>
          <w:rFonts w:hint="eastAsia" w:ascii="宋体" w:hAnsi="宋体" w:eastAsia="宋体" w:cs="宋体"/>
          <w:b/>
          <w:bCs/>
          <w:color w:val="auto"/>
          <w:sz w:val="21"/>
          <w:szCs w:val="21"/>
          <w:highlight w:val="none"/>
          <w:lang w:eastAsia="zh-CN"/>
        </w:rPr>
        <w:t xml:space="preserve">. 监</w:t>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eastAsia="宋体" w:cs="宋体"/>
          <w:b/>
          <w:bCs/>
          <w:color w:val="auto"/>
          <w:sz w:val="21"/>
          <w:szCs w:val="21"/>
          <w:highlight w:val="none"/>
          <w:lang w:eastAsia="zh-CN"/>
        </w:rPr>
        <w:t xml:space="preserve">理人</w:t>
      </w:r>
      <w:bookmarkEnd w:id="14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商定或确定</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161" w:name="_Toc267251418"/>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62" w:name="_Toc351203637"/>
      <w:r>
        <w:rPr>
          <w:rFonts w:hint="eastAsia" w:ascii="宋体" w:hAnsi="宋体" w:eastAsia="宋体" w:cs="宋体"/>
          <w:color w:val="auto"/>
          <w:sz w:val="21"/>
          <w:szCs w:val="21"/>
          <w:highlight w:val="none"/>
          <w:lang w:eastAsia="zh-CN"/>
        </w:rPr>
        <w:t xml:space="preserve">5</w:t>
      </w:r>
      <w:bookmarkEnd w:id="161"/>
      <w:r/>
      <w:bookmarkStart w:id="163" w:name="_Toc296503163"/>
      <w:r/>
      <w:bookmarkStart w:id="164" w:name="_Toc296944502"/>
      <w:r/>
      <w:bookmarkStart w:id="165" w:name="_Toc292559367"/>
      <w:r/>
      <w:bookmarkStart w:id="166" w:name="_Toc297120463"/>
      <w:r/>
      <w:bookmarkStart w:id="167" w:name="_Toc296891203"/>
      <w:r/>
      <w:bookmarkStart w:id="168" w:name="_Toc296890991"/>
      <w:r/>
      <w:bookmarkStart w:id="169" w:name="_Toc292559872"/>
      <w:r/>
      <w:bookmarkStart w:id="170" w:name="_Toc296347162"/>
      <w:r/>
      <w:bookmarkStart w:id="171" w:name="_Toc296346664"/>
      <w:r/>
      <w:bookmarkStart w:id="172" w:name="_Toc297048349"/>
      <w:r>
        <w:rPr>
          <w:rFonts w:hint="eastAsia" w:ascii="宋体" w:hAnsi="宋体" w:eastAsia="宋体" w:cs="宋体"/>
          <w:color w:val="auto"/>
          <w:sz w:val="21"/>
          <w:szCs w:val="21"/>
          <w:highlight w:val="none"/>
          <w:lang w:eastAsia="zh-CN"/>
        </w:rPr>
        <w:t xml:space="preserve">. 工程质量</w:t>
      </w:r>
      <w:bookmarkEnd w:id="16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173" w:name="_Toc312677997"/>
      <w:r/>
      <w:bookmarkStart w:id="174" w:name="_Toc303539106"/>
      <w:r/>
      <w:bookmarkStart w:id="175" w:name="_Toc297216155"/>
      <w:r/>
      <w:bookmarkStart w:id="176" w:name="_Toc300934949"/>
      <w:r/>
      <w:bookmarkStart w:id="177" w:name="_Toc297123496"/>
      <w:r/>
      <w:bookmarkStart w:id="178" w:name="_Toc318581164"/>
      <w:r/>
      <w:bookmarkStart w:id="179" w:name="_Toc304295527"/>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 满足相关部门的验收标准</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隐蔽工程检查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.2承包人提前通知监理人隐蔽工程检查的期限的约定：</w:t>
      </w:r>
      <w:r>
        <w:rPr>
          <w:rFonts w:hint="eastAsia" w:ascii="宋体" w:hAnsi="宋体" w:eastAsia="宋体" w:cs="宋体"/>
          <w:color w:val="auto"/>
          <w:sz w:val="21"/>
          <w:szCs w:val="21"/>
          <w:highlight w:val="none"/>
          <w:u w:val="single"/>
        </w:rPr>
        <w:t xml:space="preserve"> 承包人应在检查前48小时以书面形式通知监理人检查</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小时。</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0" w:name="_Toc351203638"/>
      <w:r>
        <w:rPr>
          <w:rFonts w:hint="eastAsia" w:ascii="宋体" w:hAnsi="宋体" w:eastAsia="宋体" w:cs="宋体"/>
          <w:color w:val="auto"/>
          <w:sz w:val="21"/>
          <w:szCs w:val="21"/>
          <w:highlight w:val="none"/>
          <w:lang w:eastAsia="zh-CN"/>
        </w:rPr>
        <w:t xml:space="preserve">6. 安全文明施工与环境保护</w:t>
      </w:r>
      <w:bookmarkEnd w:id="180"/>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宋体" w:hAnsi="宋体" w:eastAsia="宋体" w:cs="宋体"/>
          <w:color w:val="auto"/>
          <w:sz w:val="21"/>
          <w:szCs w:val="21"/>
          <w:highlight w:val="none"/>
          <w:u w:val="single"/>
          <w:lang w:eastAsia="zh-CN"/>
        </w:rPr>
        <w:t xml:space="preserve">用包</w:t>
      </w:r>
      <w:r>
        <w:rPr>
          <w:rFonts w:hint="eastAsia" w:ascii="宋体" w:hAnsi="宋体" w:eastAsia="宋体" w:cs="宋体"/>
          <w:color w:val="auto"/>
          <w:sz w:val="21"/>
          <w:szCs w:val="21"/>
          <w:highlight w:val="none"/>
          <w:u w:val="single"/>
        </w:rPr>
        <w:t xml:space="preserve">含在安全文明施工费中。承包人负责施工现场的安全及第三方的人身安全 ，承包人应当遵守工程建设安全生产有关管理规定，严格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宋体" w:hAnsi="宋体" w:eastAsia="宋体" w:cs="宋体"/>
          <w:color w:val="auto"/>
          <w:sz w:val="21"/>
          <w:szCs w:val="21"/>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关于治安保卫的特别约定：</w:t>
      </w:r>
      <w:r>
        <w:rPr>
          <w:rFonts w:hint="eastAsia" w:ascii="宋体" w:hAnsi="宋体" w:eastAsia="宋体" w:cs="宋体"/>
          <w:color w:val="auto"/>
          <w:sz w:val="21"/>
          <w:szCs w:val="21"/>
          <w:highlight w:val="none"/>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承包人须配合发包人、监理人及相关行政主管部门的治安检查工作，按要求提供治安保卫管理相关资料，对检查发现的问题及时整改。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文明施工</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宋体" w:hAnsi="宋体" w:eastAsia="宋体" w:cs="宋体"/>
          <w:color w:val="auto"/>
          <w:sz w:val="21"/>
          <w:szCs w:val="21"/>
          <w:highlight w:val="none"/>
          <w:u w:val="single"/>
          <w:lang w:eastAsia="zh-CN"/>
        </w:rPr>
        <w:t xml:space="preserve">工</w:t>
      </w:r>
      <w:r>
        <w:rPr>
          <w:rFonts w:hint="eastAsia" w:ascii="宋体" w:hAnsi="宋体" w:eastAsia="宋体" w:cs="宋体"/>
          <w:color w:val="auto"/>
          <w:sz w:val="21"/>
          <w:szCs w:val="21"/>
          <w:highlight w:val="none"/>
          <w:u w:val="single"/>
        </w:rPr>
        <w:t xml:space="preserve">地，交工前清理现场达到发包人的要求，并符合发包人和监理人提出的一切文明施工、环境卫生等管理规定；承包人须严格按</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宋体" w:hAnsi="宋体" w:eastAsia="宋体" w:cs="宋体"/>
          <w:color w:val="auto"/>
          <w:sz w:val="21"/>
          <w:szCs w:val="21"/>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宋体" w:hAnsi="宋体" w:eastAsia="宋体" w:cs="宋体"/>
          <w:color w:val="auto"/>
          <w:sz w:val="21"/>
          <w:szCs w:val="21"/>
          <w:highlight w:val="none"/>
          <w:u w:val="single"/>
          <w:lang w:eastAsia="zh-CN"/>
        </w:rPr>
        <w:t xml:space="preserve">及其他</w:t>
      </w:r>
      <w:r>
        <w:rPr>
          <w:rFonts w:hint="eastAsia" w:ascii="宋体" w:hAnsi="宋体" w:eastAsia="宋体" w:cs="宋体"/>
          <w:color w:val="auto"/>
          <w:sz w:val="21"/>
          <w:szCs w:val="21"/>
          <w:highlight w:val="none"/>
          <w:u w:val="single"/>
        </w:rPr>
        <w:t xml:space="preserve">设施等破坏修复费用及管网移</w:t>
      </w:r>
      <w:r>
        <w:rPr>
          <w:rFonts w:hint="eastAsia" w:ascii="宋体" w:hAnsi="宋体" w:eastAsia="宋体" w:cs="宋体"/>
          <w:color w:val="auto"/>
          <w:sz w:val="21"/>
          <w:szCs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关于安全文明施工费支付比例和支付期限的约定：</w:t>
      </w:r>
      <w:r>
        <w:rPr>
          <w:rFonts w:hint="eastAsia" w:ascii="宋体" w:hAnsi="宋体" w:eastAsia="宋体" w:cs="宋体"/>
          <w:color w:val="auto"/>
          <w:sz w:val="21"/>
          <w:szCs w:val="21"/>
          <w:highlight w:val="none"/>
          <w:u w:val="single"/>
        </w:rPr>
        <w:t xml:space="preserve">  按专用合同条款第12.4.1项〔付款周期〕的约定予以支付  </w:t>
      </w:r>
      <w:r>
        <w:rPr>
          <w:rFonts w:hint="eastAsia" w:ascii="宋体" w:hAnsi="宋体" w:eastAsia="宋体" w:cs="宋体"/>
          <w:color w:val="auto"/>
          <w:sz w:val="21"/>
          <w:szCs w:val="21"/>
          <w:highlight w:val="none"/>
        </w:rPr>
        <w:t xml:space="preserve">。</w:t>
      </w:r>
      <w:bookmarkEnd w:id="173"/>
      <w:r/>
      <w:bookmarkEnd w:id="174"/>
      <w:r/>
      <w:bookmarkEnd w:id="175"/>
      <w:r/>
      <w:bookmarkEnd w:id="176"/>
      <w:r/>
      <w:bookmarkEnd w:id="177"/>
      <w:r/>
      <w:bookmarkEnd w:id="178"/>
      <w:r/>
      <w:bookmarkEnd w:id="179"/>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1" w:name="_Toc351203639"/>
      <w:r>
        <w:rPr>
          <w:rFonts w:hint="eastAsia" w:ascii="宋体" w:hAnsi="宋体" w:eastAsia="宋体" w:cs="宋体"/>
          <w:color w:val="auto"/>
          <w:sz w:val="21"/>
          <w:szCs w:val="21"/>
          <w:highlight w:val="none"/>
          <w:lang w:eastAsia="zh-CN"/>
        </w:rPr>
        <w:t xml:space="preserve">7. 工期和进度</w:t>
      </w:r>
      <w:bookmarkEnd w:id="18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rPr>
          <w:rFonts w:hint="eastAsia" w:ascii="宋体" w:hAnsi="宋体" w:eastAsia="宋体" w:cs="宋体"/>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w:t>
      </w:r>
      <w:r>
        <w:rPr>
          <w:rFonts w:hint="eastAsia" w:ascii="宋体" w:hAnsi="宋体" w:eastAsia="宋体" w:cs="宋体"/>
          <w:color w:val="auto"/>
          <w:sz w:val="21"/>
          <w:szCs w:val="21"/>
          <w:highlight w:val="none"/>
        </w:rPr>
        <w:t xml:space="preserve">施工组织设计的提交和修改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82" w:name="_Toc312678005"/>
      <w:r/>
      <w:bookmarkStart w:id="183" w:name="_Toc297123514"/>
      <w:r/>
      <w:bookmarkStart w:id="184" w:name="_Toc297216173"/>
      <w:r/>
      <w:bookmarkStart w:id="185" w:name="_Toc312677479"/>
      <w:r/>
      <w:bookmarkStart w:id="186" w:name="_Toc300934966"/>
      <w:r/>
      <w:bookmarkStart w:id="187" w:name="_Toc304295541"/>
      <w:r/>
      <w:bookmarkStart w:id="188" w:name="_Toc303539123"/>
      <w:r>
        <w:rPr>
          <w:rFonts w:hint="eastAsia" w:ascii="宋体" w:hAnsi="宋体" w:eastAsia="宋体" w:cs="宋体"/>
          <w:color w:val="auto"/>
          <w:sz w:val="21"/>
          <w:szCs w:val="21"/>
          <w:highlight w:val="none"/>
        </w:rPr>
        <w:t xml:space="preserve">.2 施工进度计划</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施工进度计划的修订</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天内发出开工通知的，承包人有权提出价格调整要求，或者解除合同。</w:t>
      </w:r>
      <w:bookmarkEnd w:id="182"/>
      <w:r/>
      <w:bookmarkEnd w:id="183"/>
      <w:r/>
      <w:bookmarkEnd w:id="184"/>
      <w:r/>
      <w:bookmarkEnd w:id="185"/>
      <w:r/>
      <w:bookmarkEnd w:id="186"/>
      <w:r/>
      <w:bookmarkEnd w:id="187"/>
      <w:r/>
      <w:bookmarkEnd w:id="18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89" w:name="_Toc312677484"/>
      <w:r/>
      <w:bookmarkStart w:id="190" w:name="_Toc303539125"/>
      <w:r/>
      <w:bookmarkStart w:id="191" w:name="_Toc297216175"/>
      <w:r/>
      <w:bookmarkStart w:id="192" w:name="_Toc312678010"/>
      <w:r/>
      <w:bookmarkStart w:id="193" w:name="_Toc304295546"/>
      <w:r/>
      <w:bookmarkStart w:id="194" w:name="_Toc300934968"/>
      <w:r/>
      <w:bookmarkStart w:id="195" w:name="_Toc297123516"/>
      <w:r>
        <w:rPr>
          <w:rFonts w:hint="eastAsia" w:ascii="宋体" w:hAnsi="宋体" w:eastAsia="宋体" w:cs="宋体"/>
          <w:color w:val="auto"/>
          <w:sz w:val="21"/>
          <w:szCs w:val="21"/>
          <w:highlight w:val="none"/>
        </w:rPr>
        <w:t xml:space="preserve">.5 工期延误</w:t>
      </w:r>
      <w:bookmarkEnd w:id="189"/>
      <w:r/>
      <w:bookmarkEnd w:id="190"/>
      <w:r/>
      <w:bookmarkEnd w:id="191"/>
      <w:r/>
      <w:bookmarkEnd w:id="192"/>
      <w:r/>
      <w:bookmarkEnd w:id="193"/>
      <w:r/>
      <w:bookmarkEnd w:id="194"/>
      <w:r/>
      <w:bookmarkEnd w:id="19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96" w:name="_Toc318581169"/>
      <w:r/>
      <w:bookmarkStart w:id="197" w:name="_Toc312677486"/>
      <w:r/>
      <w:bookmarkStart w:id="198" w:name="_Toc312678012"/>
      <w:r/>
      <w:bookmarkStart w:id="199" w:name="_Toc304295548"/>
      <w:r/>
      <w:bookmarkStart w:id="200" w:name="_Toc297123518"/>
      <w:r/>
      <w:bookmarkStart w:id="201" w:name="_Toc297216177"/>
      <w:r/>
      <w:bookmarkStart w:id="202" w:name="_Toc303539127"/>
      <w:r/>
      <w:bookmarkStart w:id="203" w:name="_Toc300934970"/>
      <w:r>
        <w:rPr>
          <w:rFonts w:hint="eastAsia" w:ascii="宋体" w:hAnsi="宋体" w:eastAsia="宋体" w:cs="宋体"/>
          <w:color w:val="auto"/>
          <w:sz w:val="21"/>
          <w:szCs w:val="21"/>
          <w:highlight w:val="none"/>
        </w:rPr>
        <w:t xml:space="preserve">.5.2 因承包人原因导致工期延误</w:t>
      </w:r>
      <w:bookmarkEnd w:id="196"/>
      <w:r/>
      <w:bookmarkEnd w:id="197"/>
      <w:r/>
      <w:bookmarkEnd w:id="19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04" w:name="_Toc312677487"/>
      <w:r/>
      <w:bookmarkStart w:id="205" w:name="_Toc312678013"/>
      <w:r/>
      <w:bookmarkStart w:id="206"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承包人向发包人支付2000元/天的违约金 </w:t>
      </w:r>
      <w:r>
        <w:rPr>
          <w:rFonts w:hint="eastAsia" w:ascii="宋体" w:hAnsi="宋体" w:eastAsia="宋体" w:cs="宋体"/>
          <w:color w:val="auto"/>
          <w:sz w:val="21"/>
          <w:szCs w:val="21"/>
          <w:highlight w:val="none"/>
        </w:rPr>
        <w:t xml:space="preserve">。</w:t>
      </w:r>
      <w:bookmarkEnd w:id="199"/>
      <w:r/>
      <w:bookmarkEnd w:id="200"/>
      <w:r/>
      <w:bookmarkEnd w:id="201"/>
      <w:r/>
      <w:bookmarkEnd w:id="202"/>
      <w:r/>
      <w:bookmarkEnd w:id="203"/>
      <w:r/>
      <w:bookmarkEnd w:id="204"/>
      <w:r/>
      <w:bookmarkEnd w:id="205"/>
      <w:r/>
      <w:bookmarkEnd w:id="20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207" w:name="_Toc318581171"/>
      <w:r/>
      <w:bookmarkStart w:id="208"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lang w:val="en-US" w:eastAsia="zh-CN"/>
        </w:rPr>
        <w:t xml:space="preserve">合同总价20%的违约金</w:t>
      </w:r>
      <w:r>
        <w:rPr>
          <w:rFonts w:hint="eastAsia" w:ascii="宋体" w:hAnsi="宋体" w:eastAsia="宋体" w:cs="宋体"/>
          <w:color w:val="auto"/>
          <w:sz w:val="21"/>
          <w:szCs w:val="21"/>
          <w:highlight w:val="none"/>
        </w:rPr>
        <w:t xml:space="preserve">。</w:t>
      </w:r>
      <w:bookmarkEnd w:id="207"/>
      <w:r/>
      <w:bookmarkEnd w:id="20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09" w:name="_Toc300934971"/>
      <w:r/>
      <w:bookmarkStart w:id="210" w:name="_Toc297216178"/>
      <w:r/>
      <w:bookmarkStart w:id="211" w:name="_Toc303539128"/>
      <w:r/>
      <w:bookmarkStart w:id="212" w:name="_Toc312678015"/>
      <w:r/>
      <w:bookmarkStart w:id="213" w:name="_Toc297123519"/>
      <w:r/>
      <w:bookmarkStart w:id="214" w:name="_Toc304295549"/>
      <w:r>
        <w:rPr>
          <w:rFonts w:hint="eastAsia" w:ascii="宋体" w:hAnsi="宋体" w:eastAsia="宋体" w:cs="宋体"/>
          <w:color w:val="auto"/>
          <w:sz w:val="21"/>
          <w:szCs w:val="21"/>
          <w:highlight w:val="none"/>
        </w:rPr>
        <w:t xml:space="preserve">.6 不</w:t>
      </w:r>
      <w:bookmarkEnd w:id="209"/>
      <w:r/>
      <w:bookmarkEnd w:id="210"/>
      <w:r/>
      <w:bookmarkEnd w:id="211"/>
      <w:r/>
      <w:bookmarkEnd w:id="212"/>
      <w:r/>
      <w:bookmarkEnd w:id="213"/>
      <w:r/>
      <w:bookmarkEnd w:id="214"/>
      <w:r>
        <w:rPr>
          <w:rFonts w:hint="eastAsia" w:ascii="宋体" w:hAnsi="宋体" w:eastAsia="宋体" w:cs="宋体"/>
          <w:color w:val="auto"/>
          <w:sz w:val="21"/>
          <w:szCs w:val="21"/>
          <w:highlight w:val="none"/>
        </w:rPr>
        <w:t xml:space="preserve">利物质条件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215" w:name="_Toc303539129"/>
      <w:r/>
      <w:bookmarkStart w:id="216" w:name="_Toc312678016"/>
      <w:r/>
      <w:bookmarkStart w:id="217" w:name="_Toc318581172"/>
      <w:r/>
      <w:bookmarkStart w:id="218" w:name="_Toc300934972"/>
      <w:r/>
      <w:bookmarkStart w:id="219" w:name="_Toc304295550"/>
      <w:r/>
      <w:bookmarkStart w:id="220" w:name="_Toc297123520"/>
      <w:r/>
      <w:bookmarkStart w:id="221" w:name="_Toc297216179"/>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lang w:eastAsia="zh-CN"/>
        </w:rPr>
        <w:t xml:space="preserve">：</w:t>
      </w:r>
      <w:bookmarkEnd w:id="215"/>
      <w:r/>
      <w:bookmarkEnd w:id="216"/>
      <w:r/>
      <w:bookmarkEnd w:id="217"/>
      <w:r/>
      <w:bookmarkEnd w:id="218"/>
      <w:r/>
      <w:bookmarkEnd w:id="219"/>
      <w:r/>
      <w:bookmarkEnd w:id="220"/>
      <w:r/>
      <w:bookmarkEnd w:id="22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22" w:name="_Toc304295551"/>
      <w:r/>
      <w:bookmarkStart w:id="223" w:name="_Toc300934973"/>
      <w:r/>
      <w:bookmarkStart w:id="224" w:name="_Toc297216180"/>
      <w:r/>
      <w:bookmarkStart w:id="225" w:name="_Toc297123521"/>
      <w:r/>
      <w:bookmarkStart w:id="226" w:name="_Toc312678017"/>
      <w:r/>
      <w:bookmarkStart w:id="227" w:name="_Toc303539130"/>
      <w:r>
        <w:rPr>
          <w:rFonts w:hint="eastAsia" w:ascii="宋体" w:hAnsi="宋体" w:eastAsia="宋体" w:cs="宋体"/>
          <w:color w:val="auto"/>
          <w:sz w:val="21"/>
          <w:szCs w:val="21"/>
          <w:highlight w:val="none"/>
        </w:rPr>
        <w:t xml:space="preserve">.7异常恶劣的气候条件</w:t>
      </w:r>
      <w:bookmarkEnd w:id="222"/>
      <w:r/>
      <w:bookmarkEnd w:id="223"/>
      <w:r/>
      <w:bookmarkEnd w:id="224"/>
      <w:r/>
      <w:bookmarkEnd w:id="225"/>
      <w:r/>
      <w:bookmarkEnd w:id="226"/>
      <w:r/>
      <w:bookmarkEnd w:id="22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28" w:name="_Toc25312"/>
      <w:r/>
      <w:bookmarkStart w:id="229" w:name="_Toc20730"/>
      <w:r>
        <w:rPr>
          <w:rFonts w:hint="eastAsia" w:ascii="宋体" w:hAnsi="宋体" w:eastAsia="宋体" w:cs="宋体"/>
          <w:color w:val="auto"/>
          <w:sz w:val="21"/>
          <w:szCs w:val="21"/>
          <w:highlight w:val="none"/>
          <w:u w:val="single"/>
          <w:lang w:val="en-US" w:eastAsia="zh-CN"/>
        </w:rPr>
        <w:t xml:space="preserve">（1）日降雨量大于100㎜的雨日超过3天；</w:t>
      </w:r>
      <w:bookmarkEnd w:id="228"/>
      <w:r/>
      <w:bookmarkEnd w:id="229"/>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0" w:name="_Toc22806"/>
      <w:r/>
      <w:bookmarkStart w:id="231" w:name="_Toc14181"/>
      <w:r>
        <w:rPr>
          <w:rFonts w:hint="eastAsia" w:ascii="宋体" w:hAnsi="宋体" w:eastAsia="宋体" w:cs="宋体"/>
          <w:color w:val="auto"/>
          <w:sz w:val="21"/>
          <w:szCs w:val="21"/>
          <w:highlight w:val="none"/>
          <w:u w:val="single"/>
          <w:lang w:val="en-US" w:eastAsia="zh-CN"/>
        </w:rPr>
        <w:t xml:space="preserve">（2）风速大于17.2m/s的8级以上台风灾害；</w:t>
      </w:r>
      <w:bookmarkEnd w:id="230"/>
      <w:r/>
      <w:bookmarkEnd w:id="231"/>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2" w:name="_Toc9464"/>
      <w:r/>
      <w:bookmarkStart w:id="233" w:name="_Toc2784"/>
      <w:r>
        <w:rPr>
          <w:rFonts w:hint="eastAsia" w:ascii="宋体" w:hAnsi="宋体" w:eastAsia="宋体" w:cs="宋体"/>
          <w:color w:val="auto"/>
          <w:sz w:val="21"/>
          <w:szCs w:val="21"/>
          <w:highlight w:val="none"/>
          <w:u w:val="single"/>
          <w:lang w:val="en-US" w:eastAsia="zh-CN"/>
        </w:rPr>
        <w:t xml:space="preserve">（3）日气温超过37℃的高温大于3天或日气温超过35℃的高温连续5天及以上；</w:t>
      </w:r>
      <w:bookmarkEnd w:id="232"/>
      <w:r/>
      <w:bookmarkEnd w:id="233"/>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4" w:name="_Toc12653"/>
      <w:r/>
      <w:bookmarkStart w:id="235" w:name="_Toc14197"/>
      <w:r>
        <w:rPr>
          <w:rFonts w:hint="eastAsia" w:ascii="宋体" w:hAnsi="宋体" w:eastAsia="宋体" w:cs="宋体"/>
          <w:color w:val="auto"/>
          <w:sz w:val="21"/>
          <w:szCs w:val="21"/>
          <w:highlight w:val="none"/>
          <w:u w:val="single"/>
          <w:lang w:val="en-US" w:eastAsia="zh-CN"/>
        </w:rPr>
        <w:t xml:space="preserve">（4）日气温低于―10℃ 的大寒大于3天；</w:t>
      </w:r>
      <w:bookmarkEnd w:id="234"/>
      <w:r/>
      <w:bookmarkEnd w:id="235"/>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6" w:name="_Toc24184"/>
      <w:r/>
      <w:bookmarkStart w:id="237" w:name="_Toc30033"/>
      <w:r>
        <w:rPr>
          <w:rFonts w:hint="eastAsia" w:ascii="宋体" w:hAnsi="宋体" w:eastAsia="宋体" w:cs="宋体"/>
          <w:color w:val="auto"/>
          <w:sz w:val="21"/>
          <w:szCs w:val="21"/>
          <w:highlight w:val="none"/>
          <w:u w:val="single"/>
          <w:lang w:val="en-US" w:eastAsia="zh-CN"/>
        </w:rPr>
        <w:t xml:space="preserve">（5）造成工程损坏的冰雹和大雪灾害：日降雪量10㎜及以上；</w:t>
      </w:r>
      <w:bookmarkEnd w:id="236"/>
      <w:r/>
      <w:bookmarkEnd w:id="237"/>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8" w:name="_Toc1784"/>
      <w:r/>
      <w:bookmarkStart w:id="239" w:name="_Toc14325"/>
      <w:r>
        <w:rPr>
          <w:rFonts w:hint="eastAsia" w:ascii="宋体" w:hAnsi="宋体" w:eastAsia="宋体" w:cs="宋体"/>
          <w:color w:val="auto"/>
          <w:sz w:val="21"/>
          <w:szCs w:val="21"/>
          <w:highlight w:val="none"/>
          <w:u w:val="single"/>
          <w:lang w:val="en-US" w:eastAsia="zh-CN"/>
        </w:rPr>
        <w:t xml:space="preserve">（6）其他异常恶劣气候灾害 。</w:t>
      </w:r>
      <w:bookmarkEnd w:id="238"/>
      <w:r/>
      <w:bookmarkEnd w:id="239"/>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40" w:name="_Toc11964"/>
      <w:r/>
      <w:bookmarkStart w:id="241" w:name="_Toc406"/>
      <w:r>
        <w:rPr>
          <w:rFonts w:hint="eastAsia" w:ascii="宋体" w:hAnsi="宋体" w:eastAsia="宋体" w:cs="宋体"/>
          <w:color w:val="auto"/>
          <w:sz w:val="21"/>
          <w:szCs w:val="21"/>
          <w:highlight w:val="none"/>
          <w:u w:val="single"/>
          <w:lang w:val="en-US" w:eastAsia="zh-CN"/>
        </w:rPr>
        <w:t xml:space="preserve">注：均以气象部门公布的为准。</w:t>
      </w:r>
      <w:bookmarkEnd w:id="240"/>
      <w:r/>
      <w:bookmarkEnd w:id="241"/>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提前竣工的奖励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.2提前竣工的奖励</w:t>
      </w:r>
      <w:r>
        <w:rPr>
          <w:rFonts w:hint="eastAsia" w:ascii="宋体" w:hAnsi="宋体" w:cs="宋体"/>
          <w:color w:val="auto"/>
          <w:sz w:val="21"/>
          <w:szCs w:val="21"/>
          <w:highlight w:val="none"/>
          <w:lang w:eastAsia="zh-CN"/>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42" w:name="_Toc351203640"/>
      <w:r>
        <w:rPr>
          <w:rFonts w:hint="eastAsia" w:ascii="宋体" w:hAnsi="宋体" w:eastAsia="宋体" w:cs="宋体"/>
          <w:color w:val="auto"/>
          <w:sz w:val="21"/>
          <w:szCs w:val="21"/>
          <w:highlight w:val="none"/>
          <w:lang w:eastAsia="zh-CN"/>
        </w:rPr>
        <w:t xml:space="preserve">8. 材料与设备</w:t>
      </w:r>
      <w:bookmarkEnd w:id="242"/>
      <w:r/>
      <w:bookmarkEnd w:id="163"/>
      <w:r/>
      <w:bookmarkEnd w:id="164"/>
      <w:r/>
      <w:bookmarkEnd w:id="165"/>
      <w:r/>
      <w:bookmarkEnd w:id="166"/>
      <w:r/>
      <w:bookmarkEnd w:id="167"/>
      <w:r/>
      <w:bookmarkEnd w:id="168"/>
      <w:r/>
      <w:bookmarkEnd w:id="169"/>
      <w:r/>
      <w:bookmarkEnd w:id="170"/>
      <w:r/>
      <w:bookmarkEnd w:id="171"/>
      <w:r/>
      <w:bookmarkEnd w:id="17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43" w:name="_Toc297120467"/>
      <w:r/>
      <w:bookmarkStart w:id="244" w:name="_Toc303539136"/>
      <w:r/>
      <w:bookmarkStart w:id="245" w:name="_Toc296503167"/>
      <w:r/>
      <w:bookmarkStart w:id="246" w:name="_Toc297216186"/>
      <w:r/>
      <w:bookmarkStart w:id="247" w:name="_Toc292559372"/>
      <w:r/>
      <w:bookmarkStart w:id="248" w:name="_Toc312678019"/>
      <w:r/>
      <w:bookmarkStart w:id="249" w:name="_Toc296944506"/>
      <w:r/>
      <w:bookmarkStart w:id="250" w:name="_Toc312677493"/>
      <w:r/>
      <w:bookmarkStart w:id="251" w:name="_Toc296890995"/>
      <w:r/>
      <w:bookmarkStart w:id="252" w:name="_Toc280868654"/>
      <w:r/>
      <w:bookmarkStart w:id="253" w:name="_Toc304295556"/>
      <w:r/>
      <w:bookmarkStart w:id="254" w:name="_Toc296347166"/>
      <w:r/>
      <w:bookmarkStart w:id="255" w:name="_Toc297048353"/>
      <w:r/>
      <w:bookmarkStart w:id="256" w:name="_Toc297123527"/>
      <w:r/>
      <w:bookmarkStart w:id="257" w:name="_Toc296891207"/>
      <w:r/>
      <w:bookmarkStart w:id="258" w:name="_Toc296346668"/>
      <w:r/>
      <w:bookmarkStart w:id="259" w:name="_Toc300934979"/>
      <w:r/>
      <w:bookmarkStart w:id="260" w:name="_Toc292559877"/>
      <w:r/>
      <w:bookmarkStart w:id="261" w:name="_Toc267251424"/>
      <w:r/>
      <w:bookmarkStart w:id="262" w:name="_Toc280868655"/>
      <w:r/>
      <w:bookmarkStart w:id="263" w:name="_Toc280868656"/>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材料与工程设备的保管与使用</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64" w:name="_Toc292559878"/>
      <w:r/>
      <w:bookmarkStart w:id="265" w:name="_Toc292559373"/>
      <w:r/>
      <w:bookmarkStart w:id="266" w:name="_Toc297123528"/>
      <w:r/>
      <w:bookmarkStart w:id="267" w:name="_Toc297120468"/>
      <w:r/>
      <w:bookmarkStart w:id="268" w:name="_Toc296346669"/>
      <w:r/>
      <w:bookmarkStart w:id="269" w:name="_Toc300934980"/>
      <w:r/>
      <w:bookmarkStart w:id="270" w:name="_Toc304295557"/>
      <w:r/>
      <w:bookmarkStart w:id="271" w:name="_Toc296944507"/>
      <w:r/>
      <w:bookmarkStart w:id="272" w:name="_Toc296890996"/>
      <w:r/>
      <w:bookmarkStart w:id="273" w:name="_Toc296503168"/>
      <w:r/>
      <w:bookmarkStart w:id="274" w:name="_Toc303539137"/>
      <w:r/>
      <w:bookmarkStart w:id="275" w:name="_Toc297048354"/>
      <w:r/>
      <w:bookmarkStart w:id="276" w:name="_Toc297216187"/>
      <w:r/>
      <w:bookmarkStart w:id="277" w:name="_Toc318581173"/>
      <w:r/>
      <w:bookmarkStart w:id="278" w:name="_Toc296347167"/>
      <w:r/>
      <w:bookmarkStart w:id="279" w:name="_Toc312678020"/>
      <w:r/>
      <w:bookmarkStart w:id="280" w:name="_Toc312677494"/>
      <w:r/>
      <w:bookmarkStart w:id="281" w:name="_Toc296891208"/>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.1发包人供应的材料设备的保管费用的承担：</w:t>
      </w:r>
      <w:r>
        <w:rPr>
          <w:rFonts w:hint="eastAsia" w:ascii="宋体" w:hAnsi="宋体" w:eastAsia="宋体" w:cs="宋体"/>
          <w:color w:val="auto"/>
          <w:sz w:val="21"/>
          <w:szCs w:val="21"/>
          <w:highlight w:val="none"/>
          <w:u w:val="single"/>
        </w:rPr>
        <w:t xml:space="preserve">承包人在投标时已综合考虑，已包含在发包价内，发包人不再额外予以补偿</w:t>
      </w:r>
      <w:r>
        <w:rPr>
          <w:rFonts w:hint="eastAsia" w:ascii="宋体" w:hAnsi="宋体" w:eastAsia="宋体" w:cs="宋体"/>
          <w:color w:val="auto"/>
          <w:sz w:val="21"/>
          <w:szCs w:val="21"/>
          <w:highlight w:val="none"/>
        </w:rPr>
        <w:t xml:space="preserve">。</w:t>
      </w:r>
      <w:bookmarkEnd w:id="264"/>
      <w:r/>
      <w:bookmarkEnd w:id="2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样品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.1样品的报送与封存</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按有关规定和发包人要求执行。</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（3）承包人应在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中明确材料或设备所选的品牌、厂家，如果承包人在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中没有明确选用何种品牌，发包人可以指定其他任一品牌厂家，且合同价格不予调整；</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（5）发包人有权对承包人的材料采购环节进行监控，对此承包人不得拒绝。相关风险承包人在投标时需综合考虑，已包含在发包价内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承包人提供的施工设备和临时设施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费用由中标单位承担 </w:t>
      </w:r>
      <w:r>
        <w:rPr>
          <w:rFonts w:hint="eastAsia" w:ascii="宋体" w:hAnsi="宋体" w:eastAsia="宋体" w:cs="宋体"/>
          <w:color w:val="auto"/>
          <w:sz w:val="21"/>
          <w:szCs w:val="21"/>
          <w:highlight w:val="none"/>
        </w:rPr>
        <w:t xml:space="preserve">。</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82" w:name="_Toc351203641"/>
      <w:r>
        <w:rPr>
          <w:rFonts w:hint="eastAsia" w:ascii="宋体" w:hAnsi="宋体" w:eastAsia="宋体" w:cs="宋体"/>
          <w:color w:val="auto"/>
          <w:sz w:val="21"/>
          <w:szCs w:val="21"/>
          <w:highlight w:val="none"/>
          <w:lang w:eastAsia="zh-CN"/>
        </w:rPr>
        <w:t xml:space="preserve">9</w:t>
      </w:r>
      <w:bookmarkEnd w:id="261"/>
      <w:r/>
      <w:bookmarkEnd w:id="262"/>
      <w:r/>
      <w:bookmarkEnd w:id="263"/>
      <w:r/>
      <w:bookmarkStart w:id="283" w:name="_Toc303539139"/>
      <w:r/>
      <w:bookmarkStart w:id="284" w:name="_Toc312678021"/>
      <w:r/>
      <w:bookmarkStart w:id="285" w:name="_Toc312677495"/>
      <w:r/>
      <w:bookmarkStart w:id="286" w:name="_Toc300934982"/>
      <w:r/>
      <w:bookmarkStart w:id="287" w:name="_Toc297123533"/>
      <w:r/>
      <w:bookmarkStart w:id="288" w:name="_Toc297216192"/>
      <w:r/>
      <w:bookmarkStart w:id="289" w:name="_Toc304295559"/>
      <w:r/>
      <w:bookmarkStart w:id="290" w:name="_Toc296891213"/>
      <w:r/>
      <w:bookmarkStart w:id="291" w:name="_Toc297048359"/>
      <w:r/>
      <w:bookmarkStart w:id="292" w:name="_Toc296891001"/>
      <w:r/>
      <w:bookmarkStart w:id="293" w:name="_Toc292559378"/>
      <w:r/>
      <w:bookmarkStart w:id="294" w:name="_Toc267251427"/>
      <w:r/>
      <w:bookmarkStart w:id="295" w:name="_Toc292559883"/>
      <w:r/>
      <w:bookmarkStart w:id="296" w:name="_Toc296944512"/>
      <w:r/>
      <w:bookmarkStart w:id="297" w:name="_Toc296346674"/>
      <w:r/>
      <w:bookmarkStart w:id="298" w:name="_Toc296503173"/>
      <w:r/>
      <w:bookmarkStart w:id="299" w:name="_Toc267251428"/>
      <w:r/>
      <w:bookmarkStart w:id="300" w:name="_Toc297120473"/>
      <w:r/>
      <w:bookmarkStart w:id="301" w:name="_Toc296347172"/>
      <w:r>
        <w:rPr>
          <w:rFonts w:hint="eastAsia" w:ascii="宋体" w:hAnsi="宋体" w:eastAsia="宋体" w:cs="宋体"/>
          <w:color w:val="auto"/>
          <w:sz w:val="21"/>
          <w:szCs w:val="21"/>
          <w:highlight w:val="none"/>
          <w:lang w:eastAsia="zh-CN"/>
        </w:rPr>
        <w:t xml:space="preserve">. 试验与检验</w:t>
      </w:r>
      <w:bookmarkEnd w:id="282"/>
      <w:r/>
      <w:bookmarkEnd w:id="283"/>
      <w:r/>
      <w:bookmarkEnd w:id="284"/>
      <w:r/>
      <w:bookmarkEnd w:id="285"/>
      <w:r/>
      <w:bookmarkEnd w:id="286"/>
      <w:r/>
      <w:bookmarkEnd w:id="287"/>
      <w:r/>
      <w:bookmarkEnd w:id="288"/>
      <w:r/>
      <w:bookmarkEnd w:id="28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02" w:name="_Toc312677496"/>
      <w:r/>
      <w:bookmarkStart w:id="303" w:name="_Toc297216193"/>
      <w:r/>
      <w:bookmarkStart w:id="304" w:name="_Toc304295560"/>
      <w:r/>
      <w:bookmarkStart w:id="305" w:name="_Toc297123534"/>
      <w:r/>
      <w:bookmarkStart w:id="306" w:name="_Toc303539140"/>
      <w:r/>
      <w:bookmarkStart w:id="307" w:name="_Toc300934983"/>
      <w:r/>
      <w:bookmarkStart w:id="308" w:name="_Toc312678022"/>
      <w:r>
        <w:rPr>
          <w:rFonts w:hint="eastAsia" w:ascii="宋体" w:hAnsi="宋体" w:eastAsia="宋体" w:cs="宋体"/>
          <w:color w:val="auto"/>
          <w:sz w:val="21"/>
          <w:szCs w:val="21"/>
          <w:highlight w:val="none"/>
        </w:rPr>
        <w:t xml:space="preserve">.1试验设备与试验人员</w:t>
      </w:r>
      <w:bookmarkEnd w:id="302"/>
      <w:r/>
      <w:bookmarkEnd w:id="303"/>
      <w:r/>
      <w:bookmarkEnd w:id="304"/>
      <w:r/>
      <w:bookmarkEnd w:id="305"/>
      <w:r/>
      <w:bookmarkEnd w:id="306"/>
      <w:r/>
      <w:bookmarkEnd w:id="307"/>
      <w:r/>
      <w:bookmarkEnd w:id="30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09" w:name="_Toc297216194"/>
      <w:r/>
      <w:bookmarkStart w:id="310" w:name="_Toc312678023"/>
      <w:r/>
      <w:bookmarkStart w:id="311" w:name="_Toc300934984"/>
      <w:r/>
      <w:bookmarkStart w:id="312" w:name="_Toc318581174"/>
      <w:r/>
      <w:bookmarkStart w:id="313" w:name="_Toc304295561"/>
      <w:r/>
      <w:bookmarkStart w:id="314" w:name="_Toc303539141"/>
      <w:r/>
      <w:bookmarkStart w:id="315" w:name="_Toc312677497"/>
      <w:r/>
      <w:bookmarkStart w:id="316" w:name="_Toc297123535"/>
      <w:r>
        <w:rPr>
          <w:rFonts w:hint="eastAsia" w:ascii="宋体" w:hAnsi="宋体" w:eastAsia="宋体" w:cs="宋体"/>
          <w:color w:val="auto"/>
          <w:sz w:val="21"/>
          <w:szCs w:val="21"/>
          <w:highlight w:val="none"/>
        </w:rPr>
        <w:t xml:space="preserve">.1.2 试验设备</w:t>
      </w:r>
      <w:bookmarkEnd w:id="309"/>
      <w:r/>
      <w:bookmarkEnd w:id="310"/>
      <w:r/>
      <w:bookmarkEnd w:id="311"/>
      <w:r/>
      <w:bookmarkEnd w:id="312"/>
      <w:r/>
      <w:bookmarkEnd w:id="313"/>
      <w:r/>
      <w:bookmarkEnd w:id="314"/>
      <w:r/>
      <w:bookmarkEnd w:id="315"/>
      <w:r/>
      <w:bookmarkEnd w:id="316"/>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bookmarkStart w:id="317" w:name="_Toc351203642"/>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按现行相关规定、质监部门的有关要求及监理</w:t>
      </w:r>
      <w:r>
        <w:rPr>
          <w:rFonts w:hint="eastAsia" w:ascii="宋体" w:hAnsi="宋体" w:eastAsia="宋体" w:cs="宋体"/>
          <w:color w:val="auto"/>
          <w:sz w:val="21"/>
          <w:szCs w:val="21"/>
          <w:highlight w:val="none"/>
          <w:u w:val="single"/>
          <w:lang w:eastAsia="zh-CN"/>
        </w:rPr>
        <w:t xml:space="preserve">人员</w:t>
      </w:r>
      <w:r>
        <w:rPr>
          <w:rFonts w:hint="eastAsia" w:ascii="宋体" w:hAnsi="宋体" w:eastAsia="宋体" w:cs="宋体"/>
          <w:color w:val="auto"/>
          <w:sz w:val="21"/>
          <w:szCs w:val="21"/>
          <w:highlight w:val="none"/>
          <w:u w:val="single"/>
        </w:rPr>
        <w:t xml:space="preserve">指示进行配</w:t>
      </w:r>
      <w:r>
        <w:rPr>
          <w:rFonts w:hint="eastAsia" w:ascii="宋体" w:hAnsi="宋体" w:eastAsia="宋体" w:cs="宋体"/>
          <w:b w:val="0"/>
          <w:bCs w:val="0"/>
          <w:color w:val="auto"/>
          <w:sz w:val="21"/>
          <w:szCs w:val="21"/>
          <w:highlight w:val="none"/>
          <w:u w:val="single"/>
        </w:rPr>
        <w:t xml:space="preserve">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施工现场需要配备的试验设备：</w:t>
      </w:r>
      <w:r>
        <w:rPr>
          <w:rFonts w:hint="eastAsia" w:ascii="宋体" w:hAnsi="宋体" w:eastAsia="宋体" w:cs="宋体"/>
          <w:b w:val="0"/>
          <w:bCs w:val="0"/>
          <w:color w:val="auto"/>
          <w:sz w:val="21"/>
          <w:szCs w:val="21"/>
          <w:highlight w:val="none"/>
          <w:u w:val="single"/>
        </w:rPr>
        <w:t xml:space="preserve">按现行相关规定、质监部门的有关要求及监理</w:t>
      </w:r>
      <w:r>
        <w:rPr>
          <w:rFonts w:hint="eastAsia" w:ascii="宋体" w:hAnsi="宋体" w:eastAsia="宋体" w:cs="宋体"/>
          <w:b w:val="0"/>
          <w:bCs w:val="0"/>
          <w:color w:val="auto"/>
          <w:sz w:val="21"/>
          <w:szCs w:val="21"/>
          <w:highlight w:val="none"/>
          <w:u w:val="single"/>
          <w:lang w:eastAsia="zh-CN"/>
        </w:rPr>
        <w:t xml:space="preserve">人员</w:t>
      </w:r>
      <w:r>
        <w:rPr>
          <w:rFonts w:hint="eastAsia" w:ascii="宋体" w:hAnsi="宋体" w:eastAsia="宋体" w:cs="宋体"/>
          <w:b w:val="0"/>
          <w:bCs w:val="0"/>
          <w:color w:val="auto"/>
          <w:sz w:val="21"/>
          <w:szCs w:val="21"/>
          <w:highlight w:val="none"/>
          <w:u w:val="single"/>
        </w:rPr>
        <w:t xml:space="preserve">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施工现场需要具备的其他试验条件：</w:t>
      </w:r>
      <w:r>
        <w:rPr>
          <w:rFonts w:hint="eastAsia" w:ascii="宋体" w:hAnsi="宋体" w:eastAsia="宋体" w:cs="宋体"/>
          <w:b w:val="0"/>
          <w:bCs w:val="0"/>
          <w:color w:val="auto"/>
          <w:sz w:val="21"/>
          <w:szCs w:val="21"/>
          <w:highlight w:val="none"/>
          <w:u w:val="single"/>
        </w:rPr>
        <w:t xml:space="preserve">按现行相关规定、质监部门的有关要求及监理人指示进行配置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outlineLvl w:val="0"/>
      </w:pPr>
      <w:r/>
      <w:bookmarkStart w:id="318" w:name="_Toc7613"/>
      <w:r/>
      <w:bookmarkStart w:id="319" w:name="_Toc6537"/>
      <w:r>
        <w:rPr>
          <w:rFonts w:hint="eastAsia" w:ascii="宋体" w:hAnsi="宋体" w:eastAsia="宋体" w:cs="宋体"/>
          <w:b w:val="0"/>
          <w:bCs w:val="0"/>
          <w:color w:val="auto"/>
          <w:sz w:val="21"/>
          <w:szCs w:val="21"/>
          <w:highlight w:val="none"/>
        </w:rPr>
        <w:t xml:space="preserve">9.</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 现场工艺试验</w:t>
      </w:r>
      <w:bookmarkEnd w:id="318"/>
      <w:r/>
      <w:bookmarkEnd w:id="319"/>
      <w:r>
        <w:rPr>
          <w:rFonts w:hint="eastAsia" w:ascii="宋体" w:hAnsi="宋体" w:eastAsia="宋体" w:cs="宋体"/>
          <w:b w:val="0"/>
          <w:bCs w:val="0"/>
          <w:color w:val="auto"/>
          <w:sz w:val="21"/>
          <w:szCs w:val="21"/>
          <w:highlight w:val="none"/>
        </w:rPr>
        <w:t xml:space="preserve"> </w:t>
      </w:r>
      <w:r/>
    </w:p>
    <w:p>
      <w:pPr>
        <w:pStyle w:val="936"/>
        <w:ind w:left="0" w:firstLine="420"/>
        <w:pageBreakBefore w:val="0"/>
        <w:spacing w:line="380" w:lineRule="exact"/>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现场工艺试验的有关约定：</w:t>
      </w:r>
      <w:r>
        <w:rPr>
          <w:rFonts w:hint="eastAsia" w:ascii="宋体" w:hAnsi="宋体" w:eastAsia="宋体" w:cs="宋体"/>
          <w:b w:val="0"/>
          <w:bCs w:val="0"/>
          <w:color w:val="auto"/>
          <w:sz w:val="21"/>
          <w:szCs w:val="21"/>
          <w:highlight w:val="none"/>
          <w:u w:val="single"/>
          <w:lang w:val="en-US" w:eastAsia="zh-CN" w:bidi="ar-SA"/>
        </w:rPr>
        <w:t xml:space="preserve">按通用合同条款执行 </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20" w:name="_Toc292559903"/>
      <w:r/>
      <w:bookmarkStart w:id="321" w:name="_Toc297048379"/>
      <w:r/>
      <w:bookmarkStart w:id="322" w:name="_Toc297123540"/>
      <w:r/>
      <w:bookmarkStart w:id="323" w:name="_Toc304295566"/>
      <w:r/>
      <w:bookmarkStart w:id="324" w:name="_Toc296944532"/>
      <w:r/>
      <w:bookmarkStart w:id="325" w:name="_Toc296347192"/>
      <w:r/>
      <w:bookmarkStart w:id="326" w:name="_Toc296503193"/>
      <w:r/>
      <w:bookmarkStart w:id="327" w:name="_Toc296346694"/>
      <w:r/>
      <w:bookmarkStart w:id="328" w:name="_Toc296891233"/>
      <w:r/>
      <w:bookmarkStart w:id="329" w:name="_Toc300934989"/>
      <w:r/>
      <w:bookmarkStart w:id="330" w:name="_Toc296891021"/>
      <w:r/>
      <w:bookmarkStart w:id="331" w:name="_Toc297216199"/>
      <w:r/>
      <w:bookmarkStart w:id="332" w:name="_Toc303539146"/>
      <w:r/>
      <w:bookmarkStart w:id="333" w:name="_Toc297120493"/>
      <w:r/>
      <w:bookmarkStart w:id="334" w:name="_Toc292559398"/>
      <w:r/>
      <w:bookmarkStart w:id="335" w:name="_Toc312677499"/>
      <w:r/>
      <w:bookmarkStart w:id="336" w:name="_Toc312678025"/>
      <w:r/>
      <w:bookmarkStart w:id="337" w:name="_Toc267251440"/>
      <w:r/>
      <w:bookmarkStart w:id="338" w:name="_Toc267251433"/>
      <w:r/>
      <w:bookmarkStart w:id="339" w:name="_Toc267251437"/>
      <w:r/>
      <w:bookmarkStart w:id="340" w:name="_Toc267251435"/>
      <w:r/>
      <w:bookmarkStart w:id="341" w:name="_Toc267251439"/>
      <w:r/>
      <w:bookmarkStart w:id="342" w:name="_Toc267251441"/>
      <w:r/>
      <w:bookmarkStart w:id="343" w:name="_Toc267251442"/>
      <w:r>
        <w:rPr>
          <w:rFonts w:hint="eastAsia" w:ascii="宋体" w:hAnsi="宋体" w:eastAsia="宋体" w:cs="宋体"/>
          <w:color w:val="auto"/>
          <w:sz w:val="21"/>
          <w:szCs w:val="21"/>
          <w:highlight w:val="none"/>
          <w:lang w:eastAsia="zh-CN"/>
        </w:rPr>
        <w:t xml:space="preserve">0. 变更</w:t>
      </w:r>
      <w:bookmarkEnd w:id="317"/>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344" w:name="_Toc303539147"/>
      <w:r/>
      <w:bookmarkStart w:id="345" w:name="_Toc312678026"/>
      <w:r/>
      <w:bookmarkStart w:id="346" w:name="_Toc304295567"/>
      <w:r/>
      <w:bookmarkStart w:id="347" w:name="_Toc296503194"/>
      <w:r/>
      <w:bookmarkStart w:id="348" w:name="_Toc300934990"/>
      <w:r/>
      <w:bookmarkStart w:id="349" w:name="_Toc292559904"/>
      <w:r/>
      <w:bookmarkStart w:id="350" w:name="_Toc297123541"/>
      <w:r/>
      <w:bookmarkStart w:id="351" w:name="_Toc296347193"/>
      <w:r/>
      <w:bookmarkStart w:id="352" w:name="_Toc297048380"/>
      <w:r/>
      <w:bookmarkStart w:id="353" w:name="_Toc296346695"/>
      <w:r/>
      <w:bookmarkStart w:id="354" w:name="_Toc296891234"/>
      <w:r/>
      <w:bookmarkStart w:id="355" w:name="_Toc296944533"/>
      <w:r/>
      <w:bookmarkStart w:id="356" w:name="_Toc312677500"/>
      <w:r/>
      <w:bookmarkStart w:id="357" w:name="_Toc297120494"/>
      <w:r/>
      <w:bookmarkStart w:id="358" w:name="_Toc296891022"/>
      <w:r/>
      <w:bookmarkStart w:id="359" w:name="_Toc292559399"/>
      <w:r/>
      <w:bookmarkStart w:id="360" w:name="_Toc297216200"/>
      <w:r>
        <w:rPr>
          <w:rFonts w:hint="eastAsia" w:ascii="宋体" w:hAnsi="宋体" w:eastAsia="宋体" w:cs="宋体"/>
          <w:color w:val="auto"/>
          <w:sz w:val="21"/>
          <w:szCs w:val="21"/>
          <w:highlight w:val="none"/>
        </w:rPr>
        <w:t xml:space="preserve">0.1变更的范围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w:t>
      </w:r>
      <w:r>
        <w:rPr>
          <w:rFonts w:hint="eastAsia" w:ascii="宋体" w:hAnsi="宋体" w:cs="宋体"/>
          <w:color w:val="auto"/>
          <w:sz w:val="21"/>
          <w:szCs w:val="21"/>
          <w:highlight w:val="none"/>
          <w:lang w:eastAsia="zh-CN"/>
        </w:rPr>
        <w:t xml:space="preserve">变更</w:t>
      </w:r>
      <w:r>
        <w:rPr>
          <w:rFonts w:hint="eastAsia" w:ascii="宋体" w:hAnsi="宋体" w:eastAsia="宋体" w:cs="宋体"/>
          <w:color w:val="auto"/>
          <w:sz w:val="21"/>
          <w:szCs w:val="21"/>
          <w:highlight w:val="none"/>
        </w:rPr>
        <w:t xml:space="preserve">范围的约定：</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变更估价</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变更估价原则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w:t>
      </w:r>
      <w:r>
        <w:rPr>
          <w:rFonts w:hint="eastAsia" w:ascii="宋体" w:hAnsi="宋体" w:eastAsia="宋体" w:cs="宋体"/>
          <w:color w:val="auto"/>
          <w:sz w:val="21"/>
          <w:szCs w:val="21"/>
          <w:highlight w:val="none"/>
          <w:u w:val="single"/>
        </w:rPr>
        <w:t xml:space="preserve">同投标报价中人工、材料、机械、管理费、利润以及各项措施项目费用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61" w:name="_Toc297048383"/>
      <w:r/>
      <w:bookmarkStart w:id="362" w:name="_Toc292559907"/>
      <w:r/>
      <w:bookmarkStart w:id="363" w:name="_Toc296346698"/>
      <w:r/>
      <w:bookmarkStart w:id="364" w:name="_Toc296347196"/>
      <w:r/>
      <w:bookmarkStart w:id="365" w:name="_Toc296503197"/>
      <w:r/>
      <w:bookmarkStart w:id="366" w:name="_Toc303539150"/>
      <w:r/>
      <w:bookmarkStart w:id="367" w:name="_Toc296891237"/>
      <w:r/>
      <w:bookmarkStart w:id="368" w:name="_Toc297216203"/>
      <w:r/>
      <w:bookmarkStart w:id="369" w:name="_Toc296944536"/>
      <w:r/>
      <w:bookmarkStart w:id="370" w:name="_Toc297123544"/>
      <w:r/>
      <w:bookmarkStart w:id="371" w:name="_Toc300934993"/>
      <w:r/>
      <w:bookmarkStart w:id="372" w:name="_Toc296891025"/>
      <w:r/>
      <w:bookmarkStart w:id="373" w:name="_Toc292559402"/>
      <w:r/>
      <w:bookmarkStart w:id="374" w:name="_Toc297120497"/>
      <w:r/>
      <w:bookmarkStart w:id="375" w:name="_Toc312678029"/>
      <w:r/>
      <w:bookmarkStart w:id="376" w:name="_Toc312677503"/>
      <w:r/>
      <w:bookmarkStart w:id="377" w:name="_Toc304295570"/>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承</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Start w:id="378" w:name="_Toc297120503"/>
      <w:r/>
      <w:bookmarkStart w:id="379" w:name="_Toc296891243"/>
      <w:r/>
      <w:bookmarkStart w:id="380" w:name="_Toc297216204"/>
      <w:r/>
      <w:bookmarkStart w:id="381" w:name="_Toc297123545"/>
      <w:r/>
      <w:bookmarkStart w:id="382" w:name="_Toc296503203"/>
      <w:r/>
      <w:bookmarkStart w:id="383" w:name="_Toc292559408"/>
      <w:r/>
      <w:bookmarkStart w:id="384" w:name="_Toc296346704"/>
      <w:r/>
      <w:bookmarkStart w:id="385" w:name="_Toc296891031"/>
      <w:r/>
      <w:bookmarkStart w:id="386" w:name="_Toc296347202"/>
      <w:r/>
      <w:bookmarkStart w:id="387" w:name="_Toc303539151"/>
      <w:r/>
      <w:bookmarkStart w:id="388" w:name="_Toc292559913"/>
      <w:r/>
      <w:bookmarkStart w:id="389" w:name="_Toc296944542"/>
      <w:r/>
      <w:bookmarkStart w:id="390" w:name="_Toc300934994"/>
      <w:r/>
      <w:bookmarkStart w:id="391" w:name="_Toc297048389"/>
      <w:r>
        <w:rPr>
          <w:rFonts w:hint="eastAsia" w:ascii="宋体" w:hAnsi="宋体" w:eastAsia="宋体" w:cs="宋体"/>
          <w:color w:val="auto"/>
          <w:sz w:val="21"/>
          <w:szCs w:val="21"/>
          <w:highlight w:val="none"/>
        </w:rPr>
        <w:t xml:space="preserve">包人的合理化建议</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392" w:name="_Toc297123546"/>
      <w:r/>
      <w:bookmarkStart w:id="393" w:name="_Toc296944543"/>
      <w:r/>
      <w:bookmarkStart w:id="394" w:name="_Toc296346705"/>
      <w:r/>
      <w:bookmarkStart w:id="395" w:name="_Toc312677504"/>
      <w:r/>
      <w:bookmarkStart w:id="396" w:name="_Toc303539152"/>
      <w:r/>
      <w:bookmarkStart w:id="397" w:name="_Toc300934995"/>
      <w:r/>
      <w:bookmarkStart w:id="398" w:name="_Toc296503204"/>
      <w:r/>
      <w:bookmarkStart w:id="399" w:name="_Toc318581175"/>
      <w:r/>
      <w:bookmarkStart w:id="400" w:name="_Toc296891032"/>
      <w:r/>
      <w:bookmarkStart w:id="401" w:name="_Toc297120504"/>
      <w:r/>
      <w:bookmarkStart w:id="402" w:name="_Toc292559409"/>
      <w:r/>
      <w:bookmarkStart w:id="403" w:name="_Toc297048390"/>
      <w:r/>
      <w:bookmarkStart w:id="404" w:name="_Toc292559914"/>
      <w:r/>
      <w:bookmarkStart w:id="405" w:name="_Toc312678030"/>
      <w:r/>
      <w:bookmarkStart w:id="406" w:name="_Toc296347203"/>
      <w:r/>
      <w:bookmarkStart w:id="407" w:name="_Toc297216205"/>
      <w:r/>
      <w:bookmarkStart w:id="408" w:name="_Toc296891244"/>
      <w:r/>
      <w:bookmarkStart w:id="409" w:name="_Toc304295571"/>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410" w:name="_Toc312677507"/>
      <w:r/>
      <w:bookmarkStart w:id="411" w:name="_Toc296503199"/>
      <w:r/>
      <w:bookmarkStart w:id="412" w:name="_Toc297123548"/>
      <w:r/>
      <w:bookmarkStart w:id="413" w:name="_Toc296347198"/>
      <w:r/>
      <w:bookmarkStart w:id="414" w:name="_Toc304295574"/>
      <w:r/>
      <w:bookmarkStart w:id="415" w:name="_Toc292559909"/>
      <w:r/>
      <w:bookmarkStart w:id="416" w:name="_Toc312678033"/>
      <w:r/>
      <w:bookmarkStart w:id="417" w:name="_Toc297216207"/>
      <w:r/>
      <w:bookmarkStart w:id="418" w:name="_Toc296891239"/>
      <w:r/>
      <w:bookmarkStart w:id="419" w:name="_Toc296891027"/>
      <w:r/>
      <w:bookmarkStart w:id="420" w:name="_Toc297048385"/>
      <w:r/>
      <w:bookmarkStart w:id="421" w:name="_Toc297120499"/>
      <w:r/>
      <w:bookmarkStart w:id="422" w:name="_Toc303539154"/>
      <w:r/>
      <w:bookmarkStart w:id="423" w:name="_Toc300934997"/>
      <w:r/>
      <w:bookmarkStart w:id="424" w:name="_Toc292559404"/>
      <w:r/>
      <w:bookmarkStart w:id="425" w:name="_Toc296944538"/>
      <w:r/>
      <w:bookmarkStart w:id="426" w:name="_Toc296346700"/>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暂估价</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427" w:name="_Toc312677508"/>
      <w:r/>
      <w:bookmarkStart w:id="428" w:name="_Toc312678034"/>
      <w:r/>
      <w:bookmarkStart w:id="429" w:name="_Toc318581176"/>
      <w:r>
        <w:rPr>
          <w:rFonts w:hint="eastAsia" w:ascii="宋体" w:hAnsi="宋体" w:eastAsia="宋体" w:cs="宋体"/>
          <w:color w:val="auto"/>
          <w:sz w:val="21"/>
          <w:szCs w:val="21"/>
          <w:highlight w:val="none"/>
        </w:rPr>
        <w:t xml:space="preserve">估价材料和工程设备的明细详见附件11：《暂估价一览表》。</w:t>
      </w:r>
      <w:bookmarkEnd w:id="427"/>
      <w:r/>
      <w:bookmarkEnd w:id="428"/>
      <w:r/>
      <w:bookmarkEnd w:id="42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30" w:name="_Toc318581177"/>
      <w:r/>
      <w:bookmarkStart w:id="431" w:name="_Toc312678035"/>
      <w:r/>
      <w:bookmarkStart w:id="432" w:name="_Toc312677509"/>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依法必须招标的暂估价项目</w:t>
      </w:r>
      <w:bookmarkEnd w:id="430"/>
      <w:r/>
      <w:bookmarkEnd w:id="431"/>
      <w:r/>
      <w:bookmarkEnd w:id="432"/>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种方式确定。</w:t>
      </w:r>
      <w:r>
        <w:rPr>
          <w:rFonts w:hint="eastAsia" w:ascii="宋体" w:hAnsi="宋体" w:eastAsia="宋体" w:cs="宋体"/>
          <w:color w:val="auto"/>
          <w:sz w:val="21"/>
          <w:szCs w:val="21"/>
          <w:highlight w:val="none"/>
          <w:u w:val="single"/>
        </w:rPr>
        <w:t xml:space="preserve">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和现场实际情况等进行审计。承包人已充分理解上述情况可能产生的风险及费用并在投标报价时已综合考虑，保证不再向发包人</w:t>
      </w:r>
      <w:r>
        <w:rPr>
          <w:rFonts w:hint="eastAsia" w:ascii="宋体" w:hAnsi="宋体" w:cs="宋体"/>
          <w:color w:val="auto"/>
          <w:sz w:val="21"/>
          <w:szCs w:val="21"/>
          <w:highlight w:val="none"/>
          <w:u w:val="single"/>
          <w:lang w:eastAsia="zh-CN"/>
        </w:rPr>
        <w:t xml:space="preserve">提出其他</w:t>
      </w:r>
      <w:r>
        <w:rPr>
          <w:rFonts w:hint="eastAsia" w:ascii="宋体" w:hAnsi="宋体" w:eastAsia="宋体" w:cs="宋体"/>
          <w:color w:val="auto"/>
          <w:sz w:val="21"/>
          <w:szCs w:val="21"/>
          <w:highlight w:val="none"/>
          <w:u w:val="single"/>
        </w:rPr>
        <w:t xml:space="preserve">额外费用补偿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如果出现招投标监管平台仅允许发包人作为招标人实施暂估价项目招标时，承包人仍然同意按照上述条款执行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 不属于依法必须招标的暂估价项目</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 种方式确定。</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发包人在工程量清单中给定的专业工程暂估价，按相关法律法规规定，如可直接发包给承包人的，须经发包人批准，但在竣工结算时，审计单位将依据原招标文件、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、总承包合同、投标让利幅度及现场实际情况等进行审计，否则按照专用合同条款第10.7.1项约定执行 。</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w:t>
      </w:r>
      <w:r>
        <w:rPr>
          <w:rFonts w:hint="eastAsia" w:ascii="宋体" w:hAnsi="宋体" w:eastAsia="宋体" w:cs="宋体"/>
          <w:color w:val="auto"/>
          <w:sz w:val="21"/>
          <w:szCs w:val="21"/>
          <w:highlight w:val="none"/>
        </w:rPr>
        <w:t xml:space="preserve">承包人直接实施的暂估价项目</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暂列金额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暂列金额归发包人所有或使用</w:t>
      </w:r>
      <w:r>
        <w:rPr>
          <w:rFonts w:hint="eastAsia" w:ascii="宋体" w:hAnsi="宋体" w:eastAsia="宋体" w:cs="宋体"/>
          <w:color w:val="auto"/>
          <w:sz w:val="21"/>
          <w:szCs w:val="21"/>
          <w:highlight w:val="none"/>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33" w:name="_Toc351203643"/>
      <w:r>
        <w:rPr>
          <w:rFonts w:hint="eastAsia" w:ascii="宋体" w:hAnsi="宋体" w:eastAsia="宋体" w:cs="宋体"/>
          <w:color w:val="auto"/>
          <w:sz w:val="21"/>
          <w:szCs w:val="21"/>
          <w:highlight w:val="none"/>
          <w:lang w:eastAsia="zh-CN"/>
        </w:rPr>
        <w:t xml:space="preserve">11. 价格调整</w:t>
      </w:r>
      <w:bookmarkEnd w:id="433"/>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34" w:name="_Toc296347200"/>
      <w:r/>
      <w:bookmarkStart w:id="435" w:name="_Toc297123550"/>
      <w:r/>
      <w:bookmarkStart w:id="436" w:name="_Toc296346702"/>
      <w:r/>
      <w:bookmarkStart w:id="437" w:name="_Toc296891029"/>
      <w:r/>
      <w:bookmarkStart w:id="438" w:name="_Toc296944540"/>
      <w:r/>
      <w:bookmarkStart w:id="439" w:name="_Toc300935000"/>
      <w:r/>
      <w:bookmarkStart w:id="440" w:name="_Toc297216209"/>
      <w:r/>
      <w:bookmarkStart w:id="441" w:name="_Toc297048387"/>
      <w:r/>
      <w:bookmarkStart w:id="442" w:name="_Toc304295577"/>
      <w:r/>
      <w:bookmarkStart w:id="443" w:name="_Toc296891241"/>
      <w:r/>
      <w:bookmarkStart w:id="444" w:name="_Toc297120501"/>
      <w:r/>
      <w:bookmarkStart w:id="445" w:name="_Toc303539157"/>
      <w:r/>
      <w:bookmarkStart w:id="446" w:name="_Toc312678039"/>
      <w:r/>
      <w:bookmarkStart w:id="447" w:name="_Toc292559406"/>
      <w:r/>
      <w:bookmarkStart w:id="448" w:name="_Toc292559911"/>
      <w:r/>
      <w:bookmarkStart w:id="449" w:name="_Toc296503201"/>
      <w:r>
        <w:rPr>
          <w:rFonts w:hint="eastAsia" w:ascii="宋体" w:hAnsi="宋体" w:eastAsia="宋体" w:cs="宋体"/>
          <w:color w:val="auto"/>
          <w:sz w:val="21"/>
          <w:szCs w:val="21"/>
          <w:highlight w:val="none"/>
        </w:rPr>
        <w:t xml:space="preserve">11.1 市场价格波动引起的调整</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不调整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种方式对合同价格进行调整：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   同投标报价     </w:t>
      </w:r>
      <w:r>
        <w:rPr>
          <w:rFonts w:hint="eastAsia" w:ascii="宋体" w:hAnsi="宋体" w:eastAsia="宋体" w:cs="宋体"/>
          <w:color w:val="auto"/>
          <w:sz w:val="21"/>
          <w:szCs w:val="21"/>
          <w:highlight w:val="none"/>
        </w:rPr>
        <w:t xml:space="preserve">。</w:t>
      </w:r>
      <w:bookmarkEnd w:id="337"/>
      <w:r/>
      <w:bookmarkEnd w:id="338"/>
      <w:r/>
      <w:bookmarkEnd w:id="339"/>
      <w:r/>
      <w:bookmarkEnd w:id="340"/>
      <w:r/>
      <w:bookmarkEnd w:id="341"/>
      <w:r/>
      <w:bookmarkEnd w:id="342"/>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50" w:name="_Toc296891033"/>
      <w:r/>
      <w:bookmarkStart w:id="451" w:name="_Toc292559915"/>
      <w:r/>
      <w:bookmarkStart w:id="452" w:name="_Toc296944544"/>
      <w:r/>
      <w:bookmarkStart w:id="453" w:name="_Toc297048391"/>
      <w:r/>
      <w:bookmarkStart w:id="454" w:name="_Toc296346706"/>
      <w:r/>
      <w:bookmarkStart w:id="455" w:name="_Toc292559410"/>
      <w:r/>
      <w:bookmarkStart w:id="456" w:name="_Toc296347204"/>
      <w:r/>
      <w:bookmarkStart w:id="457" w:name="_Toc296503205"/>
      <w:r/>
      <w:bookmarkStart w:id="458" w:name="_Toc296891245"/>
      <w:r/>
      <w:bookmarkStart w:id="459" w:name="_Toc297120505"/>
      <w:r/>
      <w:bookmarkStart w:id="460" w:name="_Toc351203644"/>
      <w:r/>
      <w:bookmarkStart w:id="461" w:name="_Toc297123552"/>
      <w:r/>
      <w:bookmarkStart w:id="462" w:name="_Toc304295579"/>
      <w:r/>
      <w:bookmarkStart w:id="463" w:name="_Toc297216211"/>
      <w:r/>
      <w:bookmarkStart w:id="464" w:name="_Toc303539159"/>
      <w:r/>
      <w:bookmarkStart w:id="465" w:name="_Toc300935002"/>
      <w:r/>
      <w:bookmarkStart w:id="466" w:name="_Toc312678040"/>
      <w:r>
        <w:rPr>
          <w:rFonts w:hint="eastAsia" w:ascii="宋体" w:hAnsi="宋体" w:eastAsia="宋体" w:cs="宋体"/>
          <w:color w:val="auto"/>
          <w:sz w:val="21"/>
          <w:szCs w:val="21"/>
          <w:highlight w:val="none"/>
          <w:lang w:eastAsia="zh-CN"/>
        </w:rPr>
        <w:t xml:space="preserve">12. </w:t>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eastAsia="宋体" w:cs="宋体"/>
          <w:color w:val="auto"/>
          <w:sz w:val="21"/>
          <w:szCs w:val="21"/>
          <w:highlight w:val="none"/>
          <w:lang w:eastAsia="zh-CN"/>
        </w:rPr>
        <w:t xml:space="preserve">合同价格、计量与支付</w:t>
      </w:r>
      <w:bookmarkEnd w:id="460"/>
      <w:r/>
      <w:bookmarkEnd w:id="461"/>
      <w:r/>
      <w:bookmarkEnd w:id="462"/>
      <w:r/>
      <w:bookmarkEnd w:id="463"/>
      <w:r/>
      <w:bookmarkEnd w:id="464"/>
      <w:r/>
      <w:bookmarkEnd w:id="465"/>
      <w:r/>
      <w:bookmarkEnd w:id="466"/>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67" w:name="_Toc292559411"/>
      <w:r/>
      <w:bookmarkStart w:id="468" w:name="_Toc292559916"/>
      <w:r/>
      <w:bookmarkStart w:id="469" w:name="_Toc267251461"/>
      <w:r/>
      <w:bookmarkStart w:id="470" w:name="_Toc296503206"/>
      <w:r/>
      <w:bookmarkStart w:id="471" w:name="_Toc296891034"/>
      <w:r/>
      <w:bookmarkStart w:id="472" w:name="_Toc296944545"/>
      <w:r/>
      <w:bookmarkStart w:id="473" w:name="_Toc296891246"/>
      <w:r/>
      <w:bookmarkStart w:id="474" w:name="_Toc296346707"/>
      <w:r/>
      <w:bookmarkStart w:id="475" w:name="_Toc297048392"/>
      <w:r/>
      <w:bookmarkStart w:id="476" w:name="_Toc297120506"/>
      <w:r/>
      <w:bookmarkStart w:id="477" w:name="_Toc296347205"/>
      <w:r/>
      <w:bookmarkStart w:id="478" w:name="_Toc303539160"/>
      <w:r/>
      <w:bookmarkStart w:id="479" w:name="_Toc297216212"/>
      <w:r/>
      <w:bookmarkStart w:id="480" w:name="_Toc304295580"/>
      <w:r/>
      <w:bookmarkStart w:id="481" w:name="_Toc297123553"/>
      <w:r/>
      <w:bookmarkStart w:id="482" w:name="_Toc300935003"/>
      <w:r/>
      <w:bookmarkStart w:id="483" w:name="_Toc312678041"/>
      <w:r>
        <w:rPr>
          <w:rFonts w:hint="eastAsia" w:ascii="宋体" w:hAnsi="宋体" w:eastAsia="宋体" w:cs="宋体"/>
          <w:color w:val="auto"/>
          <w:sz w:val="21"/>
          <w:szCs w:val="21"/>
          <w:highlight w:val="none"/>
        </w:rPr>
        <w:t xml:space="preserve">12.1 合</w:t>
      </w:r>
      <w:bookmarkEnd w:id="467"/>
      <w:r/>
      <w:bookmarkEnd w:id="468"/>
      <w:r/>
      <w:bookmarkEnd w:id="469"/>
      <w:r>
        <w:rPr>
          <w:rFonts w:hint="eastAsia" w:ascii="宋体" w:hAnsi="宋体" w:eastAsia="宋体" w:cs="宋体"/>
          <w:color w:val="auto"/>
          <w:sz w:val="21"/>
          <w:szCs w:val="21"/>
          <w:highlight w:val="none"/>
        </w:rPr>
        <w:t xml:space="preserve">同价</w:t>
      </w:r>
      <w:bookmarkEnd w:id="470"/>
      <w:r/>
      <w:bookmarkEnd w:id="471"/>
      <w:r/>
      <w:bookmarkEnd w:id="472"/>
      <w:r/>
      <w:bookmarkEnd w:id="473"/>
      <w:r/>
      <w:bookmarkEnd w:id="474"/>
      <w:r/>
      <w:bookmarkEnd w:id="475"/>
      <w:r/>
      <w:bookmarkEnd w:id="476"/>
      <w:r/>
      <w:bookmarkEnd w:id="477"/>
      <w:r>
        <w:rPr>
          <w:rFonts w:hint="eastAsia" w:ascii="宋体" w:hAnsi="宋体" w:eastAsia="宋体" w:cs="宋体"/>
          <w:color w:val="auto"/>
          <w:sz w:val="21"/>
          <w:szCs w:val="21"/>
          <w:highlight w:val="none"/>
        </w:rPr>
        <w:t xml:space="preserve">格形式</w:t>
      </w:r>
      <w:bookmarkEnd w:id="478"/>
      <w:r/>
      <w:bookmarkEnd w:id="479"/>
      <w:r/>
      <w:bookmarkEnd w:id="480"/>
      <w:r/>
      <w:bookmarkEnd w:id="481"/>
      <w:r/>
      <w:bookmarkEnd w:id="482"/>
      <w:r/>
      <w:bookmarkEnd w:id="48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单价合同。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投标时充分考虑施工期间材料</w:t>
      </w:r>
      <w:r>
        <w:rPr>
          <w:rFonts w:hint="eastAsia" w:ascii="宋体" w:hAnsi="宋体" w:eastAsia="宋体" w:cs="宋体"/>
          <w:color w:val="auto"/>
          <w:sz w:val="21"/>
          <w:szCs w:val="21"/>
          <w:highlight w:val="none"/>
          <w:u w:val="single"/>
          <w:lang w:eastAsia="zh-CN"/>
        </w:rPr>
        <w:t xml:space="preserve">及其他风险</w:t>
      </w:r>
      <w:r>
        <w:rPr>
          <w:rFonts w:hint="eastAsia" w:ascii="宋体" w:hAnsi="宋体" w:eastAsia="宋体" w:cs="宋体"/>
          <w:color w:val="auto"/>
          <w:sz w:val="21"/>
          <w:szCs w:val="21"/>
          <w:highlight w:val="none"/>
          <w:u w:val="single"/>
        </w:rPr>
        <w:t xml:space="preserve">并在投标时计算风险费用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图纸变更需经甲方并报文字材料同意后实施，设计变更工程量按</w:t>
      </w:r>
      <w:r>
        <w:rPr>
          <w:rFonts w:hint="eastAsia" w:ascii="宋体" w:hAnsi="宋体" w:eastAsia="宋体" w:cs="宋体"/>
          <w:color w:val="auto"/>
          <w:sz w:val="21"/>
          <w:szCs w:val="21"/>
          <w:highlight w:val="none"/>
          <w:u w:val="single"/>
          <w:lang w:eastAsia="zh-CN"/>
        </w:rPr>
        <w:t xml:space="preserve">实际</w:t>
      </w:r>
      <w:r>
        <w:rPr>
          <w:rFonts w:hint="eastAsia" w:ascii="宋体" w:hAnsi="宋体" w:eastAsia="宋体" w:cs="宋体"/>
          <w:color w:val="auto"/>
          <w:sz w:val="21"/>
          <w:szCs w:val="21"/>
          <w:highlight w:val="none"/>
          <w:u w:val="single"/>
        </w:rPr>
        <w:t xml:space="preserve">调整，其增减部分价格按投标报价。工程竣工后由政府审计机关审核确定总造价</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对工程中隐蔽工程的工程量要</w:t>
      </w:r>
      <w:r>
        <w:rPr>
          <w:rFonts w:hint="eastAsia" w:ascii="宋体" w:hAnsi="宋体" w:eastAsia="宋体" w:cs="宋体"/>
          <w:color w:val="auto"/>
          <w:sz w:val="21"/>
          <w:szCs w:val="21"/>
          <w:highlight w:val="none"/>
          <w:u w:val="single"/>
          <w:lang w:eastAsia="zh-CN"/>
        </w:rPr>
        <w:t xml:space="preserve">在施工</w:t>
      </w:r>
      <w:r>
        <w:rPr>
          <w:rFonts w:hint="eastAsia" w:ascii="宋体" w:hAnsi="宋体" w:eastAsia="宋体" w:cs="宋体"/>
          <w:color w:val="auto"/>
          <w:sz w:val="21"/>
          <w:szCs w:val="21"/>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按文件约定应由业主交纳的材料检测费用（含见证取样费用），渣土</w:t>
      </w:r>
      <w:r>
        <w:rPr>
          <w:rFonts w:hint="eastAsia" w:ascii="宋体" w:hAnsi="宋体" w:eastAsia="宋体" w:cs="宋体"/>
          <w:color w:val="auto"/>
          <w:sz w:val="21"/>
          <w:szCs w:val="21"/>
          <w:highlight w:val="none"/>
          <w:u w:val="single"/>
          <w:lang w:eastAsia="zh-CN"/>
        </w:rPr>
        <w:t xml:space="preserve">、电</w:t>
      </w:r>
      <w:r>
        <w:rPr>
          <w:rFonts w:hint="eastAsia" w:ascii="宋体" w:hAnsi="宋体" w:eastAsia="宋体" w:cs="宋体"/>
          <w:color w:val="auto"/>
          <w:sz w:val="21"/>
          <w:szCs w:val="21"/>
          <w:highlight w:val="none"/>
          <w:u w:val="single"/>
        </w:rPr>
        <w:t xml:space="preserve">石外运相关费用以及</w:t>
      </w:r>
      <w:r>
        <w:rPr>
          <w:rFonts w:hint="eastAsia" w:ascii="宋体" w:hAnsi="宋体" w:eastAsia="宋体" w:cs="宋体"/>
          <w:color w:val="auto"/>
          <w:sz w:val="21"/>
          <w:szCs w:val="21"/>
          <w:highlight w:val="none"/>
          <w:u w:val="single"/>
          <w:lang w:eastAsia="zh-CN"/>
        </w:rPr>
        <w:t xml:space="preserve">其他建筑</w:t>
      </w:r>
      <w:r>
        <w:rPr>
          <w:rFonts w:hint="eastAsia" w:ascii="宋体" w:hAnsi="宋体" w:eastAsia="宋体" w:cs="宋体"/>
          <w:color w:val="auto"/>
          <w:sz w:val="21"/>
          <w:szCs w:val="21"/>
          <w:highlight w:val="none"/>
          <w:u w:val="single"/>
        </w:rPr>
        <w:t xml:space="preserve">垃圾外运均由施工单位在报价中考虑并报在投标报价中，甲方决算时</w:t>
      </w:r>
      <w:r>
        <w:rPr>
          <w:rFonts w:hint="eastAsia" w:ascii="宋体" w:hAnsi="宋体" w:cs="宋体"/>
          <w:color w:val="auto"/>
          <w:sz w:val="21"/>
          <w:szCs w:val="21"/>
          <w:highlight w:val="none"/>
          <w:u w:val="single"/>
          <w:lang w:eastAsia="zh-CN"/>
        </w:rPr>
        <w:t xml:space="preserve">不再</w:t>
      </w:r>
      <w:r>
        <w:rPr>
          <w:rFonts w:hint="eastAsia" w:ascii="宋体" w:hAnsi="宋体" w:eastAsia="宋体" w:cs="宋体"/>
          <w:color w:val="auto"/>
          <w:sz w:val="21"/>
          <w:szCs w:val="21"/>
          <w:highlight w:val="none"/>
          <w:u w:val="single"/>
        </w:rPr>
        <w:t xml:space="preserve">签证支付此项费用。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中标人中标后必须自行考虑与相关单位的协调配合以及办理相关部门的行政许可，由此产生的一切费用由投标单位在报价中体现充</w:t>
      </w:r>
      <w:r>
        <w:rPr>
          <w:rFonts w:hint="eastAsia" w:ascii="宋体" w:hAnsi="宋体" w:eastAsia="宋体" w:cs="宋体"/>
          <w:color w:val="auto"/>
          <w:sz w:val="21"/>
          <w:szCs w:val="21"/>
          <w:highlight w:val="none"/>
          <w:u w:val="single"/>
          <w:lang w:eastAsia="zh-CN"/>
        </w:rPr>
        <w:t xml:space="preserve">分包</w:t>
      </w:r>
      <w:r>
        <w:rPr>
          <w:rFonts w:hint="eastAsia" w:ascii="宋体" w:hAnsi="宋体" w:eastAsia="宋体" w:cs="宋体"/>
          <w:color w:val="auto"/>
          <w:sz w:val="21"/>
          <w:szCs w:val="21"/>
          <w:highlight w:val="none"/>
          <w:u w:val="single"/>
        </w:rPr>
        <w:t xml:space="preserve">含在投标报价中。</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清单中未做项目按实扣除。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本项目清单未列</w:t>
      </w:r>
      <w:r>
        <w:rPr>
          <w:rFonts w:hint="eastAsia" w:ascii="宋体" w:hAnsi="宋体" w:eastAsia="宋体" w:cs="宋体"/>
          <w:color w:val="auto"/>
          <w:sz w:val="21"/>
          <w:szCs w:val="21"/>
          <w:highlight w:val="none"/>
          <w:u w:val="single"/>
          <w:lang w:eastAsia="zh-CN"/>
        </w:rPr>
        <w:t xml:space="preserve">出的</w:t>
      </w:r>
      <w:r>
        <w:rPr>
          <w:rFonts w:hint="eastAsia" w:ascii="宋体" w:hAnsi="宋体" w:eastAsia="宋体" w:cs="宋体"/>
          <w:color w:val="auto"/>
          <w:sz w:val="21"/>
          <w:szCs w:val="21"/>
          <w:highlight w:val="none"/>
          <w:u w:val="single"/>
        </w:rPr>
        <w:t xml:space="preserve">大型机械进</w:t>
      </w:r>
      <w:r>
        <w:rPr>
          <w:rFonts w:hint="eastAsia" w:ascii="宋体" w:hAnsi="宋体" w:eastAsia="宋体" w:cs="宋体"/>
          <w:color w:val="auto"/>
          <w:sz w:val="21"/>
          <w:szCs w:val="21"/>
          <w:highlight w:val="none"/>
          <w:u w:val="single"/>
          <w:lang w:eastAsia="zh-CN"/>
        </w:rPr>
        <w:t xml:space="preserve">出口</w:t>
      </w:r>
      <w:r>
        <w:rPr>
          <w:rFonts w:hint="eastAsia" w:ascii="宋体" w:hAnsi="宋体" w:eastAsia="宋体" w:cs="宋体"/>
          <w:color w:val="auto"/>
          <w:sz w:val="21"/>
          <w:szCs w:val="21"/>
          <w:highlight w:val="none"/>
          <w:u w:val="single"/>
        </w:rPr>
        <w:t xml:space="preserve">费用均不单独立项（立项的除外）由投标人自行考虑含在投标报价中，竣工结算不调整。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宋体" w:hAnsi="宋体" w:eastAsia="宋体" w:cs="宋体"/>
          <w:color w:val="auto"/>
          <w:sz w:val="21"/>
          <w:szCs w:val="21"/>
          <w:highlight w:val="none"/>
          <w:u w:val="single"/>
          <w:lang w:eastAsia="zh-CN"/>
        </w:rPr>
        <w:t xml:space="preserve">工中</w:t>
      </w:r>
      <w:r>
        <w:rPr>
          <w:rFonts w:hint="eastAsia" w:ascii="宋体" w:hAnsi="宋体" w:eastAsia="宋体" w:cs="宋体"/>
          <w:color w:val="auto"/>
          <w:sz w:val="21"/>
          <w:szCs w:val="21"/>
          <w:highlight w:val="none"/>
          <w:u w:val="single"/>
        </w:rPr>
        <w:t xml:space="preserve">因招标文件未列出项目而发生的</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相关签证。</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本清单中特征描述如与图纸中不一样，则由施工单位综合图纸说明一并纳入综合报价中，施工时须以图纸进行施工，决算不再调整。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投标报价有相同单价按相同单价，无相同单价但有类似单价可以参考类似单价，无相同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单价及类似单价的按现行定额计算后乘以下浮率确定（下浮率：中标价与招标控制价的比率）。</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中标单位中标后，应及时向相关单位了解及检测地下管线走向，本项风险由投标单位考虑</w:t>
      </w:r>
      <w:r>
        <w:rPr>
          <w:rFonts w:hint="eastAsia" w:ascii="宋体" w:hAnsi="宋体" w:eastAsia="宋体" w:cs="宋体"/>
          <w:color w:val="auto"/>
          <w:sz w:val="21"/>
          <w:szCs w:val="21"/>
          <w:highlight w:val="none"/>
          <w:u w:val="single"/>
          <w:lang w:eastAsia="zh-CN"/>
        </w:rPr>
        <w:t xml:space="preserve">计入</w:t>
      </w:r>
      <w:r>
        <w:rPr>
          <w:rFonts w:hint="eastAsia" w:ascii="宋体" w:hAnsi="宋体" w:eastAsia="宋体" w:cs="宋体"/>
          <w:color w:val="auto"/>
          <w:sz w:val="21"/>
          <w:szCs w:val="21"/>
          <w:highlight w:val="none"/>
          <w:u w:val="single"/>
        </w:rPr>
        <w:t xml:space="preserve">报价中，形成的相关费用甲方不负责。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同投标报价人工、材料、机械以及各项措施项目费用</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总价合同。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其他价格方式</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84" w:name="_Toc304295581"/>
      <w:r/>
      <w:bookmarkStart w:id="485" w:name="_Toc312678042"/>
      <w:r/>
      <w:bookmarkStart w:id="486" w:name="_Toc297123554"/>
      <w:r/>
      <w:bookmarkStart w:id="487" w:name="_Toc297216213"/>
      <w:r/>
      <w:bookmarkStart w:id="488" w:name="_Toc303539161"/>
      <w:r/>
      <w:bookmarkStart w:id="489" w:name="_Toc300935004"/>
      <w:r/>
      <w:bookmarkStart w:id="490" w:name="_Toc296944546"/>
      <w:r/>
      <w:bookmarkStart w:id="491" w:name="_Toc296891247"/>
      <w:r/>
      <w:bookmarkStart w:id="492" w:name="_Toc296347206"/>
      <w:r/>
      <w:bookmarkStart w:id="493" w:name="_Toc297120507"/>
      <w:r/>
      <w:bookmarkStart w:id="494" w:name="_Toc292559412"/>
      <w:r/>
      <w:bookmarkStart w:id="495" w:name="_Toc292559917"/>
      <w:r/>
      <w:bookmarkStart w:id="496" w:name="_Toc297048393"/>
      <w:r/>
      <w:bookmarkStart w:id="497" w:name="_Toc296503207"/>
      <w:r/>
      <w:bookmarkStart w:id="498" w:name="_Toc296346708"/>
      <w:r/>
      <w:bookmarkStart w:id="499" w:name="_Toc296891035"/>
      <w:r>
        <w:rPr>
          <w:rFonts w:hint="eastAsia" w:ascii="宋体" w:hAnsi="宋体" w:eastAsia="宋体" w:cs="宋体"/>
          <w:color w:val="auto"/>
          <w:sz w:val="21"/>
          <w:szCs w:val="21"/>
          <w:highlight w:val="none"/>
        </w:rPr>
        <w:t xml:space="preserve">12.2 预付款</w:t>
      </w:r>
      <w:bookmarkEnd w:id="484"/>
      <w:r/>
      <w:bookmarkEnd w:id="485"/>
      <w:r/>
      <w:bookmarkEnd w:id="486"/>
      <w:r/>
      <w:bookmarkEnd w:id="487"/>
      <w:r/>
      <w:bookmarkEnd w:id="488"/>
      <w:r/>
      <w:bookmarkEnd w:id="48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lang w:eastAsia="zh-CN"/>
        </w:rPr>
        <w:t xml:space="preserve">：</w:t>
      </w:r>
      <w:bookmarkEnd w:id="490"/>
      <w:r/>
      <w:bookmarkEnd w:id="491"/>
      <w:r/>
      <w:bookmarkEnd w:id="492"/>
      <w:r/>
      <w:bookmarkEnd w:id="493"/>
      <w:r/>
      <w:bookmarkEnd w:id="494"/>
      <w:r/>
      <w:bookmarkEnd w:id="495"/>
      <w:r/>
      <w:bookmarkEnd w:id="496"/>
      <w:r/>
      <w:bookmarkEnd w:id="497"/>
      <w:r/>
      <w:bookmarkEnd w:id="498"/>
      <w:r/>
      <w:bookmarkEnd w:id="49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工程量计算规则：《建设工程工程量清单计价规范》（GB50500-2013）及对应的2013版计量规范、《江苏省建设工程费用定额》（2014年版）、《江苏省建筑与装饰工程计价定额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江苏省安装工程计价定额》</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2014版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《江苏省市政工程计价定额》（2014版）等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关于计量周期的约定：按工程形象进度分段计量。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关于单价合同计量的约定：计量范围与要求</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①只能对工程量清单、变更工程、计日工等合同规定支付的项目计量，此范围以外的不得进行计量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②计量必须严格按合同规定的方法、范围、内容、单位进行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③工程质量未经检验或检验不合格的，不得计量；因承包人原因造成返工的工程量不予计量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④无论一般的和当地的习惯如何，除合同中另有规定，工程的计量应以净值为准。因此，属于承包人超出设计图纸范围的工程量不予计量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spacing w:line="400" w:lineRule="atLeast"/>
        <w:rPr>
          <w:rFonts w:hint="eastAsia" w:ascii="宋体" w:hAnsi="宋体" w:eastAsia="宋体" w:cs="宋体"/>
          <w:b/>
          <w:bCs/>
          <w:color w:val="auto"/>
          <w:sz w:val="21"/>
          <w:szCs w:val="21"/>
          <w:highlight w:val="none"/>
        </w:rPr>
      </w:pPr>
      <w:r/>
      <w:bookmarkStart w:id="500" w:name="_Toc296503211"/>
      <w:r/>
      <w:bookmarkStart w:id="501" w:name="_Toc292559416"/>
      <w:r/>
      <w:bookmarkStart w:id="502" w:name="_Toc297123556"/>
      <w:r/>
      <w:bookmarkStart w:id="503" w:name="_Toc296891039"/>
      <w:r/>
      <w:bookmarkStart w:id="504" w:name="_Toc296891251"/>
      <w:r/>
      <w:bookmarkStart w:id="505" w:name="_Toc297120511"/>
      <w:r/>
      <w:bookmarkStart w:id="506" w:name="_Toc296346712"/>
      <w:r/>
      <w:bookmarkStart w:id="507" w:name="_Toc296944550"/>
      <w:r/>
      <w:bookmarkStart w:id="508" w:name="_Toc292559921"/>
      <w:r/>
      <w:bookmarkStart w:id="509" w:name="_Toc297216215"/>
      <w:r/>
      <w:bookmarkStart w:id="510" w:name="_Toc300935006"/>
      <w:r/>
      <w:bookmarkStart w:id="511" w:name="_Toc297048397"/>
      <w:r/>
      <w:bookmarkStart w:id="512" w:name="_Toc296347210"/>
      <w:r/>
      <w:bookmarkStart w:id="513" w:name="_Toc303539163"/>
      <w:r>
        <w:rPr>
          <w:rFonts w:hint="eastAsia" w:ascii="宋体" w:hAnsi="宋体" w:eastAsia="宋体" w:cs="宋体"/>
          <w:b/>
          <w:bCs/>
          <w:color w:val="auto"/>
          <w:sz w:val="21"/>
          <w:szCs w:val="21"/>
          <w:highlight w:val="none"/>
        </w:rPr>
        <w:t xml:space="preserve">12.4.1 付款周期</w:t>
      </w:r>
      <w:r/>
    </w:p>
    <w:p>
      <w:pPr>
        <w:ind w:firstLine="420"/>
        <w:spacing w:line="400" w:lineRule="atLeas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关于付款周期的约定：预付款支付合同价的40%；工程竣工验收合格并移交相关部门后付至合同价的80%；经审计部门审计结束后付至审定价的97%，剩余款项一年后付清。(施工单位凭税务部门开具的正式发票支取工程款)</w:t>
      </w:r>
      <w:r/>
    </w:p>
    <w:p>
      <w:pPr>
        <w:ind w:firstLine="420"/>
        <w:spacing w:line="40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u w:val="single"/>
        </w:rPr>
        <w:t xml:space="preserve">承包人工程结算审计核减额超出5%的，超出部分的核减审计费用由承包人承担，5%以内核减额的审计基本费全部由项目发包方承担</w:t>
      </w:r>
      <w:r>
        <w:rPr>
          <w:rFonts w:hint="eastAsia" w:ascii="宋体" w:hAnsi="宋体" w:eastAsia="宋体" w:cs="宋体"/>
          <w:color w:val="auto"/>
          <w:szCs w:val="21"/>
          <w:highlight w:val="none"/>
          <w:u w:val="singl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hint="eastAsia" w:ascii="宋体" w:hAnsi="宋体" w:eastAsia="宋体" w:cs="宋体"/>
          <w:color w:val="auto"/>
          <w:sz w:val="21"/>
          <w:szCs w:val="21"/>
          <w:highlight w:val="none"/>
        </w:rPr>
        <w:t xml:space="preserve">2.4.3 进度付款申请单的提交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不采用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bookmarkEnd w:id="343"/>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bookmarkStart w:id="514" w:name="_Toc280868707"/>
      <w:r/>
      <w:bookmarkStart w:id="515" w:name="_Toc280868706"/>
      <w:r/>
      <w:bookmarkStart w:id="516" w:name="_Toc280868708"/>
      <w:r/>
      <w:bookmarkStart w:id="517" w:name="_Toc267251474"/>
      <w:r/>
      <w:bookmarkStart w:id="518" w:name="_Toc267251476"/>
      <w:r/>
      <w:bookmarkStart w:id="519" w:name="_Toc267251473"/>
      <w:r/>
      <w:bookmarkStart w:id="520" w:name="_Toc280868709"/>
      <w:r/>
      <w:bookmarkStart w:id="521" w:name="_Toc267251470"/>
      <w:r/>
      <w:bookmarkStart w:id="522" w:name="_Toc267251475"/>
      <w:r/>
      <w:bookmarkStart w:id="523" w:name="_Toc267251471"/>
      <w:r/>
      <w:bookmarkStart w:id="524" w:name="_Toc267251472"/>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监理人应在收到承包人进度付款申请单以及相关资料后7天内完成审查并报送发包人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14天 </w:t>
      </w:r>
      <w:r/>
    </w:p>
    <w:p>
      <w:pPr>
        <w:ind w:left="0" w:firstLine="420"/>
        <w:pageBreakBefore w:val="0"/>
        <w:spacing w:line="380" w:lineRule="exact"/>
        <w:widowControl w:val="off"/>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525"/>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支付分解表的编制</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总价合同支付分解表的编制与审批：</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 xml:space="preserve">。</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单价合同的总价项目支付分解表的编制与审批：</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w:t>
      </w:r>
      <w:r/>
    </w:p>
    <w:p>
      <w:pPr>
        <w:ind w:left="3780" w:hanging="336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农民工工资专用账户与权益保障</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（1）</w:t>
      </w:r>
      <w:r>
        <w:rPr>
          <w:rFonts w:hint="eastAsia"/>
          <w:color w:val="auto"/>
          <w:highlight w:val="none"/>
          <w:u w:val="single"/>
        </w:rPr>
        <w:t xml:space="preserve">开户银行应按规定履行监管义务，发现资金未按约定拨付、挪用等异常情形的，应在 24 小时内通知发包人、监理单位及属地人社部门；</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（2）</w:t>
      </w:r>
      <w:r>
        <w:rPr>
          <w:rFonts w:hint="eastAsia"/>
          <w:color w:val="auto"/>
          <w:highlight w:val="none"/>
          <w:u w:val="single"/>
        </w:rPr>
        <w:t xml:space="preserve">本项目统一使用农民工权益保障卡（社会保障卡）发放工资，实行 “一人一卡、本人持卡”，承包人不得扣押或变相扣押权益卡；</w:t>
      </w:r>
      <w:r/>
    </w:p>
    <w:p>
      <w:pPr>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（3）</w:t>
      </w:r>
      <w:r>
        <w:rPr>
          <w:rFonts w:hint="eastAsia"/>
          <w:color w:val="auto"/>
          <w:highlight w:val="none"/>
          <w:u w:val="single"/>
        </w:rPr>
        <w:t xml:space="preserve">权益卡应注明项目名称、工资金额、维权电话（属地人社部门投诉电话）等信息，承包人应协助农民工查询工资发放记录。</w:t>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pPr>
      <w:r/>
      <w:bookmarkStart w:id="525" w:name="_Toc351203645"/>
      <w:r/>
      <w:bookmarkStart w:id="526" w:name="_Toc296891047"/>
      <w:r/>
      <w:bookmarkStart w:id="527" w:name="_Toc296346720"/>
      <w:r/>
      <w:bookmarkStart w:id="528" w:name="_Toc300935015"/>
      <w:r/>
      <w:bookmarkStart w:id="529" w:name="_Toc296944558"/>
      <w:r/>
      <w:bookmarkStart w:id="530" w:name="_Toc296503219"/>
      <w:r/>
      <w:bookmarkStart w:id="531" w:name="_Toc297048405"/>
      <w:r/>
      <w:bookmarkStart w:id="532" w:name="_Toc297120519"/>
      <w:r/>
      <w:bookmarkStart w:id="533" w:name="_Toc296891259"/>
      <w:r/>
      <w:bookmarkStart w:id="534" w:name="_Toc292559929"/>
      <w:r/>
      <w:bookmarkStart w:id="535" w:name="_Toc312678053"/>
      <w:r/>
      <w:bookmarkStart w:id="536" w:name="_Toc297216223"/>
      <w:r/>
      <w:bookmarkStart w:id="537" w:name="_Toc292559424"/>
      <w:r/>
      <w:bookmarkStart w:id="538" w:name="_Toc303539172"/>
      <w:r/>
      <w:bookmarkStart w:id="539" w:name="_Toc296347218"/>
      <w:r/>
      <w:bookmarkStart w:id="540" w:name="_Toc304295593"/>
      <w:r/>
      <w:bookmarkStart w:id="541" w:name="_Toc297123564"/>
      <w:r>
        <w:rPr>
          <w:rFonts w:hint="eastAsia" w:ascii="宋体" w:hAnsi="宋体" w:eastAsia="宋体" w:cs="宋体"/>
          <w:b/>
          <w:bCs w:val="0"/>
          <w:color w:val="auto"/>
          <w:sz w:val="21"/>
          <w:szCs w:val="21"/>
          <w:highlight w:val="none"/>
        </w:rPr>
        <w:t xml:space="preserve">13. 验收和工程试车</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542" w:name="_Toc296347222"/>
      <w:r/>
      <w:bookmarkStart w:id="543" w:name="_Toc297048409"/>
      <w:r/>
      <w:bookmarkStart w:id="544" w:name="_Toc297120523"/>
      <w:r/>
      <w:bookmarkStart w:id="545" w:name="_Toc304295596"/>
      <w:r/>
      <w:bookmarkStart w:id="546" w:name="_Toc296346724"/>
      <w:r/>
      <w:bookmarkStart w:id="547" w:name="_Toc297123565"/>
      <w:r/>
      <w:bookmarkStart w:id="548" w:name="_Toc292559428"/>
      <w:r/>
      <w:bookmarkStart w:id="549" w:name="_Toc292559933"/>
      <w:r/>
      <w:bookmarkStart w:id="550" w:name="_Toc296891263"/>
      <w:r/>
      <w:bookmarkStart w:id="551" w:name="_Toc300935016"/>
      <w:r/>
      <w:bookmarkStart w:id="552" w:name="_Toc296503223"/>
      <w:r/>
      <w:bookmarkStart w:id="553" w:name="_Toc312678056"/>
      <w:r/>
      <w:bookmarkStart w:id="554" w:name="_Toc303539173"/>
      <w:r/>
      <w:bookmarkStart w:id="555" w:name="_Toc297216224"/>
      <w:r/>
      <w:bookmarkStart w:id="556" w:name="_Toc296891051"/>
      <w:r/>
      <w:bookmarkStart w:id="557" w:name="_Toc296944562"/>
      <w:r>
        <w:rPr>
          <w:rFonts w:hint="eastAsia" w:ascii="宋体" w:hAnsi="宋体" w:eastAsia="宋体" w:cs="宋体"/>
          <w:color w:val="auto"/>
          <w:sz w:val="21"/>
          <w:szCs w:val="21"/>
          <w:highlight w:val="none"/>
        </w:rPr>
        <w:t xml:space="preserve">13.2 竣工验收</w:t>
      </w:r>
      <w:r/>
    </w:p>
    <w:p>
      <w:pPr>
        <w:ind w:left="420" w:firstLine="21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558" w:name="_Toc280868704"/>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竣工验收程序</w:t>
      </w:r>
      <w:bookmarkEnd w:id="55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按管理部门有关要求，</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 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w:t>
      </w:r>
      <w:r>
        <w:rPr>
          <w:rFonts w:hint="eastAsia" w:ascii="宋体" w:hAnsi="宋体" w:eastAsia="宋体" w:cs="宋体"/>
          <w:color w:val="auto"/>
          <w:sz w:val="21"/>
          <w:szCs w:val="21"/>
          <w:highlight w:val="none"/>
          <w:lang w:eastAsia="zh-CN"/>
        </w:rPr>
        <w:t xml:space="preserve">工程验收</w:t>
      </w:r>
      <w:r>
        <w:rPr>
          <w:rFonts w:hint="eastAsia" w:ascii="宋体" w:hAnsi="宋体" w:eastAsia="宋体" w:cs="宋体"/>
          <w:color w:val="auto"/>
          <w:sz w:val="21"/>
          <w:szCs w:val="21"/>
          <w:highlight w:val="none"/>
        </w:rPr>
        <w:t xml:space="preserve">证书的违约金的计算方法：</w:t>
      </w:r>
      <w:r>
        <w:rPr>
          <w:rFonts w:hint="eastAsia" w:ascii="宋体" w:hAnsi="宋体" w:eastAsia="宋体" w:cs="宋体"/>
          <w:color w:val="auto"/>
          <w:sz w:val="21"/>
          <w:szCs w:val="21"/>
          <w:highlight w:val="none"/>
          <w:u w:val="single"/>
        </w:rPr>
        <w:t xml:space="preserve">本条通用合同条款不适用该项目</w:t>
      </w:r>
      <w:r>
        <w:rPr>
          <w:rFonts w:hint="eastAsia" w:ascii="宋体" w:hAnsi="宋体" w:eastAsia="宋体" w:cs="宋体"/>
          <w:color w:val="auto"/>
          <w:sz w:val="21"/>
          <w:szCs w:val="21"/>
          <w:highlight w:val="none"/>
        </w:rPr>
        <w:t xml:space="preserve">。</w:t>
      </w:r>
      <w:bookmarkEnd w:id="514"/>
      <w:r/>
      <w:bookmarkEnd w:id="51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移交、接收全部与部分工程</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每逾期一天，承包人应向发包人支付合同价的千分之一的违约金，并赔偿由此给发包人造成的各种损失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51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投料试车</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宋体" w:hAnsi="宋体" w:eastAsia="宋体" w:cs="宋体"/>
          <w:color w:val="auto"/>
          <w:sz w:val="21"/>
          <w:szCs w:val="21"/>
          <w:highlight w:val="none"/>
        </w:rPr>
        <w:t xml:space="preserve">。</w:t>
      </w:r>
      <w:bookmarkEnd w:id="517"/>
      <w:r/>
      <w:bookmarkEnd w:id="518"/>
      <w:r/>
      <w:bookmarkEnd w:id="519"/>
      <w:r/>
      <w:bookmarkEnd w:id="520"/>
      <w:r/>
      <w:bookmarkEnd w:id="521"/>
      <w:r/>
      <w:bookmarkEnd w:id="522"/>
      <w:r/>
      <w:bookmarkEnd w:id="523"/>
      <w:r/>
      <w:bookmarkEnd w:id="524"/>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pPr>
      <w:r/>
      <w:bookmarkStart w:id="559" w:name="_Toc351203646"/>
      <w:r>
        <w:rPr>
          <w:rFonts w:hint="eastAsia" w:ascii="宋体" w:hAnsi="宋体" w:eastAsia="宋体" w:cs="宋体"/>
          <w:b/>
          <w:bCs w:val="0"/>
          <w:color w:val="auto"/>
          <w:sz w:val="21"/>
          <w:szCs w:val="21"/>
          <w:highlight w:val="none"/>
        </w:rPr>
        <w:t xml:space="preserve">14. 竣工结算</w:t>
      </w:r>
      <w:bookmarkEnd w:id="55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 满足专用合同条款第12.4.1项〔付款周期〕中相应时间节点要求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原件及电子文件；（4）施工图纸、竣工图纸（蓝图）及电子文件；（5）竣工资料原件（包括开竣工报告、分部分项工程验收记录以及材料检测等资料，经监理核查装订成册，拟报档案</w:t>
      </w:r>
      <w:r>
        <w:rPr>
          <w:rFonts w:hint="eastAsia" w:ascii="宋体" w:hAnsi="宋体" w:eastAsia="宋体" w:cs="宋体"/>
          <w:color w:val="auto"/>
          <w:sz w:val="21"/>
          <w:szCs w:val="21"/>
          <w:highlight w:val="none"/>
          <w:u w:val="single"/>
          <w:lang w:val="en-US" w:eastAsia="zh-CN"/>
        </w:rPr>
        <w:t xml:space="preserve">馆</w:t>
      </w:r>
      <w:r>
        <w:rPr>
          <w:rFonts w:hint="eastAsia" w:ascii="宋体" w:hAnsi="宋体" w:eastAsia="宋体" w:cs="宋体"/>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60" w:name="_Toc20146"/>
      <w:r/>
      <w:bookmarkStart w:id="561" w:name="_Toc5448"/>
      <w:r>
        <w:rPr>
          <w:rFonts w:hint="eastAsia" w:ascii="宋体" w:hAnsi="宋体" w:eastAsia="宋体" w:cs="宋体"/>
          <w:color w:val="auto"/>
          <w:sz w:val="21"/>
          <w:szCs w:val="21"/>
          <w:highlight w:val="none"/>
        </w:rPr>
        <w:t xml:space="preserve">14.2 竣工结算审核</w:t>
      </w:r>
      <w:bookmarkEnd w:id="560"/>
      <w:r/>
      <w:bookmarkEnd w:id="561"/>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 </w:t>
      </w:r>
      <w:r>
        <w:rPr>
          <w:rFonts w:hint="eastAsia" w:ascii="宋体" w:hAnsi="宋体" w:eastAsia="宋体" w:cs="宋体"/>
          <w:color w:val="auto"/>
          <w:sz w:val="21"/>
          <w:szCs w:val="21"/>
          <w:highlight w:val="none"/>
        </w:rPr>
        <w:t xml:space="preserve">。</w:t>
      </w:r>
      <w:r/>
    </w:p>
    <w:p>
      <w:pPr>
        <w:numPr>
          <w:ilvl w:val="0"/>
          <w:numId w:val="6"/>
        </w:num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最终结清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最终结清申请单</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不少于4份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最终结清证书和支付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pPr>
      <w:r/>
      <w:bookmarkStart w:id="562" w:name="_Toc351203647"/>
      <w:r/>
      <w:bookmarkStart w:id="563" w:name="_Toc267251483"/>
      <w:r/>
      <w:bookmarkStart w:id="564" w:name="_Toc267251482"/>
      <w:r/>
      <w:bookmarkStart w:id="565" w:name="_Toc267251484"/>
      <w:r/>
      <w:bookmarkStart w:id="566" w:name="_Toc267251485"/>
      <w:r/>
      <w:bookmarkStart w:id="567" w:name="_Toc267251488"/>
      <w:r/>
      <w:bookmarkStart w:id="568" w:name="_Toc267251489"/>
      <w:r/>
      <w:bookmarkStart w:id="569" w:name="_Toc267251490"/>
      <w:r/>
      <w:bookmarkStart w:id="570" w:name="_Toc267251486"/>
      <w:r/>
      <w:bookmarkStart w:id="571" w:name="_Toc267251492"/>
      <w:r/>
      <w:bookmarkStart w:id="572" w:name="_Toc267251499"/>
      <w:r/>
      <w:bookmarkStart w:id="573" w:name="_Toc267251496"/>
      <w:r/>
      <w:bookmarkStart w:id="574" w:name="_Toc267251498"/>
      <w:r/>
      <w:bookmarkStart w:id="575" w:name="_Toc267251503"/>
      <w:r/>
      <w:bookmarkStart w:id="576" w:name="_Toc267251497"/>
      <w:r/>
      <w:bookmarkStart w:id="577" w:name="_Toc267251502"/>
      <w:r/>
      <w:bookmarkStart w:id="578" w:name="_Toc267251491"/>
      <w:r/>
      <w:bookmarkStart w:id="579" w:name="_Toc267251493"/>
      <w:r/>
      <w:bookmarkStart w:id="580" w:name="_Toc267251494"/>
      <w:r/>
      <w:bookmarkStart w:id="581" w:name="_Toc267251495"/>
      <w:r/>
      <w:bookmarkStart w:id="582" w:name="_Toc267251501"/>
      <w:r/>
      <w:bookmarkStart w:id="583" w:name="_Toc267251504"/>
      <w:r/>
      <w:bookmarkStart w:id="584" w:name="_Toc267251506"/>
      <w:r/>
      <w:bookmarkStart w:id="585" w:name="_Toc267251507"/>
      <w:r/>
      <w:bookmarkStart w:id="586" w:name="_Toc267251508"/>
      <w:r/>
      <w:bookmarkStart w:id="587" w:name="_Toc267251515"/>
      <w:r/>
      <w:bookmarkStart w:id="588" w:name="_Toc267251511"/>
      <w:r/>
      <w:bookmarkStart w:id="589" w:name="_Toc267251514"/>
      <w:r/>
      <w:bookmarkStart w:id="590" w:name="_Toc267251513"/>
      <w:r/>
      <w:bookmarkStart w:id="591" w:name="_Toc267251510"/>
      <w:r/>
      <w:bookmarkStart w:id="592" w:name="_Toc267251509"/>
      <w:r>
        <w:rPr>
          <w:rFonts w:hint="eastAsia" w:ascii="宋体" w:hAnsi="宋体" w:eastAsia="宋体" w:cs="宋体"/>
          <w:b/>
          <w:bCs w:val="0"/>
          <w:color w:val="auto"/>
          <w:sz w:val="21"/>
          <w:szCs w:val="21"/>
          <w:highlight w:val="none"/>
        </w:rPr>
        <w:t xml:space="preserve">15. 缺陷责任期与保修</w:t>
      </w:r>
      <w:bookmarkEnd w:id="56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缺陷责任期</w:t>
      </w:r>
      <w:bookmarkEnd w:id="563"/>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93" w:name="_Toc19685"/>
      <w:r/>
      <w:bookmarkStart w:id="594" w:name="_Toc3993"/>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质量保证金</w:t>
      </w:r>
      <w:bookmarkEnd w:id="593"/>
      <w:r/>
      <w:bookmarkEnd w:id="59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是</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5" w:name="_Toc5826"/>
      <w:r/>
      <w:bookmarkStart w:id="596" w:name="_Toc18867"/>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承包人提供质量保证金的方式</w:t>
      </w:r>
      <w:bookmarkEnd w:id="595"/>
      <w:r/>
      <w:bookmarkEnd w:id="59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3 </w:t>
      </w:r>
      <w:r>
        <w:rPr>
          <w:rFonts w:hint="eastAsia" w:ascii="宋体" w:hAnsi="宋体" w:eastAsia="宋体" w:cs="宋体"/>
          <w:color w:val="auto"/>
          <w:sz w:val="21"/>
          <w:szCs w:val="21"/>
          <w:highlight w:val="none"/>
        </w:rPr>
        <w:t xml:space="preserve">%的工程款；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7" w:name="_Toc23845"/>
      <w:r/>
      <w:bookmarkStart w:id="598" w:name="_Toc16068"/>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质量保证金的扣留</w:t>
      </w:r>
      <w:bookmarkEnd w:id="597"/>
      <w:r/>
      <w:bookmarkEnd w:id="598"/>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9" w:name="_Toc29954"/>
      <w:r/>
      <w:bookmarkStart w:id="600" w:name="_Toc28386"/>
      <w:r>
        <w:rPr>
          <w:rFonts w:hint="eastAsia" w:ascii="宋体" w:hAnsi="宋体" w:eastAsia="宋体" w:cs="宋体"/>
          <w:color w:val="auto"/>
          <w:sz w:val="21"/>
          <w:szCs w:val="21"/>
          <w:highlight w:val="none"/>
        </w:rPr>
        <w:t xml:space="preserve">（2）工程竣工结算时一次性扣留质量保证金；</w:t>
      </w:r>
      <w:bookmarkEnd w:id="599"/>
      <w:r/>
      <w:bookmarkEnd w:id="60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564"/>
      <w:r/>
      <w:bookmarkEnd w:id="5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1"/>
      </w:pPr>
      <w:r/>
      <w:bookmarkStart w:id="601" w:name="_Toc31564"/>
      <w:r/>
      <w:bookmarkStart w:id="602" w:name="_Toc12417"/>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保修</w:t>
      </w:r>
      <w:bookmarkEnd w:id="601"/>
      <w:r/>
      <w:bookmarkEnd w:id="602"/>
      <w:r/>
      <w:bookmarkEnd w:id="566"/>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保修责任</w:t>
      </w:r>
      <w:r/>
    </w:p>
    <w:p>
      <w:pPr>
        <w:ind w:firstLine="420"/>
        <w:jc w:val="both"/>
        <w:pageBreakBefore w:val="0"/>
        <w:spacing w:line="38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lang w:val="en-US" w:eastAsia="zh-CN"/>
        </w:rPr>
        <w:t xml:space="preserve">满足规范要求（见附件1建设工程质量保修书） </w:t>
      </w:r>
      <w:r>
        <w:rPr>
          <w:rFonts w:hint="eastAsia" w:ascii="宋体" w:hAnsi="宋体" w:eastAsia="宋体" w:cs="宋体"/>
          <w:color w:val="auto"/>
          <w:sz w:val="21"/>
          <w:szCs w:val="21"/>
          <w:highlight w:val="none"/>
          <w:u w:val="none"/>
          <w:lang w:val="en-US" w:eastAsia="zh-CN"/>
        </w:rPr>
        <w:t xml:space="preserve">。</w:t>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修复通知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承包人应在接到修理通知之日后    </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内派人进行修理。承包人不在约定期限内，派人修理，发包人可委托其他人员修理，产生的费用从质量保修金中扣除</w:t>
      </w:r>
      <w:r>
        <w:rPr>
          <w:rFonts w:hint="eastAsia" w:ascii="宋体" w:hAnsi="宋体" w:eastAsia="宋体" w:cs="宋体"/>
          <w:color w:val="auto"/>
          <w:sz w:val="21"/>
          <w:szCs w:val="21"/>
          <w:highlight w:val="none"/>
        </w:rPr>
        <w:t xml:space="preserve">。</w:t>
      </w:r>
      <w:r/>
    </w:p>
    <w:p>
      <w:pPr>
        <w:ind w:left="0" w:firstLine="409"/>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u w:val="single"/>
        </w:rPr>
        <w:t xml:space="preserve">发生紧急抢修事故的，承包人在接到事故通知后，应立即到达事故现场抢修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bookmarkEnd w:id="567"/>
      <w:r/>
      <w:bookmarkEnd w:id="568"/>
      <w:r/>
      <w:bookmarkEnd w:id="569"/>
      <w:r/>
      <w:bookmarkEnd w:id="570"/>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03" w:name="_Toc351203648"/>
      <w:r/>
      <w:bookmarkStart w:id="604" w:name="_Toc45"/>
      <w:r/>
      <w:bookmarkStart w:id="605" w:name="_Toc18348"/>
      <w:r/>
      <w:bookmarkStart w:id="606" w:name="_Toc280868717"/>
      <w:r/>
      <w:bookmarkStart w:id="607" w:name="_Toc280868718"/>
      <w:r>
        <w:rPr>
          <w:rFonts w:hint="eastAsia" w:ascii="宋体" w:hAnsi="宋体" w:eastAsia="宋体" w:cs="宋体"/>
          <w:b/>
          <w:bCs w:val="0"/>
          <w:color w:val="auto"/>
          <w:sz w:val="21"/>
          <w:szCs w:val="21"/>
          <w:highlight w:val="none"/>
        </w:rPr>
        <w:t xml:space="preserve">16. 违约</w:t>
      </w:r>
      <w:bookmarkEnd w:id="603"/>
      <w:r/>
      <w:bookmarkEnd w:id="604"/>
      <w:r/>
      <w:bookmarkEnd w:id="60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08" w:name="_Toc12762"/>
      <w:r/>
      <w:bookmarkStart w:id="609" w:name="_Toc27749"/>
      <w:r>
        <w:rPr>
          <w:rFonts w:hint="eastAsia" w:ascii="宋体" w:hAnsi="宋体" w:eastAsia="宋体" w:cs="宋体"/>
          <w:color w:val="auto"/>
          <w:sz w:val="21"/>
          <w:szCs w:val="21"/>
          <w:highlight w:val="none"/>
        </w:rPr>
        <w:t xml:space="preserve">16.1 发包人违约</w:t>
      </w:r>
      <w:bookmarkEnd w:id="608"/>
      <w:r/>
      <w:bookmarkEnd w:id="60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工期顺延但不补偿费用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发生时双方另行商定，但不</w:t>
      </w:r>
      <w:r>
        <w:rPr>
          <w:rFonts w:hint="eastAsia" w:ascii="宋体" w:hAnsi="宋体" w:eastAsia="宋体" w:cs="宋体"/>
          <w:color w:val="auto"/>
          <w:sz w:val="21"/>
          <w:szCs w:val="21"/>
          <w:highlight w:val="none"/>
          <w:u w:val="single"/>
          <w:lang w:eastAsia="zh-CN"/>
        </w:rPr>
        <w:t xml:space="preserve">计</w:t>
      </w:r>
      <w:r>
        <w:rPr>
          <w:rFonts w:hint="eastAsia" w:ascii="宋体" w:hAnsi="宋体" w:eastAsia="宋体" w:cs="宋体"/>
          <w:color w:val="auto"/>
          <w:sz w:val="21"/>
          <w:szCs w:val="21"/>
          <w:highlight w:val="none"/>
          <w:u w:val="single"/>
        </w:rPr>
        <w:t xml:space="preserve">取延期利息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发包人不承担违约责任，承包人在投标时已慎重考虑可能发生的风险，已包含在发包价内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180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0" w:name="_Toc10753"/>
      <w:r/>
      <w:bookmarkStart w:id="611" w:name="_Toc24530"/>
      <w:r>
        <w:rPr>
          <w:rFonts w:hint="eastAsia" w:ascii="宋体" w:hAnsi="宋体" w:eastAsia="宋体" w:cs="宋体"/>
          <w:color w:val="auto"/>
          <w:sz w:val="21"/>
          <w:szCs w:val="21"/>
          <w:highlight w:val="none"/>
        </w:rPr>
        <w:t xml:space="preserve">16.2 承包人违约</w:t>
      </w:r>
      <w:bookmarkEnd w:id="610"/>
      <w:r/>
      <w:bookmarkEnd w:id="61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（2）因承包人原因被责令停工和返工的，除无条件及时整改外，承包人须向发包人支付违约金不低于20000元/次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（3）因承包人提供的竣工资料原因影响工程正常竣工验收的，每延迟一天，承包人应向发包人支付1000元的违约金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（4）施工期间因承包人原因发生质量和安全事故，承包人除承担责任外，还必须承担事故处理的一切费用、工程的恢复费用及因此造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后续工程延期费用，并承担由此给发包人所造成的经济损失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（7）被有关部门检查通报批评的，除立即无条件整改外，承包人须向发包人支付违约金不低于10000元/次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（8）未按约定预存农民工工资资金、未按时足额发放农民工工资的；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（9）未使用农民工权益保障卡发放工资、扣押员工证件的；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（10）未落实实名制管理、专用账户管理等四项制度，或提供虚假工资支付台账的；</w:t>
      </w:r>
      <w:r/>
    </w:p>
    <w:p>
      <w:pPr>
        <w:ind w:left="0" w:firstLine="420"/>
        <w:jc w:val="left"/>
        <w:pageBreakBefore w:val="0"/>
        <w:spacing w:line="380" w:lineRule="exact"/>
        <w:widowControl w:val="off"/>
        <w:rPr>
          <w:rFonts w:hint="eastAsia"/>
          <w:color w:val="auto"/>
          <w:highlight w:val="none"/>
        </w:rPr>
      </w:pPr>
      <w:r>
        <w:rPr>
          <w:rFonts w:hint="eastAsia" w:ascii="宋体" w:hAnsi="宋体" w:eastAsia="宋体" w:cs="宋体"/>
          <w:color w:val="auto"/>
          <w:sz w:val="21"/>
          <w:szCs w:val="21"/>
          <w:highlight w:val="none"/>
          <w:u w:val="single"/>
        </w:rPr>
        <w:t xml:space="preserve">针对上述第（8）</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eastAsia="宋体" w:cs="宋体"/>
          <w:color w:val="auto"/>
          <w:sz w:val="21"/>
          <w:szCs w:val="21"/>
          <w:highlight w:val="none"/>
          <w:u w:val="singl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宋体" w:hAnsi="宋体" w:eastAsia="宋体" w:cs="宋体"/>
          <w:color w:val="auto"/>
          <w:sz w:val="21"/>
          <w:szCs w:val="21"/>
          <w:highlight w:val="none"/>
          <w:u w:val="single"/>
          <w:lang w:eastAsia="zh-CN"/>
        </w:rPr>
        <w:t xml:space="preserve">经</w:t>
      </w:r>
      <w:r>
        <w:rPr>
          <w:rFonts w:hint="eastAsia" w:ascii="宋体" w:hAnsi="宋体" w:eastAsia="宋体" w:cs="宋体"/>
          <w:color w:val="auto"/>
          <w:sz w:val="21"/>
          <w:szCs w:val="21"/>
          <w:highlight w:val="none"/>
          <w:u w:val="single"/>
        </w:rPr>
        <w:t xml:space="preserve">发包人和监理工程师共同签证核对即自行采购材料和工程设备，后再</w:t>
      </w:r>
      <w:r>
        <w:rPr>
          <w:rFonts w:hint="eastAsia" w:ascii="宋体" w:hAnsi="宋体" w:eastAsia="宋体" w:cs="宋体"/>
          <w:color w:val="auto"/>
          <w:sz w:val="21"/>
          <w:szCs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（3）因承包人原因导致工程质量不符合合同要求的：凡经验收工程质量不符合合同要求的，承包人必须自费返工，由此而造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一切经济损失由承包人承担，需要鉴定的部分由承包人承担鉴定</w:t>
      </w:r>
      <w:r>
        <w:rPr>
          <w:rFonts w:hint="eastAsia" w:ascii="宋体" w:hAnsi="宋体" w:eastAsia="宋体" w:cs="宋体"/>
          <w:color w:val="auto"/>
          <w:sz w:val="21"/>
          <w:szCs w:val="21"/>
          <w:highlight w:val="none"/>
          <w:u w:val="single"/>
        </w:rPr>
        <w:t xml:space="preserve">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宋体" w:hAnsi="宋体" w:cs="宋体"/>
          <w:color w:val="auto"/>
          <w:sz w:val="21"/>
          <w:szCs w:val="21"/>
          <w:highlight w:val="none"/>
          <w:u w:val="single"/>
          <w:lang w:eastAsia="zh-CN"/>
        </w:rPr>
        <w:t xml:space="preserve">1</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lang w:eastAsia="zh-CN"/>
        </w:rPr>
        <w:t xml:space="preserve">万元</w:t>
      </w:r>
      <w:r>
        <w:rPr>
          <w:rFonts w:hint="eastAsia" w:ascii="宋体" w:hAnsi="宋体" w:eastAsia="宋体" w:cs="宋体"/>
          <w:color w:val="auto"/>
          <w:sz w:val="21"/>
          <w:szCs w:val="21"/>
          <w:highlight w:val="none"/>
          <w:u w:val="single"/>
        </w:rPr>
        <w:t xml:space="preserve">的违约金，同时承包人还应赔偿给发包人造成的全部经济损失，且发包人有权延期支付工程款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（6）承包人在缺陷责任期及保修期内，未能在合理期</w:t>
      </w:r>
      <w:r>
        <w:rPr>
          <w:rFonts w:hint="eastAsia" w:ascii="宋体" w:hAnsi="宋体" w:cs="宋体"/>
          <w:color w:val="auto"/>
          <w:sz w:val="21"/>
          <w:szCs w:val="21"/>
          <w:highlight w:val="none"/>
          <w:u w:val="single"/>
          <w:lang w:eastAsia="zh-CN"/>
        </w:rPr>
        <w:t xml:space="preserve">限内</w:t>
      </w:r>
      <w:r>
        <w:rPr>
          <w:rFonts w:hint="eastAsia" w:ascii="宋体" w:hAnsi="宋体" w:eastAsia="宋体" w:cs="宋体"/>
          <w:color w:val="auto"/>
          <w:sz w:val="21"/>
          <w:szCs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违约处罚条款继续有效。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（9）如发现承包人有以下行为勒令整改并加以处罚，发包人有权对承包人每次索赔不少于人民币5仟元的违约金；整改无效</w:t>
      </w:r>
      <w:r>
        <w:rPr>
          <w:rFonts w:hint="eastAsia" w:ascii="宋体" w:hAnsi="宋体" w:eastAsia="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宋体" w:hAnsi="宋体" w:eastAsia="宋体" w:cs="宋体"/>
          <w:color w:val="auto"/>
          <w:sz w:val="21"/>
          <w:szCs w:val="21"/>
          <w:highlight w:val="none"/>
          <w:u w:val="single"/>
          <w:lang w:eastAsia="zh-CN"/>
        </w:rPr>
        <w:t xml:space="preserve">其他类似</w:t>
      </w:r>
      <w:r>
        <w:rPr>
          <w:rFonts w:hint="eastAsia" w:ascii="宋体" w:hAnsi="宋体" w:eastAsia="宋体" w:cs="宋体"/>
          <w:color w:val="auto"/>
          <w:sz w:val="21"/>
          <w:szCs w:val="21"/>
          <w:highlight w:val="none"/>
          <w:u w:val="single"/>
        </w:rPr>
        <w:t xml:space="preserve">情况。</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（11）在施工过</w:t>
      </w:r>
      <w:r>
        <w:rPr>
          <w:rFonts w:hint="eastAsia" w:ascii="宋体" w:hAnsi="宋体" w:cs="宋体"/>
          <w:color w:val="auto"/>
          <w:sz w:val="21"/>
          <w:szCs w:val="21"/>
          <w:highlight w:val="none"/>
          <w:u w:val="single"/>
          <w:lang w:eastAsia="zh-CN"/>
        </w:rPr>
        <w:t xml:space="preserve">程中</w:t>
      </w:r>
      <w:r>
        <w:rPr>
          <w:rFonts w:hint="eastAsia" w:ascii="宋体" w:hAnsi="宋体" w:eastAsia="宋体" w:cs="宋体"/>
          <w:color w:val="auto"/>
          <w:sz w:val="21"/>
          <w:szCs w:val="21"/>
          <w:highlight w:val="none"/>
          <w:u w:val="single"/>
        </w:rPr>
        <w:t xml:space="preserve">、工程移交中以及质量保修期内，由于承包人原因出现的质量问题、安全事故或</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（12）工程竣工验收合格后7日内，承包人应将工程交付发包人，每延迟一天承包人交纳合同总价千分之一违约金，延期超过15天的</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承包人违约，发包人有权单方解除合同，自行接收工程。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中所列及的所有事项，都</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对发包人及本工程的承诺，施工过程中若发现未经发包人同意而实际操作与</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不一致的情况，发包人将视情况给予违约处理。</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（15）在履行合同过程中，因承包人违约必须用现金向发包人交纳违约金，如承包人不及时</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违约金，责任由承包人承担，发包人有权拒付工程款，或从当期工程款或履约保证金中双倍扣回。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（16）承包人未能按照合同约定履行其他义务的：视为承包人违约，届时根据具体情况，予以处理及处罚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因承包人违约，发包人解除合同的，尚未支付的工程款不再支付，履约保证金和中标差额担保（如有）不再返还，承包人应再向发包人支付违约金</w:t>
      </w:r>
      <w:r>
        <w:rPr>
          <w:rFonts w:hint="eastAsia" w:ascii="宋体" w:hAnsi="宋体" w:cs="宋体"/>
          <w:color w:val="auto"/>
          <w:sz w:val="21"/>
          <w:szCs w:val="21"/>
          <w:highlight w:val="none"/>
          <w:u w:val="single"/>
          <w:lang w:val="en-US" w:eastAsia="zh-CN"/>
        </w:rPr>
        <w:t xml:space="preserve">10万元</w:t>
      </w:r>
      <w:r>
        <w:rPr>
          <w:rFonts w:hint="eastAsia" w:ascii="宋体" w:hAnsi="宋体" w:eastAsia="宋体" w:cs="宋体"/>
          <w:color w:val="auto"/>
          <w:sz w:val="21"/>
          <w:szCs w:val="21"/>
          <w:highlight w:val="none"/>
          <w:u w:val="single"/>
        </w:rPr>
        <w:t xml:space="preserve">，违约金不足以赔偿因此而给发包人和相关第三方造成的全部经济损失，需</w:t>
      </w:r>
      <w:r>
        <w:rPr>
          <w:rFonts w:hint="eastAsia" w:ascii="宋体" w:hAnsi="宋体" w:eastAsia="宋体" w:cs="宋体"/>
          <w:color w:val="auto"/>
          <w:sz w:val="21"/>
          <w:szCs w:val="21"/>
          <w:highlight w:val="none"/>
          <w:u w:val="single"/>
          <w:lang w:eastAsia="zh-CN"/>
        </w:rPr>
        <w:t xml:space="preserve">赔偿</w:t>
      </w:r>
      <w:r>
        <w:rPr>
          <w:rFonts w:hint="eastAsia" w:ascii="宋体" w:hAnsi="宋体" w:eastAsia="宋体" w:cs="宋体"/>
          <w:color w:val="auto"/>
          <w:sz w:val="21"/>
          <w:szCs w:val="21"/>
          <w:highlight w:val="none"/>
          <w:u w:val="single"/>
        </w:rPr>
        <w:t xml:space="preserve">实际损失</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承包人承担 </w:t>
      </w:r>
      <w:r>
        <w:rPr>
          <w:rFonts w:hint="eastAsia" w:ascii="宋体" w:hAnsi="宋体" w:eastAsia="宋体" w:cs="宋体"/>
          <w:color w:val="auto"/>
          <w:sz w:val="21"/>
          <w:szCs w:val="21"/>
          <w:highlight w:val="none"/>
        </w:rPr>
        <w:t xml:space="preserve">。</w:t>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12" w:name="_Toc28293"/>
      <w:r/>
      <w:bookmarkStart w:id="613" w:name="_Toc16669"/>
      <w:r/>
      <w:bookmarkStart w:id="614" w:name="_Toc351203649"/>
      <w:r>
        <w:rPr>
          <w:rFonts w:hint="eastAsia" w:ascii="宋体" w:hAnsi="宋体" w:eastAsia="宋体" w:cs="宋体"/>
          <w:b/>
          <w:bCs w:val="0"/>
          <w:color w:val="auto"/>
          <w:sz w:val="21"/>
          <w:szCs w:val="21"/>
          <w:highlight w:val="none"/>
        </w:rPr>
        <w:t xml:space="preserve">17. 不可抗力</w:t>
      </w:r>
      <w:bookmarkEnd w:id="612"/>
      <w:r/>
      <w:bookmarkEnd w:id="613"/>
      <w:r/>
      <w:bookmarkEnd w:id="614"/>
      <w:r>
        <w:rPr>
          <w:rFonts w:hint="eastAsia" w:ascii="宋体" w:hAnsi="宋体" w:eastAsia="宋体" w:cs="宋体"/>
          <w:b/>
          <w:bCs w:val="0"/>
          <w:color w:val="auto"/>
          <w:sz w:val="21"/>
          <w:szCs w:val="21"/>
          <w:highlight w:val="none"/>
        </w:rPr>
        <w:t xml:space="preserve"> </w:t>
      </w:r>
      <w:bookmarkEnd w:id="60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 国家权威部门发布且被界定为灾害的洪水、风灾、雪灾等；离子辐射或放射性污染；以音速或</w:t>
      </w:r>
      <w:r>
        <w:rPr>
          <w:rFonts w:hint="eastAsia" w:ascii="宋体" w:hAnsi="宋体" w:eastAsia="宋体" w:cs="宋体"/>
          <w:color w:val="auto"/>
          <w:sz w:val="21"/>
          <w:szCs w:val="21"/>
          <w:highlight w:val="none"/>
          <w:u w:val="single"/>
          <w:lang w:eastAsia="zh-CN"/>
        </w:rPr>
        <w:t xml:space="preserve">超声速</w:t>
      </w:r>
      <w:r>
        <w:rPr>
          <w:rFonts w:hint="eastAsia" w:ascii="宋体" w:hAnsi="宋体" w:eastAsia="宋体" w:cs="宋体"/>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5" w:name="_Toc32533"/>
      <w:r/>
      <w:bookmarkStart w:id="616" w:name="_Toc26340"/>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因不可抗力解除合同</w:t>
      </w:r>
      <w:bookmarkEnd w:id="615"/>
      <w:r/>
      <w:bookmarkEnd w:id="61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 xml:space="preserve">天内完成款项的支付。</w:t>
      </w:r>
      <w:bookmarkStart w:id="617" w:name="_Toc12850"/>
      <w:r/>
      <w:bookmarkStart w:id="618" w:name="_Toc351203650"/>
      <w:r/>
      <w:bookmarkStart w:id="619" w:name="_Toc30034"/>
      <w:r/>
      <w:r/>
    </w:p>
    <w:p>
      <w:pPr>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7"/>
        </w:numPr>
        <w:jc w:val="left"/>
        <w:pageBreakBefore w:val="0"/>
        <w:spacing w:line="38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保险</w:t>
      </w:r>
      <w:bookmarkEnd w:id="617"/>
      <w:r/>
      <w:bookmarkEnd w:id="618"/>
      <w:r/>
      <w:bookmarkEnd w:id="619"/>
      <w:r/>
      <w:r/>
    </w:p>
    <w:p>
      <w:pPr>
        <w:numPr>
          <w:ilvl w:val="0"/>
          <w:numId w:val="0"/>
        </w:numPr>
        <w:jc w:val="left"/>
        <w:pageBreakBefore w:val="0"/>
        <w:spacing w:line="38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bookmarkEnd w:id="607"/>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18.1工程保险</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关于工程保险的特别约定:</w:t>
      </w:r>
      <w:r>
        <w:rPr>
          <w:rFonts w:hint="eastAsia" w:ascii="宋体" w:hAnsi="宋体" w:eastAsia="宋体" w:cs="宋体"/>
          <w:color w:val="auto"/>
          <w:sz w:val="21"/>
          <w:szCs w:val="21"/>
          <w:highlight w:val="none"/>
          <w:u w:val="single"/>
          <w:lang w:val="en-US" w:eastAsia="zh-CN"/>
        </w:rPr>
        <w:t xml:space="preserve">发包人委托承包人办理工程一切险和施工场地内自有人员及第三人员生命财产保险;委托承包人为运至施工场地内用于工程的材料和待安装设备办理保险。有关发包人委托其办理的投保费用，承包人已综合考虑在投标报价中。</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18.2其他保险</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关于其他保险的约定: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(1)承包人须依法对其应投保的人身、财产(包括但不限于对本工程施工作业人员的生命财产和施工机械设备)办理保险，并支付保险费用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(3)承包人须对与本工程有关或本工程进行期间发生或本工程引致的人身伤亡及财产损坏负费用、损失、索偿或诉讼等法律责任，并须保障发包人免负该等责任。承包人是否应为其施工设备等办理财产保险:是。</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20" w:name="_Toc21836"/>
      <w:r/>
      <w:bookmarkStart w:id="621" w:name="_Toc351203651"/>
      <w:r/>
      <w:bookmarkStart w:id="622" w:name="_Toc23778"/>
      <w:r>
        <w:rPr>
          <w:rFonts w:hint="eastAsia" w:ascii="宋体" w:hAnsi="宋体" w:eastAsia="宋体" w:cs="宋体"/>
          <w:b/>
          <w:bCs w:val="0"/>
          <w:color w:val="auto"/>
          <w:sz w:val="21"/>
          <w:szCs w:val="21"/>
          <w:highlight w:val="none"/>
          <w:lang w:val="en-US" w:eastAsia="zh-CN"/>
        </w:rPr>
        <w:t xml:space="preserve">19</w:t>
      </w:r>
      <w:r>
        <w:rPr>
          <w:rFonts w:hint="eastAsia" w:ascii="宋体" w:hAnsi="宋体" w:eastAsia="宋体" w:cs="宋体"/>
          <w:b/>
          <w:bCs w:val="0"/>
          <w:color w:val="auto"/>
          <w:sz w:val="21"/>
          <w:szCs w:val="21"/>
          <w:highlight w:val="none"/>
        </w:rPr>
        <w:t xml:space="preserve">. 争议解决</w:t>
      </w:r>
      <w:bookmarkEnd w:id="620"/>
      <w:r/>
      <w:bookmarkEnd w:id="621"/>
      <w:r/>
      <w:bookmarkEnd w:id="622"/>
      <w:r/>
      <w:bookmarkEnd w:id="583"/>
      <w:r/>
      <w:bookmarkEnd w:id="584"/>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3" w:name="_Toc27376"/>
      <w:r/>
      <w:bookmarkStart w:id="624" w:name="_Toc26732"/>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争</w:t>
      </w:r>
      <w:bookmarkEnd w:id="585"/>
      <w:r>
        <w:rPr>
          <w:rFonts w:hint="eastAsia" w:ascii="宋体" w:hAnsi="宋体" w:eastAsia="宋体" w:cs="宋体"/>
          <w:color w:val="auto"/>
          <w:sz w:val="21"/>
          <w:szCs w:val="21"/>
          <w:highlight w:val="none"/>
        </w:rPr>
        <w:t xml:space="preserve">议评审</w:t>
      </w:r>
      <w:bookmarkEnd w:id="623"/>
      <w:r/>
      <w:bookmarkEnd w:id="624"/>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25" w:name="_Toc23775"/>
      <w:r/>
      <w:bookmarkStart w:id="626" w:name="_Toc11235"/>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 争议评审小组的确定</w:t>
      </w:r>
      <w:bookmarkEnd w:id="625"/>
      <w:r/>
      <w:bookmarkEnd w:id="626"/>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27" w:name="_Toc24576"/>
      <w:r/>
      <w:bookmarkStart w:id="628" w:name="_Toc2082"/>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争议评审小组的决定</w:t>
      </w:r>
      <w:bookmarkEnd w:id="627"/>
      <w:r/>
      <w:bookmarkEnd w:id="62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w:t>
      </w:r>
      <w:r>
        <w:rPr>
          <w:rFonts w:hint="eastAsia" w:ascii="宋体" w:hAnsi="宋体" w:eastAsia="宋体" w:cs="宋体"/>
          <w:color w:val="auto"/>
          <w:sz w:val="21"/>
          <w:szCs w:val="21"/>
          <w:highlight w:val="none"/>
          <w:lang w:eastAsia="zh-CN"/>
        </w:rPr>
        <w:t xml:space="preserve">本事</w:t>
      </w:r>
      <w:r>
        <w:rPr>
          <w:rFonts w:hint="eastAsia" w:ascii="宋体" w:hAnsi="宋体" w:eastAsia="宋体" w:cs="宋体"/>
          <w:color w:val="auto"/>
          <w:sz w:val="21"/>
          <w:szCs w:val="21"/>
          <w:highlight w:val="none"/>
        </w:rPr>
        <w:t xml:space="preserve">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9" w:name="_Toc13519"/>
      <w:r/>
      <w:bookmarkStart w:id="630" w:name="_Toc14174"/>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仲裁或诉讼</w:t>
      </w:r>
      <w:bookmarkEnd w:id="586"/>
      <w:r/>
      <w:bookmarkEnd w:id="629"/>
      <w:r/>
      <w:bookmarkEnd w:id="630"/>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种方式解决：</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盱眙县      </w:t>
      </w:r>
      <w:r>
        <w:rPr>
          <w:rFonts w:hint="eastAsia" w:ascii="宋体" w:hAnsi="宋体" w:eastAsia="宋体" w:cs="宋体"/>
          <w:color w:val="auto"/>
          <w:sz w:val="21"/>
          <w:szCs w:val="21"/>
          <w:highlight w:val="none"/>
        </w:rPr>
        <w:t xml:space="preserve">人民法院起诉。</w:t>
      </w:r>
      <w:bookmarkEnd w:id="587"/>
      <w:r/>
      <w:bookmarkEnd w:id="588"/>
      <w:r/>
      <w:bookmarkEnd w:id="589"/>
      <w:r/>
      <w:bookmarkEnd w:id="590"/>
      <w:r/>
      <w:bookmarkEnd w:id="591"/>
      <w:r/>
      <w:bookmarkEnd w:id="592"/>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eastAsia="zh-CN"/>
        </w:rPr>
        <w:t xml:space="preserve">. 补充条款：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承包人擅自停工的，发包人有权单方解除合同或安排其他施工队进场施工，施工费用从承包人工程款中扣除。如承包人擅自停工对发包人造成的损失，由承包人承担。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承包人施工进度缓慢或消极怠工，发包人或监理人认为承包人无法在合同工期内完成，发包人有权另行安排施工队进场施工，施工费用从承包人工程款中扣除。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承包人必须服从现场甲方代表、监理的协调指挥，不得野蛮施工。如三次书面警告无效后，发包人可单方解除合同。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承包人必须严格按照设计文件进行施工，所用材料必须符合相关设计及规范要求，严禁使用劣质产品，如经发现必须无条件返工。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承包人不得以任何理由煽动施工人员攻击公务人员或行政机关，如有发现发包人可单方解除合同。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审计核减金额超出送审金额的5%，所有审计费均由承包人承担。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承包人承担所有材料检测费用。</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建设工程质量保修书</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发包人、承包人根据《中华人民共和国建筑法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建设工程质量管理条例》和《房屋建筑工程质量保修办法》，经协商一致，对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（工程全称）</w:t>
      </w:r>
      <w:r>
        <w:rPr>
          <w:rFonts w:hint="eastAsia" w:ascii="宋体" w:hAnsi="宋体" w:eastAsia="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工程质量保修书。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承包人在质量保修期内，按照有关</w:t>
      </w:r>
      <w:r>
        <w:rPr>
          <w:rFonts w:hint="eastAsia" w:ascii="宋体" w:hAnsi="宋体" w:eastAsia="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、规章的管理规定和双方约定，承担本工程质量保修责任。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质量保修范围</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具体质量保修内容双方约定如下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所有施工项目按规定保修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二、质量保修期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双方根据《建设工程质量管理条例》及有关规定，约定本工程的质量保修期如下</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基础设施工程、房屋建筑的地基基础工程和主体工程质保期：以设计合理使用年限为准；</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屋面防水工程、有防水要求的卫生间、房间和外墙面的防渗漏为五年；</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装修工程为贰年；</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bCs/>
          <w:color w:val="auto"/>
          <w:sz w:val="21"/>
          <w:szCs w:val="21"/>
          <w:highlight w:val="none"/>
          <w:u w:val="single"/>
        </w:rPr>
        <w:t xml:space="preserve">贰个</w:t>
      </w:r>
      <w:r>
        <w:rPr>
          <w:rFonts w:hint="eastAsia" w:ascii="宋体" w:hAnsi="宋体" w:eastAsia="宋体" w:cs="宋体"/>
          <w:color w:val="auto"/>
          <w:sz w:val="21"/>
          <w:szCs w:val="21"/>
          <w:highlight w:val="none"/>
        </w:rPr>
        <w:t xml:space="preserve">采暖期、供冷期；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道路、水泥地坪等为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绿化、苗木等免费养护期为</w:t>
      </w:r>
      <w:r>
        <w:rPr>
          <w:rFonts w:hint="eastAsia" w:ascii="宋体" w:hAnsi="宋体" w:eastAsia="宋体" w:cs="宋体"/>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其他项目保修期限约定如下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按国家规定。        </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质量保修期自工程竣工验收合格之日起计算。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lang w:val="en-US" w:eastAsia="zh-CN"/>
        </w:rPr>
        <w:t xml:space="preserve"> 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四</w:t>
      </w:r>
      <w:r>
        <w:rPr>
          <w:rFonts w:hint="eastAsia" w:ascii="宋体" w:hAnsi="宋体" w:eastAsia="宋体" w:cs="宋体"/>
          <w:color w:val="auto"/>
          <w:sz w:val="21"/>
          <w:szCs w:val="21"/>
          <w:highlight w:val="none"/>
        </w:rPr>
        <w:t xml:space="preserve">、质量保修责任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属于保修范围和内容的项目，承包人应在接到修理通知之</w:t>
      </w:r>
      <w:r>
        <w:rPr>
          <w:rFonts w:hint="eastAsia" w:ascii="宋体" w:hAnsi="宋体" w:cs="宋体"/>
          <w:color w:val="auto"/>
          <w:sz w:val="21"/>
          <w:szCs w:val="21"/>
          <w:highlight w:val="none"/>
          <w:lang w:eastAsia="zh-CN"/>
        </w:rPr>
        <w:t xml:space="preserve">日起</w:t>
      </w:r>
      <w:r>
        <w:rPr>
          <w:rFonts w:hint="eastAsia" w:ascii="宋体" w:hAnsi="宋体" w:eastAsia="宋体" w:cs="宋体"/>
          <w:color w:val="auto"/>
          <w:sz w:val="21"/>
          <w:szCs w:val="21"/>
          <w:highlight w:val="none"/>
          <w:u w:val="single"/>
          <w:lang w:val="en-US" w:eastAsia="zh-CN"/>
        </w:rPr>
        <w:t xml:space="preserve">24小时</w:t>
      </w:r>
      <w:r>
        <w:rPr>
          <w:rFonts w:hint="eastAsia" w:ascii="宋体" w:hAnsi="宋体" w:eastAsia="宋体" w:cs="宋体"/>
          <w:color w:val="auto"/>
          <w:sz w:val="21"/>
          <w:szCs w:val="21"/>
          <w:highlight w:val="none"/>
        </w:rPr>
        <w:t xml:space="preserve">内派人进行修理。承包人不在约定期限内，派人修理，发包人可委托其他人员修理，产生的费用从质量保修金中扣除。</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发生紧急抢修事故的，承包人在接到事故通知后，应立即到达事故现场抢修。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承包人实施保修。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、保修费用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保修费用由造成质量缺陷的责任方承担。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工程质量保修书作为施工合同附件，由施工合同发包人、承包人双方在竣工验收前共同签署，作为施工合同附件，其有效期限至保修期满。</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附件2：</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建设工程廉政责任书</w:t>
      </w:r>
      <w:r/>
    </w:p>
    <w:p>
      <w:pPr>
        <w:jc w:val="left"/>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 （简称甲方）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在建设过程中，为加强建设工程廉政建设，规范建设工程各项活动中发包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一、双方的责任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1.1应严格遵守国家关于建设工程的有关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，相关政策，以及廉政建设的各项规定。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1.2严格执行建设工程合同文件，自觉按合同办事。</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1.3各项活动必须坚持公开、公平、公正、诚信、透明的原则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除法律法规另有规定者外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，不得为获取不正当的利益，损害国家、集体和对方利益，不得违反建设工程管理的规章制度。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二、发包人责任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发包人的领导和从事该建设工程项目的工作人员，在工程建设的事前、事中、事后应遵守以下规定：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2.1不得向承包人和相关单位索要或接受回扣、礼金、有价证券、贵重物品和好处费、感谢费等。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2.2不得在承包人和相关单位报销任何应由发包人或个人支付的费用。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2.3不得要求、暗示或接受承包人和相关单位为个人装修住房、婚丧嫁娶、配偶子女的工作安排以及出国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2.4不得参加有可能影响公正执行公务的承包人和相关单位的宴请、健身、娱乐等活动。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三、承包人责任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3.1不得以任何理由向发包人及其工作人员索要、接受或赠送礼金、有价证券、贵重物品及回扣、好处费、感谢费等。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3.2不得以任何理由为发包人和相关单位报销应由对方或个人支付的费用。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3.3不得接受或暗示为发包人、相关单位或个人装修住房、婚丧嫁娶、配偶子女的工作安排以及出国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3.4不得以任何理由为发包人、相关单位或个人组织有可能影响公正执行公务的宴请、健身、娱乐等活动。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四、违约责任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4.1发包人工作人员有违反本责任书第一、二条责任行为的，依据有关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给予处理；涉嫌犯罪的，移交司法机关追究刑事责任；给承包人单位造成经济损失的，应予以赔偿。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4.3本责任书作为建设工程合同的组成部分，与建设工程合同具有同等法律效力。经双方签署后立即生效。</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五、责任书有效期</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本责任书的有效期为双方签署之日起至该工程项目竣工验收合格时止。</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六、责任书份数</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本责任书一式四份，发包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承包人各执二份，具有同等效力。</w:t>
      </w:r>
      <w:r/>
    </w:p>
    <w:p>
      <w:pPr>
        <w:pStyle w:val="944"/>
        <w:ind w:left="0" w:firstLine="36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4"/>
        <w:ind w:left="0" w:righ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承包人（公章）：</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63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附件3</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建设工程承发包安全管理协议</w:t>
      </w:r>
      <w:r/>
    </w:p>
    <w:p>
      <w:pPr>
        <w:ind w:firstLine="1897"/>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（简称甲方）</w:t>
      </w:r>
      <w:r/>
    </w:p>
    <w:p>
      <w:pPr>
        <w:ind w:firstLine="422"/>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（简称乙方）</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一、承包施工项目</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工程地址：</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二、工程项目施工期限</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按照甲乙双方合同协议书</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三、协议内容</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乙方在施工前要认真</w:t>
      </w:r>
      <w:r>
        <w:rPr>
          <w:rFonts w:hint="eastAsia" w:ascii="宋体" w:hAnsi="宋体" w:eastAsia="宋体" w:cs="宋体"/>
          <w:color w:val="auto"/>
          <w:sz w:val="21"/>
          <w:szCs w:val="21"/>
          <w:highlight w:val="none"/>
          <w:lang w:eastAsia="zh-CN"/>
        </w:rPr>
        <w:t xml:space="preserve">勘查现场</w:t>
      </w:r>
      <w:r>
        <w:rPr>
          <w:rFonts w:hint="eastAsia" w:ascii="宋体" w:hAnsi="宋体" w:eastAsia="宋体" w:cs="宋体"/>
          <w:color w:val="auto"/>
          <w:sz w:val="21"/>
          <w:szCs w:val="21"/>
          <w:highlight w:val="none"/>
        </w:rPr>
        <w:t xml:space="preserve">，进场后首先必须做好施工现场围护，防止闲杂人员进入施工现场，发生安全事故。</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甲乙双方的有关领导必须认真对本单位职工进行安全生产制度及安全技术知识教育，增强</w:t>
      </w:r>
      <w:r>
        <w:rPr>
          <w:rFonts w:hint="eastAsia" w:ascii="宋体" w:hAnsi="宋体" w:eastAsia="宋体" w:cs="宋体"/>
          <w:color w:val="auto"/>
          <w:sz w:val="21"/>
          <w:szCs w:val="21"/>
          <w:highlight w:val="none"/>
          <w:lang w:eastAsia="zh-CN"/>
        </w:rPr>
        <w:t xml:space="preserve">法治观念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增强</w:t>
      </w:r>
      <w:r>
        <w:rPr>
          <w:rFonts w:hint="eastAsia" w:ascii="宋体" w:hAnsi="宋体" w:eastAsia="宋体" w:cs="宋体"/>
          <w:color w:val="auto"/>
          <w:sz w:val="21"/>
          <w:szCs w:val="21"/>
          <w:highlight w:val="none"/>
        </w:rPr>
        <w:t xml:space="preserve">职工的安全生产思想意识和自我</w:t>
      </w:r>
      <w:r>
        <w:rPr>
          <w:rFonts w:hint="eastAsia" w:ascii="宋体" w:hAnsi="宋体" w:cs="宋体"/>
          <w:color w:val="auto"/>
          <w:sz w:val="21"/>
          <w:szCs w:val="21"/>
          <w:highlight w:val="none"/>
          <w:lang w:eastAsia="zh-CN"/>
        </w:rPr>
        <w:t xml:space="preserve">保护</w:t>
      </w:r>
      <w:r>
        <w:rPr>
          <w:rFonts w:hint="eastAsia" w:ascii="宋体" w:hAnsi="宋体" w:eastAsia="宋体" w:cs="宋体"/>
          <w:color w:val="auto"/>
          <w:sz w:val="21"/>
          <w:szCs w:val="21"/>
          <w:highlight w:val="none"/>
        </w:rPr>
        <w:t xml:space="preserve">能力，督促职工自觉遵守安全生产纪律、制度和法规。</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根据工程项目内容、特点，甲乙双方应做好安全技术交底，并有交底的书面材料。</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交底材料一式三份，由甲乙双方和监理各执一份。</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在生产操作过程中的个人防护用品，由各方自理，甲乙双方都应督促施工现场人员自觉穿戴好防护用品。</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乙方必须严格执行各类防火防爆制度，易燃易爆场所严禁吸烟及动用明火，消防器材不准挪作他用。电焊、</w:t>
      </w:r>
      <w:r>
        <w:rPr>
          <w:rFonts w:hint="eastAsia" w:ascii="宋体" w:hAnsi="宋体" w:cs="宋体"/>
          <w:color w:val="auto"/>
          <w:sz w:val="21"/>
          <w:szCs w:val="21"/>
          <w:highlight w:val="none"/>
          <w:lang w:eastAsia="zh-CN"/>
        </w:rPr>
        <w:t xml:space="preserve">切割</w:t>
      </w:r>
      <w:r>
        <w:rPr>
          <w:rFonts w:hint="eastAsia" w:ascii="宋体" w:hAnsi="宋体" w:eastAsia="宋体" w:cs="宋体"/>
          <w:color w:val="auto"/>
          <w:sz w:val="21"/>
          <w:szCs w:val="21"/>
          <w:highlight w:val="none"/>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乙方需用甲方提供的电气设备，在使用前应先进行检测，并做好检测记录，如不符合安全规定的应及时整改，整改合格后</w:t>
      </w:r>
      <w:r>
        <w:rPr>
          <w:rFonts w:hint="eastAsia" w:ascii="宋体" w:hAnsi="宋体" w:eastAsia="宋体" w:cs="宋体"/>
          <w:color w:val="auto"/>
          <w:sz w:val="21"/>
          <w:szCs w:val="21"/>
          <w:highlight w:val="none"/>
          <w:lang w:eastAsia="zh-CN"/>
        </w:rPr>
        <w:t xml:space="preserve">方可</w:t>
      </w:r>
      <w:r>
        <w:rPr>
          <w:rFonts w:hint="eastAsia" w:ascii="宋体" w:hAnsi="宋体" w:eastAsia="宋体" w:cs="宋体"/>
          <w:color w:val="auto"/>
          <w:sz w:val="21"/>
          <w:szCs w:val="21"/>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w:t>
      </w:r>
      <w:r>
        <w:rPr>
          <w:rFonts w:hint="eastAsia" w:ascii="宋体" w:hAnsi="宋体" w:eastAsia="宋体" w:cs="宋体"/>
          <w:color w:val="auto"/>
          <w:sz w:val="21"/>
          <w:szCs w:val="21"/>
          <w:highlight w:val="none"/>
        </w:rPr>
        <w:t xml:space="preserve">本协议经立协双方签字、盖章有效。作为合同正本的附件一式四份，甲、乙双方各执二份。</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21.</w:t>
      </w:r>
      <w:r>
        <w:rPr>
          <w:rFonts w:hint="eastAsia" w:ascii="宋体" w:hAnsi="宋体" w:eastAsia="宋体" w:cs="宋体"/>
          <w:color w:val="auto"/>
          <w:sz w:val="21"/>
          <w:szCs w:val="21"/>
          <w:highlight w:val="none"/>
        </w:rPr>
        <w:t xml:space="preserve">本协议同工程合同正本同日生效，甲、乙双方必须严格执行，由于违反本协议而造成伤亡事故，由违约方承担一切责任。</w:t>
      </w:r>
      <w:r/>
    </w:p>
    <w:p>
      <w:pPr>
        <w:ind w:firstLine="403"/>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03"/>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                       乙方（盖章）：</w:t>
      </w:r>
      <w:r/>
    </w:p>
    <w:p>
      <w:pPr>
        <w:ind w:firstLine="409"/>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03"/>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03"/>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jc w:val="left"/>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附件4</w:t>
      </w:r>
      <w:r/>
    </w:p>
    <w:p>
      <w:pPr>
        <w:jc w:val="center"/>
        <w:rPr>
          <w:rFonts w:hint="eastAsia" w:hAnsi="宋体" w:cs="宋体"/>
          <w:b/>
          <w:color w:val="auto"/>
          <w:sz w:val="28"/>
          <w:szCs w:val="28"/>
          <w:highlight w:val="none"/>
          <w:lang w:val="en-US" w:eastAsia="zh-CN"/>
        </w:rPr>
      </w:pPr>
      <w:r>
        <w:rPr>
          <w:rFonts w:hint="eastAsia" w:hAnsi="宋体" w:cs="宋体"/>
          <w:b/>
          <w:color w:val="auto"/>
          <w:sz w:val="28"/>
          <w:szCs w:val="28"/>
          <w:highlight w:val="none"/>
          <w:lang w:val="en-US" w:eastAsia="zh-CN"/>
        </w:rPr>
        <w:t xml:space="preserve">建筑工人实名登记表</w:t>
      </w:r>
      <w:r/>
    </w:p>
    <w:tbl>
      <w:tblPr>
        <w:tblStyle w:val="9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245"/>
        <w:gridCol w:w="3315"/>
        <w:gridCol w:w="1755"/>
        <w:gridCol w:w="1260"/>
        <w:gridCol w:w="1382"/>
      </w:tblGrid>
      <w:tr>
        <w:trPr>
          <w:trHeight w:val="422"/>
        </w:trPr>
        <w:tc>
          <w:tcPr>
            <w:gridSpan w:val="6"/>
            <w:tcW w:w="9628" w:type="dxa"/>
            <w:vAlign w:val="center"/>
            <w:textDirection w:val="lrTb"/>
            <w:noWrap w:val="false"/>
          </w:tcPr>
          <w:p>
            <w:pPr>
              <w:jc w:val="both"/>
              <w:rPr>
                <w:rFonts w:hint="default" w:hAnsi="宋体" w:cs="宋体"/>
                <w:b/>
                <w:color w:val="auto"/>
                <w:sz w:val="24"/>
                <w:szCs w:val="24"/>
                <w:highlight w:val="none"/>
                <w:vertAlign w:val="baseline"/>
                <w:lang w:val="en-US" w:eastAsia="zh-CN"/>
              </w:rPr>
            </w:pPr>
            <w:r>
              <w:rPr>
                <w:rFonts w:hint="eastAsia" w:hAnsi="宋体" w:cs="宋体"/>
                <w:b w:val="0"/>
                <w:bCs/>
                <w:color w:val="auto"/>
                <w:sz w:val="22"/>
                <w:szCs w:val="22"/>
                <w:highlight w:val="none"/>
                <w:vertAlign w:val="baseline"/>
                <w:lang w:val="en-US" w:eastAsia="zh-CN"/>
              </w:rPr>
              <w:t xml:space="preserve">项目名称：                                                          日期：</w:t>
            </w:r>
            <w:r/>
          </w:p>
        </w:tc>
      </w:tr>
      <w:tr>
        <w:trPr>
          <w:trHeight w:val="522"/>
        </w:trPr>
        <w:tc>
          <w:tcPr>
            <w:tcW w:w="671" w:type="dxa"/>
            <w:vAlign w:val="center"/>
            <w:textDirection w:val="lrTb"/>
            <w:noWrap w:val="false"/>
          </w:tcPr>
          <w:p>
            <w:pPr>
              <w:jc w:val="center"/>
              <w:rPr>
                <w:rFonts w:hint="default" w:hAnsi="宋体" w:cs="宋体"/>
                <w:b/>
                <w:color w:val="auto"/>
                <w:sz w:val="22"/>
                <w:szCs w:val="22"/>
                <w:highlight w:val="none"/>
                <w:vertAlign w:val="baseline"/>
                <w:lang w:val="en-US" w:eastAsia="zh-CN"/>
              </w:rPr>
            </w:pPr>
            <w:r>
              <w:rPr>
                <w:rFonts w:hint="eastAsia" w:hAnsi="宋体" w:cs="宋体"/>
                <w:b/>
                <w:color w:val="auto"/>
                <w:sz w:val="22"/>
                <w:szCs w:val="22"/>
                <w:highlight w:val="none"/>
                <w:vertAlign w:val="baseline"/>
                <w:lang w:val="en-US" w:eastAsia="zh-CN"/>
              </w:rPr>
              <w:t xml:space="preserve">序号</w:t>
            </w:r>
            <w:r/>
          </w:p>
        </w:tc>
        <w:tc>
          <w:tcPr>
            <w:tcW w:w="1245" w:type="dxa"/>
            <w:vAlign w:val="center"/>
            <w:textDirection w:val="lrTb"/>
            <w:noWrap w:val="false"/>
          </w:tcPr>
          <w:p>
            <w:pPr>
              <w:jc w:val="center"/>
              <w:rPr>
                <w:rFonts w:hint="default" w:hAnsi="宋体" w:cs="宋体"/>
                <w:b/>
                <w:color w:val="auto"/>
                <w:sz w:val="22"/>
                <w:szCs w:val="22"/>
                <w:highlight w:val="none"/>
                <w:vertAlign w:val="baseline"/>
                <w:lang w:val="en-US" w:eastAsia="zh-CN"/>
              </w:rPr>
            </w:pPr>
            <w:r>
              <w:rPr>
                <w:rFonts w:hint="eastAsia" w:hAnsi="宋体" w:cs="宋体"/>
                <w:b/>
                <w:color w:val="auto"/>
                <w:sz w:val="22"/>
                <w:szCs w:val="22"/>
                <w:highlight w:val="none"/>
                <w:vertAlign w:val="baseline"/>
                <w:lang w:val="en-US" w:eastAsia="zh-CN"/>
              </w:rPr>
              <w:t xml:space="preserve">姓名</w:t>
            </w:r>
            <w:r/>
          </w:p>
        </w:tc>
        <w:tc>
          <w:tcPr>
            <w:tcW w:w="3315" w:type="dxa"/>
            <w:vAlign w:val="center"/>
            <w:textDirection w:val="lrTb"/>
            <w:noWrap w:val="false"/>
          </w:tcPr>
          <w:p>
            <w:pPr>
              <w:jc w:val="center"/>
              <w:rPr>
                <w:rFonts w:hint="eastAsia" w:hAnsi="宋体" w:cs="宋体"/>
                <w:b/>
                <w:color w:val="auto"/>
                <w:sz w:val="22"/>
                <w:szCs w:val="22"/>
                <w:highlight w:val="none"/>
                <w:vertAlign w:val="baseline"/>
                <w:lang w:val="en-US" w:eastAsia="zh-CN"/>
              </w:rPr>
            </w:pPr>
            <w:r>
              <w:rPr>
                <w:rFonts w:hint="eastAsia" w:hAnsi="宋体" w:cs="宋体"/>
                <w:b/>
                <w:color w:val="auto"/>
                <w:sz w:val="22"/>
                <w:szCs w:val="22"/>
                <w:highlight w:val="none"/>
                <w:vertAlign w:val="baseline"/>
                <w:lang w:val="en-US" w:eastAsia="zh-CN"/>
              </w:rPr>
              <w:t xml:space="preserve">身份证号码</w:t>
            </w:r>
            <w:r/>
          </w:p>
        </w:tc>
        <w:tc>
          <w:tcPr>
            <w:tcW w:w="1755" w:type="dxa"/>
            <w:vAlign w:val="center"/>
            <w:textDirection w:val="lrTb"/>
            <w:noWrap w:val="false"/>
          </w:tcPr>
          <w:p>
            <w:pPr>
              <w:jc w:val="center"/>
              <w:rPr>
                <w:rFonts w:hint="default" w:hAnsi="宋体" w:cs="宋体"/>
                <w:b/>
                <w:color w:val="auto"/>
                <w:sz w:val="22"/>
                <w:szCs w:val="22"/>
                <w:highlight w:val="none"/>
                <w:vertAlign w:val="baseline"/>
                <w:lang w:val="en-US" w:eastAsia="zh-CN"/>
              </w:rPr>
            </w:pPr>
            <w:r>
              <w:rPr>
                <w:rFonts w:hint="eastAsia" w:hAnsi="宋体" w:cs="宋体"/>
                <w:b/>
                <w:color w:val="auto"/>
                <w:sz w:val="22"/>
                <w:szCs w:val="22"/>
                <w:highlight w:val="none"/>
                <w:vertAlign w:val="baseline"/>
                <w:lang w:val="en-US" w:eastAsia="zh-CN"/>
              </w:rPr>
              <w:t xml:space="preserve">时间</w:t>
            </w:r>
            <w:r/>
          </w:p>
        </w:tc>
        <w:tc>
          <w:tcPr>
            <w:tcW w:w="1260" w:type="dxa"/>
            <w:vAlign w:val="center"/>
            <w:textDirection w:val="lrTb"/>
            <w:noWrap w:val="false"/>
          </w:tcPr>
          <w:p>
            <w:pPr>
              <w:jc w:val="center"/>
              <w:rPr>
                <w:rFonts w:hint="default" w:hAnsi="宋体" w:cs="宋体"/>
                <w:b/>
                <w:color w:val="auto"/>
                <w:sz w:val="22"/>
                <w:szCs w:val="22"/>
                <w:highlight w:val="none"/>
                <w:vertAlign w:val="baseline"/>
                <w:lang w:val="en-US" w:eastAsia="zh-CN"/>
              </w:rPr>
            </w:pPr>
            <w:r>
              <w:rPr>
                <w:rFonts w:hint="eastAsia" w:hAnsi="宋体" w:cs="宋体"/>
                <w:b/>
                <w:color w:val="auto"/>
                <w:sz w:val="22"/>
                <w:szCs w:val="22"/>
                <w:highlight w:val="none"/>
                <w:vertAlign w:val="baseline"/>
                <w:lang w:val="en-US" w:eastAsia="zh-CN"/>
              </w:rPr>
              <w:t xml:space="preserve">签名</w:t>
            </w:r>
            <w:r/>
          </w:p>
        </w:tc>
        <w:tc>
          <w:tcPr>
            <w:tcW w:w="1382" w:type="dxa"/>
            <w:vAlign w:val="center"/>
            <w:textDirection w:val="lrTb"/>
            <w:noWrap w:val="false"/>
          </w:tcPr>
          <w:p>
            <w:pPr>
              <w:jc w:val="center"/>
              <w:rPr>
                <w:rFonts w:hint="default" w:hAnsi="宋体" w:cs="宋体"/>
                <w:b/>
                <w:color w:val="auto"/>
                <w:sz w:val="22"/>
                <w:szCs w:val="22"/>
                <w:highlight w:val="none"/>
                <w:vertAlign w:val="baseline"/>
                <w:lang w:val="en-US" w:eastAsia="zh-CN"/>
              </w:rPr>
            </w:pPr>
            <w:r>
              <w:rPr>
                <w:rFonts w:hint="eastAsia" w:hAnsi="宋体" w:cs="宋体"/>
                <w:b/>
                <w:color w:val="auto"/>
                <w:sz w:val="22"/>
                <w:szCs w:val="22"/>
                <w:highlight w:val="none"/>
                <w:vertAlign w:val="baseline"/>
                <w:lang w:val="en-US" w:eastAsia="zh-CN"/>
              </w:rPr>
              <w:t xml:space="preserve">联系电话</w:t>
            </w:r>
            <w:r/>
          </w:p>
        </w:tc>
      </w:tr>
      <w:tr>
        <w:trPr/>
        <w:tc>
          <w:tcPr>
            <w:tcW w:w="671"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4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331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75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60"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382"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r>
      <w:tr>
        <w:trPr/>
        <w:tc>
          <w:tcPr>
            <w:tcW w:w="671"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4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331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75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60"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382"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r>
      <w:tr>
        <w:trPr/>
        <w:tc>
          <w:tcPr>
            <w:tcW w:w="671"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4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331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75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60"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382"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r>
      <w:tr>
        <w:trPr/>
        <w:tc>
          <w:tcPr>
            <w:tcW w:w="671"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4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331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75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60"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382"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r>
      <w:tr>
        <w:trPr/>
        <w:tc>
          <w:tcPr>
            <w:tcW w:w="671"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4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331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75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60"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382"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r>
      <w:tr>
        <w:trPr/>
        <w:tc>
          <w:tcPr>
            <w:tcW w:w="671"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4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331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75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60"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382"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r>
      <w:tr>
        <w:trPr/>
        <w:tc>
          <w:tcPr>
            <w:tcW w:w="671"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4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331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75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60"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382"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r>
      <w:tr>
        <w:trPr/>
        <w:tc>
          <w:tcPr>
            <w:tcW w:w="671"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4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331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75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60"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382"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r>
      <w:tr>
        <w:trPr/>
        <w:tc>
          <w:tcPr>
            <w:tcW w:w="671"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4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331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75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60"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382"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r>
      <w:tr>
        <w:trPr/>
        <w:tc>
          <w:tcPr>
            <w:tcW w:w="671"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4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331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75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60"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382"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r>
      <w:tr>
        <w:trPr/>
        <w:tc>
          <w:tcPr>
            <w:tcW w:w="671"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4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331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755"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260"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c>
          <w:tcPr>
            <w:tcW w:w="1382" w:type="dxa"/>
            <w:textDirection w:val="lrTb"/>
            <w:noWrap w:val="false"/>
          </w:tcPr>
          <w:p>
            <w:pPr>
              <w:rPr>
                <w:rFonts w:hint="eastAsia" w:hAnsi="宋体" w:cs="宋体"/>
                <w:b/>
                <w:color w:val="auto"/>
                <w:sz w:val="40"/>
                <w:szCs w:val="40"/>
                <w:highlight w:val="none"/>
                <w:vertAlign w:val="baseline"/>
                <w:lang w:val="en-US" w:eastAsia="zh-CN"/>
              </w:rPr>
            </w:pPr>
            <w:r>
              <w:rPr>
                <w:rFonts w:hint="eastAsia" w:hAnsi="宋体" w:cs="宋体"/>
                <w:b/>
                <w:color w:val="auto"/>
                <w:sz w:val="40"/>
                <w:szCs w:val="40"/>
                <w:highlight w:val="none"/>
                <w:vertAlign w:val="baseline"/>
                <w:lang w:val="en-US" w:eastAsia="zh-CN"/>
              </w:rPr>
            </w:r>
            <w:r/>
          </w:p>
        </w:tc>
      </w:tr>
    </w:tbl>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943"/>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43"/>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943"/>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943"/>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43"/>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44"/>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944"/>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973"/>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973"/>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973"/>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973"/>
        <w:numPr>
          <w:ilvl w:val="0"/>
          <w:numId w:val="8"/>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973"/>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973"/>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73"/>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73"/>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43"/>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943"/>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43"/>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50"/>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950"/>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95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95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93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442"/>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950"/>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950"/>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950"/>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pStyle w:val="943"/>
        <w:numPr>
          <w:ilvl w:val="0"/>
          <w:numId w:val="9"/>
        </w:numPr>
        <w:ind w:firstLine="361"/>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报价明细表</w:t>
      </w:r>
      <w:r/>
    </w:p>
    <w:p>
      <w:pPr>
        <w:pStyle w:val="943"/>
        <w:numPr>
          <w:ilvl w:val="0"/>
          <w:numId w:val="0"/>
        </w:numPr>
        <w:jc w:val="both"/>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r>
      <w:r/>
    </w:p>
    <w:tbl>
      <w:tblPr>
        <w:tblStyle w:val="938"/>
        <w:tblpPr w:horzAnchor="page" w:tblpX="1323" w:vertAnchor="text" w:tblpY="384" w:leftFromText="180" w:topFromText="0" w:rightFromText="180" w:bottomFromText="0"/>
        <w:tblW w:w="101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6"/>
        <w:gridCol w:w="918"/>
        <w:gridCol w:w="3248"/>
        <w:gridCol w:w="684"/>
        <w:gridCol w:w="1121"/>
        <w:gridCol w:w="1384"/>
        <w:gridCol w:w="1500"/>
        <w:gridCol w:w="641"/>
      </w:tblGrid>
      <w:tr>
        <w:trPr>
          <w:trHeight w:val="706"/>
        </w:trPr>
        <w:tc>
          <w:tcPr>
            <w:gridSpan w:val="8"/>
            <w:shd w:val="clear" w:color="auto" w:fill="ffffff"/>
            <w:tcBorders>
              <w:top w:val="single" w:color="000000" w:sz="4" w:space="0"/>
              <w:left w:val="single" w:color="000000" w:sz="4" w:space="0"/>
              <w:bottom w:val="single" w:color="000000" w:sz="4" w:space="0"/>
              <w:right w:val="single" w:color="000000" w:sz="4" w:space="0"/>
            </w:tcBorders>
            <w:tcW w:w="10102" w:type="dxa"/>
            <w:vAlign w:val="center"/>
            <w:textDirection w:val="lrTb"/>
            <w:noWrap/>
          </w:tcPr>
          <w:p>
            <w:pPr>
              <w:jc w:val="center"/>
              <w:keepLines w:val="0"/>
              <w:keepNext w:val="0"/>
              <w:widowControl/>
              <w:rPr>
                <w:rFonts w:hint="default" w:ascii="宋体" w:hAnsi="宋体" w:eastAsia="宋体" w:cs="宋体"/>
                <w:b/>
                <w:bCs/>
                <w:i w:val="0"/>
                <w:iCs w:val="0"/>
                <w:color w:val="auto"/>
                <w:sz w:val="32"/>
                <w:szCs w:val="32"/>
                <w:highlight w:val="none"/>
                <w:u w:val="none"/>
                <w:lang w:val="en-US"/>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全费用工程量清单</w:t>
            </w:r>
            <w:r>
              <w:rPr>
                <w:rFonts w:hint="eastAsia" w:ascii="宋体" w:hAnsi="宋体" w:cs="宋体"/>
                <w:b/>
                <w:bCs/>
                <w:i w:val="0"/>
                <w:iCs w:val="0"/>
                <w:color w:val="auto"/>
                <w:sz w:val="32"/>
                <w:szCs w:val="32"/>
                <w:highlight w:val="none"/>
                <w:u w:val="none"/>
                <w:lang w:val="en-US" w:eastAsia="zh-CN" w:bidi="ar"/>
              </w:rPr>
              <w:t xml:space="preserve">与计价表</w:t>
            </w:r>
            <w:r/>
          </w:p>
        </w:tc>
      </w:tr>
      <w:tr>
        <w:trPr>
          <w:trHeight w:val="400"/>
        </w:trPr>
        <w:tc>
          <w:tcPr>
            <w:gridSpan w:val="8"/>
            <w:shd w:val="clear" w:color="auto" w:fill="ffffff"/>
            <w:tcBorders>
              <w:top w:val="single" w:color="000000" w:sz="4" w:space="0"/>
              <w:left w:val="single" w:color="000000" w:sz="4" w:space="0"/>
              <w:bottom w:val="single" w:color="000000" w:sz="4" w:space="0"/>
              <w:right w:val="single" w:color="000000" w:sz="4" w:space="0"/>
            </w:tcBorders>
            <w:tcW w:w="10102" w:type="dxa"/>
            <w:vAlign w:val="bottom"/>
            <w:textDirection w:val="lrTb"/>
            <w:noWrap w:val="false"/>
          </w:tcPr>
          <w:p>
            <w:pPr>
              <w:jc w:val="both"/>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项目名称：盱眙县实验小学运动场地（总部校区篮球场、排球场、看台、三分校排球场等）改造项目</w:t>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606"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18"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248"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项目特征描述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计量</w:t>
            </w:r>
            <w:r/>
          </w:p>
        </w:tc>
        <w:tc>
          <w:tcPr>
            <w:shd w:val="clear" w:color="auto" w:fill="ffffff"/>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工程量</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全费用金额（元）</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48"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综合评价</w:t>
            </w:r>
            <w:r/>
          </w:p>
        </w:tc>
        <w:tc>
          <w:tcPr>
            <w:shd w:val="clear" w:color="auto" w:fill="ffffff"/>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其中暂估价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三分校校区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48"/>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地面固化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1、位置：地面混凝土起砂处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2、使用混凝土密封固化剂1:3兑水滚涂浸泡，增强地面强度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3、固化后满足甲方使用要求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硅PU</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2、局部找平（现场自行勘察）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一、环保要求（强制性）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VOC：≤670 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苯：≤0.3%；游离TDI：≤0.1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重金属：铅≤50 mg/kg、镉≤10 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邻苯二甲酸酯：总和≤1.0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气味：无刺鼻异味，仅轻微树脂味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二、物理性能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硬度（邵A，20℃）：65–80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回弹值：≥20%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冲击吸收率：≥12%（球场20%–50%）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滑动摩擦系数：0.4–0.7（BPN 80–110，干测）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拉伸强度：≥1.5 MPa；拉断伸长率：≥200%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压缩复原率：≥95%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耐磨性（750g/500r）：≤0.060 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阻燃性：Ⅰ级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三、耐候与耐久（户外寿命关键）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耐人工老化（300h）：不起泡、不剥落、无裂纹；粉化≤1级，ΔE≤6.0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01"/>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地面固化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1.位置：地面混凝土起砂处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2、使用混凝土密封固化剂1:3兑水滚涂浸泡，增强地面强度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3、固化后满足甲方使用要求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0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硅PU</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2、局部找平（现场自行勘察）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一、环保要求（强制性）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VOC：≤670 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苯：≤0.3%；游离TDI：≤0.1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重金属：铅≤50 mg/kg、镉≤10 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邻苯二甲酸酯：总和≤1.0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气味：无刺鼻异味，仅轻微树脂味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二、物理性能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硬度（邵A，20℃）：65–80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回弹值：≥20%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冲击吸收率：≥12%（球场20%–50%）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滑动摩擦系数：0.4–0.7（BPN 80–110，干测）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拉伸强度：≥1.5 MPa；拉断伸长率：≥200%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压缩复原率：≥95%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耐磨性（750g/500r）：≤0.060 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阻燃性：Ⅰ级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三、耐候与耐久（户外寿命关键）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耐人工老化（300h）：不起泡、不剥落、无裂纹；粉化≤1级，ΔE≤6.0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70"/>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总部篮球场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1.原地面混凝土破除                   2、拆除厚度：25cm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3、垃圾外运、运距自行考虑</w:t>
            </w:r>
            <w:r>
              <w:rPr>
                <w:rFonts w:hint="eastAsia" w:ascii="宋体" w:hAnsi="宋体" w:cs="宋体"/>
                <w:i w:val="0"/>
                <w:iCs w:val="0"/>
                <w:color w:val="auto"/>
                <w:sz w:val="21"/>
                <w:szCs w:val="21"/>
                <w:highlight w:val="none"/>
                <w:u w:val="none"/>
                <w:lang w:val="en-US" w:eastAsia="zh-CN" w:bidi="ar"/>
              </w:rPr>
              <w:t xml:space="preserve">，包含渣土费用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场地平整及清理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原硅PU地面清理                                                       2、垃圾外运、运距自行考虑</w:t>
            </w:r>
            <w:r>
              <w:rPr>
                <w:rFonts w:hint="eastAsia" w:ascii="宋体" w:hAnsi="宋体" w:cs="宋体"/>
                <w:i w:val="0"/>
                <w:iCs w:val="0"/>
                <w:color w:val="auto"/>
                <w:sz w:val="21"/>
                <w:szCs w:val="21"/>
                <w:highlight w:val="none"/>
                <w:u w:val="none"/>
                <w:lang w:val="en-US" w:eastAsia="zh-CN" w:bidi="ar"/>
              </w:rPr>
              <w:t xml:space="preserve">，包含渣土费用</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1.石料规格：级配碎石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1.混凝土强度等级：C30商品混凝土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3、养护：按规范要求养护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9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地面固化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1.位置：地面混凝土起砂处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2、使用混凝土密封固化剂1:3兑水滚涂浸泡，增强地面强度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2、固化后满足甲方使用要求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24"/>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硅PU</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2、局部找平（现场自行勘察）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一、环保要求（强制性）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VOC：≤670 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苯：≤0.3%；游离TDI：≤0.1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重金属：铅≤50 mg/kg、镉≤10 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邻苯二甲酸酯：总和≤1.0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气味：无刺鼻异味，仅轻微树脂味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二、物理性能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硬度（邵A，20℃）：65–80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回弹值：≥20%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冲击吸收率：≥12%（球场20%–50%）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滑动摩擦系数：0.4–0.7（BPN 80–110，干测）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拉伸强度：≥1.5 MPa；拉断伸长率：≥200%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压缩复原率：≥95%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耐磨性（750g/500r）：≤0.060 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阻燃性：Ⅰ级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三、耐候与耐久（户外寿命关键）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耐人工老化（300h）：不起泡、不剥落、无裂纹；粉化≤1级，ΔE≤6.0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934"/>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原排水沟拆除</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1.原排水沟拆除；                        2、原沟盖板利用的放在甲方指定地点，损坏的数量须经甲方认可数量，否则不增加；包含垃 圾清运；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2"/>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6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总部排球场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场地平整及清理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1.原硅PU地面清理                                                       2、垃圾外运、运距自行考虑，包含渣土费用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3,127.50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地面固化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1.位置：地面混凝土起砂处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2、使用混凝土密封固化剂1:3兑水滚涂浸泡，增强地面强度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2、固化后满足甲方使用要求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3,127.50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0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硅PU</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2、局部找平（现场自行勘察）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一、环保要求（强制性）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VOC：≤670 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苯：≤0.3%；游离TDI：≤0.1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重金属：铅≤50 mg/kg、镉≤10 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邻苯二甲酸酯：总和≤1.0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气味：无刺鼻异味，仅轻微树脂味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二、物理性能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硬度（邵A，20℃）：65–80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回弹值：≥20%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冲击吸收率：≥12%（球场20%–50%）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滑动摩擦系数：0.4–0.7（BPN 80–110，干测）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拉伸强度：≥1.5 MPa；拉断伸长率：≥200%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压缩复原率：≥95%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耐磨性（750g/500r）：≤0.060 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阻燃性：Ⅰ级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三、耐候与耐久（户外寿命关键）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耐人工老化（300h）：不起泡、不剥落、无裂纹；粉化≤1级，ΔE≤6.0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落水管：DN110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1、三类土破除40cm厚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2、管道安装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3、土方回填</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土方外运</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弃土</w:t>
            </w:r>
            <w:r>
              <w:rPr>
                <w:rFonts w:hint="eastAsia" w:ascii="宋体" w:hAnsi="宋体" w:eastAsia="宋体" w:cs="宋体"/>
                <w:i w:val="0"/>
                <w:iCs w:val="0"/>
                <w:color w:val="auto"/>
                <w:sz w:val="21"/>
                <w:szCs w:val="21"/>
                <w:highlight w:val="none"/>
                <w:u w:val="none"/>
                <w:lang w:val="en-US" w:eastAsia="zh-CN" w:bidi="ar"/>
              </w:rPr>
              <w:t xml:space="preserve">外运、运距自行考虑，包含渣土费用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1.名称：草坪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2、铺种方式：草坪种植区域铺种植土找平，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3、养护期：两年养护期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排水沟</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1.排水沟（深度：0.5m以内）              2、原混凝土路面破除                   2、砌筑材料品种、规格、强度等级：砖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3、勾缝、抹面要求：抹灰                    4、盖板材质、规格：水泥盖板</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路缘石</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1.材料品种、规格：芝麻白花岗岩路牙1000*150*100mm                  2、基础：C25混凝土10cm</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1.1:2水泥砂浆20mm厚（投标单位自行勘探）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cs="宋体"/>
                <w:b/>
                <w:bCs/>
                <w:i w:val="0"/>
                <w:iCs w:val="0"/>
                <w:color w:val="auto"/>
                <w:sz w:val="21"/>
                <w:szCs w:val="21"/>
                <w:highlight w:val="none"/>
                <w:u w:val="none"/>
                <w:lang w:val="en-US" w:eastAsia="zh-CN"/>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总部看台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拆除看台</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1.原看台土破除、开门洞及地面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2、垃圾外运、运距自行考虑，包含渣土费用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854.70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拆除粉刷层</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原看台台阶粉刷层拆除</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台阶粉刷</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1.1:2水泥砂浆20mm厚</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eastAsia" w:ascii="Arial" w:hAnsi="Arial" w:cs="Arial"/>
                <w:i w:val="0"/>
                <w:iCs w:val="0"/>
                <w:color w:val="auto"/>
                <w:sz w:val="20"/>
                <w:szCs w:val="20"/>
                <w:highlight w:val="none"/>
                <w:u w:val="none"/>
              </w:rPr>
            </w:pPr>
            <w:r>
              <w:rPr>
                <w:rFonts w:hint="eastAsia" w:ascii="Arial" w:hAnsi="Arial" w:cs="Arial"/>
                <w:i w:val="0"/>
                <w:iCs w:val="0"/>
                <w:color w:val="auto"/>
                <w:sz w:val="20"/>
                <w:szCs w:val="20"/>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土方开挖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1.土壤类别：三类土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2.挖土深度：2m 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1.密实度要求：夯填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2.填方材料品种：素土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1.砖品种、规格、强度等级：MU20混凝土实心砖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2.墙体类型：± 0.000以下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3.砂浆强度等级、配合比：专用砂浆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42.14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1.混凝土种类：商品泵送混凝土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2.混凝土强度等级：C15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独立基础</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1.混凝土种类：现浇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2.混凝土强度等级：C35                 3、含模板、养生等</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4.31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2.混凝土强度等级：C35                       3、含模板、养生等</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17.26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直形楼梯</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2.混凝土强度等级：C35                       3、含模板、养生等</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1.钢筋种类、规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格：直径 φ16mm以内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1.钢筋种类、规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格：直径 φ10mm以内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零星钢构</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1.零星钢构柱脚、螺栓等              2、详见图纸</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楼梯扶手</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1.不锈钢栏杆扶手                        2、详见图纸</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碎石垫层</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1.石料规格：级配碎石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2、厚度：25cm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137.50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1.混凝土强度等级：C30商品混凝土，内配钢筋∅10@200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3、养护：按规范要求养护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137.50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地面固化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1.位置：看台混凝土起砂处，水泥砂浆粉刷后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2、使用混凝土密封固化剂1:3兑水滚涂浸泡，增强地面强度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2、固化后满足甲方使用要求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645.00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46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硅PU</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1.厚度5mm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2、局部找平（现场自行勘察）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一、环保要求（强制性）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VOC：≤670 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苯：≤0.3%；游离TDI：≤0.1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重金属：铅≤50 mg/kg、镉≤10 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邻苯二甲酸酯：总和≤1.0 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气味：无刺鼻异味，仅轻微树脂味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二、物理性能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硬度（邵A，20℃）：65–80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回弹值：≥20%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冲击吸收率：≥12%（球场20%–50%）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滑动摩擦系数：0.4–0.7（BPN 80–110，干测）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拉伸强度：≥1.5 MPa；拉断伸长率：≥200%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压缩复原率：≥95%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耐磨性（750g/500r）：≤0.060 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阻燃性：Ⅰ级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三、耐候与耐久（户外寿命关键）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耐人工老化（300h）：不起泡、不剥落、无裂纹；粉化≤1级，ΔE≤6.0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645.00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控制方式：面板控制、电脑控制、电脑定时、中控控制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面板控制： 一键延时启停，紧急停止，模式切换，单键单元控制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电脑控制： 可一键延时启停，单路启停，紧急停止。对功率、温度、烟雾等状态实时检测，并保存操作记录，报警记录。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电脑定时： 每天可设置最多4组时间段，按星期启停。定好时间后，支持脱机定时运行。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中控控制： 提供MODBUS-RTU、MODBUS-TCP、MODBUS-UDP协议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自动联机，直接操作，不用人工设置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配有应急启动模块（QN-Smart/007）， PLC故障应急使用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保护内容：1）零线电缆高温保护  2）高温断电保护  3）短路保护  4）烟雾保护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输入电压：380V，三相五线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输出电压：220V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额定功率：20KW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输出回路：6个单相回路（AC220V）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每路输出最大带载功率：≤3.33KW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回路状态监测：双回路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远程控制：有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分步逐级上电：有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计划任务上电：有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温度检测：有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壳体尺寸：400*300*130 单位mm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逻辑联动控制：有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主断路器：德力西63A断路器*1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交流接触器：德力西32A交流接触器*2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子断路器：德力西32A微型1P断路器*6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控制回路断路器：德力西10A 1P+N微型漏电保护断路器*1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零地排：8位铜排*1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PLC控制器：正松PLC-180控制器*1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PLC控制电源模块：正松DC24V电源*1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串口服务器：485转USB头*1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防水专业音箱</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采用了防水桦木夹板制作，耐磨环保聚脲油漆，15寸大功率低音单元，防水涂层处理；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主要用于室内外扩声，多种安装方式选择；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音色细腻，中音宽广，饱满厚实，保真度高；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广泛应用于广场，多功能厅，游乐场，电竞场，泳池等扩声。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频率响应：60Hz-18KHz ±3dB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频率范围：50Hz-19KHz -10dB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阻抗：8Ω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额定功率：≥450W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峰值功率：≥1800W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单元组成：WF:≥15″*1 HF:≥3″*1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覆盖角度：≥90度（H）×60度（V）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灵敏度：≥98dB/1M/1W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最大声压级：≥130dB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防水等级：IP55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6524"/>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1U机柜式、电源开关防触碰设计；双层双色双拼前面板，采用隐藏式条形出气口及弧形进风口设计，设备散热均匀，有效延长使用寿命。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支持STEREO立体声、PARALLEL并机两种模式选择，可以更为灵活搭配其他设备。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具有工作状态实时指示灯，1个电源指示，2个信号通道指示，2个限幅通道指示，2个保护通道指示。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设有动态压限控制功率电路，保证设备安全稳定运行。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内置D类功率放大电路，采用高集成度数字芯片替代传统变压器，高数字化电路集成，绿色、稳定、高效。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内置削波限幅器，可有效防止严重削波的波形到达扬声器，同时维持全峰值电源输出功率。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支持超高频保护，防止听不见的强烈非音乐高频信号到达扬声器。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支持短路保护功能，自动保护重置功能，防止功放发生短路，或输出电路发生其它应激故障。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设有限幅器，信号峰值过大自动限幅过大输出到达扬声器，最高限幅可达到10V。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支持过热保护，输出级操作温度过高，温控连续变速风扇，从前到后的空气流动。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支持过载保护，峰值负反馈保护，当信号输入输出出现失真、冲击或线电压严重过压时，能有效地对功放进行保护。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内设保护电路，软启动，输入浪涌限制，输出短路、直流，开关机哑音保护，射频干扰保护。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输出功率@立体声8Ω（失真≤1%时）：≥2×800W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输出功率@立体声4Ω（失真≤1%时）：≥2×1190W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输出功率@立体声2Ω（失真≤1%时）：≥2×1490W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频率响应（1W 8Ω）：20Hz～20KHz ±0.5dB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灵敏度（8Ω 1KHz）：0.775V/1V/1.4V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输入链接端子：XLR公，母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输出链接端子：SPEAKO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输入阻抗：20KΩ平衡输入；10KΩ非平衡输入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信噪比（A计权，额定功率8Ω）：≥105dB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阻尼系数 (1KHz &amp; 8Ω）：≥900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互调失真（20Hz-20KHz，半功率）：≤0.02%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总谐波失真（20Hz-20KHz，半功率）：≤0.03%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相位响应（1W &amp; 8Ω，20Hz-20KHz）：≤±1.5°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转换速率：≥60V/us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前面板指示：电源，削波，压限，信号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后面板接口：并机输入：母3针XLR×2，输出：公3针XLR×2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冷却系统：全智能系统随温度变化自动调节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6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≥8路平衡式话筒、线路输入/输出，采用凤凰插接线端子。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麦克风输入和线路输入自由切换，每路输入带48V幻相电源选择。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直观形象、简洁易懂的图形化软件控制界面，为客户带来快捷、实时的操作体验。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支持手机、平板控制与分布式云控制，兼容多方平台控制管理，支持windows系统、iOS系统（iPAD、Iphone）以及Andriod系统。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设备无需光盘，自带安装软件，一台设备对于一个软件版本，解决因为安装光盘丢失以及多个软件版本混乱引起的烦恼。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自带B/S架构服务端，通过网页浏览器访问，不仅实现了通道控制和场景选择，而且直接提供PC客户端及平台组件的下载链接。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Enternet多用途数据传输及控制端口，可以支持实时管理单台及多台设备。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系统内置锁屏功能，有效避免发生误操作。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120db的 A/D与D/A转换， 最高可达96kHz/48K采样率。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DSP音频处理，内置AM自动混音功能、AEC回声消除、AFC自适应反馈消除、ANS噪音消除、自动增益。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输入每通道：前级放大、信号发生器、扩展器、压缩器、≥5段参量均衡。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输出每通道：≥31段参量均衡器、延时器、分频器、高低通滤波器、限幅器。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全功能矩阵混音功能，不单单是混音和自动混音功能，还具备混音分量控制功能。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通道支持拷贝、粘贴、联控功能。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内置自动摄像跟踪功能。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支持8~100组场景预设功能。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具有断电自动保护记忆功能。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配置RS485接口、标准以太网控制接口、2通道可编程GPIO控制接口（可自定义输入输出）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417"/>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反馈抑制器（含音频处理器软件V1.0.3）</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▲采用2寸分辨率为240*320的高清真彩TFT屏，主页面可实时显示电平大小、反馈开启状态、锁屏状态、降噪状态，直观明了；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前面板具有动态降噪、反馈抑制、噪声门、锁屏按键可以一键启动或关闭。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输入通道不少于2路万能输入，支持平衡卡侬插头或6.5插头，支持48V幻象供电，并有独立幻象供电开关按钮；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输出通道不少于2路平衡式线路输出，采用平衡卡侬插头；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▲1个USB Type-A接口，可外接配置电脑；</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▲支持3档前级增益调节，物理面板拨码手动操作，分别对应4dB、+12dB、+18dB；</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物理面板具有输出音量调节旋钮；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内置噪声门功能，通过设定阀值可以滤除部分环境噪声；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物理面板具有AFC旁路开关；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支持AFC自学习声反馈抑制功能，免调试，非传统陷波方式，传声增益提升12dB；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支持ANS动态自适应降噪功能，降噪电平最高达18dB；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提供Peak峰值电平表，监测当前音频信号幅度；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支持多麦克风智能混音、具备话筒优选功能；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支持自动增益控制功能；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支持高通和低通滤波器；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支持压缩器、均衡器，中心频率和Q值可调节；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具一个48V幻象电源总开关，一键控制所有通道幻象电源打开关闭。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每通道有增益开关、输入三段均衡高中低、效果、辅助旋钮。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每通道具有编组控制开关。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每通道都有独立的静音按钮来控制每路的输入信号开关。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每一路通道有独立的PFL（推子前监听）按钮开关，可以监听通道推子前声道信号，而不影响主输出信号。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内置MP3功能，兼容多音频格式，SD/USB接口，可以接SD卡和U盘。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具录音功能，可录制任意时段主输出音频信号至SD卡/U盘，具有双轨录放机或CD的输入输出连接莲花接口。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标准蓝牙系统，连接蓝牙设备进行音频播放。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▲≥2路主输出，≥2路编组输出，≥1路监听输出，≥2辅助发送/返回。</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麦克风输入不少于6路，立体声输入不少于2组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灵敏度：0VU=+4dBu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频率响应：±1dB，20Hz-30KHz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麦克风共模抑制比@1KHz：80dB 典型值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THD+N @14dBu，1KHz：&lt;0.01%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串扰 @1KHz：82dB</w:t>
            </w:r>
            <w:r>
              <w:rPr>
                <w:rFonts w:hint="eastAsia" w:ascii="宋体" w:hAnsi="宋体" w:eastAsia="宋体" w:cs="宋体"/>
                <w:i w:val="0"/>
                <w:iCs w:val="0"/>
                <w:color w:val="auto"/>
                <w:sz w:val="21"/>
                <w:szCs w:val="21"/>
                <w:highlight w:val="none"/>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681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电源时序器（含电源时序控制器软件V2.0）</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1U机柜式、电源开关防触碰设计。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双层双色双拼前面板，采用隐藏式条形出气口及弧形进风口设计，设备散热均匀，有效延长使用寿命。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大电流三芯电源输入缆线，支持宽电压220V输入。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▲前面板具有≥1路直通220V电源座，≥2路USB DC-5V,1A直流供电接口，≥5个功能键。</w:t>
            </w:r>
            <w:r>
              <w:rPr>
                <w:rFonts w:hint="eastAsia" w:ascii="宋体" w:hAnsi="宋体" w:eastAsia="宋体" w:cs="宋体"/>
                <w:i w:val="0"/>
                <w:iCs w:val="0"/>
                <w:strike/>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后面板≥8路可控多功能标准插座输出，通用于国际多种类型插头。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设备前面板有液晶显示屏，可实时显示电压、电流、时间、操作菜单等信息。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带≥8个LED指示灯显示，实时查看每个通道的工作状态。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支持定时开启/关闭任意AC220V选通输出接口，当同时开启/关闭全部AC220V选通输出接口时，输出接口逐一开启或关闭，间隔时间0-9s可调。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设备支持TCP/IP网络和串口控制，可通过软件开启/关闭任意AC220V选通输出接口。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▲支持一键恢复出厂设置，支持中控和编程两种工作模式。</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带远程干结点信号控制功能及短路信号输出功能，便于联机下一台设备达到统一管理。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接口：前面板≥1个万能插座、≥2个USB口、后面板≥8个万能插座、≥1个网口、≥1个485口、≥1个短路输入，≥1个输出口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电源指示：LED指示灯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527"/>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有源音箱（含音箱控制软件V1.0）</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支持壁挂或桌面式安装方式，外观精美、时尚。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采用高品质喇叭单元设计，音质清晰，明亮。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支持话筒和电脑音频输入，音量可调。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可广泛用于教室、会议室等小型扩声使用场景。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额定功率：≥30W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额定阻抗：4Ω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频率响应：40Hz-20KHz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驱动器：≥4.5英寸低音单元、≥1英寸前纸盆球顶高音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输入：≥1路立体声RCA输入接口，≥2路话筒 15mV（非平衡）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输出：≥1路立体声RCA输出接口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灵敏度：≥75dB/1W/1M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信噪比：≥100dB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最大声压级：≥75dB</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3757"/>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无线话筒（含无线话筒控制软件V1.0）</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具有LED液晶屏显示RF/AF信号强度，自动选讯，可设定频道/频率，状态一目了然。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具有频率自动选定功能，自动回避干扰。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灵敏度可调，接收距离从25米—60米之间可以分段设置。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全新独特ID编码功能，对周围环境或≥10台叠机多套使用，具备优良的抗干扰能力。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支持自动搜索无干</w:t>
            </w:r>
            <w:bookmarkStart w:id="633" w:name="_GoBack"/>
            <w:r/>
            <w:bookmarkEnd w:id="633"/>
            <w:r>
              <w:rPr>
                <w:rFonts w:hint="eastAsia" w:ascii="宋体" w:hAnsi="宋体" w:eastAsia="宋体" w:cs="宋体"/>
                <w:i w:val="0"/>
                <w:iCs w:val="0"/>
                <w:color w:val="auto"/>
                <w:sz w:val="21"/>
                <w:szCs w:val="21"/>
                <w:highlight w:val="none"/>
                <w:u w:val="none"/>
                <w:lang w:val="en-US" w:eastAsia="zh-CN" w:bidi="ar"/>
              </w:rPr>
              <w:t xml:space="preserve">扰信道功能，PLL相位锁定频率合成振荡模式。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配套有≥1台接收主机，≥2个手持话筒。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▲双频道频道组数，可切换频率数≥400组</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载波频率：UHF频段（640.125~690.000 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灵敏度：在偏移度等于40KHz，输入6dBμ V时，S/N&gt;80dB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最大偏移度：±68KHz具有音量扩展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频带宽度：50MHz，频率间隔：125KHz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话筒输出功率：30MW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综合S/N比：±105dB(1KHz-A)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综合失真度：&lt;0.5% @ 1KHz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综合频率响应：50Hz-18KHz±3dB具低频衰减滤频电路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最大输出电压：平衡式MIC-LEVEL-0dBV/600Ω，非平衡式0dBV/600Ω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音频输出：XLR平衡式插座独立输出及Φ6.3不平衡式插座混合输出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音量输出调整：输出电平可随意调整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静音控制模式：独立“音码及杂讯锁定”双重静音控制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麦克风使用易购的5号电池，续用时间达≥8小时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天线座带DC9V供电，可直接接放大天线使用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6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天线分配器系统</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UHF天线分配系统，通过将一对天线拆分给无线接收机来扩展无线话筒系统的功能；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一台分配器主机能为≥4台双天线的接收机提供信号，或能为≥2台四天线的接收机提供信号；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具有级联端口能够连接到第五个接收机或第二台分配器；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具有≥4组能够输出为无线接收机UHF系统供电的电源接口。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天线使用对数周期偶极子阵列提供增强的接收能力；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支持母线BNC类型接头，拥有≥12个BNC接口，接收频率范围470-952MHz；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两点增益选择开关可选择3或10分贝增益；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定向天线板配合带有螺纹的集成式支架，可轻松固定在话筒支架上，也可将其悬挂在天花板或墙壁上；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在户外使用不受天气影响。</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2.型号：YJV4*95+1*50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2.型号：YJV4*35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2.型号：YJV4*25+1+16</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2.型号：YJV3*2.5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2.型号：YJV3*4</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1.名称：接线盒/开关盒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2、材质：塑料3、规格：86型安装形式：悬挂4嵌入式安装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1.材质：PVC阻燃电线管                           2、规格：直径110mm                          3、配置形式：暗配详见图纸</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1.材质：PVC阻燃电线管                           2、规格：直径25mm                          3、配置形式：暗配详见图纸</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1.名称：单联扳式暗开关（单控）</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1.名称：单相暗插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1、规格：15A 5孔                            3、安装方式：距地面0.3m安装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1.介质：排水管                       2、规材质、规格：PVC-U 110                       3、连接形式：零件粘接</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1.介质：排水管                       2、规材质、规格：PVC-U 50                      3、连接形式：零件粘接</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1.介质：给水管2、材质、规格：PP-R-203、连接形式：热熔连接4、压力试验及吹、洗设计要求：管道试压、消毒、冲洗</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洗手洗漱台</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洗手洗漱台2000*600：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方镜，大理石台面，陶瓷双盆，下部通长带收纳柜，具体以甲方最终确定为准。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605*450蹲式陶瓷大便器手按式、低水箱、角阀、金属软管等配件，具体尺寸、样式等以甲方要求为准。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小便器</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高度不小于900，宽度不小于350，立式小便器手按落地式、排水栓、角阀、金属软管等配件，具体尺寸、样式等以甲方要求为准。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拖布池</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白色陶瓷拖布池，尺寸不小于550*400*400含不锈钢水龙头、溢水口、防堵下水器、一键排水等配件，具体尺寸、样式等以甲方要求为准。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普通圆灯：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保证亮度，具体样式大小参见图纸以甲方最终确定为准。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卫生间+设备间：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1、龙骨材料种类、规格、中距：轻钢龙骨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2、吊筋规格φ8mm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3、面层材料品种、规格、铝板300*600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木质踢脚线</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踢脚线：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1、100MM高实木踢脚线12厚</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块料地面</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地砖400*400，具体颜色、材质等参见图纸以甲方确定为准。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墙砖400*800，具体颜色、材质等参见图纸以甲方确定为准。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木质门带套</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木质门带套，含门框、门套、铰链、执手锁、门吸门阻等，具体材质及样式等参见图纸具体以甲方确定为准。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墙面及顶面：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抹灰面上 901胶混合腻子批、刷乳胶漆各三遍</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653.56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墙面涂料</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外墙面：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抹灰面上 901胶混合腻子批、刷乳胶漆各三遍</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top"/>
            <w:textDirection w:val="lrTb"/>
            <w:noWrap w:val="false"/>
          </w:tcPr>
          <w:p>
            <w:pPr>
              <w:jc w:val="left"/>
              <w:rPr>
                <w:rFonts w:hint="default" w:ascii="Arial" w:hAnsi="Arial" w:cs="Arial"/>
                <w:i w:val="0"/>
                <w:iCs w:val="0"/>
                <w:color w:val="auto"/>
                <w:sz w:val="22"/>
                <w:szCs w:val="22"/>
                <w:highlight w:val="none"/>
                <w:u w:val="none"/>
              </w:rPr>
            </w:pPr>
            <w:r>
              <w:rPr>
                <w:rFonts w:hint="default" w:ascii="Arial" w:hAnsi="Arial" w:cs="Arial"/>
                <w:i w:val="0"/>
                <w:iCs w:val="0"/>
                <w:color w:val="auto"/>
                <w:sz w:val="22"/>
                <w:szCs w:val="22"/>
                <w:highlight w:val="none"/>
                <w:u w:val="none"/>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石膏板隔墙</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纸面石膏板隔断墙100厚：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1、9.5厚纸面石膏板隔断正反面各一遍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2、50厚隔音岩棉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3、75系轻钢龙骨隔断基层，遇门洞口处做加强框处理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121.83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蹲坑：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150高标准砖，M5混合砂浆砌蹲坑</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卫生间隔断</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2米高抗倍特板隔断蹲坑、含门配件及不锈钢连接骨架、配件等安装牢固，具体尺寸参照图纸满足甲方使用要求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广播间</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1.原广播间设备、线路位移至业主指定位置</w:t>
            </w:r>
            <w:r>
              <w:rPr>
                <w:rFonts w:hint="default" w:ascii="宋体" w:hAnsi="宋体" w:eastAsia="宋体" w:cs="宋体"/>
                <w:i w:val="0"/>
                <w:iCs w:val="0"/>
                <w:color w:val="auto"/>
                <w:sz w:val="21"/>
                <w:szCs w:val="21"/>
                <w:highlight w:val="none"/>
                <w:u w:val="none"/>
                <w:lang w:val="en-US" w:eastAsia="zh-CN" w:bidi="ar"/>
              </w:rPr>
              <w:t xml:space="preserve">                                         2</w:t>
            </w:r>
            <w:r>
              <w:rPr>
                <w:rFonts w:hint="eastAsia" w:ascii="宋体" w:hAnsi="宋体" w:eastAsia="宋体" w:cs="宋体"/>
                <w:i w:val="0"/>
                <w:iCs w:val="0"/>
                <w:color w:val="auto"/>
                <w:sz w:val="21"/>
                <w:szCs w:val="21"/>
                <w:highlight w:val="none"/>
                <w:u w:val="none"/>
                <w:lang w:val="en-US" w:eastAsia="zh-CN" w:bidi="ar"/>
              </w:rPr>
              <w:t xml:space="preserve">、投标单位自行勘探现场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电箱移位</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1.原电箱、电线位移至业主指定位置</w:t>
            </w:r>
            <w:r>
              <w:rPr>
                <w:rFonts w:hint="default" w:ascii="宋体" w:hAnsi="宋体" w:eastAsia="宋体" w:cs="宋体"/>
                <w:i w:val="0"/>
                <w:iCs w:val="0"/>
                <w:color w:val="auto"/>
                <w:sz w:val="21"/>
                <w:szCs w:val="21"/>
                <w:highlight w:val="none"/>
                <w:u w:val="none"/>
                <w:lang w:val="en-US" w:eastAsia="zh-CN" w:bidi="ar"/>
              </w:rPr>
              <w:t xml:space="preserve">                                                             2</w:t>
            </w:r>
            <w:r>
              <w:rPr>
                <w:rFonts w:hint="eastAsia" w:ascii="宋体" w:hAnsi="宋体" w:eastAsia="宋体" w:cs="宋体"/>
                <w:i w:val="0"/>
                <w:iCs w:val="0"/>
                <w:color w:val="auto"/>
                <w:sz w:val="21"/>
                <w:szCs w:val="21"/>
                <w:highlight w:val="none"/>
                <w:u w:val="none"/>
                <w:lang w:val="en-US" w:eastAsia="zh-CN" w:bidi="ar"/>
              </w:rPr>
              <w:t xml:space="preserve">、投标单位自行勘探现场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塑胶跑道</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1.对破损地胶，进行铲除修补，采用原材质，原工艺，及画线。与原跑道相符</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室内篮球场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PVC塑胶运动地板</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1、名称：PVC塑胶运动地板              2、厚度：7.0mm                   3、球反弹率 ≥90%                     4、防滑系数 0.5–0.7（干湿防滑）                            5、耐磨转数 ≥12000转                                 6、防火等级 B1级                                  7、环保等级 无甲醛、防水防潮、静音减震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总部车棚</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膜结构车棚</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1、基坑尺寸：投标方现场勘察；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2、基础钢板≥Q235B材质规格350MM*350MM*16MM；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3、现浇构件钢筋三级钢≥Φ16；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4、土方弃置，投标方现场勘察、外运自行考虑；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5、钢架材料种类、规格、中距：钢结构材质≥Q235B 钢架结构满足要求；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6、白色PVDF膜材： 厚度：0.8±0.02   克重：1100±20   拉伸强度：≥5500N；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7、结构造型根据甲方要求施工含地基基础等辅材。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4"/>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14"/>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大型机械进出场费用</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设计费</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由中标单位支付</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9800.00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9800.00</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不可竞争费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40000.00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40000.00</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8"/>
        </w:trPr>
        <w:tc>
          <w:tcPr>
            <w:gridSpan w:val="3"/>
            <w:shd w:val="clear" w:color="auto" w:fill="auto"/>
            <w:tcBorders>
              <w:top w:val="single" w:color="000000" w:sz="4" w:space="0"/>
              <w:left w:val="single" w:color="000000" w:sz="4" w:space="0"/>
              <w:bottom w:val="single" w:color="000000" w:sz="4" w:space="0"/>
              <w:right w:val="single" w:color="000000" w:sz="4" w:space="0"/>
            </w:tcBorders>
            <w:tcW w:w="47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95"/>
        </w:trPr>
        <w:tc>
          <w:tcPr>
            <w:gridSpan w:val="6"/>
            <w:shd w:val="clear" w:color="auto" w:fill="auto"/>
            <w:tcBorders>
              <w:top w:val="single" w:color="000000" w:sz="4" w:space="0"/>
              <w:left w:val="single" w:color="000000" w:sz="4" w:space="0"/>
              <w:bottom w:val="single" w:color="000000" w:sz="4" w:space="0"/>
              <w:right w:val="single" w:color="000000" w:sz="4" w:space="0"/>
            </w:tcBorders>
            <w:tcW w:w="7961"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95"/>
        </w:trPr>
        <w:tc>
          <w:tcPr>
            <w:gridSpan w:val="8"/>
            <w:shd w:val="clear" w:color="auto" w:fill="auto"/>
            <w:tcBorders>
              <w:top w:val="single" w:color="000000" w:sz="4" w:space="0"/>
              <w:left w:val="single" w:color="000000" w:sz="4" w:space="0"/>
              <w:bottom w:val="single" w:color="000000" w:sz="4" w:space="0"/>
              <w:right w:val="single" w:color="000000" w:sz="4" w:space="0"/>
            </w:tcBorders>
            <w:tcW w:w="10102" w:type="dxa"/>
            <w:vAlign w:val="center"/>
            <w:textDirection w:val="lrTb"/>
            <w:noWrap w:val="false"/>
          </w:tcPr>
          <w:p>
            <w:pPr>
              <w:jc w:val="left"/>
              <w:pageBreakBefore w:val="0"/>
              <w:spacing w:line="380" w:lineRule="exact"/>
              <w:rPr>
                <w:rFonts w:hint="eastAsia" w:ascii="宋体" w:hAnsi="宋体" w:eastAsia="宋体" w:cs="宋体"/>
                <w:i w:val="0"/>
                <w:iCs w:val="0"/>
                <w:color w:val="auto"/>
                <w:sz w:val="21"/>
                <w:szCs w:val="21"/>
                <w:highlight w:val="none"/>
                <w:u w:val="none"/>
              </w:rPr>
            </w:pPr>
            <w:r>
              <w:rPr>
                <w:rFonts w:hint="eastAsia" w:ascii="仿宋" w:hAnsi="仿宋" w:eastAsia="仿宋" w:cs="仿宋"/>
                <w:b/>
                <w:bCs/>
                <w:color w:val="auto"/>
                <w:sz w:val="24"/>
                <w:szCs w:val="24"/>
                <w:highlight w:val="none"/>
              </w:rPr>
              <w:t xml:space="preserve">注：</w:t>
            </w:r>
            <w:r>
              <w:rPr>
                <w:rFonts w:hint="eastAsia" w:ascii="仿宋" w:hAnsi="仿宋" w:eastAsia="仿宋" w:cs="仿宋"/>
                <w:b/>
                <w:bCs/>
                <w:color w:val="auto"/>
                <w:sz w:val="24"/>
                <w:szCs w:val="24"/>
                <w:highlight w:val="none"/>
                <w:lang w:val="en-US" w:eastAsia="zh-CN"/>
              </w:rPr>
              <w:t xml:space="preserve">须现场勘察</w:t>
            </w:r>
            <w:r>
              <w:rPr>
                <w:rFonts w:hint="eastAsia" w:ascii="仿宋" w:hAnsi="仿宋" w:eastAsia="仿宋" w:cs="仿宋"/>
                <w:b/>
                <w:bCs/>
                <w:color w:val="auto"/>
                <w:sz w:val="24"/>
                <w:szCs w:val="24"/>
                <w:highlight w:val="none"/>
              </w:rPr>
              <w:t xml:space="preserve">。</w:t>
            </w:r>
            <w:r>
              <w:rPr>
                <w:rFonts w:ascii="仿宋" w:hAnsi="仿宋" w:eastAsia="仿宋" w:cs="仿宋"/>
                <w:color w:val="auto"/>
                <w:sz w:val="22"/>
                <w:szCs w:val="22"/>
                <w:highlight w:val="none"/>
              </w:rPr>
              <w:t xml:space="preserve">本项目按全费用报价。全费用单价：其应包括但不限于按国家规范完成本项目所有的人工、材料以及完成实体工程量的辅助材料、机械设备、管理费、利润、运输、脚手架费、模板、税金、二次搬运、清理、保洁、培训费、交通费用、差旅费用、绿化迁移及恢复费、安全文明施工费、</w:t>
            </w:r>
            <w:r>
              <w:rPr>
                <w:rFonts w:hint="eastAsia" w:ascii="仿宋" w:hAnsi="仿宋" w:eastAsia="仿宋" w:cs="仿宋"/>
                <w:color w:val="auto"/>
                <w:sz w:val="22"/>
                <w:szCs w:val="22"/>
                <w:highlight w:val="none"/>
                <w:lang w:val="en-US" w:eastAsia="zh-CN"/>
              </w:rPr>
              <w:t xml:space="preserve">材料检测费</w:t>
            </w:r>
            <w:r>
              <w:rPr>
                <w:rFonts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渣土费、</w:t>
            </w:r>
            <w:r>
              <w:rPr>
                <w:rFonts w:ascii="仿宋" w:hAnsi="仿宋" w:eastAsia="仿宋" w:cs="仿宋"/>
                <w:color w:val="auto"/>
                <w:sz w:val="22"/>
                <w:szCs w:val="22"/>
                <w:highlight w:val="none"/>
              </w:rPr>
              <w:t xml:space="preserve">税费以及各项措施项目费、风险和政策性文件规定的各项应有费用。全费用工程量清单中每一个子目和单项均需计算填写单价、合价。每道工序均需要业主或监理签证确认后再进行下一道工序，每道工序业主或监理未确认工程款不予支付</w:t>
            </w:r>
            <w:r>
              <w:rPr>
                <w:rFonts w:hint="eastAsia" w:ascii="仿宋" w:hAnsi="仿宋" w:eastAsia="仿宋" w:cs="仿宋"/>
                <w:color w:val="auto"/>
                <w:sz w:val="22"/>
                <w:szCs w:val="22"/>
                <w:highlight w:val="none"/>
                <w:lang w:val="zh-CN"/>
              </w:rPr>
              <w:t xml:space="preserve"> </w:t>
            </w:r>
            <w:r/>
          </w:p>
        </w:tc>
      </w:tr>
    </w:tbl>
    <w:p>
      <w:pPr>
        <w:pStyle w:val="943"/>
        <w:numPr>
          <w:ilvl w:val="0"/>
          <w:numId w:val="0"/>
        </w:numPr>
        <w:jc w:val="both"/>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 xml:space="preserve">                        供应商名称</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u w:val="single"/>
          <w:lang w:val="zh-CN"/>
        </w:rPr>
        <w:t xml:space="preserve">        （电子签章）     </w:t>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w:t>
      </w:r>
      <w:r>
        <w:rPr>
          <w:rFonts w:hint="eastAsia" w:ascii="仿宋" w:hAnsi="仿宋" w:eastAsia="仿宋" w:cs="仿宋"/>
          <w:color w:val="auto"/>
          <w:sz w:val="22"/>
          <w:szCs w:val="22"/>
          <w:highlight w:val="none"/>
        </w:rPr>
        <w:t xml:space="preserve">法定代表人</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u w:val="single"/>
        </w:rPr>
        <w:t xml:space="preserve">（电子签章或电子签字）</w:t>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日期：</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年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月</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日</w:t>
      </w:r>
      <w:r/>
    </w:p>
    <w:p>
      <w:pPr>
        <w:jc w:val="center"/>
        <w:pageBreakBefore w:val="0"/>
        <w:spacing w:line="3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943"/>
        <w:numPr>
          <w:ilvl w:val="0"/>
          <w:numId w:val="0"/>
        </w:numPr>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color w:val="auto"/>
          <w:sz w:val="28"/>
          <w:szCs w:val="28"/>
          <w:highlight w:val="none"/>
          <w:lang w:val="en-US" w:eastAsia="zh-CN"/>
        </w:rPr>
        <w:t xml:space="preserve"> </w:t>
      </w:r>
      <w:r/>
    </w:p>
    <w:p>
      <w:pPr>
        <w:pageBreakBefore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br w:type="page" w:clear="all"/>
      </w:r>
      <w:r/>
    </w:p>
    <w:p>
      <w:pPr>
        <w:pStyle w:val="943"/>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970"/>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12"/>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73"/>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935"/>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olor w:val="auto"/>
          <w:sz w:val="28"/>
          <w:szCs w:val="28"/>
          <w:highlight w:val="none"/>
          <w:lang w:val="en-US" w:eastAsia="zh-CN"/>
        </w:rPr>
        <w:t xml:space="preserve">单位</w:t>
      </w:r>
      <w:r>
        <w:rPr>
          <w:rFonts w:hint="eastAsia" w:ascii="仿宋" w:hAnsi="仿宋" w:eastAsia="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943"/>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43"/>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43"/>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955"/>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10.我方承诺当日足额结清当日农民工工资，不得拖欠、克扣。</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43"/>
        <w:jc w:val="center"/>
        <w:keepLines w:val="0"/>
        <w:keepNext w:val="0"/>
        <w:pageBreakBefore w:val="0"/>
        <w:spacing w:line="48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964"/>
        <w:keepLines w:val="0"/>
        <w:keepNext w:val="0"/>
        <w:pageBreakBefore w:val="0"/>
        <w:spacing w:line="480" w:lineRule="exact"/>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0"/>
          <w:szCs w:val="20"/>
          <w:highlight w:val="none"/>
          <w:lang w:val="en-US"/>
        </w:rPr>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rPr>
      </w:pPr>
      <w:r/>
      <w:bookmarkStart w:id="631" w:name="_Toc12956505"/>
      <w:r/>
      <w:bookmarkStart w:id="632" w:name="_Toc49352288"/>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31"/>
      <w:r/>
      <w:bookmarkEnd w:id="632"/>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939"/>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939"/>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939"/>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970"/>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imSun">
    <w:panose1 w:val="02010600030101010101"/>
  </w:font>
  <w:font w:name="FangSong">
    <w:panose1 w:val="02010609060101010101"/>
  </w:font>
  <w:font w:name="方正仿宋_GB2312">
    <w:panose1 w:val="020B0503020202020204"/>
  </w:font>
  <w:font w:name="Segoe UI">
    <w:panose1 w:val="020B0502040204020203"/>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45"/>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4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color w:val="000000" w:themeColor="text1"/>
        <w14:textFill>
          <w14:solidFill>
            <w14:schemeClr w14:val="tx1"/>
          </w14:solidFill>
        </w14:textFil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7"/>
  </w:num>
  <w:num w:numId="3">
    <w:abstractNumId w:val="4"/>
  </w:num>
  <w:num w:numId="4">
    <w:abstractNumId w:val="6"/>
  </w:num>
  <w:num w:numId="5">
    <w:abstractNumId w:val="2"/>
  </w:num>
  <w:num w:numId="6">
    <w:abstractNumId w:val="1"/>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33"/>
    <w:next w:val="933"/>
    <w:link w:val="766"/>
    <w:uiPriority w:val="9"/>
    <w:qFormat/>
    <w:pPr>
      <w:keepLines/>
      <w:keepNext/>
      <w:spacing w:before="480" w:after="200"/>
      <w:outlineLvl w:val="0"/>
    </w:pPr>
    <w:rPr>
      <w:rFonts w:ascii="Arial" w:hAnsi="Arial" w:eastAsia="Arial" w:cs="Arial"/>
      <w:sz w:val="40"/>
      <w:szCs w:val="40"/>
    </w:rPr>
  </w:style>
  <w:style w:type="character" w:styleId="766">
    <w:name w:val="Heading 1 Char"/>
    <w:basedOn w:val="937"/>
    <w:link w:val="765"/>
    <w:uiPriority w:val="9"/>
    <w:rPr>
      <w:rFonts w:ascii="Arial" w:hAnsi="Arial" w:eastAsia="Arial" w:cs="Arial"/>
      <w:sz w:val="40"/>
      <w:szCs w:val="40"/>
    </w:rPr>
  </w:style>
  <w:style w:type="character" w:styleId="767">
    <w:name w:val="Heading 2 Char"/>
    <w:basedOn w:val="937"/>
    <w:link w:val="934"/>
    <w:uiPriority w:val="9"/>
    <w:rPr>
      <w:rFonts w:ascii="Arial" w:hAnsi="Arial" w:eastAsia="Arial" w:cs="Arial"/>
      <w:sz w:val="34"/>
    </w:rPr>
  </w:style>
  <w:style w:type="character" w:styleId="768">
    <w:name w:val="Heading 3 Char"/>
    <w:basedOn w:val="937"/>
    <w:link w:val="935"/>
    <w:uiPriority w:val="9"/>
    <w:rPr>
      <w:rFonts w:ascii="Arial" w:hAnsi="Arial" w:eastAsia="Arial" w:cs="Arial"/>
      <w:sz w:val="30"/>
      <w:szCs w:val="30"/>
    </w:rPr>
  </w:style>
  <w:style w:type="character" w:styleId="769">
    <w:name w:val="Heading 4 Char"/>
    <w:basedOn w:val="937"/>
    <w:link w:val="936"/>
    <w:uiPriority w:val="9"/>
    <w:rPr>
      <w:rFonts w:ascii="Arial" w:hAnsi="Arial" w:eastAsia="Arial" w:cs="Arial"/>
      <w:b/>
      <w:bCs/>
      <w:sz w:val="26"/>
      <w:szCs w:val="26"/>
    </w:rPr>
  </w:style>
  <w:style w:type="paragraph" w:styleId="770">
    <w:name w:val="Heading 5"/>
    <w:basedOn w:val="933"/>
    <w:next w:val="933"/>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basedOn w:val="937"/>
    <w:link w:val="770"/>
    <w:uiPriority w:val="9"/>
    <w:rPr>
      <w:rFonts w:ascii="Arial" w:hAnsi="Arial" w:eastAsia="Arial" w:cs="Arial"/>
      <w:b/>
      <w:bCs/>
      <w:sz w:val="24"/>
      <w:szCs w:val="24"/>
    </w:rPr>
  </w:style>
  <w:style w:type="paragraph" w:styleId="772">
    <w:name w:val="Heading 6"/>
    <w:basedOn w:val="933"/>
    <w:next w:val="933"/>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basedOn w:val="937"/>
    <w:link w:val="772"/>
    <w:uiPriority w:val="9"/>
    <w:rPr>
      <w:rFonts w:ascii="Arial" w:hAnsi="Arial" w:eastAsia="Arial" w:cs="Arial"/>
      <w:b/>
      <w:bCs/>
      <w:sz w:val="22"/>
      <w:szCs w:val="22"/>
    </w:rPr>
  </w:style>
  <w:style w:type="paragraph" w:styleId="774">
    <w:name w:val="Heading 7"/>
    <w:basedOn w:val="933"/>
    <w:next w:val="933"/>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basedOn w:val="937"/>
    <w:link w:val="774"/>
    <w:uiPriority w:val="9"/>
    <w:rPr>
      <w:rFonts w:ascii="Arial" w:hAnsi="Arial" w:eastAsia="Arial" w:cs="Arial"/>
      <w:b/>
      <w:bCs/>
      <w:i/>
      <w:iCs/>
      <w:sz w:val="22"/>
      <w:szCs w:val="22"/>
    </w:rPr>
  </w:style>
  <w:style w:type="paragraph" w:styleId="776">
    <w:name w:val="Heading 8"/>
    <w:basedOn w:val="933"/>
    <w:next w:val="933"/>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basedOn w:val="937"/>
    <w:link w:val="776"/>
    <w:uiPriority w:val="9"/>
    <w:rPr>
      <w:rFonts w:ascii="Arial" w:hAnsi="Arial" w:eastAsia="Arial" w:cs="Arial"/>
      <w:i/>
      <w:iCs/>
      <w:sz w:val="22"/>
      <w:szCs w:val="22"/>
    </w:rPr>
  </w:style>
  <w:style w:type="paragraph" w:styleId="778">
    <w:name w:val="Heading 9"/>
    <w:basedOn w:val="933"/>
    <w:next w:val="933"/>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basedOn w:val="937"/>
    <w:link w:val="778"/>
    <w:uiPriority w:val="9"/>
    <w:rPr>
      <w:rFonts w:ascii="Arial" w:hAnsi="Arial" w:eastAsia="Arial" w:cs="Arial"/>
      <w:i/>
      <w:iCs/>
      <w:sz w:val="21"/>
      <w:szCs w:val="21"/>
    </w:rPr>
  </w:style>
  <w:style w:type="paragraph" w:styleId="780">
    <w:name w:val="No Spacing"/>
    <w:uiPriority w:val="1"/>
    <w:qFormat/>
    <w:pPr>
      <w:spacing w:before="0" w:after="0" w:line="240" w:lineRule="auto"/>
    </w:pPr>
  </w:style>
  <w:style w:type="paragraph" w:styleId="781">
    <w:name w:val="Title"/>
    <w:basedOn w:val="933"/>
    <w:next w:val="933"/>
    <w:link w:val="782"/>
    <w:uiPriority w:val="10"/>
    <w:qFormat/>
    <w:pPr>
      <w:contextualSpacing/>
      <w:spacing w:before="300" w:after="200"/>
    </w:pPr>
    <w:rPr>
      <w:sz w:val="48"/>
      <w:szCs w:val="48"/>
    </w:rPr>
  </w:style>
  <w:style w:type="character" w:styleId="782">
    <w:name w:val="Title Char"/>
    <w:basedOn w:val="937"/>
    <w:link w:val="781"/>
    <w:uiPriority w:val="10"/>
    <w:rPr>
      <w:sz w:val="48"/>
      <w:szCs w:val="48"/>
    </w:rPr>
  </w:style>
  <w:style w:type="paragraph" w:styleId="783">
    <w:name w:val="Subtitle"/>
    <w:basedOn w:val="933"/>
    <w:next w:val="933"/>
    <w:link w:val="784"/>
    <w:uiPriority w:val="11"/>
    <w:qFormat/>
    <w:pPr>
      <w:spacing w:before="200" w:after="200"/>
    </w:pPr>
    <w:rPr>
      <w:sz w:val="24"/>
      <w:szCs w:val="24"/>
    </w:rPr>
  </w:style>
  <w:style w:type="character" w:styleId="784">
    <w:name w:val="Subtitle Char"/>
    <w:basedOn w:val="937"/>
    <w:link w:val="783"/>
    <w:uiPriority w:val="11"/>
    <w:rPr>
      <w:sz w:val="24"/>
      <w:szCs w:val="24"/>
    </w:rPr>
  </w:style>
  <w:style w:type="paragraph" w:styleId="785">
    <w:name w:val="Quote"/>
    <w:basedOn w:val="933"/>
    <w:next w:val="933"/>
    <w:link w:val="786"/>
    <w:uiPriority w:val="29"/>
    <w:qFormat/>
    <w:pPr>
      <w:ind w:left="720" w:right="720"/>
    </w:pPr>
    <w:rPr>
      <w:i/>
    </w:rPr>
  </w:style>
  <w:style w:type="character" w:styleId="786">
    <w:name w:val="Quote Char"/>
    <w:link w:val="785"/>
    <w:uiPriority w:val="29"/>
    <w:rPr>
      <w:i/>
    </w:rPr>
  </w:style>
  <w:style w:type="paragraph" w:styleId="787">
    <w:name w:val="Intense Quote"/>
    <w:basedOn w:val="933"/>
    <w:next w:val="933"/>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character" w:styleId="789">
    <w:name w:val="Header Char"/>
    <w:basedOn w:val="937"/>
    <w:link w:val="946"/>
    <w:uiPriority w:val="99"/>
  </w:style>
  <w:style w:type="character" w:styleId="790">
    <w:name w:val="Footer Char"/>
    <w:basedOn w:val="937"/>
    <w:link w:val="945"/>
    <w:uiPriority w:val="99"/>
  </w:style>
  <w:style w:type="paragraph" w:styleId="791">
    <w:name w:val="Caption"/>
    <w:basedOn w:val="933"/>
    <w:next w:val="933"/>
    <w:uiPriority w:val="35"/>
    <w:semiHidden/>
    <w:unhideWhenUsed/>
    <w:qFormat/>
    <w:pPr>
      <w:spacing w:line="276" w:lineRule="auto"/>
    </w:pPr>
    <w:rPr>
      <w:b/>
      <w:bCs/>
      <w:color w:val="4f81bd" w:themeColor="accent1"/>
      <w:sz w:val="18"/>
      <w:szCs w:val="18"/>
    </w:rPr>
  </w:style>
  <w:style w:type="character" w:styleId="792">
    <w:name w:val="Caption Char"/>
    <w:basedOn w:val="791"/>
    <w:link w:val="945"/>
    <w:uiPriority w:val="99"/>
  </w:style>
  <w:style w:type="table" w:styleId="793">
    <w:name w:val="Table Grid Light"/>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basedOn w:val="9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basedOn w:val="9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basedOn w:val="9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basedOn w:val="9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basedOn w:val="9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basedOn w:val="9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9">
    <w:name w:val="Grid Table 5 Dark - Accent 2"/>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0">
    <w:name w:val="Grid Table 5 Dark - Accent 3"/>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1">
    <w:name w:val="Grid Table 5 Dark- Accent 4"/>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2">
    <w:name w:val="Grid Table 5 Dark - Accent 5"/>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3">
    <w:name w:val="Grid Table 5 Dark - Accent 6"/>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4">
    <w:name w:val="Grid Table 6 Colorful"/>
    <w:basedOn w:val="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basedOn w:val="9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basedOn w:val="9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basedOn w:val="9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0">
    <w:name w:val="Grid Table 6 Colorful - Accent 6"/>
    <w:basedOn w:val="9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1">
    <w:name w:val="Grid Table 7 Colorful"/>
    <w:basedOn w:val="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basedOn w:val="9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basedOn w:val="9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basedOn w:val="9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basedOn w:val="9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basedOn w:val="9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basedOn w:val="9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basedOn w:val="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basedOn w:val="93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basedOn w:val="93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basedOn w:val="93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basedOn w:val="93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basedOn w:val="93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basedOn w:val="93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basedOn w:val="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basedOn w:val="9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basedOn w:val="9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basedOn w:val="9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basedOn w:val="9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basedOn w:val="9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basedOn w:val="9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basedOn w:val="9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4">
    <w:name w:val="List Table 3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5">
    <w:name w:val="List Table 3 - Accent 3"/>
    <w:basedOn w:val="9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6">
    <w:name w:val="List Table 3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7">
    <w:name w:val="List Table 3 - Accent 5"/>
    <w:basedOn w:val="9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8">
    <w:name w:val="List Table 3 - Accent 6"/>
    <w:basedOn w:val="9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9">
    <w:name w:val="List Table 4"/>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basedOn w:val="9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1">
    <w:name w:val="List Table 4 - Accent 2"/>
    <w:basedOn w:val="9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2">
    <w:name w:val="List Table 4 - Accent 3"/>
    <w:basedOn w:val="9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3">
    <w:name w:val="List Table 4 - Accent 4"/>
    <w:basedOn w:val="9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4">
    <w:name w:val="List Table 4 - Accent 5"/>
    <w:basedOn w:val="9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5">
    <w:name w:val="List Table 4 - Accent 6"/>
    <w:basedOn w:val="9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6">
    <w:name w:val="List Table 5 Dark"/>
    <w:basedOn w:val="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basedOn w:val="9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basedOn w:val="9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basedOn w:val="9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basedOn w:val="9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basedOn w:val="9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basedOn w:val="9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basedOn w:val="9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5">
    <w:name w:val="List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6">
    <w:name w:val="List Table 6 Colorful - Accent 3"/>
    <w:basedOn w:val="9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7">
    <w:name w:val="List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8">
    <w:name w:val="List Table 6 Colorful - Accent 5"/>
    <w:basedOn w:val="9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9">
    <w:name w:val="List Table 6 Colorful - Accent 6"/>
    <w:basedOn w:val="9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0">
    <w:name w:val="List Table 7 Colorful"/>
    <w:basedOn w:val="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basedOn w:val="9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2">
    <w:name w:val="List Table 7 Colorful - Accent 2"/>
    <w:basedOn w:val="9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3">
    <w:name w:val="List Table 7 Colorful - Accent 3"/>
    <w:basedOn w:val="9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4">
    <w:name w:val="List Table 7 Colorful - Accent 4"/>
    <w:basedOn w:val="9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5">
    <w:name w:val="List Table 7 Colorful - Accent 5"/>
    <w:basedOn w:val="9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6">
    <w:name w:val="List Table 7 Colorful - Accent 6"/>
    <w:basedOn w:val="9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7">
    <w:name w:val="Lined - Accent"/>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9">
    <w:name w:val="Lined - Accent 2"/>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0">
    <w:name w:val="Lined - Accent 3"/>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1">
    <w:name w:val="Lined - Accent 4"/>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2">
    <w:name w:val="Lined - Accent 5"/>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3">
    <w:name w:val="Lined - Accent 6"/>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4">
    <w:name w:val="Bordered &amp; Lined - Accent"/>
    <w:basedOn w:val="9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basedOn w:val="9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6">
    <w:name w:val="Bordered &amp; Lined - Accent 2"/>
    <w:basedOn w:val="9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7">
    <w:name w:val="Bordered &amp; Lined - Accent 3"/>
    <w:basedOn w:val="9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8">
    <w:name w:val="Bordered &amp; Lined - Accent 4"/>
    <w:basedOn w:val="9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9">
    <w:name w:val="Bordered &amp; Lined - Accent 5"/>
    <w:basedOn w:val="9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0">
    <w:name w:val="Bordered &amp; Lined - Accent 6"/>
    <w:basedOn w:val="9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1">
    <w:name w:val="Bordered"/>
    <w:basedOn w:val="9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3"/>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basedOn w:val="937"/>
    <w:uiPriority w:val="99"/>
    <w:unhideWhenUsed/>
    <w:rPr>
      <w:vertAlign w:val="superscript"/>
    </w:rPr>
  </w:style>
  <w:style w:type="paragraph" w:styleId="922">
    <w:name w:val="endnote text"/>
    <w:basedOn w:val="933"/>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basedOn w:val="937"/>
    <w:uiPriority w:val="99"/>
    <w:semiHidden/>
    <w:unhideWhenUsed/>
    <w:rPr>
      <w:vertAlign w:val="superscript"/>
    </w:rPr>
  </w:style>
  <w:style w:type="paragraph" w:styleId="925">
    <w:name w:val="toc 3"/>
    <w:basedOn w:val="933"/>
    <w:next w:val="933"/>
    <w:uiPriority w:val="39"/>
    <w:unhideWhenUsed/>
    <w:pPr>
      <w:ind w:left="567" w:right="0" w:firstLine="0"/>
      <w:spacing w:after="57"/>
    </w:pPr>
  </w:style>
  <w:style w:type="paragraph" w:styleId="926">
    <w:name w:val="toc 4"/>
    <w:basedOn w:val="933"/>
    <w:next w:val="933"/>
    <w:uiPriority w:val="39"/>
    <w:unhideWhenUsed/>
    <w:pPr>
      <w:ind w:left="850" w:right="0" w:firstLine="0"/>
      <w:spacing w:after="57"/>
    </w:pPr>
  </w:style>
  <w:style w:type="paragraph" w:styleId="927">
    <w:name w:val="toc 5"/>
    <w:basedOn w:val="933"/>
    <w:next w:val="933"/>
    <w:uiPriority w:val="39"/>
    <w:unhideWhenUsed/>
    <w:pPr>
      <w:ind w:left="1134"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link w:val="977"/>
    <w:uiPriority w:val="0"/>
    <w:qFormat/>
    <w:pPr>
      <w:jc w:val="both"/>
      <w:widowControl w:val="off"/>
    </w:pPr>
    <w:rPr>
      <w:rFonts w:ascii="Times New Roman" w:hAnsi="Times New Roman" w:eastAsia="宋体" w:cs="Times New Roman"/>
      <w:sz w:val="21"/>
      <w:szCs w:val="24"/>
      <w:lang w:val="en-US" w:eastAsia="zh-CN" w:bidi="ar-SA"/>
    </w:rPr>
  </w:style>
  <w:style w:type="paragraph" w:styleId="934">
    <w:name w:val="Heading 2"/>
    <w:basedOn w:val="933"/>
    <w:next w:val="93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35">
    <w:name w:val="Heading 3"/>
    <w:basedOn w:val="933"/>
    <w:next w:val="933"/>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36">
    <w:name w:val="Heading 4"/>
    <w:basedOn w:val="933"/>
    <w:next w:val="933"/>
    <w:uiPriority w:val="0"/>
    <w:qFormat/>
    <w:pPr>
      <w:keepLines/>
      <w:keepNext/>
      <w:spacing w:before="280" w:after="290" w:line="372" w:lineRule="auto"/>
      <w:outlineLvl w:val="3"/>
    </w:pPr>
    <w:rPr>
      <w:rFonts w:ascii="Arial" w:hAnsi="Arial" w:eastAsia="黑体"/>
      <w:b/>
      <w:bCs/>
      <w:sz w:val="28"/>
      <w:szCs w:val="28"/>
    </w:rPr>
  </w:style>
  <w:style w:type="character" w:styleId="937" w:default="1">
    <w:name w:val="Default Paragraph Font"/>
    <w:uiPriority w:val="0"/>
    <w:semiHidden/>
    <w:qFormat/>
  </w:style>
  <w:style w:type="table" w:styleId="938" w:default="1">
    <w:name w:val="Normal Table"/>
    <w:uiPriority w:val="0"/>
    <w:semiHidden/>
    <w:qFormat/>
    <w:tblPr>
      <w:tblCellMar>
        <w:left w:w="108" w:type="dxa"/>
        <w:top w:w="0" w:type="dxa"/>
        <w:right w:w="108" w:type="dxa"/>
        <w:bottom w:w="0" w:type="dxa"/>
      </w:tblCellMar>
    </w:tblPr>
  </w:style>
  <w:style w:type="paragraph" w:styleId="939">
    <w:name w:val="Normal Indent"/>
    <w:basedOn w:val="933"/>
    <w:next w:val="933"/>
    <w:uiPriority w:val="0"/>
    <w:qFormat/>
    <w:pPr>
      <w:ind w:firstLine="200"/>
    </w:pPr>
    <w:rPr>
      <w:sz w:val="20"/>
    </w:rPr>
  </w:style>
  <w:style w:type="paragraph" w:styleId="940">
    <w:name w:val="toa heading"/>
    <w:basedOn w:val="933"/>
    <w:next w:val="933"/>
    <w:uiPriority w:val="0"/>
    <w:qFormat/>
    <w:pPr>
      <w:spacing w:before="120" w:beforeAutospacing="0"/>
    </w:pPr>
    <w:rPr>
      <w:rFonts w:ascii="Arial" w:hAnsi="Arial"/>
      <w:sz w:val="24"/>
    </w:rPr>
  </w:style>
  <w:style w:type="paragraph" w:styleId="941">
    <w:name w:val="Body Text"/>
    <w:basedOn w:val="933"/>
    <w:next w:val="933"/>
    <w:uiPriority w:val="0"/>
    <w:qFormat/>
    <w:pPr>
      <w:jc w:val="center"/>
    </w:pPr>
    <w:rPr>
      <w:rFonts w:eastAsia="仿宋_GB2312"/>
      <w:sz w:val="28"/>
    </w:rPr>
  </w:style>
  <w:style w:type="paragraph" w:styleId="942">
    <w:name w:val="List Bullet 2"/>
    <w:basedOn w:val="933"/>
    <w:uiPriority w:val="0"/>
    <w:qFormat/>
    <w:pPr>
      <w:numPr>
        <w:ilvl w:val="0"/>
        <w:numId w:val="1"/>
      </w:numPr>
    </w:pPr>
  </w:style>
  <w:style w:type="paragraph" w:styleId="943">
    <w:name w:val="Plain Text"/>
    <w:basedOn w:val="933"/>
    <w:uiPriority w:val="0"/>
    <w:qFormat/>
    <w:rPr>
      <w:rFonts w:ascii="宋体"/>
      <w:szCs w:val="20"/>
    </w:rPr>
  </w:style>
  <w:style w:type="paragraph" w:styleId="944">
    <w:name w:val="Body Text Indent 2"/>
    <w:basedOn w:val="933"/>
    <w:uiPriority w:val="0"/>
    <w:qFormat/>
    <w:pPr>
      <w:ind w:right="-1" w:firstLine="540"/>
      <w:tabs>
        <w:tab w:val="left" w:pos="9741" w:leader="none"/>
      </w:tabs>
    </w:pPr>
    <w:rPr>
      <w:rFonts w:eastAsia="仿宋_GB2312"/>
      <w:sz w:val="28"/>
    </w:rPr>
  </w:style>
  <w:style w:type="paragraph" w:styleId="945">
    <w:name w:val="Footer"/>
    <w:basedOn w:val="933"/>
    <w:uiPriority w:val="0"/>
    <w:qFormat/>
    <w:pPr>
      <w:jc w:val="left"/>
      <w:tabs>
        <w:tab w:val="center" w:pos="4153" w:leader="none"/>
        <w:tab w:val="right" w:pos="8306" w:leader="none"/>
      </w:tabs>
    </w:pPr>
    <w:rPr>
      <w:rFonts w:ascii="Verdana" w:hAnsi="Verdana"/>
      <w:sz w:val="18"/>
      <w:szCs w:val="18"/>
    </w:rPr>
  </w:style>
  <w:style w:type="paragraph" w:styleId="946">
    <w:name w:val="Header"/>
    <w:basedOn w:val="93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47">
    <w:name w:val="toc 1"/>
    <w:basedOn w:val="933"/>
    <w:next w:val="933"/>
    <w:uiPriority w:val="39"/>
    <w:unhideWhenUsed/>
    <w:qFormat/>
    <w:pPr>
      <w:ind w:left="0" w:right="0" w:firstLine="0"/>
      <w:spacing w:after="57"/>
    </w:pPr>
  </w:style>
  <w:style w:type="paragraph" w:styleId="948">
    <w:name w:val="toc 6"/>
    <w:basedOn w:val="933"/>
    <w:next w:val="933"/>
    <w:uiPriority w:val="0"/>
    <w:qFormat/>
    <w:pPr>
      <w:ind w:left="1050"/>
      <w:jc w:val="left"/>
    </w:pPr>
    <w:rPr>
      <w:sz w:val="18"/>
      <w:szCs w:val="18"/>
    </w:rPr>
  </w:style>
  <w:style w:type="paragraph" w:styleId="949">
    <w:name w:val="toc 2"/>
    <w:basedOn w:val="933"/>
    <w:next w:val="933"/>
    <w:uiPriority w:val="0"/>
    <w:unhideWhenUsed/>
    <w:qFormat/>
    <w:pPr>
      <w:ind w:left="283"/>
      <w:spacing w:after="57"/>
    </w:pPr>
  </w:style>
  <w:style w:type="paragraph" w:styleId="950">
    <w:name w:val="Normal (Web)"/>
    <w:basedOn w:val="933"/>
    <w:uiPriority w:val="0"/>
    <w:qFormat/>
    <w:pPr>
      <w:ind w:left="0" w:right="0"/>
      <w:jc w:val="left"/>
      <w:spacing w:before="0" w:beforeAutospacing="1" w:after="0" w:afterAutospacing="1"/>
    </w:pPr>
    <w:rPr>
      <w:sz w:val="24"/>
      <w:lang w:val="en-US" w:eastAsia="zh-CN" w:bidi="ar"/>
    </w:rPr>
  </w:style>
  <w:style w:type="table" w:styleId="9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2">
    <w:name w:val="Strong"/>
    <w:basedOn w:val="937"/>
    <w:uiPriority w:val="0"/>
    <w:qFormat/>
    <w:rPr>
      <w:b/>
    </w:rPr>
  </w:style>
  <w:style w:type="paragraph" w:styleId="953" w:customStyle="1">
    <w:name w:val="首行缩进"/>
    <w:basedOn w:val="933"/>
    <w:uiPriority w:val="0"/>
    <w:qFormat/>
    <w:pPr>
      <w:ind w:firstLine="420"/>
      <w:spacing w:line="360" w:lineRule="auto"/>
    </w:pPr>
    <w:rPr>
      <w:sz w:val="20"/>
    </w:rPr>
  </w:style>
  <w:style w:type="paragraph" w:styleId="954" w:customStyle="1">
    <w:name w:val="信息标题1"/>
    <w:basedOn w:val="933"/>
    <w:next w:val="93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55" w:customStyle="1">
    <w:name w:val="段"/>
    <w:basedOn w:val="956"/>
    <w:next w:val="933"/>
    <w:uiPriority w:val="0"/>
    <w:qFormat/>
    <w:pPr>
      <w:ind w:firstLine="200"/>
      <w:jc w:val="both"/>
    </w:pPr>
    <w:rPr>
      <w:rFonts w:hint="default" w:ascii="宋体" w:hAnsi="Times New Roman" w:eastAsia="宋体" w:cs="Times New Roman"/>
      <w:sz w:val="21"/>
      <w:szCs w:val="22"/>
    </w:rPr>
  </w:style>
  <w:style w:type="paragraph" w:styleId="956" w:customStyle="1">
    <w:name w:val="正文13"/>
    <w:next w:val="957"/>
    <w:uiPriority w:val="99"/>
    <w:qFormat/>
    <w:pPr>
      <w:jc w:val="both"/>
      <w:widowControl w:val="off"/>
    </w:pPr>
    <w:rPr>
      <w:rFonts w:ascii="Times New Roman" w:hAnsi="Times New Roman" w:eastAsia="宋体" w:cs="Times New Roman"/>
      <w:sz w:val="21"/>
      <w:szCs w:val="24"/>
      <w:lang w:val="en-US" w:eastAsia="zh-CN" w:bidi="ar-SA"/>
    </w:rPr>
  </w:style>
  <w:style w:type="paragraph" w:styleId="957" w:customStyle="1">
    <w:name w:val="正文首行缩进1"/>
    <w:basedOn w:val="958"/>
    <w:next w:val="959"/>
    <w:uiPriority w:val="0"/>
    <w:qFormat/>
    <w:pPr>
      <w:ind w:firstLine="420"/>
      <w:spacing w:after="120"/>
      <w:tabs>
        <w:tab w:val="left" w:pos="2020" w:leader="none"/>
        <w:tab w:val="center" w:pos="4535" w:leader="none"/>
      </w:tabs>
    </w:pPr>
    <w:rPr>
      <w:sz w:val="21"/>
    </w:rPr>
  </w:style>
  <w:style w:type="paragraph" w:styleId="958" w:customStyle="1">
    <w:name w:val="正文文本1"/>
    <w:basedOn w:val="933"/>
    <w:next w:val="933"/>
    <w:uiPriority w:val="0"/>
    <w:qFormat/>
    <w:pPr>
      <w:jc w:val="center"/>
    </w:pPr>
    <w:rPr>
      <w:rFonts w:eastAsia="仿宋_GB2312"/>
      <w:sz w:val="28"/>
    </w:rPr>
  </w:style>
  <w:style w:type="paragraph" w:styleId="959" w:customStyle="1">
    <w:name w:val="正文首行缩进 211"/>
    <w:basedOn w:val="960"/>
    <w:uiPriority w:val="99"/>
    <w:qFormat/>
    <w:pPr>
      <w:ind w:firstLine="420"/>
    </w:pPr>
    <w:rPr>
      <w:sz w:val="24"/>
    </w:rPr>
  </w:style>
  <w:style w:type="paragraph" w:styleId="960" w:customStyle="1">
    <w:name w:val="正文文本缩进11"/>
    <w:basedOn w:val="961"/>
    <w:uiPriority w:val="99"/>
    <w:qFormat/>
    <w:pPr>
      <w:ind w:firstLine="538"/>
    </w:pPr>
    <w:rPr>
      <w:sz w:val="28"/>
    </w:rPr>
  </w:style>
  <w:style w:type="paragraph" w:styleId="961" w:customStyle="1">
    <w:name w:val="正文112"/>
    <w:next w:val="957"/>
    <w:uiPriority w:val="99"/>
    <w:qFormat/>
    <w:pPr>
      <w:jc w:val="both"/>
      <w:widowControl w:val="off"/>
    </w:pPr>
    <w:rPr>
      <w:rFonts w:ascii="Times New Roman" w:hAnsi="Times New Roman" w:eastAsia="宋体" w:cs="Times New Roman"/>
      <w:sz w:val="21"/>
      <w:szCs w:val="24"/>
      <w:lang w:val="en-US" w:eastAsia="zh-CN" w:bidi="ar-SA"/>
    </w:rPr>
  </w:style>
  <w:style w:type="paragraph" w:styleId="962" w:customStyle="1">
    <w:name w:val="一级条标题"/>
    <w:basedOn w:val="963"/>
    <w:next w:val="955"/>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3" w:customStyle="1">
    <w:name w:val="章标题"/>
    <w:basedOn w:val="933"/>
    <w:next w:val="933"/>
    <w:uiPriority w:val="99"/>
    <w:qFormat/>
    <w:pPr>
      <w:jc w:val="center"/>
      <w:spacing w:before="158" w:after="153" w:line="1292" w:lineRule="atLeast"/>
      <w:widowControl/>
    </w:pPr>
    <w:rPr>
      <w:rFonts w:ascii="Arial" w:eastAsia="黑体" w:cs="黑体"/>
      <w:sz w:val="31"/>
      <w:szCs w:val="22"/>
      <w:lang w:eastAsia="en-US"/>
    </w:rPr>
  </w:style>
  <w:style w:type="paragraph" w:styleId="964" w:customStyle="1">
    <w:name w:val="[Normal]"/>
    <w:uiPriority w:val="0"/>
    <w:qFormat/>
    <w:rPr>
      <w:rFonts w:ascii="方正仿宋简体" w:hAnsi="Times New Roman" w:eastAsia="方正仿宋简体" w:cs="Courier New"/>
      <w:sz w:val="24"/>
      <w:szCs w:val="22"/>
      <w:lang w:val="zh-CN" w:eastAsia="zh-CN" w:bidi="ar-SA"/>
    </w:rPr>
  </w:style>
  <w:style w:type="paragraph" w:styleId="965" w:customStyle="1">
    <w:name w:val="标题 21"/>
    <w:basedOn w:val="933"/>
    <w:next w:val="933"/>
    <w:uiPriority w:val="0"/>
    <w:qFormat/>
    <w:pPr>
      <w:keepLines/>
      <w:keepNext/>
      <w:spacing w:before="260" w:after="260" w:line="413" w:lineRule="auto"/>
      <w:outlineLvl w:val="1"/>
    </w:pPr>
    <w:rPr>
      <w:rFonts w:ascii="Arial" w:hAnsi="Arial" w:eastAsia="黑体"/>
      <w:b/>
      <w:sz w:val="32"/>
      <w:szCs w:val="20"/>
    </w:rPr>
  </w:style>
  <w:style w:type="paragraph" w:styleId="966"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967" w:customStyle="1">
    <w:name w:val="Table Text"/>
    <w:basedOn w:val="933"/>
    <w:uiPriority w:val="0"/>
    <w:semiHidden/>
    <w:qFormat/>
    <w:rPr>
      <w:rFonts w:ascii="宋体" w:hAnsi="宋体" w:eastAsia="宋体" w:cs="宋体"/>
      <w:sz w:val="24"/>
      <w:szCs w:val="24"/>
      <w:lang w:val="en-US" w:eastAsia="en-US" w:bidi="ar-SA"/>
    </w:rPr>
  </w:style>
  <w:style w:type="table" w:styleId="968" w:customStyle="1">
    <w:name w:val="Table Normal"/>
    <w:uiPriority w:val="0"/>
    <w:unhideWhenUsed/>
    <w:qFormat/>
    <w:tblPr>
      <w:tblCellMar>
        <w:left w:w="0" w:type="dxa"/>
        <w:top w:w="0" w:type="dxa"/>
        <w:right w:w="0" w:type="dxa"/>
        <w:bottom w:w="0" w:type="dxa"/>
      </w:tblCellMar>
    </w:tblPr>
  </w:style>
  <w:style w:type="paragraph" w:styleId="969" w:customStyle="1">
    <w:name w:val="正文_0"/>
    <w:basedOn w:val="933"/>
    <w:uiPriority w:val="0"/>
    <w:qFormat/>
    <w:rPr>
      <w:rFonts w:ascii="Times New Roman" w:hAnsi="Times New Roman" w:eastAsia="宋体" w:cs="Times New Roman"/>
    </w:rPr>
  </w:style>
  <w:style w:type="paragraph" w:styleId="970" w:customStyle="1">
    <w:name w:val="正文1"/>
    <w:basedOn w:val="971"/>
    <w:next w:val="933"/>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71" w:customStyle="1">
    <w:name w:val="样式1"/>
    <w:basedOn w:val="933"/>
    <w:uiPriority w:val="0"/>
    <w:qFormat/>
    <w:pPr>
      <w:ind w:left="432" w:firstLine="288"/>
      <w:tabs>
        <w:tab w:val="left" w:pos="1110" w:leader="none"/>
      </w:tabs>
    </w:pPr>
    <w:rPr>
      <w:rFonts w:ascii="宋体" w:hAnsi="宋体"/>
      <w:szCs w:val="21"/>
    </w:rPr>
  </w:style>
  <w:style w:type="paragraph" w:styleId="972" w:customStyle="1">
    <w:name w:val="List Paragraph"/>
    <w:basedOn w:val="933"/>
    <w:uiPriority w:val="0"/>
    <w:qFormat/>
    <w:pPr>
      <w:ind w:firstLine="200"/>
    </w:pPr>
    <w:rPr>
      <w:rFonts w:ascii="Calibri" w:hAnsi="Calibri"/>
      <w:szCs w:val="22"/>
    </w:rPr>
  </w:style>
  <w:style w:type="paragraph" w:styleId="973" w:customStyle="1">
    <w:name w:val="普通正文"/>
    <w:basedOn w:val="933"/>
    <w:uiPriority w:val="0"/>
    <w:qFormat/>
    <w:pPr>
      <w:ind w:firstLine="480"/>
      <w:jc w:val="left"/>
      <w:spacing w:before="120" w:after="120" w:line="360" w:lineRule="auto"/>
    </w:pPr>
    <w:rPr>
      <w:rFonts w:ascii="Arial" w:hAnsi="Arial"/>
      <w:sz w:val="24"/>
    </w:rPr>
  </w:style>
  <w:style w:type="paragraph" w:styleId="974" w:customStyle="1">
    <w:name w:val="批注文字1"/>
    <w:basedOn w:val="933"/>
    <w:uiPriority w:val="0"/>
    <w:qFormat/>
    <w:pPr>
      <w:jc w:val="left"/>
    </w:pPr>
  </w:style>
  <w:style w:type="paragraph" w:styleId="975" w:customStyle="1">
    <w:name w:val="正文首行缩进 21"/>
    <w:basedOn w:val="976"/>
    <w:uiPriority w:val="0"/>
    <w:qFormat/>
    <w:pPr>
      <w:ind w:firstLine="420"/>
    </w:pPr>
  </w:style>
  <w:style w:type="paragraph" w:styleId="976" w:customStyle="1">
    <w:name w:val="正文文本缩进1"/>
    <w:basedOn w:val="933"/>
    <w:uiPriority w:val="0"/>
    <w:qFormat/>
    <w:pPr>
      <w:ind w:left="420"/>
      <w:spacing w:after="120"/>
    </w:pPr>
  </w:style>
  <w:style w:type="character" w:styleId="977" w:customStyle="1">
    <w:name w:val="超链接1"/>
    <w:link w:val="933"/>
    <w:uiPriority w:val="0"/>
    <w:qFormat/>
    <w:rPr>
      <w:rFonts w:ascii="Times New Roman" w:hAnsi="Times New Roman" w:eastAsia="宋体" w:cs="Times New Roman"/>
      <w:sz w:val="21"/>
      <w:szCs w:val="24"/>
      <w:lang w:val="en-US" w:eastAsia="zh-CN" w:bidi="ar-SA"/>
    </w:rPr>
  </w:style>
  <w:style w:type="table" w:styleId="978" w:customStyle="1">
    <w:name w:val="网格型1"/>
    <w:basedOn w:val="979"/>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79" w:customStyle="1">
    <w:name w:val="普通表格1"/>
    <w:uiPriority w:val="0"/>
    <w:semiHidden/>
    <w:qFormat/>
    <w:tblPr/>
  </w:style>
  <w:style w:type="character" w:styleId="980" w:customStyle="1">
    <w:name w:val="font21"/>
    <w:basedOn w:val="937"/>
    <w:uiPriority w:val="0"/>
    <w:qFormat/>
    <w:rPr>
      <w:rFonts w:hint="eastAsia" w:ascii="黑体" w:hAnsi="宋体" w:eastAsia="黑体" w:cs="黑体"/>
      <w:color w:val="000000"/>
      <w:sz w:val="21"/>
      <w:szCs w:val="21"/>
      <w:u w:val="none"/>
    </w:rPr>
  </w:style>
  <w:style w:type="character" w:styleId="981" w:customStyle="1">
    <w:name w:val="font71"/>
    <w:basedOn w:val="937"/>
    <w:uiPriority w:val="0"/>
    <w:qFormat/>
    <w:rPr>
      <w:rFonts w:hint="eastAsia" w:ascii="宋体" w:hAnsi="宋体" w:eastAsia="宋体" w:cs="宋体"/>
      <w:color w:val="000000"/>
      <w:sz w:val="21"/>
      <w:szCs w:val="21"/>
      <w:u w:val="none"/>
    </w:rPr>
  </w:style>
  <w:style w:type="character" w:styleId="982" w:customStyle="1">
    <w:name w:val="font81"/>
    <w:basedOn w:val="937"/>
    <w:uiPriority w:val="0"/>
    <w:qFormat/>
    <w:rPr>
      <w:rFonts w:hint="eastAsia" w:ascii="黑体" w:hAnsi="宋体" w:eastAsia="黑体" w:cs="黑体"/>
      <w:color w:val="ff6600"/>
      <w:sz w:val="21"/>
      <w:szCs w:val="21"/>
      <w:u w:val="none"/>
    </w:rPr>
  </w:style>
  <w:style w:type="character" w:styleId="983" w:customStyle="1">
    <w:name w:val="font01"/>
    <w:basedOn w:val="937"/>
    <w:uiPriority w:val="0"/>
    <w:qFormat/>
    <w:rPr>
      <w:rFonts w:hint="default" w:ascii="Arial" w:hAnsi="Arial" w:cs="Arial"/>
      <w:color w:val="000000"/>
      <w:sz w:val="20"/>
      <w:szCs w:val="20"/>
      <w:u w:val="none"/>
    </w:rPr>
  </w:style>
  <w:style w:type="character" w:styleId="984" w:customStyle="1">
    <w:name w:val="font51"/>
    <w:basedOn w:val="937"/>
    <w:uiPriority w:val="0"/>
    <w:qFormat/>
    <w:rPr>
      <w:rFonts w:hint="eastAsia" w:ascii="宋体" w:hAnsi="宋体" w:eastAsia="宋体" w:cs="宋体"/>
      <w:color w:val="000000"/>
      <w:sz w:val="22"/>
      <w:szCs w:val="22"/>
      <w:u w:val="none"/>
    </w:rPr>
  </w:style>
  <w:style w:type="paragraph" w:styleId="985" w:customStyle="1">
    <w:name w:val="正文文本111"/>
    <w:basedOn w:val="933"/>
    <w:next w:val="986"/>
    <w:uiPriority w:val="0"/>
    <w:qFormat/>
    <w:pPr>
      <w:jc w:val="center"/>
    </w:pPr>
    <w:rPr>
      <w:rFonts w:eastAsia="仿宋_GB2312"/>
      <w:sz w:val="28"/>
    </w:rPr>
  </w:style>
  <w:style w:type="paragraph" w:styleId="986" w:customStyle="1">
    <w:name w:val="目录 21"/>
    <w:basedOn w:val="933"/>
    <w:next w:val="933"/>
    <w:uiPriority w:val="39"/>
    <w:qFormat/>
    <w:pPr>
      <w:ind w:left="210"/>
    </w:pPr>
    <w:rPr>
      <w:smallCaps/>
    </w:rPr>
  </w:style>
  <w:style w:type="paragraph" w:styleId="987" w:customStyle="1">
    <w:name w:val="样式 样式 左侧:  2 字符 + 左侧:  0.85 厘米 首行缩进:  2 字符1"/>
    <w:basedOn w:val="933"/>
    <w:uiPriority w:val="0"/>
    <w:qFormat/>
    <w:pPr>
      <w:ind w:left="482" w:firstLine="200"/>
    </w:pPr>
    <w:rPr>
      <w:rFonts w:ascii="Times New Roman" w:hAnsi="Times New Roman" w:cs="宋体"/>
      <w:szCs w:val="20"/>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2aa9c839-8b74-45f9-b45b-acffd02be514</errorID>
      <errorWord>（</errorWord>
      <group>L1_Punc</group>
      <groupName>标点问题</groupName>
      <ability>L2_Punc_CN</ability>
      <abilityName/>
      <candidateList/>
      <explain>同一形式括号套用。</explain>
      <paraID>49941BB3</paraID>
      <start>38</start>
      <end>39</end>
      <status>unmodified</status>
      <modifiedWord/>
      <trackRevisions>false</trackRevisions>
    </reviewItem>
    <reviewItem>
      <errorID>4aaac86a-286f-40b6-b981-61dd8423d29c</errorID>
      <errorWord>）</errorWord>
      <group>L1_Punc</group>
      <groupName>标点问题</groupName>
      <ability>L2_Punc_CN</ability>
      <abilityName/>
      <candidateList/>
      <explain>同一形式括号套用。</explain>
      <paraID>49941BB3</paraID>
      <start>41</start>
      <end>42</end>
      <status>unmodified</status>
      <modifiedWord/>
      <trackRevisions>false</trackRevisions>
    </reviewItem>
    <reviewItem>
      <errorID>79abc652-9997-44db-ac84-cbb21d693fed</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unmodified</status>
      <modifiedWord/>
      <trackRevisions>false</trackRevisions>
    </reviewItem>
    <reviewItem>
      <errorID>67395c3d-97d9-4c64-95cd-8d665d7532ec</errorID>
      <errorWord>”</errorWord>
      <group>L1_Punc</group>
      <groupName>标点问题</groupName>
      <ability>L2_Punc_CN</ability>
      <abilityName/>
      <candidateList/>
      <explain>此处标点可能未正确匹配，请检查句子中是否存在标点冗余、缺失或使用错误的情况。</explain>
      <paraID>549F36BD</paraID>
      <start>108</start>
      <end>109</end>
      <status>unmodified</status>
      <modifiedWord/>
      <trackRevisions>false</trackRevisions>
    </reviewItem>
    <reviewItem>
      <errorID>9b904ea1-dfbf-426a-954c-ecb42aaf27dd</errorID>
      <errorWord>〈</errorWord>
      <group>L1_Punc</group>
      <groupName>标点问题</groupName>
      <ability>L2_Punc_CN</ability>
      <abilityName/>
      <candidateList/>
      <explain>此处标点可能未正确匹配，请检查句子中是否存在标点冗余、缺失或使用错误的情况。</explain>
      <paraID>43CA0092</paraID>
      <start>50</start>
      <end>51</end>
      <status>unmodified</status>
      <modifiedWord/>
      <trackRevisions>false</trackRevisions>
    </reviewItem>
    <reviewItem>
      <errorID>7714847b-f19c-4b96-841f-43e38689be38</errorID>
      <errorWord>〈</errorWord>
      <group>L1_Punc</group>
      <groupName>标点问题</groupName>
      <ability>L2_Punc_CN</ability>
      <abilityName/>
      <candidateList/>
      <explain>此处标点可能未正确匹配，请检查句子中是否存在标点冗余、缺失或使用错误的情况。</explain>
      <paraID>5A9E06DF</paraID>
      <start>50</start>
      <end>51</end>
      <status>unmodified</status>
      <modifiedWord/>
      <trackRevisions>false</trackRevisions>
    </reviewItem>
    <reviewItem>
      <errorID>ca1bcf26-0b40-476e-8c95-bc5c055fb48e</errorID>
      <errorWord>〈</errorWord>
      <group>L1_Punc</group>
      <groupName>标点问题</groupName>
      <ability>L2_Punc_CN</ability>
      <abilityName/>
      <candidateList/>
      <explain>此处标点可能未正确匹配，请检查句子中是否存在标点冗余、缺失或使用错误的情况。</explain>
      <paraID>4DC53414</paraID>
      <start>35</start>
      <end>36</end>
      <status>unmodified</status>
      <modifiedWord/>
      <trackRevisions>false</trackRevisions>
    </reviewItem>
    <reviewItem>
      <errorID>0b00295e-3b1a-439c-8d05-516a22764d41</errorID>
      <errorWord>为成</errorWord>
      <group>L1_Word</group>
      <groupName>字词问题</groupName>
      <ability>L2_Typo</ability>
      <abilityName>字词错误</abilityName>
      <candidateList>
        <item>自成</item>
      </candidateList>
      <explain/>
      <paraID>2C0C145F</paraID>
      <start>14</start>
      <end>16</end>
      <status>unmodified</status>
      <modifiedWord/>
      <trackRevisions>false</trackRevisions>
    </reviewItem>
    <reviewItem>
      <errorID>54cb8d6d-03d0-4f47-994a-31dacdc100e5</errorID>
      <errorWord>）</errorWord>
      <group>L1_Punc</group>
      <groupName>标点问题</groupName>
      <ability>L2_Punc_CN</ability>
      <abilityName/>
      <candidateList/>
      <explain>此处标点可能未正确匹配，请检查句子中是否存在标点冗余、缺失或使用错误的情况。</explain>
      <paraID>4690B286</paraID>
      <start>64</start>
      <end>65</end>
      <status>unmodified</status>
      <modifiedWord/>
      <trackRevisions>false</trackRevisions>
    </reviewItem>
    <reviewItem>
      <errorID>09399dd4-8ec6-42a8-9a62-3e913b7f39e2</errorID>
      <errorWord>《</errorWord>
      <group>L1_Punc</group>
      <groupName>标点问题</groupName>
      <ability>L2_Punc_CN</ability>
      <abilityName/>
      <candidateList/>
      <explain>同一形式括号套用。</explain>
      <paraID>323059A8</paraID>
      <start>37</start>
      <end>38</end>
      <status>unmodified</status>
      <modifiedWord/>
      <trackRevisions>false</trackRevisions>
    </reviewItem>
    <reviewItem>
      <errorID>65d887b6-fb82-4bb8-b1fe-e43ce6594f97</errorID>
      <errorWord>》</errorWord>
      <group>L1_Punc</group>
      <groupName>标点问题</groupName>
      <ability>L2_Punc_CN</ability>
      <abilityName/>
      <candidateList/>
      <explain>同一形式括号套用。</explain>
      <paraID>323059A8</paraID>
      <start>54</start>
      <end>55</end>
      <status>unmodified</status>
      <modifiedWord/>
      <trackRevisions>false</trackRevisions>
    </reviewItem>
    <reviewItem>
      <errorID>ac187ff4-18aa-4d21-a3f3-014877b88324</errorID>
      <errorWord>《</errorWord>
      <group>L1_Punc</group>
      <groupName>标点问题</groupName>
      <ability>L2_Punc_CN</ability>
      <abilityName/>
      <candidateList/>
      <explain>同一形式括号套用。</explain>
      <paraID>323059A8</paraID>
      <start>55</start>
      <end>56</end>
      <status>unmodified</status>
      <modifiedWord/>
      <trackRevisions>false</trackRevisions>
    </reviewItem>
    <reviewItem>
      <errorID>54c8e897-96fd-47a5-b5c9-c321fddcd440</errorID>
      <errorWord>》</errorWord>
      <group>L1_Punc</group>
      <groupName>标点问题</groupName>
      <ability>L2_Punc_CN</ability>
      <abilityName/>
      <candidateList/>
      <explain>同一形式括号套用。</explain>
      <paraID>323059A8</paraID>
      <start>72</start>
      <end>73</end>
      <status>unmodified</status>
      <modifiedWord/>
      <trackRevisions>false</trackRevisions>
    </reviewItem>
    <reviewItem>
      <errorID>16566894-1f7b-410f-b9d9-a93d49f6d196</errorID>
      <errorWord>】</errorWord>
      <group>L1_Word</group>
      <groupName>字词问题</groupName>
      <ability>L2_Typo</ability>
      <abilityName>字词错误</abilityName>
      <candidateList>
        <item>】将</item>
      </candidateList>
      <explain/>
      <paraID>74670B81</paraID>
      <start>121</start>
      <end>122</end>
      <status>unmodified</status>
      <modifiedWord/>
      <trackRevisions>false</trackRevisions>
    </reviewItem>
    <reviewItem>
      <errorID>62f52765-6c4e-4a82-8429-f307ca5862cf</errorID>
      <errorWord>。】</errorWord>
      <group>L1_Punc</group>
      <groupName>标点问题</groupName>
      <ability>L2_Punc_CN</ability>
      <abilityName/>
      <candidateList>
        <item>】</item>
      </candidateList>
      <explain/>
      <paraID>22278CDE</paraID>
      <start>123</start>
      <end>125</end>
      <status>unmodified</status>
      <modifiedWord/>
      <trackRevisions>false</trackRevisions>
    </reviewItem>
    <reviewItem>
      <errorID>57718525-ac2a-4a6b-a78a-990be0431e68</errorID>
      <errorWord>:</errorWord>
      <group>L1_Format</group>
      <groupName>格式问题</groupName>
      <ability>L2_HalfPunc_CN</ability>
      <abilityName/>
      <candidateList>
        <item>：</item>
      </candidateList>
      <explain>文本全半角错误。</explain>
      <paraID>190B759A</paraID>
      <start>6</start>
      <end>7</end>
      <status>unmodified</status>
      <modifiedWord/>
      <trackRevisions>false</trackRevisions>
    </reviewItem>
    <reviewItem>
      <errorID>d206dc9f-1434-44c3-af6c-73b6e8549f50</errorID>
      <errorWord>:</errorWord>
      <group>L1_Format</group>
      <groupName>格式问题</groupName>
      <ability>L2_HalfPunc_CN</ability>
      <abilityName/>
      <candidateList>
        <item>：</item>
      </candidateList>
      <explain>文本全半角错误。</explain>
      <paraID>62B05E40</paraID>
      <start>6</start>
      <end>7</end>
      <status>unmodified</status>
      <modifiedWord/>
      <trackRevisions>false</trackRevisions>
    </reviewItem>
    <reviewItem>
      <errorID>7f022f59-7fb8-4ee4-8d7e-fc2ea972ab9c</errorID>
      <errorWord>;</errorWord>
      <group>L1_Format</group>
      <groupName>格式问题</groupName>
      <ability>L2_HalfPunc_CN</ability>
      <abilityName/>
      <candidateList>
        <item>；</item>
      </candidateList>
      <explain>文本全半角错误。</explain>
      <paraID>62B05E40</paraID>
      <start>12</start>
      <end>13</end>
      <status>unmodified</status>
      <modifiedWord/>
      <trackRevisions>false</trackRevisions>
    </reviewItem>
    <reviewItem>
      <errorID>5d11aabd-2d1f-4a3f-bd44-5e732314e601</errorID>
      <errorWord>:</errorWord>
      <group>L1_Format</group>
      <groupName>格式问题</groupName>
      <ability>L2_HalfPunc_CN</ability>
      <abilityName/>
      <candidateList>
        <item>：</item>
      </candidateList>
      <explain>文本全半角错误。</explain>
      <paraID>24DE1B5F</paraID>
      <start>6</start>
      <end>7</end>
      <status>unmodified</status>
      <modifiedWord/>
      <trackRevisions>false</trackRevisions>
    </reviewItem>
    <reviewItem>
      <errorID>0df4aa67-ac6a-4d8f-ab39-74b52a0bfbcf</errorID>
      <errorWord>;</errorWord>
      <group>L1_Format</group>
      <groupName>格式问题</groupName>
      <ability>L2_HalfPunc_CN</ability>
      <abilityName/>
      <candidateList>
        <item>；</item>
      </candidateList>
      <explain>文本全半角错误。</explain>
      <paraID>24DE1B5F</paraID>
      <start>12</start>
      <end>13</end>
      <status>unmodified</status>
      <modifiedWord/>
      <trackRevisions>false</trackRevisions>
    </reviewItem>
    <reviewItem>
      <errorID>8b4e18f8-df0f-47b3-8b5e-9f24fbcc477b</errorID>
      <errorWord>:</errorWord>
      <group>L1_Format</group>
      <groupName>格式问题</groupName>
      <ability>L2_HalfPunc_CN</ability>
      <abilityName/>
      <candidateList>
        <item>：</item>
      </candidateList>
      <explain>文本全半角错误。</explain>
      <paraID>28607EDB</paraID>
      <start>6</start>
      <end>7</end>
      <status>unmodified</status>
      <modifiedWord/>
      <trackRevisions>false</trackRevisions>
    </reviewItem>
    <reviewItem>
      <errorID>e7a2d593-41fb-4967-a2c4-9a330ff4a856</errorID>
      <errorWord>KW</errorWord>
      <group>L1_Word</group>
      <groupName>字词问题</groupName>
      <ability>L2_Typo</ability>
      <abilityName>字词错误</abilityName>
      <candidateList>
        <item>kW</item>
      </candidateList>
      <explain/>
      <paraID> 82A05CD</paraID>
      <start>320</start>
      <end>322</end>
      <status>unmodified</status>
      <modifiedWord/>
      <trackRevisions>false</trackRevisions>
    </reviewItem>
    <reviewItem>
      <errorID>3bec7af3-56e2-4e2f-b678-72a77058d615</errorID>
      <errorWord>KW</errorWord>
      <group>L1_Word</group>
      <groupName>字词问题</groupName>
      <ability>L2_Typo</ability>
      <abilityName>字词错误</abilityName>
      <candidateList>
        <item>kW</item>
      </candidateList>
      <explain/>
      <paraID> 82A05CD</paraID>
      <start>360</start>
      <end>362</end>
      <status>unmodified</status>
      <modifiedWord/>
      <trackRevisions>false</trackRevisions>
    </reviewItem>
    <reviewItem>
      <errorID>abb24217-c445-401f-aaa1-9bb2bad346de</errorID>
      <errorWord>专业音箱</errorWord>
      <group>L1_Word</group>
      <groupName>字词问题</groupName>
      <ability>L2_Typo</ability>
      <abilityName>字词错误</abilityName>
      <candidateList>
        <item>专业音响</item>
      </candidateList>
      <explain>存在发音相同字词的误用。</explain>
      <paraID>36A58CB6</paraID>
      <start>2</start>
      <end>6</end>
      <status>unmodified</status>
      <modifiedWord/>
      <trackRevisions>false</trackRevisions>
    </reviewItem>
    <reviewItem>
      <errorID>512598f0-ca2c-4361-8f35-b175a7d1e992</errorID>
      <errorWord>(</errorWord>
      <group>L1_Format</group>
      <groupName>格式问题</groupName>
      <ability>L2_HalfPunc_CN</ability>
      <abilityName/>
      <candidateList>
        <item>（</item>
      </candidateList>
      <explain>文本全半角错误。</explain>
      <paraID>7CA43BFD</paraID>
      <start>729</start>
      <end>730</end>
      <status>unmodified</status>
      <modifiedWord/>
      <trackRevisions>false</trackRevisions>
    </reviewItem>
    <reviewItem>
      <errorID>6cde9baf-157f-4925-b5b9-a3b9f4a53223</errorID>
      <errorWord>Iphone</errorWord>
      <group>L1_Word</group>
      <groupName>字词问题</groupName>
      <ability>L2_Typo</ability>
      <abilityName>字词错误</abilityName>
      <candidateList>
        <item>iPhone</item>
      </candidateList>
      <explain/>
      <paraID> 88691E1</paraID>
      <start>147</start>
      <end>153</end>
      <status>unmodified</status>
      <modifiedWord/>
      <trackRevisions>false</trackRevisions>
    </reviewItem>
    <reviewItem>
      <errorID>881d71e3-2ae9-4505-a438-566df3fd23c7</errorID>
      <errorWord>对于</errorWord>
      <group>L1_Word</group>
      <groupName>字词问题</groupName>
      <ability>L2_Typo</ability>
      <abilityName>字词错误</abilityName>
      <candidateList>
        <item>对应</item>
      </candidateList>
      <explain/>
      <paraID> 88691E1</paraID>
      <start>185</start>
      <end>187</end>
      <status>unmodified</status>
      <modifiedWord/>
      <trackRevisions>false</trackRevisions>
    </reviewItem>
    <reviewItem>
      <errorID>02ba448f-3375-4ebe-a0e0-e221ead0366b</errorID>
      <errorWord>Enternet</errorWord>
      <group>L1_English</group>
      <groupName>英文问题</groupName>
      <ability>L2_Spell</ability>
      <abilityName>拼写问题</abilityName>
      <candidateList>
        <item>Internet</item>
      </candidateList>
      <explain>疑似单词拼写有误，建议将Enternet修改为Internet</explain>
      <paraID> 88691E1</paraID>
      <start>280</start>
      <end>288</end>
      <status>unmodified</status>
      <modifiedWord/>
      <trackRevisions>false</trackRevisions>
    </reviewItem>
    <reviewItem>
      <errorID>6a2e5568-3bcd-4b1c-afb5-90740a3302d0</errorID>
      <errorWord>噪音</errorWord>
      <group>L1_Word</group>
      <groupName>字词问题</groupName>
      <ability>L2_Alias</ability>
      <abilityName>也作/曾用词</abilityName>
      <candidateList>
        <item>噪声</item>
      </candidateList>
      <explain>词汇[噪音]为不规范表述或旧称，其规范书面表述为[噪声]。</explain>
      <paraID> 88691E1</paraID>
      <start>415</start>
      <end>417</end>
      <status>unmodified</status>
      <modifiedWord/>
      <trackRevisions>false</trackRevisions>
    </reviewItem>
    <reviewItem>
      <errorID>71e716b3-0aa3-458f-adef-825d0e03e4d4</errorID>
      <errorWord>阀值</errorWord>
      <group>L1_Word</group>
      <groupName>字词问题</groupName>
      <ability>L2_Alias</ability>
      <abilityName>也作/曾用词</abilityName>
      <candidateList>
        <item>阈值</item>
      </candidateList>
      <explain>词汇[阀值]为不规范表述或旧称，其规范书面表述为[阈值]。</explain>
      <paraID>4F9A2E34</paraID>
      <start>339</start>
      <end>341</end>
      <status>unmodified</status>
      <modifiedWord/>
      <trackRevisions>false</trackRevisions>
    </reviewItem>
    <reviewItem>
      <errorID>a5cbf009-b001-49db-8cef-8cccd48f11ba</errorID>
      <errorWord>具</errorWord>
      <group>L1_Word</group>
      <groupName>字词问题</groupName>
      <ability>L2_Typo</ability>
      <abilityName>字词错误</abilityName>
      <candidateList>
        <item>具有</item>
      </candidateList>
      <explain>〈动〉有（多用于抽象事物）：～信心｜～伟大的意义。</explain>
      <paraID>6B80483E</paraID>
      <start>184</start>
      <end>185</end>
      <status>unmodified</status>
      <modifiedWord/>
      <trackRevisions>false</trackRevisions>
    </reviewItem>
    <reviewItem>
      <errorID>966cb6b2-54fd-4c03-ab70-6bc08f2dd16d</errorID>
      <errorWord>（</errorWord>
      <group>L1_Punc</group>
      <groupName>标点问题</groupName>
      <ability>L2_Punc_CN</ability>
      <abilityName/>
      <candidateList/>
      <explain>同一形式括号套用。</explain>
      <paraID>6B80483E</paraID>
      <start>311</start>
      <end>312</end>
      <status>unmodified</status>
      <modifiedWord/>
      <trackRevisions>false</trackRevisions>
    </reviewItem>
    <reviewItem>
      <errorID>4ba35c08-0be4-4b41-a269-3c919c7fab1d</errorID>
      <errorWord>）</errorWord>
      <group>L1_Punc</group>
      <groupName>标点问题</groupName>
      <ability>L2_Punc_CN</ability>
      <abilityName/>
      <candidateList/>
      <explain>同一形式括号套用。</explain>
      <paraID>6B80483E</paraID>
      <start>316</start>
      <end>317</end>
      <status>unmodified</status>
      <modifiedWord/>
      <trackRevisions>false</trackRevisions>
    </reviewItem>
    <reviewItem>
      <errorID>632ebbb1-603e-4ca8-ba2e-9aeac65fb8a9</errorID>
      <errorWord>（</errorWord>
      <group>L1_Punc</group>
      <groupName>标点问题</groupName>
      <ability>L2_Punc_CN</ability>
      <abilityName/>
      <candidateList/>
      <explain>同一形式括号套用。</explain>
      <paraID>6B80483E</paraID>
      <start>340</start>
      <end>341</end>
      <status>unmodified</status>
      <modifiedWord/>
      <trackRevisions>false</trackRevisions>
    </reviewItem>
    <reviewItem>
      <errorID>760f7c1a-f01b-489c-8f15-c3e20373625e</errorID>
      <errorWord>）</errorWord>
      <group>L1_Punc</group>
      <groupName>标点问题</groupName>
      <ability>L2_Punc_CN</ability>
      <abilityName/>
      <candidateList/>
      <explain>同一形式括号套用。</explain>
      <paraID>6B80483E</paraID>
      <start>350</start>
      <end>351</end>
      <status>unmodified</status>
      <modifiedWord/>
      <trackRevisions>false</trackRevisions>
    </reviewItem>
    <reviewItem>
      <errorID>565f471e-839d-4fe9-adad-9f427e881426</errorID>
      <errorWord>自主的知识产权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词汇“自主知识产权”在特定场景下为固定表述形式，请确认此处的“自主的知识产权”是否存在不当。</explain>
      <paraID>2A68381D</paraID>
      <start>593</start>
      <end>600</end>
      <status>unmodified</status>
      <modifiedWord/>
      <trackRevisions>false</trackRevisions>
    </reviewItem>
    <reviewItem>
      <errorID>51be83ea-390a-4313-b50a-cdcab408d762</errorID>
      <errorWord>自主的知识产权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词汇“自主知识产权”在特定场景下为固定表述形式，请确认此处的“自主的知识产权”是否存在不当。</explain>
      <paraID>3EF00CE1</paraID>
      <start>737</start>
      <end>744</end>
      <status>unmodified</status>
      <modifiedWord/>
      <trackRevisions>false</trackRevisions>
    </reviewItem>
    <reviewItem>
      <errorID>27b16270-c487-431b-bea2-fd00037c987d</errorID>
      <errorWord>、规</errorWord>
      <group>L1_Word</group>
      <groupName>字词问题</groupName>
      <ability>L2_Typo</ability>
      <abilityName>字词错误</abilityName>
      <candidateList>
        <item>、</item>
      </candidateList>
      <explain/>
      <paraID>548C3340</paraID>
      <start>32</start>
      <end>34</end>
      <status>unmodified</status>
      <modifiedWord/>
      <trackRevisions>false</trackRevisions>
    </reviewItem>
    <reviewItem>
      <errorID>d7c07030-e446-4b48-81f4-75c3c0ede549</errorID>
      <errorWord>、规</errorWord>
      <group>L1_Word</group>
      <groupName>字词问题</groupName>
      <ability>L2_Typo</ability>
      <abilityName>字词错误</abilityName>
      <candidateList>
        <item>、</item>
      </candidateList>
      <explain/>
      <paraID>62ECE491</paraID>
      <start>32</start>
      <end>34</end>
      <status>unmodified</status>
      <modifiedWord/>
      <trackRevisions>false</trackRevisions>
    </reviewItem>
    <reviewItem>
      <errorID>0a80cc3c-f46a-457c-99e4-ebe6c3dc6f7c</errorID>
      <errorWord>费</errorWord>
      <group>L1_Word</group>
      <groupName>字词问题</groupName>
      <ability>L2_Typo</ability>
      <abilityName>字词错误</abilityName>
      <candidateList>
        <item>费用</item>
      </candidateList>
      <explain/>
      <paraID>5E5C048A</paraID>
      <start>153</start>
      <end>154</end>
      <status>unmodified</status>
      <modifiedWord/>
      <trackRevisions>false</trackRevisions>
    </reviewItem>
    <reviewItem>
      <errorID>722e3f8f-69b5-44f6-93fe-f510f044bbc7</errorID>
      <errorWord>（</errorWord>
      <group>L1_Punc</group>
      <groupName>标点问题</groupName>
      <ability>L2_Punc_CN</ability>
      <abilityName/>
      <candidateList/>
      <explain>此处标点可能未正确匹配，请检查句子中是否存在标点冗余、缺失或使用错误的情况。</explain>
      <paraID>3F70AE22</paraID>
      <start>21</start>
      <end>22</end>
      <status>unmodified</status>
      <modifiedWord/>
      <trackRevisions>false</trackRevisions>
    </reviewItem>
    <reviewItem>
      <errorID>9c3b21a1-385d-4339-9fc6-6df2b8e0c51c</errorID>
      <errorWord>（</errorWord>
      <group>L1_Punc</group>
      <groupName>标点问题</groupName>
      <ability>L2_Punc_CN</ability>
      <abilityName/>
      <candidateList/>
      <explain>此处标点可能未正确匹配，请检查句子中是否存在标点冗余、缺失或使用错误的情况。</explain>
      <paraID>572CEA46</paraID>
      <start>32</start>
      <end>33</end>
      <status>unmodified</status>
      <modifiedWord/>
      <trackRevisions>false</trackRevisions>
    </reviewItem>
    <reviewItem>
      <errorID>df0c8d77-c887-4485-b4ac-e13aeabd3f76</errorID>
      <errorWord>保障农民工工资支付七条措施</errorWord>
      <group>L1_Knowledge</group>
      <groupName>知识性问题</groupName>
      <ability>L2_Knowledge</ability>
      <abilityName>其他知识</abilityName>
      <candidateList/>
      <explain>当前法律法规未收录或尚未生效，注意核查是否正确。</explain>
      <paraID>7D89E4DD</paraID>
      <start>19</start>
      <end>32</end>
      <status>unmodified</status>
      <modifiedWord/>
      <trackRevisions>false</trackRevisions>
    </reviewItem>
    <reviewItem>
      <errorID>fb1c527f-af77-47eb-b5be-14b7d2ee01ea</errorID>
      <errorWord>（</errorWord>
      <group>L1_Punc</group>
      <groupName>标点问题</groupName>
      <ability>L2_Punc_CN</ability>
      <abilityName/>
      <candidateList/>
      <explain>此处标点可能未正确匹配，请检查句子中是否存在标点冗余、缺失或使用错误的情况。</explain>
      <paraID> 648CD87</paraID>
      <start>30</start>
      <end>31</end>
      <status>unmodified</status>
      <modifiedWord/>
      <trackRevisions>false</trackRevisions>
    </reviewItem>
    <reviewItem>
      <errorID>ed23ef81-a72b-4e70-9502-b7b4b8caf6b8</errorID>
      <errorWord>）</errorWord>
      <group>L1_Punc</group>
      <groupName>标点问题</groupName>
      <ability>L2_Punc_CN</ability>
      <abilityName/>
      <candidateList/>
      <explain>此处标点可能未正确匹配，请检查句子中是否存在标点冗余、缺失或使用错误的情况。</explain>
      <paraID>76748259</paraID>
      <start>14</start>
      <end>15</end>
      <status>unmodified</status>
      <modifiedWord/>
      <trackRevisions>false</trackRevisions>
    </reviewItem>
    <reviewItem>
      <errorID>e7a2d593-41fb-4967-a2c4-9a330ff4a856</errorID>
      <errorWord>KW</errorWord>
      <group>L1_Word</group>
      <groupName>字词问题</groupName>
      <ability>L2_Typo</ability>
      <abilityName>字词错误</abilityName>
      <candidateList>
        <item>kW</item>
      </candidateList>
      <explain/>
      <paraID> 2D388CD</paraID>
      <start>320</start>
      <end>322</end>
      <status>unmodified</status>
      <modifiedWord/>
      <trackRevisions>false</trackRevisions>
    </reviewItem>
    <reviewItem>
      <errorID>3bec7af3-56e2-4e2f-b678-72a77058d615</errorID>
      <errorWord>KW</errorWord>
      <group>L1_Word</group>
      <groupName>字词问题</groupName>
      <ability>L2_Typo</ability>
      <abilityName>字词错误</abilityName>
      <candidateList>
        <item>kW</item>
      </candidateList>
      <explain/>
      <paraID> 2D388CD</paraID>
      <start>360</start>
      <end>362</end>
      <status>unmodified</status>
      <modifiedWord/>
      <trackRevisions>false</trackRevisions>
    </reviewItem>
    <reviewItem>
      <errorID>abb24217-c445-401f-aaa1-9bb2bad346de</errorID>
      <errorWord>专业音箱</errorWord>
      <group>L1_Word</group>
      <groupName>字词问题</groupName>
      <ability>L2_Typo</ability>
      <abilityName>字词错误</abilityName>
      <candidateList>
        <item>专业音响</item>
      </candidateList>
      <explain>存在发音相同字词的误用。</explain>
      <paraID>23F93363</paraID>
      <start>2</start>
      <end>6</end>
      <status>unmodified</status>
      <modifiedWord/>
      <trackRevisions>false</trackRevisions>
    </reviewItem>
    <reviewItem>
      <errorID>512598f0-ca2c-4361-8f35-b175a7d1e992</errorID>
      <errorWord>(</errorWord>
      <group>L1_Format</group>
      <groupName>格式问题</groupName>
      <ability>L2_HalfPunc_CN</ability>
      <abilityName/>
      <candidateList>
        <item>（</item>
      </candidateList>
      <explain>文本全半角错误。</explain>
      <paraID>23B3D7AA</paraID>
      <start>729</start>
      <end>730</end>
      <status>unmodified</status>
      <modifiedWord/>
      <trackRevisions>false</trackRevisions>
    </reviewItem>
    <reviewItem>
      <errorID>6cde9baf-157f-4925-b5b9-a3b9f4a53223</errorID>
      <errorWord>Iphone</errorWord>
      <group>L1_Word</group>
      <groupName>字词问题</groupName>
      <ability>L2_Typo</ability>
      <abilityName>字词错误</abilityName>
      <candidateList>
        <item>iPhone</item>
      </candidateList>
      <explain/>
      <paraID>62F9D931</paraID>
      <start>147</start>
      <end>153</end>
      <status>unmodified</status>
      <modifiedWord/>
      <trackRevisions>false</trackRevisions>
    </reviewItem>
    <reviewItem>
      <errorID>881d71e3-2ae9-4505-a438-566df3fd23c7</errorID>
      <errorWord>对于</errorWord>
      <group>L1_Word</group>
      <groupName>字词问题</groupName>
      <ability>L2_Typo</ability>
      <abilityName>字词错误</abilityName>
      <candidateList>
        <item>对应</item>
      </candidateList>
      <explain/>
      <paraID>62F9D931</paraID>
      <start>185</start>
      <end>187</end>
      <status>unmodified</status>
      <modifiedWord/>
      <trackRevisions>false</trackRevisions>
    </reviewItem>
    <reviewItem>
      <errorID>02ba448f-3375-4ebe-a0e0-e221ead0366b</errorID>
      <errorWord>Enternet</errorWord>
      <group>L1_English</group>
      <groupName>英文问题</groupName>
      <ability>L2_Spell</ability>
      <abilityName>拼写问题</abilityName>
      <candidateList>
        <item>Internet</item>
      </candidateList>
      <explain>疑似单词拼写有误，建议将Enternet修改为Internet</explain>
      <paraID>62F9D931</paraID>
      <start>280</start>
      <end>288</end>
      <status>unmodified</status>
      <modifiedWord/>
      <trackRevisions>false</trackRevisions>
    </reviewItem>
    <reviewItem>
      <errorID>6a2e5568-3bcd-4b1c-afb5-90740a3302d0</errorID>
      <errorWord>噪音</errorWord>
      <group>L1_Word</group>
      <groupName>字词问题</groupName>
      <ability>L2_Alias</ability>
      <abilityName>也作/曾用词</abilityName>
      <candidateList>
        <item>噪声</item>
      </candidateList>
      <explain>词汇[噪音]为不规范表述或旧称，其规范书面表述为[噪声]。</explain>
      <paraID>62F9D931</paraID>
      <start>415</start>
      <end>417</end>
      <status>unmodified</status>
      <modifiedWord/>
      <trackRevisions>false</trackRevisions>
    </reviewItem>
    <reviewItem>
      <errorID>71e716b3-0aa3-458f-adef-825d0e03e4d4</errorID>
      <errorWord>阀值</errorWord>
      <group>L1_Word</group>
      <groupName>字词问题</groupName>
      <ability>L2_Alias</ability>
      <abilityName>也作/曾用词</abilityName>
      <candidateList>
        <item>阈值</item>
      </candidateList>
      <explain>词汇[阀值]为不规范表述或旧称，其规范书面表述为[阈值]。</explain>
      <paraID>5B4EE92E</paraID>
      <start>339</start>
      <end>341</end>
      <status>unmodified</status>
      <modifiedWord/>
      <trackRevisions>false</trackRevisions>
    </reviewItem>
    <reviewItem>
      <errorID>a5cbf009-b001-49db-8cef-8cccd48f11ba</errorID>
      <errorWord>具</errorWord>
      <group>L1_Word</group>
      <groupName>字词问题</groupName>
      <ability>L2_Typo</ability>
      <abilityName>字词错误</abilityName>
      <candidateList>
        <item>具有</item>
      </candidateList>
      <explain>〈动〉有（多用于抽象事物）：～信心｜～伟大的意义。</explain>
      <paraID>2AEABC47</paraID>
      <start>184</start>
      <end>185</end>
      <status>unmodified</status>
      <modifiedWord/>
      <trackRevisions>false</trackRevisions>
    </reviewItem>
    <reviewItem>
      <errorID>966cb6b2-54fd-4c03-ab70-6bc08f2dd16d</errorID>
      <errorWord>（</errorWord>
      <group>L1_Punc</group>
      <groupName>标点问题</groupName>
      <ability>L2_Punc_CN</ability>
      <abilityName/>
      <candidateList/>
      <explain>同一形式括号套用。</explain>
      <paraID>2AEABC47</paraID>
      <start>311</start>
      <end>312</end>
      <status>unmodified</status>
      <modifiedWord/>
      <trackRevisions>false</trackRevisions>
    </reviewItem>
    <reviewItem>
      <errorID>4ba35c08-0be4-4b41-a269-3c919c7fab1d</errorID>
      <errorWord>）</errorWord>
      <group>L1_Punc</group>
      <groupName>标点问题</groupName>
      <ability>L2_Punc_CN</ability>
      <abilityName/>
      <candidateList/>
      <explain>同一形式括号套用。</explain>
      <paraID>2AEABC47</paraID>
      <start>316</start>
      <end>317</end>
      <status>unmodified</status>
      <modifiedWord/>
      <trackRevisions>false</trackRevisions>
    </reviewItem>
    <reviewItem>
      <errorID>632ebbb1-603e-4ca8-ba2e-9aeac65fb8a9</errorID>
      <errorWord>（</errorWord>
      <group>L1_Punc</group>
      <groupName>标点问题</groupName>
      <ability>L2_Punc_CN</ability>
      <abilityName/>
      <candidateList/>
      <explain>同一形式括号套用。</explain>
      <paraID>2AEABC47</paraID>
      <start>340</start>
      <end>341</end>
      <status>unmodified</status>
      <modifiedWord/>
      <trackRevisions>false</trackRevisions>
    </reviewItem>
    <reviewItem>
      <errorID>760f7c1a-f01b-489c-8f15-c3e20373625e</errorID>
      <errorWord>）</errorWord>
      <group>L1_Punc</group>
      <groupName>标点问题</groupName>
      <ability>L2_Punc_CN</ability>
      <abilityName/>
      <candidateList/>
      <explain>同一形式括号套用。</explain>
      <paraID>2AEABC47</paraID>
      <start>350</start>
      <end>351</end>
      <status>unmodified</status>
      <modifiedWord/>
      <trackRevisions>false</trackRevisions>
    </reviewItem>
    <reviewItem>
      <errorID>565f471e-839d-4fe9-adad-9f427e881426</errorID>
      <errorWord>自主的知识产权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词汇“自主知识产权”在特定场景下为固定表述形式，请确认此处的“自主的知识产权”是否存在不当。</explain>
      <paraID>4B189CE7</paraID>
      <start>593</start>
      <end>600</end>
      <status>unmodified</status>
      <modifiedWord/>
      <trackRevisions>false</trackRevisions>
    </reviewItem>
    <reviewItem>
      <errorID>51be83ea-390a-4313-b50a-cdcab408d762</errorID>
      <errorWord>自主的知识产权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词汇“自主知识产权”在特定场景下为固定表述形式，请确认此处的“自主的知识产权”是否存在不当。</explain>
      <paraID>7DD23103</paraID>
      <start>737</start>
      <end>744</end>
      <status>unmodified</status>
      <modifiedWord/>
      <trackRevisions>false</trackRevisions>
    </reviewItem>
    <reviewItem>
      <errorID>27b16270-c487-431b-bea2-fd00037c987d</errorID>
      <errorWord>、规</errorWord>
      <group>L1_Word</group>
      <groupName>字词问题</groupName>
      <ability>L2_Typo</ability>
      <abilityName>字词错误</abilityName>
      <candidateList>
        <item>、</item>
      </candidateList>
      <explain/>
      <paraID>158CA331</paraID>
      <start>32</start>
      <end>34</end>
      <status>unmodified</status>
      <modifiedWord/>
      <trackRevisions>false</trackRevisions>
    </reviewItem>
    <reviewItem>
      <errorID>d7c07030-e446-4b48-81f4-75c3c0ede549</errorID>
      <errorWord>、规</errorWord>
      <group>L1_Word</group>
      <groupName>字词问题</groupName>
      <ability>L2_Typo</ability>
      <abilityName>字词错误</abilityName>
      <candidateList>
        <item>、</item>
      </candidateList>
      <explain/>
      <paraID>47652AB8</paraID>
      <start>32</start>
      <end>34</end>
      <status>unmodified</status>
      <modifiedWord/>
      <trackRevisions>false</trackRevisions>
    </reviewItem>
    <reviewItem>
      <errorID>9874c47e-dcc7-4989-a8f8-7c50ff213051</errorID>
      <errorWord>费</errorWord>
      <group>L1_Word</group>
      <groupName>字词问题</groupName>
      <ability>L2_Typo</ability>
      <abilityName>字词错误</abilityName>
      <candidateList>
        <item>费用</item>
      </candidateList>
      <explain/>
      <paraID>2E1ED05B</paraID>
      <start>153</start>
      <end>154</end>
      <status>unmodified</status>
      <modifiedWord/>
      <trackRevisions>false</trackRevisions>
    </reviewItem>
    <reviewItem>
      <errorID>e62824bf-9723-465b-afef-23346a7300be</errorID>
      <errorWord>（</errorWord>
      <group>L1_Punc</group>
      <groupName>标点问题</groupName>
      <ability>L2_Punc_CN</ability>
      <abilityName/>
      <candidateList/>
      <explain>此处标点可能未正确匹配，请检查句子中是否存在标点冗余、缺失或使用错误的情况。</explain>
      <paraID>27343D53</paraID>
      <start>73</start>
      <end>74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930666-284D-4B5D-BC25-EF7761A1360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江南</cp:lastModifiedBy>
  <cp:revision>5</cp:revision>
  <dcterms:created xsi:type="dcterms:W3CDTF">2024-03-14T00:27:00Z</dcterms:created>
  <dcterms:modified xsi:type="dcterms:W3CDTF">2026-06-01T06:54:19Z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FB3EE404A0344D9D8F93C24600C52DFA_13</vt:lpwstr>
  </property>
  <property fmtid="{D5CDD505-2E9C-101B-9397-08002B2CF9AE}" pid="4" name="KSOTemplateDocerSaveRecord">
    <vt:lpwstr>eyJoZGlkIjoiMDU4MzFiOTlhMTExNWFiYmY5MDNjYmIzZDFhYzM4YjgiLCJ1c2VySWQiOiIzMDY0OTk4NTkifQ==</vt:lpwstr>
  </property>
</Properties>
</file>