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jc w:val="center"/>
        <w:spacing w:line="1040" w:lineRule="exact"/>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r>
      <w:r/>
    </w:p>
    <w:p>
      <w:pPr>
        <w:jc w:val="center"/>
        <w:spacing w:line="1040" w:lineRule="exact"/>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公 开 招 标 文 件</w:t>
      </w:r>
      <w:r/>
    </w:p>
    <w:p>
      <w:pPr>
        <w:jc w:val="left"/>
        <w:tabs>
          <w:tab w:val="center" w:pos="4621" w:leader="none"/>
        </w:tabs>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 </w:t>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firstLine="723"/>
        <w:jc w:val="left"/>
        <w:spacing w:line="760" w:lineRule="exact"/>
        <w:rPr>
          <w:rFonts w:hint="eastAsia" w:ascii="仿宋" w:hAnsi="仿宋" w:eastAsia="仿宋" w:cs="仿宋"/>
          <w:b/>
          <w:color w:val="auto"/>
          <w:sz w:val="36"/>
          <w:highlight w:val="none"/>
          <w:lang w:eastAsia="zh-CN"/>
        </w:rPr>
      </w:pPr>
      <w:r>
        <w:rPr>
          <w:rFonts w:hint="eastAsia" w:ascii="仿宋" w:hAnsi="仿宋" w:eastAsia="仿宋" w:cs="仿宋"/>
          <w:b/>
          <w:color w:val="auto"/>
          <w:sz w:val="36"/>
          <w:szCs w:val="36"/>
          <w:highlight w:val="none"/>
        </w:rPr>
        <w:t xml:space="preserve">项目名称: </w:t>
      </w:r>
      <w:r>
        <w:rPr>
          <w:rFonts w:hint="eastAsia" w:ascii="仿宋" w:hAnsi="仿宋" w:eastAsia="仿宋" w:cs="仿宋"/>
          <w:b/>
          <w:color w:val="auto"/>
          <w:sz w:val="36"/>
          <w:szCs w:val="36"/>
          <w:highlight w:val="none"/>
          <w:lang w:eastAsia="zh-CN"/>
        </w:rPr>
        <w:t xml:space="preserve">洪泽中学教师办公室升级改造及教室门更换项目</w:t>
      </w:r>
      <w:r/>
    </w:p>
    <w:p>
      <w:pPr>
        <w:spacing w:line="76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708"/>
        <w:spacing w:line="760" w:lineRule="exact"/>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rPr>
        <w:t xml:space="preserve">项目编号: JSZC-320813-ZZGJ-G2026-0021</w:t>
      </w:r>
      <w:r/>
    </w:p>
    <w:p>
      <w:pPr>
        <w:ind w:left="-359" w:firstLine="360"/>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jc w:val="center"/>
        <w:spacing w:line="600" w:lineRule="exact"/>
        <w:rPr>
          <w:rFonts w:hint="eastAsia" w:ascii="仿宋" w:hAnsi="仿宋" w:eastAsia="仿宋" w:cs="仿宋"/>
          <w:b/>
          <w:color w:val="auto"/>
          <w:sz w:val="36"/>
          <w:szCs w:val="36"/>
          <w:highlight w:val="none"/>
          <w:u w:val="single"/>
          <w:lang w:eastAsia="zh-CN"/>
        </w:rPr>
      </w:pPr>
      <w:r>
        <w:rPr>
          <w:rFonts w:hint="eastAsia" w:ascii="仿宋" w:hAnsi="仿宋" w:eastAsia="仿宋" w:cs="仿宋"/>
          <w:b/>
          <w:color w:val="auto"/>
          <w:sz w:val="36"/>
          <w:szCs w:val="36"/>
          <w:highlight w:val="none"/>
          <w:lang w:eastAsia="zh-CN"/>
        </w:rPr>
        <w:t xml:space="preserve">正中国际项目管理集团有限公司</w:t>
      </w:r>
      <w:r/>
    </w:p>
    <w:p>
      <w:pPr>
        <w:jc w:val="center"/>
        <w:spacing w:line="600" w:lineRule="exact"/>
        <w:tabs>
          <w:tab w:val="center" w:pos="5215" w:leader="none"/>
        </w:tabs>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二</w:t>
      </w:r>
      <w:r>
        <w:rPr>
          <w:rFonts w:hint="eastAsia" w:ascii="仿宋" w:hAnsi="仿宋" w:eastAsia="仿宋" w:cs="仿宋"/>
          <w:b/>
          <w:color w:val="auto"/>
          <w:sz w:val="36"/>
          <w:szCs w:val="36"/>
          <w:highlight w:val="none"/>
          <w:lang w:eastAsia="zh-CN"/>
        </w:rPr>
        <w:t xml:space="preserve">〇</w:t>
      </w:r>
      <w:r>
        <w:rPr>
          <w:rFonts w:hint="eastAsia" w:ascii="仿宋" w:hAnsi="仿宋" w:eastAsia="仿宋" w:cs="仿宋"/>
          <w:b/>
          <w:color w:val="auto"/>
          <w:sz w:val="36"/>
          <w:szCs w:val="36"/>
          <w:highlight w:val="none"/>
        </w:rPr>
        <w:t xml:space="preserve">二</w:t>
      </w:r>
      <w:r>
        <w:rPr>
          <w:rFonts w:hint="eastAsia" w:ascii="仿宋" w:hAnsi="仿宋" w:eastAsia="仿宋" w:cs="仿宋"/>
          <w:b/>
          <w:color w:val="auto"/>
          <w:sz w:val="36"/>
          <w:szCs w:val="36"/>
          <w:highlight w:val="none"/>
          <w:lang w:val="en-US" w:eastAsia="zh-CN"/>
        </w:rPr>
        <w:t xml:space="preserve">六</w:t>
      </w:r>
      <w:r>
        <w:rPr>
          <w:rFonts w:hint="eastAsia" w:ascii="仿宋" w:hAnsi="仿宋" w:eastAsia="仿宋" w:cs="仿宋"/>
          <w:b/>
          <w:color w:val="auto"/>
          <w:sz w:val="36"/>
          <w:szCs w:val="36"/>
          <w:highlight w:val="none"/>
        </w:rPr>
        <w:t xml:space="preserve">年</w:t>
      </w:r>
      <w:r>
        <w:rPr>
          <w:rFonts w:hint="eastAsia" w:ascii="仿宋" w:hAnsi="仿宋" w:eastAsia="仿宋" w:cs="仿宋"/>
          <w:b/>
          <w:color w:val="auto"/>
          <w:sz w:val="36"/>
          <w:szCs w:val="36"/>
          <w:highlight w:val="none"/>
          <w:lang w:val="en-US" w:eastAsia="zh-CN"/>
        </w:rPr>
        <w:t xml:space="preserve">六</w:t>
      </w:r>
      <w:r>
        <w:rPr>
          <w:rFonts w:hint="eastAsia" w:ascii="仿宋" w:hAnsi="仿宋" w:eastAsia="仿宋" w:cs="仿宋"/>
          <w:b/>
          <w:color w:val="auto"/>
          <w:sz w:val="36"/>
          <w:szCs w:val="36"/>
          <w:highlight w:val="none"/>
        </w:rPr>
        <w:t xml:space="preserve">月 </w:t>
      </w:r>
      <w:r/>
    </w:p>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2512"/>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第一章  投标邀请</w:t>
      </w:r>
      <w:r/>
    </w:p>
    <w:p>
      <w:pPr>
        <w:ind w:left="1" w:firstLine="537"/>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受江苏省洪泽中学的委托，</w:t>
      </w:r>
      <w:r>
        <w:rPr>
          <w:rFonts w:hint="eastAsia" w:ascii="仿宋" w:hAnsi="仿宋" w:eastAsia="仿宋" w:cs="仿宋"/>
          <w:color w:val="auto"/>
          <w:sz w:val="28"/>
          <w:highlight w:val="none"/>
          <w:lang w:eastAsia="zh-CN"/>
        </w:rPr>
        <w:t xml:space="preserve">正中国际项目管理集团有限公司</w:t>
      </w:r>
      <w:r>
        <w:rPr>
          <w:rFonts w:hint="eastAsia" w:ascii="仿宋" w:hAnsi="仿宋" w:eastAsia="仿宋" w:cs="仿宋"/>
          <w:color w:val="auto"/>
          <w:sz w:val="28"/>
          <w:highlight w:val="none"/>
        </w:rPr>
        <w:t xml:space="preserve">就</w:t>
      </w:r>
      <w:r>
        <w:rPr>
          <w:rFonts w:hint="eastAsia" w:ascii="仿宋" w:hAnsi="仿宋" w:eastAsia="仿宋" w:cs="仿宋"/>
          <w:color w:val="auto"/>
          <w:sz w:val="28"/>
          <w:highlight w:val="none"/>
          <w:lang w:eastAsia="zh-CN"/>
        </w:rPr>
        <w:t xml:space="preserve">洪泽中学教师办公室升级改造及教室门更换项目</w:t>
      </w:r>
      <w:r>
        <w:rPr>
          <w:rFonts w:hint="eastAsia" w:ascii="仿宋" w:hAnsi="仿宋" w:eastAsia="仿宋" w:cs="仿宋"/>
          <w:color w:val="auto"/>
          <w:sz w:val="28"/>
          <w:highlight w:val="none"/>
        </w:rPr>
        <w:t xml:space="preserve">进行公开招标采购，现邀请</w:t>
      </w:r>
      <w:r>
        <w:rPr>
          <w:rFonts w:hint="eastAsia" w:ascii="仿宋" w:hAnsi="仿宋" w:eastAsia="仿宋" w:cs="仿宋"/>
          <w:color w:val="auto"/>
          <w:sz w:val="28"/>
          <w:szCs w:val="28"/>
          <w:highlight w:val="none"/>
        </w:rPr>
        <w:t xml:space="preserve">符合条件的投标人参加投标</w:t>
      </w:r>
      <w:r>
        <w:rPr>
          <w:rFonts w:hint="eastAsia" w:ascii="仿宋" w:hAnsi="仿宋" w:eastAsia="仿宋" w:cs="仿宋"/>
          <w:color w:val="auto"/>
          <w:sz w:val="28"/>
          <w:highlight w:val="none"/>
        </w:rPr>
        <w:t xml:space="preserve">。</w:t>
      </w:r>
      <w:r/>
    </w:p>
    <w:p>
      <w:pPr>
        <w:ind w:left="1" w:firstLine="537"/>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-20955</wp:posOffset>
                </wp:positionH>
                <wp:positionV relativeFrom="paragraph">
                  <wp:posOffset>120650</wp:posOffset>
                </wp:positionV>
                <wp:extent cx="5761355" cy="1784985"/>
                <wp:effectExtent l="0" t="0" r="0" b="0"/>
                <wp:wrapNone/>
                <wp:docPr id="3" name="矩形 1"/>
                <wp:cNvGraphicFramePr/>
                <a:graphic xmlns:a="http://schemas.openxmlformats.org/drawingml/2006/main">
                  <a:graphicData uri="http://schemas.microsoft.com/office/word/2010/wordprocessingShape">
                    <wps:wsp>
                      <wps:cNvPr id="0" name=""/>
                      <wps:cNvSpPr/>
                      <wps:spPr bwMode="auto">
                        <a:xfrm>
                          <a:off x="0" y="0"/>
                          <a:ext cx="5761355" cy="1784985"/>
                        </a:xfrm>
                        <a:prstGeom prst="rect">
                          <a:avLst/>
                        </a:prstGeom>
                        <a:solidFill>
                          <a:srgbClr val="FFFFFF"/>
                        </a:solidFill>
                        <a:ln>
                          <a:solidFill>
                            <a:srgbClr val="000000"/>
                          </a:solidFill>
                        </a:ln>
                      </wps:spPr>
                      <wps:txbx>
                        <w:txbxContent>
                          <w:p>
                            <w:pPr>
                              <w:ind w:firstLine="537"/>
                              <w:spacing w:line="520" w:lineRule="exact"/>
                              <w:rPr>
                                <w:rFonts w:hint="eastAsia" w:ascii="宋体" w:hAnsi="宋体" w:eastAsia="宋体" w:cs="宋体"/>
                                <w:sz w:val="28"/>
                                <w:szCs w:val="28"/>
                              </w:rPr>
                            </w:pPr>
                            <w:r>
                              <w:rPr>
                                <w:rFonts w:hint="eastAsia" w:ascii="仿宋" w:hAnsi="仿宋" w:eastAsia="仿宋" w:cs="仿宋"/>
                                <w:sz w:val="28"/>
                                <w:szCs w:val="28"/>
                              </w:rPr>
                              <w:t xml:space="preserve">项目概况:</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洪泽中学教师办公室升级改造及教室门更换项目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招标项目的潜在投标人应在淮安市政府采购网（http://czj.huaian.gov.cn/col/13924_326175/index.html）自行免费下载招标文件，并于202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年</w:t>
                            </w:r>
                            <w:r>
                              <w:rPr>
                                <w:rFonts w:hint="eastAsia" w:ascii="仿宋" w:hAnsi="仿宋" w:eastAsia="仿宋" w:cs="仿宋"/>
                                <w:sz w:val="28"/>
                                <w:szCs w:val="28"/>
                                <w:lang w:val="en-US" w:eastAsia="zh-CN"/>
                              </w:rPr>
                              <w:t xml:space="preserve">07</w:t>
                            </w:r>
                            <w:r>
                              <w:rPr>
                                <w:rFonts w:hint="eastAsia" w:ascii="仿宋" w:hAnsi="仿宋" w:eastAsia="仿宋" w:cs="仿宋"/>
                                <w:sz w:val="28"/>
                                <w:szCs w:val="28"/>
                              </w:rPr>
                              <w:t xml:space="preserve">月</w:t>
                            </w:r>
                            <w:r>
                              <w:rPr>
                                <w:rFonts w:hint="eastAsia" w:ascii="仿宋" w:hAnsi="仿宋" w:eastAsia="仿宋" w:cs="仿宋"/>
                                <w:sz w:val="28"/>
                                <w:szCs w:val="28"/>
                                <w:highlight w:val="none"/>
                                <w:lang w:val="en-US" w:eastAsia="zh-CN"/>
                              </w:rPr>
                              <w:t xml:space="preserve">06</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09</w:t>
                            </w:r>
                            <w:r>
                              <w:rPr>
                                <w:rFonts w:hint="eastAsia" w:ascii="仿宋" w:hAnsi="仿宋" w:eastAsia="仿宋" w:cs="仿宋"/>
                                <w:sz w:val="28"/>
                                <w:szCs w:val="28"/>
                                <w:highlight w:val="none"/>
                              </w:rPr>
                              <w:t xml:space="preserve">点</w:t>
                            </w:r>
                            <w:r>
                              <w:rPr>
                                <w:rFonts w:hint="eastAsia" w:ascii="仿宋" w:hAnsi="仿宋" w:eastAsia="仿宋" w:cs="仿宋"/>
                                <w:sz w:val="28"/>
                                <w:szCs w:val="28"/>
                                <w:highlight w:val="none"/>
                                <w:lang w:val="en-US" w:eastAsia="zh-CN"/>
                              </w:rPr>
                              <w:t xml:space="preserve">00</w:t>
                            </w:r>
                            <w:r>
                              <w:rPr>
                                <w:rFonts w:hint="eastAsia" w:ascii="仿宋" w:hAnsi="仿宋" w:eastAsia="仿宋" w:cs="仿宋"/>
                                <w:sz w:val="28"/>
                                <w:szCs w:val="28"/>
                                <w:highlight w:val="none"/>
                              </w:rPr>
                              <w:t xml:space="preserve">分</w:t>
                            </w:r>
                            <w:r>
                              <w:rPr>
                                <w:rFonts w:hint="eastAsia" w:ascii="仿宋" w:hAnsi="仿宋" w:eastAsia="仿宋" w:cs="仿宋"/>
                                <w:sz w:val="28"/>
                                <w:szCs w:val="28"/>
                              </w:rPr>
                              <w:t xml:space="preserve">（北京时间）前提交投标文件。</w:t>
                            </w:r>
                            <w:r/>
                          </w:p>
                          <w:p>
                            <w:r/>
                            <w:r/>
                          </w:p>
                        </w:txbxContent>
                      </wps:txbx>
                      <wps:bodyPr wrap="square" upright="1"/>
                    </wps:wsp>
                  </a:graphicData>
                </a:graphic>
              </wp:anchor>
            </w:drawing>
          </mc:Choice>
          <mc:Fallback>
            <w:pict>
              <v:shape id="shape 2" o:spid="_x0000_s2" o:spt="1" type="#_x0000_t1" style="position:absolute;z-index:251660288;o:allowoverlap:true;o:allowincell:true;mso-position-horizontal-relative:text;margin-left:-1.6pt;mso-position-horizontal:absolute;mso-position-vertical-relative:text;margin-top:9.5pt;mso-position-vertical:absolute;width:453.6pt;height:140.5pt;mso-wrap-distance-left:9.0pt;mso-wrap-distance-top:0.0pt;mso-wrap-distance-right:9.0pt;mso-wrap-distance-bottom:0.0pt;visibility:visible;" fillcolor="#FFFFFF" strokecolor="#000000">
                <v:textbox inset="0,0,0,0">
                  <w:txbxContent>
                    <w:p>
                      <w:pPr>
                        <w:ind w:firstLine="537"/>
                        <w:spacing w:line="520" w:lineRule="exact"/>
                        <w:rPr>
                          <w:rFonts w:hint="eastAsia" w:ascii="宋体" w:hAnsi="宋体" w:eastAsia="宋体" w:cs="宋体"/>
                          <w:sz w:val="28"/>
                          <w:szCs w:val="28"/>
                        </w:rPr>
                      </w:pPr>
                      <w:r>
                        <w:rPr>
                          <w:rFonts w:hint="eastAsia" w:ascii="仿宋" w:hAnsi="仿宋" w:eastAsia="仿宋" w:cs="仿宋"/>
                          <w:sz w:val="28"/>
                          <w:szCs w:val="28"/>
                        </w:rPr>
                        <w:t xml:space="preserve">项目概况:</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洪泽中学教师办公室升级改造及教室门更换项目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招标项目的潜在投标人应在淮安市政府采购网（http://czj.huaian.gov.cn/col/13924_326175/index.html）自行免费下载招标文件，并于202</w:t>
                      </w: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年</w:t>
                      </w:r>
                      <w:r>
                        <w:rPr>
                          <w:rFonts w:hint="eastAsia" w:ascii="仿宋" w:hAnsi="仿宋" w:eastAsia="仿宋" w:cs="仿宋"/>
                          <w:sz w:val="28"/>
                          <w:szCs w:val="28"/>
                          <w:lang w:val="en-US" w:eastAsia="zh-CN"/>
                        </w:rPr>
                        <w:t xml:space="preserve">07</w:t>
                      </w:r>
                      <w:r>
                        <w:rPr>
                          <w:rFonts w:hint="eastAsia" w:ascii="仿宋" w:hAnsi="仿宋" w:eastAsia="仿宋" w:cs="仿宋"/>
                          <w:sz w:val="28"/>
                          <w:szCs w:val="28"/>
                        </w:rPr>
                        <w:t xml:space="preserve">月</w:t>
                      </w:r>
                      <w:r>
                        <w:rPr>
                          <w:rFonts w:hint="eastAsia" w:ascii="仿宋" w:hAnsi="仿宋" w:eastAsia="仿宋" w:cs="仿宋"/>
                          <w:sz w:val="28"/>
                          <w:szCs w:val="28"/>
                          <w:highlight w:val="none"/>
                          <w:lang w:val="en-US" w:eastAsia="zh-CN"/>
                        </w:rPr>
                        <w:t xml:space="preserve">06</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09</w:t>
                      </w:r>
                      <w:r>
                        <w:rPr>
                          <w:rFonts w:hint="eastAsia" w:ascii="仿宋" w:hAnsi="仿宋" w:eastAsia="仿宋" w:cs="仿宋"/>
                          <w:sz w:val="28"/>
                          <w:szCs w:val="28"/>
                          <w:highlight w:val="none"/>
                        </w:rPr>
                        <w:t xml:space="preserve">点</w:t>
                      </w:r>
                      <w:r>
                        <w:rPr>
                          <w:rFonts w:hint="eastAsia" w:ascii="仿宋" w:hAnsi="仿宋" w:eastAsia="仿宋" w:cs="仿宋"/>
                          <w:sz w:val="28"/>
                          <w:szCs w:val="28"/>
                          <w:highlight w:val="none"/>
                          <w:lang w:val="en-US" w:eastAsia="zh-CN"/>
                        </w:rPr>
                        <w:t xml:space="preserve">00</w:t>
                      </w:r>
                      <w:r>
                        <w:rPr>
                          <w:rFonts w:hint="eastAsia" w:ascii="仿宋" w:hAnsi="仿宋" w:eastAsia="仿宋" w:cs="仿宋"/>
                          <w:sz w:val="28"/>
                          <w:szCs w:val="28"/>
                          <w:highlight w:val="none"/>
                        </w:rPr>
                        <w:t xml:space="preserve">分</w:t>
                      </w:r>
                      <w:r>
                        <w:rPr>
                          <w:rFonts w:hint="eastAsia" w:ascii="仿宋" w:hAnsi="仿宋" w:eastAsia="仿宋" w:cs="仿宋"/>
                          <w:sz w:val="28"/>
                          <w:szCs w:val="28"/>
                        </w:rPr>
                        <w:t xml:space="preserve">（北京时间）前提交投标文件。</w:t>
                      </w:r>
                      <w:r/>
                    </w:p>
                    <w:p>
                      <w:r/>
                      <w:r/>
                    </w:p>
                  </w:txbxContent>
                </v:textbox>
              </v:shape>
            </w:pict>
          </mc:Fallback>
        </mc:AlternateContent>
      </w:r>
      <w:r/>
    </w:p>
    <w:p>
      <w:pPr>
        <w:ind w:left="1" w:firstLine="537"/>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1" w:firstLine="537"/>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1" w:firstLine="537"/>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1" w:firstLine="537"/>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一、项目基本情况</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（一）项目编号:</w:t>
      </w:r>
      <w:r>
        <w:rPr>
          <w:rFonts w:hint="eastAsia" w:ascii="仿宋" w:hAnsi="仿宋" w:eastAsia="仿宋" w:cs="仿宋"/>
          <w:color w:val="auto"/>
          <w:sz w:val="28"/>
          <w:szCs w:val="28"/>
          <w:highlight w:val="none"/>
          <w:lang w:val="en-US" w:eastAsia="zh-CN"/>
        </w:rPr>
        <w:t xml:space="preserve"> JSZC-320813-ZZGJ-G2026-0021</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（二）项目名称:</w:t>
      </w:r>
      <w:r>
        <w:rPr>
          <w:rFonts w:hint="eastAsia" w:ascii="仿宋" w:hAnsi="仿宋" w:eastAsia="仿宋" w:cs="仿宋"/>
          <w:color w:val="auto"/>
          <w:sz w:val="28"/>
          <w:highlight w:val="none"/>
          <w:lang w:eastAsia="zh-CN"/>
        </w:rPr>
        <w:t xml:space="preserve">洪泽中学教师办公室升级改造及教室门更换项目</w:t>
      </w:r>
      <w:r>
        <w:rPr>
          <w:rFonts w:hint="eastAsia" w:ascii="仿宋" w:hAnsi="仿宋" w:eastAsia="仿宋" w:cs="仿宋"/>
          <w:bCs/>
          <w:color w:val="auto"/>
          <w:sz w:val="28"/>
          <w:highlight w:val="none"/>
        </w:rPr>
        <w:t xml:space="preserve">  </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（三）预算金额:</w:t>
      </w:r>
      <w:r>
        <w:rPr>
          <w:rFonts w:hint="eastAsia" w:ascii="仿宋" w:hAnsi="仿宋" w:eastAsia="仿宋" w:cs="仿宋"/>
          <w:color w:val="auto"/>
          <w:sz w:val="28"/>
          <w:szCs w:val="28"/>
          <w:highlight w:val="none"/>
          <w:lang w:val="en-US" w:eastAsia="zh-CN"/>
        </w:rPr>
        <w:t xml:space="preserve">155</w:t>
      </w:r>
      <w:r>
        <w:rPr>
          <w:rFonts w:hint="eastAsia" w:ascii="仿宋" w:hAnsi="仿宋" w:eastAsia="仿宋" w:cs="仿宋"/>
          <w:color w:val="auto"/>
          <w:sz w:val="28"/>
          <w:szCs w:val="28"/>
          <w:highlight w:val="none"/>
        </w:rPr>
        <w:t xml:space="preserve">万元</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 xml:space="preserve">（四）最高限价:</w:t>
      </w:r>
      <w:r>
        <w:rPr>
          <w:rFonts w:hint="eastAsia" w:ascii="仿宋" w:hAnsi="仿宋" w:eastAsia="仿宋" w:cs="仿宋"/>
          <w:color w:val="auto"/>
          <w:sz w:val="28"/>
          <w:szCs w:val="28"/>
          <w:highlight w:val="none"/>
          <w:lang w:val="en-US" w:eastAsia="zh-CN"/>
        </w:rPr>
        <w:t xml:space="preserve">155</w:t>
      </w:r>
      <w:r>
        <w:rPr>
          <w:rFonts w:hint="eastAsia" w:ascii="仿宋" w:hAnsi="仿宋" w:eastAsia="仿宋" w:cs="仿宋"/>
          <w:color w:val="auto"/>
          <w:sz w:val="28"/>
          <w:szCs w:val="28"/>
          <w:highlight w:val="none"/>
        </w:rPr>
        <w:t xml:space="preserve">万元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其中采购包1：130万元，采购包2：25万元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，投标报价超过最高限价的为无效报价。</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lang w:val="en-US"/>
        </w:rPr>
        <w:t xml:space="preserve">采购需求：</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①采购包1：教师办公室升级改造，</w:t>
      </w:r>
      <w:r>
        <w:rPr>
          <w:rFonts w:hint="eastAsia" w:ascii="仿宋" w:hAnsi="仿宋" w:eastAsia="仿宋" w:cs="仿宋"/>
          <w:color w:val="auto"/>
          <w:sz w:val="28"/>
          <w:szCs w:val="28"/>
          <w:highlight w:val="none"/>
        </w:rPr>
        <w:t xml:space="preserve">具体</w:t>
      </w:r>
      <w:r>
        <w:rPr>
          <w:rFonts w:hint="eastAsia" w:ascii="仿宋" w:hAnsi="仿宋" w:eastAsia="仿宋" w:cs="仿宋"/>
          <w:color w:val="auto"/>
          <w:sz w:val="28"/>
          <w:szCs w:val="28"/>
          <w:highlight w:val="none"/>
          <w:lang w:val="zh-CN"/>
        </w:rPr>
        <w:t xml:space="preserve">详见招标文件第五章。</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①采购包2：教室门更换，</w:t>
      </w:r>
      <w:r>
        <w:rPr>
          <w:rFonts w:hint="eastAsia" w:ascii="仿宋" w:hAnsi="仿宋" w:eastAsia="仿宋" w:cs="仿宋"/>
          <w:color w:val="auto"/>
          <w:sz w:val="28"/>
          <w:szCs w:val="28"/>
          <w:highlight w:val="none"/>
        </w:rPr>
        <w:t xml:space="preserve">具体</w:t>
      </w:r>
      <w:r>
        <w:rPr>
          <w:rFonts w:hint="eastAsia" w:ascii="仿宋" w:hAnsi="仿宋" w:eastAsia="仿宋" w:cs="仿宋"/>
          <w:color w:val="auto"/>
          <w:sz w:val="28"/>
          <w:szCs w:val="28"/>
          <w:highlight w:val="none"/>
          <w:lang w:val="zh-CN"/>
        </w:rPr>
        <w:t xml:space="preserve">详见招标文件第五章。</w:t>
      </w:r>
      <w:r/>
    </w:p>
    <w:p>
      <w:pPr>
        <w:ind w:firstLine="560"/>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注：本项目共分两个采购包，投标人可以投其中一个采购包，也可以同时投上述两个采购包，但只能中其中的一个采购包。投标人在前一采购包中被推荐为第一中标候选人后，不再参加后续采购包的评审。开、评标顺序为：采购包1、采购包2。</w:t>
      </w:r>
      <w:r/>
    </w:p>
    <w:p>
      <w:pPr>
        <w:numPr>
          <w:ilvl w:val="0"/>
          <w:numId w:val="4"/>
        </w:num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合同履行期限:</w:t>
      </w:r>
      <w:r/>
    </w:p>
    <w:p>
      <w:pPr>
        <w:numPr>
          <w:ilvl w:val="0"/>
          <w:numId w:val="0"/>
        </w:num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①采购包1：教师办公室升级改造，</w:t>
      </w:r>
      <w:r>
        <w:rPr>
          <w:rFonts w:hint="eastAsia" w:ascii="仿宋" w:hAnsi="仿宋" w:eastAsia="仿宋" w:cs="仿宋"/>
          <w:color w:val="auto"/>
          <w:sz w:val="28"/>
          <w:szCs w:val="28"/>
          <w:highlight w:val="none"/>
          <w:lang w:eastAsia="zh-CN"/>
        </w:rPr>
        <w:t xml:space="preserve">合同签订后</w:t>
      </w: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lang w:eastAsia="zh-CN"/>
        </w:rPr>
        <w:t xml:space="preserve">日内供货安装调试到位并验收完成</w:t>
      </w:r>
      <w:r>
        <w:rPr>
          <w:rFonts w:hint="eastAsia" w:ascii="仿宋" w:hAnsi="仿宋" w:eastAsia="仿宋" w:cs="仿宋"/>
          <w:color w:val="auto"/>
          <w:sz w:val="28"/>
          <w:szCs w:val="28"/>
          <w:highlight w:val="none"/>
        </w:rPr>
        <w:t xml:space="preserve">。</w:t>
      </w:r>
      <w:r/>
    </w:p>
    <w:p>
      <w:pPr>
        <w:numPr>
          <w:ilvl w:val="0"/>
          <w:numId w:val="0"/>
        </w:num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①采购包2：教室门更换，</w:t>
      </w:r>
      <w:r>
        <w:rPr>
          <w:rFonts w:hint="eastAsia" w:ascii="仿宋" w:hAnsi="仿宋" w:eastAsia="仿宋" w:cs="仿宋"/>
          <w:color w:val="auto"/>
          <w:sz w:val="28"/>
          <w:szCs w:val="28"/>
          <w:highlight w:val="none"/>
          <w:lang w:eastAsia="zh-CN"/>
        </w:rPr>
        <w:t xml:space="preserve">合同签订后2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日内供货安装调试到位并验收完成</w:t>
      </w:r>
      <w:r>
        <w:rPr>
          <w:rFonts w:hint="eastAsia" w:ascii="仿宋" w:hAnsi="仿宋" w:eastAsia="仿宋" w:cs="仿宋"/>
          <w:color w:val="auto"/>
          <w:sz w:val="28"/>
          <w:szCs w:val="28"/>
          <w:highlight w:val="none"/>
        </w:rPr>
        <w:t xml:space="preserve">。</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（七）本项目（</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是☑否）接受联合体投标。</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（八）本项目采购标的对应的中小企业划分标准所属行业为</w:t>
      </w:r>
      <w:r>
        <w:rPr>
          <w:rFonts w:hint="eastAsia" w:ascii="仿宋" w:hAnsi="仿宋" w:eastAsia="仿宋" w:cs="仿宋"/>
          <w:color w:val="auto"/>
          <w:sz w:val="28"/>
          <w:szCs w:val="28"/>
          <w:highlight w:val="none"/>
        </w:rPr>
        <w:t xml:space="preserve">工业</w:t>
      </w:r>
      <w:r>
        <w:rPr>
          <w:rFonts w:hint="eastAsia" w:ascii="仿宋" w:hAnsi="仿宋" w:eastAsia="仿宋" w:cs="仿宋"/>
          <w:color w:val="auto"/>
          <w:sz w:val="28"/>
          <w:szCs w:val="28"/>
          <w:highlight w:val="none"/>
          <w:lang w:val="zh-CN"/>
        </w:rPr>
        <w:t xml:space="preserve"> 。</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二、申请人的资格要求:</w:t>
      </w:r>
      <w:r/>
    </w:p>
    <w:p>
      <w:pPr>
        <w:ind w:left="559"/>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（一）符合《中华人民共和国政府采购法》第二十二条规定；</w:t>
      </w:r>
      <w:r/>
    </w:p>
    <w:p>
      <w:pPr>
        <w:ind w:left="559"/>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按照</w:t>
      </w:r>
      <w:r>
        <w:rPr>
          <w:rFonts w:hint="eastAsia" w:ascii="仿宋" w:hAnsi="仿宋" w:eastAsia="仿宋" w:cs="仿宋"/>
          <w:color w:val="auto"/>
          <w:sz w:val="28"/>
          <w:szCs w:val="28"/>
          <w:highlight w:val="none"/>
          <w:lang w:val="zh-CN"/>
        </w:rPr>
        <w:t xml:space="preserve">以下第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1</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种方式落实政府采购促进中小企业发展的要求：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1、</w:t>
      </w:r>
      <w:r>
        <w:rPr>
          <w:rFonts w:hint="eastAsia" w:ascii="仿宋" w:hAnsi="仿宋" w:eastAsia="仿宋" w:cs="仿宋"/>
          <w:color w:val="auto"/>
          <w:sz w:val="28"/>
          <w:szCs w:val="28"/>
          <w:highlight w:val="none"/>
        </w:rPr>
        <w:t xml:space="preserve">本项目为专门面向中小企业采购的项目。</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本项目通过以下第（）种方式预留部分采购份额</w:t>
      </w:r>
      <w:r>
        <w:rPr>
          <w:rFonts w:hint="eastAsia" w:ascii="仿宋" w:hAnsi="仿宋" w:eastAsia="仿宋" w:cs="仿宋"/>
          <w:color w:val="auto"/>
          <w:sz w:val="28"/>
          <w:szCs w:val="28"/>
          <w:highlight w:val="none"/>
        </w:rPr>
        <w:t xml:space="preserve">采购</w:t>
      </w:r>
      <w:r>
        <w:rPr>
          <w:rFonts w:hint="eastAsia" w:ascii="仿宋" w:hAnsi="仿宋" w:eastAsia="仿宋" w:cs="仿宋"/>
          <w:color w:val="auto"/>
          <w:sz w:val="28"/>
          <w:szCs w:val="28"/>
          <w:highlight w:val="none"/>
          <w:lang w:val="zh-CN"/>
        </w:rPr>
        <w:t xml:space="preserve">中小企业</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（2）本项目要求供应商进行合同分包，中小企业合同金额应当达到的比例为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3、本项目为非预留份额的采购项目，</w:t>
      </w:r>
      <w:r>
        <w:rPr>
          <w:rFonts w:hint="eastAsia" w:ascii="仿宋" w:hAnsi="仿宋" w:eastAsia="仿宋" w:cs="仿宋"/>
          <w:color w:val="auto"/>
          <w:sz w:val="28"/>
          <w:szCs w:val="28"/>
          <w:highlight w:val="none"/>
        </w:rPr>
        <w:t xml:space="preserve">对小微企业报价给予扣除，用扣除后的价格参加评审，具体详见第二章“投标人须知”第33.1项</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（三）本项目的特定资格要求:无。</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（四）拒绝下述条件的</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参加本次采购活动:</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单位负责人为同一人或者存在直接控股、管理关系的不同</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，不得同时参加同一合同项下的政府采购活动。</w:t>
      </w:r>
      <w:r/>
    </w:p>
    <w:p>
      <w:pPr>
        <w:ind w:firstLine="560"/>
        <w:keepLines w:val="0"/>
        <w:keepNext w:val="0"/>
        <w:pageBreakBefore w:val="0"/>
        <w:spacing w:line="480" w:lineRule="exact"/>
        <w:widowControl w:val="off"/>
        <w:rPr>
          <w:rFonts w:hint="eastAsia" w:ascii="仿宋" w:hAnsi="仿宋" w:eastAsia="仿宋" w:cs="仿宋"/>
          <w:b/>
          <w:i/>
          <w:color w:val="auto"/>
          <w:sz w:val="28"/>
          <w:szCs w:val="28"/>
          <w:highlight w:val="none"/>
        </w:rPr>
      </w:pPr>
      <w:r>
        <w:rPr>
          <w:rFonts w:hint="eastAsia" w:ascii="仿宋" w:hAnsi="仿宋" w:eastAsia="仿宋" w:cs="仿宋"/>
          <w:color w:val="auto"/>
          <w:sz w:val="28"/>
          <w:szCs w:val="28"/>
          <w:highlight w:val="none"/>
        </w:rPr>
        <w:t xml:space="preserve">2、凡为采购项目提供整体设计、规范编制或者项目管理、监理、检测等服务的</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，不得再参加本项目的采购活动。</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三、获取招标文件</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（一）时间:自招标公告发布之日起五个工作日。</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（二）方式：在“淮安市政府采购网”自行免费下载招标文件。</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四、提交投标文件截止时间、开标时间和地点</w:t>
      </w:r>
      <w:r/>
    </w:p>
    <w:p>
      <w:pPr>
        <w:ind w:firstLine="652"/>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（一）投标文件提交截止时间及开标时间:202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07</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06</w:t>
      </w:r>
      <w:r>
        <w:rPr>
          <w:rFonts w:hint="eastAsia" w:ascii="仿宋" w:hAnsi="仿宋" w:eastAsia="仿宋" w:cs="仿宋"/>
          <w:color w:val="auto"/>
          <w:sz w:val="28"/>
          <w:szCs w:val="28"/>
          <w:highlight w:val="none"/>
        </w:rPr>
        <w:t xml:space="preserve">日上午09:</w:t>
      </w:r>
      <w:r>
        <w:rPr>
          <w:rFonts w:hint="eastAsia" w:ascii="仿宋" w:hAnsi="仿宋" w:eastAsia="仿宋" w:cs="仿宋"/>
          <w:color w:val="auto"/>
          <w:sz w:val="28"/>
          <w:szCs w:val="28"/>
          <w:highlight w:val="none"/>
          <w:lang w:val="en-US" w:eastAsia="zh-CN"/>
        </w:rPr>
        <w:t xml:space="preserve">00</w:t>
      </w:r>
      <w:r>
        <w:rPr>
          <w:rFonts w:hint="eastAsia" w:ascii="仿宋" w:hAnsi="仿宋" w:eastAsia="仿宋" w:cs="仿宋"/>
          <w:color w:val="auto"/>
          <w:sz w:val="28"/>
          <w:szCs w:val="28"/>
          <w:highlight w:val="none"/>
        </w:rPr>
        <w:t xml:space="preserve">。</w:t>
      </w:r>
      <w:r/>
    </w:p>
    <w:p>
      <w:pPr>
        <w:ind w:firstLine="652"/>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（二）投标文件上传地址：“苏采云”政府采购交易系统网上开标大厅。</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五、公告期限</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自本公告发布之日起五个工作日。</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六、其他补充事宜</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本项目仅采购非进口产品（注:本文件所称进口产品是指通过中国海关报关验放进入中国境内且产自关境外的产品）。</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采购人不组织现场踏勘。建议投标人自行对项目现场和周围环境进行实地踏勘，以了解现场的环境、范围、技术要求及相关服务，获取有关编制投标文件和签订合同所需的各项资料。投标人应承担现场踏勘的责任和风险，费用由投标人自行承担。中标后不得以未踏勘现场或不了解现场为由提出任何增加费用的要求。</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七、对本次采购提出询问，请按以下方式联系。</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1、采购人联系方式</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名称:江苏省洪泽中学</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地址:洪泽区千岛湖路32号 </w:t>
      </w:r>
      <w:r/>
    </w:p>
    <w:p>
      <w:pPr>
        <w:ind w:left="559" w:firstLine="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联系方式:</w:t>
      </w:r>
      <w:r>
        <w:rPr>
          <w:rFonts w:hint="eastAsia" w:ascii="仿宋" w:hAnsi="仿宋" w:eastAsia="仿宋" w:cs="仿宋"/>
          <w:color w:val="auto"/>
          <w:sz w:val="28"/>
          <w:szCs w:val="28"/>
          <w:highlight w:val="none"/>
          <w:lang w:val="en-US" w:eastAsia="zh-CN"/>
        </w:rPr>
        <w:t xml:space="preserve">颜老师     </w:t>
      </w:r>
      <w:r>
        <w:rPr>
          <w:rFonts w:hint="eastAsia" w:ascii="仿宋" w:hAnsi="仿宋" w:eastAsia="仿宋" w:cs="仿宋"/>
          <w:color w:val="auto"/>
          <w:sz w:val="28"/>
          <w:szCs w:val="28"/>
          <w:highlight w:val="none"/>
          <w:lang w:eastAsia="zh-CN"/>
        </w:rPr>
        <w:t xml:space="preserve">  联系</w:t>
      </w:r>
      <w:r>
        <w:rPr>
          <w:rFonts w:hint="eastAsia" w:ascii="仿宋" w:hAnsi="仿宋" w:eastAsia="仿宋" w:cs="仿宋"/>
          <w:color w:val="auto"/>
          <w:sz w:val="28"/>
          <w:szCs w:val="28"/>
          <w:highlight w:val="none"/>
          <w:lang w:val="en-US" w:eastAsia="zh-CN"/>
        </w:rPr>
        <w:t xml:space="preserve">电话</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 13912056755</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lang w:eastAsia="zh-CN"/>
        </w:rPr>
        <w:t xml:space="preserve">联系方式:</w:t>
      </w:r>
      <w:r>
        <w:rPr>
          <w:rFonts w:hint="eastAsia" w:ascii="仿宋" w:hAnsi="仿宋" w:eastAsia="仿宋" w:cs="仿宋"/>
          <w:color w:val="auto"/>
          <w:sz w:val="28"/>
          <w:szCs w:val="28"/>
          <w:highlight w:val="none"/>
          <w:lang w:val="en-US" w:eastAsia="zh-CN"/>
        </w:rPr>
        <w:t xml:space="preserve">周老师     </w:t>
      </w:r>
      <w:r>
        <w:rPr>
          <w:rFonts w:hint="eastAsia" w:ascii="仿宋" w:hAnsi="仿宋" w:eastAsia="仿宋" w:cs="仿宋"/>
          <w:color w:val="auto"/>
          <w:sz w:val="28"/>
          <w:szCs w:val="28"/>
          <w:highlight w:val="none"/>
          <w:lang w:eastAsia="zh-CN"/>
        </w:rPr>
        <w:t xml:space="preserve">  联系</w:t>
      </w:r>
      <w:r>
        <w:rPr>
          <w:rFonts w:hint="eastAsia" w:ascii="仿宋" w:hAnsi="仿宋" w:eastAsia="仿宋" w:cs="仿宋"/>
          <w:color w:val="auto"/>
          <w:sz w:val="28"/>
          <w:szCs w:val="28"/>
          <w:highlight w:val="none"/>
          <w:lang w:val="en-US" w:eastAsia="zh-CN"/>
        </w:rPr>
        <w:t xml:space="preserve">电话</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 13776726952</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rPr>
          <w:rFonts w:hint="eastAsia" w:ascii="仿宋" w:hAnsi="仿宋" w:eastAsia="仿宋" w:cs="仿宋"/>
          <w:color w:val="auto"/>
          <w:sz w:val="28"/>
          <w:szCs w:val="28"/>
          <w:highlight w:val="none"/>
          <w:lang w:eastAsia="zh-CN"/>
        </w:rPr>
        <w:t xml:space="preserve">正中国际项目管理集团有限公司</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val="en-US" w:eastAsia="zh-CN"/>
        </w:rPr>
        <w:t xml:space="preserve">淮安市清江浦区中鑫上城E319</w:t>
      </w:r>
      <w:r/>
    </w:p>
    <w:p>
      <w:pPr>
        <w:ind w:firstLine="560"/>
        <w:keepLines w:val="0"/>
        <w:keepNext w:val="0"/>
        <w:pageBreakBefore w:val="0"/>
        <w:spacing w:line="48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联系方式:</w:t>
      </w:r>
      <w:r>
        <w:rPr>
          <w:rFonts w:ascii="仿宋" w:hAnsi="仿宋" w:eastAsia="仿宋" w:cs="仿宋"/>
          <w:color w:val="000000"/>
          <w:sz w:val="28"/>
          <w:szCs w:val="28"/>
          <w:shd w:val="clear" w:color="auto" w:fill="ffffff"/>
        </w:rPr>
        <w:t xml:space="preserve">解文虹</w:t>
      </w:r>
      <w:r>
        <w:rPr>
          <w:rFonts w:hint="eastAsia" w:ascii="仿宋" w:hAnsi="仿宋" w:eastAsia="仿宋" w:cs="仿宋"/>
          <w:color w:val="000000"/>
          <w:sz w:val="28"/>
          <w:szCs w:val="28"/>
          <w:shd w:val="clear" w:color="auto" w:fill="ffffff"/>
        </w:rPr>
        <w:t xml:space="preserve">、付筱琳</w:t>
      </w:r>
      <w:r>
        <w:rPr>
          <w:rFonts w:hint="eastAsia" w:ascii="仿宋" w:hAnsi="仿宋" w:eastAsia="仿宋" w:cs="仿宋"/>
          <w:color w:val="000000"/>
          <w:sz w:val="28"/>
          <w:szCs w:val="28"/>
        </w:rPr>
        <w:t xml:space="preserve">     联系电话: 15366601314、89339066</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八、其他</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w:t>
      </w:r>
      <w:r>
        <w:rPr>
          <w:rFonts w:hint="eastAsia" w:ascii="仿宋" w:hAnsi="仿宋" w:eastAsia="仿宋" w:cs="仿宋"/>
          <w:color w:val="auto"/>
          <w:sz w:val="28"/>
          <w:szCs w:val="28"/>
          <w:highlight w:val="none"/>
          <w:lang w:val="en-US" w:eastAsia="zh-CN"/>
        </w:rPr>
        <w:t xml:space="preserve">投标</w:t>
      </w:r>
      <w:r>
        <w:rPr>
          <w:rFonts w:hint="eastAsia" w:ascii="仿宋" w:hAnsi="仿宋" w:eastAsia="仿宋" w:cs="仿宋"/>
          <w:color w:val="auto"/>
          <w:sz w:val="28"/>
          <w:szCs w:val="28"/>
          <w:highlight w:val="none"/>
        </w:rPr>
        <w:t xml:space="preserve">文件。</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有关本次招标的事项若存在变动或修改，敬请及时关注</w:t>
      </w:r>
      <w:r>
        <w:rPr>
          <w:rFonts w:hint="eastAsia" w:ascii="仿宋" w:hAnsi="仿宋" w:eastAsia="仿宋" w:cs="仿宋"/>
          <w:color w:val="auto"/>
          <w:sz w:val="28"/>
          <w:szCs w:val="28"/>
          <w:highlight w:val="none"/>
          <w:lang w:eastAsia="zh-CN"/>
        </w:rPr>
        <w:t xml:space="preserve">正中国际项目管理集团有限公司</w:t>
      </w:r>
      <w:r>
        <w:rPr>
          <w:rFonts w:hint="eastAsia" w:ascii="仿宋" w:hAnsi="仿宋" w:eastAsia="仿宋" w:cs="仿宋"/>
          <w:color w:val="auto"/>
          <w:sz w:val="28"/>
          <w:szCs w:val="28"/>
          <w:highlight w:val="none"/>
        </w:rPr>
        <w:t xml:space="preserve">在“淮安市政府采购网”发布的更正公告。</w:t>
      </w:r>
      <w:r/>
    </w:p>
    <w:p>
      <w:pPr>
        <w:ind w:firstLine="565"/>
        <w:keepLines w:val="0"/>
        <w:keepNext w:val="0"/>
        <w:pageBreakBefore w:val="0"/>
        <w:spacing w:line="48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本次招标不收取投标保证金。</w:t>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color w:val="auto"/>
          <w:sz w:val="36"/>
          <w:szCs w:val="36"/>
          <w:highlight w:val="none"/>
        </w:rPr>
        <w:t xml:space="preserve">第二章  投标人须知</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一、总则</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1.适用范围</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本招标文件仅适用于本次投标邀请中所述项目的采购。</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2.合格的投标人</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满足第一章投标邀请中投标人资格要求的规定。 </w:t>
      </w:r>
      <w:r/>
    </w:p>
    <w:p>
      <w:pPr>
        <w:ind w:firstLine="555"/>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 满足招标文件中实质性条款的规定。</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3.适用法律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4.投标费用</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4.1投标人应自行承担所有与参加投标有关的费用。不论投标的结果如何，</w:t>
      </w:r>
      <w:r>
        <w:rPr>
          <w:rFonts w:hint="eastAsia" w:ascii="仿宋" w:hAnsi="仿宋" w:eastAsia="仿宋" w:cs="仿宋"/>
          <w:color w:val="auto"/>
          <w:sz w:val="28"/>
          <w:szCs w:val="28"/>
          <w:highlight w:val="none"/>
          <w:lang w:eastAsia="zh-CN"/>
        </w:rPr>
        <w:t xml:space="preserve">正中国际项目管理集团有限公司</w:t>
      </w:r>
      <w:r>
        <w:rPr>
          <w:rFonts w:hint="eastAsia" w:ascii="仿宋" w:hAnsi="仿宋" w:eastAsia="仿宋" w:cs="仿宋"/>
          <w:color w:val="auto"/>
          <w:sz w:val="28"/>
          <w:szCs w:val="28"/>
          <w:highlight w:val="none"/>
        </w:rPr>
        <w:t xml:space="preserve">（以下简称采购代理机构）在任何情况下均无义务和责任承担这些费用。</w:t>
      </w:r>
      <w:r/>
    </w:p>
    <w:p>
      <w:pPr>
        <w:ind w:firstLine="560"/>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4.2本项目代理服务费、评审费，依据《淮安市财政局转发省财政厅关于进一步规范政府采购活动相关费用管理的通知》（淮财购〔2026〕5号）规定收取，本项目固定成交代理服务费捌仟元整及全部专家评审费用，均由采购人全额承担支付，不向成交投标人收取任何其他费用。</w:t>
      </w:r>
      <w:r/>
    </w:p>
    <w:p>
      <w:pPr>
        <w:ind w:firstLine="560"/>
        <w:spacing w:line="56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4.3现场踏勘</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人不组织现场踏勘。建议投标人自行对项目现场和周围环境进行实地踏勘，以了解现场的环境、范围、技术要求及相关服务，获取有关编制投标文件和签订合同所需的各项资料。投标人应承担现场踏勘的责任和风险，费用由投标人自行承担。中标后不得以未踏勘现场或不了解现场为由提出任何增加费用的要求。</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二、招标文件</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5.招标文件由以下部分组成:</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 投标邀请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 投标人须知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 合同文本</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 项目采购需求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 评标方法与评标标准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 投标文件</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6.招标文件的澄清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6.1任何要求对招标文件进行澄清的投标人，均应在投标截止时间十日前通过以书面形式并加盖公章通知</w:t>
      </w:r>
      <w:r>
        <w:rPr>
          <w:rFonts w:hint="eastAsia" w:ascii="仿宋" w:hAnsi="仿宋" w:eastAsia="仿宋" w:cs="仿宋"/>
          <w:color w:val="auto"/>
          <w:sz w:val="28"/>
          <w:szCs w:val="28"/>
          <w:highlight w:val="none"/>
          <w:lang w:val="en-US" w:eastAsia="zh-CN"/>
        </w:rPr>
        <w:t xml:space="preserve">采购人（或采购代理机构）</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采购人（或采购代理机构）</w:t>
      </w:r>
      <w:r>
        <w:rPr>
          <w:rFonts w:hint="eastAsia" w:ascii="仿宋" w:hAnsi="仿宋" w:eastAsia="仿宋" w:cs="仿宋"/>
          <w:color w:val="auto"/>
          <w:sz w:val="28"/>
          <w:szCs w:val="28"/>
          <w:highlight w:val="none"/>
        </w:rPr>
        <w:t xml:space="preserve">对投标截止时间前十日收到的任何澄清要求将以书面形式予以答复。</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7.招标文件的更正或补充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 在投标截止时间十五日前，代理机构可主动或在解答投标人提出的澄清问题时对招标文件用更正公告的方式进行修正。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 对招标文件的更正将在淮安市政府采购网进行公告，更正公告将作为招标文件的组成部分，对所有参加本次投标的投标人都具有约束力。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7.3为使投标人有足够的时间按招标文件的更正要求修正投标文件，代理机构有权按照相关法定的要求推迟投标截止时间和开标日期。 </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三、投标文件的编制</w:t>
      </w:r>
      <w:r/>
    </w:p>
    <w:p>
      <w:pPr>
        <w:spacing w:line="520" w:lineRule="exact"/>
        <w:rPr>
          <w:rFonts w:hint="eastAsia" w:ascii="仿宋" w:hAnsi="仿宋" w:eastAsia="仿宋" w:cs="仿宋"/>
          <w:color w:val="auto"/>
          <w:sz w:val="28"/>
          <w:szCs w:val="28"/>
          <w:highlight w:val="none"/>
        </w:rPr>
      </w:pPr>
      <w:r/>
      <w:bookmarkStart w:id="0" w:name="_Toc513029214"/>
      <w:r/>
      <w:bookmarkStart w:id="1" w:name="_Toc462564073"/>
      <w:r/>
      <w:bookmarkStart w:id="2" w:name="_Toc16938530"/>
      <w:r/>
      <w:bookmarkStart w:id="3" w:name="_Toc20823286"/>
      <w:r>
        <w:rPr>
          <w:rFonts w:hint="eastAsia" w:ascii="仿宋" w:hAnsi="仿宋" w:eastAsia="仿宋" w:cs="仿宋"/>
          <w:color w:val="auto"/>
          <w:sz w:val="28"/>
          <w:szCs w:val="28"/>
          <w:highlight w:val="none"/>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 投标人提交的投标文件以及投标人与</w:t>
      </w:r>
      <w:r>
        <w:rPr>
          <w:rFonts w:hint="eastAsia" w:ascii="仿宋" w:hAnsi="仿宋" w:eastAsia="仿宋" w:cs="仿宋"/>
          <w:color w:val="auto"/>
          <w:sz w:val="28"/>
          <w:szCs w:val="28"/>
          <w:highlight w:val="none"/>
          <w:lang w:val="en-US" w:eastAsia="zh-CN"/>
        </w:rPr>
        <w:t xml:space="preserve">采购人（或采购代理机构）</w:t>
      </w:r>
      <w:r>
        <w:rPr>
          <w:rFonts w:hint="eastAsia" w:ascii="仿宋" w:hAnsi="仿宋" w:eastAsia="仿宋" w:cs="仿宋"/>
          <w:color w:val="auto"/>
          <w:sz w:val="28"/>
          <w:szCs w:val="28"/>
          <w:highlight w:val="none"/>
        </w:rPr>
        <w:t xml:space="preserve">就有关投标的所有来往通知、函件和文件均应使用简体中文。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 除技术性能另有规定外，投标文件所使用的度量衡单位，均须采用国家法定计量单位。</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9.投标文件构成</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s="仿宋"/>
          <w:color w:val="auto"/>
          <w:sz w:val="28"/>
          <w:szCs w:val="28"/>
          <w:highlight w:val="none"/>
          <w:lang w:val="zh-CN"/>
        </w:rPr>
        <w:t xml:space="preserve">请投标人根据本招标文件的要求在指定模块中上传响应的投标材料，未按招标文件要求在指定模块上传响应的投标材料的，</w:t>
      </w:r>
      <w:r>
        <w:rPr>
          <w:rFonts w:hint="eastAsia" w:ascii="仿宋" w:hAnsi="仿宋" w:eastAsia="仿宋" w:cs="仿宋"/>
          <w:color w:val="auto"/>
          <w:sz w:val="28"/>
          <w:szCs w:val="28"/>
          <w:highlight w:val="none"/>
        </w:rPr>
        <w:t xml:space="preserve">视同未提交该投标材料处理。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 如标书制作工具中格式和内容与“淮安市政府采购网”发布的招标文件不一致，请以“淮安市政府采购网”发布的招标文件为准。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10.证明投标人及投标标的符合招标文件规定的文件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 投标人应按照招标文件要求提交证明文件，证明其及投标标的符合招标文件规定。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10.2招标文件对证明文件无明确形式要求的，证明文件可以以文字资料、图纸和数据等形式提交。</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11.投标分项报价表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 投标人应按照招标文件规定格式填报投标分项报价表。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 投标货币。投标文件中的单价和总价无特殊规定的采用人民币报价，以元为单位标注。招标文件中另有规定的按规定执行。</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12.技术要求响应及偏离表、商务要求响应及偏离表（如有）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 投标人需对招标文件中的技术要求与商务要求逐项作出响应或偏离，并说明原因。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 投标人可在投标文件中提供认为需要的其他技术文件或说明。</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13.服务承诺、培训计划、人员安排及其他（如有）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 投标人需根据招标文件要求提供培训计划。</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 投标人需根据招标文件要求提供所投标的的主要组成部分、功能设计、实现思路及关键技术等。</w:t>
      </w:r>
      <w:r/>
    </w:p>
    <w:p>
      <w:pPr>
        <w:ind w:firstLine="560"/>
        <w:spacing w:line="520" w:lineRule="exact"/>
        <w:rPr>
          <w:rFonts w:hint="eastAsia" w:ascii="仿宋" w:hAnsi="仿宋" w:eastAsia="仿宋" w:cs="仿宋"/>
          <w:color w:val="auto"/>
          <w:sz w:val="28"/>
          <w:szCs w:val="28"/>
          <w:highlight w:val="none"/>
        </w:rPr>
      </w:pPr>
      <w:r/>
      <w:bookmarkStart w:id="4" w:name="_Toc49090510"/>
      <w:r/>
      <w:bookmarkStart w:id="5" w:name="_Toc14577359"/>
      <w:r>
        <w:rPr>
          <w:rFonts w:hint="eastAsia" w:ascii="仿宋" w:hAnsi="仿宋" w:eastAsia="仿宋" w:cs="仿宋"/>
          <w:color w:val="auto"/>
          <w:sz w:val="28"/>
          <w:szCs w:val="28"/>
          <w:highlight w:val="none"/>
        </w:rPr>
        <w:t xml:space="preserve">14.投标函和开标一览表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 投标人应按照招标文件中提供的格式</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完整、正确填写投标函、开标一览表。</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4"/>
      <w:bookmarkEnd w:id="5"/>
      <w:r/>
    </w:p>
    <w:p>
      <w:pPr>
        <w:ind w:firstLine="560"/>
        <w:spacing w:line="520" w:lineRule="exact"/>
        <w:rPr>
          <w:rFonts w:hint="eastAsia" w:ascii="仿宋" w:hAnsi="仿宋" w:eastAsia="仿宋" w:cs="仿宋"/>
          <w:color w:val="auto"/>
          <w:sz w:val="28"/>
          <w:szCs w:val="28"/>
          <w:highlight w:val="none"/>
        </w:rPr>
      </w:pPr>
      <w:r/>
      <w:bookmarkStart w:id="6" w:name="_Toc49090511"/>
      <w:r/>
      <w:bookmarkStart w:id="7" w:name="_Toc14577360"/>
      <w:r>
        <w:rPr>
          <w:rFonts w:hint="eastAsia" w:ascii="仿宋" w:hAnsi="仿宋" w:eastAsia="仿宋" w:cs="仿宋"/>
          <w:color w:val="auto"/>
          <w:sz w:val="28"/>
          <w:szCs w:val="28"/>
          <w:highlight w:val="none"/>
        </w:rPr>
        <w:t xml:space="preserve">15.投标有效期</w:t>
      </w:r>
      <w:bookmarkEnd w:id="6"/>
      <w:r/>
      <w:bookmarkEnd w:id="7"/>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15.1 投标有效期为</w:t>
      </w:r>
      <w:r>
        <w:rPr>
          <w:rFonts w:hint="eastAsia" w:ascii="仿宋" w:hAnsi="仿宋" w:eastAsia="仿宋" w:cs="仿宋"/>
          <w:color w:val="auto"/>
          <w:sz w:val="28"/>
          <w:szCs w:val="28"/>
          <w:highlight w:val="none"/>
          <w:lang w:val="en-US" w:eastAsia="zh-CN"/>
        </w:rPr>
        <w:t xml:space="preserve">招标文件</w:t>
      </w:r>
      <w:r>
        <w:rPr>
          <w:rFonts w:hint="eastAsia" w:ascii="仿宋" w:hAnsi="仿宋" w:eastAsia="仿宋" w:cs="仿宋"/>
          <w:color w:val="auto"/>
          <w:sz w:val="28"/>
          <w:szCs w:val="28"/>
          <w:highlight w:val="none"/>
        </w:rPr>
        <w:t xml:space="preserve">规定的开标之日后九十（90）天。投标有效期比规定短的将被视为未实质性响应招标文件而予以拒绝。</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16.投标有效期的延长</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17.方案部分</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17.1 本项目评标标准中的方案部分</w:t>
      </w:r>
      <w:r>
        <w:rPr>
          <w:rFonts w:hint="eastAsia" w:ascii="仿宋" w:hAnsi="仿宋" w:eastAsia="仿宋" w:cs="仿宋"/>
          <w:b/>
          <w:bCs w:val="0"/>
          <w:color w:val="auto"/>
          <w:sz w:val="28"/>
          <w:szCs w:val="28"/>
          <w:highlight w:val="none"/>
          <w:lang w:val="en-US" w:eastAsia="zh-CN"/>
        </w:rPr>
        <w:t xml:space="preserve">不</w:t>
      </w:r>
      <w:r>
        <w:rPr>
          <w:rFonts w:hint="eastAsia" w:ascii="仿宋" w:hAnsi="仿宋" w:eastAsia="仿宋" w:cs="仿宋"/>
          <w:b/>
          <w:bCs w:val="0"/>
          <w:color w:val="auto"/>
          <w:sz w:val="28"/>
          <w:szCs w:val="28"/>
          <w:highlight w:val="none"/>
        </w:rPr>
        <w:t xml:space="preserve">采用</w:t>
      </w:r>
      <w:r>
        <w:rPr>
          <w:rFonts w:hint="eastAsia" w:ascii="仿宋" w:hAnsi="仿宋" w:eastAsia="仿宋" w:cs="仿宋"/>
          <w:bCs/>
          <w:color w:val="auto"/>
          <w:sz w:val="28"/>
          <w:szCs w:val="28"/>
          <w:highlight w:val="none"/>
        </w:rPr>
        <w:t xml:space="preserve">暗标方式进行评审。</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17.2 方案部分采用暗标方式进行评审的编制要求：</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cs="仿宋"/>
          <w:bCs/>
          <w:color w:val="auto"/>
          <w:sz w:val="28"/>
          <w:szCs w:val="28"/>
          <w:highlight w:val="none"/>
          <w:lang w:val="en-US" w:eastAsia="zh-CN"/>
        </w:rPr>
        <w:t xml:space="preserve">投标人</w:t>
      </w:r>
      <w:r>
        <w:rPr>
          <w:rFonts w:hint="eastAsia" w:ascii="仿宋" w:hAnsi="仿宋" w:eastAsia="仿宋" w:cs="仿宋"/>
          <w:bCs/>
          <w:color w:val="auto"/>
          <w:sz w:val="28"/>
          <w:szCs w:val="28"/>
          <w:highlight w:val="none"/>
        </w:rPr>
        <w:t xml:space="preserve">方案部分能够正常显示的，即视为“苏采云”系统方案部分暗标功能运行无故障。</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17.3 </w:t>
      </w:r>
      <w:r>
        <w:rPr>
          <w:rFonts w:hint="eastAsia" w:ascii="仿宋" w:hAnsi="仿宋" w:eastAsia="仿宋" w:cs="仿宋"/>
          <w:bCs/>
          <w:color w:val="auto"/>
          <w:sz w:val="28"/>
          <w:szCs w:val="28"/>
          <w:highlight w:val="none"/>
          <w:lang w:val="en-US" w:eastAsia="zh-CN"/>
        </w:rPr>
        <w:t xml:space="preserve">投标人</w:t>
      </w:r>
      <w:r>
        <w:rPr>
          <w:rFonts w:hint="eastAsia" w:ascii="仿宋" w:hAnsi="仿宋" w:eastAsia="仿宋" w:cs="仿宋"/>
          <w:bCs/>
          <w:color w:val="auto"/>
          <w:sz w:val="28"/>
          <w:szCs w:val="28"/>
          <w:highlight w:val="none"/>
        </w:rPr>
        <w:t xml:space="preserve">应按第17.2的要求编制方案，经三分之二评委认定，</w:t>
      </w:r>
      <w:r>
        <w:rPr>
          <w:rFonts w:hint="eastAsia" w:ascii="仿宋" w:hAnsi="仿宋" w:eastAsia="仿宋" w:cs="仿宋"/>
          <w:bCs/>
          <w:color w:val="auto"/>
          <w:sz w:val="28"/>
          <w:szCs w:val="28"/>
          <w:highlight w:val="none"/>
          <w:lang w:val="en-US" w:eastAsia="zh-CN"/>
        </w:rPr>
        <w:t xml:space="preserve">投标人</w:t>
      </w:r>
      <w:r>
        <w:rPr>
          <w:rFonts w:hint="eastAsia" w:ascii="仿宋" w:hAnsi="仿宋" w:eastAsia="仿宋" w:cs="仿宋"/>
          <w:bCs/>
          <w:color w:val="auto"/>
          <w:sz w:val="28"/>
          <w:szCs w:val="28"/>
          <w:highlight w:val="none"/>
        </w:rPr>
        <w:t xml:space="preserve">未按第17.2的要求编制方案的，按未提供方案处理。</w:t>
      </w:r>
      <w:r/>
    </w:p>
    <w:p>
      <w:pPr>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四、投标文件上传</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18.投标文件的上传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 投标人应当按照《操作手册》规定，在投标截止时间前制作并上传电子投标文件。</w:t>
      </w:r>
      <w:r/>
    </w:p>
    <w:p>
      <w:pPr>
        <w:ind w:firstLine="560"/>
        <w:spacing w:line="520" w:lineRule="exact"/>
        <w:rPr>
          <w:rFonts w:hint="eastAsia" w:ascii="仿宋" w:hAnsi="仿宋" w:eastAsia="仿宋" w:cs="仿宋"/>
          <w:bCs/>
          <w:color w:val="auto"/>
          <w:sz w:val="28"/>
          <w:szCs w:val="28"/>
          <w:highlight w:val="none"/>
          <w:lang w:val="zh-CN"/>
        </w:rPr>
      </w:pPr>
      <w:r>
        <w:rPr>
          <w:rFonts w:hint="eastAsia" w:ascii="仿宋" w:hAnsi="仿宋" w:eastAsia="仿宋" w:cs="仿宋"/>
          <w:color w:val="auto"/>
          <w:sz w:val="28"/>
          <w:szCs w:val="28"/>
          <w:highlight w:val="none"/>
        </w:rPr>
        <w:t xml:space="preserve">18.2 投标人上传的电子投标文件内容不清楚或不清晰的（含扫描</w:t>
      </w:r>
      <w:r>
        <w:rPr>
          <w:rFonts w:hint="eastAsia" w:ascii="仿宋" w:hAnsi="仿宋" w:eastAsia="仿宋" w:cs="仿宋"/>
          <w:bCs/>
          <w:color w:val="auto"/>
          <w:sz w:val="28"/>
          <w:szCs w:val="28"/>
          <w:highlight w:val="none"/>
        </w:rPr>
        <w:t xml:space="preserve">件），造成无法评审或部分影响评审的，</w:t>
      </w:r>
      <w:r>
        <w:rPr>
          <w:rFonts w:hint="eastAsia" w:ascii="仿宋" w:hAnsi="仿宋" w:eastAsia="仿宋" w:cs="仿宋"/>
          <w:bCs/>
          <w:color w:val="auto"/>
          <w:sz w:val="28"/>
          <w:szCs w:val="28"/>
          <w:highlight w:val="none"/>
          <w:lang w:val="zh-CN"/>
        </w:rPr>
        <w:t xml:space="preserve">责任由</w:t>
      </w:r>
      <w:r>
        <w:rPr>
          <w:rFonts w:hint="eastAsia" w:ascii="仿宋" w:hAnsi="仿宋" w:eastAsia="仿宋" w:cs="仿宋"/>
          <w:bCs/>
          <w:color w:val="auto"/>
          <w:sz w:val="28"/>
          <w:szCs w:val="28"/>
          <w:highlight w:val="none"/>
        </w:rPr>
        <w:t xml:space="preserve">投标人</w:t>
      </w:r>
      <w:r>
        <w:rPr>
          <w:rFonts w:hint="eastAsia" w:ascii="仿宋" w:hAnsi="仿宋" w:eastAsia="仿宋" w:cs="仿宋"/>
          <w:bCs/>
          <w:color w:val="auto"/>
          <w:sz w:val="28"/>
          <w:szCs w:val="28"/>
          <w:highlight w:val="none"/>
          <w:lang w:val="zh-CN"/>
        </w:rPr>
        <w:t xml:space="preserve">自负。</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18.3 投标人上传电子投标文件的时间不得迟于投标邀请中规定的截止时间。</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18.4 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19.投标文件被拒绝接收的情形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19.1 在招标文件规定的提交投标文件截止时间后上传的电子投标文件。</w:t>
      </w:r>
      <w:r/>
    </w:p>
    <w:p>
      <w:pPr>
        <w:spacing w:line="52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20.投标文件的修改和撤回</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 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20.2 投标人不得在开标时间以后修改电子投标文件。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20.3 投标人不得在提交电子投标文件截止时间起至投标有效期满前撤回电子投标文件。</w:t>
      </w:r>
      <w:r/>
    </w:p>
    <w:p>
      <w:pPr>
        <w:numPr>
          <w:ilvl w:val="0"/>
          <w:numId w:val="5"/>
        </w:numPr>
        <w:spacing w:line="520" w:lineRule="exact"/>
        <w:rPr>
          <w:rFonts w:hint="eastAsia" w:ascii="仿宋" w:hAnsi="仿宋" w:eastAsia="仿宋" w:cs="仿宋"/>
          <w:b/>
          <w:color w:val="auto"/>
          <w:sz w:val="32"/>
          <w:szCs w:val="32"/>
          <w:highlight w:val="none"/>
        </w:rPr>
      </w:pPr>
      <w:r/>
      <w:bookmarkStart w:id="8" w:name="_Toc162083530"/>
      <w:r>
        <w:rPr>
          <w:rFonts w:hint="eastAsia" w:ascii="仿宋" w:hAnsi="仿宋" w:eastAsia="仿宋" w:cs="仿宋"/>
          <w:b/>
          <w:color w:val="auto"/>
          <w:sz w:val="32"/>
          <w:szCs w:val="32"/>
          <w:highlight w:val="none"/>
        </w:rPr>
        <w:t xml:space="preserve">开标及评标</w:t>
      </w:r>
      <w:bookmarkEnd w:id="8"/>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21.开标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21.1 代理机构将在招标公告中规定的时间和地点组织开标。投标人应当按照《操作手册》规定，参加开标活动和在苏采云系统规定的时间内对投标文件进行解密。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21.2 开标仪式由代理机构组织。苏采云系统将自动对项目进行开标，并宣布各投标人名称和投标价格。</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21.3 投标人在开标过程中涉及到的投标文件解密、开标结果确认等工作，应按照《操作手册》规定执行。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21.4 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cs="仿宋"/>
          <w:color w:val="auto"/>
          <w:sz w:val="28"/>
          <w:szCs w:val="28"/>
          <w:highlight w:val="none"/>
        </w:rPr>
      </w:pPr>
      <w:r/>
      <w:bookmarkStart w:id="9" w:name="_Toc513029231"/>
      <w:r/>
      <w:bookmarkStart w:id="10" w:name="_Toc20823303"/>
      <w:r/>
      <w:bookmarkStart w:id="11" w:name="_Toc16938547"/>
      <w:r>
        <w:rPr>
          <w:rFonts w:hint="eastAsia" w:ascii="仿宋" w:hAnsi="仿宋" w:eastAsia="仿宋" w:cs="仿宋"/>
          <w:color w:val="auto"/>
          <w:sz w:val="28"/>
          <w:szCs w:val="28"/>
          <w:highlight w:val="none"/>
        </w:rPr>
        <w:t xml:space="preserve">22.评标委员会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22.1 开标后，代理机构将立即组织评标委员会（以下简称评委会）进行评标。</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22.2 评委会由采购人代表和有关技术、经济等方面的专家组成，且人员构成符合政府采购有关规定。</w:t>
      </w:r>
      <w:r/>
    </w:p>
    <w:p>
      <w:pPr>
        <w:ind w:firstLine="28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22.3 评委会独立工作，负责评审所有投标文件并确定中标侯选人。</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23．评标过程的保密与公正</w:t>
      </w:r>
      <w:bookmarkEnd w:id="9"/>
      <w:r/>
      <w:bookmarkEnd w:id="10"/>
      <w:r/>
      <w:bookmarkEnd w:id="11"/>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23.1 凡是与审查、澄清、评价和比较投标的有关资料以及授标建议等，采购人、评委、代理机构均不得向投标人或与评标无关的其他人员透露。</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 在评标过程中，投标人不得以任何行为影响评标过程，否则其投标文件将被作为无效投标文件。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23.3 代理机构和评标委员会不向未中标的投标人解释未中标原因，也不公布评标过程中的相关细节。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23.4 采用综合评分法的项目，未中标的投标人可于中标结果公告期限届满之日起通过苏采云系统查看自己的评审得分及排序情况。</w:t>
      </w:r>
      <w:r/>
    </w:p>
    <w:p>
      <w:p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23.5 评审</w:t>
      </w:r>
      <w:r>
        <w:rPr>
          <w:rFonts w:hint="eastAsia" w:ascii="仿宋" w:hAnsi="仿宋" w:eastAsia="仿宋" w:cs="仿宋"/>
          <w:color w:val="auto"/>
          <w:sz w:val="28"/>
          <w:szCs w:val="28"/>
          <w:highlight w:val="none"/>
        </w:rPr>
        <w:t xml:space="preserve">方案部分</w:t>
      </w:r>
      <w:r>
        <w:rPr>
          <w:rFonts w:hint="eastAsia" w:ascii="仿宋" w:hAnsi="仿宋" w:eastAsia="仿宋" w:cs="仿宋"/>
          <w:color w:val="auto"/>
          <w:sz w:val="28"/>
          <w:szCs w:val="28"/>
          <w:highlight w:val="none"/>
          <w:lang w:val="en-US" w:eastAsia="zh-CN"/>
        </w:rPr>
        <w:t xml:space="preserve">时，</w:t>
      </w:r>
      <w:r>
        <w:rPr>
          <w:rFonts w:hint="eastAsia" w:ascii="仿宋" w:hAnsi="仿宋" w:eastAsia="仿宋" w:cs="仿宋"/>
          <w:bCs/>
          <w:color w:val="auto"/>
          <w:sz w:val="28"/>
          <w:szCs w:val="28"/>
          <w:highlight w:val="none"/>
          <w:lang w:val="en-US" w:eastAsia="zh-CN"/>
        </w:rPr>
        <w:t xml:space="preserve">投标人</w:t>
      </w:r>
      <w:r>
        <w:rPr>
          <w:rFonts w:hint="eastAsia" w:ascii="仿宋" w:hAnsi="仿宋" w:eastAsia="仿宋" w:cs="仿宋"/>
          <w:bCs/>
          <w:color w:val="auto"/>
          <w:sz w:val="28"/>
          <w:szCs w:val="28"/>
          <w:highlight w:val="none"/>
        </w:rPr>
        <w:t xml:space="preserve">应按第17.2的要求编制方案，经三分之二评委认定，</w:t>
      </w:r>
      <w:r>
        <w:rPr>
          <w:rFonts w:hint="eastAsia" w:ascii="仿宋" w:hAnsi="仿宋" w:eastAsia="仿宋" w:cs="仿宋"/>
          <w:bCs/>
          <w:color w:val="auto"/>
          <w:sz w:val="28"/>
          <w:szCs w:val="28"/>
          <w:highlight w:val="none"/>
          <w:lang w:val="en-US" w:eastAsia="zh-CN"/>
        </w:rPr>
        <w:t xml:space="preserve">投标人</w:t>
      </w:r>
      <w:r>
        <w:rPr>
          <w:rFonts w:hint="eastAsia" w:ascii="仿宋" w:hAnsi="仿宋" w:eastAsia="仿宋" w:cs="仿宋"/>
          <w:bCs/>
          <w:color w:val="auto"/>
          <w:sz w:val="28"/>
          <w:szCs w:val="28"/>
          <w:highlight w:val="none"/>
        </w:rPr>
        <w:t xml:space="preserve">未按第17.2的要求编制方案的，按未提供方案处理。</w:t>
      </w:r>
      <w:r/>
    </w:p>
    <w:p>
      <w:pPr>
        <w:spacing w:line="520" w:lineRule="exact"/>
        <w:rPr>
          <w:rFonts w:hint="eastAsia" w:ascii="仿宋" w:hAnsi="仿宋" w:eastAsia="仿宋" w:cs="仿宋"/>
          <w:color w:val="auto"/>
          <w:sz w:val="28"/>
          <w:szCs w:val="28"/>
          <w:highlight w:val="none"/>
        </w:rPr>
      </w:pPr>
      <w:r/>
      <w:bookmarkStart w:id="12" w:name="_Toc16938548"/>
      <w:r/>
      <w:bookmarkStart w:id="13" w:name="_Toc20823304"/>
      <w:r/>
      <w:bookmarkStart w:id="14" w:name="_Toc513029232"/>
      <w:r>
        <w:rPr>
          <w:rFonts w:hint="eastAsia" w:ascii="仿宋" w:hAnsi="仿宋" w:eastAsia="仿宋" w:cs="仿宋"/>
          <w:color w:val="auto"/>
          <w:sz w:val="28"/>
          <w:szCs w:val="28"/>
          <w:highlight w:val="none"/>
        </w:rPr>
        <w:t xml:space="preserve">24．投标文件的澄清</w:t>
      </w:r>
      <w:bookmarkEnd w:id="12"/>
      <w:r/>
      <w:bookmarkEnd w:id="13"/>
      <w:r/>
      <w:bookmarkEnd w:id="14"/>
      <w:r/>
      <w:r/>
    </w:p>
    <w:p>
      <w:pPr>
        <w:ind w:firstLine="560"/>
        <w:spacing w:line="520" w:lineRule="exact"/>
        <w:rPr>
          <w:rFonts w:hint="eastAsia" w:ascii="仿宋" w:hAnsi="仿宋" w:eastAsia="仿宋" w:cs="仿宋"/>
          <w:color w:val="auto"/>
          <w:sz w:val="28"/>
          <w:szCs w:val="28"/>
          <w:highlight w:val="none"/>
        </w:rPr>
      </w:pPr>
      <w:r/>
      <w:bookmarkStart w:id="15" w:name="_Toc20823305"/>
      <w:r/>
      <w:bookmarkStart w:id="16" w:name="_Toc16938549"/>
      <w:r/>
      <w:bookmarkStart w:id="17" w:name="_Toc513029233"/>
      <w:r>
        <w:rPr>
          <w:rFonts w:hint="eastAsia" w:ascii="仿宋" w:hAnsi="仿宋" w:eastAsia="仿宋" w:cs="仿宋"/>
          <w:color w:val="auto"/>
          <w:sz w:val="28"/>
          <w:szCs w:val="28"/>
          <w:highlight w:val="none"/>
        </w:rPr>
        <w:t xml:space="preserve">24.1 评标期间，评委会对投标文件中含义不明确、同类问题表述不一致或者有明显文字和计算错误的内容，有权要求投标人作出必要的澄清、说明或者补正。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投标人的澄清、说明或者补正不得超出投标文件的范围或者改变投标文件的实质性内容。</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评委会并非对每个投标人都做澄清要求。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 需要</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进行澄清、说明和补正的，评委会将通过苏采云系统向</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 接到评委会澄清、说明和补正要求的投标人如未按规定做出澄清、说明和补正，其风险由投标人自行承担。</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25.对投标文件的初审</w:t>
      </w:r>
      <w:bookmarkEnd w:id="15"/>
      <w:r/>
      <w:bookmarkEnd w:id="16"/>
      <w:r/>
      <w:bookmarkEnd w:id="17"/>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 投标文件初审分为资格审查和符合性审查。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 如果投标文件实质上没有响应招标文件的要求，评委会将予以拒绝，投标人不得通过修改或撤销不合要求的偏离或保留而使其投标成为实质性响应的投标。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25.4 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（1）投标文件中开标一览表内容与投标文件中相应内容不一致的，以开标一览表为准。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（2）大写金额和小写金额不一致的，以大写金额为准。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（3）单价金额小数点或者百分比有明显错位的，以开标一览表的总价为准，并修改单价。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（4）总价金额与按单价汇总金额不一致的，以单价金额计算结果为准。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同时出现两种以上错误的，按照前款规定的顺序修正。</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520" w:lineRule="exact"/>
        <w:rPr>
          <w:rFonts w:hint="eastAsia" w:ascii="仿宋" w:hAnsi="仿宋" w:eastAsia="仿宋" w:cs="仿宋"/>
          <w:color w:val="auto"/>
          <w:sz w:val="28"/>
          <w:szCs w:val="28"/>
          <w:highlight w:val="none"/>
        </w:rPr>
      </w:pPr>
      <w:r/>
      <w:bookmarkStart w:id="18" w:name="_Toc20823306"/>
      <w:r/>
      <w:bookmarkStart w:id="19" w:name="_Toc513029234"/>
      <w:r/>
      <w:bookmarkStart w:id="20" w:name="_Toc16938550"/>
      <w:r>
        <w:rPr>
          <w:rFonts w:hint="eastAsia" w:ascii="仿宋" w:hAnsi="仿宋" w:eastAsia="仿宋" w:cs="仿宋"/>
          <w:color w:val="auto"/>
          <w:sz w:val="28"/>
          <w:szCs w:val="28"/>
          <w:highlight w:val="none"/>
        </w:rPr>
        <w:t xml:space="preserve">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非单一产品采购项目，招标文件中将载明其中的核心产品（</w:t>
      </w:r>
      <w:r>
        <w:rPr>
          <w:rFonts w:hint="eastAsia" w:ascii="仿宋" w:hAnsi="仿宋" w:eastAsia="仿宋" w:cs="仿宋"/>
          <w:color w:val="auto"/>
          <w:sz w:val="28"/>
          <w:szCs w:val="28"/>
          <w:highlight w:val="none"/>
          <w:lang w:val="en-US" w:eastAsia="zh-CN"/>
        </w:rPr>
        <w:t xml:space="preserve">教学楼办公桌</w:t>
      </w:r>
      <w:r>
        <w:rPr>
          <w:rFonts w:hint="eastAsia" w:ascii="仿宋" w:hAnsi="仿宋" w:eastAsia="仿宋" w:cs="仿宋"/>
          <w:color w:val="auto"/>
          <w:sz w:val="28"/>
          <w:szCs w:val="28"/>
          <w:highlight w:val="none"/>
        </w:rPr>
        <w:t xml:space="preserve">）。多家投标人提供的核心产品品牌相同的，按前两款规定处理。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25.7 投标人在开、评标全过程中应保持通讯畅通，及时登录苏采云系统查阅、答复相关信息，并安排专人与代理机构及评标委员会联系。</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bookmarkEnd w:id="18"/>
      <w:r/>
      <w:bookmarkEnd w:id="19"/>
      <w:r/>
      <w:bookmarkEnd w:id="20"/>
      <w:r>
        <w:rPr>
          <w:rFonts w:hint="eastAsia" w:ascii="仿宋" w:hAnsi="仿宋" w:eastAsia="仿宋" w:cs="仿宋"/>
          <w:color w:val="auto"/>
          <w:sz w:val="28"/>
          <w:szCs w:val="28"/>
          <w:highlight w:val="none"/>
        </w:rPr>
        <w:t xml:space="preserve">6.无效投标条款和废标条款</w:t>
      </w:r>
      <w:r/>
    </w:p>
    <w:p>
      <w:pPr>
        <w:ind w:firstLine="560"/>
        <w:spacing w:line="520" w:lineRule="exact"/>
        <w:rPr>
          <w:rFonts w:hint="eastAsia" w:ascii="仿宋" w:hAnsi="仿宋" w:eastAsia="仿宋" w:cs="仿宋"/>
          <w:color w:val="auto"/>
          <w:sz w:val="28"/>
          <w:szCs w:val="28"/>
          <w:highlight w:val="none"/>
        </w:rPr>
      </w:pPr>
      <w:r/>
      <w:bookmarkStart w:id="21" w:name="_Toc20823307"/>
      <w:r/>
      <w:bookmarkStart w:id="22" w:name="_Toc16938551"/>
      <w:r/>
      <w:bookmarkStart w:id="23" w:name="_Toc513029235"/>
      <w:r>
        <w:rPr>
          <w:rFonts w:hint="eastAsia" w:ascii="仿宋" w:hAnsi="仿宋" w:eastAsia="仿宋" w:cs="仿宋"/>
          <w:color w:val="auto"/>
          <w:sz w:val="28"/>
          <w:szCs w:val="28"/>
          <w:highlight w:val="none"/>
        </w:rPr>
        <w:t xml:space="preserve">26.1无效投标条款</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 投标人在苏采云系统规定的时间内未成功解密电子投标文件的。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26.1.2 投标人未按照招标文件要求上传电子投标文件的。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26.1.3 同一投标人提交两个（含两个）以上不同的投标报价的。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26.1.4 投标人不具备招标文件中规定资格要求的。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26.1.5 投标人的报价超过了采购预算或最高限价的。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26.1.6 未通过符合性审查的。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26.1.8 投标文件含有采购人不能接受的附加条件的。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26.1.9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26.1.10评标委员会认为投标人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政府采购评审中出现下列情形之一的，评审委员会应当启动异常低价投标审查程序: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(1)投标报价低于全部通过符合性审查供应商投标报价平均值50%的，即投标报价&lt;全部通过符合性审查供应商投标报价平均值x50%;</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(2)投标报价低于通过符合性审查的次低报价供应商投标报价50%的，即投标报价&lt;通过符合性审查的次低报价供应商投标报价x50%;</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(3)投标报价低于采购项目最高限价45%的，即投标报价〈采购项目最高限价x45%;</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(4)评审委员会基于专业判断，认为</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报价过低，有可能影响产品质量或者不能诚信履约的其他情形。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26.1.10.1 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评审委员会依据专业经验，参考同类项目中标价格、类似产品市场价格水平、行业人工费用标准、国家有关部门指导行业协会发布的行业平均成本等情况，对报价合理性进行判断。投标</w:t>
      </w:r>
      <w:r>
        <w:rPr>
          <w:rFonts w:hint="eastAsia" w:ascii="仿宋" w:hAnsi="仿宋" w:eastAsia="仿宋" w:cs="仿宋"/>
          <w:color w:val="auto"/>
          <w:sz w:val="28"/>
          <w:szCs w:val="28"/>
          <w:highlight w:val="none"/>
          <w:lang w:val="en-US" w:eastAsia="zh-CN"/>
        </w:rPr>
        <w:t xml:space="preserve">人</w:t>
      </w:r>
      <w:r>
        <w:rPr>
          <w:rFonts w:hint="eastAsia" w:ascii="仿宋" w:hAnsi="仿宋" w:eastAsia="仿宋" w:cs="仿宋"/>
          <w:color w:val="auto"/>
          <w:sz w:val="28"/>
          <w:szCs w:val="28"/>
          <w:highlight w:val="none"/>
        </w:rPr>
        <w:t xml:space="preserve">不能提供书面说明、证明材料，或者提供的书面说明、证明材料不能证明其报价合理性的，评审委员会应当将其作为无效投标处理。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人、政府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异常低价投标审查的启动原因、审查意见和审查结果应当在评审报告中记录。</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 按照第 33.4的要求本项目中具有“强制采购”产品，但未提供经国家确定的认证机构出具的、处于有效期之内该节能产品认证证书图片的；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 投标文件未按照招标文件要求加盖CA电子公章的。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 其他法律、法规及本招标文件规定的属无效投标的情形。</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 废标条款</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26.2.1 符合专业条件的</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或者对招标文件作实质响应的</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不足三家的。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26.2.2 出现影响采购公正的违法、违规行为的。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26.2.3 因重大变故，采购任务取消的。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26.2.4 评标委员会认定招标文件存在歧义、重大缺陷导致评审工作无法进行。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26.2.5 因苏采云系统系统故障原因造成开标不成功的。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 投标截止时间结束后参加投标的</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不足三家的处理：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 如出现投标截止时间结束后参加投标的</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或者在评标期间对招标文件做出实质响应的</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不足三家情况，按政府采购相关规定执行。</w:t>
      </w:r>
      <w:bookmarkEnd w:id="21"/>
      <w:bookmarkEnd w:id="22"/>
      <w:bookmarkEnd w:id="23"/>
      <w:r/>
    </w:p>
    <w:p>
      <w:pPr>
        <w:numPr>
          <w:ilvl w:val="0"/>
          <w:numId w:val="5"/>
        </w:numPr>
        <w:ind w:firstLine="482"/>
        <w:spacing w:line="520" w:lineRule="exact"/>
        <w:rPr>
          <w:rFonts w:hint="eastAsia" w:ascii="仿宋" w:hAnsi="仿宋" w:eastAsia="仿宋" w:cs="仿宋"/>
          <w:b/>
          <w:color w:val="auto"/>
          <w:sz w:val="32"/>
          <w:szCs w:val="32"/>
          <w:highlight w:val="none"/>
        </w:rPr>
      </w:pPr>
      <w:r/>
      <w:bookmarkStart w:id="24" w:name="_Toc120614219"/>
      <w:r>
        <w:rPr>
          <w:rFonts w:hint="eastAsia" w:ascii="仿宋" w:hAnsi="仿宋" w:eastAsia="仿宋" w:cs="仿宋"/>
          <w:b/>
          <w:color w:val="auto"/>
          <w:sz w:val="32"/>
          <w:szCs w:val="32"/>
          <w:highlight w:val="none"/>
        </w:rPr>
        <w:t xml:space="preserve">定标</w:t>
      </w:r>
      <w:bookmarkEnd w:id="24"/>
      <w:r/>
      <w:r/>
    </w:p>
    <w:p>
      <w:pPr>
        <w:spacing w:line="520" w:lineRule="exact"/>
        <w:rPr>
          <w:rFonts w:hint="eastAsia" w:ascii="仿宋" w:hAnsi="仿宋" w:eastAsia="仿宋" w:cs="仿宋"/>
          <w:color w:val="auto"/>
          <w:sz w:val="28"/>
          <w:szCs w:val="28"/>
          <w:highlight w:val="none"/>
        </w:rPr>
      </w:pPr>
      <w:r/>
      <w:bookmarkStart w:id="25" w:name="_Toc513029238"/>
      <w:r/>
      <w:bookmarkStart w:id="26" w:name="_Toc20823310"/>
      <w:r/>
      <w:bookmarkStart w:id="27" w:name="_Toc16938554"/>
      <w:r>
        <w:rPr>
          <w:rFonts w:hint="eastAsia" w:ascii="仿宋" w:hAnsi="仿宋" w:eastAsia="仿宋" w:cs="仿宋"/>
          <w:color w:val="auto"/>
          <w:sz w:val="28"/>
          <w:szCs w:val="28"/>
          <w:highlight w:val="none"/>
        </w:rPr>
        <w:t xml:space="preserve">2</w:t>
      </w:r>
      <w:bookmarkEnd w:id="25"/>
      <w:r>
        <w:rPr>
          <w:rFonts w:hint="eastAsia" w:ascii="仿宋" w:hAnsi="仿宋" w:eastAsia="仿宋" w:cs="仿宋"/>
          <w:color w:val="auto"/>
          <w:sz w:val="28"/>
          <w:szCs w:val="28"/>
          <w:highlight w:val="none"/>
        </w:rPr>
        <w:t xml:space="preserve">7.确定</w:t>
      </w:r>
      <w:bookmarkEnd w:id="26"/>
      <w:r/>
      <w:bookmarkEnd w:id="27"/>
      <w:r>
        <w:rPr>
          <w:rFonts w:hint="eastAsia" w:ascii="仿宋" w:hAnsi="仿宋" w:eastAsia="仿宋" w:cs="仿宋"/>
          <w:color w:val="auto"/>
          <w:sz w:val="28"/>
          <w:szCs w:val="28"/>
          <w:highlight w:val="none"/>
        </w:rPr>
        <w:t xml:space="preserve">中标单位</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 中标候选人的选取原则和数量见招标文件第三章规定。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 采购人应根据评委会推荐的中标候选人确定中标人。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 代理机构将在“淮安市政府采购网”发布中标公告，公告期限为1个工作日。</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 若有充分证据证明，中标人出现下列情况之一的，一经查实，将被取消中标资格：</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27.4.1 提供虚假材料谋取中标的。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27.4.2 向采购人、代理机构行贿或者提供其他不正当利益的。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27.4.3 属于本文件规定的无效条件，但在评标过程中又未被评委会发现的。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27.4.4 与采购人或者其他</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恶意串通的。</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27.4.5 采取不正当手段诋毁、排挤其他</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rPr>
        <w:t xml:space="preserve">的。</w:t>
      </w:r>
      <w:r/>
    </w:p>
    <w:p>
      <w:pPr>
        <w:ind w:firstLine="560"/>
        <w:spacing w:line="520" w:lineRule="exact"/>
        <w:rPr>
          <w:rFonts w:hint="eastAsia" w:ascii="仿宋" w:hAnsi="仿宋" w:eastAsia="仿宋" w:cs="仿宋"/>
          <w:color w:val="auto"/>
          <w:sz w:val="28"/>
          <w:szCs w:val="28"/>
          <w:highlight w:val="none"/>
        </w:rPr>
      </w:pPr>
      <w:r/>
      <w:bookmarkStart w:id="28" w:name="_Toc200451960"/>
      <w:r>
        <w:rPr>
          <w:rFonts w:hint="eastAsia" w:ascii="仿宋" w:hAnsi="仿宋" w:eastAsia="仿宋" w:cs="仿宋"/>
          <w:color w:val="auto"/>
          <w:sz w:val="28"/>
          <w:szCs w:val="28"/>
          <w:highlight w:val="none"/>
        </w:rPr>
        <w:t xml:space="preserve">27.5.有下列情形之一的，视为投标人串通投标，投标无效：</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27.5.1不同投标人的投标文件由同一单位或者个人编制；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27.5.2不同投标人委托同一单位或者个人办理投标事宜；</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27.5.3 不同投标人的投标文件载明的项目管理成员或者联系人员为同一人；</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27.5.4不同投标人的投标文件异常一致或者投标报价呈规律性差异；</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28．质疑处理</w:t>
      </w:r>
      <w:bookmarkEnd w:id="28"/>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 上述应知其权益受到损害之日是指: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（1）对招标文件提出质疑的，为采购文件公告期限届满之日起计算；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（2）对采购过程提出质疑的，为各采购程序环节结束之日起计算；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（3）对中标结果提出质疑的，为中标结果公告期限届满之日起计算。</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28.3 质疑投标人是指直接参加本次投标活动的投标人，未参加投标活动的投标人或在投标活动中自身权益未受到损害的投标人所提出的质疑不予受理。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28.4 质疑投标人在法定质疑期内应当一次性针对同一采购环节提出质疑。</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28.5 质疑函应当包括以下主要内容，附上相关证明材料。否则，代理机构不予受理。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（1）质疑投标人的名称、地址、邮编、联系人及联系电话；</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（2）质疑项目的名称、编号；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（3）具体、明确的质疑事项和与质疑事实相关的请求；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（4）事实依据；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（5）必要的法律依据；</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（6）提起质疑的日期；</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28.6 代理机构收到质疑函后，将对质疑的形式和内容进行审查，如质疑函内容、格式不符合规定，代理机构将告知质疑人进行补正。质疑人应当在法定质疑期限内进行补正并重新提交质疑函，拒不补正或者超过法定期限后未重新提交质疑函的，为无效质疑，代理机构有权不予受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28.7 对于内容、格式符合规定的质疑函，代理机构将在七个工作日内以电子文件的形式作出答复，但质疑答复的内容不涉及商业秘密。如果质疑投标人还需要纸质形式回复函的，需主动与代理机构联系索取，或者在质疑函中明确提出该要求。</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28.8 投标人提出的质疑必须有理、有据，不得恶意质疑或提交虚假质疑。否则，一经查实，代理机构有权依据政府采购的有关规定，报请淮安市洪泽区财政局政府采购管理部门对该投标人列入失信行为或不良行为记录名单，进行相应的行政处罚。</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29.中标通知书</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 中标通知书将是合同的一个组成部分。对采购人和</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均具有法律效力。中标通知书发出后，采购人改变中标结果的，或者</w:t>
      </w:r>
      <w:r>
        <w:rPr>
          <w:rFonts w:hint="eastAsia" w:ascii="仿宋" w:hAnsi="仿宋" w:eastAsia="仿宋" w:cs="仿宋"/>
          <w:color w:val="auto"/>
          <w:sz w:val="28"/>
          <w:szCs w:val="28"/>
          <w:highlight w:val="none"/>
          <w:lang w:eastAsia="zh-CN"/>
        </w:rPr>
        <w:t xml:space="preserve">中标人</w:t>
      </w:r>
      <w:r>
        <w:rPr>
          <w:rFonts w:hint="eastAsia" w:ascii="仿宋" w:hAnsi="仿宋" w:eastAsia="仿宋" w:cs="仿宋"/>
          <w:color w:val="auto"/>
          <w:sz w:val="28"/>
          <w:szCs w:val="28"/>
          <w:highlight w:val="none"/>
        </w:rPr>
        <w:t xml:space="preserve">放弃中标项目的，应当依法承担法律责任。</w:t>
      </w:r>
      <w:r/>
    </w:p>
    <w:p>
      <w:pPr>
        <w:numPr>
          <w:ilvl w:val="0"/>
          <w:numId w:val="5"/>
        </w:numPr>
        <w:ind w:firstLine="482"/>
        <w:spacing w:line="520" w:lineRule="exact"/>
        <w:rPr>
          <w:rFonts w:hint="eastAsia" w:ascii="仿宋" w:hAnsi="仿宋" w:eastAsia="仿宋" w:cs="仿宋"/>
          <w:b/>
          <w:color w:val="auto"/>
          <w:sz w:val="32"/>
          <w:szCs w:val="32"/>
          <w:highlight w:val="none"/>
        </w:rPr>
      </w:pPr>
      <w:r/>
      <w:bookmarkStart w:id="29" w:name="_Toc120614220"/>
      <w:r/>
      <w:bookmarkStart w:id="30" w:name="_Toc513029236"/>
      <w:r/>
      <w:bookmarkStart w:id="31" w:name="_Toc16938552"/>
      <w:r/>
      <w:bookmarkStart w:id="32" w:name="_Toc20823308"/>
      <w:r>
        <w:rPr>
          <w:rFonts w:hint="eastAsia" w:ascii="仿宋" w:hAnsi="仿宋" w:eastAsia="仿宋" w:cs="仿宋"/>
          <w:b/>
          <w:color w:val="auto"/>
          <w:sz w:val="32"/>
          <w:szCs w:val="32"/>
          <w:highlight w:val="none"/>
        </w:rPr>
        <w:t xml:space="preserve">授予合同</w:t>
      </w:r>
      <w:bookmarkEnd w:id="29"/>
      <w:r/>
      <w:bookmarkEnd w:id="30"/>
      <w:bookmarkEnd w:id="31"/>
      <w:bookmarkEnd w:id="32"/>
      <w:r/>
    </w:p>
    <w:p>
      <w:pPr>
        <w:spacing w:line="520" w:lineRule="exact"/>
        <w:rPr>
          <w:rFonts w:hint="eastAsia" w:ascii="仿宋" w:hAnsi="仿宋" w:eastAsia="仿宋" w:cs="仿宋"/>
          <w:color w:val="auto"/>
          <w:sz w:val="28"/>
          <w:szCs w:val="28"/>
          <w:highlight w:val="none"/>
        </w:rPr>
      </w:pPr>
      <w:r/>
      <w:bookmarkStart w:id="33" w:name="_Toc16938553"/>
      <w:r/>
      <w:bookmarkStart w:id="34" w:name="_Toc20823309"/>
      <w:r/>
      <w:bookmarkStart w:id="35" w:name="_Toc513029237"/>
      <w:r>
        <w:rPr>
          <w:rFonts w:hint="eastAsia" w:ascii="仿宋" w:hAnsi="仿宋" w:eastAsia="仿宋" w:cs="仿宋"/>
          <w:color w:val="auto"/>
          <w:sz w:val="28"/>
          <w:szCs w:val="28"/>
          <w:highlight w:val="none"/>
        </w:rPr>
        <w:t xml:space="preserve">30. 签订合同</w:t>
      </w:r>
      <w:r>
        <w:rPr>
          <w:rFonts w:hint="eastAsia" w:ascii="仿宋" w:hAnsi="仿宋" w:eastAsia="仿宋" w:cs="仿宋"/>
          <w:color w:val="auto"/>
          <w:sz w:val="28"/>
          <w:szCs w:val="28"/>
          <w:highlight w:val="none"/>
        </w:rPr>
        <w:tab/>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30.l 中标人应当在中标通知书发出之日起三十日内，按照招标文件确定的事项与采购人签订政府采购合同。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30.2 招标文件、中标人的投标文件及招标过程中有关澄清、承诺文件均应作为合同附件。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31.货物（包含与货物相关的服务）的追加</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32.政府采购履约资金扶持政策</w:t>
      </w:r>
      <w:r/>
    </w:p>
    <w:p>
      <w:pPr>
        <w:ind w:firstLine="560"/>
        <w:spacing w:line="520" w:lineRule="exac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中标人可凭政府采购合同办理融资贷款，详情请见江苏政府采购网“政采贷”专栏。</w:t>
      </w:r>
      <w:bookmarkEnd w:id="33"/>
      <w:bookmarkEnd w:id="34"/>
      <w:bookmarkEnd w:id="35"/>
      <w:r/>
    </w:p>
    <w:p>
      <w:pPr>
        <w:spacing w:line="520" w:lineRule="exact"/>
        <w:rPr>
          <w:rFonts w:hint="eastAsia" w:ascii="仿宋" w:hAnsi="仿宋" w:eastAsia="仿宋" w:cs="仿宋"/>
          <w:b/>
          <w:bCs/>
          <w:color w:val="auto"/>
          <w:sz w:val="32"/>
          <w:szCs w:val="28"/>
          <w:highlight w:val="none"/>
        </w:rPr>
      </w:pPr>
      <w:r>
        <w:rPr>
          <w:rFonts w:hint="eastAsia" w:ascii="仿宋" w:hAnsi="仿宋" w:eastAsia="仿宋" w:cs="仿宋"/>
          <w:b/>
          <w:bCs/>
          <w:color w:val="auto"/>
          <w:sz w:val="32"/>
          <w:szCs w:val="28"/>
          <w:highlight w:val="none"/>
        </w:rPr>
        <w:t xml:space="preserve">八、政府采购政策功能落实</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w:t>
      </w:r>
      <w:r>
        <w:rPr>
          <w:rFonts w:hint="eastAsia" w:ascii="仿宋" w:hAnsi="仿宋" w:eastAsia="仿宋" w:cs="仿宋"/>
          <w:color w:val="auto"/>
          <w:sz w:val="28"/>
          <w:szCs w:val="28"/>
          <w:highlight w:val="none"/>
          <w:lang w:val="zh-CN"/>
        </w:rPr>
        <w:t xml:space="preserve">促进中小企业发展</w:t>
      </w:r>
      <w:r>
        <w:rPr>
          <w:rFonts w:hint="eastAsia" w:ascii="仿宋" w:hAnsi="仿宋" w:eastAsia="仿宋" w:cs="仿宋"/>
          <w:color w:val="auto"/>
          <w:sz w:val="28"/>
          <w:szCs w:val="28"/>
          <w:highlight w:val="none"/>
        </w:rPr>
        <w:t xml:space="preserve">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33.1小微型企业价格扣除</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33.1.1</w:t>
      </w:r>
      <w:r>
        <w:rPr>
          <w:rFonts w:hint="eastAsia" w:ascii="仿宋" w:hAnsi="仿宋" w:eastAsia="仿宋" w:cs="仿宋"/>
          <w:color w:val="auto"/>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cs="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33.1.2在货物采购项目中，投标人提供的货物既有中小企业制造货物，也有大型企业制造货物的，不享受本办法规定的中小企业扶持政策。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33.2联合体及分包</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33.3小微型企业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（1）投标人须按照招标文件的要求提供相应的《企业声明函》，详见招标文件第六章示范格式。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33.4残疾人福利单位</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33.5监狱和戒毒企业</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（2）监狱企业标准请参照《关于政府采购支持监狱企业发展有关问题的通知》（财库[2014]68号）。</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 节能、环保政策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节能产品（本项目不涉及）</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 (采购产品)被列入“节能产品品目清单”的，实行（优先采购/强制采购）。</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环保产品</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本项目中 (采购产品)被列入“环境标志产品品目清单”的，实行优先采购。</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本项目中实行“强制采购”的，需提供国家市场监督管理总局确定的列入“参与实施政府采购节能产品认证机构名录”内的认证机构出具的、有效期内的该产品</w:t>
      </w:r>
      <w:r>
        <w:rPr>
          <w:rFonts w:hint="eastAsia" w:ascii="仿宋" w:hAnsi="仿宋" w:eastAsia="仿宋" w:cs="仿宋"/>
          <w:color w:val="auto"/>
          <w:sz w:val="28"/>
          <w:szCs w:val="28"/>
          <w:highlight w:val="none"/>
          <w:lang w:val="en-US" w:eastAsia="zh-CN"/>
        </w:rPr>
        <w:t xml:space="preserve">节能</w:t>
      </w:r>
      <w:r>
        <w:rPr>
          <w:rFonts w:hint="eastAsia" w:ascii="仿宋" w:hAnsi="仿宋" w:eastAsia="仿宋" w:cs="仿宋"/>
          <w:color w:val="auto"/>
          <w:sz w:val="28"/>
          <w:szCs w:val="28"/>
          <w:highlight w:val="none"/>
        </w:rPr>
        <w:t xml:space="preserve">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.5</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．政府绿色采购</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 履约资金扶持政策</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r>
      <w:r/>
    </w:p>
    <w:p>
      <w:pPr>
        <w:jc w:val="center"/>
        <w:spacing w:line="52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第三章  评标标准</w:t>
      </w:r>
      <w:r/>
    </w:p>
    <w:p>
      <w:pPr>
        <w:ind w:firstLine="560"/>
        <w:keepLines w:val="0"/>
        <w:keepNext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一、本项目采用综合评分法进行评审。评标委员会仅对确定为实质上响应招标文件要求的投标文件进行评价和比较。综合评分法，是指投标文件满足招标文件全部要求且按照评审因素的</w:t>
      </w:r>
      <w:r>
        <w:rPr>
          <w:rFonts w:hint="eastAsia" w:ascii="仿宋" w:hAnsi="仿宋" w:eastAsia="仿宋"/>
          <w:color w:val="auto"/>
          <w:sz w:val="28"/>
          <w:szCs w:val="28"/>
          <w:highlight w:val="none"/>
        </w:rPr>
        <w:t xml:space="preserve">量化指标评审得分最高的</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rPr>
        <w:t xml:space="preserve">为中标候选人的评标方法。</w:t>
      </w:r>
      <w:r>
        <w:rPr>
          <w:rFonts w:hint="eastAsia" w:ascii="仿宋" w:hAnsi="仿宋" w:eastAsia="仿宋" w:cs="仿宋"/>
          <w:color w:val="auto"/>
          <w:sz w:val="28"/>
          <w:szCs w:val="28"/>
          <w:highlight w:val="none"/>
        </w:rPr>
        <w:t xml:space="preserve">若得分相同，按投标报价由低到高顺序排列，得分且投标报价相同的，按技术部分得分高低由高到低排列。</w:t>
      </w:r>
      <w:r>
        <w:rPr>
          <w:rFonts w:hint="eastAsia" w:ascii="仿宋" w:hAnsi="仿宋" w:eastAsia="仿宋"/>
          <w:color w:val="auto"/>
          <w:sz w:val="28"/>
          <w:szCs w:val="28"/>
          <w:highlight w:val="none"/>
          <w:lang w:val="en-US" w:eastAsia="zh-CN"/>
        </w:rPr>
        <w:t xml:space="preserve">                              </w:t>
      </w:r>
      <w:r/>
    </w:p>
    <w:p>
      <w:pPr>
        <w:ind w:firstLine="560"/>
        <w:keepLines w:val="0"/>
        <w:keepNext w:val="0"/>
        <w:pageBreakBefore w:val="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二、评标委员会将依据下列评标标准进行评审，本评标标准的总分为100分。按评审后得分由高到低顺序排列。本次采购选取1名中标侯选人。</w:t>
      </w:r>
      <w:r/>
    </w:p>
    <w:p>
      <w:pPr>
        <w:ind w:firstLine="560"/>
        <w:keepLines w:val="0"/>
        <w:keepNext w:val="0"/>
        <w:pageBreakBefore w:val="0"/>
        <w:spacing w:line="440" w:lineRule="exact"/>
        <w:rPr>
          <w:rFonts w:hint="eastAsia" w:ascii="仿宋" w:hAnsi="仿宋" w:eastAsia="仿宋" w:cs="仿宋"/>
          <w:color w:val="auto"/>
          <w:highlight w:val="none"/>
        </w:rPr>
      </w:pPr>
      <w:r>
        <w:rPr>
          <w:rFonts w:hint="eastAsia" w:ascii="仿宋" w:hAnsi="仿宋" w:eastAsia="仿宋" w:cs="仿宋"/>
          <w:color w:val="auto"/>
          <w:sz w:val="28"/>
          <w:szCs w:val="28"/>
          <w:highlight w:val="none"/>
        </w:rPr>
        <w:t xml:space="preserve">三、</w:t>
      </w:r>
      <w:r>
        <w:rPr>
          <w:rFonts w:hint="eastAsia" w:ascii="仿宋" w:hAnsi="仿宋" w:eastAsia="仿宋" w:cs="仿宋"/>
          <w:color w:val="auto"/>
          <w:sz w:val="28"/>
          <w:highlight w:val="none"/>
        </w:rPr>
        <w:t xml:space="preserve">具体标准:</w:t>
      </w:r>
      <w:r/>
    </w:p>
    <w:p>
      <w:pPr>
        <w:pStyle w:val="913"/>
        <w:ind w:left="0" w:firstLine="562"/>
        <w:keepLines w:val="0"/>
        <w:keepNext w:val="0"/>
        <w:pageBreakBefore w:val="0"/>
        <w:spacing w:line="44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采购包1：教师办公室升级改造</w:t>
      </w:r>
      <w:r/>
    </w:p>
    <w:tbl>
      <w:tblPr>
        <w:tblStyle w:val="736"/>
        <w:tblW w:w="101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5"/>
        <w:gridCol w:w="1128"/>
        <w:gridCol w:w="7416"/>
        <w:gridCol w:w="996"/>
      </w:tblGrid>
      <w:tr>
        <w:trPr>
          <w:jc w:val="center"/>
          <w:trHeight w:val="23"/>
        </w:trPr>
        <w:tc>
          <w:tcPr>
            <w:tcW w:w="605" w:type="dxa"/>
            <w:vAlign w:val="center"/>
            <w:textDirection w:val="lrTb"/>
            <w:noWrap w:val="false"/>
          </w:tcPr>
          <w:p>
            <w:pPr>
              <w:jc w:val="center"/>
              <w:keepLines w:val="0"/>
              <w:keepNext w:val="0"/>
              <w:pageBreakBefore w:val="0"/>
              <w:spacing w:line="4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1128" w:type="dxa"/>
            <w:vAlign w:val="center"/>
            <w:textDirection w:val="lrTb"/>
            <w:noWrap w:val="false"/>
          </w:tcPr>
          <w:p>
            <w:pPr>
              <w:jc w:val="center"/>
              <w:keepLines w:val="0"/>
              <w:keepNext w:val="0"/>
              <w:pageBreakBefore w:val="0"/>
              <w:spacing w:line="4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项目</w:t>
            </w:r>
            <w:r/>
          </w:p>
        </w:tc>
        <w:tc>
          <w:tcPr>
            <w:tcW w:w="7416" w:type="dxa"/>
            <w:vAlign w:val="center"/>
            <w:textDirection w:val="lrTb"/>
            <w:noWrap w:val="false"/>
          </w:tcPr>
          <w:p>
            <w:pPr>
              <w:jc w:val="center"/>
              <w:keepLines w:val="0"/>
              <w:keepNext w:val="0"/>
              <w:pageBreakBefore w:val="0"/>
              <w:spacing w:line="42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内</w:t>
            </w:r>
            <w:r>
              <w:rPr>
                <w:rFonts w:hint="eastAsia" w:ascii="仿宋" w:hAnsi="仿宋" w:eastAsia="仿宋" w:cs="仿宋"/>
                <w:b/>
                <w:bCs/>
                <w:color w:val="auto"/>
                <w:sz w:val="24"/>
                <w:szCs w:val="24"/>
                <w:highlight w:val="none"/>
              </w:rPr>
              <w:tab/>
            </w:r>
            <w:r>
              <w:rPr>
                <w:rFonts w:hint="eastAsia" w:ascii="仿宋" w:hAnsi="仿宋" w:eastAsia="仿宋" w:cs="仿宋"/>
                <w:b/>
                <w:bCs/>
                <w:color w:val="auto"/>
                <w:sz w:val="24"/>
                <w:szCs w:val="24"/>
                <w:highlight w:val="none"/>
              </w:rPr>
              <w:t xml:space="preserve">容</w:t>
            </w:r>
            <w:r/>
          </w:p>
        </w:tc>
        <w:tc>
          <w:tcPr>
            <w:tcW w:w="996"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评分标准</w:t>
            </w:r>
            <w:r/>
          </w:p>
        </w:tc>
      </w:tr>
      <w:tr>
        <w:trPr>
          <w:jc w:val="center"/>
          <w:trHeight w:val="1708"/>
        </w:trPr>
        <w:tc>
          <w:tcPr>
            <w:tcW w:w="60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一</w:t>
            </w:r>
            <w:r/>
          </w:p>
        </w:tc>
        <w:tc>
          <w:tcPr>
            <w:tcW w:w="112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价格分</w:t>
            </w:r>
            <w:r/>
          </w:p>
        </w:tc>
        <w:tc>
          <w:tcPr>
            <w:tcW w:w="741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按满足招标文件要求且有效投标价格最低的投标报价作为评审基准价，其价格分为满分；其他</w:t>
            </w:r>
            <w:r>
              <w:rPr>
                <w:rFonts w:hint="eastAsia" w:ascii="仿宋" w:hAnsi="仿宋" w:eastAsia="仿宋" w:cs="仿宋"/>
                <w:color w:val="auto"/>
                <w:sz w:val="24"/>
                <w:szCs w:val="24"/>
                <w:highlight w:val="none"/>
                <w:lang w:val="en-US" w:eastAsia="zh-CN"/>
              </w:rPr>
              <w:t xml:space="preserve">投标人</w:t>
            </w:r>
            <w:r>
              <w:rPr>
                <w:rFonts w:hint="eastAsia" w:ascii="仿宋" w:hAnsi="仿宋" w:eastAsia="仿宋" w:cs="仿宋"/>
                <w:color w:val="auto"/>
                <w:sz w:val="24"/>
                <w:szCs w:val="24"/>
                <w:highlight w:val="none"/>
              </w:rPr>
              <w:t xml:space="preserve">的价格分按以下公式计算：投标报价得分＝（评审基准价/投标报价）× </w:t>
            </w:r>
            <w:r>
              <w:rPr>
                <w:rFonts w:hint="eastAsia" w:ascii="仿宋" w:hAnsi="仿宋" w:eastAsia="仿宋" w:cs="仿宋"/>
                <w:color w:val="auto"/>
                <w:sz w:val="24"/>
                <w:szCs w:val="24"/>
                <w:highlight w:val="none"/>
                <w:lang w:val="en-US" w:eastAsia="zh-CN"/>
              </w:rPr>
              <w:t xml:space="preserve">40</w:t>
            </w:r>
            <w:r>
              <w:rPr>
                <w:rFonts w:hint="eastAsia" w:ascii="仿宋" w:hAnsi="仿宋" w:eastAsia="仿宋" w:cs="仿宋"/>
                <w:color w:val="auto"/>
                <w:sz w:val="24"/>
                <w:szCs w:val="24"/>
                <w:highlight w:val="none"/>
              </w:rPr>
              <w:t xml:space="preserve"> 分，得分保留2位小数。</w:t>
            </w:r>
            <w:r/>
          </w:p>
        </w:tc>
        <w:tc>
          <w:tcPr>
            <w:tcW w:w="996"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40分</w:t>
            </w:r>
            <w:r/>
          </w:p>
        </w:tc>
      </w:tr>
      <w:tr>
        <w:trPr>
          <w:jc w:val="center"/>
          <w:trHeight w:val="2721"/>
        </w:trPr>
        <w:tc>
          <w:tcPr>
            <w:tcW w:w="605" w:type="dxa"/>
            <w:vAlign w:val="center"/>
            <w:textDirection w:val="lrTb"/>
            <w:noWrap w:val="false"/>
          </w:tcPr>
          <w:p>
            <w:pPr>
              <w:ind w:firstLine="240"/>
              <w:jc w:val="both"/>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二</w:t>
            </w:r>
            <w:r/>
          </w:p>
        </w:tc>
        <w:tc>
          <w:tcPr>
            <w:tcW w:w="112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b w:val="0"/>
                <w:bCs w:val="0"/>
                <w:color w:val="auto"/>
                <w:sz w:val="24"/>
                <w:szCs w:val="24"/>
                <w:highlight w:val="none"/>
              </w:rPr>
              <w:t xml:space="preserve">政策导向</w:t>
            </w:r>
            <w:r/>
          </w:p>
        </w:tc>
        <w:tc>
          <w:tcPr>
            <w:tcW w:w="7416" w:type="dxa"/>
            <w:vAlign w:val="center"/>
            <w:textDirection w:val="lrTb"/>
            <w:noWrap w:val="false"/>
          </w:tcPr>
          <w:p>
            <w:pPr>
              <w:ind w:firstLine="482"/>
              <w:jc w:val="both"/>
              <w:keepLines w:val="0"/>
              <w:keepNext w:val="0"/>
              <w:pageBreakBefore w:val="0"/>
              <w:spacing w:line="440" w:lineRule="exact"/>
              <w:widowControl w:val="off"/>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szCs w:val="24"/>
                <w:highlight w:val="none"/>
                <w:lang w:val="en-US" w:eastAsia="zh-CN"/>
              </w:rPr>
              <w:t xml:space="preserve">投标人</w:t>
            </w:r>
            <w:r>
              <w:rPr>
                <w:rFonts w:hint="eastAsia" w:ascii="仿宋" w:hAnsi="仿宋" w:eastAsia="仿宋" w:cs="宋体"/>
                <w:color w:val="auto"/>
                <w:sz w:val="24"/>
                <w:szCs w:val="24"/>
                <w:highlight w:val="none"/>
              </w:rPr>
              <w:t xml:space="preserve">所投产品在财政部、生态环境部公布的“环境标志产品政府采购品目清单”内，且提供国家市场监督管理总局确定的列入“参与实施政府采购环境标志产品认证机构名录”内的认证机构出具的、有效期内的该产品环境标志产品认证证书</w:t>
            </w:r>
            <w:r>
              <w:rPr>
                <w:rFonts w:ascii="仿宋" w:hAnsi="仿宋" w:eastAsia="仿宋" w:cs="宋体"/>
                <w:color w:val="auto"/>
                <w:sz w:val="24"/>
                <w:szCs w:val="24"/>
                <w:highlight w:val="none"/>
              </w:rPr>
              <w:t xml:space="preserve">的得2分，</w:t>
            </w:r>
            <w:r>
              <w:rPr>
                <w:rFonts w:hint="eastAsia" w:ascii="仿宋" w:hAnsi="仿宋" w:eastAsia="仿宋" w:cs="宋体"/>
                <w:color w:val="auto"/>
                <w:sz w:val="24"/>
                <w:szCs w:val="24"/>
                <w:highlight w:val="none"/>
              </w:rPr>
              <w:t xml:space="preserve">未提供不得分</w:t>
            </w:r>
            <w:r>
              <w:rPr>
                <w:rFonts w:ascii="仿宋" w:hAnsi="仿宋" w:eastAsia="仿宋" w:cs="宋体"/>
                <w:color w:val="auto"/>
                <w:sz w:val="24"/>
                <w:szCs w:val="24"/>
                <w:highlight w:val="none"/>
              </w:rPr>
              <w:t xml:space="preserve">。</w:t>
            </w:r>
            <w:r>
              <w:rPr>
                <w:rFonts w:hint="eastAsia" w:ascii="仿宋" w:hAnsi="仿宋" w:eastAsia="仿宋" w:cs="宋体"/>
                <w:b/>
                <w:bCs/>
                <w:color w:val="auto"/>
                <w:sz w:val="24"/>
                <w:szCs w:val="24"/>
                <w:highlight w:val="none"/>
              </w:rPr>
              <w:t xml:space="preserve">（证书</w:t>
            </w:r>
            <w:r>
              <w:rPr>
                <w:rFonts w:hint="eastAsia" w:ascii="仿宋" w:hAnsi="仿宋" w:eastAsia="仿宋" w:cs="宋体"/>
                <w:b/>
                <w:bCs/>
                <w:color w:val="auto"/>
                <w:sz w:val="24"/>
                <w:szCs w:val="24"/>
                <w:highlight w:val="none"/>
                <w:lang w:val="en-US" w:eastAsia="zh-CN"/>
              </w:rPr>
              <w:t xml:space="preserve">扫描件加盖投标人电子签章</w:t>
            </w:r>
            <w:r>
              <w:rPr>
                <w:rFonts w:hint="eastAsia" w:ascii="仿宋" w:hAnsi="仿宋" w:eastAsia="仿宋" w:cs="宋体"/>
                <w:b/>
                <w:bCs/>
                <w:color w:val="auto"/>
                <w:sz w:val="24"/>
                <w:szCs w:val="24"/>
                <w:highlight w:val="none"/>
              </w:rPr>
              <w:t xml:space="preserve">）</w:t>
            </w:r>
            <w:r/>
          </w:p>
        </w:tc>
        <w:tc>
          <w:tcPr>
            <w:tcW w:w="996" w:type="dxa"/>
            <w:vAlign w:val="center"/>
            <w:textDirection w:val="lrTb"/>
            <w:noWrap w:val="false"/>
          </w:tcPr>
          <w:p>
            <w:pPr>
              <w:ind w:firstLine="24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2分</w:t>
            </w:r>
            <w:r/>
          </w:p>
        </w:tc>
      </w:tr>
      <w:tr>
        <w:trPr>
          <w:jc w:val="center"/>
          <w:trHeight w:val="3428"/>
        </w:trPr>
        <w:tc>
          <w:tcPr>
            <w:tcW w:w="60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40"/>
              <w:jc w:val="both"/>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三</w:t>
            </w:r>
            <w:r/>
          </w:p>
        </w:tc>
        <w:tc>
          <w:tcPr>
            <w:tcW w:w="112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44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技术部分</w:t>
            </w:r>
            <w:r/>
          </w:p>
        </w:tc>
        <w:tc>
          <w:tcPr>
            <w:tcW w:w="7416" w:type="dxa"/>
            <w:vAlign w:val="center"/>
            <w:textDirection w:val="lrTb"/>
            <w:noWrap w:val="false"/>
          </w:tcPr>
          <w:p>
            <w:pPr>
              <w:ind w:firstLine="480"/>
              <w:jc w:val="left"/>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根据投标产品对采购需求响应程度打分，满分41分。</w:t>
            </w:r>
            <w:r/>
          </w:p>
          <w:p>
            <w:pPr>
              <w:ind w:firstLine="480"/>
              <w:jc w:val="left"/>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(1)标注“▲”为重要参数，每项负偏离扣3分，扣完为止;</w:t>
            </w:r>
            <w:r/>
          </w:p>
          <w:p>
            <w:pPr>
              <w:ind w:firstLine="480"/>
              <w:jc w:val="left"/>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(2)未标注“▲”参数为一般参数，每项负偏离扣1分，扣完为止。</w:t>
            </w:r>
            <w:r/>
          </w:p>
          <w:p>
            <w:pPr>
              <w:ind w:firstLine="482"/>
              <w:jc w:val="left"/>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注:出具时间2022年1月1日(含)至投标截止日(含);提供具有CMA或CNAS标识的第三方检测机构出具的检测报告，检测结果需符合本项目要求。</w:t>
            </w:r>
            <w:r/>
          </w:p>
        </w:tc>
        <w:tc>
          <w:tcPr>
            <w:tcW w:w="996" w:type="dxa"/>
            <w:vAlign w:val="center"/>
            <w:textDirection w:val="lrTb"/>
            <w:noWrap w:val="false"/>
          </w:tcPr>
          <w:p>
            <w:pPr>
              <w:ind w:firstLine="24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41分</w:t>
            </w:r>
            <w:r/>
          </w:p>
        </w:tc>
      </w:tr>
      <w:tr>
        <w:trPr>
          <w:jc w:val="center"/>
          <w:trHeight w:val="9387"/>
        </w:trPr>
        <w:tc>
          <w:tcPr>
            <w:tcW w:w="60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四</w:t>
            </w:r>
            <w:r/>
          </w:p>
        </w:tc>
        <w:tc>
          <w:tcPr>
            <w:tcW w:w="112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商务部分</w:t>
            </w:r>
            <w:r/>
          </w:p>
        </w:tc>
        <w:tc>
          <w:tcPr>
            <w:tcW w:w="7416" w:type="dxa"/>
            <w:vAlign w:val="center"/>
            <w:textDirection w:val="lrTb"/>
            <w:noWrap w:val="false"/>
          </w:tcPr>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1、投标人或所投产品制造商具有有效期内的低VOCs家具产品认证证书（证书认证范围包含本次采购产品所属范畴即可）得1分，未提供或认证/检测范围未覆盖本项目采购产品所属范畴的不得分。</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2、投标人或所投产品制造商具有有效期内的家具产品有害物质限量认证证书（证书认证范围包含本次采购产品所属范畴即可）得1分；未提供不得分。</w:t>
            </w:r>
            <w:r/>
          </w:p>
          <w:p>
            <w:pPr>
              <w:ind w:firstLine="56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3、投标人或所投产品制造商具有有效期内的中国绿色产品认证证书，且认证单元须包含但不限于：木家具：</w:t>
            </w:r>
            <w:r>
              <w:rPr>
                <w:rFonts w:hint="eastAsia" w:ascii="仿宋" w:hAnsi="仿宋" w:eastAsia="仿宋" w:cs="仿宋"/>
                <w:b w:val="0"/>
                <w:bCs w:val="0"/>
                <w:color w:val="auto"/>
                <w:sz w:val="24"/>
                <w:szCs w:val="24"/>
                <w:highlight w:val="none"/>
                <w:lang w:val="en-US" w:eastAsia="zh-CN"/>
              </w:rPr>
              <w:t xml:space="preserve">木家具（人造板家具）、木家具（实木家具）、钢木家具</w:t>
            </w:r>
            <w:r>
              <w:rPr>
                <w:rFonts w:hint="eastAsia" w:ascii="仿宋" w:hAnsi="仿宋" w:eastAsia="仿宋" w:cs="仿宋"/>
                <w:color w:val="auto"/>
                <w:sz w:val="24"/>
                <w:szCs w:val="24"/>
                <w:highlight w:val="none"/>
                <w:lang w:val="en-US" w:eastAsia="zh-CN"/>
              </w:rPr>
              <w:t xml:space="preserve">等相关家具大类即可，得1分，未提供或认证/检测范围未覆盖本项目采购产品所属范畴的，不予计分。</w:t>
            </w:r>
            <w:r/>
          </w:p>
          <w:p>
            <w:pPr>
              <w:ind w:firstLine="56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4、投标人或所投产品制造商具有有效期内的人类工效学产品认证证书，且认证单元须包含：椅凳类、台桌类、柜架类等相关家具大类即可，得1分，未提供不得分。</w:t>
            </w:r>
            <w:r/>
          </w:p>
          <w:p>
            <w:pPr>
              <w:ind w:firstLine="482"/>
              <w:jc w:val="left"/>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注：以上证书须在“全国认证认可信息公共服务平台”上可查，并提供网页截图（扫描件加盖投标人电子签章）。</w:t>
            </w:r>
            <w:r/>
          </w:p>
          <w:p>
            <w:pPr>
              <w:ind w:firstLine="56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5、投标人提供自2022年以来承接过类似项目成功案例，每提供1个得1分，本项最多得2分，没有不得分。</w:t>
            </w:r>
            <w:r/>
          </w:p>
          <w:p>
            <w:pPr>
              <w:ind w:firstLine="560"/>
              <w:jc w:val="left"/>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注：时间以合同签订时间为准，需提供项目合同关键页；如合同无法体现采购内容，可补充提供验收报告、发票或业主出具的加盖公章证明材料。（扫描件加盖投标人电子签章）</w:t>
            </w:r>
            <w:r/>
          </w:p>
        </w:tc>
        <w:tc>
          <w:tcPr>
            <w:tcW w:w="996"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r>
      <w:tr>
        <w:trPr>
          <w:jc w:val="center"/>
          <w:trHeight w:val="4003"/>
        </w:trPr>
        <w:tc>
          <w:tcPr>
            <w:tcW w:w="60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五</w:t>
            </w:r>
            <w:r/>
          </w:p>
        </w:tc>
        <w:tc>
          <w:tcPr>
            <w:tcW w:w="1128"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设计图纸</w:t>
            </w:r>
            <w:r/>
          </w:p>
        </w:tc>
        <w:tc>
          <w:tcPr>
            <w:tcW w:w="7416" w:type="dxa"/>
            <w:vAlign w:val="center"/>
            <w:textDirection w:val="lrTb"/>
            <w:noWrap w:val="false"/>
          </w:tcPr>
          <w:p>
            <w:pPr>
              <w:ind w:firstLine="482"/>
              <w:jc w:val="left"/>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1、设计方案（5分）</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提供5类CAD制图图纸：主视图、俯视图、左右侧视图、局部结构图、场景效果图；满足本项目采购需求且每张图标关键尺寸：大件标注尺寸（长、宽、高、板材厚度等），小件可不标注。</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计分：</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①5类图纸齐全、全部标注得5分；</w:t>
            </w:r>
            <w:r/>
          </w:p>
          <w:p>
            <w:pPr>
              <w:ind w:firstLine="480"/>
              <w:jc w:val="left"/>
              <w:keepLines w:val="0"/>
              <w:keepNext w:val="0"/>
              <w:pageBreakBefore w:val="0"/>
              <w:spacing w:line="440" w:lineRule="exact"/>
              <w:widowControl w:val="off"/>
              <w:rPr>
                <w:rFonts w:hint="default" w:eastAsia="宋体"/>
                <w:color w:val="auto"/>
                <w:highlight w:val="none"/>
                <w:lang w:val="en-US" w:eastAsia="zh-CN"/>
              </w:rPr>
            </w:pPr>
            <w:r>
              <w:rPr>
                <w:rFonts w:hint="eastAsia" w:ascii="仿宋" w:hAnsi="仿宋" w:eastAsia="仿宋" w:cs="仿宋"/>
                <w:color w:val="auto"/>
                <w:sz w:val="24"/>
                <w:szCs w:val="24"/>
                <w:highlight w:val="none"/>
                <w:lang w:val="en-US" w:eastAsia="zh-CN"/>
              </w:rPr>
              <w:t xml:space="preserve">②缺1类图纸或1类图纸无尺寸得3分；</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③缺2类图纸或2类图纸无尺寸得1分；</w:t>
            </w:r>
            <w:r/>
          </w:p>
          <w:p>
            <w:pPr>
              <w:ind w:firstLine="480"/>
              <w:jc w:val="left"/>
              <w:keepLines w:val="0"/>
              <w:keepNext w:val="0"/>
              <w:pageBreakBefore w:val="0"/>
              <w:spacing w:line="440" w:lineRule="exact"/>
              <w:widowControl w:val="off"/>
              <w:rPr>
                <w:rFonts w:hint="default" w:ascii="仿宋" w:hAnsi="仿宋" w:eastAsia="仿宋" w:cs="仿宋"/>
                <w:color w:val="auto"/>
                <w:sz w:val="24"/>
                <w:szCs w:val="24"/>
                <w:highlight w:val="none"/>
                <w:lang w:val="en-US" w:eastAsia="zh-CN"/>
              </w:rPr>
            </w:pPr>
            <w:r>
              <w:rPr>
                <w:rFonts w:ascii="Arial" w:hAnsi="Arial" w:eastAsia="Arial" w:cs="Arial"/>
                <w:i w:val="0"/>
                <w:iCs w:val="0"/>
                <w:caps w:val="0"/>
                <w:color w:val="auto"/>
                <w:spacing w:val="0"/>
                <w:sz w:val="24"/>
                <w:szCs w:val="24"/>
                <w:highlight w:val="none"/>
                <w:shd w:val="clear" w:color="auto" w:fill="ffffff"/>
              </w:rPr>
              <w:t xml:space="preserve">④</w:t>
            </w:r>
            <w:r>
              <w:rPr>
                <w:rFonts w:hint="eastAsia" w:ascii="仿宋" w:hAnsi="仿宋" w:eastAsia="仿宋" w:cs="仿宋"/>
                <w:color w:val="auto"/>
                <w:sz w:val="24"/>
                <w:szCs w:val="24"/>
                <w:highlight w:val="none"/>
                <w:lang w:val="en-US" w:eastAsia="zh-CN"/>
              </w:rPr>
              <w:t xml:space="preserve">缺3类及以上图纸或3类及以上图纸无尺寸不得分。</w:t>
            </w:r>
            <w:r/>
          </w:p>
        </w:tc>
        <w:tc>
          <w:tcPr>
            <w:tcW w:w="996"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5分</w:t>
            </w:r>
            <w:r/>
          </w:p>
        </w:tc>
      </w:tr>
      <w:tr>
        <w:trPr>
          <w:jc w:val="center"/>
          <w:trHeight w:val="4758"/>
        </w:trPr>
        <w:tc>
          <w:tcPr>
            <w:tcW w:w="605"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六</w:t>
            </w:r>
            <w:r/>
          </w:p>
        </w:tc>
        <w:tc>
          <w:tcPr>
            <w:tcW w:w="1128"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服务方案</w:t>
            </w:r>
            <w:r/>
          </w:p>
        </w:tc>
        <w:tc>
          <w:tcPr>
            <w:tcW w:w="7416" w:type="dxa"/>
            <w:vAlign w:val="center"/>
            <w:textDirection w:val="lrTb"/>
            <w:noWrap w:val="false"/>
          </w:tcPr>
          <w:p>
            <w:pPr>
              <w:numPr>
                <w:ilvl w:val="0"/>
                <w:numId w:val="6"/>
              </w:numPr>
              <w:ind w:firstLine="482"/>
              <w:jc w:val="left"/>
              <w:keepLines w:val="0"/>
              <w:keepNext w:val="0"/>
              <w:pageBreakBefore w:val="0"/>
              <w:spacing w:line="440" w:lineRule="exact"/>
              <w:widowControl w:val="off"/>
              <w:rPr>
                <w:rFonts w:hint="eastAsia" w:ascii="仿宋" w:hAnsi="仿宋" w:eastAsia="仿宋" w:cs="仿宋"/>
                <w:b/>
                <w:bCs/>
                <w:color w:val="auto"/>
                <w:sz w:val="24"/>
                <w:szCs w:val="24"/>
                <w:highlight w:val="none"/>
                <w:lang w:val="zh-CN" w:eastAsia="en-US"/>
              </w:rPr>
            </w:pPr>
            <w:r>
              <w:rPr>
                <w:rFonts w:hint="eastAsia" w:ascii="仿宋" w:hAnsi="仿宋" w:eastAsia="仿宋" w:cs="仿宋"/>
                <w:b/>
                <w:bCs/>
                <w:color w:val="auto"/>
                <w:sz w:val="24"/>
                <w:szCs w:val="24"/>
                <w:highlight w:val="none"/>
                <w:lang w:val="en-US" w:eastAsia="zh-CN"/>
              </w:rPr>
              <w:t xml:space="preserve">售后服务响应</w:t>
            </w:r>
            <w:r>
              <w:rPr>
                <w:rFonts w:hint="eastAsia" w:ascii="仿宋" w:hAnsi="仿宋" w:eastAsia="仿宋" w:cs="仿宋"/>
                <w:b/>
                <w:bCs/>
                <w:color w:val="auto"/>
                <w:sz w:val="24"/>
                <w:szCs w:val="24"/>
                <w:highlight w:val="none"/>
                <w:lang w:val="zh-CN" w:eastAsia="en-US"/>
              </w:rPr>
              <w:t xml:space="preserve">（</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lang w:val="zh-CN" w:eastAsia="en-US"/>
              </w:rPr>
              <w:t xml:space="preserve">分）</w:t>
            </w:r>
            <w:r/>
          </w:p>
          <w:p>
            <w:pPr>
              <w:ind w:firstLine="560"/>
              <w:jc w:val="left"/>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①承诺接到报修后30分钟内响应，1小时内到达现场；4小时内完成最终修复得3分；</w:t>
            </w:r>
            <w:r/>
          </w:p>
          <w:p>
            <w:pPr>
              <w:ind w:firstLine="560"/>
              <w:jc w:val="left"/>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②承诺接到报修后 1小时内响应，2小时内到达现场；12小时内完成最终修复得2分；</w:t>
            </w:r>
            <w:r/>
          </w:p>
          <w:p>
            <w:pPr>
              <w:ind w:firstLine="560"/>
              <w:jc w:val="left"/>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③承诺接到报修后 2小时内响应，4小时内到达现场；24小时内完成最终修复得1分；</w:t>
            </w:r>
            <w:r/>
          </w:p>
          <w:p>
            <w:pPr>
              <w:ind w:firstLine="560"/>
              <w:jc w:val="left"/>
              <w:keepLines w:val="0"/>
              <w:keepNext w:val="0"/>
              <w:pageBreakBefore w:val="0"/>
              <w:spacing w:line="44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提供承诺函，无签章承诺函本项不得分。</w:t>
            </w:r>
            <w:r/>
          </w:p>
          <w:p>
            <w:pPr>
              <w:ind w:firstLine="482"/>
              <w:jc w:val="left"/>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2、质保服务升级（3分）</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在招标文件标配质保基础上，每免费延保1年得1分，满分3分；无签章承诺函本项不得分。</w:t>
            </w:r>
            <w:r/>
          </w:p>
          <w:p>
            <w:pPr>
              <w:ind w:firstLine="482"/>
              <w:jc w:val="left"/>
              <w:keepLines w:val="0"/>
              <w:keepNext w:val="0"/>
              <w:pageBreakBefore w:val="0"/>
              <w:spacing w:line="440" w:lineRule="exact"/>
              <w:widowControl w:val="off"/>
              <w:rPr>
                <w:rFonts w:hint="eastAsia"/>
                <w:color w:val="auto"/>
                <w:highlight w:val="none"/>
                <w:lang w:val="en-US" w:eastAsia="zh-CN"/>
              </w:rPr>
            </w:pPr>
            <w:r>
              <w:rPr>
                <w:rFonts w:hint="eastAsia" w:ascii="仿宋" w:hAnsi="仿宋" w:eastAsia="仿宋" w:cs="仿宋"/>
                <w:b/>
                <w:bCs/>
                <w:color w:val="auto"/>
                <w:sz w:val="24"/>
                <w:szCs w:val="24"/>
                <w:highlight w:val="none"/>
                <w:lang w:val="en-US" w:eastAsia="zh-CN"/>
              </w:rPr>
              <w:t xml:space="preserve">注：所有材料上传电子文件并加盖电子签章，缺签章对应分项不计分。</w:t>
            </w:r>
            <w:r/>
          </w:p>
        </w:tc>
        <w:tc>
          <w:tcPr>
            <w:tcW w:w="996" w:type="dxa"/>
            <w:vAlign w:val="center"/>
            <w:textDirection w:val="lrTb"/>
            <w:noWrap w:val="false"/>
          </w:tcPr>
          <w:p>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r>
    </w:tbl>
    <w:p>
      <w:pPr>
        <w:jc w:val="both"/>
        <w:spacing w:line="520" w:lineRule="exact"/>
        <w:rPr>
          <w:rFonts w:hint="eastAsia" w:ascii="仿宋" w:hAnsi="仿宋" w:eastAsia="仿宋" w:cs="仿宋"/>
          <w:color w:val="auto"/>
          <w:sz w:val="28"/>
          <w:szCs w:val="28"/>
          <w:highlight w:val="none"/>
          <w:lang w:val="en-US" w:eastAsia="zh-CN"/>
        </w:rPr>
        <w:sectPr>
          <w:headerReference w:type="default" r:id="rId9"/>
          <w:footerReference w:type="default" r:id="rId10"/>
          <w:footnotePr/>
          <w:endnotePr/>
          <w:type w:val="nextPage"/>
          <w:pgSz w:w="11906" w:h="16838" w:orient="portrait"/>
          <w:pgMar w:top="1440" w:right="1440" w:bottom="1440" w:left="1440" w:header="851" w:footer="992" w:gutter="0"/>
          <w:pgNumType w:start="1"/>
          <w:cols w:num="1" w:sep="0" w:space="0" w:equalWidth="1"/>
          <w:docGrid w:linePitch="360"/>
        </w:sectPr>
      </w:pPr>
      <w:r>
        <w:rPr>
          <w:rFonts w:hint="eastAsia" w:ascii="仿宋" w:hAnsi="仿宋" w:eastAsia="仿宋" w:cs="仿宋"/>
          <w:color w:val="auto"/>
          <w:sz w:val="28"/>
          <w:szCs w:val="28"/>
          <w:highlight w:val="none"/>
          <w:lang w:val="en-US" w:eastAsia="zh-CN"/>
        </w:rPr>
      </w:r>
      <w:r/>
    </w:p>
    <w:p>
      <w:pPr>
        <w:jc w:val="both"/>
        <w:spacing w:line="52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采购包2：教室门更换</w:t>
      </w:r>
      <w:r/>
    </w:p>
    <w:tbl>
      <w:tblPr>
        <w:tblStyle w:val="736"/>
        <w:tblW w:w="9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2"/>
        <w:gridCol w:w="1142"/>
        <w:gridCol w:w="7009"/>
        <w:gridCol w:w="1057"/>
      </w:tblGrid>
      <w:tr>
        <w:trPr>
          <w:jc w:val="center"/>
          <w:trHeight w:val="920"/>
        </w:trPr>
        <w:tc>
          <w:tcPr>
            <w:tcW w:w="592"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1142"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项目</w:t>
            </w:r>
            <w:r/>
          </w:p>
        </w:tc>
        <w:tc>
          <w:tcPr>
            <w:tcW w:w="7009"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内</w:t>
            </w:r>
            <w:r>
              <w:rPr>
                <w:rFonts w:hint="eastAsia" w:ascii="仿宋" w:hAnsi="仿宋" w:eastAsia="仿宋" w:cs="仿宋"/>
                <w:b/>
                <w:bCs/>
                <w:color w:val="auto"/>
                <w:sz w:val="24"/>
                <w:szCs w:val="24"/>
                <w:highlight w:val="none"/>
              </w:rPr>
              <w:tab/>
            </w:r>
            <w:r>
              <w:rPr>
                <w:rFonts w:hint="eastAsia" w:ascii="仿宋" w:hAnsi="仿宋" w:eastAsia="仿宋" w:cs="仿宋"/>
                <w:b/>
                <w:bCs/>
                <w:color w:val="auto"/>
                <w:sz w:val="24"/>
                <w:szCs w:val="24"/>
                <w:highlight w:val="none"/>
              </w:rPr>
              <w:t xml:space="preserve">容</w:t>
            </w:r>
            <w:r/>
          </w:p>
        </w:tc>
        <w:tc>
          <w:tcPr>
            <w:tcW w:w="1057" w:type="dxa"/>
            <w:vAlign w:val="center"/>
            <w:textDirection w:val="lrTb"/>
            <w:noWrap w:val="false"/>
          </w:tcPr>
          <w:p>
            <w:pPr>
              <w:jc w:val="cente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评分标准</w:t>
            </w:r>
            <w:r/>
          </w:p>
        </w:tc>
      </w:tr>
      <w:tr>
        <w:trPr>
          <w:jc w:val="center"/>
          <w:trHeight w:val="990"/>
        </w:trPr>
        <w:tc>
          <w:tcPr>
            <w:tcW w:w="5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一</w:t>
            </w:r>
            <w:r/>
          </w:p>
        </w:tc>
        <w:tc>
          <w:tcPr>
            <w:tcW w:w="1142"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价格分</w:t>
            </w:r>
            <w:r/>
          </w:p>
        </w:tc>
        <w:tc>
          <w:tcPr>
            <w:tcW w:w="7009" w:type="dxa"/>
            <w:vAlign w:val="center"/>
            <w:textDirection w:val="lrTb"/>
            <w:noWrap w:val="false"/>
          </w:tcPr>
          <w:p>
            <w:pPr>
              <w:ind w:firstLine="56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按满足招标文件要求且有效投标价格最低的投标报价作为评审基准价，其价格分为满分；其他投标人的价格分按以下公式计算：投标报价得分＝（评审基准价/投标报价）× 50 分，得分保留2位小数。</w:t>
            </w:r>
            <w:r/>
          </w:p>
        </w:tc>
        <w:tc>
          <w:tcPr>
            <w:tcW w:w="1057"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50分</w:t>
            </w:r>
            <w:r/>
          </w:p>
        </w:tc>
      </w:tr>
      <w:tr>
        <w:trPr>
          <w:jc w:val="center"/>
          <w:trHeight w:val="90"/>
        </w:trPr>
        <w:tc>
          <w:tcPr>
            <w:tcW w:w="592"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80"/>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二</w:t>
            </w:r>
            <w:r/>
          </w:p>
        </w:tc>
        <w:tc>
          <w:tcPr>
            <w:tcW w:w="1142"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技术部分</w:t>
            </w:r>
            <w:r/>
          </w:p>
        </w:tc>
        <w:tc>
          <w:tcPr>
            <w:tcW w:w="7009" w:type="dxa"/>
            <w:vAlign w:val="center"/>
            <w:textDirection w:val="lrTb"/>
            <w:noWrap w:val="false"/>
          </w:tcPr>
          <w:p>
            <w:pPr>
              <w:ind w:firstLine="480"/>
              <w:jc w:val="left"/>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根据投标产品对采购需求响应程度打分，满分40分。</w:t>
            </w:r>
            <w:r/>
          </w:p>
          <w:p>
            <w:pPr>
              <w:ind w:firstLine="480"/>
              <w:jc w:val="left"/>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(1)标注“▲”为重要参数，每项负偏离扣5分，扣完为止;</w:t>
            </w:r>
            <w:r/>
          </w:p>
          <w:p>
            <w:pPr>
              <w:ind w:firstLine="480"/>
              <w:jc w:val="left"/>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(2)未标注“▲”参数为一般参数，每项负偏离扣2分，扣完为止。</w:t>
            </w:r>
            <w:r/>
          </w:p>
          <w:p>
            <w:pPr>
              <w:ind w:firstLine="56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注：所有参数响应情况均以投标人提供的技术响应偏离表作为评审依据。</w:t>
            </w:r>
            <w:r/>
          </w:p>
        </w:tc>
        <w:tc>
          <w:tcPr>
            <w:tcW w:w="1057"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40分</w:t>
            </w:r>
            <w:r/>
          </w:p>
        </w:tc>
      </w:tr>
      <w:tr>
        <w:trPr>
          <w:jc w:val="center"/>
          <w:trHeight w:val="2103"/>
        </w:trPr>
        <w:tc>
          <w:tcPr>
            <w:tcW w:w="592" w:type="dxa"/>
            <w:vAlign w:val="center"/>
            <w:textDirection w:val="lrTb"/>
            <w:noWrap w:val="false"/>
          </w:tcPr>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w:t>
            </w:r>
            <w:r/>
          </w:p>
        </w:tc>
        <w:tc>
          <w:tcPr>
            <w:tcW w:w="1142"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商务部分</w:t>
            </w:r>
            <w:r/>
          </w:p>
        </w:tc>
        <w:tc>
          <w:tcPr>
            <w:tcW w:w="7009" w:type="dxa"/>
            <w:vAlign w:val="center"/>
            <w:textDirection w:val="lrTb"/>
            <w:noWrap w:val="false"/>
          </w:tcPr>
          <w:p>
            <w:pPr>
              <w:ind w:firstLine="56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投标人提供自2022年以来承接过类似项目成功案例，每提供1个得1分，本项最多得4分，没有不得分。</w:t>
            </w:r>
            <w:r/>
          </w:p>
          <w:p>
            <w:pPr>
              <w:ind w:firstLine="560"/>
              <w:jc w:val="left"/>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注：时间以合同签订时间为准，需提供项目合同关键页；如合同无法体现采购内容，可补充提供验收报告、发票或业主出具的加盖公章证明材料。（扫描件加盖投标人电子签章）</w:t>
            </w:r>
            <w:r/>
          </w:p>
        </w:tc>
        <w:tc>
          <w:tcPr>
            <w:tcW w:w="1057"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4分</w:t>
            </w:r>
            <w:r/>
          </w:p>
        </w:tc>
      </w:tr>
      <w:tr>
        <w:trPr>
          <w:jc w:val="center"/>
          <w:trHeight w:val="536"/>
        </w:trPr>
        <w:tc>
          <w:tcPr>
            <w:tcW w:w="592"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四</w:t>
            </w:r>
            <w:r/>
          </w:p>
        </w:tc>
        <w:tc>
          <w:tcPr>
            <w:tcW w:w="1142"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方案部分</w:t>
            </w:r>
            <w:r/>
          </w:p>
        </w:tc>
        <w:tc>
          <w:tcPr>
            <w:tcW w:w="7009" w:type="dxa"/>
            <w:vAlign w:val="center"/>
            <w:textDirection w:val="lrTb"/>
            <w:noWrap w:val="false"/>
          </w:tcPr>
          <w:p>
            <w:pPr>
              <w:numPr>
                <w:ilvl w:val="0"/>
                <w:numId w:val="0"/>
              </w:numPr>
              <w:ind w:firstLine="482"/>
              <w:jc w:val="left"/>
              <w:keepLines w:val="0"/>
              <w:keepNext w:val="0"/>
              <w:pageBreakBefore w:val="0"/>
              <w:spacing w:line="440" w:lineRule="exact"/>
              <w:widowControl w:val="off"/>
              <w:rPr>
                <w:rFonts w:hint="eastAsia" w:ascii="仿宋" w:hAnsi="仿宋" w:eastAsia="仿宋" w:cs="仿宋"/>
                <w:b/>
                <w:bCs/>
                <w:color w:val="auto"/>
                <w:sz w:val="24"/>
                <w:szCs w:val="24"/>
                <w:highlight w:val="none"/>
                <w:lang w:val="zh-CN" w:eastAsia="en-US"/>
              </w:rPr>
            </w:pPr>
            <w:r>
              <w:rPr>
                <w:rFonts w:hint="eastAsia" w:ascii="仿宋" w:hAnsi="仿宋" w:eastAsia="仿宋" w:cs="仿宋"/>
                <w:b/>
                <w:bCs/>
                <w:color w:val="auto"/>
                <w:sz w:val="24"/>
                <w:szCs w:val="24"/>
                <w:highlight w:val="none"/>
                <w:lang w:val="en-US" w:eastAsia="zh-CN"/>
              </w:rPr>
              <w:t xml:space="preserve">1、售后服务响应</w:t>
            </w:r>
            <w:r>
              <w:rPr>
                <w:rFonts w:hint="eastAsia" w:ascii="仿宋" w:hAnsi="仿宋" w:eastAsia="仿宋" w:cs="仿宋"/>
                <w:b/>
                <w:bCs/>
                <w:color w:val="auto"/>
                <w:sz w:val="24"/>
                <w:szCs w:val="24"/>
                <w:highlight w:val="none"/>
                <w:lang w:val="zh-CN" w:eastAsia="en-US"/>
              </w:rPr>
              <w:t xml:space="preserve">（</w:t>
            </w:r>
            <w:r>
              <w:rPr>
                <w:rFonts w:hint="eastAsia"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lang w:val="zh-CN" w:eastAsia="en-US"/>
              </w:rPr>
              <w:t xml:space="preserve">分）</w:t>
            </w:r>
            <w:r/>
          </w:p>
          <w:p>
            <w:pPr>
              <w:ind w:firstLine="560"/>
              <w:jc w:val="left"/>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①承诺接到报修后30分钟内响应，1小时内到达现场；4小时内完成最终修复得3分；</w:t>
            </w:r>
            <w:r/>
          </w:p>
          <w:p>
            <w:pPr>
              <w:ind w:firstLine="560"/>
              <w:jc w:val="left"/>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②承诺接到报修后 1小时内响应，2小时内到达现场；12小时内完成最终修复得2分；</w:t>
            </w:r>
            <w:r/>
          </w:p>
          <w:p>
            <w:pPr>
              <w:ind w:firstLine="560"/>
              <w:jc w:val="left"/>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③承诺接到报修后 2小时内响应，4小时内到达现场；24小时内完成最终修复得1分；</w:t>
            </w:r>
            <w:r/>
          </w:p>
          <w:p>
            <w:pPr>
              <w:ind w:firstLine="560"/>
              <w:jc w:val="left"/>
              <w:keepLines w:val="0"/>
              <w:keepNext w:val="0"/>
              <w:pageBreakBefore w:val="0"/>
              <w:spacing w:line="44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提供承诺函，无签章承诺函本项不得分。</w:t>
            </w:r>
            <w:r/>
          </w:p>
          <w:p>
            <w:pPr>
              <w:ind w:firstLine="560"/>
              <w:jc w:val="left"/>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2、质保服务升级（3分）</w:t>
            </w:r>
            <w:r/>
          </w:p>
          <w:p>
            <w:pPr>
              <w:ind w:firstLine="56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所投产品质保期在完全响应招标文件要求的基础上，承诺每免费增加一年的得 1分，本项最高限得3分。</w:t>
            </w:r>
            <w:r/>
          </w:p>
          <w:p>
            <w:pPr>
              <w:ind w:firstLine="560"/>
              <w:jc w:val="left"/>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注：方案上传至电子标文件中并进行电子签章，未按要求提供或提供材料不全的各小项不得分。</w:t>
            </w:r>
            <w:r/>
          </w:p>
        </w:tc>
        <w:tc>
          <w:tcPr>
            <w:tcW w:w="1057" w:type="dxa"/>
            <w:vAlign w:val="center"/>
            <w:textDirection w:val="lrTb"/>
            <w:noWrap w:val="false"/>
          </w:tcPr>
          <w:p>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6分</w:t>
            </w:r>
            <w:r/>
          </w:p>
        </w:tc>
      </w:tr>
    </w:tbl>
    <w:p>
      <w:pPr>
        <w:pStyle w:val="913"/>
        <w:ind w:left="0"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13"/>
        <w:ind w:left="0"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13"/>
        <w:ind w:left="0"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13"/>
        <w:ind w:left="0"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0"/>
        <w:jc w:val="center"/>
        <w:keepNext/>
        <w:rPr>
          <w:rFonts w:hint="eastAsia" w:ascii="仿宋" w:hAnsi="仿宋" w:eastAsia="仿宋" w:cs="仿宋"/>
          <w:bCs/>
          <w:color w:val="auto"/>
          <w:sz w:val="44"/>
          <w:szCs w:val="28"/>
          <w:highlight w:val="none"/>
        </w:rPr>
        <w:outlineLvl w:val="0"/>
      </w:pPr>
      <w:r>
        <w:rPr>
          <w:rFonts w:hint="eastAsia" w:ascii="仿宋" w:hAnsi="仿宋" w:eastAsia="仿宋" w:cs="仿宋"/>
          <w:bCs/>
          <w:color w:val="auto"/>
          <w:sz w:val="44"/>
          <w:szCs w:val="28"/>
          <w:highlight w:val="none"/>
        </w:rPr>
      </w:r>
      <w:r/>
    </w:p>
    <w:p>
      <w:pPr>
        <w:ind w:firstLine="0"/>
        <w:jc w:val="center"/>
        <w:keepNext/>
        <w:rPr>
          <w:rFonts w:hint="eastAsia" w:ascii="仿宋" w:hAnsi="仿宋" w:eastAsia="仿宋" w:cs="仿宋"/>
          <w:bCs/>
          <w:color w:val="auto"/>
          <w:sz w:val="44"/>
          <w:szCs w:val="28"/>
          <w:highlight w:val="none"/>
        </w:rPr>
        <w:outlineLvl w:val="0"/>
      </w:pPr>
      <w:r>
        <w:rPr>
          <w:rFonts w:hint="eastAsia" w:ascii="仿宋" w:hAnsi="仿宋" w:eastAsia="仿宋" w:cs="仿宋"/>
          <w:bCs/>
          <w:color w:val="auto"/>
          <w:sz w:val="44"/>
          <w:szCs w:val="28"/>
          <w:highlight w:val="none"/>
        </w:rPr>
        <w:t xml:space="preserve">第三章  合同文本</w:t>
      </w:r>
      <w:r/>
    </w:p>
    <w:p>
      <w:pPr>
        <w:pStyle w:val="921"/>
        <w:jc w:val="center"/>
        <w:rPr>
          <w:rFonts w:hint="eastAsia" w:ascii="仿宋" w:hAnsi="仿宋" w:eastAsia="仿宋" w:cs="仿宋"/>
          <w:b/>
          <w:bCs/>
          <w:color w:val="auto"/>
          <w:spacing w:val="0"/>
          <w:sz w:val="32"/>
          <w:szCs w:val="32"/>
          <w:highlight w:val="none"/>
        </w:rPr>
      </w:pPr>
      <w:r>
        <w:rPr>
          <w:rFonts w:hint="eastAsia" w:ascii="仿宋" w:hAnsi="仿宋" w:eastAsia="仿宋" w:cs="仿宋"/>
          <w:b/>
          <w:bCs/>
          <w:color w:val="auto"/>
          <w:spacing w:val="0"/>
          <w:sz w:val="32"/>
          <w:szCs w:val="32"/>
          <w:highlight w:val="none"/>
        </w:rPr>
      </w:r>
      <w:r/>
    </w:p>
    <w:p>
      <w:pPr>
        <w:pStyle w:val="921"/>
        <w:jc w:val="center"/>
        <w:rPr>
          <w:rFonts w:hint="eastAsia" w:ascii="仿宋" w:hAnsi="仿宋" w:eastAsia="仿宋" w:cs="仿宋"/>
          <w:b/>
          <w:bCs/>
          <w:color w:val="auto"/>
          <w:spacing w:val="0"/>
          <w:sz w:val="32"/>
          <w:szCs w:val="32"/>
          <w:highlight w:val="none"/>
        </w:rPr>
      </w:pPr>
      <w:r>
        <w:rPr>
          <w:rFonts w:hint="eastAsia" w:ascii="仿宋" w:hAnsi="仿宋" w:eastAsia="仿宋" w:cs="仿宋"/>
          <w:b/>
          <w:bCs/>
          <w:color w:val="auto"/>
          <w:spacing w:val="0"/>
          <w:sz w:val="32"/>
          <w:szCs w:val="32"/>
          <w:highlight w:val="none"/>
        </w:rPr>
      </w:r>
      <w:r/>
    </w:p>
    <w:p>
      <w:pPr>
        <w:pStyle w:val="921"/>
        <w:jc w:val="center"/>
        <w:rPr>
          <w:rFonts w:hint="eastAsia" w:ascii="仿宋" w:hAnsi="仿宋" w:eastAsia="仿宋" w:cs="仿宋"/>
          <w:b/>
          <w:bCs/>
          <w:color w:val="auto"/>
          <w:spacing w:val="0"/>
          <w:sz w:val="32"/>
          <w:szCs w:val="32"/>
          <w:highlight w:val="none"/>
        </w:rPr>
      </w:pPr>
      <w:r>
        <w:rPr>
          <w:rFonts w:hint="eastAsia" w:ascii="仿宋" w:hAnsi="仿宋" w:eastAsia="仿宋" w:cs="仿宋"/>
          <w:b/>
          <w:bCs/>
          <w:color w:val="auto"/>
          <w:spacing w:val="0"/>
          <w:sz w:val="32"/>
          <w:szCs w:val="32"/>
          <w:highlight w:val="none"/>
        </w:rPr>
      </w:r>
      <w:r/>
    </w:p>
    <w:p>
      <w:pPr>
        <w:pStyle w:val="921"/>
        <w:jc w:val="center"/>
        <w:rPr>
          <w:rFonts w:hint="eastAsia" w:ascii="仿宋" w:hAnsi="仿宋" w:eastAsia="仿宋" w:cs="仿宋"/>
          <w:b/>
          <w:bCs/>
          <w:color w:val="auto"/>
          <w:spacing w:val="0"/>
          <w:sz w:val="32"/>
          <w:szCs w:val="32"/>
          <w:highlight w:val="none"/>
        </w:rPr>
      </w:pPr>
      <w:r>
        <w:rPr>
          <w:rFonts w:hint="eastAsia" w:ascii="仿宋" w:hAnsi="仿宋" w:eastAsia="仿宋" w:cs="仿宋"/>
          <w:b/>
          <w:bCs/>
          <w:color w:val="auto"/>
          <w:spacing w:val="0"/>
          <w:sz w:val="32"/>
          <w:szCs w:val="32"/>
          <w:highlight w:val="none"/>
        </w:rPr>
      </w:r>
      <w:r/>
    </w:p>
    <w:p>
      <w:pPr>
        <w:pStyle w:val="921"/>
        <w:jc w:val="center"/>
        <w:rPr>
          <w:rFonts w:hint="eastAsia" w:ascii="仿宋" w:hAnsi="仿宋" w:eastAsia="仿宋" w:cs="仿宋"/>
          <w:b/>
          <w:bCs/>
          <w:color w:val="auto"/>
          <w:spacing w:val="-20"/>
          <w:sz w:val="32"/>
          <w:szCs w:val="32"/>
          <w:highlight w:val="none"/>
        </w:rPr>
      </w:pPr>
      <w:r>
        <w:rPr>
          <w:rFonts w:hint="eastAsia" w:ascii="仿宋" w:hAnsi="仿宋" w:eastAsia="仿宋" w:cs="仿宋"/>
          <w:b/>
          <w:bCs/>
          <w:color w:val="auto"/>
          <w:spacing w:val="0"/>
          <w:sz w:val="32"/>
          <w:szCs w:val="32"/>
          <w:highlight w:val="none"/>
        </w:rPr>
        <w:t xml:space="preserve">财政部政府采购货物买卖合同</w:t>
      </w:r>
      <w:r>
        <w:rPr>
          <w:rFonts w:hint="eastAsia" w:ascii="仿宋" w:hAnsi="仿宋" w:eastAsia="仿宋" w:cs="仿宋"/>
          <w:b/>
          <w:bCs/>
          <w:color w:val="auto"/>
          <w:spacing w:val="-20"/>
          <w:sz w:val="32"/>
          <w:szCs w:val="32"/>
          <w:highlight w:val="none"/>
        </w:rPr>
        <w:t xml:space="preserve">（试行）</w:t>
      </w:r>
      <w:r/>
    </w:p>
    <w:p>
      <w:pPr>
        <w:pStyle w:val="921"/>
        <w:jc w:val="center"/>
        <w:rPr>
          <w:rFonts w:hint="eastAsia" w:ascii="仿宋" w:hAnsi="仿宋" w:eastAsia="仿宋" w:cs="仿宋"/>
          <w:b/>
          <w:bCs/>
          <w:color w:val="auto"/>
          <w:spacing w:val="-20"/>
          <w:sz w:val="32"/>
          <w:szCs w:val="32"/>
          <w:highlight w:val="none"/>
        </w:rPr>
      </w:pPr>
      <w:r>
        <w:rPr>
          <w:rFonts w:hint="eastAsia" w:ascii="仿宋" w:hAnsi="仿宋" w:eastAsia="仿宋" w:cs="仿宋"/>
          <w:b/>
          <w:bCs/>
          <w:color w:val="auto"/>
          <w:spacing w:val="-20"/>
          <w:sz w:val="32"/>
          <w:szCs w:val="32"/>
          <w:highlight w:val="none"/>
        </w:rPr>
        <w:t xml:space="preserve">范    本</w:t>
      </w:r>
      <w:r/>
    </w:p>
    <w:p>
      <w:pPr>
        <w:rPr>
          <w:rFonts w:hint="eastAsia" w:ascii="仿宋" w:hAnsi="仿宋" w:eastAsia="仿宋" w:cs="仿宋"/>
          <w:b/>
          <w:bCs/>
          <w:color w:val="auto"/>
          <w:spacing w:val="-20"/>
          <w:sz w:val="40"/>
          <w:szCs w:val="40"/>
          <w:highlight w:val="none"/>
        </w:rPr>
      </w:pPr>
      <w:r>
        <w:rPr>
          <w:rFonts w:hint="eastAsia" w:ascii="仿宋" w:hAnsi="仿宋" w:eastAsia="仿宋" w:cs="仿宋"/>
          <w:b/>
          <w:bCs/>
          <w:color w:val="auto"/>
          <w:spacing w:val="-20"/>
          <w:sz w:val="40"/>
          <w:szCs w:val="40"/>
          <w:highlight w:val="none"/>
        </w:rPr>
      </w:r>
      <w:r/>
    </w:p>
    <w:p>
      <w:pPr>
        <w:rPr>
          <w:rFonts w:hint="eastAsia" w:ascii="仿宋" w:hAnsi="仿宋" w:eastAsia="仿宋" w:cs="仿宋"/>
          <w:b/>
          <w:bCs/>
          <w:color w:val="auto"/>
          <w:spacing w:val="-20"/>
          <w:sz w:val="40"/>
          <w:szCs w:val="40"/>
          <w:highlight w:val="none"/>
        </w:rPr>
      </w:pPr>
      <w:r>
        <w:rPr>
          <w:rFonts w:hint="eastAsia" w:ascii="仿宋" w:hAnsi="仿宋" w:eastAsia="仿宋" w:cs="仿宋"/>
          <w:b/>
          <w:bCs/>
          <w:color w:val="auto"/>
          <w:spacing w:val="-20"/>
          <w:sz w:val="40"/>
          <w:szCs w:val="40"/>
          <w:highlight w:val="none"/>
        </w:rPr>
      </w:r>
      <w:r/>
    </w:p>
    <w:p>
      <w:pPr>
        <w:rPr>
          <w:rFonts w:hint="eastAsia" w:ascii="仿宋" w:hAnsi="仿宋" w:eastAsia="仿宋" w:cs="仿宋"/>
          <w:b/>
          <w:bCs/>
          <w:color w:val="auto"/>
          <w:spacing w:val="-20"/>
          <w:sz w:val="40"/>
          <w:szCs w:val="40"/>
          <w:highlight w:val="none"/>
        </w:rPr>
      </w:pPr>
      <w:r>
        <w:rPr>
          <w:rFonts w:hint="eastAsia" w:ascii="仿宋" w:hAnsi="仿宋" w:eastAsia="仿宋" w:cs="仿宋"/>
          <w:b/>
          <w:bCs/>
          <w:color w:val="auto"/>
          <w:spacing w:val="-20"/>
          <w:sz w:val="40"/>
          <w:szCs w:val="40"/>
          <w:highlight w:val="none"/>
        </w:rPr>
      </w:r>
      <w:r/>
    </w:p>
    <w:p>
      <w:pPr>
        <w:ind w:left="42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u w:val="single"/>
        </w:rPr>
        <w:t xml:space="preserve">                             </w:t>
      </w:r>
      <w:r/>
    </w:p>
    <w:p>
      <w:pPr>
        <w:ind w:left="420"/>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合同编号：</w:t>
      </w:r>
      <w:r>
        <w:rPr>
          <w:rFonts w:hint="eastAsia" w:ascii="仿宋" w:hAnsi="仿宋" w:eastAsia="仿宋" w:cs="仿宋"/>
          <w:color w:val="auto"/>
          <w:sz w:val="28"/>
          <w:szCs w:val="28"/>
          <w:highlight w:val="none"/>
          <w:u w:val="single"/>
        </w:rPr>
        <w:t xml:space="preserve">                             </w:t>
      </w:r>
      <w:r/>
    </w:p>
    <w:p>
      <w:pPr>
        <w:ind w:left="42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w:t>
      </w:r>
      <w:r>
        <w:rPr>
          <w:rFonts w:hint="eastAsia" w:ascii="仿宋" w:hAnsi="仿宋" w:eastAsia="仿宋" w:cs="仿宋"/>
          <w:color w:val="auto"/>
          <w:sz w:val="28"/>
          <w:szCs w:val="28"/>
          <w:highlight w:val="none"/>
          <w:u w:val="single"/>
        </w:rPr>
        <w:t xml:space="preserve">                             </w:t>
      </w:r>
      <w:r/>
    </w:p>
    <w:p>
      <w:pPr>
        <w:ind w:left="420"/>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乙    方：</w:t>
      </w:r>
      <w:r>
        <w:rPr>
          <w:rFonts w:hint="eastAsia" w:ascii="仿宋" w:hAnsi="仿宋" w:eastAsia="仿宋" w:cs="仿宋"/>
          <w:color w:val="auto"/>
          <w:sz w:val="28"/>
          <w:szCs w:val="28"/>
          <w:highlight w:val="none"/>
          <w:u w:val="single"/>
        </w:rPr>
        <w:t xml:space="preserve">                             </w:t>
      </w:r>
      <w:r/>
    </w:p>
    <w:p>
      <w:pPr>
        <w:ind w:left="42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签订时间：</w:t>
      </w:r>
      <w:r>
        <w:rPr>
          <w:rFonts w:hint="eastAsia" w:ascii="仿宋" w:hAnsi="仿宋" w:eastAsia="仿宋" w:cs="仿宋"/>
          <w:color w:val="auto"/>
          <w:sz w:val="28"/>
          <w:szCs w:val="28"/>
          <w:highlight w:val="none"/>
          <w:u w:val="single"/>
        </w:rPr>
        <w:t xml:space="preserve">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1024"/>
        <w:jc w:val="cente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第一节 政府采购合同协议书</w:t>
      </w:r>
      <w:r/>
    </w:p>
    <w:p>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甲方（全称）：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（采购人）</w:t>
      </w:r>
      <w:r/>
    </w:p>
    <w:p>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乙方（全称）：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US" w:eastAsia="zh-CN"/>
        </w:rPr>
        <w:t xml:space="preserve">投标人</w:t>
      </w:r>
      <w:r>
        <w:rPr>
          <w:rFonts w:hint="eastAsia" w:ascii="仿宋" w:hAnsi="仿宋" w:eastAsia="仿宋" w:cs="仿宋"/>
          <w:color w:val="auto"/>
          <w:szCs w:val="21"/>
          <w:highlight w:val="none"/>
        </w:rPr>
        <w:t xml:space="preserve">）</w:t>
      </w:r>
      <w:r/>
    </w:p>
    <w:p>
      <w:pPr>
        <w:spacing w:line="4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 </w:t>
      </w:r>
      <w:r/>
    </w:p>
    <w:p>
      <w:pPr>
        <w:pStyle w:val="1034"/>
        <w:ind w:left="0" w:firstLine="420"/>
        <w:spacing w:after="0"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r/>
    </w:p>
    <w:p>
      <w:pPr>
        <w:numPr>
          <w:ilvl w:val="0"/>
          <w:numId w:val="0"/>
        </w:numPr>
        <w:ind w:firstLine="420"/>
        <w:spacing w:line="400" w:lineRule="exact"/>
        <w:rPr>
          <w:rFonts w:hint="eastAsia" w:ascii="仿宋" w:hAnsi="仿宋" w:eastAsia="仿宋" w:cs="仿宋"/>
          <w:b/>
          <w:color w:val="auto"/>
          <w:szCs w:val="21"/>
          <w:highlight w:val="none"/>
        </w:rPr>
      </w:pPr>
      <w:r>
        <w:rPr>
          <w:rFonts w:hint="eastAsia" w:ascii="仿宋" w:hAnsi="仿宋" w:eastAsia="仿宋" w:cs="仿宋"/>
          <w:b/>
          <w:color w:val="auto"/>
          <w:sz w:val="21"/>
          <w:szCs w:val="21"/>
          <w:highlight w:val="none"/>
          <w:lang w:val="en-US" w:eastAsia="zh-CN" w:bidi="ar-SA"/>
        </w:rPr>
        <w:t xml:space="preserve">1.</w:t>
      </w:r>
      <w:r>
        <w:rPr>
          <w:rFonts w:hint="eastAsia" w:ascii="仿宋" w:hAnsi="仿宋" w:eastAsia="仿宋" w:cs="仿宋"/>
          <w:b/>
          <w:color w:val="auto"/>
          <w:szCs w:val="21"/>
          <w:highlight w:val="none"/>
        </w:rPr>
        <w:t xml:space="preserve">项目信息</w:t>
      </w:r>
      <w:r/>
    </w:p>
    <w:p>
      <w:pPr>
        <w:pStyle w:val="1034"/>
        <w:numPr>
          <w:ilvl w:val="0"/>
          <w:numId w:val="7"/>
        </w:numPr>
        <w:ind w:left="0" w:firstLine="420"/>
        <w:spacing w:after="0"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采购项目名称：</w:t>
      </w:r>
      <w:r>
        <w:rPr>
          <w:rFonts w:hint="eastAsia" w:ascii="仿宋" w:hAnsi="仿宋" w:eastAsia="仿宋" w:cs="仿宋"/>
          <w:color w:val="auto"/>
          <w:szCs w:val="21"/>
          <w:highlight w:val="none"/>
          <w:u w:val="single"/>
        </w:rPr>
        <w:t xml:space="preserve">                                          </w:t>
      </w:r>
      <w:r/>
    </w:p>
    <w:p>
      <w:pPr>
        <w:pStyle w:val="1034"/>
        <w:ind w:left="0"/>
        <w:spacing w:after="0" w:line="400" w:lineRule="exact"/>
        <w:tabs>
          <w:tab w:val="left" w:pos="999"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采购项目编号：</w:t>
      </w:r>
      <w:r>
        <w:rPr>
          <w:rFonts w:hint="eastAsia" w:ascii="仿宋" w:hAnsi="仿宋" w:eastAsia="仿宋" w:cs="仿宋"/>
          <w:color w:val="auto"/>
          <w:szCs w:val="21"/>
          <w:highlight w:val="none"/>
          <w:u w:val="single"/>
        </w:rPr>
        <w:t xml:space="preserve">                                          </w:t>
      </w:r>
      <w:r/>
    </w:p>
    <w:p>
      <w:pPr>
        <w:pStyle w:val="1034"/>
        <w:ind w:left="0" w:firstLine="420"/>
        <w:spacing w:after="0"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（2）采购计划编号：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（3）项目内容：</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采购标的及数量（台/套</w:t>
      </w:r>
      <w:r>
        <w:rPr>
          <w:rFonts w:hint="eastAsia" w:ascii="仿宋" w:hAnsi="仿宋" w:eastAsia="仿宋" w:cs="仿宋"/>
          <w:color w:val="auto"/>
          <w:szCs w:val="21"/>
          <w:highlight w:val="none"/>
          <w:lang w:val="en"/>
        </w:rPr>
        <w:t xml:space="preserve">/个/架/组等</w:t>
      </w: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r/>
    </w:p>
    <w:p>
      <w:pPr>
        <w:ind w:firstLine="420"/>
        <w:spacing w:line="400" w:lineRule="exact"/>
        <w:rPr>
          <w:rFonts w:hint="eastAsia" w:ascii="仿宋" w:hAnsi="仿宋" w:eastAsia="仿宋" w:cs="仿宋"/>
          <w:color w:val="auto"/>
          <w:szCs w:val="21"/>
          <w:highlight w:val="none"/>
          <w:lang w:val="en"/>
        </w:rPr>
      </w:pPr>
      <w:r>
        <w:rPr>
          <w:rFonts w:hint="eastAsia" w:ascii="仿宋" w:hAnsi="仿宋" w:eastAsia="仿宋" w:cs="仿宋"/>
          <w:color w:val="auto"/>
          <w:szCs w:val="21"/>
          <w:highlight w:val="none"/>
        </w:rPr>
        <w:t xml:space="preserve">     品牌：</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lang w:val="en"/>
        </w:rPr>
        <w:t xml:space="preserve">     </w:t>
      </w:r>
      <w:r>
        <w:rPr>
          <w:rFonts w:hint="eastAsia" w:ascii="仿宋" w:hAnsi="仿宋" w:eastAsia="仿宋" w:cs="仿宋"/>
          <w:color w:val="auto"/>
          <w:szCs w:val="21"/>
          <w:highlight w:val="none"/>
        </w:rPr>
        <w:t xml:space="preserve">规格型号：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
        </w:rPr>
        <w:t xml:space="preserve">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
        </w:rPr>
        <w:t xml:space="preserve">   </w:t>
      </w:r>
      <w:r/>
    </w:p>
    <w:p>
      <w:pPr>
        <w:ind w:firstLine="945"/>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采购标的的技术要求、商务要求具体见附件。</w:t>
      </w:r>
      <w:r/>
    </w:p>
    <w:p>
      <w:pPr>
        <w:ind w:firstLine="945"/>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涉及信息类产品，请填写该产品关键部件的品牌、型号：</w:t>
      </w:r>
      <w:r/>
    </w:p>
    <w:p>
      <w:pPr>
        <w:ind w:firstLine="420"/>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     标的名称：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
        </w:rPr>
        <w:t xml:space="preserve">               </w:t>
      </w:r>
      <w:r>
        <w:rPr>
          <w:rFonts w:hint="eastAsia" w:ascii="仿宋" w:hAnsi="仿宋" w:eastAsia="仿宋" w:cs="仿宋"/>
          <w:color w:val="auto"/>
          <w:szCs w:val="21"/>
          <w:highlight w:val="none"/>
          <w:u w:val="single"/>
        </w:rPr>
        <w:t xml:space="preserve">    </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关键部件：</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品牌：</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型号：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r/>
    </w:p>
    <w:p>
      <w:pPr>
        <w:pStyle w:val="1035"/>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关键部件：</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品牌：</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型号：</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w:t>
      </w:r>
      <w:r/>
    </w:p>
    <w:p>
      <w:pPr>
        <w:pStyle w:val="1035"/>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关键部件：</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品牌：</w:t>
      </w:r>
      <w:r>
        <w:rPr>
          <w:rFonts w:hint="eastAsia" w:ascii="仿宋" w:hAnsi="仿宋" w:eastAsia="仿宋" w:cs="仿宋"/>
          <w:color w:val="auto"/>
          <w:sz w:val="21"/>
          <w:highlight w:val="none"/>
          <w:u w:val="single"/>
        </w:rPr>
        <w:t xml:space="preserve">        </w:t>
      </w:r>
      <w:r>
        <w:rPr>
          <w:rFonts w:hint="eastAsia" w:ascii="仿宋" w:hAnsi="仿宋" w:eastAsia="仿宋" w:cs="仿宋"/>
          <w:color w:val="auto"/>
          <w:sz w:val="21"/>
          <w:highlight w:val="none"/>
        </w:rPr>
        <w:t xml:space="preserve"> 型号：</w:t>
      </w:r>
      <w:r>
        <w:rPr>
          <w:rFonts w:hint="eastAsia" w:ascii="仿宋" w:hAnsi="仿宋" w:eastAsia="仿宋" w:cs="仿宋"/>
          <w:color w:val="auto"/>
          <w:sz w:val="21"/>
          <w:highlight w:val="none"/>
          <w:u w:val="single"/>
        </w:rPr>
        <w:t xml:space="preserve">       </w:t>
      </w:r>
      <w:r/>
    </w:p>
    <w:p>
      <w:pPr>
        <w:pStyle w:val="1035"/>
        <w:ind w:firstLine="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35"/>
        <w:ind w:firstLine="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w:t>
      </w:r>
      <w:r>
        <w:rPr>
          <w:rFonts w:hint="eastAsia" w:ascii="仿宋" w:hAnsi="仿宋" w:eastAsia="仿宋" w:cs="仿宋"/>
          <w:color w:val="auto"/>
          <w:sz w:val="21"/>
          <w:highlight w:val="none"/>
          <w:lang w:val="en"/>
        </w:rPr>
        <w:t xml:space="preserve">4</w:t>
      </w:r>
      <w:r>
        <w:rPr>
          <w:rFonts w:hint="eastAsia" w:ascii="仿宋" w:hAnsi="仿宋" w:eastAsia="仿宋" w:cs="仿宋"/>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仿宋" w:hAnsi="仿宋" w:eastAsia="仿宋" w:cs="仿宋"/>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仿宋" w:hAnsi="仿宋" w:eastAsia="仿宋" w:cs="仿宋"/>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仿宋" w:hAnsi="仿宋" w:eastAsia="仿宋" w:cs="仿宋"/>
          <w:color w:val="auto"/>
          <w:sz w:val="21"/>
          <w:highlight w:val="none"/>
        </w:rPr>
        <w:t xml:space="preserve">分散采购</w:t>
      </w:r>
      <w:r/>
    </w:p>
    <w:p>
      <w:pPr>
        <w:pStyle w:val="1035"/>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w:t>
      </w:r>
      <w:r>
        <w:rPr>
          <w:rFonts w:hint="eastAsia" w:ascii="仿宋" w:hAnsi="仿宋" w:eastAsia="仿宋" w:cs="仿宋"/>
          <w:color w:val="auto"/>
          <w:sz w:val="21"/>
          <w:highlight w:val="none"/>
          <w:lang w:val="en"/>
        </w:rPr>
        <w:t xml:space="preserve">5</w:t>
      </w:r>
      <w:r>
        <w:rPr>
          <w:rFonts w:hint="eastAsia" w:ascii="仿宋" w:hAnsi="仿宋" w:eastAsia="仿宋" w:cs="仿宋"/>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仿宋" w:hAnsi="仿宋" w:eastAsia="仿宋" w:cs="仿宋"/>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仿宋" w:hAnsi="仿宋" w:eastAsia="仿宋" w:cs="仿宋"/>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仿宋" w:hAnsi="仿宋" w:eastAsia="仿宋" w:cs="仿宋"/>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仿宋" w:hAnsi="仿宋" w:eastAsia="仿宋" w:cs="仿宋"/>
          <w:color w:val="auto"/>
          <w:sz w:val="21"/>
          <w:highlight w:val="none"/>
        </w:rPr>
        <w:t xml:space="preserve">竞争性磋商</w:t>
      </w:r>
      <w:r/>
    </w:p>
    <w:p>
      <w:pPr>
        <w:pStyle w:val="1035"/>
        <w:ind w:firstLine="420"/>
        <w:rPr>
          <w:rFonts w:hint="eastAsia" w:ascii="仿宋" w:hAnsi="仿宋" w:eastAsia="仿宋" w:cs="仿宋"/>
          <w:color w:val="auto"/>
          <w:sz w:val="21"/>
          <w:highlight w:val="none"/>
          <w:u w:val="single"/>
        </w:rPr>
      </w:pPr>
      <w:r>
        <w:rPr>
          <w:rFonts w:hint="eastAsia" w:ascii="仿宋" w:hAnsi="仿宋" w:eastAsia="仿宋" w:cs="仿宋"/>
          <w:color w:val="auto"/>
          <w:highlight w:val="none"/>
        </w:rPr>
        <w:t xml:space="preserve">                  </w:t>
      </w:r>
      <w:r>
        <w:rPr>
          <w:rFonts w:ascii="Wingdings" w:hAnsi="Wingdings" w:eastAsia="Wingdings" w:cs="Wingdings"/>
          <w:color w:val="auto"/>
          <w:sz w:val="21"/>
          <w:highlight w:val="none"/>
        </w:rPr>
        <w:t xml:space="preserve">¨</w:t>
      </w:r>
      <w:r>
        <w:rPr>
          <w:rFonts w:hint="eastAsia" w:ascii="仿宋" w:hAnsi="仿宋" w:eastAsia="仿宋" w:cs="仿宋"/>
          <w:color w:val="auto"/>
          <w:sz w:val="21"/>
          <w:highlight w:val="none"/>
        </w:rPr>
        <w:t xml:space="preserve">询价 </w:t>
      </w:r>
      <w:r>
        <w:rPr>
          <w:rFonts w:ascii="Wingdings" w:hAnsi="Wingdings" w:eastAsia="Wingdings" w:cs="Wingdings"/>
          <w:color w:val="auto"/>
          <w:sz w:val="21"/>
          <w:highlight w:val="none"/>
        </w:rPr>
        <w:t xml:space="preserve">¨</w:t>
      </w:r>
      <w:r>
        <w:rPr>
          <w:rFonts w:hint="eastAsia" w:ascii="仿宋" w:hAnsi="仿宋" w:eastAsia="仿宋" w:cs="仿宋"/>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仿宋" w:hAnsi="仿宋" w:eastAsia="仿宋" w:cs="仿宋"/>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仿宋" w:hAnsi="仿宋" w:eastAsia="仿宋" w:cs="仿宋"/>
          <w:color w:val="auto"/>
          <w:sz w:val="21"/>
          <w:highlight w:val="none"/>
        </w:rPr>
        <w:t xml:space="preserve">其他：</w:t>
      </w:r>
      <w:r>
        <w:rPr>
          <w:rFonts w:hint="eastAsia" w:ascii="仿宋" w:hAnsi="仿宋" w:eastAsia="仿宋" w:cs="仿宋"/>
          <w:color w:val="auto"/>
          <w:sz w:val="21"/>
          <w:highlight w:val="none"/>
          <w:u w:val="single"/>
        </w:rPr>
        <w:t xml:space="preserve">          </w:t>
      </w:r>
      <w:r/>
    </w:p>
    <w:p>
      <w:pPr>
        <w:pStyle w:val="1035"/>
        <w:ind w:firstLine="220"/>
        <w:rPr>
          <w:rFonts w:hint="eastAsia" w:ascii="仿宋" w:hAnsi="仿宋" w:eastAsia="仿宋" w:cs="仿宋"/>
          <w:color w:val="auto"/>
          <w:sz w:val="21"/>
          <w:highlight w:val="none"/>
        </w:rPr>
      </w:pPr>
      <w:r>
        <w:rPr>
          <w:rFonts w:hint="eastAsia" w:ascii="仿宋" w:hAnsi="仿宋" w:eastAsia="仿宋" w:cs="仿宋"/>
          <w:color w:val="auto"/>
          <w:highlight w:val="none"/>
        </w:rPr>
        <w:t xml:space="preserve"> （</w:t>
      </w:r>
      <w:r>
        <w:rPr>
          <w:rFonts w:hint="eastAsia" w:ascii="仿宋" w:hAnsi="仿宋" w:eastAsia="仿宋" w:cs="仿宋"/>
          <w:color w:val="auto"/>
          <w:highlight w:val="none"/>
          <w:lang w:val="en"/>
        </w:rPr>
        <w:t xml:space="preserve">6</w:t>
      </w:r>
      <w:r>
        <w:rPr>
          <w:rFonts w:hint="eastAsia" w:ascii="仿宋" w:hAnsi="仿宋" w:eastAsia="仿宋" w:cs="仿宋"/>
          <w:color w:val="auto"/>
          <w:highlight w:val="none"/>
        </w:rPr>
        <w:t xml:space="preserve">）</w:t>
      </w:r>
      <w:r>
        <w:rPr>
          <w:rFonts w:hint="eastAsia" w:ascii="仿宋" w:hAnsi="仿宋" w:eastAsia="仿宋" w:cs="仿宋"/>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þ</w:t>
      </w:r>
      <w:r>
        <w:rPr>
          <w:rFonts w:hint="eastAsia" w:ascii="仿宋" w:hAnsi="仿宋" w:eastAsia="仿宋" w:cs="仿宋"/>
          <w:color w:val="auto"/>
          <w:sz w:val="21"/>
          <w:highlight w:val="none"/>
        </w:rPr>
        <w:t xml:space="preserve">是      </w:t>
      </w:r>
      <w:r>
        <w:rPr>
          <w:rFonts w:ascii="Wingdings" w:hAnsi="Wingdings" w:eastAsia="Wingdings" w:cs="Wingdings"/>
          <w:color w:val="auto"/>
          <w:sz w:val="21"/>
          <w:highlight w:val="none"/>
        </w:rPr>
        <w:t xml:space="preserve">¨</w:t>
      </w:r>
      <w:r>
        <w:rPr>
          <w:rFonts w:hint="eastAsia" w:ascii="仿宋" w:hAnsi="仿宋" w:eastAsia="仿宋" w:cs="仿宋"/>
          <w:color w:val="auto"/>
          <w:sz w:val="21"/>
          <w:highlight w:val="none"/>
        </w:rPr>
        <w:t xml:space="preserve">否</w:t>
      </w:r>
      <w:r/>
    </w:p>
    <w:p>
      <w:pPr>
        <w:spacing w:line="400" w:lineRule="exact"/>
        <w:rPr>
          <w:rFonts w:hint="eastAsia" w:ascii="仿宋" w:hAnsi="仿宋" w:eastAsia="仿宋" w:cs="仿宋"/>
          <w:iCs/>
          <w:color w:val="auto"/>
          <w:szCs w:val="21"/>
          <w:highlight w:val="none"/>
        </w:rPr>
      </w:pPr>
      <w:r>
        <w:rPr>
          <w:rFonts w:hint="eastAsia" w:ascii="仿宋" w:hAnsi="仿宋" w:eastAsia="仿宋" w:cs="仿宋"/>
          <w:color w:val="auto"/>
          <w:szCs w:val="21"/>
          <w:highlight w:val="none"/>
        </w:rPr>
        <w:t xml:space="preserve">        本合同是否为专门面向中小企业的采购合同（中小企业预留合同）：</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否</w:t>
      </w:r>
      <w:r/>
    </w:p>
    <w:p>
      <w:pPr>
        <w:spacing w:line="400" w:lineRule="exact"/>
        <w:rPr>
          <w:rFonts w:hint="eastAsia" w:ascii="仿宋" w:hAnsi="仿宋" w:eastAsia="仿宋" w:cs="仿宋"/>
          <w:iCs/>
          <w:color w:val="auto"/>
          <w:szCs w:val="21"/>
          <w:highlight w:val="none"/>
        </w:rPr>
      </w:pPr>
      <w:r>
        <w:rPr>
          <w:rFonts w:hint="eastAsia" w:ascii="仿宋" w:hAnsi="仿宋" w:eastAsia="仿宋" w:cs="仿宋"/>
          <w:color w:val="auto"/>
          <w:highlight w:val="none"/>
        </w:rPr>
        <w:t xml:space="preserve">        若本项目不专门面向中小企业采购，是否给予小微企业评审优惠：</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否</w:t>
      </w:r>
      <w:r/>
    </w:p>
    <w:p>
      <w:pPr>
        <w:spacing w:line="400" w:lineRule="exact"/>
        <w:rPr>
          <w:rFonts w:hint="eastAsia" w:ascii="仿宋" w:hAnsi="仿宋" w:eastAsia="仿宋" w:cs="仿宋"/>
          <w:iCs/>
          <w:color w:val="auto"/>
          <w:szCs w:val="21"/>
          <w:highlight w:val="none"/>
        </w:rPr>
      </w:pPr>
      <w:r>
        <w:rPr>
          <w:rFonts w:hint="eastAsia" w:ascii="仿宋" w:hAnsi="仿宋" w:eastAsia="仿宋" w:cs="仿宋"/>
          <w:color w:val="auto"/>
          <w:highlight w:val="none"/>
        </w:rPr>
        <w:t xml:space="preserve">        中标（成交）采购标的制造商是否为残疾人福利性单位：</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否</w:t>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        中标（成交）采购标的制造商是否为监狱企业：</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否</w:t>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
        </w:rPr>
        <w:t xml:space="preserve">7</w:t>
      </w:r>
      <w:r>
        <w:rPr>
          <w:rFonts w:hint="eastAsia" w:ascii="仿宋" w:hAnsi="仿宋" w:eastAsia="仿宋" w:cs="仿宋"/>
          <w:color w:val="auto"/>
          <w:szCs w:val="21"/>
          <w:highlight w:val="none"/>
        </w:rPr>
        <w:t xml:space="preserve">）合同是否分包：</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否</w:t>
      </w:r>
      <w:r/>
    </w:p>
    <w:p>
      <w:pPr>
        <w:spacing w:line="400" w:lineRule="exact"/>
        <w:rPr>
          <w:rFonts w:hint="eastAsia" w:ascii="仿宋" w:hAnsi="仿宋" w:eastAsia="仿宋" w:cs="仿宋"/>
          <w:iCs/>
          <w:color w:val="auto"/>
          <w:szCs w:val="21"/>
          <w:highlight w:val="none"/>
        </w:rPr>
      </w:pPr>
      <w:r>
        <w:rPr>
          <w:rFonts w:hint="eastAsia" w:ascii="仿宋" w:hAnsi="仿宋" w:eastAsia="仿宋" w:cs="仿宋"/>
          <w:color w:val="auto"/>
          <w:szCs w:val="21"/>
          <w:highlight w:val="none"/>
        </w:rPr>
        <w:t xml:space="preserve">    （</w:t>
      </w:r>
      <w:r>
        <w:rPr>
          <w:rFonts w:hint="eastAsia" w:ascii="仿宋" w:hAnsi="仿宋" w:eastAsia="仿宋" w:cs="仿宋"/>
          <w:color w:val="auto"/>
          <w:szCs w:val="21"/>
          <w:highlight w:val="none"/>
          <w:lang w:val="en"/>
        </w:rPr>
        <w:t xml:space="preserve">8</w:t>
      </w:r>
      <w:r>
        <w:rPr>
          <w:rFonts w:hint="eastAsia" w:ascii="仿宋" w:hAnsi="仿宋" w:eastAsia="仿宋" w:cs="仿宋"/>
          <w:color w:val="auto"/>
          <w:szCs w:val="21"/>
          <w:highlight w:val="none"/>
        </w:rPr>
        <w:t xml:space="preserve">）中标</w:t>
      </w:r>
      <w:r>
        <w:rPr>
          <w:rFonts w:hint="eastAsia" w:ascii="仿宋" w:hAnsi="仿宋" w:eastAsia="仿宋" w:cs="仿宋"/>
          <w:color w:val="auto"/>
          <w:szCs w:val="21"/>
          <w:highlight w:val="none"/>
          <w:lang w:val="en-US" w:eastAsia="zh-CN"/>
        </w:rPr>
        <w:t xml:space="preserve">人</w:t>
      </w:r>
      <w:r>
        <w:rPr>
          <w:rFonts w:hint="eastAsia" w:ascii="仿宋" w:hAnsi="仿宋" w:eastAsia="仿宋" w:cs="仿宋"/>
          <w:color w:val="auto"/>
          <w:szCs w:val="21"/>
          <w:highlight w:val="none"/>
        </w:rPr>
        <w:t xml:space="preserve">是否为外商投资企业：</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否</w:t>
      </w:r>
      <w:r/>
    </w:p>
    <w:p>
      <w:pPr>
        <w:pStyle w:val="1035"/>
        <w:ind w:firstLine="420"/>
        <w:tabs>
          <w:tab w:val="left" w:pos="1340" w:leader="none"/>
        </w:tabs>
        <w:rPr>
          <w:rFonts w:hint="eastAsia" w:ascii="仿宋" w:hAnsi="仿宋" w:eastAsia="仿宋" w:cs="仿宋"/>
          <w:color w:val="auto"/>
          <w:sz w:val="21"/>
          <w:highlight w:val="none"/>
          <w:u w:val="single"/>
        </w:rPr>
      </w:pPr>
      <w:r>
        <w:rPr>
          <w:rFonts w:hint="eastAsia" w:ascii="仿宋" w:hAnsi="仿宋" w:eastAsia="仿宋" w:cs="仿宋"/>
          <w:color w:val="auto"/>
          <w:sz w:val="21"/>
          <w:highlight w:val="none"/>
        </w:rPr>
        <w:t xml:space="preserve">     外商投资企业类型：</w:t>
      </w:r>
      <w:r>
        <w:rPr>
          <w:rFonts w:ascii="Wingdings" w:hAnsi="Wingdings" w:eastAsia="Wingdings" w:cs="Wingdings"/>
          <w:color w:val="auto"/>
          <w:sz w:val="21"/>
          <w:highlight w:val="none"/>
        </w:rPr>
        <w:t xml:space="preserve">¨</w:t>
      </w:r>
      <w:r>
        <w:rPr>
          <w:rFonts w:hint="eastAsia" w:ascii="仿宋" w:hAnsi="仿宋" w:eastAsia="仿宋" w:cs="仿宋"/>
          <w:color w:val="auto"/>
          <w:sz w:val="21"/>
          <w:highlight w:val="none"/>
        </w:rPr>
        <w:t xml:space="preserve">全部由外国投资者投资  </w:t>
      </w:r>
      <w:r>
        <w:rPr>
          <w:rFonts w:ascii="Wingdings" w:hAnsi="Wingdings" w:eastAsia="Wingdings" w:cs="Wingdings"/>
          <w:color w:val="auto"/>
          <w:sz w:val="21"/>
          <w:highlight w:val="none"/>
        </w:rPr>
        <w:t xml:space="preserve">¨</w:t>
      </w:r>
      <w:r>
        <w:rPr>
          <w:rFonts w:hint="eastAsia" w:ascii="仿宋" w:hAnsi="仿宋" w:eastAsia="仿宋" w:cs="仿宋"/>
          <w:iCs/>
          <w:color w:val="auto"/>
          <w:sz w:val="21"/>
          <w:highlight w:val="none"/>
        </w:rPr>
        <w:t xml:space="preserve">部分由外国投资者投资</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w:t>
      </w:r>
      <w:r>
        <w:rPr>
          <w:rFonts w:hint="eastAsia" w:ascii="仿宋" w:hAnsi="仿宋" w:eastAsia="仿宋" w:cs="仿宋"/>
          <w:color w:val="auto"/>
          <w:szCs w:val="21"/>
          <w:highlight w:val="none"/>
          <w:lang w:val="en"/>
        </w:rPr>
        <w:t xml:space="preserve">9</w:t>
      </w:r>
      <w:r>
        <w:rPr>
          <w:rFonts w:hint="eastAsia" w:ascii="仿宋" w:hAnsi="仿宋" w:eastAsia="仿宋" w:cs="仿宋"/>
          <w:color w:val="auto"/>
          <w:szCs w:val="21"/>
          <w:highlight w:val="none"/>
        </w:rPr>
        <w:t xml:space="preserve">）是否涉及进口产品：</w:t>
      </w:r>
      <w:r/>
    </w:p>
    <w:p>
      <w:pPr>
        <w:ind w:firstLine="840"/>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 </w:t>
      </w:r>
      <w:r>
        <w:rPr>
          <w:rFonts w:ascii="Wingdings" w:hAnsi="Wingdings" w:eastAsia="Wingdings" w:cs="Wingdings"/>
          <w:color w:val="auto"/>
          <w:sz w:val="21"/>
          <w:highlight w:val="none"/>
        </w:rPr>
        <w:t xml:space="preserve">¨</w:t>
      </w:r>
      <w:r>
        <w:rPr>
          <w:rFonts w:hint="eastAsia" w:ascii="仿宋" w:hAnsi="仿宋" w:eastAsia="仿宋" w:cs="仿宋"/>
          <w:color w:val="auto"/>
          <w:szCs w:val="21"/>
          <w:highlight w:val="none"/>
        </w:rPr>
        <w:t xml:space="preserve">是，《政府采购品目分类目录》底级品目名称：</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金额：</w:t>
      </w:r>
      <w:r>
        <w:rPr>
          <w:rFonts w:hint="eastAsia" w:ascii="仿宋" w:hAnsi="仿宋" w:eastAsia="仿宋" w:cs="仿宋"/>
          <w:color w:val="auto"/>
          <w:szCs w:val="21"/>
          <w:highlight w:val="none"/>
          <w:u w:val="single"/>
        </w:rPr>
        <w:t xml:space="preserve">        </w:t>
      </w:r>
      <w:r/>
    </w:p>
    <w:p>
      <w:pPr>
        <w:ind w:firstLine="84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国别：</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品牌：</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规格型号：</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r/>
    </w:p>
    <w:p>
      <w:pPr>
        <w:ind w:firstLine="84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rPr>
          <w:rFonts w:ascii="Wingdings" w:hAnsi="Wingdings" w:eastAsia="Wingdings" w:cs="Wingdings"/>
          <w:color w:val="auto"/>
          <w:sz w:val="21"/>
          <w:highlight w:val="none"/>
        </w:rPr>
        <w:t xml:space="preserve">¨</w:t>
      </w:r>
      <w:r>
        <w:rPr>
          <w:rFonts w:hint="eastAsia" w:ascii="仿宋" w:hAnsi="仿宋" w:eastAsia="仿宋" w:cs="仿宋"/>
          <w:color w:val="auto"/>
          <w:szCs w:val="21"/>
          <w:highlight w:val="none"/>
        </w:rPr>
        <w:t xml:space="preserve">否</w:t>
      </w:r>
      <w:r/>
    </w:p>
    <w:p>
      <w:pPr>
        <w:spacing w:line="400" w:lineRule="exact"/>
        <w:tabs>
          <w:tab w:val="left" w:pos="74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（1</w:t>
      </w:r>
      <w:r>
        <w:rPr>
          <w:rFonts w:hint="eastAsia" w:ascii="仿宋" w:hAnsi="仿宋" w:eastAsia="仿宋" w:cs="仿宋"/>
          <w:color w:val="auto"/>
          <w:szCs w:val="21"/>
          <w:highlight w:val="none"/>
          <w:lang w:val="en"/>
        </w:rPr>
        <w:t xml:space="preserve">0</w:t>
      </w:r>
      <w:r>
        <w:rPr>
          <w:rFonts w:hint="eastAsia" w:ascii="仿宋" w:hAnsi="仿宋" w:eastAsia="仿宋" w:cs="仿宋"/>
          <w:color w:val="auto"/>
          <w:szCs w:val="21"/>
          <w:highlight w:val="none"/>
        </w:rPr>
        <w:t xml:space="preserve">）是否涉及节能产品：</w:t>
      </w:r>
      <w:r/>
    </w:p>
    <w:p>
      <w:pPr>
        <w:spacing w:line="400" w:lineRule="exact"/>
        <w:tabs>
          <w:tab w:val="left" w:pos="740" w:leader="none"/>
        </w:tabs>
        <w:rPr>
          <w:rFonts w:hint="eastAsia" w:ascii="仿宋" w:hAnsi="仿宋" w:eastAsia="仿宋" w:cs="仿宋"/>
          <w:iCs/>
          <w:color w:val="auto"/>
          <w:szCs w:val="21"/>
          <w:highlight w:val="none"/>
        </w:rPr>
      </w:pPr>
      <w:r>
        <w:rPr>
          <w:rFonts w:hint="eastAsia" w:ascii="仿宋" w:hAnsi="仿宋" w:eastAsia="仿宋" w:cs="仿宋"/>
          <w:color w:val="auto"/>
          <w:szCs w:val="21"/>
          <w:highlight w:val="none"/>
        </w:rPr>
        <w:t xml:space="preserve">         </w:t>
      </w:r>
      <w:r>
        <w:rPr>
          <w:rFonts w:ascii="Wingdings" w:hAnsi="Wingdings" w:eastAsia="Wingdings" w:cs="Wingdings"/>
          <w:color w:val="auto"/>
          <w:sz w:val="21"/>
          <w:highlight w:val="none"/>
        </w:rPr>
        <w:t xml:space="preserve">¨</w:t>
      </w:r>
      <w:r>
        <w:rPr>
          <w:rFonts w:hint="eastAsia" w:ascii="仿宋" w:hAnsi="仿宋" w:eastAsia="仿宋" w:cs="仿宋"/>
          <w:color w:val="auto"/>
          <w:szCs w:val="21"/>
          <w:highlight w:val="none"/>
        </w:rPr>
        <w:t xml:space="preserve">是，《节能产品政府采购品目清单》的底级品目名称：</w:t>
      </w:r>
      <w:r>
        <w:rPr>
          <w:rFonts w:hint="eastAsia" w:ascii="仿宋" w:hAnsi="仿宋" w:eastAsia="仿宋" w:cs="仿宋"/>
          <w:color w:val="auto"/>
          <w:szCs w:val="21"/>
          <w:highlight w:val="none"/>
          <w:u w:val="single"/>
        </w:rPr>
        <w:t xml:space="preserve">         </w:t>
      </w:r>
      <w:r>
        <w:rPr>
          <w:rFonts w:hint="eastAsia" w:ascii="仿宋" w:hAnsi="仿宋" w:eastAsia="仿宋" w:cs="仿宋"/>
          <w:iCs/>
          <w:color w:val="auto"/>
          <w:szCs w:val="21"/>
          <w:highlight w:val="none"/>
        </w:rPr>
        <w:t xml:space="preserve">     </w:t>
      </w:r>
      <w:r/>
    </w:p>
    <w:p>
      <w:pPr>
        <w:spacing w:line="400" w:lineRule="exact"/>
        <w:tabs>
          <w:tab w:val="left" w:pos="740" w:leader="none"/>
        </w:tabs>
        <w:rPr>
          <w:rFonts w:hint="eastAsia" w:ascii="仿宋" w:hAnsi="仿宋" w:eastAsia="仿宋" w:cs="仿宋"/>
          <w:iCs/>
          <w:color w:val="auto"/>
          <w:szCs w:val="21"/>
          <w:highlight w:val="none"/>
        </w:rPr>
      </w:pPr>
      <w:r>
        <w:rPr>
          <w:rFonts w:hint="eastAsia" w:ascii="仿宋" w:hAnsi="仿宋" w:eastAsia="仿宋" w:cs="仿宋"/>
          <w:iCs/>
          <w:color w:val="auto"/>
          <w:szCs w:val="21"/>
          <w:highlight w:val="none"/>
        </w:rPr>
        <w:t xml:space="preserve">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强制采购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优先采购    </w:t>
      </w:r>
      <w:r/>
    </w:p>
    <w:p>
      <w:pPr>
        <w:spacing w:line="400" w:lineRule="exact"/>
        <w:tabs>
          <w:tab w:val="left" w:pos="740" w:leader="none"/>
        </w:tabs>
        <w:rPr>
          <w:rFonts w:hint="eastAsia" w:ascii="仿宋" w:hAnsi="仿宋" w:eastAsia="仿宋" w:cs="仿宋"/>
          <w:color w:val="auto"/>
          <w:szCs w:val="21"/>
          <w:highlight w:val="none"/>
        </w:rPr>
      </w:pPr>
      <w:r>
        <w:rPr>
          <w:rFonts w:hint="eastAsia" w:ascii="仿宋" w:hAnsi="仿宋" w:eastAsia="仿宋" w:cs="仿宋"/>
          <w:iCs/>
          <w:color w:val="auto"/>
          <w:szCs w:val="21"/>
          <w:highlight w:val="none"/>
        </w:rPr>
        <w:t xml:space="preserve">         </w:t>
      </w:r>
      <w:r>
        <w:rPr>
          <w:rFonts w:ascii="Wingdings" w:hAnsi="Wingdings" w:eastAsia="Wingdings" w:cs="Wingdings"/>
          <w:color w:val="auto"/>
          <w:sz w:val="21"/>
          <w:highlight w:val="none"/>
        </w:rPr>
        <w:t xml:space="preserve">¨</w:t>
      </w:r>
      <w:r>
        <w:rPr>
          <w:rFonts w:hint="eastAsia" w:ascii="仿宋" w:hAnsi="仿宋" w:eastAsia="仿宋" w:cs="仿宋"/>
          <w:color w:val="auto"/>
          <w:szCs w:val="21"/>
          <w:highlight w:val="none"/>
        </w:rPr>
        <w:t xml:space="preserve">否</w:t>
      </w:r>
      <w:r/>
    </w:p>
    <w:p>
      <w:pPr>
        <w:spacing w:line="400" w:lineRule="exact"/>
        <w:tabs>
          <w:tab w:val="left" w:pos="74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是否涉及环境标志产品：</w:t>
      </w:r>
      <w:r/>
    </w:p>
    <w:p>
      <w:pPr>
        <w:spacing w:line="400" w:lineRule="exact"/>
        <w:tabs>
          <w:tab w:val="left" w:pos="740"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w:t>
      </w:r>
      <w:r>
        <w:rPr>
          <w:rFonts w:ascii="Wingdings" w:hAnsi="Wingdings" w:eastAsia="Wingdings" w:cs="Wingdings"/>
          <w:color w:val="auto"/>
          <w:sz w:val="21"/>
          <w:highlight w:val="none"/>
        </w:rPr>
        <w:t xml:space="preserve">¨</w:t>
      </w:r>
      <w:r>
        <w:rPr>
          <w:rFonts w:hint="eastAsia" w:ascii="仿宋" w:hAnsi="仿宋" w:eastAsia="仿宋" w:cs="仿宋"/>
          <w:color w:val="auto"/>
          <w:szCs w:val="21"/>
          <w:highlight w:val="none"/>
        </w:rPr>
        <w:t xml:space="preserve">是，《环境标志产品政府采购品目清单》的底级品目名称：</w:t>
      </w:r>
      <w:r>
        <w:rPr>
          <w:rFonts w:hint="eastAsia" w:ascii="仿宋" w:hAnsi="仿宋" w:eastAsia="仿宋" w:cs="仿宋"/>
          <w:color w:val="auto"/>
          <w:szCs w:val="21"/>
          <w:highlight w:val="none"/>
          <w:u w:val="single"/>
        </w:rPr>
        <w:t xml:space="preserve">         </w:t>
      </w:r>
      <w:r>
        <w:rPr>
          <w:rFonts w:hint="eastAsia" w:ascii="仿宋" w:hAnsi="仿宋" w:eastAsia="仿宋" w:cs="仿宋"/>
          <w:iCs/>
          <w:color w:val="auto"/>
          <w:szCs w:val="21"/>
          <w:highlight w:val="none"/>
        </w:rPr>
        <w:t xml:space="preserve"> </w:t>
      </w:r>
      <w:r/>
    </w:p>
    <w:p>
      <w:pPr>
        <w:spacing w:line="400" w:lineRule="exact"/>
        <w:tabs>
          <w:tab w:val="left" w:pos="740" w:leader="none"/>
        </w:tabs>
        <w:rPr>
          <w:rFonts w:hint="eastAsia" w:ascii="仿宋" w:hAnsi="仿宋" w:eastAsia="仿宋" w:cs="仿宋"/>
          <w:iCs/>
          <w:color w:val="auto"/>
          <w:szCs w:val="21"/>
          <w:highlight w:val="none"/>
        </w:rPr>
      </w:pPr>
      <w:r>
        <w:rPr>
          <w:rFonts w:hint="eastAsia" w:ascii="仿宋" w:hAnsi="仿宋" w:eastAsia="仿宋" w:cs="仿宋"/>
          <w:iCs/>
          <w:color w:val="auto"/>
          <w:szCs w:val="21"/>
          <w:highlight w:val="none"/>
        </w:rPr>
        <w:t xml:space="preserve">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强制采购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优先采购    </w:t>
      </w:r>
      <w:r/>
    </w:p>
    <w:p>
      <w:pPr>
        <w:spacing w:line="400" w:lineRule="exact"/>
        <w:tabs>
          <w:tab w:val="left" w:pos="740" w:leader="none"/>
        </w:tabs>
        <w:rPr>
          <w:rFonts w:hint="eastAsia" w:ascii="仿宋" w:hAnsi="仿宋" w:eastAsia="仿宋" w:cs="仿宋"/>
          <w:color w:val="auto"/>
          <w:szCs w:val="21"/>
          <w:highlight w:val="none"/>
        </w:rPr>
      </w:pPr>
      <w:r>
        <w:rPr>
          <w:rFonts w:hint="eastAsia" w:ascii="仿宋" w:hAnsi="仿宋" w:eastAsia="仿宋" w:cs="仿宋"/>
          <w:iCs/>
          <w:color w:val="auto"/>
          <w:szCs w:val="21"/>
          <w:highlight w:val="none"/>
        </w:rPr>
        <w:t xml:space="preserve">         </w:t>
      </w:r>
      <w:r>
        <w:rPr>
          <w:rFonts w:ascii="Wingdings" w:hAnsi="Wingdings" w:eastAsia="Wingdings" w:cs="Wingdings"/>
          <w:color w:val="auto"/>
          <w:sz w:val="21"/>
          <w:highlight w:val="none"/>
        </w:rPr>
        <w:t xml:space="preserve">¨</w:t>
      </w:r>
      <w:r>
        <w:rPr>
          <w:rFonts w:hint="eastAsia" w:ascii="仿宋" w:hAnsi="仿宋" w:eastAsia="仿宋" w:cs="仿宋"/>
          <w:color w:val="auto"/>
          <w:szCs w:val="21"/>
          <w:highlight w:val="none"/>
        </w:rPr>
        <w:t xml:space="preserve">否</w:t>
      </w:r>
      <w:r/>
    </w:p>
    <w:p>
      <w:pPr>
        <w:pStyle w:val="1035"/>
        <w:ind w:firstLine="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是否涉及绿色产品： </w:t>
      </w:r>
      <w:r/>
    </w:p>
    <w:p>
      <w:pPr>
        <w:pStyle w:val="1035"/>
        <w:ind w:firstLine="420"/>
        <w:rPr>
          <w:rFonts w:hint="eastAsia" w:ascii="仿宋" w:hAnsi="仿宋" w:eastAsia="仿宋" w:cs="仿宋"/>
          <w:color w:val="auto"/>
          <w:highlight w:val="none"/>
          <w:u w:val="single"/>
        </w:rPr>
      </w:pPr>
      <w:r>
        <w:rPr>
          <w:rFonts w:hint="eastAsia" w:ascii="仿宋" w:hAnsi="仿宋" w:eastAsia="仿宋" w:cs="仿宋"/>
          <w:color w:val="auto"/>
          <w:sz w:val="21"/>
          <w:highlight w:val="none"/>
        </w:rPr>
        <w:t xml:space="preserve">     </w:t>
      </w:r>
      <w:r>
        <w:rPr>
          <w:rFonts w:ascii="Wingdings" w:hAnsi="Wingdings" w:eastAsia="Wingdings" w:cs="Wingdings"/>
          <w:color w:val="auto"/>
          <w:sz w:val="21"/>
          <w:highlight w:val="none"/>
        </w:rPr>
        <w:t xml:space="preserve">¨</w:t>
      </w:r>
      <w:r>
        <w:rPr>
          <w:rFonts w:hint="eastAsia" w:ascii="仿宋" w:hAnsi="仿宋" w:eastAsia="仿宋" w:cs="仿宋"/>
          <w:color w:val="auto"/>
          <w:sz w:val="21"/>
          <w:highlight w:val="none"/>
        </w:rPr>
        <w:t xml:space="preserve">是，绿色产品政府采购相关政策确定的底级品目名称：</w:t>
      </w:r>
      <w:r>
        <w:rPr>
          <w:rFonts w:hint="eastAsia" w:ascii="仿宋" w:hAnsi="仿宋" w:eastAsia="仿宋" w:cs="仿宋"/>
          <w:color w:val="auto"/>
          <w:highlight w:val="none"/>
          <w:u w:val="single"/>
        </w:rPr>
        <w:t xml:space="preserve">         </w:t>
      </w:r>
      <w:r/>
    </w:p>
    <w:p>
      <w:pPr>
        <w:spacing w:line="400" w:lineRule="exact"/>
        <w:tabs>
          <w:tab w:val="left" w:pos="740" w:leader="none"/>
        </w:tabs>
        <w:rPr>
          <w:rFonts w:hint="eastAsia" w:ascii="仿宋" w:hAnsi="仿宋" w:eastAsia="仿宋" w:cs="仿宋"/>
          <w:iCs/>
          <w:color w:val="auto"/>
          <w:szCs w:val="21"/>
          <w:highlight w:val="none"/>
        </w:rPr>
      </w:pPr>
      <w:r>
        <w:rPr>
          <w:rFonts w:hint="eastAsia" w:ascii="仿宋" w:hAnsi="仿宋" w:eastAsia="仿宋" w:cs="仿宋"/>
          <w:iCs/>
          <w:color w:val="auto"/>
          <w:szCs w:val="21"/>
          <w:highlight w:val="none"/>
        </w:rPr>
        <w:t xml:space="preserve">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强制采购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优先采购    </w:t>
      </w:r>
      <w:r/>
    </w:p>
    <w:p>
      <w:pPr>
        <w:pStyle w:val="1035"/>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w:t>
      </w:r>
      <w:r>
        <w:rPr>
          <w:rFonts w:ascii="Wingdings" w:hAnsi="Wingdings" w:eastAsia="Wingdings" w:cs="Wingdings"/>
          <w:color w:val="auto"/>
          <w:sz w:val="21"/>
          <w:highlight w:val="none"/>
        </w:rPr>
        <w:t xml:space="preserve">¨</w:t>
      </w:r>
      <w:r>
        <w:rPr>
          <w:rFonts w:hint="eastAsia" w:ascii="仿宋" w:hAnsi="仿宋" w:eastAsia="仿宋" w:cs="仿宋"/>
          <w:color w:val="auto"/>
          <w:sz w:val="21"/>
          <w:highlight w:val="none"/>
        </w:rPr>
        <w:t xml:space="preserve">否</w:t>
      </w:r>
      <w:r/>
    </w:p>
    <w:p>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（1</w:t>
      </w:r>
      <w:r>
        <w:rPr>
          <w:rFonts w:hint="eastAsia" w:ascii="仿宋" w:hAnsi="仿宋" w:eastAsia="仿宋" w:cs="仿宋"/>
          <w:color w:val="auto"/>
          <w:szCs w:val="21"/>
          <w:highlight w:val="none"/>
          <w:lang w:val="en"/>
        </w:rPr>
        <w:t xml:space="preserve">1</w:t>
      </w:r>
      <w:r>
        <w:rPr>
          <w:rFonts w:hint="eastAsia" w:ascii="仿宋" w:hAnsi="仿宋" w:eastAsia="仿宋" w:cs="仿宋"/>
          <w:color w:val="auto"/>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仿宋" w:hAnsi="仿宋" w:eastAsia="仿宋" w:cs="仿宋"/>
          <w:color w:val="auto"/>
          <w:szCs w:val="21"/>
          <w:highlight w:val="none"/>
        </w:rPr>
      </w:pPr>
      <w:r>
        <w:rPr>
          <w:rFonts w:ascii="Wingdings" w:hAnsi="Wingdings" w:eastAsia="Wingdings" w:cs="Wingdings"/>
          <w:color w:val="auto"/>
          <w:sz w:val="21"/>
          <w:highlight w:val="none"/>
        </w:rPr>
        <w:t xml:space="preserve">¨</w:t>
      </w:r>
      <w:r>
        <w:rPr>
          <w:rFonts w:hint="eastAsia" w:ascii="仿宋" w:hAnsi="仿宋" w:eastAsia="仿宋" w:cs="仿宋"/>
          <w:color w:val="auto"/>
          <w:szCs w:val="21"/>
          <w:highlight w:val="none"/>
        </w:rPr>
        <w:t xml:space="preserve">是       </w:t>
      </w:r>
      <w:r>
        <w:rPr>
          <w:rFonts w:ascii="Wingdings" w:hAnsi="Wingdings" w:eastAsia="Wingdings" w:cs="Wingdings"/>
          <w:color w:val="auto"/>
          <w:sz w:val="21"/>
          <w:highlight w:val="none"/>
        </w:rPr>
        <w:t xml:space="preserve">¨</w:t>
      </w:r>
      <w:r>
        <w:rPr>
          <w:rFonts w:hint="eastAsia" w:ascii="仿宋" w:hAnsi="仿宋" w:eastAsia="仿宋" w:cs="仿宋"/>
          <w:color w:val="auto"/>
          <w:szCs w:val="21"/>
          <w:highlight w:val="none"/>
        </w:rPr>
        <w:t xml:space="preserve">否      </w:t>
      </w:r>
      <w:r>
        <w:rPr>
          <w:rFonts w:ascii="Wingdings" w:hAnsi="Wingdings" w:eastAsia="Wingdings" w:cs="Wingdings"/>
          <w:color w:val="auto"/>
          <w:sz w:val="21"/>
          <w:highlight w:val="none"/>
        </w:rPr>
        <w:t xml:space="preserve">¨</w:t>
      </w:r>
      <w:r>
        <w:rPr>
          <w:rFonts w:hint="eastAsia" w:ascii="仿宋" w:hAnsi="仿宋" w:eastAsia="仿宋" w:cs="仿宋"/>
          <w:color w:val="auto"/>
          <w:szCs w:val="21"/>
          <w:highlight w:val="none"/>
        </w:rPr>
        <w:t xml:space="preserve">不涉及</w:t>
      </w:r>
      <w:r/>
    </w:p>
    <w:p>
      <w:pPr>
        <w:numPr>
          <w:ilvl w:val="0"/>
          <w:numId w:val="0"/>
        </w:numPr>
        <w:ind w:firstLine="420"/>
        <w:spacing w:line="400" w:lineRule="exact"/>
        <w:rPr>
          <w:rFonts w:hint="eastAsia" w:ascii="仿宋" w:hAnsi="仿宋" w:eastAsia="仿宋" w:cs="仿宋"/>
          <w:b/>
          <w:color w:val="auto"/>
          <w:szCs w:val="21"/>
          <w:highlight w:val="none"/>
        </w:rPr>
      </w:pPr>
      <w:r>
        <w:rPr>
          <w:rFonts w:hint="eastAsia" w:ascii="仿宋" w:hAnsi="仿宋" w:eastAsia="仿宋" w:cs="仿宋"/>
          <w:b/>
          <w:color w:val="auto"/>
          <w:sz w:val="21"/>
          <w:szCs w:val="21"/>
          <w:highlight w:val="none"/>
          <w:lang w:val="en-US" w:eastAsia="zh-CN" w:bidi="ar-SA"/>
        </w:rPr>
        <w:t xml:space="preserve">2.</w:t>
      </w:r>
      <w:r>
        <w:rPr>
          <w:rFonts w:hint="eastAsia" w:ascii="仿宋" w:hAnsi="仿宋" w:eastAsia="仿宋" w:cs="仿宋"/>
          <w:b/>
          <w:color w:val="auto"/>
          <w:szCs w:val="21"/>
          <w:highlight w:val="none"/>
        </w:rPr>
        <w:t xml:space="preserve">合同金额</w:t>
      </w:r>
      <w:r/>
    </w:p>
    <w:p>
      <w:pPr>
        <w:ind w:firstLine="420"/>
        <w:spacing w:line="400" w:lineRule="exact"/>
        <w:rPr>
          <w:rFonts w:hint="eastAsia"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eastAsia="zh-CN"/>
        </w:rPr>
        <w:t xml:space="preserve">（</w:t>
      </w:r>
      <w:r>
        <w:rPr>
          <w:rFonts w:hint="eastAsia" w:ascii="仿宋" w:hAnsi="仿宋" w:eastAsia="仿宋" w:cs="仿宋"/>
          <w:b/>
          <w:bCs/>
          <w:color w:val="auto"/>
          <w:szCs w:val="21"/>
          <w:highlight w:val="none"/>
          <w:lang w:val="en-US" w:eastAsia="zh-CN"/>
        </w:rPr>
        <w:t xml:space="preserve">一</w:t>
      </w:r>
      <w:r>
        <w:rPr>
          <w:rFonts w:hint="eastAsia" w:ascii="仿宋" w:hAnsi="仿宋" w:eastAsia="仿宋" w:cs="仿宋"/>
          <w:b/>
          <w:bCs/>
          <w:color w:val="auto"/>
          <w:szCs w:val="21"/>
          <w:highlight w:val="none"/>
          <w:lang w:eastAsia="zh-CN"/>
        </w:rPr>
        <w:t xml:space="preserve">）</w:t>
      </w:r>
      <w:r>
        <w:rPr>
          <w:rFonts w:hint="eastAsia" w:ascii="仿宋" w:hAnsi="仿宋" w:eastAsia="仿宋" w:cs="仿宋"/>
          <w:b/>
          <w:bCs/>
          <w:color w:val="auto"/>
          <w:szCs w:val="21"/>
          <w:highlight w:val="none"/>
          <w:lang w:val="en-US" w:eastAsia="zh-CN"/>
        </w:rPr>
        <w:t xml:space="preserve">采购包1</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（1）合同金额小写：</w:t>
      </w:r>
      <w:r>
        <w:rPr>
          <w:rFonts w:hint="eastAsia" w:ascii="仿宋" w:hAnsi="仿宋" w:eastAsia="仿宋" w:cs="仿宋"/>
          <w:color w:val="auto"/>
          <w:szCs w:val="21"/>
          <w:highlight w:val="none"/>
          <w:u w:val="single"/>
        </w:rPr>
        <w:t xml:space="preserve">                           </w:t>
      </w:r>
      <w:r/>
    </w:p>
    <w:p>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大写：</w:t>
      </w:r>
      <w:r>
        <w:rPr>
          <w:rFonts w:hint="eastAsia" w:ascii="仿宋" w:hAnsi="仿宋" w:eastAsia="仿宋" w:cs="仿宋"/>
          <w:color w:val="auto"/>
          <w:szCs w:val="21"/>
          <w:highlight w:val="none"/>
          <w:u w:val="single"/>
        </w:rPr>
        <w:t xml:space="preserve">                           </w:t>
      </w:r>
      <w:r/>
    </w:p>
    <w:p>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（2）合同定价方式（采用组合定价方式的，可以勾选多项）：</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iCs/>
          <w:color w:val="auto"/>
          <w:szCs w:val="21"/>
          <w:highlight w:val="none"/>
        </w:rPr>
        <w:t xml:space="preserve">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固定总价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固定单价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固定费率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成本补偿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绩效激励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其他</w:t>
      </w:r>
      <w:r>
        <w:rPr>
          <w:rFonts w:hint="eastAsia" w:ascii="仿宋" w:hAnsi="仿宋" w:eastAsia="仿宋" w:cs="仿宋"/>
          <w:color w:val="auto"/>
          <w:szCs w:val="21"/>
          <w:highlight w:val="none"/>
          <w:u w:val="single"/>
        </w:rPr>
        <w:t xml:space="preserve">       </w:t>
      </w:r>
      <w:r/>
    </w:p>
    <w:p>
      <w:pPr>
        <w:pStyle w:val="1036"/>
        <w:ind w:left="0" w:firstLine="420"/>
        <w:spacing w:line="40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（3）付款方式（按项目实际勾选填写）：</w:t>
      </w:r>
      <w:r/>
    </w:p>
    <w:p>
      <w:pPr>
        <w:ind w:firstLine="630"/>
        <w:spacing w:line="400" w:lineRule="exact"/>
        <w:rPr>
          <w:rFonts w:hint="eastAsia" w:ascii="仿宋" w:hAnsi="仿宋" w:eastAsia="仿宋" w:cs="仿宋"/>
          <w:color w:val="auto"/>
          <w:szCs w:val="21"/>
          <w:highlight w:val="none"/>
          <w:u w:val="single"/>
        </w:rPr>
      </w:pPr>
      <w:r>
        <w:rPr>
          <w:rFonts w:ascii="Wingdings" w:hAnsi="Wingdings" w:eastAsia="Wingdings" w:cs="Wingdings"/>
          <w:color w:val="auto"/>
          <w:szCs w:val="21"/>
          <w:highlight w:val="none"/>
        </w:rPr>
        <w:t xml:space="preserve">¨</w:t>
      </w:r>
      <w:r>
        <w:rPr>
          <w:rFonts w:hint="eastAsia" w:ascii="仿宋" w:hAnsi="仿宋" w:eastAsia="仿宋" w:cs="仿宋"/>
          <w:color w:val="auto"/>
          <w:szCs w:val="21"/>
          <w:highlight w:val="none"/>
        </w:rPr>
        <w:t xml:space="preserve">全额付款：</w:t>
      </w:r>
      <w:r>
        <w:rPr>
          <w:rFonts w:hint="eastAsia" w:ascii="仿宋" w:hAnsi="仿宋" w:eastAsia="仿宋" w:cs="仿宋"/>
          <w:color w:val="auto"/>
          <w:szCs w:val="21"/>
          <w:highlight w:val="none"/>
          <w:u w:val="single"/>
        </w:rPr>
        <w:t xml:space="preserve">  （应明确一次性支付合同款项的条件）                    </w:t>
      </w:r>
      <w:r/>
    </w:p>
    <w:p>
      <w:pPr>
        <w:ind w:firstLine="630"/>
        <w:spacing w:line="400" w:lineRule="exact"/>
        <w:rPr>
          <w:rFonts w:hint="eastAsia" w:ascii="仿宋" w:hAnsi="仿宋" w:eastAsia="仿宋" w:cs="仿宋"/>
          <w:color w:val="auto"/>
          <w:szCs w:val="21"/>
          <w:highlight w:val="none"/>
          <w:u w:val="single"/>
        </w:rPr>
      </w:pPr>
      <w:r>
        <w:rPr>
          <w:rFonts w:ascii="Wingdings" w:hAnsi="Wingdings" w:eastAsia="Wingdings" w:cs="Wingdings"/>
          <w:color w:val="auto"/>
          <w:szCs w:val="21"/>
          <w:highlight w:val="none"/>
        </w:rPr>
        <w:t xml:space="preserve">þ</w:t>
      </w:r>
      <w:r>
        <w:rPr>
          <w:rFonts w:hint="eastAsia" w:ascii="仿宋" w:hAnsi="仿宋" w:eastAsia="仿宋" w:cs="仿宋"/>
          <w:color w:val="auto"/>
          <w:szCs w:val="21"/>
          <w:highlight w:val="none"/>
        </w:rPr>
        <w:t xml:space="preserve">分期付款</w:t>
      </w:r>
      <w:r>
        <w:rPr>
          <w:rFonts w:hint="eastAsia" w:ascii="仿宋" w:hAnsi="仿宋" w:eastAsia="仿宋" w:cs="仿宋"/>
          <w:color w:val="auto"/>
          <w:szCs w:val="21"/>
          <w:highlight w:val="none"/>
          <w:lang w:eastAsia="zh-CN"/>
        </w:rPr>
        <w:t xml:space="preserve">：</w:t>
      </w:r>
      <w:r>
        <w:rPr>
          <w:rFonts w:hint="eastAsia" w:ascii="仿宋" w:hAnsi="仿宋" w:eastAsia="仿宋" w:cs="仿宋"/>
          <w:color w:val="auto"/>
          <w:szCs w:val="21"/>
          <w:highlight w:val="none"/>
          <w:u w:val="single"/>
          <w:lang w:val="en-US" w:eastAsia="zh-CN"/>
        </w:rPr>
        <w:t xml:space="preserve">依据苏财购【2020】52号文和淮审批发【2022】23号文的相关规定，合同签订后 15日内预付合同款项的40%，货到安装、验收合格，正常使用，采购人自验收合格之日起15日内一次性付清剩余货款。</w:t>
      </w:r>
      <w:r/>
    </w:p>
    <w:p>
      <w:pPr>
        <w:ind w:firstLine="63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numPr>
          <w:ilvl w:val="0"/>
          <w:numId w:val="8"/>
        </w:numPr>
        <w:ind w:firstLine="420"/>
        <w:spacing w:line="400" w:lineRule="exact"/>
        <w:rPr>
          <w:rFonts w:hint="eastAsia" w:ascii="仿宋" w:hAnsi="仿宋" w:eastAsia="仿宋" w:cs="仿宋"/>
          <w:b/>
          <w:color w:val="auto"/>
          <w:sz w:val="21"/>
          <w:szCs w:val="21"/>
          <w:highlight w:val="none"/>
          <w:lang w:val="en-US" w:eastAsia="zh-CN" w:bidi="ar-SA"/>
        </w:rPr>
      </w:pPr>
      <w:r>
        <w:rPr>
          <w:rFonts w:hint="eastAsia" w:ascii="仿宋" w:hAnsi="仿宋" w:eastAsia="仿宋" w:cs="仿宋"/>
          <w:b/>
          <w:color w:val="auto"/>
          <w:sz w:val="21"/>
          <w:szCs w:val="21"/>
          <w:highlight w:val="none"/>
          <w:lang w:val="en-US" w:eastAsia="zh-CN" w:bidi="ar-SA"/>
        </w:rPr>
        <w:t xml:space="preserve">采购包2</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（1）合同金额小写：</w:t>
      </w:r>
      <w:r>
        <w:rPr>
          <w:rFonts w:hint="eastAsia" w:ascii="仿宋" w:hAnsi="仿宋" w:eastAsia="仿宋" w:cs="仿宋"/>
          <w:color w:val="auto"/>
          <w:szCs w:val="21"/>
          <w:highlight w:val="none"/>
          <w:u w:val="single"/>
        </w:rPr>
        <w:t xml:space="preserve">                           </w:t>
      </w:r>
      <w:r/>
    </w:p>
    <w:p>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大写：</w:t>
      </w:r>
      <w:r>
        <w:rPr>
          <w:rFonts w:hint="eastAsia" w:ascii="仿宋" w:hAnsi="仿宋" w:eastAsia="仿宋" w:cs="仿宋"/>
          <w:color w:val="auto"/>
          <w:szCs w:val="21"/>
          <w:highlight w:val="none"/>
          <w:u w:val="single"/>
        </w:rPr>
        <w:t xml:space="preserve">                           </w:t>
      </w:r>
      <w:r/>
    </w:p>
    <w:p>
      <w:pPr>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（2）合同定价方式（采用组合定价方式的，可以勾选多项）：</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iCs/>
          <w:color w:val="auto"/>
          <w:szCs w:val="21"/>
          <w:highlight w:val="none"/>
        </w:rPr>
        <w:t xml:space="preserve">  </w:t>
      </w:r>
      <w:r>
        <w:rPr>
          <w:rFonts w:ascii="Wingdings" w:hAnsi="Wingdings" w:eastAsia="Wingdings" w:cs="Wingdings"/>
          <w:iCs/>
          <w:color w:val="auto"/>
          <w:szCs w:val="21"/>
          <w:highlight w:val="none"/>
        </w:rPr>
        <w:t xml:space="preserve">þ</w:t>
      </w:r>
      <w:r>
        <w:rPr>
          <w:rFonts w:hint="eastAsia" w:ascii="仿宋" w:hAnsi="仿宋" w:eastAsia="仿宋" w:cs="仿宋"/>
          <w:iCs/>
          <w:color w:val="auto"/>
          <w:szCs w:val="21"/>
          <w:highlight w:val="none"/>
        </w:rPr>
        <w:t xml:space="preserve">固定总价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固定单价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固定费率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成本补偿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绩效激励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其他</w:t>
      </w:r>
      <w:r>
        <w:rPr>
          <w:rFonts w:hint="eastAsia" w:ascii="仿宋" w:hAnsi="仿宋" w:eastAsia="仿宋" w:cs="仿宋"/>
          <w:color w:val="auto"/>
          <w:szCs w:val="21"/>
          <w:highlight w:val="none"/>
          <w:u w:val="single"/>
        </w:rPr>
        <w:t xml:space="preserve">       </w:t>
      </w:r>
      <w:r/>
    </w:p>
    <w:p>
      <w:pPr>
        <w:pStyle w:val="1036"/>
        <w:ind w:left="0" w:firstLine="420"/>
        <w:spacing w:line="40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（3）付款方式（按项目实际勾选填写）：</w:t>
      </w:r>
      <w:r/>
    </w:p>
    <w:p>
      <w:pPr>
        <w:ind w:firstLine="630"/>
        <w:spacing w:line="400" w:lineRule="exact"/>
        <w:rPr>
          <w:rFonts w:hint="eastAsia" w:ascii="仿宋" w:hAnsi="仿宋" w:eastAsia="仿宋" w:cs="仿宋"/>
          <w:color w:val="auto"/>
          <w:szCs w:val="21"/>
          <w:highlight w:val="none"/>
          <w:u w:val="single"/>
        </w:rPr>
      </w:pPr>
      <w:r>
        <w:rPr>
          <w:rFonts w:ascii="Wingdings" w:hAnsi="Wingdings" w:eastAsia="Wingdings" w:cs="Wingdings"/>
          <w:color w:val="auto"/>
          <w:sz w:val="21"/>
          <w:highlight w:val="none"/>
        </w:rPr>
        <w:t xml:space="preserve">¨</w:t>
      </w:r>
      <w:r>
        <w:rPr>
          <w:rFonts w:hint="eastAsia" w:ascii="仿宋" w:hAnsi="仿宋" w:eastAsia="仿宋" w:cs="仿宋"/>
          <w:color w:val="auto"/>
          <w:szCs w:val="21"/>
          <w:highlight w:val="none"/>
        </w:rPr>
        <w:t xml:space="preserve">全额付款：</w:t>
      </w:r>
      <w:r>
        <w:rPr>
          <w:rFonts w:hint="eastAsia" w:ascii="仿宋" w:hAnsi="仿宋" w:eastAsia="仿宋" w:cs="仿宋"/>
          <w:color w:val="auto"/>
          <w:szCs w:val="21"/>
          <w:highlight w:val="none"/>
          <w:u w:val="single"/>
        </w:rPr>
        <w:t xml:space="preserve">  全部设备现场安装调试完毕并经采购人验收合格后一次性付清。</w:t>
      </w:r>
      <w:r/>
    </w:p>
    <w:p>
      <w:pPr>
        <w:ind w:firstLine="630"/>
        <w:spacing w:line="400" w:lineRule="exact"/>
        <w:rPr>
          <w:rFonts w:hint="eastAsia" w:ascii="仿宋" w:hAnsi="仿宋" w:eastAsia="仿宋" w:cs="仿宋"/>
          <w:color w:val="auto"/>
          <w:highlight w:val="none"/>
        </w:rPr>
      </w:pPr>
      <w:r>
        <w:rPr>
          <w:rFonts w:ascii="Wingdings" w:hAnsi="Wingdings" w:eastAsia="Wingdings" w:cs="Wingdings"/>
          <w:color w:val="auto"/>
          <w:sz w:val="21"/>
          <w:highlight w:val="none"/>
        </w:rPr>
        <w:t xml:space="preserve">¨</w:t>
      </w:r>
      <w:r>
        <w:rPr>
          <w:rFonts w:hint="eastAsia" w:ascii="仿宋" w:hAnsi="仿宋" w:eastAsia="仿宋" w:cs="仿宋"/>
          <w:color w:val="auto"/>
          <w:szCs w:val="21"/>
          <w:highlight w:val="none"/>
        </w:rPr>
        <w:t xml:space="preserve">分期付款：</w:t>
      </w:r>
      <w:r>
        <w:rPr>
          <w:rFonts w:hint="eastAsia" w:ascii="仿宋" w:hAnsi="仿宋" w:eastAsia="仿宋" w:cs="仿宋"/>
          <w:color w:val="auto"/>
          <w:szCs w:val="21"/>
          <w:highlight w:val="none"/>
          <w:u w:val="single"/>
        </w:rPr>
        <w:t xml:space="preserve">  （应明确分期支付合同款项的各期比例和支付条件，各期支付条件应与分期履约验收情况挂钩） </w:t>
      </w:r>
      <w:r>
        <w:rPr>
          <w:rFonts w:hint="eastAsia" w:ascii="仿宋" w:hAnsi="仿宋" w:eastAsia="仿宋" w:cs="仿宋"/>
          <w:color w:val="auto"/>
          <w:szCs w:val="21"/>
          <w:highlight w:val="none"/>
        </w:rPr>
        <w:t xml:space="preserve">，其中涉及预付款的：</w:t>
      </w:r>
      <w:r>
        <w:rPr>
          <w:rFonts w:hint="eastAsia" w:ascii="仿宋" w:hAnsi="仿宋" w:eastAsia="仿宋" w:cs="仿宋"/>
          <w:color w:val="auto"/>
          <w:szCs w:val="21"/>
          <w:highlight w:val="none"/>
          <w:u w:val="single"/>
        </w:rPr>
        <w:t xml:space="preserve"> （应明确预付款的支付比例和支付条件） </w:t>
      </w:r>
      <w:r/>
    </w:p>
    <w:p>
      <w:pPr>
        <w:numPr>
          <w:ilvl w:val="0"/>
          <w:numId w:val="0"/>
        </w:numPr>
        <w:spacing w:line="400" w:lineRule="exact"/>
        <w:rPr>
          <w:rFonts w:hint="eastAsia" w:ascii="仿宋" w:hAnsi="仿宋" w:eastAsia="仿宋" w:cs="仿宋"/>
          <w:b/>
          <w:color w:val="auto"/>
          <w:sz w:val="21"/>
          <w:szCs w:val="21"/>
          <w:highlight w:val="none"/>
          <w:lang w:val="en-US" w:eastAsia="zh-CN" w:bidi="ar-SA"/>
        </w:rPr>
      </w:pPr>
      <w:r>
        <w:rPr>
          <w:rFonts w:hint="eastAsia" w:ascii="仿宋" w:hAnsi="仿宋" w:eastAsia="仿宋" w:cs="仿宋"/>
          <w:b/>
          <w:color w:val="auto"/>
          <w:sz w:val="21"/>
          <w:szCs w:val="21"/>
          <w:highlight w:val="none"/>
          <w:lang w:val="en-US" w:eastAsia="zh-CN" w:bidi="ar-SA"/>
        </w:rPr>
      </w:r>
      <w:r/>
    </w:p>
    <w:p>
      <w:pPr>
        <w:numPr>
          <w:ilvl w:val="0"/>
          <w:numId w:val="9"/>
        </w:numPr>
        <w:ind w:firstLine="420"/>
        <w:spacing w:line="400" w:lineRule="exac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合同履行</w:t>
      </w:r>
      <w:r/>
    </w:p>
    <w:p>
      <w:pPr>
        <w:ind w:firstLine="420"/>
        <w:spacing w:line="400" w:lineRule="exact"/>
        <w:rPr>
          <w:rFonts w:hint="eastAsia" w:ascii="仿宋" w:hAnsi="仿宋" w:eastAsia="仿宋" w:cs="仿宋"/>
          <w:b/>
          <w:color w:val="auto"/>
          <w:szCs w:val="21"/>
          <w:highlight w:val="none"/>
        </w:rPr>
      </w:pPr>
      <w:r>
        <w:rPr>
          <w:rFonts w:hint="eastAsia" w:ascii="仿宋" w:hAnsi="仿宋" w:eastAsia="仿宋" w:cs="仿宋"/>
          <w:b/>
          <w:bCs/>
          <w:color w:val="auto"/>
          <w:szCs w:val="21"/>
          <w:highlight w:val="none"/>
          <w:lang w:eastAsia="zh-CN"/>
        </w:rPr>
        <w:t xml:space="preserve">（</w:t>
      </w:r>
      <w:r>
        <w:rPr>
          <w:rFonts w:hint="eastAsia" w:ascii="仿宋" w:hAnsi="仿宋" w:eastAsia="仿宋" w:cs="仿宋"/>
          <w:b/>
          <w:bCs/>
          <w:color w:val="auto"/>
          <w:szCs w:val="21"/>
          <w:highlight w:val="none"/>
          <w:lang w:val="en-US" w:eastAsia="zh-CN"/>
        </w:rPr>
        <w:t xml:space="preserve">一</w:t>
      </w:r>
      <w:r>
        <w:rPr>
          <w:rFonts w:hint="eastAsia" w:ascii="仿宋" w:hAnsi="仿宋" w:eastAsia="仿宋" w:cs="仿宋"/>
          <w:b/>
          <w:bCs/>
          <w:color w:val="auto"/>
          <w:szCs w:val="21"/>
          <w:highlight w:val="none"/>
          <w:lang w:eastAsia="zh-CN"/>
        </w:rPr>
        <w:t xml:space="preserve">）</w:t>
      </w:r>
      <w:r>
        <w:rPr>
          <w:rFonts w:hint="eastAsia" w:ascii="仿宋" w:hAnsi="仿宋" w:eastAsia="仿宋" w:cs="仿宋"/>
          <w:b/>
          <w:bCs/>
          <w:color w:val="auto"/>
          <w:szCs w:val="21"/>
          <w:highlight w:val="none"/>
          <w:lang w:val="en-US" w:eastAsia="zh-CN"/>
        </w:rPr>
        <w:t xml:space="preserve">采购包1</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（1）起始日期：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2026</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日，完成日期：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2026</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日。</w:t>
      </w:r>
      <w:r/>
    </w:p>
    <w:p>
      <w:pPr>
        <w:ind w:firstLine="420"/>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（2）履约地点</w:t>
      </w:r>
      <w:r>
        <w:rPr>
          <w:rFonts w:hint="eastAsia" w:ascii="仿宋" w:hAnsi="仿宋" w:eastAsia="仿宋" w:cs="仿宋"/>
          <w:bCs/>
          <w:color w:val="auto"/>
          <w:szCs w:val="21"/>
          <w:highlight w:val="none"/>
        </w:rPr>
        <w:t xml:space="preserve">：</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江苏省洪泽中学（洪泽区千岛湖路32号）</w:t>
      </w:r>
      <w:r>
        <w:rPr>
          <w:rFonts w:hint="eastAsia" w:ascii="仿宋" w:hAnsi="仿宋" w:eastAsia="仿宋" w:cs="仿宋"/>
          <w:color w:val="auto"/>
          <w:szCs w:val="21"/>
          <w:highlight w:val="none"/>
          <w:u w:val="single"/>
        </w:rPr>
        <w:t xml:space="preserve">   </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 xml:space="preserve">（3）履约担保：</w:t>
      </w:r>
      <w:r>
        <w:rPr>
          <w:rFonts w:hint="eastAsia" w:ascii="仿宋" w:hAnsi="仿宋" w:eastAsia="仿宋" w:cs="仿宋"/>
          <w:color w:val="auto"/>
          <w:highlight w:val="none"/>
        </w:rPr>
        <w:t xml:space="preserve">是否收取履约保证金：</w:t>
      </w:r>
      <w:r>
        <w:rPr>
          <w:rFonts w:ascii="Wingdings" w:hAnsi="Wingdings" w:eastAsia="Wingdings" w:cs="Wingdings"/>
          <w:color w:val="auto"/>
          <w:szCs w:val="21"/>
          <w:highlight w:val="none"/>
        </w:rPr>
        <w:t xml:space="preserve">þ</w:t>
      </w:r>
      <w:r>
        <w:rPr>
          <w:rFonts w:hint="eastAsia" w:ascii="仿宋" w:hAnsi="仿宋" w:eastAsia="仿宋" w:cs="仿宋"/>
          <w:color w:val="auto"/>
          <w:szCs w:val="21"/>
          <w:highlight w:val="none"/>
        </w:rPr>
        <w:t xml:space="preserve">是    </w:t>
      </w:r>
      <w:r>
        <w:rPr>
          <w:rFonts w:ascii="Wingdings" w:hAnsi="Wingdings" w:eastAsia="Wingdings" w:cs="Wingdings"/>
          <w:color w:val="auto"/>
          <w:szCs w:val="21"/>
          <w:highlight w:val="none"/>
        </w:rPr>
        <w:t xml:space="preserve">¨</w:t>
      </w:r>
      <w:r>
        <w:rPr>
          <w:rFonts w:hint="eastAsia" w:ascii="仿宋" w:hAnsi="仿宋" w:eastAsia="仿宋" w:cs="仿宋"/>
          <w:color w:val="auto"/>
          <w:szCs w:val="21"/>
          <w:highlight w:val="none"/>
        </w:rPr>
        <w:t xml:space="preserve">否</w:t>
      </w:r>
      <w:r/>
    </w:p>
    <w:p>
      <w:pPr>
        <w:pStyle w:val="1035"/>
        <w:rPr>
          <w:rFonts w:hint="eastAsia" w:ascii="仿宋" w:hAnsi="仿宋" w:eastAsia="仿宋" w:cs="仿宋"/>
          <w:color w:val="auto"/>
          <w:sz w:val="21"/>
          <w:highlight w:val="none"/>
          <w:lang w:eastAsia="zh-CN"/>
        </w:rPr>
      </w:pPr>
      <w:r>
        <w:rPr>
          <w:rFonts w:hint="eastAsia" w:ascii="仿宋" w:hAnsi="仿宋" w:eastAsia="仿宋" w:cs="仿宋"/>
          <w:bCs/>
          <w:color w:val="auto"/>
          <w:highlight w:val="none"/>
        </w:rPr>
        <w:t xml:space="preserve"> </w:t>
      </w:r>
      <w:r>
        <w:rPr>
          <w:rFonts w:hint="eastAsia" w:ascii="仿宋" w:hAnsi="仿宋" w:eastAsia="仿宋" w:cs="仿宋"/>
          <w:color w:val="auto"/>
          <w:sz w:val="21"/>
          <w:highlight w:val="none"/>
        </w:rPr>
        <w:t xml:space="preserve">收取履约保证金形式：</w:t>
      </w:r>
      <w:r>
        <w:rPr>
          <w:rFonts w:hint="eastAsia" w:ascii="仿宋" w:hAnsi="仿宋" w:eastAsia="仿宋" w:cs="仿宋"/>
          <w:bCs/>
          <w:color w:val="auto"/>
          <w:sz w:val="21"/>
          <w:highlight w:val="none"/>
          <w:u w:val="single"/>
        </w:rPr>
        <w:t xml:space="preserve">支票、汇票、本票或者金融机构、担保机构出具的保函等非现金形式提交</w:t>
      </w:r>
      <w:r>
        <w:rPr>
          <w:rFonts w:hint="eastAsia" w:ascii="仿宋" w:hAnsi="仿宋" w:eastAsia="仿宋" w:cs="仿宋"/>
          <w:bCs/>
          <w:color w:val="auto"/>
          <w:sz w:val="21"/>
          <w:highlight w:val="none"/>
          <w:u w:val="none"/>
          <w:lang w:eastAsia="zh-CN"/>
        </w:rPr>
        <w:t xml:space="preserve">。</w:t>
      </w:r>
      <w:r/>
    </w:p>
    <w:p>
      <w:pPr>
        <w:pStyle w:val="1035"/>
        <w:ind w:firstLine="420"/>
        <w:rPr>
          <w:rFonts w:hint="eastAsia" w:ascii="仿宋" w:hAnsi="仿宋" w:eastAsia="仿宋" w:cs="仿宋"/>
          <w:color w:val="auto"/>
          <w:sz w:val="21"/>
          <w:highlight w:val="none"/>
          <w:lang w:eastAsia="zh-CN"/>
        </w:rPr>
      </w:pPr>
      <w:r>
        <w:rPr>
          <w:rFonts w:hint="eastAsia" w:ascii="仿宋" w:hAnsi="仿宋" w:eastAsia="仿宋" w:cs="仿宋"/>
          <w:color w:val="auto"/>
          <w:sz w:val="21"/>
          <w:highlight w:val="none"/>
        </w:rPr>
        <w:t xml:space="preserve"> 收取履约保证金金额：</w:t>
      </w:r>
      <w:r>
        <w:rPr>
          <w:rFonts w:hint="eastAsia" w:ascii="仿宋" w:hAnsi="仿宋" w:eastAsia="仿宋" w:cs="仿宋"/>
          <w:bCs/>
          <w:color w:val="auto"/>
          <w:sz w:val="21"/>
          <w:highlight w:val="none"/>
          <w:u w:val="single"/>
        </w:rPr>
        <w:t xml:space="preserve">    </w:t>
      </w:r>
      <w:r>
        <w:rPr>
          <w:rFonts w:hint="eastAsia" w:ascii="仿宋" w:hAnsi="仿宋" w:eastAsia="仿宋" w:cs="仿宋"/>
          <w:b/>
          <w:bCs/>
          <w:color w:val="auto"/>
          <w:sz w:val="21"/>
          <w:szCs w:val="21"/>
          <w:highlight w:val="none"/>
          <w:u w:val="single"/>
          <w:lang w:val="en-US" w:eastAsia="zh-CN" w:bidi="ar-SA"/>
        </w:rPr>
        <w:t xml:space="preserve">合同金额的1%</w:t>
      </w:r>
      <w:r>
        <w:rPr>
          <w:rFonts w:hint="eastAsia" w:ascii="仿宋" w:hAnsi="仿宋" w:eastAsia="仿宋" w:cs="仿宋"/>
          <w:bCs/>
          <w:color w:val="auto"/>
          <w:sz w:val="21"/>
          <w:highlight w:val="none"/>
          <w:u w:val="single"/>
        </w:rPr>
        <w:t xml:space="preserve">    </w:t>
      </w:r>
      <w:r>
        <w:rPr>
          <w:rFonts w:hint="eastAsia" w:ascii="仿宋" w:hAnsi="仿宋" w:eastAsia="仿宋" w:cs="仿宋"/>
          <w:bCs/>
          <w:color w:val="auto"/>
          <w:sz w:val="21"/>
          <w:highlight w:val="none"/>
          <w:u w:val="none"/>
          <w:lang w:eastAsia="zh-CN"/>
        </w:rPr>
        <w:t xml:space="preserve">。</w:t>
      </w:r>
      <w:r/>
    </w:p>
    <w:p>
      <w:pPr>
        <w:numPr>
          <w:ilvl w:val="0"/>
          <w:numId w:val="0"/>
        </w:numPr>
        <w:ind w:firstLine="560"/>
        <w:spacing w:line="520" w:lineRule="exact"/>
        <w:rPr>
          <w:rFonts w:hint="eastAsia" w:ascii="仿宋" w:hAnsi="仿宋" w:eastAsia="仿宋" w:cs="仿宋"/>
          <w:bCs/>
          <w:color w:val="auto"/>
          <w:szCs w:val="21"/>
          <w:highlight w:val="none"/>
          <w:u w:val="none"/>
          <w:lang w:eastAsia="zh-CN"/>
        </w:rPr>
      </w:pPr>
      <w:r>
        <w:rPr>
          <w:rFonts w:hint="eastAsia" w:ascii="仿宋" w:hAnsi="仿宋" w:eastAsia="仿宋" w:cs="仿宋"/>
          <w:bCs/>
          <w:color w:val="auto"/>
          <w:szCs w:val="21"/>
          <w:highlight w:val="none"/>
        </w:rPr>
        <w:t xml:space="preserve">履约担保期限：</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u w:val="single"/>
          <w:lang w:val="en-US" w:eastAsia="zh-CN"/>
        </w:rPr>
        <w:t xml:space="preserve">与供货期限一致</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u w:val="none"/>
          <w:lang w:eastAsia="zh-CN"/>
        </w:rPr>
        <w:t xml:space="preserve">。</w:t>
      </w:r>
      <w:r/>
    </w:p>
    <w:p>
      <w:pPr>
        <w:numPr>
          <w:ilvl w:val="0"/>
          <w:numId w:val="0"/>
        </w:numPr>
        <w:ind w:firstLine="560"/>
        <w:spacing w:line="52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乙方选取银行保函、担保公司的保证担保或保险公司的保证保险等形式的向甲方缴纳的，如保函（担保、保险等）的约定期到期但乙方履约仍未结束的，乙方须进行续保。</w:t>
      </w:r>
      <w:r/>
    </w:p>
    <w:p>
      <w:pPr>
        <w:numPr>
          <w:ilvl w:val="0"/>
          <w:numId w:val="0"/>
        </w:numPr>
        <w:ind w:firstLine="560"/>
        <w:spacing w:line="52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乙方选取以履约保函（保险）形式向甲方缴纳的，按照《关于在全省政府采购领域推行电子履约保函（保险）的通知》（苏财购【2023】150号）的要求，登录“政府采购电子履约保函（保险）平台”，选择第三方机构并提交保函（保险）申请，经审核通过后支付相关费用。</w:t>
      </w:r>
      <w:r/>
    </w:p>
    <w:p>
      <w:pPr>
        <w:numPr>
          <w:ilvl w:val="0"/>
          <w:numId w:val="0"/>
        </w:numPr>
        <w:ind w:firstLine="560"/>
        <w:spacing w:line="52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如乙方未能履行合同规定的义务，甲方有权从履约保证金中取得补偿。</w:t>
      </w:r>
      <w:r/>
    </w:p>
    <w:p>
      <w:pPr>
        <w:numPr>
          <w:ilvl w:val="0"/>
          <w:numId w:val="0"/>
        </w:numPr>
        <w:ind w:firstLine="560"/>
        <w:spacing w:line="520" w:lineRule="exact"/>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履约保证金在合同约定期间内不予退还或者应完全有效，约定期间届满之日起15个工作日内，甲方应将履约保证金退还乙方；逾期退还的，按中国人民银行同期贷款基利率上浮20%后的利率支付超期资金占用费，但因中标人自身原因导致无法及时退还的除外。</w:t>
      </w:r>
      <w:r/>
    </w:p>
    <w:p>
      <w:pPr>
        <w:numPr>
          <w:ilvl w:val="0"/>
          <w:numId w:val="0"/>
        </w:numPr>
        <w:ind w:firstLine="560"/>
        <w:spacing w:line="520" w:lineRule="exact"/>
        <w:rPr>
          <w:rFonts w:hint="eastAsia" w:ascii="仿宋" w:hAnsi="仿宋" w:eastAsia="仿宋" w:cs="仿宋"/>
          <w:color w:val="auto"/>
          <w:highlight w:val="none"/>
          <w:lang w:eastAsia="zh-CN"/>
        </w:rPr>
      </w:pPr>
      <w:r>
        <w:rPr>
          <w:rFonts w:hint="eastAsia" w:ascii="仿宋" w:hAnsi="仿宋" w:eastAsia="仿宋" w:cs="仿宋"/>
          <w:color w:val="auto"/>
          <w:sz w:val="21"/>
          <w:szCs w:val="21"/>
          <w:highlight w:val="none"/>
          <w:lang w:val="en-US" w:eastAsia="zh-CN" w:bidi="ar-SA"/>
        </w:rPr>
        <w:t xml:space="preserve">履约保证金在合同约定期间内不予退还或者应完全有效，履约保证金在项目验收合格后无息退还给乙方。</w:t>
      </w:r>
      <w:r/>
    </w:p>
    <w:p>
      <w:pPr>
        <w:numPr>
          <w:ilvl w:val="0"/>
          <w:numId w:val="0"/>
        </w:numPr>
        <w:ind w:left="420"/>
        <w:spacing w:line="400" w:lineRule="exact"/>
        <w:rPr>
          <w:rFonts w:hint="eastAsia" w:ascii="仿宋" w:hAnsi="仿宋" w:eastAsia="仿宋" w:cs="仿宋"/>
          <w:b/>
          <w:bCs w:val="0"/>
          <w:color w:val="auto"/>
          <w:sz w:val="21"/>
          <w:szCs w:val="21"/>
          <w:highlight w:val="none"/>
          <w:lang w:val="en-US" w:eastAsia="zh-CN" w:bidi="ar-SA"/>
        </w:rPr>
      </w:pPr>
      <w:r>
        <w:rPr>
          <w:rFonts w:hint="eastAsia" w:ascii="仿宋" w:hAnsi="仿宋" w:eastAsia="仿宋" w:cs="仿宋"/>
          <w:b/>
          <w:bCs w:val="0"/>
          <w:color w:val="auto"/>
          <w:sz w:val="21"/>
          <w:szCs w:val="21"/>
          <w:highlight w:val="none"/>
          <w:lang w:val="en-US" w:eastAsia="zh-CN" w:bidi="ar-SA"/>
        </w:rPr>
        <w:t xml:space="preserve">（二）采购包2</w:t>
      </w:r>
      <w:r/>
    </w:p>
    <w:p>
      <w:pPr>
        <w:numPr>
          <w:ilvl w:val="0"/>
          <w:numId w:val="0"/>
        </w:numPr>
        <w:ind w:left="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（1）起始日期：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2026</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日，完成日期：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2026</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日。</w:t>
      </w:r>
      <w:r/>
    </w:p>
    <w:p>
      <w:pPr>
        <w:ind w:firstLine="420"/>
        <w:spacing w:line="400" w:lineRule="exac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 xml:space="preserve">（2）履约地点</w:t>
      </w:r>
      <w:r>
        <w:rPr>
          <w:rFonts w:hint="eastAsia" w:ascii="仿宋" w:hAnsi="仿宋" w:eastAsia="仿宋" w:cs="仿宋"/>
          <w:bCs/>
          <w:color w:val="auto"/>
          <w:szCs w:val="21"/>
          <w:highlight w:val="none"/>
        </w:rPr>
        <w:t xml:space="preserve">：</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江苏省洪泽中学（洪泽区千岛湖路32号）</w:t>
      </w:r>
      <w:r>
        <w:rPr>
          <w:rFonts w:hint="eastAsia" w:ascii="仿宋" w:hAnsi="仿宋" w:eastAsia="仿宋" w:cs="仿宋"/>
          <w:color w:val="auto"/>
          <w:szCs w:val="21"/>
          <w:highlight w:val="none"/>
          <w:u w:val="single"/>
        </w:rPr>
        <w:t xml:space="preserve">   </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 xml:space="preserve">（3）履约担保：</w:t>
      </w:r>
      <w:r>
        <w:rPr>
          <w:rFonts w:hint="eastAsia" w:ascii="仿宋" w:hAnsi="仿宋" w:eastAsia="仿宋" w:cs="仿宋"/>
          <w:color w:val="auto"/>
          <w:highlight w:val="none"/>
        </w:rPr>
        <w:t xml:space="preserve">是否收取履约保证金：</w:t>
      </w:r>
      <w:r>
        <w:rPr>
          <w:rFonts w:ascii="Wingdings" w:hAnsi="Wingdings" w:eastAsia="Wingdings" w:cs="Wingdings"/>
          <w:color w:val="auto"/>
          <w:szCs w:val="21"/>
          <w:highlight w:val="none"/>
        </w:rPr>
        <w:t xml:space="preserve">¨</w:t>
      </w:r>
      <w:r>
        <w:rPr>
          <w:rFonts w:hint="eastAsia" w:ascii="仿宋" w:hAnsi="仿宋" w:eastAsia="仿宋" w:cs="仿宋"/>
          <w:color w:val="auto"/>
          <w:szCs w:val="21"/>
          <w:highlight w:val="none"/>
        </w:rPr>
        <w:t xml:space="preserve">是    </w:t>
      </w:r>
      <w:r>
        <w:rPr>
          <w:rFonts w:ascii="Wingdings" w:hAnsi="Wingdings" w:eastAsia="Wingdings" w:cs="Wingdings"/>
          <w:color w:val="auto"/>
          <w:szCs w:val="21"/>
          <w:highlight w:val="none"/>
        </w:rPr>
        <w:t xml:space="preserve">þ</w:t>
      </w:r>
      <w:r>
        <w:rPr>
          <w:rFonts w:hint="eastAsia" w:ascii="仿宋" w:hAnsi="仿宋" w:eastAsia="仿宋" w:cs="仿宋"/>
          <w:color w:val="auto"/>
          <w:szCs w:val="21"/>
          <w:highlight w:val="none"/>
        </w:rPr>
        <w:t xml:space="preserve">否</w:t>
      </w:r>
      <w:r/>
    </w:p>
    <w:p>
      <w:pPr>
        <w:numPr>
          <w:ilvl w:val="0"/>
          <w:numId w:val="0"/>
        </w:numPr>
        <w:ind w:firstLine="420"/>
        <w:spacing w:line="400" w:lineRule="exact"/>
        <w:rPr>
          <w:rFonts w:hint="eastAsia" w:ascii="仿宋" w:hAnsi="仿宋" w:eastAsia="仿宋" w:cs="仿宋"/>
          <w:b/>
          <w:color w:val="auto"/>
          <w:szCs w:val="21"/>
          <w:highlight w:val="none"/>
        </w:rPr>
      </w:pPr>
      <w:r>
        <w:rPr>
          <w:rFonts w:hint="eastAsia" w:ascii="仿宋" w:hAnsi="仿宋" w:eastAsia="仿宋" w:cs="仿宋"/>
          <w:b/>
          <w:color w:val="auto"/>
          <w:sz w:val="21"/>
          <w:szCs w:val="21"/>
          <w:highlight w:val="none"/>
          <w:lang w:val="en-US" w:eastAsia="zh-CN" w:bidi="ar-SA"/>
        </w:rPr>
        <w:t xml:space="preserve">4.</w:t>
      </w:r>
      <w:r>
        <w:rPr>
          <w:rFonts w:hint="eastAsia" w:ascii="仿宋" w:hAnsi="仿宋" w:eastAsia="仿宋" w:cs="仿宋"/>
          <w:b/>
          <w:color w:val="auto"/>
          <w:szCs w:val="21"/>
          <w:highlight w:val="none"/>
        </w:rPr>
        <w:t xml:space="preserve">合同验收</w:t>
      </w:r>
      <w:r/>
    </w:p>
    <w:p>
      <w:pPr>
        <w:ind w:firstLine="420"/>
        <w:spacing w:line="400" w:lineRule="exact"/>
        <w:rPr>
          <w:rFonts w:hint="eastAsia"/>
          <w:color w:val="auto"/>
          <w:highlight w:val="none"/>
        </w:rPr>
      </w:pPr>
      <w:r>
        <w:rPr>
          <w:rFonts w:hint="eastAsia" w:ascii="仿宋" w:hAnsi="仿宋" w:eastAsia="仿宋" w:cs="仿宋"/>
          <w:b/>
          <w:bCs/>
          <w:color w:val="auto"/>
          <w:szCs w:val="21"/>
          <w:highlight w:val="none"/>
          <w:lang w:eastAsia="zh-CN"/>
        </w:rPr>
        <w:t xml:space="preserve">（</w:t>
      </w:r>
      <w:r>
        <w:rPr>
          <w:rFonts w:hint="eastAsia" w:ascii="仿宋" w:hAnsi="仿宋" w:eastAsia="仿宋" w:cs="仿宋"/>
          <w:b/>
          <w:bCs/>
          <w:color w:val="auto"/>
          <w:szCs w:val="21"/>
          <w:highlight w:val="none"/>
          <w:lang w:val="en-US" w:eastAsia="zh-CN"/>
        </w:rPr>
        <w:t xml:space="preserve">一</w:t>
      </w:r>
      <w:r>
        <w:rPr>
          <w:rFonts w:hint="eastAsia" w:ascii="仿宋" w:hAnsi="仿宋" w:eastAsia="仿宋" w:cs="仿宋"/>
          <w:b/>
          <w:bCs/>
          <w:color w:val="auto"/>
          <w:szCs w:val="21"/>
          <w:highlight w:val="none"/>
          <w:lang w:eastAsia="zh-CN"/>
        </w:rPr>
        <w:t xml:space="preserve">）</w:t>
      </w:r>
      <w:r>
        <w:rPr>
          <w:rFonts w:hint="eastAsia" w:ascii="仿宋" w:hAnsi="仿宋" w:eastAsia="仿宋" w:cs="仿宋"/>
          <w:b/>
          <w:bCs/>
          <w:color w:val="auto"/>
          <w:szCs w:val="21"/>
          <w:highlight w:val="none"/>
          <w:lang w:val="en-US" w:eastAsia="zh-CN"/>
        </w:rPr>
        <w:t xml:space="preserve">采购包1</w:t>
      </w:r>
      <w:r/>
    </w:p>
    <w:p>
      <w:pPr>
        <w:numPr>
          <w:ilvl w:val="0"/>
          <w:numId w:val="0"/>
        </w:numPr>
        <w:ind w:firstLine="420"/>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 w:val="21"/>
          <w:szCs w:val="21"/>
          <w:highlight w:val="none"/>
          <w:lang w:val="en-US" w:eastAsia="zh-CN" w:bidi="ar-SA"/>
        </w:rPr>
        <w:t xml:space="preserve">（1）</w:t>
      </w:r>
      <w:r>
        <w:rPr>
          <w:rFonts w:hint="eastAsia" w:ascii="仿宋" w:hAnsi="仿宋" w:eastAsia="仿宋" w:cs="仿宋"/>
          <w:bCs/>
          <w:color w:val="auto"/>
          <w:szCs w:val="21"/>
          <w:highlight w:val="none"/>
        </w:rPr>
        <w:t xml:space="preserve">验收组织方式：</w:t>
      </w:r>
      <w:r>
        <w:rPr>
          <w:rFonts w:ascii="Wingdings" w:hAnsi="Wingdings" w:eastAsia="Wingdings" w:cs="Wingdings"/>
          <w:color w:val="auto"/>
          <w:sz w:val="21"/>
          <w:highlight w:val="none"/>
        </w:rPr>
        <w:t xml:space="preserve">þ</w:t>
      </w:r>
      <w:r>
        <w:rPr>
          <w:rFonts w:hint="eastAsia" w:ascii="仿宋" w:hAnsi="仿宋" w:eastAsia="仿宋" w:cs="仿宋"/>
          <w:bCs/>
          <w:color w:val="auto"/>
          <w:szCs w:val="21"/>
          <w:highlight w:val="none"/>
        </w:rPr>
        <w:t xml:space="preserve">自行组织 </w:t>
      </w:r>
      <w:r>
        <w:rPr>
          <w:rFonts w:ascii="Wingdings" w:hAnsi="Wingdings" w:eastAsia="Wingdings" w:cs="Wingdings"/>
          <w:color w:val="auto"/>
          <w:sz w:val="21"/>
          <w:highlight w:val="none"/>
        </w:rPr>
        <w:t xml:space="preserve">¨</w:t>
      </w:r>
      <w:r>
        <w:rPr>
          <w:rFonts w:hint="eastAsia" w:ascii="仿宋" w:hAnsi="仿宋" w:eastAsia="仿宋" w:cs="仿宋"/>
          <w:bCs/>
          <w:color w:val="auto"/>
          <w:szCs w:val="21"/>
          <w:highlight w:val="none"/>
        </w:rPr>
        <w:t xml:space="preserve">委托第三方组织</w:t>
      </w:r>
      <w:r/>
    </w:p>
    <w:p>
      <w:pPr>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     验收主体：</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u w:val="single"/>
          <w:lang w:val="en-US" w:eastAsia="zh-CN"/>
        </w:rPr>
        <w:t xml:space="preserve">甲方</w:t>
      </w:r>
      <w:r>
        <w:rPr>
          <w:rFonts w:hint="eastAsia" w:ascii="仿宋" w:hAnsi="仿宋" w:eastAsia="仿宋" w:cs="仿宋"/>
          <w:bCs/>
          <w:color w:val="auto"/>
          <w:szCs w:val="21"/>
          <w:highlight w:val="none"/>
          <w:u w:val="single"/>
        </w:rPr>
        <w:t xml:space="preserve">          </w:t>
      </w:r>
      <w:r/>
    </w:p>
    <w:p>
      <w:pPr>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     是否邀请本项目的其他</w:t>
      </w:r>
      <w:r>
        <w:rPr>
          <w:rFonts w:hint="eastAsia" w:ascii="仿宋" w:hAnsi="仿宋" w:eastAsia="仿宋" w:cs="仿宋"/>
          <w:bCs/>
          <w:color w:val="auto"/>
          <w:szCs w:val="21"/>
          <w:highlight w:val="none"/>
          <w:lang w:val="en-US" w:eastAsia="zh-CN"/>
        </w:rPr>
        <w:t xml:space="preserve">投标人</w:t>
      </w:r>
      <w:r>
        <w:rPr>
          <w:rFonts w:hint="eastAsia" w:ascii="仿宋" w:hAnsi="仿宋" w:eastAsia="仿宋" w:cs="仿宋"/>
          <w:bCs/>
          <w:color w:val="auto"/>
          <w:szCs w:val="21"/>
          <w:highlight w:val="none"/>
        </w:rPr>
        <w:t xml:space="preserve">参加验收：</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 xml:space="preserve">þ</w:t>
      </w:r>
      <w:r>
        <w:rPr>
          <w:rFonts w:hint="eastAsia" w:ascii="仿宋" w:hAnsi="仿宋" w:eastAsia="仿宋" w:cs="仿宋"/>
          <w:iCs/>
          <w:color w:val="auto"/>
          <w:szCs w:val="21"/>
          <w:highlight w:val="none"/>
        </w:rPr>
        <w:t xml:space="preserve">否</w:t>
      </w:r>
      <w:r/>
    </w:p>
    <w:p>
      <w:pPr>
        <w:ind w:firstLine="525"/>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是否邀请专家参加验收：</w:t>
      </w:r>
      <w:r>
        <w:rPr>
          <w:rFonts w:hint="eastAsia" w:ascii="仿宋" w:hAnsi="仿宋" w:eastAsia="仿宋" w:cs="仿宋"/>
          <w:iCs/>
          <w:color w:val="auto"/>
          <w:szCs w:val="21"/>
          <w:highlight w:val="none"/>
        </w:rPr>
        <w:t xml:space="preserve"> </w:t>
      </w:r>
      <w:r>
        <w:rPr>
          <w:rFonts w:ascii="Wingdings" w:hAnsi="Wingdings" w:eastAsia="Wingdings" w:cs="Wingdings"/>
          <w:color w:val="auto"/>
          <w:sz w:val="21"/>
          <w:highlight w:val="none"/>
        </w:rPr>
        <w:t xml:space="preserve">þ</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否</w:t>
      </w:r>
      <w:r/>
    </w:p>
    <w:p>
      <w:pPr>
        <w:ind w:firstLine="525"/>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是否邀请服务对象参加验收</w:t>
      </w:r>
      <w:r>
        <w:rPr>
          <w:rFonts w:ascii="Wingdings" w:hAnsi="Wingdings" w:eastAsia="Wingdings" w:cs="Wingdings"/>
          <w:color w:val="auto"/>
          <w:sz w:val="21"/>
          <w:highlight w:val="none"/>
        </w:rPr>
        <w:t xml:space="preserve">þ</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否</w:t>
      </w:r>
      <w:r/>
    </w:p>
    <w:p>
      <w:pPr>
        <w:ind w:firstLine="525"/>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是否邀请第三方检测机构参加验收：</w:t>
      </w:r>
      <w:r>
        <w:rPr>
          <w:rFonts w:ascii="Wingdings" w:hAnsi="Wingdings" w:eastAsia="Wingdings" w:cs="Wingdings"/>
          <w:color w:val="auto"/>
          <w:sz w:val="21"/>
          <w:highlight w:val="none"/>
        </w:rPr>
        <w:t xml:space="preserve">þ</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否</w:t>
      </w:r>
      <w:r/>
    </w:p>
    <w:p>
      <w:pPr>
        <w:ind w:firstLine="525"/>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是否进行抽查检测：</w:t>
      </w:r>
      <w:r>
        <w:rPr>
          <w:rFonts w:ascii="Wingdings" w:hAnsi="Wingdings" w:eastAsia="Wingdings" w:cs="Wingdings"/>
          <w:color w:val="auto"/>
          <w:sz w:val="21"/>
          <w:highlight w:val="none"/>
        </w:rPr>
        <w:t xml:space="preserve">þ</w:t>
      </w:r>
      <w:r>
        <w:rPr>
          <w:rFonts w:hint="eastAsia" w:ascii="仿宋" w:hAnsi="仿宋" w:eastAsia="仿宋" w:cs="仿宋"/>
          <w:bCs/>
          <w:color w:val="auto"/>
          <w:szCs w:val="21"/>
          <w:highlight w:val="none"/>
        </w:rPr>
        <w:t xml:space="preserve">是，抽查比例：</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u w:val="single"/>
          <w:lang w:val="en-US" w:eastAsia="zh-CN"/>
        </w:rPr>
        <w:t xml:space="preserve">10%</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rPr>
        <w:t xml:space="preserve"> </w:t>
      </w:r>
      <w:r>
        <w:rPr>
          <w:rFonts w:hint="eastAsia" w:ascii="仿宋" w:hAnsi="仿宋" w:eastAsia="仿宋" w:cs="仿宋"/>
          <w:bCs/>
          <w:color w:val="auto"/>
          <w:szCs w:val="21"/>
          <w:highlight w:val="none"/>
          <w:lang w:val="en-US" w:eastAsia="zh-CN"/>
        </w:rPr>
        <w:t xml:space="preserve">   </w:t>
      </w:r>
      <w:r>
        <w:rPr>
          <w:rFonts w:ascii="Wingdings" w:hAnsi="Wingdings" w:eastAsia="Wingdings" w:cs="Wingdings"/>
          <w:color w:val="auto"/>
          <w:sz w:val="21"/>
          <w:highlight w:val="none"/>
        </w:rPr>
        <w:t xml:space="preserve">¨</w:t>
      </w:r>
      <w:r>
        <w:rPr>
          <w:rFonts w:hint="eastAsia" w:ascii="仿宋" w:hAnsi="仿宋" w:eastAsia="仿宋" w:cs="仿宋"/>
          <w:bCs/>
          <w:color w:val="auto"/>
          <w:szCs w:val="21"/>
          <w:highlight w:val="none"/>
        </w:rPr>
        <w:t xml:space="preserve">否</w:t>
      </w:r>
      <w:r/>
    </w:p>
    <w:p>
      <w:pPr>
        <w:ind w:firstLine="525"/>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是否存在破坏性检测：</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 xml:space="preserve">þ</w:t>
      </w:r>
      <w:r>
        <w:rPr>
          <w:rFonts w:hint="eastAsia" w:ascii="仿宋" w:hAnsi="仿宋" w:eastAsia="仿宋" w:cs="仿宋"/>
          <w:iCs/>
          <w:color w:val="auto"/>
          <w:szCs w:val="21"/>
          <w:highlight w:val="none"/>
        </w:rPr>
        <w:t xml:space="preserve">否</w:t>
      </w:r>
      <w:r/>
    </w:p>
    <w:p>
      <w:pPr>
        <w:ind w:firstLine="525"/>
        <w:spacing w:line="400" w:lineRule="exact"/>
        <w:rPr>
          <w:rFonts w:hint="eastAsia" w:ascii="仿宋" w:hAnsi="仿宋" w:eastAsia="仿宋" w:cs="仿宋"/>
          <w:bCs/>
          <w:color w:val="auto"/>
          <w:szCs w:val="21"/>
          <w:highlight w:val="none"/>
          <w:u w:val="single"/>
        </w:rPr>
      </w:pPr>
      <w:r>
        <w:rPr>
          <w:rFonts w:hint="eastAsia" w:ascii="仿宋" w:hAnsi="仿宋" w:eastAsia="仿宋" w:cs="仿宋"/>
          <w:bCs/>
          <w:color w:val="auto"/>
          <w:szCs w:val="21"/>
          <w:highlight w:val="none"/>
        </w:rPr>
        <w:t xml:space="preserve">验收组织的其他事项：</w:t>
      </w:r>
      <w:r>
        <w:rPr>
          <w:rFonts w:hint="eastAsia" w:ascii="仿宋" w:hAnsi="仿宋" w:eastAsia="仿宋" w:cs="仿宋"/>
          <w:bCs/>
          <w:color w:val="auto"/>
          <w:szCs w:val="21"/>
          <w:highlight w:val="none"/>
          <w:u w:val="single"/>
        </w:rPr>
        <w:t xml:space="preserve">   验收抽检产生的检测费、样品费、送检运费全部由中标供应商承担；抽检产品不合格的，复检所有费用仍由中标方承担。      </w:t>
      </w:r>
      <w:r/>
    </w:p>
    <w:p>
      <w:pPr>
        <w:ind w:firstLine="420"/>
        <w:spacing w:line="400" w:lineRule="exact"/>
        <w:rPr>
          <w:rFonts w:hint="eastAsia" w:ascii="仿宋" w:hAnsi="仿宋" w:eastAsia="仿宋" w:cs="仿宋"/>
          <w:bCs/>
          <w:color w:val="auto"/>
          <w:szCs w:val="21"/>
          <w:highlight w:val="none"/>
          <w:u w:val="single"/>
        </w:rPr>
      </w:pPr>
      <w:r>
        <w:rPr>
          <w:rFonts w:hint="eastAsia" w:ascii="仿宋" w:hAnsi="仿宋" w:eastAsia="仿宋" w:cs="仿宋"/>
          <w:bCs/>
          <w:color w:val="auto"/>
          <w:szCs w:val="21"/>
          <w:highlight w:val="none"/>
        </w:rPr>
        <w:t xml:space="preserve">（2）履约验收时间：</w:t>
      </w:r>
      <w:r>
        <w:rPr>
          <w:rFonts w:hint="eastAsia" w:ascii="仿宋" w:hAnsi="仿宋" w:eastAsia="仿宋" w:cs="仿宋"/>
          <w:bCs/>
          <w:color w:val="auto"/>
          <w:szCs w:val="21"/>
          <w:highlight w:val="none"/>
          <w:u w:val="single"/>
          <w:lang w:val="en-US" w:eastAsia="zh-CN"/>
        </w:rPr>
        <w:t xml:space="preserve">安装调试结束之日起5日内组织验收</w:t>
      </w:r>
      <w:r>
        <w:rPr>
          <w:rFonts w:hint="eastAsia" w:ascii="仿宋" w:hAnsi="仿宋" w:eastAsia="仿宋" w:cs="仿宋"/>
          <w:bCs/>
          <w:color w:val="auto"/>
          <w:szCs w:val="21"/>
          <w:highlight w:val="none"/>
          <w:u w:val="single"/>
          <w:lang w:eastAsia="zh-CN"/>
        </w:rPr>
        <w:t xml:space="preserve">，</w:t>
      </w:r>
      <w:r>
        <w:rPr>
          <w:rFonts w:hint="eastAsia" w:ascii="仿宋" w:hAnsi="仿宋" w:eastAsia="仿宋" w:cs="仿宋"/>
          <w:color w:val="auto"/>
          <w:szCs w:val="21"/>
          <w:highlight w:val="none"/>
        </w:rPr>
        <w:t xml:space="preserve">甲方</w:t>
      </w:r>
      <w:r>
        <w:rPr>
          <w:rFonts w:hint="eastAsia" w:ascii="仿宋" w:hAnsi="仿宋" w:eastAsia="仿宋" w:cs="仿宋"/>
          <w:color w:val="auto"/>
          <w:szCs w:val="21"/>
          <w:highlight w:val="none"/>
          <w:lang w:val="en-US" w:eastAsia="zh-CN"/>
        </w:rPr>
        <w:t xml:space="preserve">未</w:t>
      </w:r>
      <w:r>
        <w:rPr>
          <w:rFonts w:hint="eastAsia" w:ascii="仿宋" w:hAnsi="仿宋" w:eastAsia="仿宋" w:cs="仿宋"/>
          <w:color w:val="auto"/>
          <w:szCs w:val="21"/>
          <w:highlight w:val="none"/>
        </w:rPr>
        <w:t xml:space="preserve">按照合同约定及时对交付的货物进行验收，未在约定的期限内对乙方履约提出任何异议或者向乙方作出任何说明的，视为验收通过。</w:t>
      </w:r>
      <w:r/>
    </w:p>
    <w:p>
      <w:pPr>
        <w:ind w:firstLine="420"/>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（3）履约验收方式：</w:t>
      </w:r>
      <w:r>
        <w:rPr>
          <w:rFonts w:ascii="Wingdings" w:hAnsi="Wingdings" w:eastAsia="Wingdings" w:cs="Wingdings"/>
          <w:color w:val="auto"/>
          <w:sz w:val="21"/>
          <w:highlight w:val="none"/>
        </w:rPr>
        <w:t xml:space="preserve">þ</w:t>
      </w:r>
      <w:r>
        <w:rPr>
          <w:rFonts w:hint="eastAsia" w:ascii="仿宋" w:hAnsi="仿宋" w:eastAsia="仿宋" w:cs="仿宋"/>
          <w:bCs/>
          <w:color w:val="auto"/>
          <w:szCs w:val="21"/>
          <w:highlight w:val="none"/>
        </w:rPr>
        <w:t xml:space="preserve">一次性验收         </w:t>
      </w:r>
      <w:r/>
    </w:p>
    <w:p>
      <w:pPr>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                       </w:t>
      </w:r>
      <w:r>
        <w:rPr>
          <w:rFonts w:ascii="Wingdings" w:hAnsi="Wingdings" w:eastAsia="Wingdings" w:cs="Wingdings"/>
          <w:color w:val="auto"/>
          <w:sz w:val="21"/>
          <w:highlight w:val="none"/>
        </w:rPr>
        <w:t xml:space="preserve">¨</w:t>
      </w:r>
      <w:r>
        <w:rPr>
          <w:rFonts w:hint="eastAsia" w:ascii="仿宋" w:hAnsi="仿宋" w:eastAsia="仿宋" w:cs="仿宋"/>
          <w:bCs/>
          <w:color w:val="auto"/>
          <w:szCs w:val="21"/>
          <w:highlight w:val="none"/>
        </w:rPr>
        <w:t xml:space="preserve">分期/分项验收</w:t>
      </w:r>
      <w:r/>
    </w:p>
    <w:p>
      <w:pPr>
        <w:ind w:firstLine="420"/>
        <w:spacing w:line="400" w:lineRule="exact"/>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（4）履约验收程序：</w:t>
      </w:r>
      <w:r>
        <w:rPr>
          <w:rFonts w:hint="eastAsia" w:ascii="仿宋" w:hAnsi="仿宋" w:eastAsia="仿宋" w:cs="仿宋"/>
          <w:bCs/>
          <w:color w:val="auto"/>
          <w:szCs w:val="21"/>
          <w:highlight w:val="none"/>
          <w:u w:val="single"/>
        </w:rPr>
        <w:t xml:space="preserve"> 方案前置 — 申请启动 — 小组组建 — 实施验收 — 意见确认 — 资料归档”</w:t>
      </w:r>
      <w:r>
        <w:rPr>
          <w:rFonts w:hint="eastAsia" w:ascii="仿宋" w:hAnsi="仿宋" w:eastAsia="仿宋" w:cs="仿宋"/>
          <w:bCs/>
          <w:color w:val="auto"/>
          <w:szCs w:val="21"/>
          <w:highlight w:val="none"/>
          <w:u w:val="none"/>
          <w:lang w:eastAsia="zh-CN"/>
        </w:rPr>
        <w:t xml:space="preserve">。</w:t>
      </w:r>
      <w:r/>
    </w:p>
    <w:p>
      <w:pPr>
        <w:ind w:firstLine="420"/>
        <w:spacing w:line="400" w:lineRule="exact"/>
        <w:rPr>
          <w:rFonts w:hint="eastAsia" w:ascii="仿宋" w:hAnsi="仿宋" w:eastAsia="仿宋" w:cs="仿宋"/>
          <w:bCs/>
          <w:color w:val="auto"/>
          <w:szCs w:val="21"/>
          <w:highlight w:val="none"/>
          <w:u w:val="single"/>
          <w:lang w:eastAsia="zh-CN"/>
        </w:rPr>
      </w:pPr>
      <w:r>
        <w:rPr>
          <w:rFonts w:hint="eastAsia" w:ascii="仿宋" w:hAnsi="仿宋" w:eastAsia="仿宋" w:cs="仿宋"/>
          <w:bCs/>
          <w:color w:val="auto"/>
          <w:szCs w:val="21"/>
          <w:highlight w:val="none"/>
        </w:rPr>
        <w:t xml:space="preserve">（5）履约验收的内容：</w:t>
      </w:r>
      <w:r>
        <w:rPr>
          <w:rFonts w:hint="eastAsia" w:ascii="仿宋" w:hAnsi="仿宋" w:eastAsia="仿宋" w:cs="仿宋"/>
          <w:bCs/>
          <w:color w:val="auto"/>
          <w:szCs w:val="21"/>
          <w:highlight w:val="none"/>
          <w:u w:val="single"/>
        </w:rPr>
        <w:t xml:space="preserve"> 应当包括每一项技术和商务要求的履约情况，核查随货CMA/CNAS检测报告与投标文件、采购需求是否一致，同时核查落实政府采购扶持中小企业、支持绿色发展和乡村振兴等政策落实情况</w:t>
      </w:r>
      <w:r>
        <w:rPr>
          <w:rFonts w:hint="eastAsia" w:ascii="仿宋" w:hAnsi="仿宋" w:eastAsia="仿宋" w:cs="仿宋"/>
          <w:bCs/>
          <w:color w:val="auto"/>
          <w:szCs w:val="21"/>
          <w:highlight w:val="none"/>
          <w:u w:val="none"/>
          <w:lang w:eastAsia="zh-CN"/>
        </w:rPr>
        <w:t xml:space="preserve">。</w:t>
      </w:r>
      <w:r/>
    </w:p>
    <w:p>
      <w:pPr>
        <w:ind w:firstLine="420"/>
        <w:spacing w:line="400" w:lineRule="exact"/>
        <w:rPr>
          <w:rFonts w:hint="eastAsia" w:ascii="仿宋" w:hAnsi="仿宋" w:eastAsia="仿宋" w:cs="仿宋"/>
          <w:bCs/>
          <w:color w:val="auto"/>
          <w:szCs w:val="21"/>
          <w:highlight w:val="none"/>
          <w:u w:val="none"/>
          <w:lang w:eastAsia="zh-CN"/>
        </w:rPr>
      </w:pPr>
      <w:r>
        <w:rPr>
          <w:rFonts w:hint="eastAsia" w:ascii="仿宋" w:hAnsi="仿宋" w:eastAsia="仿宋" w:cs="仿宋"/>
          <w:bCs/>
          <w:color w:val="auto"/>
          <w:szCs w:val="21"/>
          <w:highlight w:val="none"/>
        </w:rPr>
        <w:t xml:space="preserve">（6）履约验收标准：</w:t>
      </w:r>
      <w:r>
        <w:rPr>
          <w:rFonts w:hint="eastAsia" w:ascii="仿宋" w:hAnsi="仿宋" w:eastAsia="仿宋" w:cs="仿宋"/>
          <w:bCs/>
          <w:color w:val="auto"/>
          <w:szCs w:val="21"/>
          <w:highlight w:val="none"/>
          <w:u w:val="single"/>
        </w:rPr>
        <w:t xml:space="preserve"> 依据</w:t>
      </w:r>
      <w:r>
        <w:rPr>
          <w:rFonts w:hint="eastAsia" w:ascii="仿宋" w:hAnsi="仿宋" w:eastAsia="仿宋" w:cs="仿宋"/>
          <w:bCs/>
          <w:color w:val="auto"/>
          <w:szCs w:val="21"/>
          <w:highlight w:val="none"/>
          <w:u w:val="single"/>
          <w:lang w:val="en-US" w:eastAsia="zh-CN"/>
        </w:rPr>
        <w:t xml:space="preserve">法律</w:t>
      </w:r>
      <w:r>
        <w:rPr>
          <w:rFonts w:hint="eastAsia" w:ascii="仿宋" w:hAnsi="仿宋" w:eastAsia="仿宋" w:cs="仿宋"/>
          <w:bCs/>
          <w:color w:val="auto"/>
          <w:szCs w:val="21"/>
          <w:highlight w:val="none"/>
          <w:u w:val="single"/>
        </w:rPr>
        <w:t xml:space="preserve">法规、采购文件与合同，对货物、工程、服务的技术、商务、数量、质量、服务等进行客观量化核验，确保合规履约并形成可追溯结论</w:t>
      </w:r>
      <w:r>
        <w:rPr>
          <w:rFonts w:hint="eastAsia" w:ascii="仿宋" w:hAnsi="仿宋" w:eastAsia="仿宋" w:cs="仿宋"/>
          <w:bCs/>
          <w:color w:val="auto"/>
          <w:szCs w:val="21"/>
          <w:highlight w:val="none"/>
          <w:u w:val="none"/>
          <w:lang w:eastAsia="zh-CN"/>
        </w:rPr>
        <w:t xml:space="preserve">。</w:t>
      </w:r>
      <w:r/>
    </w:p>
    <w:p>
      <w:pPr>
        <w:pStyle w:val="1035"/>
        <w:ind w:firstLine="420"/>
        <w:rPr>
          <w:rFonts w:hint="eastAsia" w:ascii="仿宋" w:hAnsi="仿宋" w:eastAsia="仿宋" w:cs="仿宋"/>
          <w:color w:val="auto"/>
          <w:sz w:val="21"/>
          <w:highlight w:val="none"/>
        </w:rPr>
      </w:pPr>
      <w:r>
        <w:rPr>
          <w:rFonts w:hint="eastAsia" w:ascii="仿宋" w:hAnsi="仿宋" w:eastAsia="仿宋" w:cs="仿宋"/>
          <w:bCs/>
          <w:color w:val="auto"/>
          <w:sz w:val="21"/>
          <w:highlight w:val="none"/>
        </w:rPr>
        <w:t xml:space="preserve">（7）是否以采购活动中</w:t>
      </w:r>
      <w:r>
        <w:rPr>
          <w:rFonts w:hint="eastAsia" w:ascii="仿宋" w:hAnsi="仿宋" w:eastAsia="仿宋" w:cs="仿宋"/>
          <w:bCs/>
          <w:color w:val="auto"/>
          <w:sz w:val="21"/>
          <w:highlight w:val="none"/>
          <w:lang w:val="en-US" w:eastAsia="zh-CN"/>
        </w:rPr>
        <w:t xml:space="preserve">投标人</w:t>
      </w:r>
      <w:r>
        <w:rPr>
          <w:rFonts w:hint="eastAsia" w:ascii="仿宋" w:hAnsi="仿宋" w:eastAsia="仿宋" w:cs="仿宋"/>
          <w:bCs/>
          <w:color w:val="auto"/>
          <w:sz w:val="21"/>
          <w:highlight w:val="none"/>
        </w:rPr>
        <w:t xml:space="preserve">提供的样品作为参考：</w:t>
      </w:r>
      <w:r>
        <w:rPr>
          <w:rFonts w:ascii="Wingdings" w:hAnsi="Wingdings" w:eastAsia="Wingdings" w:cs="Wingdings"/>
          <w:color w:val="auto"/>
          <w:sz w:val="21"/>
          <w:highlight w:val="none"/>
        </w:rPr>
        <w:t xml:space="preserve">þ</w:t>
      </w:r>
      <w:r>
        <w:rPr>
          <w:rFonts w:hint="eastAsia" w:ascii="仿宋" w:hAnsi="仿宋" w:eastAsia="仿宋" w:cs="仿宋"/>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仿宋" w:hAnsi="仿宋" w:eastAsia="仿宋" w:cs="仿宋"/>
          <w:bCs/>
          <w:color w:val="auto"/>
          <w:sz w:val="21"/>
          <w:highlight w:val="none"/>
        </w:rPr>
        <w:t xml:space="preserve">否</w:t>
      </w:r>
      <w:r/>
    </w:p>
    <w:p>
      <w:pPr>
        <w:ind w:firstLine="420"/>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（8）履约验收其他事项：</w:t>
      </w:r>
      <w:r/>
    </w:p>
    <w:p>
      <w:pPr>
        <w:ind w:firstLine="420"/>
        <w:spacing w:line="400" w:lineRule="exact"/>
        <w:rPr>
          <w:rFonts w:hint="eastAsia" w:ascii="仿宋" w:hAnsi="仿宋" w:eastAsia="仿宋" w:cs="仿宋"/>
          <w:bCs/>
          <w:color w:val="auto"/>
          <w:szCs w:val="21"/>
          <w:highlight w:val="none"/>
          <w:u w:val="single"/>
          <w:lang w:val="en-US" w:eastAsia="zh-CN"/>
        </w:rPr>
      </w:pPr>
      <w:r>
        <w:rPr>
          <w:rFonts w:hint="eastAsia" w:ascii="仿宋" w:hAnsi="仿宋" w:eastAsia="仿宋" w:cs="仿宋"/>
          <w:bCs/>
          <w:color w:val="auto"/>
          <w:szCs w:val="21"/>
          <w:highlight w:val="none"/>
          <w:u w:val="single"/>
          <w:lang w:val="en-US" w:eastAsia="zh-CN"/>
        </w:rPr>
        <w:t xml:space="preserve">①履约到货阶段：中标人送货时须提供CMA或CNAS检测报告原件供采购人核验，报告所载技术指标、执行标准须与投标文件内检测报告、采购需求完全吻合。</w:t>
      </w:r>
      <w:r/>
    </w:p>
    <w:p>
      <w:pPr>
        <w:ind w:firstLine="420"/>
        <w:spacing w:line="400" w:lineRule="exact"/>
        <w:rPr>
          <w:rFonts w:hint="eastAsia" w:ascii="仿宋" w:hAnsi="仿宋" w:eastAsia="仿宋" w:cs="仿宋"/>
          <w:bCs/>
          <w:color w:val="auto"/>
          <w:szCs w:val="21"/>
          <w:highlight w:val="none"/>
          <w:u w:val="single"/>
        </w:rPr>
      </w:pPr>
      <w:r>
        <w:rPr>
          <w:rFonts w:hint="eastAsia" w:ascii="仿宋" w:hAnsi="仿宋" w:eastAsia="仿宋" w:cs="仿宋"/>
          <w:bCs/>
          <w:color w:val="auto"/>
          <w:szCs w:val="21"/>
          <w:highlight w:val="none"/>
          <w:u w:val="single"/>
          <w:lang w:val="en-US" w:eastAsia="zh-CN"/>
        </w:rPr>
        <w:t xml:space="preserve">②供货验收期间，采购人有权对到货成品抽样封存送检，抽检合格后方可完成验收、支付货款；若抽检指标不符合招标文件及合同约定标准，采购人有权暂缓付款、不予验收，中标人须免费返工更换全部不合格货品，并承担全部检测、样品、送检运输相关费用；经两次整改仍不合格的，采购人可拒收全部货物、解除合同并追究中标人全部违约责任</w:t>
      </w:r>
      <w:r>
        <w:rPr>
          <w:rFonts w:hint="eastAsia" w:ascii="仿宋" w:hAnsi="仿宋" w:eastAsia="仿宋" w:cs="仿宋"/>
          <w:bCs/>
          <w:color w:val="auto"/>
          <w:szCs w:val="21"/>
          <w:highlight w:val="none"/>
          <w:u w:val="single"/>
          <w:lang w:val="zh-CN"/>
        </w:rPr>
        <w:t xml:space="preserve">。 </w:t>
      </w:r>
      <w:r/>
    </w:p>
    <w:p>
      <w:pPr>
        <w:numPr>
          <w:ilvl w:val="0"/>
          <w:numId w:val="0"/>
        </w:numPr>
        <w:ind w:left="420"/>
        <w:spacing w:line="400" w:lineRule="exact"/>
        <w:rPr>
          <w:rFonts w:hint="eastAsia" w:ascii="仿宋" w:hAnsi="仿宋" w:eastAsia="仿宋" w:cs="仿宋"/>
          <w:b/>
          <w:bCs w:val="0"/>
          <w:color w:val="auto"/>
          <w:sz w:val="21"/>
          <w:szCs w:val="21"/>
          <w:highlight w:val="none"/>
          <w:lang w:val="en-US" w:eastAsia="zh-CN" w:bidi="ar-SA"/>
        </w:rPr>
      </w:pPr>
      <w:r>
        <w:rPr>
          <w:rFonts w:hint="eastAsia" w:ascii="仿宋" w:hAnsi="仿宋" w:eastAsia="仿宋" w:cs="仿宋"/>
          <w:b/>
          <w:bCs w:val="0"/>
          <w:color w:val="auto"/>
          <w:sz w:val="21"/>
          <w:szCs w:val="21"/>
          <w:highlight w:val="none"/>
          <w:lang w:val="en-US" w:eastAsia="zh-CN" w:bidi="ar-SA"/>
        </w:rPr>
      </w:r>
      <w:r/>
    </w:p>
    <w:p>
      <w:pPr>
        <w:numPr>
          <w:ilvl w:val="0"/>
          <w:numId w:val="0"/>
        </w:numPr>
        <w:ind w:left="420"/>
        <w:spacing w:line="400" w:lineRule="exact"/>
        <w:rPr>
          <w:rFonts w:hint="eastAsia" w:ascii="仿宋" w:hAnsi="仿宋" w:eastAsia="仿宋" w:cs="仿宋"/>
          <w:b/>
          <w:bCs w:val="0"/>
          <w:color w:val="auto"/>
          <w:sz w:val="21"/>
          <w:szCs w:val="21"/>
          <w:highlight w:val="none"/>
          <w:lang w:val="en-US" w:eastAsia="zh-CN" w:bidi="ar-SA"/>
        </w:rPr>
      </w:pPr>
      <w:r>
        <w:rPr>
          <w:rFonts w:hint="eastAsia" w:ascii="仿宋" w:hAnsi="仿宋" w:eastAsia="仿宋" w:cs="仿宋"/>
          <w:b/>
          <w:bCs w:val="0"/>
          <w:color w:val="auto"/>
          <w:sz w:val="21"/>
          <w:szCs w:val="21"/>
          <w:highlight w:val="none"/>
          <w:lang w:val="en-US" w:eastAsia="zh-CN" w:bidi="ar-SA"/>
        </w:rPr>
        <w:t xml:space="preserve">（二）采购包2</w:t>
      </w:r>
      <w:r/>
    </w:p>
    <w:p>
      <w:pPr>
        <w:numPr>
          <w:ilvl w:val="0"/>
          <w:numId w:val="0"/>
        </w:numPr>
        <w:ind w:firstLine="420"/>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 w:val="21"/>
          <w:szCs w:val="21"/>
          <w:highlight w:val="none"/>
          <w:lang w:val="en-US" w:eastAsia="zh-CN" w:bidi="ar-SA"/>
        </w:rPr>
        <w:t xml:space="preserve">（1）</w:t>
      </w:r>
      <w:r>
        <w:rPr>
          <w:rFonts w:hint="eastAsia" w:ascii="仿宋" w:hAnsi="仿宋" w:eastAsia="仿宋" w:cs="仿宋"/>
          <w:bCs/>
          <w:color w:val="auto"/>
          <w:szCs w:val="21"/>
          <w:highlight w:val="none"/>
        </w:rPr>
        <w:t xml:space="preserve">验收组织方式：</w:t>
      </w:r>
      <w:r>
        <w:rPr>
          <w:rFonts w:ascii="Wingdings" w:hAnsi="Wingdings" w:eastAsia="Wingdings" w:cs="Wingdings"/>
          <w:color w:val="auto"/>
          <w:sz w:val="21"/>
          <w:highlight w:val="none"/>
        </w:rPr>
        <w:t xml:space="preserve">þ</w:t>
      </w:r>
      <w:r>
        <w:rPr>
          <w:rFonts w:hint="eastAsia" w:ascii="仿宋" w:hAnsi="仿宋" w:eastAsia="仿宋" w:cs="仿宋"/>
          <w:bCs/>
          <w:color w:val="auto"/>
          <w:szCs w:val="21"/>
          <w:highlight w:val="none"/>
        </w:rPr>
        <w:t xml:space="preserve">自行组织 </w:t>
      </w:r>
      <w:r>
        <w:rPr>
          <w:rFonts w:ascii="Wingdings" w:hAnsi="Wingdings" w:eastAsia="Wingdings" w:cs="Wingdings"/>
          <w:color w:val="auto"/>
          <w:sz w:val="21"/>
          <w:highlight w:val="none"/>
        </w:rPr>
        <w:t xml:space="preserve">¨</w:t>
      </w:r>
      <w:r>
        <w:rPr>
          <w:rFonts w:hint="eastAsia" w:ascii="仿宋" w:hAnsi="仿宋" w:eastAsia="仿宋" w:cs="仿宋"/>
          <w:bCs/>
          <w:color w:val="auto"/>
          <w:szCs w:val="21"/>
          <w:highlight w:val="none"/>
        </w:rPr>
        <w:t xml:space="preserve">委托第三方组织</w:t>
      </w:r>
      <w:r/>
    </w:p>
    <w:p>
      <w:pPr>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     验收主体：</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u w:val="single"/>
          <w:lang w:val="en-US" w:eastAsia="zh-CN"/>
        </w:rPr>
        <w:t xml:space="preserve">甲方</w:t>
      </w:r>
      <w:r>
        <w:rPr>
          <w:rFonts w:hint="eastAsia" w:ascii="仿宋" w:hAnsi="仿宋" w:eastAsia="仿宋" w:cs="仿宋"/>
          <w:bCs/>
          <w:color w:val="auto"/>
          <w:szCs w:val="21"/>
          <w:highlight w:val="none"/>
          <w:u w:val="single"/>
        </w:rPr>
        <w:t xml:space="preserve">          </w:t>
      </w:r>
      <w:r/>
    </w:p>
    <w:p>
      <w:pPr>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     是否邀请本项目的其他</w:t>
      </w:r>
      <w:r>
        <w:rPr>
          <w:rFonts w:hint="eastAsia" w:ascii="仿宋" w:hAnsi="仿宋" w:eastAsia="仿宋" w:cs="仿宋"/>
          <w:bCs/>
          <w:color w:val="auto"/>
          <w:szCs w:val="21"/>
          <w:highlight w:val="none"/>
          <w:lang w:val="en-US" w:eastAsia="zh-CN"/>
        </w:rPr>
        <w:t xml:space="preserve">投标人</w:t>
      </w:r>
      <w:r>
        <w:rPr>
          <w:rFonts w:hint="eastAsia" w:ascii="仿宋" w:hAnsi="仿宋" w:eastAsia="仿宋" w:cs="仿宋"/>
          <w:bCs/>
          <w:color w:val="auto"/>
          <w:szCs w:val="21"/>
          <w:highlight w:val="none"/>
        </w:rPr>
        <w:t xml:space="preserve">参加验收：</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 xml:space="preserve">þ</w:t>
      </w:r>
      <w:r>
        <w:rPr>
          <w:rFonts w:hint="eastAsia" w:ascii="仿宋" w:hAnsi="仿宋" w:eastAsia="仿宋" w:cs="仿宋"/>
          <w:iCs/>
          <w:color w:val="auto"/>
          <w:szCs w:val="21"/>
          <w:highlight w:val="none"/>
        </w:rPr>
        <w:t xml:space="preserve">否</w:t>
      </w:r>
      <w:r/>
    </w:p>
    <w:p>
      <w:pPr>
        <w:ind w:firstLine="525"/>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是否邀请专家参加验收：</w:t>
      </w:r>
      <w:r>
        <w:rPr>
          <w:rFonts w:ascii="Wingdings" w:hAnsi="Wingdings" w:eastAsia="Wingdings" w:cs="Wingdings"/>
          <w:color w:val="auto"/>
          <w:sz w:val="21"/>
          <w:highlight w:val="none"/>
        </w:rPr>
        <w:t xml:space="preserve">þ</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否</w:t>
      </w:r>
      <w:r/>
    </w:p>
    <w:p>
      <w:pPr>
        <w:ind w:firstLine="525"/>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是否邀请服务对象参加验收</w:t>
      </w:r>
      <w:r>
        <w:rPr>
          <w:rFonts w:ascii="Wingdings" w:hAnsi="Wingdings" w:eastAsia="Wingdings" w:cs="Wingdings"/>
          <w:color w:val="auto"/>
          <w:sz w:val="21"/>
          <w:highlight w:val="none"/>
        </w:rPr>
        <w:t xml:space="preserve">þ</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否</w:t>
      </w:r>
      <w:r/>
    </w:p>
    <w:p>
      <w:pPr>
        <w:ind w:firstLine="525"/>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是否邀请第三方检测机构参加验收：</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 xml:space="preserve">þ</w:t>
      </w:r>
      <w:r>
        <w:rPr>
          <w:rFonts w:hint="eastAsia" w:ascii="仿宋" w:hAnsi="仿宋" w:eastAsia="仿宋" w:cs="仿宋"/>
          <w:iCs/>
          <w:color w:val="auto"/>
          <w:szCs w:val="21"/>
          <w:highlight w:val="none"/>
        </w:rPr>
        <w:t xml:space="preserve">否</w:t>
      </w:r>
      <w:r/>
    </w:p>
    <w:p>
      <w:pPr>
        <w:ind w:firstLine="525"/>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是否进行抽查检测：</w:t>
      </w:r>
      <w:r>
        <w:rPr>
          <w:rFonts w:ascii="Wingdings" w:hAnsi="Wingdings" w:eastAsia="Wingdings" w:cs="Wingdings"/>
          <w:color w:val="auto"/>
          <w:sz w:val="21"/>
          <w:highlight w:val="none"/>
        </w:rPr>
        <w:t xml:space="preserve">¨</w:t>
      </w:r>
      <w:r>
        <w:rPr>
          <w:rFonts w:hint="eastAsia" w:ascii="仿宋" w:hAnsi="仿宋" w:eastAsia="仿宋" w:cs="仿宋"/>
          <w:bCs/>
          <w:color w:val="auto"/>
          <w:szCs w:val="21"/>
          <w:highlight w:val="none"/>
        </w:rPr>
        <w:t xml:space="preserve">是，抽查比例：</w:t>
      </w:r>
      <w:r>
        <w:rPr>
          <w:rFonts w:hint="eastAsia" w:ascii="仿宋" w:hAnsi="仿宋" w:eastAsia="仿宋" w:cs="仿宋"/>
          <w:bCs/>
          <w:color w:val="auto"/>
          <w:szCs w:val="21"/>
          <w:highlight w:val="none"/>
          <w:u w:val="single"/>
          <w:lang w:val="en-US" w:eastAsia="zh-CN"/>
        </w:rPr>
        <w:t xml:space="preserve">  </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rPr>
        <w:t xml:space="preserve"> </w:t>
      </w:r>
      <w:r>
        <w:rPr>
          <w:rFonts w:hint="eastAsia" w:ascii="仿宋" w:hAnsi="仿宋" w:eastAsia="仿宋" w:cs="仿宋"/>
          <w:bCs/>
          <w:color w:val="auto"/>
          <w:szCs w:val="21"/>
          <w:highlight w:val="none"/>
          <w:lang w:val="en-US" w:eastAsia="zh-CN"/>
        </w:rPr>
        <w:t xml:space="preserve">   </w:t>
      </w:r>
      <w:r>
        <w:rPr>
          <w:rFonts w:ascii="Wingdings" w:hAnsi="Wingdings" w:eastAsia="Wingdings" w:cs="Wingdings"/>
          <w:color w:val="auto"/>
          <w:sz w:val="21"/>
          <w:highlight w:val="none"/>
        </w:rPr>
        <w:t xml:space="preserve">þ</w:t>
      </w:r>
      <w:r>
        <w:rPr>
          <w:rFonts w:hint="eastAsia" w:ascii="仿宋" w:hAnsi="仿宋" w:eastAsia="仿宋" w:cs="仿宋"/>
          <w:bCs/>
          <w:color w:val="auto"/>
          <w:szCs w:val="21"/>
          <w:highlight w:val="none"/>
        </w:rPr>
        <w:t xml:space="preserve">否</w:t>
      </w:r>
      <w:r/>
    </w:p>
    <w:p>
      <w:pPr>
        <w:ind w:firstLine="525"/>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是否存在破坏性检测：</w:t>
      </w:r>
      <w:r>
        <w:rPr>
          <w:rFonts w:ascii="Wingdings" w:hAnsi="Wingdings" w:eastAsia="Wingdings" w:cs="Wingdings"/>
          <w:color w:val="auto"/>
          <w:sz w:val="21"/>
          <w:highlight w:val="none"/>
        </w:rPr>
        <w:t xml:space="preserve">¨</w:t>
      </w:r>
      <w:r>
        <w:rPr>
          <w:rFonts w:hint="eastAsia" w:ascii="仿宋" w:hAnsi="仿宋" w:eastAsia="仿宋" w:cs="仿宋"/>
          <w:iCs/>
          <w:color w:val="auto"/>
          <w:szCs w:val="21"/>
          <w:highlight w:val="none"/>
        </w:rPr>
        <w:t xml:space="preserve">是   </w:t>
      </w:r>
      <w:r>
        <w:rPr>
          <w:rFonts w:ascii="Wingdings" w:hAnsi="Wingdings" w:eastAsia="Wingdings" w:cs="Wingdings"/>
          <w:color w:val="auto"/>
          <w:sz w:val="21"/>
          <w:highlight w:val="none"/>
        </w:rPr>
        <w:t xml:space="preserve">þ</w:t>
      </w:r>
      <w:r>
        <w:rPr>
          <w:rFonts w:hint="eastAsia" w:ascii="仿宋" w:hAnsi="仿宋" w:eastAsia="仿宋" w:cs="仿宋"/>
          <w:iCs/>
          <w:color w:val="auto"/>
          <w:szCs w:val="21"/>
          <w:highlight w:val="none"/>
        </w:rPr>
        <w:t xml:space="preserve">否</w:t>
      </w:r>
      <w:r/>
    </w:p>
    <w:p>
      <w:pPr>
        <w:ind w:firstLine="525"/>
        <w:spacing w:line="400" w:lineRule="exact"/>
        <w:rPr>
          <w:rFonts w:hint="eastAsia" w:ascii="仿宋" w:hAnsi="仿宋" w:eastAsia="仿宋" w:cs="仿宋"/>
          <w:bCs/>
          <w:color w:val="auto"/>
          <w:szCs w:val="21"/>
          <w:highlight w:val="none"/>
          <w:u w:val="single"/>
        </w:rPr>
      </w:pPr>
      <w:r>
        <w:rPr>
          <w:rFonts w:hint="eastAsia" w:ascii="仿宋" w:hAnsi="仿宋" w:eastAsia="仿宋" w:cs="仿宋"/>
          <w:bCs/>
          <w:color w:val="auto"/>
          <w:szCs w:val="21"/>
          <w:highlight w:val="none"/>
        </w:rPr>
        <w:t xml:space="preserve">验收组织的其他事项：</w:t>
      </w:r>
      <w:r>
        <w:rPr>
          <w:rFonts w:hint="eastAsia" w:ascii="仿宋" w:hAnsi="仿宋" w:eastAsia="仿宋" w:cs="仿宋"/>
          <w:bCs/>
          <w:color w:val="auto"/>
          <w:szCs w:val="21"/>
          <w:highlight w:val="none"/>
          <w:u w:val="single"/>
        </w:rPr>
        <w:t xml:space="preserve">   </w:t>
      </w:r>
      <w:r>
        <w:rPr>
          <w:rFonts w:hint="eastAsia" w:ascii="仿宋" w:hAnsi="仿宋" w:eastAsia="仿宋" w:cs="仿宋"/>
          <w:bCs/>
          <w:color w:val="auto"/>
          <w:szCs w:val="21"/>
          <w:highlight w:val="none"/>
          <w:u w:val="single"/>
          <w:lang w:val="en-US" w:eastAsia="zh-CN"/>
        </w:rPr>
        <w:t xml:space="preserve">/</w:t>
      </w:r>
      <w:r>
        <w:rPr>
          <w:rFonts w:hint="eastAsia" w:ascii="仿宋" w:hAnsi="仿宋" w:eastAsia="仿宋" w:cs="仿宋"/>
          <w:bCs/>
          <w:color w:val="auto"/>
          <w:szCs w:val="21"/>
          <w:highlight w:val="none"/>
          <w:u w:val="single"/>
        </w:rPr>
        <w:t xml:space="preserve">     </w:t>
      </w:r>
      <w:r/>
    </w:p>
    <w:p>
      <w:pPr>
        <w:ind w:firstLine="420"/>
        <w:spacing w:line="400" w:lineRule="exact"/>
        <w:rPr>
          <w:rFonts w:hint="eastAsia" w:ascii="仿宋" w:hAnsi="仿宋" w:eastAsia="仿宋" w:cs="仿宋"/>
          <w:bCs/>
          <w:color w:val="auto"/>
          <w:szCs w:val="21"/>
          <w:highlight w:val="none"/>
          <w:u w:val="single"/>
        </w:rPr>
      </w:pPr>
      <w:r>
        <w:rPr>
          <w:rFonts w:hint="eastAsia" w:ascii="仿宋" w:hAnsi="仿宋" w:eastAsia="仿宋" w:cs="仿宋"/>
          <w:bCs/>
          <w:color w:val="auto"/>
          <w:szCs w:val="21"/>
          <w:highlight w:val="none"/>
        </w:rPr>
        <w:t xml:space="preserve">（2）履约验收时间：</w:t>
      </w:r>
      <w:r>
        <w:rPr>
          <w:rFonts w:hint="eastAsia" w:ascii="仿宋" w:hAnsi="仿宋" w:eastAsia="仿宋" w:cs="仿宋"/>
          <w:bCs/>
          <w:color w:val="auto"/>
          <w:szCs w:val="21"/>
          <w:highlight w:val="none"/>
          <w:u w:val="single"/>
          <w:lang w:val="en-US" w:eastAsia="zh-CN"/>
        </w:rPr>
        <w:t xml:space="preserve">安装调试结束之日起5日内组织验收</w:t>
      </w:r>
      <w:r>
        <w:rPr>
          <w:rFonts w:hint="eastAsia" w:ascii="仿宋" w:hAnsi="仿宋" w:eastAsia="仿宋" w:cs="仿宋"/>
          <w:bCs/>
          <w:color w:val="auto"/>
          <w:szCs w:val="21"/>
          <w:highlight w:val="none"/>
          <w:u w:val="single"/>
          <w:lang w:eastAsia="zh-CN"/>
        </w:rPr>
        <w:t xml:space="preserve">，</w:t>
      </w:r>
      <w:r>
        <w:rPr>
          <w:rFonts w:hint="eastAsia" w:ascii="仿宋" w:hAnsi="仿宋" w:eastAsia="仿宋" w:cs="仿宋"/>
          <w:color w:val="auto"/>
          <w:szCs w:val="21"/>
          <w:highlight w:val="none"/>
        </w:rPr>
        <w:t xml:space="preserve">甲方</w:t>
      </w:r>
      <w:r>
        <w:rPr>
          <w:rFonts w:hint="eastAsia" w:ascii="仿宋" w:hAnsi="仿宋" w:eastAsia="仿宋" w:cs="仿宋"/>
          <w:color w:val="auto"/>
          <w:szCs w:val="21"/>
          <w:highlight w:val="none"/>
          <w:lang w:val="en-US" w:eastAsia="zh-CN"/>
        </w:rPr>
        <w:t xml:space="preserve">未</w:t>
      </w:r>
      <w:r>
        <w:rPr>
          <w:rFonts w:hint="eastAsia" w:ascii="仿宋" w:hAnsi="仿宋" w:eastAsia="仿宋" w:cs="仿宋"/>
          <w:color w:val="auto"/>
          <w:szCs w:val="21"/>
          <w:highlight w:val="none"/>
        </w:rPr>
        <w:t xml:space="preserve">按照合同约定及时对交付的货物进行验收，未在约定的期限内对乙方履约提出任何异议或者向乙方作出任何说明的，视为验收通过。</w:t>
      </w:r>
      <w:r/>
    </w:p>
    <w:p>
      <w:pPr>
        <w:ind w:firstLine="420"/>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（3）履约验收方式：</w:t>
      </w:r>
      <w:r>
        <w:rPr>
          <w:rFonts w:ascii="Wingdings" w:hAnsi="Wingdings" w:eastAsia="Wingdings" w:cs="Wingdings"/>
          <w:color w:val="auto"/>
          <w:sz w:val="21"/>
          <w:highlight w:val="none"/>
        </w:rPr>
        <w:t xml:space="preserve">þ</w:t>
      </w:r>
      <w:r>
        <w:rPr>
          <w:rFonts w:hint="eastAsia" w:ascii="仿宋" w:hAnsi="仿宋" w:eastAsia="仿宋" w:cs="仿宋"/>
          <w:bCs/>
          <w:color w:val="auto"/>
          <w:szCs w:val="21"/>
          <w:highlight w:val="none"/>
        </w:rPr>
        <w:t xml:space="preserve">一次性验收         </w:t>
      </w:r>
      <w:r/>
    </w:p>
    <w:p>
      <w:pPr>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                       </w:t>
      </w:r>
      <w:r>
        <w:rPr>
          <w:rFonts w:ascii="Wingdings" w:hAnsi="Wingdings" w:eastAsia="Wingdings" w:cs="Wingdings"/>
          <w:color w:val="auto"/>
          <w:sz w:val="21"/>
          <w:highlight w:val="none"/>
        </w:rPr>
        <w:t xml:space="preserve">¨</w:t>
      </w:r>
      <w:r>
        <w:rPr>
          <w:rFonts w:hint="eastAsia" w:ascii="仿宋" w:hAnsi="仿宋" w:eastAsia="仿宋" w:cs="仿宋"/>
          <w:bCs/>
          <w:color w:val="auto"/>
          <w:szCs w:val="21"/>
          <w:highlight w:val="none"/>
        </w:rPr>
        <w:t xml:space="preserve">分期/分项验收</w:t>
      </w:r>
      <w:r/>
    </w:p>
    <w:p>
      <w:pPr>
        <w:ind w:firstLine="420"/>
        <w:spacing w:line="400" w:lineRule="exact"/>
        <w:rPr>
          <w:rFonts w:hint="eastAsia" w:ascii="仿宋" w:hAnsi="仿宋" w:eastAsia="仿宋" w:cs="仿宋"/>
          <w:bCs/>
          <w:color w:val="auto"/>
          <w:szCs w:val="21"/>
          <w:highlight w:val="none"/>
          <w:lang w:eastAsia="zh-CN"/>
        </w:rPr>
      </w:pPr>
      <w:r>
        <w:rPr>
          <w:rFonts w:hint="eastAsia" w:ascii="仿宋" w:hAnsi="仿宋" w:eastAsia="仿宋" w:cs="仿宋"/>
          <w:bCs/>
          <w:color w:val="auto"/>
          <w:szCs w:val="21"/>
          <w:highlight w:val="none"/>
        </w:rPr>
        <w:t xml:space="preserve">（4）履约验收程序：</w:t>
      </w:r>
      <w:r>
        <w:rPr>
          <w:rFonts w:hint="eastAsia" w:ascii="仿宋" w:hAnsi="仿宋" w:eastAsia="仿宋" w:cs="仿宋"/>
          <w:bCs/>
          <w:color w:val="auto"/>
          <w:szCs w:val="21"/>
          <w:highlight w:val="none"/>
          <w:u w:val="single"/>
        </w:rPr>
        <w:t xml:space="preserve"> 方案前置 — 申请启动 — 小组组建 — 实施验收 — 意见确认 — 资料归档”</w:t>
      </w:r>
      <w:r>
        <w:rPr>
          <w:rFonts w:hint="eastAsia" w:ascii="仿宋" w:hAnsi="仿宋" w:eastAsia="仿宋" w:cs="仿宋"/>
          <w:bCs/>
          <w:color w:val="auto"/>
          <w:szCs w:val="21"/>
          <w:highlight w:val="none"/>
          <w:u w:val="none"/>
          <w:lang w:eastAsia="zh-CN"/>
        </w:rPr>
        <w:t xml:space="preserve">。</w:t>
      </w:r>
      <w:r/>
    </w:p>
    <w:p>
      <w:pPr>
        <w:ind w:firstLine="420"/>
        <w:spacing w:line="400" w:lineRule="exact"/>
        <w:rPr>
          <w:rFonts w:hint="eastAsia" w:ascii="仿宋" w:hAnsi="仿宋" w:eastAsia="仿宋" w:cs="仿宋"/>
          <w:bCs/>
          <w:color w:val="auto"/>
          <w:szCs w:val="21"/>
          <w:highlight w:val="none"/>
          <w:u w:val="single"/>
          <w:lang w:eastAsia="zh-CN"/>
        </w:rPr>
      </w:pPr>
      <w:r>
        <w:rPr>
          <w:rFonts w:hint="eastAsia" w:ascii="仿宋" w:hAnsi="仿宋" w:eastAsia="仿宋" w:cs="仿宋"/>
          <w:bCs/>
          <w:color w:val="auto"/>
          <w:szCs w:val="21"/>
          <w:highlight w:val="none"/>
        </w:rPr>
        <w:t xml:space="preserve">（5）履约验收的内容：</w:t>
      </w:r>
      <w:r>
        <w:rPr>
          <w:rFonts w:hint="eastAsia" w:ascii="仿宋" w:hAnsi="仿宋" w:eastAsia="仿宋" w:cs="仿宋"/>
          <w:bCs/>
          <w:color w:val="auto"/>
          <w:szCs w:val="21"/>
          <w:highlight w:val="none"/>
          <w:u w:val="single"/>
        </w:rPr>
        <w:t xml:space="preserve"> 应当包括每一项技术和商务要求的履约情况，核查随货CMA/CNAS检测报告与投标文件、采购需求是否一致，同时核查落实政府采购扶持中小企业、支持绿色发展和乡村振兴等政策落实情况</w:t>
      </w:r>
      <w:r>
        <w:rPr>
          <w:rFonts w:hint="eastAsia" w:ascii="仿宋" w:hAnsi="仿宋" w:eastAsia="仿宋" w:cs="仿宋"/>
          <w:bCs/>
          <w:color w:val="auto"/>
          <w:szCs w:val="21"/>
          <w:highlight w:val="none"/>
          <w:u w:val="none"/>
          <w:lang w:eastAsia="zh-CN"/>
        </w:rPr>
        <w:t xml:space="preserve">。</w:t>
      </w:r>
      <w:r/>
    </w:p>
    <w:p>
      <w:pPr>
        <w:ind w:firstLine="420"/>
        <w:spacing w:line="400" w:lineRule="exact"/>
        <w:rPr>
          <w:rFonts w:hint="eastAsia" w:ascii="仿宋" w:hAnsi="仿宋" w:eastAsia="仿宋" w:cs="仿宋"/>
          <w:bCs/>
          <w:color w:val="auto"/>
          <w:szCs w:val="21"/>
          <w:highlight w:val="none"/>
          <w:u w:val="none"/>
          <w:lang w:eastAsia="zh-CN"/>
        </w:rPr>
      </w:pPr>
      <w:r>
        <w:rPr>
          <w:rFonts w:hint="eastAsia" w:ascii="仿宋" w:hAnsi="仿宋" w:eastAsia="仿宋" w:cs="仿宋"/>
          <w:bCs/>
          <w:color w:val="auto"/>
          <w:szCs w:val="21"/>
          <w:highlight w:val="none"/>
        </w:rPr>
        <w:t xml:space="preserve">（6）履约验收标准：</w:t>
      </w:r>
      <w:r>
        <w:rPr>
          <w:rFonts w:hint="eastAsia" w:ascii="仿宋" w:hAnsi="仿宋" w:eastAsia="仿宋" w:cs="仿宋"/>
          <w:bCs/>
          <w:color w:val="auto"/>
          <w:szCs w:val="21"/>
          <w:highlight w:val="none"/>
          <w:u w:val="single"/>
        </w:rPr>
        <w:t xml:space="preserve"> 依据</w:t>
      </w:r>
      <w:r>
        <w:rPr>
          <w:rFonts w:hint="eastAsia" w:ascii="仿宋" w:hAnsi="仿宋" w:eastAsia="仿宋" w:cs="仿宋"/>
          <w:bCs/>
          <w:color w:val="auto"/>
          <w:szCs w:val="21"/>
          <w:highlight w:val="none"/>
          <w:u w:val="single"/>
          <w:lang w:val="en-US" w:eastAsia="zh-CN"/>
        </w:rPr>
        <w:t xml:space="preserve">法律</w:t>
      </w:r>
      <w:r>
        <w:rPr>
          <w:rFonts w:hint="eastAsia" w:ascii="仿宋" w:hAnsi="仿宋" w:eastAsia="仿宋" w:cs="仿宋"/>
          <w:bCs/>
          <w:color w:val="auto"/>
          <w:szCs w:val="21"/>
          <w:highlight w:val="none"/>
          <w:u w:val="single"/>
        </w:rPr>
        <w:t xml:space="preserve">法规、采购文件与合同，对货物、工程、服务的技术、商务、数量、质量、服务等进行客观量化核验，确保合规履约并形成可追溯结论</w:t>
      </w:r>
      <w:r>
        <w:rPr>
          <w:rFonts w:hint="eastAsia" w:ascii="仿宋" w:hAnsi="仿宋" w:eastAsia="仿宋" w:cs="仿宋"/>
          <w:bCs/>
          <w:color w:val="auto"/>
          <w:szCs w:val="21"/>
          <w:highlight w:val="none"/>
          <w:u w:val="none"/>
          <w:lang w:eastAsia="zh-CN"/>
        </w:rPr>
        <w:t xml:space="preserve">。</w:t>
      </w:r>
      <w:r/>
    </w:p>
    <w:p>
      <w:pPr>
        <w:pStyle w:val="1035"/>
        <w:ind w:firstLine="420"/>
        <w:rPr>
          <w:rFonts w:hint="eastAsia" w:ascii="仿宋" w:hAnsi="仿宋" w:eastAsia="仿宋" w:cs="仿宋"/>
          <w:color w:val="auto"/>
          <w:sz w:val="21"/>
          <w:highlight w:val="none"/>
        </w:rPr>
      </w:pPr>
      <w:r>
        <w:rPr>
          <w:rFonts w:hint="eastAsia" w:ascii="仿宋" w:hAnsi="仿宋" w:eastAsia="仿宋" w:cs="仿宋"/>
          <w:bCs/>
          <w:color w:val="auto"/>
          <w:sz w:val="21"/>
          <w:highlight w:val="none"/>
        </w:rPr>
        <w:t xml:space="preserve">（7）是否以采购活动中</w:t>
      </w:r>
      <w:r>
        <w:rPr>
          <w:rFonts w:hint="eastAsia" w:ascii="仿宋" w:hAnsi="仿宋" w:eastAsia="仿宋" w:cs="仿宋"/>
          <w:bCs/>
          <w:color w:val="auto"/>
          <w:sz w:val="21"/>
          <w:highlight w:val="none"/>
          <w:lang w:val="en-US" w:eastAsia="zh-CN"/>
        </w:rPr>
        <w:t xml:space="preserve">投标人</w:t>
      </w:r>
      <w:r>
        <w:rPr>
          <w:rFonts w:hint="eastAsia" w:ascii="仿宋" w:hAnsi="仿宋" w:eastAsia="仿宋" w:cs="仿宋"/>
          <w:bCs/>
          <w:color w:val="auto"/>
          <w:sz w:val="21"/>
          <w:highlight w:val="none"/>
        </w:rPr>
        <w:t xml:space="preserve">提供的样品作为参考：</w:t>
      </w:r>
      <w:r>
        <w:rPr>
          <w:rFonts w:ascii="Wingdings" w:hAnsi="Wingdings" w:eastAsia="Wingdings" w:cs="Wingdings"/>
          <w:color w:val="auto"/>
          <w:sz w:val="21"/>
          <w:highlight w:val="none"/>
        </w:rPr>
        <w:t xml:space="preserve">¨</w:t>
      </w:r>
      <w:r>
        <w:rPr>
          <w:rFonts w:hint="eastAsia" w:ascii="仿宋" w:hAnsi="仿宋" w:eastAsia="仿宋" w:cs="仿宋"/>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仿宋" w:hAnsi="仿宋" w:eastAsia="仿宋" w:cs="仿宋"/>
          <w:bCs/>
          <w:color w:val="auto"/>
          <w:sz w:val="21"/>
          <w:highlight w:val="none"/>
        </w:rPr>
        <w:t xml:space="preserve">否</w:t>
      </w:r>
      <w:r/>
    </w:p>
    <w:p>
      <w:pPr>
        <w:ind w:firstLine="420"/>
        <w:spacing w:line="400" w:lineRule="exact"/>
        <w:rPr>
          <w:rFonts w:hint="eastAsia" w:ascii="仿宋" w:hAnsi="仿宋" w:eastAsia="仿宋" w:cs="仿宋"/>
          <w:b/>
          <w:color w:val="auto"/>
          <w:sz w:val="21"/>
          <w:szCs w:val="21"/>
          <w:highlight w:val="none"/>
          <w:lang w:val="en-US" w:eastAsia="zh-CN" w:bidi="ar-SA"/>
        </w:rPr>
      </w:pPr>
      <w:r>
        <w:rPr>
          <w:rFonts w:hint="eastAsia" w:ascii="仿宋" w:hAnsi="仿宋" w:eastAsia="仿宋" w:cs="仿宋"/>
          <w:bCs/>
          <w:color w:val="auto"/>
          <w:szCs w:val="21"/>
          <w:highlight w:val="none"/>
        </w:rPr>
        <w:t xml:space="preserve">（8）履约验收其他事项：</w:t>
      </w:r>
      <w:r>
        <w:rPr>
          <w:rFonts w:hint="eastAsia" w:ascii="仿宋" w:hAnsi="仿宋" w:eastAsia="仿宋" w:cs="仿宋"/>
          <w:bCs/>
          <w:color w:val="auto"/>
          <w:szCs w:val="21"/>
          <w:highlight w:val="none"/>
          <w:u w:val="single"/>
          <w:lang w:val="en-US" w:eastAsia="zh-CN"/>
        </w:rPr>
        <w:t xml:space="preserve">履约到货阶段：中标人送货时须提供CMA或CNAS检测报告原件供采购人核验，报告所载技术指标、执行标准须与投标文件内检测报告、采购需求完全吻合</w:t>
      </w:r>
      <w:r>
        <w:rPr>
          <w:rFonts w:hint="eastAsia" w:ascii="仿宋" w:hAnsi="仿宋" w:eastAsia="仿宋" w:cs="仿宋"/>
          <w:bCs/>
          <w:color w:val="auto"/>
          <w:szCs w:val="21"/>
          <w:highlight w:val="none"/>
          <w:u w:val="none"/>
          <w:lang w:val="zh-CN"/>
        </w:rPr>
        <w:t xml:space="preserve">。 </w:t>
      </w:r>
      <w:r/>
    </w:p>
    <w:p>
      <w:pPr>
        <w:numPr>
          <w:ilvl w:val="0"/>
          <w:numId w:val="0"/>
        </w:numPr>
        <w:ind w:firstLine="420"/>
        <w:spacing w:line="400" w:lineRule="exact"/>
        <w:rPr>
          <w:rFonts w:hint="eastAsia" w:ascii="仿宋" w:hAnsi="仿宋" w:eastAsia="仿宋" w:cs="仿宋"/>
          <w:b/>
          <w:color w:val="auto"/>
          <w:szCs w:val="21"/>
          <w:highlight w:val="none"/>
        </w:rPr>
      </w:pPr>
      <w:r>
        <w:rPr>
          <w:rFonts w:hint="eastAsia" w:ascii="仿宋" w:hAnsi="仿宋" w:eastAsia="仿宋" w:cs="仿宋"/>
          <w:b/>
          <w:color w:val="auto"/>
          <w:sz w:val="21"/>
          <w:szCs w:val="21"/>
          <w:highlight w:val="none"/>
          <w:lang w:val="en-US" w:eastAsia="zh-CN" w:bidi="ar-SA"/>
        </w:rPr>
        <w:t xml:space="preserve">5.</w:t>
      </w:r>
      <w:r>
        <w:rPr>
          <w:rFonts w:hint="eastAsia" w:ascii="仿宋" w:hAnsi="仿宋" w:eastAsia="仿宋" w:cs="仿宋"/>
          <w:b/>
          <w:color w:val="auto"/>
          <w:szCs w:val="21"/>
          <w:highlight w:val="none"/>
        </w:rPr>
        <w:t xml:space="preserve">组成合同的文件</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（1）政府采购合同协议书及其变更、补充协议</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（2）政府采购合同专用条款</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（3）政府采购合同通用条款</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（4）中标通知书</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（5）投标文件</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（6）采购文件</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（7）有关技术文件，图纸</w:t>
      </w:r>
      <w:r/>
    </w:p>
    <w:p>
      <w:pPr>
        <w:pStyle w:val="1035"/>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（8）国家法律、行政法规和规章制度规定或合同约定的作为合同组成部分的其他文件</w:t>
      </w:r>
      <w:r/>
    </w:p>
    <w:p>
      <w:pPr>
        <w:numPr>
          <w:ilvl w:val="0"/>
          <w:numId w:val="0"/>
        </w:numPr>
        <w:ind w:firstLine="420"/>
        <w:spacing w:line="400" w:lineRule="exact"/>
        <w:rPr>
          <w:rFonts w:hint="eastAsia" w:ascii="仿宋" w:hAnsi="仿宋" w:eastAsia="仿宋" w:cs="仿宋"/>
          <w:b/>
          <w:color w:val="auto"/>
          <w:szCs w:val="21"/>
          <w:highlight w:val="none"/>
        </w:rPr>
      </w:pPr>
      <w:r>
        <w:rPr>
          <w:rFonts w:hint="eastAsia" w:ascii="仿宋" w:hAnsi="仿宋" w:eastAsia="仿宋" w:cs="仿宋"/>
          <w:b/>
          <w:color w:val="auto"/>
          <w:sz w:val="21"/>
          <w:szCs w:val="21"/>
          <w:highlight w:val="none"/>
          <w:lang w:val="en-US" w:eastAsia="zh-CN" w:bidi="ar-SA"/>
        </w:rPr>
        <w:t xml:space="preserve">6.</w:t>
      </w:r>
      <w:r>
        <w:rPr>
          <w:rFonts w:hint="eastAsia" w:ascii="仿宋" w:hAnsi="仿宋" w:eastAsia="仿宋" w:cs="仿宋"/>
          <w:b/>
          <w:color w:val="auto"/>
          <w:szCs w:val="21"/>
          <w:highlight w:val="none"/>
        </w:rPr>
        <w:t xml:space="preserve">合同生效</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本合同自</w:t>
      </w:r>
      <w:r>
        <w:rPr>
          <w:rFonts w:hint="eastAsia" w:ascii="仿宋" w:hAnsi="仿宋" w:eastAsia="仿宋" w:cs="仿宋"/>
          <w:color w:val="auto"/>
          <w:sz w:val="21"/>
          <w:szCs w:val="21"/>
          <w:highlight w:val="none"/>
        </w:rPr>
        <w:t xml:space="preserve">双方盖章</w:t>
      </w:r>
      <w:r>
        <w:rPr>
          <w:rFonts w:hint="eastAsia" w:ascii="仿宋" w:hAnsi="仿宋" w:eastAsia="仿宋" w:cs="仿宋"/>
          <w:color w:val="auto"/>
          <w:sz w:val="21"/>
          <w:szCs w:val="21"/>
          <w:highlight w:val="none"/>
          <w:lang w:eastAsia="zh-CN"/>
        </w:rPr>
        <w:t xml:space="preserve">签字，</w:t>
      </w:r>
      <w:r>
        <w:rPr>
          <w:rFonts w:hint="eastAsia" w:ascii="仿宋" w:hAnsi="仿宋" w:eastAsia="仿宋" w:cs="仿宋"/>
          <w:color w:val="auto"/>
          <w:sz w:val="21"/>
          <w:szCs w:val="21"/>
          <w:highlight w:val="none"/>
          <w:lang w:val="en-US" w:eastAsia="zh-CN"/>
        </w:rPr>
        <w:t xml:space="preserve">乙方缴纳履约保证金后</w:t>
      </w:r>
      <w:r>
        <w:rPr>
          <w:rFonts w:hint="eastAsia" w:ascii="仿宋" w:hAnsi="仿宋" w:eastAsia="仿宋" w:cs="仿宋"/>
          <w:color w:val="auto"/>
          <w:szCs w:val="21"/>
          <w:highlight w:val="none"/>
        </w:rPr>
        <w:t xml:space="preserve">生效；设有履约保证金的包段，履约保证金按对应包段专用条款约定执行。</w:t>
      </w:r>
      <w:r/>
    </w:p>
    <w:p>
      <w:pPr>
        <w:numPr>
          <w:ilvl w:val="0"/>
          <w:numId w:val="0"/>
        </w:numPr>
        <w:ind w:firstLine="420"/>
        <w:spacing w:line="400" w:lineRule="exact"/>
        <w:rPr>
          <w:rFonts w:hint="eastAsia" w:ascii="仿宋" w:hAnsi="仿宋" w:eastAsia="仿宋" w:cs="仿宋"/>
          <w:b/>
          <w:color w:val="auto"/>
          <w:szCs w:val="21"/>
          <w:highlight w:val="none"/>
        </w:rPr>
      </w:pPr>
      <w:r>
        <w:rPr>
          <w:rFonts w:hint="eastAsia" w:ascii="仿宋" w:hAnsi="仿宋" w:eastAsia="仿宋" w:cs="仿宋"/>
          <w:b/>
          <w:color w:val="auto"/>
          <w:sz w:val="21"/>
          <w:szCs w:val="21"/>
          <w:highlight w:val="none"/>
          <w:lang w:val="en-US" w:eastAsia="zh-CN" w:bidi="ar-SA"/>
        </w:rPr>
        <w:t xml:space="preserve">7.</w:t>
      </w:r>
      <w:r>
        <w:rPr>
          <w:rFonts w:hint="eastAsia" w:ascii="仿宋" w:hAnsi="仿宋" w:eastAsia="仿宋" w:cs="仿宋"/>
          <w:b/>
          <w:color w:val="auto"/>
          <w:szCs w:val="21"/>
          <w:highlight w:val="none"/>
        </w:rPr>
        <w:t xml:space="preserve">合同份数</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本合同一式</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六</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份，甲方执</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叁</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份，乙方执</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val="en-US" w:eastAsia="zh-CN"/>
        </w:rPr>
        <w:t xml:space="preserve">叁</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份，均具有同等法律效力。</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合同订立时间：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日</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合同订立地点：</w:t>
      </w:r>
      <w:r>
        <w:rPr>
          <w:rFonts w:hint="eastAsia" w:ascii="仿宋" w:hAnsi="仿宋" w:eastAsia="仿宋" w:cs="仿宋"/>
          <w:color w:val="auto"/>
          <w:szCs w:val="21"/>
          <w:highlight w:val="none"/>
          <w:u w:val="single"/>
        </w:rPr>
        <w:t xml:space="preserve">                           </w:t>
      </w:r>
      <w:r/>
    </w:p>
    <w:p>
      <w:pPr>
        <w:ind w:firstLine="420"/>
        <w:spacing w:line="400" w:lineRule="exact"/>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 xml:space="preserve">具体标的及其技术要求和商务要求、联合协议、分包意向协议等</w:t>
      </w:r>
      <w:r>
        <w:rPr>
          <w:rFonts w:hint="eastAsia" w:ascii="仿宋" w:hAnsi="仿宋" w:eastAsia="仿宋" w:cs="仿宋"/>
          <w:color w:val="auto"/>
          <w:highlight w:val="none"/>
          <w:lang w:val="en" w:eastAsia="zh-CN"/>
        </w:rPr>
        <w:t xml:space="preserve">。</w:t>
      </w:r>
      <w:r>
        <w:rPr>
          <w:rFonts w:hint="eastAsia" w:ascii="仿宋" w:hAnsi="仿宋" w:eastAsia="仿宋" w:cs="仿宋"/>
          <w:color w:val="auto"/>
          <w:highlight w:val="none"/>
          <w:lang w:val="en"/>
        </w:rPr>
        <w:t xml:space="preserve">  </w:t>
      </w:r>
      <w:r/>
    </w:p>
    <w:tbl>
      <w:tblPr>
        <w:tblStyle w:val="736"/>
        <w:tblW w:w="4927" w:type="pct"/>
        <w:tblInd w:w="-22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3"/>
        <w:gridCol w:w="3542"/>
        <w:gridCol w:w="1175"/>
        <w:gridCol w:w="3267"/>
      </w:tblGrid>
      <w:tr>
        <w:trPr>
          <w:trHeight w:val="490"/>
        </w:trPr>
        <w:tc>
          <w:tcPr>
            <w:gridSpan w:val="2"/>
            <w:tcW w:w="4677" w:type="dxa"/>
            <w:vAlign w:val="center"/>
            <w:textDirection w:val="lrTb"/>
            <w:noWrap w:val="false"/>
          </w:tcPr>
          <w:p>
            <w:pPr>
              <w:jc w:val="center"/>
              <w:spacing w:line="30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甲方（采购人）</w:t>
            </w:r>
            <w:r/>
          </w:p>
        </w:tc>
        <w:tc>
          <w:tcPr>
            <w:gridSpan w:val="2"/>
            <w:tcW w:w="4453" w:type="dxa"/>
            <w:vAlign w:val="center"/>
            <w:textDirection w:val="lrTb"/>
            <w:noWrap w:val="false"/>
          </w:tcPr>
          <w:p>
            <w:pPr>
              <w:jc w:val="center"/>
              <w:spacing w:line="30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乙方（</w:t>
            </w:r>
            <w:r>
              <w:rPr>
                <w:rFonts w:hint="eastAsia" w:ascii="仿宋" w:hAnsi="仿宋" w:eastAsia="仿宋" w:cs="仿宋"/>
                <w:color w:val="auto"/>
                <w:szCs w:val="21"/>
                <w:highlight w:val="none"/>
                <w:lang w:val="en-US" w:eastAsia="zh-CN"/>
              </w:rPr>
              <w:t xml:space="preserve">投标人</w:t>
            </w:r>
            <w:r>
              <w:rPr>
                <w:rFonts w:hint="eastAsia" w:ascii="仿宋" w:hAnsi="仿宋" w:eastAsia="仿宋" w:cs="仿宋"/>
                <w:color w:val="auto"/>
                <w:szCs w:val="21"/>
                <w:highlight w:val="none"/>
              </w:rPr>
              <w:t xml:space="preserve">）</w:t>
            </w:r>
            <w:r/>
          </w:p>
        </w:tc>
      </w:tr>
      <w:tr>
        <w:trPr>
          <w:trHeight w:val="917"/>
        </w:trPr>
        <w:tc>
          <w:tcPr>
            <w:tcW w:w="112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单位名称（公章或合同章）</w:t>
            </w:r>
            <w:r/>
          </w:p>
        </w:tc>
        <w:tc>
          <w:tcPr>
            <w:tcW w:w="143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77"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单位名称（公章或合同章）</w:t>
            </w:r>
            <w:r/>
          </w:p>
        </w:tc>
        <w:tc>
          <w:tcPr>
            <w:tcW w:w="1260" w:type="dxa"/>
            <w:vAlign w:val="center"/>
            <w:textDirection w:val="lrTb"/>
            <w:noWrap w:val="false"/>
          </w:tcPr>
          <w:p>
            <w:pPr>
              <w:jc w:val="center"/>
              <w:spacing w:line="300" w:lineRule="exact"/>
              <w:rPr>
                <w:rFonts w:hint="eastAsia" w:ascii="仿宋" w:hAnsi="仿宋" w:eastAsia="仿宋" w:cs="仿宋"/>
                <w:color w:val="auto"/>
                <w:spacing w:val="20"/>
                <w:szCs w:val="21"/>
                <w:highlight w:val="none"/>
              </w:rPr>
            </w:pPr>
            <w:r>
              <w:rPr>
                <w:rFonts w:hint="eastAsia" w:ascii="仿宋" w:hAnsi="仿宋" w:eastAsia="仿宋" w:cs="仿宋"/>
                <w:color w:val="auto"/>
                <w:spacing w:val="20"/>
                <w:szCs w:val="21"/>
                <w:highlight w:val="none"/>
              </w:rPr>
            </w:r>
            <w:r/>
          </w:p>
        </w:tc>
      </w:tr>
      <w:tr>
        <w:trPr>
          <w:trHeight w:val="1171"/>
        </w:trPr>
        <w:tc>
          <w:tcPr>
            <w:tcW w:w="1125" w:type="dxa"/>
            <w:vAlign w:val="center"/>
            <w:vMerge w:val="restart"/>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法定代表人</w:t>
            </w:r>
            <w:r/>
          </w:p>
          <w:p>
            <w:pPr>
              <w:ind w:firstLine="100"/>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或其委托代理人（签章）</w:t>
            </w:r>
            <w:r/>
          </w:p>
        </w:tc>
        <w:tc>
          <w:tcPr>
            <w:tcW w:w="1435" w:type="dxa"/>
            <w:vAlign w:val="center"/>
            <w:vMerge w:val="restart"/>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77"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法定代表人</w:t>
            </w:r>
            <w:r/>
          </w:p>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或其委托代理人（签章）</w:t>
            </w:r>
            <w:r/>
          </w:p>
        </w:tc>
        <w:tc>
          <w:tcPr>
            <w:tcW w:w="1260"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trHeight w:val="483"/>
        </w:trPr>
        <w:tc>
          <w:tcPr>
            <w:tcW w:w="1125" w:type="dxa"/>
            <w:vAlign w:val="center"/>
            <w:vMerge w:val="continue"/>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435" w:type="dxa"/>
            <w:vAlign w:val="center"/>
            <w:vMerge w:val="continue"/>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77"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拥有者性别</w:t>
            </w:r>
            <w:r/>
          </w:p>
        </w:tc>
        <w:tc>
          <w:tcPr>
            <w:tcW w:w="1260" w:type="dxa"/>
            <w:vAlign w:val="center"/>
            <w:textDirection w:val="lrTb"/>
            <w:noWrap w:val="false"/>
          </w:tcPr>
          <w:p>
            <w:pPr>
              <w:jc w:val="center"/>
              <w:spacing w:line="300" w:lineRule="exact"/>
              <w:rPr>
                <w:rFonts w:hint="eastAsia" w:ascii="仿宋" w:hAnsi="仿宋" w:eastAsia="仿宋" w:cs="仿宋"/>
                <w:color w:val="auto"/>
                <w:spacing w:val="20"/>
                <w:szCs w:val="21"/>
                <w:highlight w:val="none"/>
              </w:rPr>
            </w:pPr>
            <w:r>
              <w:rPr>
                <w:rFonts w:hint="eastAsia" w:ascii="仿宋" w:hAnsi="仿宋" w:eastAsia="仿宋" w:cs="仿宋"/>
                <w:color w:val="auto"/>
                <w:spacing w:val="20"/>
                <w:szCs w:val="21"/>
                <w:highlight w:val="none"/>
              </w:rPr>
            </w:r>
            <w:r/>
          </w:p>
        </w:tc>
      </w:tr>
      <w:tr>
        <w:trPr>
          <w:trHeight w:val="483"/>
        </w:trPr>
        <w:tc>
          <w:tcPr>
            <w:tcW w:w="112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住  所</w:t>
            </w:r>
            <w:r/>
          </w:p>
        </w:tc>
        <w:tc>
          <w:tcPr>
            <w:tcW w:w="143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77"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住  所</w:t>
            </w:r>
            <w:r/>
          </w:p>
        </w:tc>
        <w:tc>
          <w:tcPr>
            <w:tcW w:w="1260" w:type="dxa"/>
            <w:vAlign w:val="center"/>
            <w:textDirection w:val="lrTb"/>
            <w:noWrap w:val="false"/>
          </w:tcPr>
          <w:p>
            <w:pPr>
              <w:jc w:val="center"/>
              <w:spacing w:line="300" w:lineRule="exact"/>
              <w:rPr>
                <w:rFonts w:hint="eastAsia" w:ascii="仿宋" w:hAnsi="仿宋" w:eastAsia="仿宋" w:cs="仿宋"/>
                <w:color w:val="auto"/>
                <w:spacing w:val="20"/>
                <w:szCs w:val="21"/>
                <w:highlight w:val="none"/>
              </w:rPr>
            </w:pPr>
            <w:r>
              <w:rPr>
                <w:rFonts w:hint="eastAsia" w:ascii="仿宋" w:hAnsi="仿宋" w:eastAsia="仿宋" w:cs="仿宋"/>
                <w:color w:val="auto"/>
                <w:spacing w:val="20"/>
                <w:szCs w:val="21"/>
                <w:highlight w:val="none"/>
              </w:rPr>
            </w:r>
            <w:r/>
          </w:p>
        </w:tc>
      </w:tr>
      <w:tr>
        <w:trPr>
          <w:trHeight w:val="483"/>
        </w:trPr>
        <w:tc>
          <w:tcPr>
            <w:tcW w:w="112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联 系 人</w:t>
            </w:r>
            <w:r/>
          </w:p>
        </w:tc>
        <w:tc>
          <w:tcPr>
            <w:tcW w:w="143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77"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联 系 人</w:t>
            </w:r>
            <w:r/>
          </w:p>
        </w:tc>
        <w:tc>
          <w:tcPr>
            <w:tcW w:w="1260" w:type="dxa"/>
            <w:vAlign w:val="center"/>
            <w:textDirection w:val="lrTb"/>
            <w:noWrap w:val="false"/>
          </w:tcPr>
          <w:p>
            <w:pPr>
              <w:jc w:val="center"/>
              <w:spacing w:line="300" w:lineRule="exact"/>
              <w:rPr>
                <w:rFonts w:hint="eastAsia" w:ascii="仿宋" w:hAnsi="仿宋" w:eastAsia="仿宋" w:cs="仿宋"/>
                <w:color w:val="auto"/>
                <w:spacing w:val="20"/>
                <w:szCs w:val="21"/>
                <w:highlight w:val="none"/>
              </w:rPr>
            </w:pPr>
            <w:r>
              <w:rPr>
                <w:rFonts w:hint="eastAsia" w:ascii="仿宋" w:hAnsi="仿宋" w:eastAsia="仿宋" w:cs="仿宋"/>
                <w:color w:val="auto"/>
                <w:spacing w:val="20"/>
                <w:szCs w:val="21"/>
                <w:highlight w:val="none"/>
              </w:rPr>
            </w:r>
            <w:r/>
          </w:p>
        </w:tc>
      </w:tr>
      <w:tr>
        <w:trPr>
          <w:trHeight w:val="483"/>
        </w:trPr>
        <w:tc>
          <w:tcPr>
            <w:tcW w:w="112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联系电话</w:t>
            </w:r>
            <w:r/>
          </w:p>
        </w:tc>
        <w:tc>
          <w:tcPr>
            <w:tcW w:w="143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77"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联系电话</w:t>
            </w:r>
            <w:r/>
          </w:p>
        </w:tc>
        <w:tc>
          <w:tcPr>
            <w:tcW w:w="1260" w:type="dxa"/>
            <w:vAlign w:val="center"/>
            <w:textDirection w:val="lrTb"/>
            <w:noWrap w:val="false"/>
          </w:tcPr>
          <w:p>
            <w:pPr>
              <w:jc w:val="center"/>
              <w:spacing w:line="300" w:lineRule="exact"/>
              <w:rPr>
                <w:rFonts w:hint="eastAsia" w:ascii="仿宋" w:hAnsi="仿宋" w:eastAsia="仿宋" w:cs="仿宋"/>
                <w:color w:val="auto"/>
                <w:spacing w:val="20"/>
                <w:szCs w:val="21"/>
                <w:highlight w:val="none"/>
              </w:rPr>
            </w:pPr>
            <w:r>
              <w:rPr>
                <w:rFonts w:hint="eastAsia" w:ascii="仿宋" w:hAnsi="仿宋" w:eastAsia="仿宋" w:cs="仿宋"/>
                <w:color w:val="auto"/>
                <w:spacing w:val="20"/>
                <w:szCs w:val="21"/>
                <w:highlight w:val="none"/>
              </w:rPr>
            </w:r>
            <w:r/>
          </w:p>
        </w:tc>
      </w:tr>
      <w:tr>
        <w:trPr>
          <w:trHeight w:val="483"/>
        </w:trPr>
        <w:tc>
          <w:tcPr>
            <w:tcW w:w="112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通信地址</w:t>
            </w:r>
            <w:r/>
          </w:p>
        </w:tc>
        <w:tc>
          <w:tcPr>
            <w:tcW w:w="143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77"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通信地址</w:t>
            </w:r>
            <w:r/>
          </w:p>
        </w:tc>
        <w:tc>
          <w:tcPr>
            <w:tcW w:w="1260" w:type="dxa"/>
            <w:vAlign w:val="center"/>
            <w:textDirection w:val="lrTb"/>
            <w:noWrap w:val="false"/>
          </w:tcPr>
          <w:p>
            <w:pPr>
              <w:jc w:val="center"/>
              <w:spacing w:line="300" w:lineRule="exact"/>
              <w:rPr>
                <w:rFonts w:hint="eastAsia" w:ascii="仿宋" w:hAnsi="仿宋" w:eastAsia="仿宋" w:cs="仿宋"/>
                <w:color w:val="auto"/>
                <w:spacing w:val="20"/>
                <w:szCs w:val="21"/>
                <w:highlight w:val="none"/>
              </w:rPr>
            </w:pPr>
            <w:r>
              <w:rPr>
                <w:rFonts w:hint="eastAsia" w:ascii="仿宋" w:hAnsi="仿宋" w:eastAsia="仿宋" w:cs="仿宋"/>
                <w:color w:val="auto"/>
                <w:spacing w:val="20"/>
                <w:szCs w:val="21"/>
                <w:highlight w:val="none"/>
              </w:rPr>
            </w:r>
            <w:r/>
          </w:p>
        </w:tc>
      </w:tr>
      <w:tr>
        <w:trPr>
          <w:trHeight w:val="483"/>
        </w:trPr>
        <w:tc>
          <w:tcPr>
            <w:tcW w:w="112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邮政编码</w:t>
            </w:r>
            <w:r/>
          </w:p>
        </w:tc>
        <w:tc>
          <w:tcPr>
            <w:tcW w:w="143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77"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邮政编码</w:t>
            </w:r>
            <w:r/>
          </w:p>
        </w:tc>
        <w:tc>
          <w:tcPr>
            <w:tcW w:w="1260" w:type="dxa"/>
            <w:vAlign w:val="center"/>
            <w:textDirection w:val="lrTb"/>
            <w:noWrap w:val="false"/>
          </w:tcPr>
          <w:p>
            <w:pPr>
              <w:jc w:val="center"/>
              <w:spacing w:line="300" w:lineRule="exact"/>
              <w:rPr>
                <w:rFonts w:hint="eastAsia" w:ascii="仿宋" w:hAnsi="仿宋" w:eastAsia="仿宋" w:cs="仿宋"/>
                <w:color w:val="auto"/>
                <w:spacing w:val="20"/>
                <w:szCs w:val="21"/>
                <w:highlight w:val="none"/>
              </w:rPr>
            </w:pPr>
            <w:r>
              <w:rPr>
                <w:rFonts w:hint="eastAsia" w:ascii="仿宋" w:hAnsi="仿宋" w:eastAsia="仿宋" w:cs="仿宋"/>
                <w:color w:val="auto"/>
                <w:spacing w:val="20"/>
                <w:szCs w:val="21"/>
                <w:highlight w:val="none"/>
              </w:rPr>
            </w:r>
            <w:r/>
          </w:p>
        </w:tc>
      </w:tr>
      <w:tr>
        <w:trPr>
          <w:trHeight w:val="483"/>
        </w:trPr>
        <w:tc>
          <w:tcPr>
            <w:tcW w:w="112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电子邮箱</w:t>
            </w:r>
            <w:r/>
          </w:p>
        </w:tc>
        <w:tc>
          <w:tcPr>
            <w:tcW w:w="143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77"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电子邮箱</w:t>
            </w:r>
            <w:r/>
          </w:p>
        </w:tc>
        <w:tc>
          <w:tcPr>
            <w:tcW w:w="1260" w:type="dxa"/>
            <w:vAlign w:val="center"/>
            <w:textDirection w:val="lrTb"/>
            <w:noWrap w:val="false"/>
          </w:tcPr>
          <w:p>
            <w:pPr>
              <w:jc w:val="center"/>
              <w:spacing w:line="300" w:lineRule="exact"/>
              <w:rPr>
                <w:rFonts w:hint="eastAsia" w:ascii="仿宋" w:hAnsi="仿宋" w:eastAsia="仿宋" w:cs="仿宋"/>
                <w:color w:val="auto"/>
                <w:spacing w:val="20"/>
                <w:szCs w:val="21"/>
                <w:highlight w:val="none"/>
              </w:rPr>
            </w:pPr>
            <w:r>
              <w:rPr>
                <w:rFonts w:hint="eastAsia" w:ascii="仿宋" w:hAnsi="仿宋" w:eastAsia="仿宋" w:cs="仿宋"/>
                <w:color w:val="auto"/>
                <w:spacing w:val="20"/>
                <w:szCs w:val="21"/>
                <w:highlight w:val="none"/>
              </w:rPr>
            </w:r>
            <w:r/>
          </w:p>
        </w:tc>
      </w:tr>
      <w:tr>
        <w:trPr>
          <w:trHeight w:val="483"/>
        </w:trPr>
        <w:tc>
          <w:tcPr>
            <w:tcW w:w="112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统一社会信用代码</w:t>
            </w:r>
            <w:r/>
          </w:p>
        </w:tc>
        <w:tc>
          <w:tcPr>
            <w:tcW w:w="143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77"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统一社会信用代码</w:t>
            </w:r>
            <w:r/>
          </w:p>
        </w:tc>
        <w:tc>
          <w:tcPr>
            <w:tcW w:w="1260" w:type="dxa"/>
            <w:vAlign w:val="center"/>
            <w:textDirection w:val="lrTb"/>
            <w:noWrap w:val="false"/>
          </w:tcPr>
          <w:p>
            <w:pPr>
              <w:jc w:val="center"/>
              <w:spacing w:line="300" w:lineRule="exact"/>
              <w:rPr>
                <w:rFonts w:hint="eastAsia" w:ascii="仿宋" w:hAnsi="仿宋" w:eastAsia="仿宋" w:cs="仿宋"/>
                <w:color w:val="auto"/>
                <w:spacing w:val="20"/>
                <w:szCs w:val="21"/>
                <w:highlight w:val="none"/>
              </w:rPr>
            </w:pPr>
            <w:r>
              <w:rPr>
                <w:rFonts w:hint="eastAsia" w:ascii="仿宋" w:hAnsi="仿宋" w:eastAsia="仿宋" w:cs="仿宋"/>
                <w:color w:val="auto"/>
                <w:spacing w:val="20"/>
                <w:szCs w:val="21"/>
                <w:highlight w:val="none"/>
              </w:rPr>
            </w:r>
            <w:r/>
          </w:p>
        </w:tc>
      </w:tr>
      <w:tr>
        <w:trPr>
          <w:trHeight w:val="483"/>
        </w:trPr>
        <w:tc>
          <w:tcPr>
            <w:tcW w:w="112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43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77"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开户名称</w:t>
            </w:r>
            <w:r/>
          </w:p>
        </w:tc>
        <w:tc>
          <w:tcPr>
            <w:tcW w:w="1260" w:type="dxa"/>
            <w:vAlign w:val="center"/>
            <w:textDirection w:val="lrTb"/>
            <w:noWrap w:val="false"/>
          </w:tcPr>
          <w:p>
            <w:pPr>
              <w:jc w:val="center"/>
              <w:spacing w:line="300" w:lineRule="exact"/>
              <w:rPr>
                <w:rFonts w:hint="eastAsia" w:ascii="仿宋" w:hAnsi="仿宋" w:eastAsia="仿宋" w:cs="仿宋"/>
                <w:color w:val="auto"/>
                <w:spacing w:val="20"/>
                <w:szCs w:val="21"/>
                <w:highlight w:val="none"/>
              </w:rPr>
            </w:pPr>
            <w:r>
              <w:rPr>
                <w:rFonts w:hint="eastAsia" w:ascii="仿宋" w:hAnsi="仿宋" w:eastAsia="仿宋" w:cs="仿宋"/>
                <w:color w:val="auto"/>
                <w:spacing w:val="20"/>
                <w:szCs w:val="21"/>
                <w:highlight w:val="none"/>
              </w:rPr>
            </w:r>
            <w:r/>
          </w:p>
        </w:tc>
      </w:tr>
      <w:tr>
        <w:trPr>
          <w:trHeight w:val="483"/>
        </w:trPr>
        <w:tc>
          <w:tcPr>
            <w:tcW w:w="112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43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77"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开户银行</w:t>
            </w:r>
            <w:r/>
          </w:p>
        </w:tc>
        <w:tc>
          <w:tcPr>
            <w:tcW w:w="1260" w:type="dxa"/>
            <w:vAlign w:val="center"/>
            <w:textDirection w:val="lrTb"/>
            <w:noWrap w:val="false"/>
          </w:tcPr>
          <w:p>
            <w:pPr>
              <w:jc w:val="center"/>
              <w:spacing w:line="300" w:lineRule="exact"/>
              <w:rPr>
                <w:rFonts w:hint="eastAsia" w:ascii="仿宋" w:hAnsi="仿宋" w:eastAsia="仿宋" w:cs="仿宋"/>
                <w:color w:val="auto"/>
                <w:spacing w:val="20"/>
                <w:szCs w:val="21"/>
                <w:highlight w:val="none"/>
              </w:rPr>
            </w:pPr>
            <w:r>
              <w:rPr>
                <w:rFonts w:hint="eastAsia" w:ascii="仿宋" w:hAnsi="仿宋" w:eastAsia="仿宋" w:cs="仿宋"/>
                <w:color w:val="auto"/>
                <w:spacing w:val="20"/>
                <w:szCs w:val="21"/>
                <w:highlight w:val="none"/>
              </w:rPr>
            </w:r>
            <w:r/>
          </w:p>
        </w:tc>
      </w:tr>
      <w:tr>
        <w:trPr>
          <w:trHeight w:val="483"/>
        </w:trPr>
        <w:tc>
          <w:tcPr>
            <w:tcW w:w="112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435"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177" w:type="dxa"/>
            <w:vAlign w:val="center"/>
            <w:textDirection w:val="lrTb"/>
            <w:noWrap w:val="false"/>
          </w:tcPr>
          <w:p>
            <w:pPr>
              <w:jc w:val="center"/>
              <w:spacing w:line="3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银行账号</w:t>
            </w:r>
            <w:r/>
          </w:p>
        </w:tc>
        <w:tc>
          <w:tcPr>
            <w:tcW w:w="1260" w:type="dxa"/>
            <w:vAlign w:val="center"/>
            <w:textDirection w:val="lrTb"/>
            <w:noWrap w:val="false"/>
          </w:tcPr>
          <w:p>
            <w:pPr>
              <w:jc w:val="center"/>
              <w:spacing w:line="300" w:lineRule="exact"/>
              <w:rPr>
                <w:rFonts w:hint="eastAsia" w:ascii="仿宋" w:hAnsi="仿宋" w:eastAsia="仿宋" w:cs="仿宋"/>
                <w:color w:val="auto"/>
                <w:spacing w:val="20"/>
                <w:szCs w:val="21"/>
                <w:highlight w:val="none"/>
              </w:rPr>
            </w:pPr>
            <w:r>
              <w:rPr>
                <w:rFonts w:hint="eastAsia" w:ascii="仿宋" w:hAnsi="仿宋" w:eastAsia="仿宋" w:cs="仿宋"/>
                <w:color w:val="auto"/>
                <w:spacing w:val="20"/>
                <w:szCs w:val="21"/>
                <w:highlight w:val="none"/>
              </w:rPr>
            </w:r>
            <w:r/>
          </w:p>
        </w:tc>
      </w:tr>
    </w:tbl>
    <w:p>
      <w:pPr>
        <w:pStyle w:val="1024"/>
        <w:jc w:val="center"/>
        <w:spacing w:before="156"/>
        <w:rPr>
          <w:rFonts w:hint="eastAsia" w:ascii="仿宋" w:hAnsi="仿宋" w:eastAsia="仿宋" w:cs="仿宋"/>
          <w:color w:val="auto"/>
          <w:sz w:val="28"/>
          <w:szCs w:val="28"/>
          <w:highlight w:val="none"/>
        </w:rPr>
      </w:pPr>
      <w:r>
        <w:rPr>
          <w:rFonts w:hint="eastAsia" w:ascii="仿宋" w:hAnsi="仿宋" w:eastAsia="仿宋" w:cs="仿宋"/>
          <w:color w:val="auto"/>
          <w:sz w:val="21"/>
          <w:szCs w:val="21"/>
          <w:highlight w:val="none"/>
          <w:u w:val="single"/>
        </w:rPr>
        <w:br w:type="page" w:clear="all"/>
      </w:r>
      <w:r>
        <w:rPr>
          <w:rFonts w:hint="eastAsia" w:ascii="仿宋" w:hAnsi="仿宋" w:eastAsia="仿宋" w:cs="仿宋"/>
          <w:b/>
          <w:bCs/>
          <w:color w:val="auto"/>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仿宋" w:hAnsi="仿宋" w:eastAsia="仿宋" w:cs="仿宋"/>
          <w:b/>
          <w:bCs/>
          <w:color w:val="auto"/>
          <w:sz w:val="24"/>
          <w:highlight w:val="none"/>
        </w:rPr>
      </w:pPr>
      <w:r>
        <w:rPr>
          <w:rFonts w:hint="eastAsia" w:ascii="仿宋" w:hAnsi="仿宋" w:eastAsia="仿宋" w:cs="仿宋"/>
          <w:b/>
          <w:color w:val="auto"/>
          <w:sz w:val="24"/>
          <w:highlight w:val="none"/>
        </w:rPr>
        <w:t xml:space="preserve">1. </w:t>
      </w:r>
      <w:r>
        <w:rPr>
          <w:rFonts w:hint="eastAsia" w:ascii="仿宋" w:hAnsi="仿宋" w:eastAsia="仿宋" w:cs="仿宋"/>
          <w:b/>
          <w:bCs/>
          <w:color w:val="auto"/>
          <w:sz w:val="24"/>
          <w:highlight w:val="none"/>
        </w:rPr>
        <w:t xml:space="preserve">定义</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1.1合同当事人</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（1）采购人（以下称甲方）是指使用财政性资金，通过政府采购方式向</w:t>
      </w:r>
      <w:r>
        <w:rPr>
          <w:rFonts w:hint="eastAsia" w:ascii="仿宋" w:hAnsi="仿宋" w:eastAsia="仿宋" w:cs="仿宋"/>
          <w:color w:val="auto"/>
          <w:szCs w:val="21"/>
          <w:highlight w:val="none"/>
          <w:lang w:val="en-US" w:eastAsia="zh-CN"/>
        </w:rPr>
        <w:t xml:space="preserve">投标人</w:t>
      </w:r>
      <w:r>
        <w:rPr>
          <w:rFonts w:hint="eastAsia" w:ascii="仿宋" w:hAnsi="仿宋" w:eastAsia="仿宋" w:cs="仿宋"/>
          <w:color w:val="auto"/>
          <w:szCs w:val="21"/>
          <w:highlight w:val="none"/>
        </w:rPr>
        <w:t xml:space="preserve">购买货物及其相关服务的国家机关、事业单位、团体组织。</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w:t>
      </w:r>
      <w:r>
        <w:rPr>
          <w:rFonts w:hint="eastAsia" w:ascii="仿宋" w:hAnsi="仿宋" w:eastAsia="仿宋" w:cs="仿宋"/>
          <w:color w:val="auto"/>
          <w:szCs w:val="21"/>
          <w:highlight w:val="none"/>
          <w:lang w:val="en-US" w:eastAsia="zh-CN"/>
        </w:rPr>
        <w:t xml:space="preserve">投标人</w:t>
      </w:r>
      <w:r>
        <w:rPr>
          <w:rFonts w:hint="eastAsia" w:ascii="仿宋" w:hAnsi="仿宋" w:eastAsia="仿宋" w:cs="仿宋"/>
          <w:color w:val="auto"/>
          <w:szCs w:val="21"/>
          <w:highlight w:val="none"/>
        </w:rPr>
        <w:t xml:space="preserve">（以下称乙方）是指参加政府采购活动并且中标（成交），向采购人提供合同约定的货物及其相关服务的法人、非法人组织或者自然人。</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（3）其他合同主体是指除采购人和</w:t>
      </w:r>
      <w:r>
        <w:rPr>
          <w:rFonts w:hint="eastAsia" w:ascii="仿宋" w:hAnsi="仿宋" w:eastAsia="仿宋" w:cs="仿宋"/>
          <w:color w:val="auto"/>
          <w:szCs w:val="21"/>
          <w:highlight w:val="none"/>
          <w:lang w:val="en-US" w:eastAsia="zh-CN"/>
        </w:rPr>
        <w:t xml:space="preserve">投标人</w:t>
      </w:r>
      <w:r>
        <w:rPr>
          <w:rFonts w:hint="eastAsia" w:ascii="仿宋" w:hAnsi="仿宋" w:eastAsia="仿宋" w:cs="仿宋"/>
          <w:color w:val="auto"/>
          <w:szCs w:val="21"/>
          <w:highlight w:val="none"/>
        </w:rPr>
        <w:t xml:space="preserve">以外，</w:t>
      </w:r>
      <w:r>
        <w:rPr>
          <w:rFonts w:hint="eastAsia" w:ascii="仿宋" w:hAnsi="仿宋" w:eastAsia="仿宋" w:cs="仿宋"/>
          <w:bCs/>
          <w:color w:val="auto"/>
          <w:szCs w:val="21"/>
          <w:highlight w:val="none"/>
        </w:rPr>
        <w:t xml:space="preserve">依法参与合同缔结或履行，享有权利、承担义务的合同当事人</w:t>
      </w:r>
      <w:r>
        <w:rPr>
          <w:rFonts w:hint="eastAsia" w:ascii="仿宋" w:hAnsi="仿宋" w:eastAsia="仿宋" w:cs="仿宋"/>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1.2本合同下列术语应解释为：</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（1）“合同”系指</w:t>
      </w:r>
      <w:r>
        <w:rPr>
          <w:rFonts w:hint="eastAsia" w:ascii="仿宋" w:hAnsi="仿宋" w:eastAsia="仿宋" w:cs="仿宋"/>
          <w:bCs/>
          <w:color w:val="auto"/>
          <w:szCs w:val="21"/>
          <w:highlight w:val="none"/>
        </w:rPr>
        <w:t xml:space="preserve">合同当事人意思表示达成一致的任何协议，包括签署的</w:t>
      </w:r>
      <w:r>
        <w:rPr>
          <w:rFonts w:hint="eastAsia" w:ascii="仿宋" w:hAnsi="仿宋" w:eastAsia="仿宋" w:cs="仿宋"/>
          <w:color w:val="auto"/>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（3）“货物”系指乙方根据本合同规定须向甲方提供的各种形态和种类的物品，包括原材料、设备、产品（包括软件）及相关的备品备件、工具、手册及</w:t>
      </w:r>
      <w:r>
        <w:rPr>
          <w:rFonts w:hint="eastAsia" w:ascii="仿宋" w:hAnsi="仿宋" w:eastAsia="仿宋" w:cs="仿宋"/>
          <w:color w:val="auto"/>
          <w:szCs w:val="21"/>
          <w:highlight w:val="none"/>
          <w:lang w:val="en"/>
        </w:rPr>
        <w:t xml:space="preserve">其他</w:t>
      </w:r>
      <w:r>
        <w:rPr>
          <w:rFonts w:hint="eastAsia" w:ascii="仿宋" w:hAnsi="仿宋" w:eastAsia="仿宋" w:cs="仿宋"/>
          <w:color w:val="auto"/>
          <w:szCs w:val="21"/>
          <w:highlight w:val="none"/>
        </w:rPr>
        <w:t xml:space="preserve">技术资料和材料等。</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（4）“相关服务”系指根据合同规定，乙方应提供的与货物有关的技术、管理和</w:t>
      </w:r>
      <w:r>
        <w:rPr>
          <w:rFonts w:hint="eastAsia" w:ascii="仿宋" w:hAnsi="仿宋" w:eastAsia="仿宋" w:cs="仿宋"/>
          <w:color w:val="auto"/>
          <w:szCs w:val="21"/>
          <w:highlight w:val="none"/>
          <w:lang w:val="en"/>
        </w:rPr>
        <w:t xml:space="preserve">其他</w:t>
      </w:r>
      <w:r>
        <w:rPr>
          <w:rFonts w:hint="eastAsia" w:ascii="仿宋" w:hAnsi="仿宋" w:eastAsia="仿宋" w:cs="仿宋"/>
          <w:color w:val="auto"/>
          <w:szCs w:val="21"/>
          <w:highlight w:val="none"/>
        </w:rPr>
        <w:t xml:space="preserve">服务，包括但不限于：管理和质量保证、运输、保险、检验、现场准备、安装、集成、调试、培训、维修、废弃处置、技术支持等以及合同中规定乙方应承担的</w:t>
      </w:r>
      <w:r>
        <w:rPr>
          <w:rFonts w:hint="eastAsia" w:ascii="仿宋" w:hAnsi="仿宋" w:eastAsia="仿宋" w:cs="仿宋"/>
          <w:color w:val="auto"/>
          <w:szCs w:val="21"/>
          <w:highlight w:val="none"/>
          <w:lang w:val="en"/>
        </w:rPr>
        <w:t xml:space="preserve">其他</w:t>
      </w:r>
      <w:r>
        <w:rPr>
          <w:rFonts w:hint="eastAsia" w:ascii="仿宋" w:hAnsi="仿宋" w:eastAsia="仿宋" w:cs="仿宋"/>
          <w:color w:val="auto"/>
          <w:szCs w:val="21"/>
          <w:highlight w:val="none"/>
        </w:rPr>
        <w:t xml:space="preserve">义务。</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（5）“分包”系指中标（成交）</w:t>
      </w:r>
      <w:r>
        <w:rPr>
          <w:rFonts w:hint="eastAsia" w:ascii="仿宋" w:hAnsi="仿宋" w:eastAsia="仿宋" w:cs="仿宋"/>
          <w:color w:val="auto"/>
          <w:szCs w:val="21"/>
          <w:highlight w:val="none"/>
          <w:lang w:val="en-US" w:eastAsia="zh-CN"/>
        </w:rPr>
        <w:t xml:space="preserve">投标人</w:t>
      </w:r>
      <w:r>
        <w:rPr>
          <w:rFonts w:hint="eastAsia" w:ascii="仿宋" w:hAnsi="仿宋" w:eastAsia="仿宋" w:cs="仿宋"/>
          <w:color w:val="auto"/>
          <w:szCs w:val="21"/>
          <w:highlight w:val="none"/>
        </w:rPr>
        <w:t xml:space="preserve">按采购文件、投标（响应）文件的规定，根据分包意向协议，将中标（成交）项目中的部分履约内容，分给具有相应资质条件的</w:t>
      </w:r>
      <w:r>
        <w:rPr>
          <w:rFonts w:hint="eastAsia" w:ascii="仿宋" w:hAnsi="仿宋" w:eastAsia="仿宋" w:cs="仿宋"/>
          <w:color w:val="auto"/>
          <w:szCs w:val="21"/>
          <w:highlight w:val="none"/>
          <w:lang w:val="en-US" w:eastAsia="zh-CN"/>
        </w:rPr>
        <w:t xml:space="preserve">投标人</w:t>
      </w:r>
      <w:r>
        <w:rPr>
          <w:rFonts w:hint="eastAsia" w:ascii="仿宋" w:hAnsi="仿宋" w:eastAsia="仿宋" w:cs="仿宋"/>
          <w:color w:val="auto"/>
          <w:szCs w:val="21"/>
          <w:highlight w:val="none"/>
        </w:rPr>
        <w:t xml:space="preserve">履行合同的行为。</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（6）“联合体”系指由两个以上的自然人、法人或者非法人组织组成，以一个</w:t>
      </w:r>
      <w:r>
        <w:rPr>
          <w:rFonts w:hint="eastAsia" w:ascii="仿宋" w:hAnsi="仿宋" w:eastAsia="仿宋" w:cs="仿宋"/>
          <w:color w:val="auto"/>
          <w:szCs w:val="21"/>
          <w:highlight w:val="none"/>
          <w:lang w:val="en-US" w:eastAsia="zh-CN"/>
        </w:rPr>
        <w:t xml:space="preserve">投标人</w:t>
      </w:r>
      <w:r>
        <w:rPr>
          <w:rFonts w:hint="eastAsia" w:ascii="仿宋" w:hAnsi="仿宋" w:eastAsia="仿宋" w:cs="仿宋"/>
          <w:color w:val="auto"/>
          <w:szCs w:val="21"/>
          <w:highlight w:val="none"/>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auto"/>
          <w:szCs w:val="21"/>
          <w:highlight w:val="none"/>
        </w:rPr>
        <w:t xml:space="preserve">政府采购合同专用条款</w:t>
      </w:r>
      <w:r>
        <w:rPr>
          <w:rFonts w:hint="eastAsia" w:ascii="仿宋" w:hAnsi="仿宋" w:eastAsia="仿宋" w:cs="仿宋"/>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（7）其他术语解释，见【</w:t>
      </w:r>
      <w:r>
        <w:rPr>
          <w:rFonts w:hint="eastAsia" w:ascii="仿宋" w:hAnsi="仿宋" w:eastAsia="仿宋" w:cs="仿宋"/>
          <w:b/>
          <w:bCs/>
          <w:color w:val="auto"/>
          <w:szCs w:val="21"/>
          <w:highlight w:val="none"/>
        </w:rPr>
        <w:t xml:space="preserve">政府采购合同专用条款</w:t>
      </w:r>
      <w:r>
        <w:rPr>
          <w:rFonts w:hint="eastAsia" w:ascii="仿宋" w:hAnsi="仿宋" w:eastAsia="仿宋" w:cs="仿宋"/>
          <w:color w:val="auto"/>
          <w:szCs w:val="21"/>
          <w:highlight w:val="none"/>
        </w:rPr>
        <w:t xml:space="preserve">】。</w:t>
      </w:r>
      <w:r/>
    </w:p>
    <w:p>
      <w:pPr>
        <w:numPr>
          <w:ilvl w:val="0"/>
          <w:numId w:val="10"/>
        </w:numPr>
        <w:jc w:val="left"/>
        <w:spacing w:line="400" w:lineRule="exact"/>
        <w:rPr>
          <w:rFonts w:hint="eastAsia" w:ascii="仿宋" w:hAnsi="仿宋" w:eastAsia="仿宋" w:cs="仿宋"/>
          <w:b/>
          <w:bCs/>
          <w:color w:val="auto"/>
          <w:sz w:val="24"/>
          <w:highlight w:val="none"/>
        </w:rPr>
      </w:pPr>
      <w:r>
        <w:rPr>
          <w:rFonts w:hint="eastAsia" w:ascii="仿宋" w:hAnsi="仿宋" w:eastAsia="仿宋" w:cs="仿宋"/>
          <w:b/>
          <w:color w:val="auto"/>
          <w:sz w:val="24"/>
          <w:highlight w:val="none"/>
        </w:rPr>
        <w:t xml:space="preserve">合同标的及金额</w:t>
      </w:r>
      <w:r/>
    </w:p>
    <w:p>
      <w:pPr>
        <w:ind w:firstLine="420"/>
        <w:jc w:val="left"/>
        <w:spacing w:line="400" w:lineRule="exact"/>
        <w:rPr>
          <w:rFonts w:hint="eastAsia" w:ascii="仿宋" w:hAnsi="仿宋" w:eastAsia="仿宋" w:cs="仿宋"/>
          <w:b/>
          <w:bCs/>
          <w:i/>
          <w:iCs/>
          <w:color w:val="auto"/>
          <w:szCs w:val="21"/>
          <w:highlight w:val="none"/>
        </w:rPr>
      </w:pPr>
      <w:r>
        <w:rPr>
          <w:rFonts w:hint="eastAsia" w:ascii="仿宋" w:hAnsi="仿宋" w:eastAsia="仿宋" w:cs="仿宋"/>
          <w:color w:val="auto"/>
          <w:szCs w:val="21"/>
          <w:highlight w:val="none"/>
        </w:rPr>
        <w:t xml:space="preserve">2.1 合同标的及金额应与中标（成交）结果一致。乙方为履行本合同而发生的所有费用均应包含在合同价款中，甲方不再另行支付</w:t>
      </w:r>
      <w:r>
        <w:rPr>
          <w:rFonts w:hint="eastAsia" w:ascii="仿宋" w:hAnsi="仿宋" w:eastAsia="仿宋" w:cs="仿宋"/>
          <w:color w:val="auto"/>
          <w:szCs w:val="21"/>
          <w:highlight w:val="none"/>
          <w:lang w:val="en"/>
        </w:rPr>
        <w:t xml:space="preserve">其他</w:t>
      </w:r>
      <w:r>
        <w:rPr>
          <w:rFonts w:hint="eastAsia" w:ascii="仿宋" w:hAnsi="仿宋" w:eastAsia="仿宋" w:cs="仿宋"/>
          <w:color w:val="auto"/>
          <w:szCs w:val="21"/>
          <w:highlight w:val="none"/>
        </w:rPr>
        <w:t xml:space="preserve">任何费用。</w:t>
      </w:r>
      <w:r/>
    </w:p>
    <w:p>
      <w:pPr>
        <w:jc w:val="left"/>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3. 履行合同的时间、地点和方式</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3.1 乙方应当在约定的时间、地点，按照约定方式履行合同。</w:t>
      </w:r>
      <w:r/>
    </w:p>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4. 甲方的权利和义务</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4.3 甲方有权要求乙方对缺陷部分予以修复，并按合同约定享有货物保修及其他合同约定的权利。</w:t>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4.4 甲方应当按照合同约定及时对交付的货物进行验收，未在</w:t>
      </w:r>
      <w:r>
        <w:rPr>
          <w:rFonts w:hint="eastAsia" w:ascii="仿宋" w:hAnsi="仿宋" w:eastAsia="仿宋" w:cs="仿宋"/>
          <w:b/>
          <w:bCs/>
          <w:color w:val="auto"/>
          <w:szCs w:val="21"/>
          <w:highlight w:val="none"/>
        </w:rPr>
        <w:t xml:space="preserve">【政府采购合同专用条款】</w:t>
      </w:r>
      <w:r>
        <w:rPr>
          <w:rFonts w:hint="eastAsia" w:ascii="仿宋" w:hAnsi="仿宋" w:eastAsia="仿宋" w:cs="仿宋"/>
          <w:color w:val="auto"/>
          <w:szCs w:val="21"/>
          <w:highlight w:val="none"/>
        </w:rPr>
        <w:t xml:space="preserve">约定的期限内对乙方履约提出任何异议或者向乙方作出任何说明的，视为验收通过。</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4.6 国家法律法规规定及</w:t>
      </w:r>
      <w:r>
        <w:rPr>
          <w:rFonts w:hint="eastAsia" w:ascii="仿宋" w:hAnsi="仿宋" w:eastAsia="仿宋" w:cs="仿宋"/>
          <w:b/>
          <w:bCs/>
          <w:color w:val="auto"/>
          <w:szCs w:val="21"/>
          <w:highlight w:val="none"/>
        </w:rPr>
        <w:t xml:space="preserve">【政府采购合同专用条款】</w:t>
      </w:r>
      <w:r>
        <w:rPr>
          <w:rFonts w:hint="eastAsia" w:ascii="仿宋" w:hAnsi="仿宋" w:eastAsia="仿宋" w:cs="仿宋"/>
          <w:color w:val="auto"/>
          <w:szCs w:val="21"/>
          <w:highlight w:val="none"/>
        </w:rPr>
        <w:t xml:space="preserve">约定应由甲方承担的其他义务和责任。</w:t>
      </w:r>
      <w:r/>
    </w:p>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5. 乙方的权利和义务</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5.1 签署合同后，乙方应确定项目负责人（或项目联系人），负责与本合同有关的事务。</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5.3乙方有权根据合同约定向甲方收取合同价款。</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5.4国家法律法规规定及</w:t>
      </w:r>
      <w:r>
        <w:rPr>
          <w:rFonts w:hint="eastAsia" w:ascii="仿宋" w:hAnsi="仿宋" w:eastAsia="仿宋" w:cs="仿宋"/>
          <w:b/>
          <w:color w:val="auto"/>
          <w:szCs w:val="21"/>
          <w:highlight w:val="none"/>
        </w:rPr>
        <w:t xml:space="preserve">【政府采购合同专用条款】</w:t>
      </w:r>
      <w:r>
        <w:rPr>
          <w:rFonts w:hint="eastAsia" w:ascii="仿宋" w:hAnsi="仿宋" w:eastAsia="仿宋" w:cs="仿宋"/>
          <w:color w:val="auto"/>
          <w:szCs w:val="21"/>
          <w:highlight w:val="none"/>
        </w:rPr>
        <w:t xml:space="preserve">约定应由乙方承担的其他义务和责任。</w:t>
      </w:r>
      <w:r/>
    </w:p>
    <w:p>
      <w:pPr>
        <w:numPr>
          <w:ilvl w:val="0"/>
          <w:numId w:val="11"/>
        </w:num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合同履行</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6.1 甲乙双方应当按照</w:t>
      </w:r>
      <w:r>
        <w:rPr>
          <w:rFonts w:hint="eastAsia" w:ascii="仿宋" w:hAnsi="仿宋" w:eastAsia="仿宋" w:cs="仿宋"/>
          <w:b/>
          <w:bCs/>
          <w:color w:val="auto"/>
          <w:szCs w:val="21"/>
          <w:highlight w:val="none"/>
        </w:rPr>
        <w:t xml:space="preserve">【政府采购合同专用条款】</w:t>
      </w:r>
      <w:r>
        <w:rPr>
          <w:rFonts w:hint="eastAsia" w:ascii="仿宋" w:hAnsi="仿宋" w:eastAsia="仿宋" w:cs="仿宋"/>
          <w:color w:val="auto"/>
          <w:szCs w:val="21"/>
          <w:highlight w:val="none"/>
        </w:rPr>
        <w:t xml:space="preserve">约定顺序履行合同义务；如果没有先后顺序的，应当同时履行。</w:t>
      </w:r>
      <w:r/>
    </w:p>
    <w:p>
      <w:pPr>
        <w:ind w:firstLine="420"/>
        <w:jc w:val="left"/>
        <w:spacing w:line="40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7. 货物包装、运输、保险和交付要求</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7.1 本合同</w:t>
      </w:r>
      <w:r>
        <w:rPr>
          <w:rFonts w:hint="eastAsia" w:ascii="仿宋" w:hAnsi="仿宋" w:eastAsia="仿宋" w:cs="仿宋"/>
          <w:bCs/>
          <w:color w:val="auto"/>
          <w:szCs w:val="21"/>
          <w:highlight w:val="none"/>
        </w:rPr>
        <w:t xml:space="preserve">涉及商品包装、快递包装的，</w:t>
      </w:r>
      <w:r>
        <w:rPr>
          <w:rFonts w:hint="eastAsia" w:ascii="仿宋" w:hAnsi="仿宋" w:eastAsia="仿宋" w:cs="仿宋"/>
          <w:color w:val="auto"/>
          <w:szCs w:val="21"/>
          <w:highlight w:val="none"/>
        </w:rPr>
        <w:t xml:space="preserve">除</w:t>
      </w:r>
      <w:r>
        <w:rPr>
          <w:rFonts w:hint="eastAsia" w:ascii="仿宋" w:hAnsi="仿宋" w:eastAsia="仿宋" w:cs="仿宋"/>
          <w:b/>
          <w:color w:val="auto"/>
          <w:szCs w:val="21"/>
          <w:highlight w:val="none"/>
        </w:rPr>
        <w:t xml:space="preserve">【政府采购合同专用条款】</w:t>
      </w:r>
      <w:r>
        <w:rPr>
          <w:rFonts w:hint="eastAsia" w:ascii="仿宋" w:hAnsi="仿宋" w:eastAsia="仿宋" w:cs="仿宋"/>
          <w:bCs/>
          <w:color w:val="auto"/>
          <w:szCs w:val="21"/>
          <w:highlight w:val="none"/>
        </w:rPr>
        <w:t xml:space="preserve">另有约定外，</w:t>
      </w:r>
      <w:r>
        <w:rPr>
          <w:rFonts w:hint="eastAsia" w:ascii="仿宋" w:hAnsi="仿宋" w:eastAsia="仿宋" w:cs="仿宋"/>
          <w:color w:val="auto"/>
          <w:szCs w:val="21"/>
          <w:highlight w:val="none"/>
        </w:rPr>
        <w:t xml:space="preserve">包装应适应远距离运输、防潮、防震、防锈和防野蛮装卸等要求，确保货物安全无损地运抵</w:t>
      </w:r>
      <w:r>
        <w:rPr>
          <w:rFonts w:hint="eastAsia" w:ascii="仿宋" w:hAnsi="仿宋" w:eastAsia="仿宋" w:cs="仿宋"/>
          <w:b/>
          <w:color w:val="auto"/>
          <w:szCs w:val="21"/>
          <w:highlight w:val="none"/>
        </w:rPr>
        <w:t xml:space="preserve">【政府采购合同专用条款】</w:t>
      </w:r>
      <w:r>
        <w:rPr>
          <w:rFonts w:hint="eastAsia" w:ascii="仿宋" w:hAnsi="仿宋" w:eastAsia="仿宋" w:cs="仿宋"/>
          <w:bCs/>
          <w:color w:val="auto"/>
          <w:szCs w:val="21"/>
          <w:highlight w:val="none"/>
        </w:rPr>
        <w:t xml:space="preserve">约定的</w:t>
      </w:r>
      <w:r>
        <w:rPr>
          <w:rFonts w:hint="eastAsia" w:ascii="仿宋" w:hAnsi="仿宋" w:eastAsia="仿宋" w:cs="仿宋"/>
          <w:color w:val="auto"/>
          <w:szCs w:val="21"/>
          <w:highlight w:val="none"/>
        </w:rPr>
        <w:t xml:space="preserve">指定现场。</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7.2 除</w:t>
      </w:r>
      <w:r>
        <w:rPr>
          <w:rFonts w:hint="eastAsia" w:ascii="仿宋" w:hAnsi="仿宋" w:eastAsia="仿宋" w:cs="仿宋"/>
          <w:b/>
          <w:color w:val="auto"/>
          <w:szCs w:val="21"/>
          <w:highlight w:val="none"/>
        </w:rPr>
        <w:t xml:space="preserve">【政府采购合同专用条款】</w:t>
      </w:r>
      <w:r>
        <w:rPr>
          <w:rFonts w:hint="eastAsia" w:ascii="仿宋" w:hAnsi="仿宋" w:eastAsia="仿宋" w:cs="仿宋"/>
          <w:bCs/>
          <w:color w:val="auto"/>
          <w:szCs w:val="21"/>
          <w:highlight w:val="none"/>
        </w:rPr>
        <w:t xml:space="preserve">另有约定外，</w:t>
      </w:r>
      <w:r>
        <w:rPr>
          <w:rFonts w:hint="eastAsia" w:ascii="仿宋" w:hAnsi="仿宋" w:eastAsia="仿宋" w:cs="仿宋"/>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7.3 货物保险要求按</w:t>
      </w:r>
      <w:r>
        <w:rPr>
          <w:rFonts w:hint="eastAsia" w:ascii="仿宋" w:hAnsi="仿宋" w:eastAsia="仿宋" w:cs="仿宋"/>
          <w:b/>
          <w:color w:val="auto"/>
          <w:szCs w:val="21"/>
          <w:highlight w:val="none"/>
        </w:rPr>
        <w:t xml:space="preserve">【政府采购合同专用条款】</w:t>
      </w:r>
      <w:r>
        <w:rPr>
          <w:rFonts w:hint="eastAsia" w:ascii="仿宋" w:hAnsi="仿宋" w:eastAsia="仿宋" w:cs="仿宋"/>
          <w:bCs/>
          <w:color w:val="auto"/>
          <w:szCs w:val="21"/>
          <w:highlight w:val="none"/>
        </w:rPr>
        <w:t xml:space="preserve">规定执行</w:t>
      </w:r>
      <w:r>
        <w:rPr>
          <w:rFonts w:hint="eastAsia" w:ascii="仿宋" w:hAnsi="仿宋" w:eastAsia="仿宋" w:cs="仿宋"/>
          <w:color w:val="auto"/>
          <w:szCs w:val="21"/>
          <w:highlight w:val="none"/>
        </w:rPr>
        <w:t xml:space="preserve">。</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7.5 乙方在运输到达之前应提前通知甲方，并提示货物运输装卸的注意事项，甲方配合乙方做好货物的接收工作。</w:t>
      </w:r>
      <w:r/>
    </w:p>
    <w:p>
      <w:pPr>
        <w:pStyle w:val="1035"/>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8. 质量标准和保证</w:t>
      </w:r>
      <w:r/>
    </w:p>
    <w:p>
      <w:pPr>
        <w:pStyle w:val="1037"/>
        <w:ind w:firstLine="420"/>
        <w:jc w:val="left"/>
        <w:spacing w:line="400" w:lineRule="exact"/>
        <w:rPr>
          <w:rFonts w:hint="eastAsia" w:ascii="仿宋" w:hAnsi="仿宋" w:eastAsia="仿宋" w:cs="仿宋"/>
          <w:b/>
          <w:color w:val="auto"/>
          <w:highlight w:val="none"/>
        </w:rPr>
      </w:pPr>
      <w:r>
        <w:rPr>
          <w:rFonts w:hint="eastAsia" w:ascii="仿宋" w:hAnsi="仿宋" w:eastAsia="仿宋" w:cs="仿宋"/>
          <w:color w:val="auto"/>
          <w:highlight w:val="none"/>
        </w:rPr>
        <w:t xml:space="preserve">8.1 质量标准</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37"/>
        <w:ind w:firstLine="420"/>
        <w:jc w:val="left"/>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（2）采用中华人民共和国法定计量单位。</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（3）乙方所提供的货物应符合国家有关安全、环保、卫生的规定。</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8.2 保证</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color w:val="auto"/>
          <w:szCs w:val="21"/>
          <w:highlight w:val="none"/>
        </w:rPr>
        <w:t xml:space="preserve">【政府采购合同专用条款】</w:t>
      </w:r>
      <w:r>
        <w:rPr>
          <w:rFonts w:hint="eastAsia" w:ascii="仿宋" w:hAnsi="仿宋" w:eastAsia="仿宋" w:cs="仿宋"/>
          <w:color w:val="auto"/>
          <w:szCs w:val="21"/>
          <w:highlight w:val="none"/>
        </w:rPr>
        <w:t xml:space="preserve">规定或乙方书面承诺（两者以较长的为准）的质量保证期内，本保证保持有效。</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（2）在质量保证期内所发现的缺陷，甲方应尽快以书面形式通知乙方。</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（3）乙方收到通知后，应在</w:t>
      </w:r>
      <w:r>
        <w:rPr>
          <w:rFonts w:hint="eastAsia" w:ascii="仿宋" w:hAnsi="仿宋" w:eastAsia="仿宋" w:cs="仿宋"/>
          <w:b/>
          <w:color w:val="auto"/>
          <w:szCs w:val="21"/>
          <w:highlight w:val="none"/>
        </w:rPr>
        <w:t xml:space="preserve">【政府采购合同专用条款】</w:t>
      </w:r>
      <w:r>
        <w:rPr>
          <w:rFonts w:hint="eastAsia" w:ascii="仿宋" w:hAnsi="仿宋" w:eastAsia="仿宋" w:cs="仿宋"/>
          <w:color w:val="auto"/>
          <w:szCs w:val="21"/>
          <w:highlight w:val="none"/>
        </w:rPr>
        <w:t xml:space="preserve">规定的响应时间内以合理的速度免费维修或更换有缺陷的货物或部件。</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9. 权利瑕疵担保</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9.1 乙方保证对其出售的货物享有合法的权利。</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9.2 </w:t>
      </w:r>
      <w:r>
        <w:rPr>
          <w:rFonts w:hint="eastAsia" w:ascii="仿宋" w:hAnsi="仿宋" w:eastAsia="仿宋" w:cs="仿宋"/>
          <w:color w:val="auto"/>
          <w:szCs w:val="15"/>
          <w:highlight w:val="none"/>
        </w:rPr>
        <w:t xml:space="preserve">乙方保证在交付的货物上不存在抵押权等担保物权。</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9.3 如甲方使用上述货物构成对第三人侵权的，则由乙方承担全部责任。</w:t>
      </w:r>
      <w:r/>
    </w:p>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10. 知识产权保护</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10.1 乙方对其所销售的货物应当享有知识产权或经权利人合法授权，保证没有侵犯任何第三人的知识产权等权利。</w:t>
      </w:r>
      <w:r>
        <w:rPr>
          <w:rFonts w:hint="eastAsia" w:ascii="仿宋" w:hAnsi="仿宋" w:eastAsia="仿宋" w:cs="仿宋"/>
          <w:color w:val="auto"/>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仿宋" w:hAnsi="仿宋" w:eastAsia="仿宋" w:cs="仿宋"/>
          <w:color w:val="auto"/>
          <w:szCs w:val="21"/>
          <w:highlight w:val="none"/>
        </w:rPr>
        <w:t xml:space="preserve">。</w:t>
      </w:r>
      <w:r/>
    </w:p>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11. 保密义务</w:t>
      </w:r>
      <w:r/>
    </w:p>
    <w:p>
      <w:pPr>
        <w:ind w:firstLine="420"/>
        <w:jc w:val="left"/>
        <w:spacing w:line="400" w:lineRule="exact"/>
        <w:rPr>
          <w:rFonts w:hint="eastAsia" w:ascii="仿宋" w:hAnsi="仿宋" w:eastAsia="仿宋" w:cs="仿宋"/>
          <w:color w:val="auto"/>
          <w:szCs w:val="15"/>
          <w:highlight w:val="none"/>
        </w:rPr>
      </w:pPr>
      <w:r>
        <w:rPr>
          <w:rFonts w:hint="eastAsia" w:ascii="仿宋" w:hAnsi="仿宋" w:eastAsia="仿宋" w:cs="仿宋"/>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color w:val="auto"/>
          <w:szCs w:val="15"/>
          <w:highlight w:val="none"/>
        </w:rPr>
        <w:t xml:space="preserve">【政府采购合同专用条款】</w:t>
      </w:r>
      <w:r>
        <w:rPr>
          <w:rFonts w:hint="eastAsia" w:ascii="仿宋" w:hAnsi="仿宋" w:eastAsia="仿宋" w:cs="仿宋"/>
          <w:color w:val="auto"/>
          <w:szCs w:val="15"/>
          <w:highlight w:val="none"/>
        </w:rPr>
        <w:t xml:space="preserve">中约定。</w:t>
      </w:r>
      <w:r/>
    </w:p>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12. 合同价款支付</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12.1 合同价款支付按照国库集中支付制度及财政管理相关规定执行。</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bCs/>
          <w:color w:val="auto"/>
          <w:szCs w:val="21"/>
          <w:highlight w:val="none"/>
        </w:rPr>
        <w:t xml:space="preserve">政府采购合同专用条款</w:t>
      </w:r>
      <w:r>
        <w:rPr>
          <w:rFonts w:hint="eastAsia" w:ascii="仿宋" w:hAnsi="仿宋" w:eastAsia="仿宋" w:cs="仿宋"/>
          <w:color w:val="auto"/>
          <w:szCs w:val="21"/>
          <w:highlight w:val="none"/>
        </w:rPr>
        <w:t xml:space="preserve">】中约定。</w:t>
      </w:r>
      <w:r/>
    </w:p>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13. 履约保证金</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13.1 </w:t>
      </w:r>
      <w:r>
        <w:rPr>
          <w:rFonts w:hint="eastAsia" w:ascii="仿宋" w:hAnsi="仿宋" w:eastAsia="仿宋" w:cs="仿宋"/>
          <w:color w:val="auto"/>
          <w:szCs w:val="15"/>
          <w:highlight w:val="none"/>
        </w:rPr>
        <w:t xml:space="preserve">乙方应当以支票、汇票、本票或者金融机构、担保机构出具的保函等非现金形式提交。</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13.2 如果乙方出现</w:t>
      </w:r>
      <w:r>
        <w:rPr>
          <w:rFonts w:hint="eastAsia" w:ascii="仿宋" w:hAnsi="仿宋" w:eastAsia="仿宋" w:cs="仿宋"/>
          <w:b/>
          <w:bCs/>
          <w:color w:val="auto"/>
          <w:szCs w:val="15"/>
          <w:highlight w:val="none"/>
        </w:rPr>
        <w:t xml:space="preserve">【政府采购合同专用条款】</w:t>
      </w:r>
      <w:r>
        <w:rPr>
          <w:rFonts w:hint="eastAsia" w:ascii="仿宋" w:hAnsi="仿宋" w:eastAsia="仿宋" w:cs="仿宋"/>
          <w:color w:val="auto"/>
          <w:szCs w:val="15"/>
          <w:highlight w:val="none"/>
        </w:rPr>
        <w:t xml:space="preserve">约定情形的</w:t>
      </w:r>
      <w:r>
        <w:rPr>
          <w:rFonts w:hint="eastAsia" w:ascii="仿宋" w:hAnsi="仿宋" w:eastAsia="仿宋" w:cs="仿宋"/>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13.3 甲方在项目通过验收后按照</w:t>
      </w:r>
      <w:r>
        <w:rPr>
          <w:rFonts w:hint="eastAsia" w:ascii="仿宋" w:hAnsi="仿宋" w:eastAsia="仿宋" w:cs="仿宋"/>
          <w:b/>
          <w:color w:val="auto"/>
          <w:szCs w:val="21"/>
          <w:highlight w:val="none"/>
        </w:rPr>
        <w:t xml:space="preserve">【政府采购合同专用条款】</w:t>
      </w:r>
      <w:r>
        <w:rPr>
          <w:rFonts w:hint="eastAsia" w:ascii="仿宋" w:hAnsi="仿宋" w:eastAsia="仿宋" w:cs="仿宋"/>
          <w:color w:val="auto"/>
          <w:szCs w:val="21"/>
          <w:highlight w:val="none"/>
        </w:rPr>
        <w:t xml:space="preserve">规定的时间内将履约保证金退还乙方；逾期退还的，乙方可要求甲方支付违约金，违约金按照</w:t>
      </w:r>
      <w:r>
        <w:rPr>
          <w:rFonts w:hint="eastAsia" w:ascii="仿宋" w:hAnsi="仿宋" w:eastAsia="仿宋" w:cs="仿宋"/>
          <w:b/>
          <w:color w:val="auto"/>
          <w:szCs w:val="21"/>
          <w:highlight w:val="none"/>
        </w:rPr>
        <w:t xml:space="preserve">【政府采购合同专用条款】</w:t>
      </w:r>
      <w:r>
        <w:rPr>
          <w:rFonts w:hint="eastAsia" w:ascii="仿宋" w:hAnsi="仿宋" w:eastAsia="仿宋" w:cs="仿宋"/>
          <w:color w:val="auto"/>
          <w:szCs w:val="21"/>
          <w:highlight w:val="none"/>
        </w:rPr>
        <w:t xml:space="preserve">规定支付。</w:t>
      </w:r>
      <w:r/>
    </w:p>
    <w:p>
      <w:pPr>
        <w:jc w:val="left"/>
        <w:spacing w:line="400" w:lineRule="exact"/>
        <w:rPr>
          <w:rFonts w:hint="eastAsia" w:ascii="仿宋" w:hAnsi="仿宋" w:eastAsia="仿宋" w:cs="仿宋"/>
          <w:b/>
          <w:color w:val="auto"/>
          <w:sz w:val="24"/>
          <w:highlight w:val="none"/>
        </w:rPr>
      </w:pPr>
      <w:r>
        <w:rPr>
          <w:rFonts w:hint="eastAsia" w:ascii="仿宋" w:hAnsi="仿宋" w:eastAsia="仿宋" w:cs="仿宋"/>
          <w:b/>
          <w:bCs/>
          <w:color w:val="auto"/>
          <w:sz w:val="24"/>
          <w:highlight w:val="none"/>
        </w:rPr>
        <w:t xml:space="preserve">14. </w:t>
      </w:r>
      <w:r>
        <w:rPr>
          <w:rFonts w:hint="eastAsia" w:ascii="仿宋" w:hAnsi="仿宋" w:eastAsia="仿宋" w:cs="仿宋"/>
          <w:b/>
          <w:color w:val="auto"/>
          <w:sz w:val="24"/>
          <w:highlight w:val="none"/>
        </w:rPr>
        <w:t xml:space="preserve">售后服务</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14.1 除项目不涉及或采购活动中明确约定无须承担外，乙方还应提供下列服务：</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（1）货物的现场移动、安装、调试、启动监督及技术支持；</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（2）提供货物组装和维修所需的专用工具和辅助材料；</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（3）在</w:t>
      </w:r>
      <w:r>
        <w:rPr>
          <w:rFonts w:hint="eastAsia" w:ascii="仿宋" w:hAnsi="仿宋" w:eastAsia="仿宋" w:cs="仿宋"/>
          <w:b/>
          <w:bCs/>
          <w:color w:val="auto"/>
          <w:szCs w:val="15"/>
          <w:highlight w:val="none"/>
        </w:rPr>
        <w:t xml:space="preserve">【政府采购合同专用条款】</w:t>
      </w:r>
      <w:r>
        <w:rPr>
          <w:rFonts w:hint="eastAsia" w:ascii="仿宋" w:hAnsi="仿宋" w:eastAsia="仿宋" w:cs="仿宋"/>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（4）在制造商所在地或指定现场就货物的安装、启动、运营、维护、废弃处置等对甲方操作人员进行培训</w:t>
      </w:r>
      <w:r>
        <w:rPr>
          <w:rFonts w:hint="eastAsia" w:ascii="仿宋" w:hAnsi="仿宋" w:eastAsia="仿宋" w:cs="仿宋"/>
          <w:color w:val="auto"/>
          <w:szCs w:val="15"/>
          <w:highlight w:val="none"/>
        </w:rPr>
        <w:t xml:space="preserve">；</w:t>
      </w:r>
      <w:r/>
    </w:p>
    <w:p>
      <w:pPr>
        <w:pStyle w:val="1035"/>
        <w:ind w:firstLine="420"/>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（5）依照法律、行政法规的规定或者按照</w:t>
      </w:r>
      <w:r>
        <w:rPr>
          <w:rFonts w:hint="eastAsia" w:ascii="仿宋" w:hAnsi="仿宋" w:eastAsia="仿宋" w:cs="仿宋"/>
          <w:b/>
          <w:bCs/>
          <w:color w:val="auto"/>
          <w:sz w:val="21"/>
          <w:highlight w:val="none"/>
        </w:rPr>
        <w:t xml:space="preserve">【政府采购合同专用条款】</w:t>
      </w:r>
      <w:r>
        <w:rPr>
          <w:rFonts w:hint="eastAsia" w:ascii="仿宋" w:hAnsi="仿宋" w:eastAsia="仿宋" w:cs="仿宋"/>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w:t>
      </w:r>
      <w:r>
        <w:rPr>
          <w:rFonts w:hint="eastAsia" w:ascii="仿宋" w:hAnsi="仿宋" w:eastAsia="仿宋" w:cs="仿宋"/>
          <w:b/>
          <w:color w:val="auto"/>
          <w:szCs w:val="21"/>
          <w:highlight w:val="none"/>
        </w:rPr>
        <w:t xml:space="preserve">【政府采购合同专用条款】</w:t>
      </w:r>
      <w:r>
        <w:rPr>
          <w:rFonts w:hint="eastAsia" w:ascii="仿宋" w:hAnsi="仿宋" w:eastAsia="仿宋" w:cs="仿宋"/>
          <w:color w:val="auto"/>
          <w:szCs w:val="21"/>
          <w:highlight w:val="none"/>
        </w:rPr>
        <w:t xml:space="preserve">规定由乙方提供的其他服务。</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14.2 乙方提供的售后服务的费用已包含在合同价款中，甲方不再另行支付。</w:t>
      </w:r>
      <w:r/>
    </w:p>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15. 违约责任</w:t>
      </w:r>
      <w:r/>
    </w:p>
    <w:p>
      <w:pPr>
        <w:ind w:firstLine="420"/>
        <w:jc w:val="left"/>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15.1质量瑕疵的违约责任</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乙方提供的产品不符合合同约定的质量标准或存在产品质量缺陷，甲方有权要求乙方根据</w:t>
      </w:r>
      <w:r>
        <w:rPr>
          <w:rFonts w:hint="eastAsia" w:ascii="仿宋" w:hAnsi="仿宋" w:eastAsia="仿宋" w:cs="仿宋"/>
          <w:b/>
          <w:color w:val="auto"/>
          <w:szCs w:val="21"/>
          <w:highlight w:val="none"/>
        </w:rPr>
        <w:t xml:space="preserve">【政府采购合同专用条款】</w:t>
      </w:r>
      <w:r>
        <w:rPr>
          <w:rFonts w:hint="eastAsia" w:ascii="仿宋" w:hAnsi="仿宋" w:eastAsia="仿宋" w:cs="仿宋"/>
          <w:bCs/>
          <w:color w:val="auto"/>
          <w:szCs w:val="21"/>
          <w:highlight w:val="none"/>
        </w:rPr>
        <w:t xml:space="preserve">要求</w:t>
      </w:r>
      <w:r>
        <w:rPr>
          <w:rFonts w:hint="eastAsia" w:ascii="仿宋" w:hAnsi="仿宋" w:eastAsia="仿宋" w:cs="仿宋"/>
          <w:color w:val="auto"/>
          <w:szCs w:val="21"/>
          <w:highlight w:val="none"/>
        </w:rPr>
        <w:t xml:space="preserve">及时修理、重作、更换，并承担由此给甲方造成的损失。</w:t>
      </w:r>
      <w:r/>
    </w:p>
    <w:p>
      <w:pPr>
        <w:ind w:firstLine="420"/>
        <w:jc w:val="left"/>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15.2 迟延交货的违约责任</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color w:val="auto"/>
          <w:szCs w:val="21"/>
          <w:highlight w:val="none"/>
        </w:rPr>
        <w:t xml:space="preserve">【政府采购合同专用条款】</w:t>
      </w:r>
      <w:r>
        <w:rPr>
          <w:rFonts w:hint="eastAsia" w:ascii="仿宋" w:hAnsi="仿宋" w:eastAsia="仿宋" w:cs="仿宋"/>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15.3 迟延支付的违约责任</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甲方存在迟延支付乙方合同款项的，应当承担</w:t>
      </w:r>
      <w:r>
        <w:rPr>
          <w:rFonts w:hint="eastAsia" w:ascii="仿宋" w:hAnsi="仿宋" w:eastAsia="仿宋" w:cs="仿宋"/>
          <w:b/>
          <w:bCs/>
          <w:color w:val="auto"/>
          <w:szCs w:val="21"/>
          <w:highlight w:val="none"/>
        </w:rPr>
        <w:t xml:space="preserve">【政府采购合同专用条款】</w:t>
      </w:r>
      <w:r>
        <w:rPr>
          <w:rFonts w:hint="eastAsia" w:ascii="仿宋" w:hAnsi="仿宋" w:eastAsia="仿宋" w:cs="仿宋"/>
          <w:color w:val="auto"/>
          <w:szCs w:val="21"/>
          <w:highlight w:val="none"/>
        </w:rPr>
        <w:t xml:space="preserve">规定的逾期付款利息。</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 xml:space="preserve">15.4其他违约责任根据项目实际需要按</w:t>
      </w:r>
      <w:r>
        <w:rPr>
          <w:rFonts w:hint="eastAsia" w:ascii="仿宋" w:hAnsi="仿宋" w:eastAsia="仿宋" w:cs="仿宋"/>
          <w:b/>
          <w:bCs/>
          <w:color w:val="auto"/>
          <w:szCs w:val="21"/>
          <w:highlight w:val="none"/>
        </w:rPr>
        <w:t xml:space="preserve">【政府采购合同专用条款】</w:t>
      </w:r>
      <w:r>
        <w:rPr>
          <w:rFonts w:hint="eastAsia" w:ascii="仿宋" w:hAnsi="仿宋" w:eastAsia="仿宋" w:cs="仿宋"/>
          <w:color w:val="auto"/>
          <w:szCs w:val="21"/>
          <w:highlight w:val="none"/>
        </w:rPr>
        <w:t xml:space="preserve">规定执行。</w:t>
      </w:r>
      <w:r/>
    </w:p>
    <w:p>
      <w:pPr>
        <w:numPr>
          <w:ilvl w:val="0"/>
          <w:numId w:val="12"/>
        </w:numPr>
        <w:jc w:val="left"/>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合同变更、中止与终止</w:t>
      </w:r>
      <w:r/>
    </w:p>
    <w:p>
      <w:pPr>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16.1合同的变更</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16.2合同的中止</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（1）合同履行过程中因</w:t>
      </w:r>
      <w:r>
        <w:rPr>
          <w:rFonts w:hint="eastAsia" w:ascii="仿宋" w:hAnsi="仿宋" w:eastAsia="仿宋" w:cs="仿宋"/>
          <w:color w:val="auto"/>
          <w:szCs w:val="21"/>
          <w:highlight w:val="none"/>
          <w:lang w:val="en-US" w:eastAsia="zh-CN"/>
        </w:rPr>
        <w:t xml:space="preserve">投标人</w:t>
      </w:r>
      <w:r>
        <w:rPr>
          <w:rFonts w:hint="eastAsia" w:ascii="仿宋" w:hAnsi="仿宋" w:eastAsia="仿宋" w:cs="仿宋"/>
          <w:color w:val="auto"/>
          <w:szCs w:val="21"/>
          <w:highlight w:val="none"/>
        </w:rPr>
        <w:t xml:space="preserve">就采购文件、采购过程或结果提起投诉的，甲方认为有必要的，可以中止合同的履行。</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5"/>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16.3合同的终止</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（1）合同因有效期限届满而终止；</w:t>
      </w:r>
      <w:r/>
    </w:p>
    <w:p>
      <w:pPr>
        <w:ind w:firstLine="420"/>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（2）乙方未按合同约定履行，构成根本性违约的，甲方有权终止合同，并追究乙方的违约责任。</w:t>
      </w:r>
      <w:r/>
    </w:p>
    <w:p>
      <w:pPr>
        <w:pStyle w:val="1035"/>
        <w:rPr>
          <w:rFonts w:hint="eastAsia" w:ascii="仿宋" w:hAnsi="仿宋" w:eastAsia="仿宋" w:cs="仿宋"/>
          <w:color w:val="auto"/>
          <w:highlight w:val="none"/>
        </w:rPr>
      </w:pPr>
      <w:r>
        <w:rPr>
          <w:rFonts w:hint="eastAsia" w:ascii="仿宋" w:hAnsi="仿宋" w:eastAsia="仿宋" w:cs="仿宋"/>
          <w:color w:val="auto"/>
          <w:highlight w:val="none"/>
        </w:rPr>
        <w:t xml:space="preserve">16.4 </w:t>
      </w:r>
      <w:r>
        <w:rPr>
          <w:rFonts w:hint="eastAsia" w:ascii="仿宋" w:hAnsi="仿宋" w:eastAsia="仿宋" w:cs="仿宋"/>
          <w:color w:val="auto"/>
          <w:sz w:val="21"/>
          <w:highlight w:val="none"/>
        </w:rPr>
        <w:t xml:space="preserve">涉及国家利益、社会公共利益的情形</w:t>
      </w:r>
      <w:r/>
    </w:p>
    <w:p>
      <w:pPr>
        <w:pStyle w:val="1035"/>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17. 合同分包</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17.1 乙方不得将合同转包给其他</w:t>
      </w:r>
      <w:r>
        <w:rPr>
          <w:rFonts w:hint="eastAsia" w:ascii="仿宋" w:hAnsi="仿宋" w:eastAsia="仿宋" w:cs="仿宋"/>
          <w:color w:val="auto"/>
          <w:szCs w:val="21"/>
          <w:highlight w:val="none"/>
          <w:lang w:val="en-US" w:eastAsia="zh-CN"/>
        </w:rPr>
        <w:t xml:space="preserve">投标人</w:t>
      </w:r>
      <w:r>
        <w:rPr>
          <w:rFonts w:hint="eastAsia" w:ascii="仿宋" w:hAnsi="仿宋" w:eastAsia="仿宋" w:cs="仿宋"/>
          <w:color w:val="auto"/>
          <w:szCs w:val="21"/>
          <w:highlight w:val="none"/>
        </w:rPr>
        <w:t xml:space="preserve">。涉及合同分包的，乙方应根据采购文件和投标（响应）文件规定进行合同分包。</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18. 不可抗力</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18.1 不可抗力是指合同双方不能预见、不能避免且不能克服的客观情况。</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19. 解决争议的方法</w:t>
      </w:r>
      <w:r/>
    </w:p>
    <w:p>
      <w:pPr>
        <w:pStyle w:val="1035"/>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5"/>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19.2 选择仲裁的，应在</w:t>
      </w:r>
      <w:r>
        <w:rPr>
          <w:rFonts w:hint="eastAsia" w:ascii="仿宋" w:hAnsi="仿宋" w:eastAsia="仿宋" w:cs="仿宋"/>
          <w:b/>
          <w:bCs/>
          <w:color w:val="auto"/>
          <w:sz w:val="21"/>
          <w:highlight w:val="none"/>
        </w:rPr>
        <w:t xml:space="preserve">【政府采购合同专用条款】</w:t>
      </w:r>
      <w:r>
        <w:rPr>
          <w:rFonts w:hint="eastAsia" w:ascii="仿宋" w:hAnsi="仿宋" w:eastAsia="仿宋" w:cs="仿宋"/>
          <w:color w:val="auto"/>
          <w:sz w:val="21"/>
          <w:highlight w:val="none"/>
        </w:rPr>
        <w:t xml:space="preserve">中明确仲裁机构及仲裁地；通过诉讼方式解决的，可以在</w:t>
      </w:r>
      <w:r>
        <w:rPr>
          <w:rFonts w:hint="eastAsia" w:ascii="仿宋" w:hAnsi="仿宋" w:eastAsia="仿宋" w:cs="仿宋"/>
          <w:b/>
          <w:bCs/>
          <w:color w:val="auto"/>
          <w:sz w:val="21"/>
          <w:highlight w:val="none"/>
        </w:rPr>
        <w:t xml:space="preserve">【政府采购合同专用条款】</w:t>
      </w:r>
      <w:r>
        <w:rPr>
          <w:rFonts w:hint="eastAsia" w:ascii="仿宋" w:hAnsi="仿宋" w:eastAsia="仿宋" w:cs="仿宋"/>
          <w:color w:val="auto"/>
          <w:sz w:val="21"/>
          <w:highlight w:val="none"/>
        </w:rPr>
        <w:t xml:space="preserve">中进一步约定选择与争议有实际联系的地点的人民法院管辖，但管辖法院的约定不得违反级别管辖和专属管辖的规定。</w:t>
      </w:r>
      <w:r/>
    </w:p>
    <w:p>
      <w:pPr>
        <w:pStyle w:val="1035"/>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20. 政府采购政策</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20.1 </w:t>
      </w:r>
      <w:r>
        <w:rPr>
          <w:rFonts w:hint="eastAsia" w:ascii="仿宋" w:hAnsi="仿宋" w:eastAsia="仿宋" w:cs="仿宋"/>
          <w:color w:val="auto"/>
          <w:highlight w:val="none"/>
          <w:lang w:val="en-GB"/>
        </w:rPr>
        <w:t xml:space="preserve">本合同应当按照规定执行政府采购政策。</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20.2 本合同依法执行政府采购政策的方式和内容，属于合同履约验收的范围。</w:t>
      </w:r>
      <w:r>
        <w:rPr>
          <w:rFonts w:hint="eastAsia" w:ascii="仿宋" w:hAnsi="仿宋" w:eastAsia="仿宋" w:cs="仿宋"/>
          <w:color w:val="auto"/>
          <w:highlight w:val="none"/>
        </w:rPr>
        <w:t xml:space="preserve">甲乙双方</w:t>
      </w:r>
      <w:r>
        <w:rPr>
          <w:rFonts w:hint="eastAsia" w:ascii="仿宋" w:hAnsi="仿宋" w:eastAsia="仿宋" w:cs="仿宋"/>
          <w:color w:val="auto"/>
          <w:highlight w:val="none"/>
          <w:lang w:val="en-GB"/>
        </w:rPr>
        <w:t xml:space="preserve">未按规定要求执行政府采购政策造成损失的</w:t>
      </w:r>
      <w:r>
        <w:rPr>
          <w:rFonts w:hint="eastAsia" w:ascii="仿宋" w:hAnsi="仿宋" w:eastAsia="仿宋" w:cs="仿宋"/>
          <w:color w:val="auto"/>
          <w:szCs w:val="21"/>
          <w:highlight w:val="none"/>
        </w:rPr>
        <w:t xml:space="preserve">，有过错的一方应当承担赔偿责任，双方都有过错的，各自承担相应的责任。</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20.3 对于为落实中小企业支持政策，通过采购项目整体预留、设置</w:t>
      </w:r>
      <w:r>
        <w:rPr>
          <w:rFonts w:hint="eastAsia" w:ascii="仿宋" w:hAnsi="仿宋" w:eastAsia="仿宋" w:cs="仿宋"/>
          <w:color w:val="auto"/>
          <w:szCs w:val="21"/>
          <w:highlight w:val="none"/>
          <w:lang w:eastAsia="zh-CN"/>
        </w:rPr>
        <w:t xml:space="preserve">标段</w:t>
      </w:r>
      <w:r>
        <w:rPr>
          <w:rFonts w:hint="eastAsia" w:ascii="仿宋" w:hAnsi="仿宋" w:eastAsia="仿宋" w:cs="仿宋"/>
          <w:color w:val="auto"/>
          <w:szCs w:val="21"/>
          <w:highlight w:val="none"/>
        </w:rPr>
        <w:t xml:space="preserve">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21. 法律适用</w:t>
      </w:r>
      <w:r/>
    </w:p>
    <w:p>
      <w:pPr>
        <w:pStyle w:val="1035"/>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21.1 本合同的订立、生效、解释、履行及与本合同有关的争议解决，均适用法律、行政法规。</w:t>
      </w:r>
      <w:r/>
    </w:p>
    <w:p>
      <w:pPr>
        <w:pStyle w:val="1035"/>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22. 通知</w:t>
      </w:r>
      <w:r/>
    </w:p>
    <w:p>
      <w:pPr>
        <w:pStyle w:val="1035"/>
        <w:ind w:firstLine="42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035"/>
        <w:ind w:firstLine="0"/>
        <w:jc w:val="both"/>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22.4通知以送达之日或通知书中规定的生效之日起生效，两者中以较迟之日为准。</w:t>
      </w:r>
      <w:r/>
    </w:p>
    <w:p>
      <w:pPr>
        <w:numPr>
          <w:ilvl w:val="0"/>
          <w:numId w:val="13"/>
        </w:num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合同未尽事项</w:t>
      </w:r>
      <w:r/>
    </w:p>
    <w:p>
      <w:pPr>
        <w:ind w:firstLine="420"/>
        <w:jc w:val="left"/>
        <w:spacing w:line="400" w:lineRule="exact"/>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 xml:space="preserve">23.1合同未尽事项见</w:t>
      </w:r>
      <w:r>
        <w:rPr>
          <w:rFonts w:hint="eastAsia" w:ascii="仿宋" w:hAnsi="仿宋" w:eastAsia="仿宋" w:cs="仿宋"/>
          <w:b/>
          <w:color w:val="auto"/>
          <w:szCs w:val="21"/>
          <w:highlight w:val="none"/>
        </w:rPr>
        <w:t xml:space="preserve">【政府采购合同专用条款】</w:t>
      </w:r>
      <w:r>
        <w:rPr>
          <w:rFonts w:hint="eastAsia" w:ascii="仿宋" w:hAnsi="仿宋" w:eastAsia="仿宋" w:cs="仿宋"/>
          <w:bCs/>
          <w:color w:val="auto"/>
          <w:szCs w:val="21"/>
          <w:highlight w:val="none"/>
        </w:rPr>
        <w:t xml:space="preserve">。</w:t>
      </w:r>
      <w:r/>
    </w:p>
    <w:p>
      <w:pPr>
        <w:jc w:val="left"/>
        <w:spacing w:line="400" w:lineRule="exact"/>
        <w:rPr>
          <w:rFonts w:hint="eastAsia" w:ascii="仿宋" w:hAnsi="仿宋" w:eastAsia="仿宋" w:cs="仿宋"/>
          <w:color w:val="auto"/>
          <w:sz w:val="28"/>
          <w:szCs w:val="28"/>
          <w:highlight w:val="none"/>
        </w:rPr>
      </w:pPr>
      <w:r>
        <w:rPr>
          <w:rFonts w:hint="eastAsia" w:ascii="仿宋" w:hAnsi="仿宋" w:eastAsia="仿宋" w:cs="仿宋"/>
          <w:bCs/>
          <w:color w:val="auto"/>
          <w:szCs w:val="21"/>
          <w:highlight w:val="none"/>
        </w:rPr>
        <w:t xml:space="preserve">    23.2合同附件与合同正文具有同等的法律效力。</w:t>
      </w:r>
      <w:r/>
    </w:p>
    <w:p>
      <w:pPr>
        <w:jc w:val="center"/>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bCs/>
          <w:color w:val="auto"/>
          <w:sz w:val="28"/>
          <w:szCs w:val="28"/>
          <w:highlight w:val="none"/>
        </w:rPr>
        <w:t xml:space="preserve">第三节 政府采购合同专用条款</w:t>
      </w:r>
      <w:r/>
    </w:p>
    <w:tbl>
      <w:tblPr>
        <w:tblStyle w:val="736"/>
        <w:tblW w:w="9707"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358"/>
      </w:tblGrid>
      <w:tr>
        <w:trPr>
          <w:trHeight w:val="736"/>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第1.2（6）项</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联合体具体要求</w:t>
            </w:r>
            <w:r/>
          </w:p>
        </w:tc>
        <w:tc>
          <w:tcPr>
            <w:tcW w:w="6358" w:type="dxa"/>
            <w:vAlign w:val="center"/>
            <w:textDirection w:val="lrTb"/>
            <w:noWrap w:val="false"/>
          </w:tcPr>
          <w:p>
            <w:pPr>
              <w:jc w:val="left"/>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本项目不涉及联合体。</w:t>
            </w:r>
            <w:r/>
          </w:p>
        </w:tc>
      </w:tr>
      <w:tr>
        <w:trPr>
          <w:trHeight w:val="90"/>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第1.2（7）项</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其他术语解释</w:t>
            </w:r>
            <w:r/>
          </w:p>
        </w:tc>
        <w:tc>
          <w:tcPr>
            <w:tcW w:w="6358" w:type="dxa"/>
            <w:vAlign w:val="center"/>
            <w:textDirection w:val="lrTb"/>
            <w:noWrap w:val="false"/>
          </w:tcPr>
          <w:p>
            <w:pPr>
              <w:jc w:val="left"/>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无。</w:t>
            </w:r>
            <w:r/>
          </w:p>
        </w:tc>
      </w:tr>
      <w:tr>
        <w:trPr>
          <w:trHeight w:val="736"/>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第4.4款</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履约验收中甲方提出异议或作出说明的期限</w:t>
            </w:r>
            <w:r/>
          </w:p>
        </w:tc>
        <w:tc>
          <w:tcPr>
            <w:tcW w:w="63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1.验收标准：满足国家相关标准及有关规定和采购文件要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求，并由采购方验收通过。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（1）中标人向采购人提供详细的设备供货清单，由采购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人确认。当货物到达采购人指定的现场后，采购人将对设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备的数量、品质进行逐项检查；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（2）验收以最终采购人及相关部门（如有）验收为准。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投标货物和设备经过双方检验认可后，签署验收报告，货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物保修期自验收合格之日起算，由中标人提供货物保修文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件。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 验收要求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（1）中标人必须严格按照投标时所投原产品品牌进行供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货，提供货物绝不低于投标和招标文件规定的规格和材质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要求，验收时将逐项核对货物的技术、服务、安全标准，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验收结果须经采购人确认。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（2）验收标准：中标人提供的货物必须符合我国最新颁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布的与之相关的技术规范与标准，同时必须满足招标文件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中所列规格、具体配置、技术条件及功能要求和中标人承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诺的其它指标。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（3）在质保期内，如果标的物的数量、质量或规格与合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同不符或证实标的物是具有缺陷的，包括潜在缺陷或使用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不符合要求的材料等，采购人将以书面形式通知中标人并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提出索赔。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（4）验收期限： </w:t>
            </w:r>
            <w:r/>
          </w:p>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采购包1，教师办公室升级改造：合同签订后20日内供货安装调试到位并验收完成；</w:t>
            </w:r>
            <w:r/>
          </w:p>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采购包2：教室门更换：合同签订后25日内供货安装调试到位并验收完成。</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特殊情况需延长的，双方应特别约定。</w:t>
            </w:r>
            <w:r/>
          </w:p>
        </w:tc>
      </w:tr>
      <w:tr>
        <w:trPr>
          <w:trHeight w:val="736"/>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第4.6款</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约定甲方承担的其他义务和责任</w:t>
            </w:r>
            <w:r/>
          </w:p>
        </w:tc>
        <w:tc>
          <w:tcPr>
            <w:tcW w:w="6358" w:type="dxa"/>
            <w:vAlign w:val="center"/>
            <w:textDirection w:val="lrTb"/>
            <w:noWrap w:val="false"/>
          </w:tcPr>
          <w:p>
            <w:pPr>
              <w:ind w:firstLine="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lang w:val="en-US" w:eastAsia="zh-CN"/>
              </w:rPr>
              <w:t xml:space="preserve">按双方合同约定支付合同款</w:t>
            </w:r>
            <w:r>
              <w:rPr>
                <w:rFonts w:hint="eastAsia" w:ascii="仿宋" w:hAnsi="仿宋" w:eastAsia="仿宋" w:cs="仿宋"/>
                <w:color w:val="auto"/>
                <w:sz w:val="24"/>
                <w:szCs w:val="24"/>
                <w:highlight w:val="none"/>
              </w:rPr>
              <w:t xml:space="preserve">。</w:t>
            </w:r>
            <w:r/>
          </w:p>
        </w:tc>
      </w:tr>
      <w:tr>
        <w:trPr>
          <w:trHeight w:val="736"/>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第5.4款</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约定乙方承担的其他义务和责任</w:t>
            </w:r>
            <w:r/>
          </w:p>
        </w:tc>
        <w:tc>
          <w:tcPr>
            <w:tcW w:w="6358" w:type="dxa"/>
            <w:vAlign w:val="center"/>
            <w:textDirection w:val="lrTb"/>
            <w:noWrap w:val="false"/>
          </w:tcPr>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1.货物交付 </w:t>
            </w:r>
            <w:r/>
          </w:p>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（1）按时交付：按照合同约定的时间、地点交付货物， </w:t>
            </w:r>
            <w:r/>
          </w:p>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确保运输过程中货物完好无损，附随文件（如说明书、合 </w:t>
            </w:r>
            <w:r/>
          </w:p>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格证、保修卡）齐全。 </w:t>
            </w:r>
            <w:r/>
          </w:p>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（2）质量 </w:t>
            </w:r>
            <w:r/>
          </w:p>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货物需符合国家相关规定及合同约定的技术参数（如性能 </w:t>
            </w:r>
            <w:r/>
          </w:p>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指标、使用寿命）；提供货物质量检测报告、生产许可证 等证明文件，确保无质量缺陷或安全隐患。 </w:t>
            </w:r>
            <w:r/>
          </w:p>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2.安装、调试与培训 </w:t>
            </w:r>
            <w:r/>
          </w:p>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安装调试：派遣安装技术人员到现场进行货物安装，确保货物达到正常使用。 </w:t>
            </w:r>
            <w:r/>
          </w:p>
        </w:tc>
      </w:tr>
      <w:tr>
        <w:trPr>
          <w:trHeight w:val="736"/>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第6.1款</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履行合同义务的顺序</w:t>
            </w:r>
            <w:r/>
          </w:p>
        </w:tc>
        <w:tc>
          <w:tcPr>
            <w:tcW w:w="6358" w:type="dxa"/>
            <w:vAlign w:val="center"/>
            <w:textDirection w:val="lrTb"/>
            <w:noWrap w:val="false"/>
          </w:tcPr>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采购包1，教师办公室升级改造：合同签订后20日内供货安装调试到位并验收完成；</w:t>
            </w:r>
            <w:r/>
          </w:p>
          <w:p>
            <w:pPr>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采购包2：教室门更换：合同签订后25日内供货安装调试到位并验收完成。</w:t>
            </w:r>
            <w:r/>
          </w:p>
        </w:tc>
      </w:tr>
      <w:tr>
        <w:trPr>
          <w:trHeight w:val="667"/>
        </w:trPr>
        <w:tc>
          <w:tcPr>
            <w:tcW w:w="1607" w:type="dxa"/>
            <w:vAlign w:val="center"/>
            <w:vMerge w:val="restart"/>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第7.1款</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包装特殊要求</w:t>
            </w:r>
            <w:r/>
          </w:p>
        </w:tc>
        <w:tc>
          <w:tcPr>
            <w:tcW w:w="6358" w:type="dxa"/>
            <w:vAlign w:val="center"/>
            <w:textDirection w:val="lrTb"/>
            <w:noWrap w:val="false"/>
          </w:tcPr>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1.每件包装箱内应附一份详细装箱单和质量合格证。</w:t>
            </w:r>
            <w:r/>
          </w:p>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2.装运标志</w:t>
            </w:r>
            <w:r/>
          </w:p>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 乙方应在每一包装箱邻接的四侧用不褪色的油漆以醒目的中文字样做出下列标记： （l收货人 ）（2合同号） （3装运标志） （4收货人代号 ）（5目的地） （6货物）（含软件及相关服务）名称、品目号和箱号 （7毛重／净重） （8尺寸）（长X宽X高，以厘米计 ）</w:t>
            </w:r>
            <w:r/>
          </w:p>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（3）因缺少装运标志或者装运标志不明确导致货物在运输、装卸过程中产生的损失，乙方应承担相应的过错责任。</w:t>
            </w:r>
            <w:r/>
          </w:p>
        </w:tc>
      </w:tr>
      <w:tr>
        <w:trPr>
          <w:trHeight w:val="667"/>
        </w:trPr>
        <w:tc>
          <w:tcPr>
            <w:tcW w:w="1607" w:type="dxa"/>
            <w:vAlign w:val="center"/>
            <w:vMerge w:val="continue"/>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指定现场</w:t>
            </w:r>
            <w:r/>
          </w:p>
        </w:tc>
        <w:tc>
          <w:tcPr>
            <w:tcW w:w="6358" w:type="dxa"/>
            <w:vAlign w:val="center"/>
            <w:textDirection w:val="lrTb"/>
            <w:noWrap w:val="false"/>
          </w:tcPr>
          <w:p>
            <w:pP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具体地点由甲方指定。</w:t>
            </w:r>
            <w:r/>
          </w:p>
        </w:tc>
      </w:tr>
      <w:tr>
        <w:trPr>
          <w:trHeight w:val="772"/>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第7.2款</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运输特殊要求</w:t>
            </w:r>
            <w:r/>
          </w:p>
        </w:tc>
        <w:tc>
          <w:tcPr>
            <w:tcW w:w="6358" w:type="dxa"/>
            <w:vAlign w:val="center"/>
            <w:textDirection w:val="lrTb"/>
            <w:noWrap w:val="false"/>
          </w:tcPr>
          <w:p>
            <w:pPr>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无。</w:t>
            </w:r>
            <w:r/>
          </w:p>
        </w:tc>
      </w:tr>
      <w:tr>
        <w:trPr>
          <w:trHeight w:val="667"/>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第7.3款</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保险要求</w:t>
            </w:r>
            <w:r/>
          </w:p>
        </w:tc>
        <w:tc>
          <w:tcPr>
            <w:tcW w:w="6358" w:type="dxa"/>
            <w:vAlign w:val="center"/>
            <w:textDirection w:val="lrTb"/>
            <w:noWrap w:val="false"/>
          </w:tcPr>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本项目涉的保险均由乙方全额购买。</w:t>
            </w:r>
            <w:r/>
          </w:p>
        </w:tc>
      </w:tr>
      <w:tr>
        <w:trPr>
          <w:trHeight w:val="736"/>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第8.2（1）项</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质量保证期</w:t>
            </w:r>
            <w:r/>
          </w:p>
        </w:tc>
        <w:tc>
          <w:tcPr>
            <w:tcW w:w="6358" w:type="dxa"/>
            <w:vAlign w:val="center"/>
            <w:textDirection w:val="lrTb"/>
            <w:noWrap w:val="false"/>
          </w:tcPr>
          <w:p>
            <w:pPr>
              <w:numPr>
                <w:ilvl w:val="0"/>
                <w:numId w:val="0"/>
              </w:numPr>
              <w:ind w:left="0" w:firstLine="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免费</w:t>
            </w:r>
            <w:r>
              <w:rPr>
                <w:rFonts w:hint="eastAsia" w:ascii="仿宋" w:hAnsi="仿宋" w:eastAsia="仿宋" w:cs="仿宋"/>
                <w:color w:val="auto"/>
                <w:sz w:val="24"/>
                <w:szCs w:val="24"/>
                <w:highlight w:val="none"/>
                <w:lang w:eastAsia="zh-CN"/>
              </w:rPr>
              <w:t xml:space="preserve">质</w:t>
            </w:r>
            <w:r>
              <w:rPr>
                <w:rFonts w:hint="eastAsia" w:ascii="仿宋" w:hAnsi="仿宋" w:eastAsia="仿宋" w:cs="仿宋"/>
                <w:b w:val="0"/>
                <w:bCs w:val="0"/>
                <w:color w:val="auto"/>
                <w:sz w:val="24"/>
                <w:szCs w:val="24"/>
                <w:highlight w:val="none"/>
              </w:rPr>
              <w:t xml:space="preserve">保</w:t>
            </w:r>
            <w:r>
              <w:rPr>
                <w:rFonts w:hint="eastAsia" w:ascii="仿宋" w:hAnsi="仿宋" w:eastAsia="仿宋" w:cs="仿宋"/>
                <w:b w:val="0"/>
                <w:bCs w:val="0"/>
                <w:color w:val="auto"/>
                <w:sz w:val="24"/>
                <w:szCs w:val="24"/>
                <w:highlight w:val="none"/>
                <w:lang w:val="en-US" w:eastAsia="zh-CN"/>
              </w:rPr>
              <w:t xml:space="preserve">不少于5年（以投标人投标时承诺的时间为准）</w:t>
            </w:r>
            <w:r>
              <w:rPr>
                <w:rFonts w:hint="eastAsia" w:ascii="仿宋" w:hAnsi="仿宋" w:eastAsia="仿宋" w:cs="仿宋"/>
                <w:color w:val="auto"/>
                <w:sz w:val="24"/>
                <w:szCs w:val="24"/>
                <w:highlight w:val="none"/>
              </w:rPr>
              <w:t xml:space="preserve">。</w:t>
            </w:r>
            <w:r/>
          </w:p>
        </w:tc>
      </w:tr>
      <w:tr>
        <w:trPr>
          <w:trHeight w:val="156"/>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第8.2（3）项</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货物质量缺陷</w:t>
            </w:r>
            <w:r/>
          </w:p>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响应时间</w:t>
            </w:r>
            <w:r/>
          </w:p>
        </w:tc>
        <w:tc>
          <w:tcPr>
            <w:tcW w:w="6358" w:type="dxa"/>
            <w:vAlign w:val="center"/>
            <w:textDirection w:val="lrTb"/>
            <w:noWrap w:val="false"/>
          </w:tcPr>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乙方提供 7*24小时售后服务，接到报修后 2小时内响应，4小时内到达现场；12小时内无法排除故障的，须立即提供同等规格的备用配件或备用门；24小时内完成最终修复。质保期内所有上门、维修、更换配件、备用产品提供，全部免收任何人工、材料、差旅等额外费用。</w:t>
            </w:r>
            <w:r/>
          </w:p>
        </w:tc>
      </w:tr>
      <w:tr>
        <w:trPr>
          <w:trHeight w:val="736"/>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pStyle w:val="1035"/>
              <w:ind w:firstLine="0"/>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第11.1款</w:t>
            </w:r>
            <w:r/>
          </w:p>
        </w:tc>
        <w:tc>
          <w:tcPr>
            <w:tcW w:w="1742" w:type="dxa"/>
            <w:vAlign w:val="center"/>
            <w:textDirection w:val="lrTb"/>
            <w:noWrap w:val="false"/>
          </w:tcPr>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其他应当保密的信息</w:t>
            </w:r>
            <w:r/>
          </w:p>
        </w:tc>
        <w:tc>
          <w:tcPr>
            <w:tcW w:w="6358" w:type="dxa"/>
            <w:vAlign w:val="center"/>
            <w:textDirection w:val="lrTb"/>
            <w:noWrap w:val="false"/>
          </w:tcPr>
          <w:p>
            <w:pPr>
              <w:jc w:val="left"/>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无。</w:t>
            </w:r>
            <w:r/>
          </w:p>
        </w:tc>
      </w:tr>
      <w:tr>
        <w:trPr>
          <w:trHeight w:val="697"/>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第12.2款</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合同价款支付时间</w:t>
            </w:r>
            <w:r/>
          </w:p>
        </w:tc>
        <w:tc>
          <w:tcPr>
            <w:tcW w:w="6358" w:type="dxa"/>
            <w:vAlign w:val="center"/>
            <w:textDirection w:val="lrTb"/>
            <w:noWrap w:val="false"/>
          </w:tcPr>
          <w:p>
            <w:pPr>
              <w:jc w:val="left"/>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执行政府采购合同协议书中约定。</w:t>
            </w:r>
            <w:r/>
          </w:p>
        </w:tc>
      </w:tr>
      <w:tr>
        <w:trPr>
          <w:trHeight w:val="697"/>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第13.2款</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履约保证金不予退还的情形</w:t>
            </w:r>
            <w:r/>
          </w:p>
        </w:tc>
        <w:tc>
          <w:tcPr>
            <w:tcW w:w="6358" w:type="dxa"/>
            <w:vAlign w:val="center"/>
            <w:textDirection w:val="lrTb"/>
            <w:noWrap w:val="false"/>
          </w:tcPr>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乙方未能履行合同规定的义务。</w:t>
            </w:r>
            <w:r/>
          </w:p>
        </w:tc>
      </w:tr>
      <w:tr>
        <w:trPr>
          <w:trHeight w:val="736"/>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第13.3款</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履约保证金退还时间及逾期退还的违约金</w:t>
            </w:r>
            <w:r/>
          </w:p>
        </w:tc>
        <w:tc>
          <w:tcPr>
            <w:tcW w:w="6358" w:type="dxa"/>
            <w:vAlign w:val="center"/>
            <w:textDirection w:val="lrTb"/>
            <w:noWrap w:val="false"/>
          </w:tcPr>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采购包1履约保证金在合同约定期间内不予退还或者应完全有效，约定期间届满之日起15个工作日内，甲方应将履约保证金退还乙方；逾期退还的，按中国人民银行同期贷款基利率上浮20%后的利率支付超期资金占用费，但因中标人自身原因导致无法及时退还的除外。</w:t>
            </w:r>
            <w:r/>
          </w:p>
        </w:tc>
      </w:tr>
      <w:tr>
        <w:trPr>
          <w:trHeight w:val="784"/>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第14.1（3）项</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运行监督、维修期限</w:t>
            </w:r>
            <w:r/>
          </w:p>
        </w:tc>
        <w:tc>
          <w:tcPr>
            <w:tcW w:w="6358"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不少于5年（以投标人投标时承诺的时间为准）。</w:t>
            </w:r>
            <w:r/>
          </w:p>
        </w:tc>
      </w:tr>
      <w:tr>
        <w:trPr>
          <w:trHeight w:val="784"/>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第14.1（5）项</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货物回收的约定</w:t>
            </w:r>
            <w:r/>
          </w:p>
        </w:tc>
        <w:tc>
          <w:tcPr>
            <w:tcW w:w="6358" w:type="dxa"/>
            <w:vAlign w:val="center"/>
            <w:textDirection w:val="lrTb"/>
            <w:noWrap w:val="false"/>
          </w:tcPr>
          <w:p>
            <w:pPr>
              <w:jc w:val="left"/>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无。</w:t>
            </w:r>
            <w:r/>
          </w:p>
        </w:tc>
      </w:tr>
      <w:tr>
        <w:trPr>
          <w:trHeight w:val="736"/>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第14.1（6）项</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乙方提供的其他服务</w:t>
            </w:r>
            <w:r/>
          </w:p>
        </w:tc>
        <w:tc>
          <w:tcPr>
            <w:tcW w:w="6358" w:type="dxa"/>
            <w:vAlign w:val="center"/>
            <w:textDirection w:val="lrTb"/>
            <w:noWrap w:val="false"/>
          </w:tcPr>
          <w:p>
            <w:pPr>
              <w:pStyle w:val="778"/>
              <w:numPr>
                <w:ilvl w:val="0"/>
                <w:numId w:val="0"/>
              </w:numPr>
              <w:spacing w:line="240" w:lineRule="auto"/>
              <w:tabs>
                <w:tab w:val="left" w:pos="709"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1.货物到实施地点至安装验收合格之前，由乙方负责保管 </w:t>
            </w:r>
            <w:r/>
          </w:p>
          <w:p>
            <w:pPr>
              <w:pStyle w:val="778"/>
              <w:numPr>
                <w:ilvl w:val="0"/>
                <w:numId w:val="0"/>
              </w:numPr>
              <w:spacing w:line="240" w:lineRule="auto"/>
              <w:tabs>
                <w:tab w:val="left" w:pos="709"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和看护，若因保管和看护不当造成的一切责任与经济损失 </w:t>
            </w:r>
            <w:r/>
          </w:p>
          <w:p>
            <w:pPr>
              <w:pStyle w:val="778"/>
              <w:numPr>
                <w:ilvl w:val="0"/>
                <w:numId w:val="0"/>
              </w:numPr>
              <w:spacing w:line="240" w:lineRule="auto"/>
              <w:tabs>
                <w:tab w:val="left" w:pos="709"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由乙方承担。</w:t>
            </w:r>
            <w:r/>
          </w:p>
          <w:p>
            <w:pPr>
              <w:rPr>
                <w:color w:val="auto"/>
                <w:highlight w:val="none"/>
              </w:rPr>
            </w:pPr>
            <w:r>
              <w:rPr>
                <w:rFonts w:hint="eastAsia" w:ascii="仿宋" w:hAnsi="仿宋" w:eastAsia="仿宋" w:cs="仿宋"/>
                <w:color w:val="auto"/>
                <w:sz w:val="24"/>
                <w:szCs w:val="24"/>
                <w:highlight w:val="none"/>
                <w:lang w:val="en-US" w:eastAsia="zh-CN"/>
              </w:rPr>
              <w:t xml:space="preserve">2.定期向甲方汇报项目实施进度，涉及隐蔽工程的，乙方必须在隐蔽工程</w:t>
            </w:r>
            <w:r/>
          </w:p>
          <w:p>
            <w:pPr>
              <w:pStyle w:val="778"/>
              <w:numPr>
                <w:ilvl w:val="0"/>
                <w:numId w:val="0"/>
              </w:numPr>
              <w:spacing w:line="240" w:lineRule="auto"/>
              <w:tabs>
                <w:tab w:val="left" w:pos="709"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覆盖前，通知甲方现场进行查勘确认。 </w:t>
            </w:r>
            <w:r/>
          </w:p>
          <w:p>
            <w:pPr>
              <w:pStyle w:val="778"/>
              <w:numPr>
                <w:ilvl w:val="0"/>
                <w:numId w:val="0"/>
              </w:numPr>
              <w:ind w:left="0" w:firstLine="0"/>
              <w:spacing w:line="240" w:lineRule="auto"/>
              <w:tabs>
                <w:tab w:val="left" w:pos="709"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3.设备安装及施工时，乙方必须做好各项安全防护措施， 确保安全施工、文明施工，若发生安全事故，全部责任与经济损失由乙方承担，与甲方无关。</w:t>
            </w:r>
            <w:r/>
          </w:p>
        </w:tc>
      </w:tr>
      <w:tr>
        <w:trPr>
          <w:trHeight w:val="736"/>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第15.1款</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修理、重作、更换相关具体规定</w:t>
            </w:r>
            <w:r/>
          </w:p>
        </w:tc>
        <w:tc>
          <w:tcPr>
            <w:tcW w:w="6358" w:type="dxa"/>
            <w:vAlign w:val="center"/>
            <w:textDirection w:val="lrTb"/>
            <w:noWrap w:val="false"/>
          </w:tcPr>
          <w:p>
            <w:pPr>
              <w:numPr>
                <w:ilvl w:val="0"/>
                <w:numId w:val="0"/>
              </w:num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安装验收时，双方需一起现场验货，按招标</w:t>
            </w:r>
            <w:r>
              <w:rPr>
                <w:rFonts w:hint="eastAsia" w:ascii="仿宋" w:hAnsi="仿宋" w:eastAsia="仿宋" w:cs="仿宋"/>
                <w:color w:val="auto"/>
                <w:sz w:val="24"/>
                <w:szCs w:val="24"/>
                <w:highlight w:val="none"/>
                <w:lang w:val="en-US" w:eastAsia="zh-CN"/>
              </w:rPr>
              <w:t xml:space="preserve">文件</w:t>
            </w:r>
            <w:r>
              <w:rPr>
                <w:rFonts w:hint="eastAsia" w:ascii="仿宋" w:hAnsi="仿宋" w:eastAsia="仿宋" w:cs="仿宋"/>
                <w:color w:val="auto"/>
                <w:sz w:val="24"/>
                <w:szCs w:val="24"/>
                <w:highlight w:val="none"/>
              </w:rPr>
              <w:t xml:space="preserve">技术参数要求和</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lang w:eastAsia="zh-CN"/>
              </w:rPr>
              <w:t xml:space="preserve">文件</w:t>
            </w:r>
            <w:r>
              <w:rPr>
                <w:rFonts w:hint="eastAsia" w:ascii="仿宋" w:hAnsi="仿宋" w:eastAsia="仿宋" w:cs="仿宋"/>
                <w:color w:val="auto"/>
                <w:sz w:val="24"/>
                <w:szCs w:val="24"/>
                <w:highlight w:val="none"/>
              </w:rPr>
              <w:t xml:space="preserve">及其承诺内容，验收合格后，填写验收报告单，双方签字确认，如发现货物短缺、质次、损坏和规格不符等问题，应作详细记录，</w:t>
            </w:r>
            <w:r>
              <w:rPr>
                <w:rFonts w:hint="eastAsia" w:ascii="仿宋" w:hAnsi="仿宋" w:eastAsia="仿宋" w:cs="仿宋"/>
                <w:color w:val="auto"/>
                <w:sz w:val="24"/>
                <w:szCs w:val="24"/>
                <w:highlight w:val="none"/>
                <w:lang w:val="en-US" w:eastAsia="zh-CN"/>
              </w:rPr>
              <w:t xml:space="preserve">乙方所供设备如验收不合格，根据甲方的要求，乙方必须无条件退货，本次合同作废，由此引起的一切损失由乙方承担，同时如不符合招标文件中技术参数等要求造成的退货，本次合同取消，乙方按照20%中标价赔偿给甲方</w:t>
            </w:r>
            <w:r>
              <w:rPr>
                <w:rFonts w:hint="eastAsia" w:ascii="仿宋" w:hAnsi="仿宋" w:eastAsia="仿宋" w:cs="仿宋"/>
                <w:color w:val="auto"/>
                <w:sz w:val="24"/>
                <w:szCs w:val="24"/>
                <w:highlight w:val="none"/>
              </w:rPr>
              <w:t xml:space="preserve">。</w:t>
            </w:r>
            <w:r/>
          </w:p>
        </w:tc>
      </w:tr>
      <w:tr>
        <w:trPr>
          <w:trHeight w:val="736"/>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第15.2（2）项</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迟延交货赔偿费</w:t>
            </w:r>
            <w:r/>
          </w:p>
        </w:tc>
        <w:tc>
          <w:tcPr>
            <w:tcW w:w="6358" w:type="dxa"/>
            <w:vAlign w:val="center"/>
            <w:textDirection w:val="lrTb"/>
            <w:noWrap w:val="false"/>
          </w:tcPr>
          <w:p>
            <w:pPr>
              <w:ind w:firstLine="0"/>
              <w:spacing w:line="24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乙方逾期交付合同标的的，乙方应按逾期交付合同总额每日</w:t>
            </w:r>
            <w:r>
              <w:rPr>
                <w:rFonts w:hint="eastAsia" w:ascii="仿宋" w:hAnsi="仿宋" w:eastAsia="仿宋" w:cs="仿宋"/>
                <w:color w:val="auto"/>
                <w:sz w:val="24"/>
                <w:szCs w:val="24"/>
                <w:highlight w:val="none"/>
                <w:u w:val="single"/>
                <w:lang w:eastAsia="zh-CN"/>
              </w:rPr>
              <w:t xml:space="preserve">万</w:t>
            </w:r>
            <w:r>
              <w:rPr>
                <w:rFonts w:hint="eastAsia" w:ascii="仿宋" w:hAnsi="仿宋" w:eastAsia="仿宋" w:cs="仿宋"/>
                <w:color w:val="auto"/>
                <w:sz w:val="24"/>
                <w:szCs w:val="24"/>
                <w:highlight w:val="none"/>
                <w:u w:val="single"/>
              </w:rPr>
              <w:t xml:space="preserve">分之</w:t>
            </w:r>
            <w:r>
              <w:rPr>
                <w:rFonts w:hint="eastAsia" w:ascii="仿宋" w:hAnsi="仿宋" w:eastAsia="仿宋" w:cs="仿宋"/>
                <w:color w:val="auto"/>
                <w:sz w:val="24"/>
                <w:szCs w:val="24"/>
                <w:highlight w:val="none"/>
                <w:u w:val="single"/>
                <w:lang w:val="en-US" w:eastAsia="zh-CN"/>
              </w:rPr>
              <w:t xml:space="preserve">五</w:t>
            </w:r>
            <w:r>
              <w:rPr>
                <w:rFonts w:hint="eastAsia" w:ascii="仿宋" w:hAnsi="仿宋" w:eastAsia="仿宋" w:cs="仿宋"/>
                <w:color w:val="auto"/>
                <w:sz w:val="24"/>
                <w:szCs w:val="24"/>
                <w:highlight w:val="none"/>
              </w:rPr>
              <w:t xml:space="preserve">向甲方支付违约金，由甲方从待付合同款项中扣除。逾期超过约定日期10日不能交付合同标的的，甲方可解除本合同。乙方因逾期交付合同标的或因其他违约行为导致甲方解除合同的，乙方应向甲方支付合同价款总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20%</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的违约金，如造成甲方损失超过违约金的，超出部分由乙方继续承担赔偿责任。 </w:t>
            </w:r>
            <w:r/>
          </w:p>
        </w:tc>
      </w:tr>
      <w:tr>
        <w:trPr>
          <w:trHeight w:val="933"/>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第15.3款</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逾期付款利息</w:t>
            </w:r>
            <w:r/>
          </w:p>
        </w:tc>
        <w:tc>
          <w:tcPr>
            <w:tcW w:w="6358" w:type="dxa"/>
            <w:vAlign w:val="center"/>
            <w:textDirection w:val="lrTb"/>
            <w:noWrap w:val="false"/>
          </w:tcPr>
          <w:p>
            <w:pPr>
              <w:ind w:firstLine="0"/>
              <w:spacing w:line="24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甲方无故逾期验收和办理合同款项支付手续</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资金审批流程除外</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的,甲方应按逾期付款总额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万分之五</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每日向乙方支付违约金。</w:t>
            </w:r>
            <w:r/>
          </w:p>
        </w:tc>
      </w:tr>
      <w:tr>
        <w:trPr>
          <w:trHeight w:val="876"/>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第15.4款</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其他违约责任</w:t>
            </w:r>
            <w:r/>
          </w:p>
        </w:tc>
        <w:tc>
          <w:tcPr>
            <w:tcW w:w="6358" w:type="dxa"/>
            <w:vAlign w:val="center"/>
            <w:textDirection w:val="lrTb"/>
            <w:noWrap w:val="false"/>
          </w:tcPr>
          <w:p>
            <w:pPr>
              <w:jc w:val="left"/>
              <w:spacing w:line="240" w:lineRule="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u w:val="none"/>
                <w:lang w:val="en-US" w:eastAsia="zh-CN"/>
              </w:rPr>
              <w:t xml:space="preserve">无。</w:t>
            </w:r>
            <w:r/>
          </w:p>
        </w:tc>
      </w:tr>
      <w:tr>
        <w:trPr>
          <w:trHeight w:val="90"/>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第19.2款</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解决争议的方法</w:t>
            </w:r>
            <w:r/>
          </w:p>
        </w:tc>
        <w:tc>
          <w:tcPr>
            <w:tcW w:w="6358" w:type="dxa"/>
            <w:vAlign w:val="center"/>
            <w:textDirection w:val="lrTb"/>
            <w:noWrap w:val="false"/>
          </w:tcPr>
          <w:p>
            <w:pPr>
              <w:jc w:val="left"/>
              <w:spacing w:line="240" w:lineRule="auto"/>
              <w:rPr>
                <w:rFonts w:hint="eastAsia"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 xml:space="preserve">因本合同及合同有关事项发生的争议，按下列第</w:t>
            </w:r>
            <w:r>
              <w:rPr>
                <w:rFonts w:hint="eastAsia" w:ascii="仿宋" w:hAnsi="仿宋" w:eastAsia="仿宋" w:cs="仿宋"/>
                <w:iCs/>
                <w:color w:val="auto"/>
                <w:sz w:val="24"/>
                <w:szCs w:val="24"/>
                <w:highlight w:val="none"/>
                <w:u w:val="single"/>
              </w:rPr>
              <w:t xml:space="preserve"> </w:t>
            </w:r>
            <w:r>
              <w:rPr>
                <w:rFonts w:hint="eastAsia" w:ascii="仿宋" w:hAnsi="仿宋" w:eastAsia="仿宋" w:cs="仿宋"/>
                <w:iCs/>
                <w:color w:val="auto"/>
                <w:sz w:val="24"/>
                <w:szCs w:val="24"/>
                <w:highlight w:val="none"/>
                <w:u w:val="single"/>
                <w:lang w:val="en-US" w:eastAsia="zh-CN"/>
              </w:rPr>
              <w:t xml:space="preserve">2</w:t>
            </w:r>
            <w:r>
              <w:rPr>
                <w:rFonts w:hint="eastAsia" w:ascii="仿宋" w:hAnsi="仿宋" w:eastAsia="仿宋" w:cs="仿宋"/>
                <w:iCs/>
                <w:color w:val="auto"/>
                <w:sz w:val="24"/>
                <w:szCs w:val="24"/>
                <w:highlight w:val="none"/>
                <w:u w:val="single"/>
              </w:rPr>
              <w:t xml:space="preserve"> </w:t>
            </w:r>
            <w:r>
              <w:rPr>
                <w:rFonts w:hint="eastAsia" w:ascii="仿宋" w:hAnsi="仿宋" w:eastAsia="仿宋" w:cs="仿宋"/>
                <w:iCs/>
                <w:color w:val="auto"/>
                <w:sz w:val="24"/>
                <w:szCs w:val="24"/>
                <w:highlight w:val="none"/>
              </w:rPr>
              <w:t xml:space="preserve">种方式解决：</w:t>
            </w:r>
            <w:r/>
          </w:p>
          <w:p>
            <w:pPr>
              <w:jc w:val="left"/>
              <w:spacing w:line="240" w:lineRule="auto"/>
              <w:rPr>
                <w:rFonts w:hint="eastAsia"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t xml:space="preserve">（1）向</w:t>
            </w:r>
            <w:r>
              <w:rPr>
                <w:rFonts w:hint="eastAsia" w:ascii="仿宋" w:hAnsi="仿宋" w:eastAsia="仿宋" w:cs="仿宋"/>
                <w:iCs/>
                <w:color w:val="auto"/>
                <w:sz w:val="24"/>
                <w:szCs w:val="24"/>
                <w:highlight w:val="none"/>
                <w:u w:val="single"/>
                <w:lang w:val="en-US" w:eastAsia="zh-CN"/>
              </w:rPr>
              <w:t xml:space="preserve">淮安</w:t>
            </w:r>
            <w:r>
              <w:rPr>
                <w:rFonts w:hint="eastAsia" w:ascii="仿宋" w:hAnsi="仿宋" w:eastAsia="仿宋" w:cs="仿宋"/>
                <w:iCs/>
                <w:color w:val="auto"/>
                <w:sz w:val="24"/>
                <w:szCs w:val="24"/>
                <w:highlight w:val="none"/>
              </w:rPr>
              <w:t xml:space="preserve">仲裁委员会申请仲裁；</w:t>
            </w:r>
            <w:r/>
          </w:p>
          <w:p>
            <w:pPr>
              <w:jc w:val="left"/>
              <w:spacing w:line="240" w:lineRule="auto"/>
              <w:rPr>
                <w:rFonts w:hint="eastAsia" w:ascii="仿宋" w:hAnsi="仿宋" w:eastAsia="仿宋" w:cs="仿宋"/>
                <w:color w:val="auto"/>
                <w:sz w:val="24"/>
                <w:szCs w:val="24"/>
                <w:highlight w:val="none"/>
                <w:u w:val="single"/>
              </w:rPr>
            </w:pPr>
            <w:r>
              <w:rPr>
                <w:rFonts w:hint="eastAsia" w:ascii="仿宋" w:hAnsi="仿宋" w:eastAsia="仿宋" w:cs="仿宋"/>
                <w:iCs/>
                <w:color w:val="auto"/>
                <w:sz w:val="24"/>
                <w:szCs w:val="24"/>
                <w:highlight w:val="none"/>
              </w:rPr>
              <w:t xml:space="preserve">（2）向</w:t>
            </w:r>
            <w:r>
              <w:rPr>
                <w:rFonts w:hint="eastAsia" w:ascii="仿宋" w:hAnsi="仿宋" w:eastAsia="仿宋" w:cs="仿宋"/>
                <w:iCs/>
                <w:color w:val="auto"/>
                <w:sz w:val="24"/>
                <w:szCs w:val="24"/>
                <w:highlight w:val="none"/>
                <w:u w:val="single"/>
                <w:lang w:val="en-US" w:eastAsia="zh-CN"/>
              </w:rPr>
              <w:t xml:space="preserve">洪泽区</w:t>
            </w:r>
            <w:r>
              <w:rPr>
                <w:rFonts w:hint="eastAsia" w:ascii="仿宋" w:hAnsi="仿宋" w:eastAsia="仿宋" w:cs="仿宋"/>
                <w:iCs/>
                <w:color w:val="auto"/>
                <w:sz w:val="24"/>
                <w:szCs w:val="24"/>
                <w:highlight w:val="none"/>
              </w:rPr>
              <w:t xml:space="preserve">人民法院起诉。</w:t>
            </w:r>
            <w:r/>
          </w:p>
        </w:tc>
      </w:tr>
      <w:tr>
        <w:trPr>
          <w:trHeight w:val="770"/>
        </w:trPr>
        <w:tc>
          <w:tcPr>
            <w:tcW w:w="1607"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第二节</w:t>
            </w: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第23.1款</w:t>
            </w:r>
            <w:r/>
          </w:p>
        </w:tc>
        <w:tc>
          <w:tcPr>
            <w:tcW w:w="1742" w:type="dxa"/>
            <w:vAlign w:val="center"/>
            <w:textDirection w:val="lrTb"/>
            <w:noWrap w:val="false"/>
          </w:tcPr>
          <w:p>
            <w:pPr>
              <w:jc w:val="left"/>
              <w:spacing w:line="24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其他专用条款</w:t>
            </w:r>
            <w:r/>
          </w:p>
        </w:tc>
        <w:tc>
          <w:tcPr>
            <w:tcW w:w="6358" w:type="dxa"/>
            <w:vAlign w:val="center"/>
            <w:textDirection w:val="lrTb"/>
            <w:noWrap w:val="false"/>
          </w:tcPr>
          <w:p>
            <w:pPr>
              <w:jc w:val="left"/>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无。</w:t>
            </w:r>
            <w:r/>
          </w:p>
        </w:tc>
      </w:tr>
    </w:tbl>
    <w:p>
      <w:pPr>
        <w:pStyle w:val="914"/>
        <w:rPr>
          <w:rFonts w:hint="eastAsia" w:ascii="仿宋" w:hAnsi="仿宋" w:eastAsia="仿宋" w:cs="仿宋"/>
          <w:bCs/>
          <w:color w:val="auto"/>
          <w:sz w:val="44"/>
          <w:szCs w:val="21"/>
          <w:highlight w:val="none"/>
        </w:rPr>
      </w:pPr>
      <w:r>
        <w:rPr>
          <w:rFonts w:hint="eastAsia" w:ascii="仿宋" w:hAnsi="仿宋" w:eastAsia="仿宋" w:cs="仿宋"/>
          <w:bCs/>
          <w:color w:val="auto"/>
          <w:sz w:val="44"/>
          <w:szCs w:val="21"/>
          <w:highlight w:val="none"/>
        </w:rPr>
      </w:r>
      <w:r/>
    </w:p>
    <w:p>
      <w:pPr>
        <w:pStyle w:val="799"/>
        <w:numPr>
          <w:ilvl w:val="0"/>
          <w:numId w:val="14"/>
        </w:numPr>
        <w:jc w:val="center"/>
        <w:spacing w:line="520" w:lineRule="exact"/>
        <w:rPr>
          <w:rFonts w:hint="eastAsia" w:ascii="仿宋" w:hAnsi="仿宋" w:eastAsia="仿宋" w:cs="仿宋"/>
          <w:b/>
          <w:bCs/>
          <w:color w:val="auto"/>
          <w:sz w:val="36"/>
          <w:szCs w:val="36"/>
          <w:highlight w:val="none"/>
        </w:rPr>
        <w:sectPr>
          <w:footerReference w:type="default" r:id="rId11"/>
          <w:footnotePr/>
          <w:endnotePr/>
          <w:type w:val="nextPage"/>
          <w:pgSz w:w="11906" w:h="16838" w:orient="portrait"/>
          <w:pgMar w:top="1440" w:right="1440" w:bottom="1440" w:left="1440" w:header="851" w:footer="992" w:gutter="0"/>
          <w:cols w:num="1" w:sep="0" w:space="0" w:equalWidth="1"/>
          <w:docGrid w:linePitch="360"/>
        </w:sectPr>
      </w:pPr>
      <w:r>
        <w:rPr>
          <w:rFonts w:hint="eastAsia" w:ascii="仿宋" w:hAnsi="仿宋" w:eastAsia="仿宋" w:cs="仿宋"/>
          <w:b/>
          <w:bCs/>
          <w:color w:val="auto"/>
          <w:sz w:val="36"/>
          <w:szCs w:val="36"/>
          <w:highlight w:val="none"/>
        </w:rPr>
      </w:r>
      <w:r/>
    </w:p>
    <w:p>
      <w:pPr>
        <w:pStyle w:val="799"/>
        <w:numPr>
          <w:ilvl w:val="0"/>
          <w:numId w:val="14"/>
        </w:numPr>
        <w:jc w:val="center"/>
        <w:spacing w:line="520" w:lineRule="exact"/>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 项目采购需求</w:t>
      </w:r>
      <w:r/>
    </w:p>
    <w:p>
      <w:pPr>
        <w:ind w:firstLine="560"/>
        <w:jc w:val="left"/>
        <w:keepLines w:val="0"/>
        <w:keepNext w:val="0"/>
        <w:pageBreakBefore w:val="0"/>
        <w:spacing w:line="340" w:lineRule="exact"/>
        <w:rPr>
          <w:rFonts w:hint="eastAsia" w:ascii="仿宋" w:hAnsi="仿宋" w:eastAsia="仿宋" w:cs="仿宋"/>
          <w:color w:val="auto"/>
          <w:highlight w:val="none"/>
          <w:lang w:val="zh-CN"/>
        </w:rPr>
      </w:pPr>
      <w:r>
        <w:rPr>
          <w:rFonts w:hint="eastAsia" w:ascii="仿宋" w:hAnsi="仿宋" w:eastAsia="仿宋" w:cs="仿宋"/>
          <w:color w:val="auto"/>
          <w:sz w:val="28"/>
          <w:szCs w:val="28"/>
          <w:highlight w:val="none"/>
          <w:lang w:val="en-US" w:eastAsia="zh-CN" w:bidi="ar-SA"/>
        </w:rPr>
        <w:t xml:space="preserve">本项目为洪泽中学教师办公室升级改造及教室门更换项目，办公室升级改造与教室门更换同属整体改造计划范畴，实施周期、现场管理、验收、付款、质保及售后均由学校统一对接，可统筹工期安排，于暑假期间统一进场施工、统一协调管理，最大限度降低对学校正常教学秩序的干扰。</w:t>
      </w:r>
      <w:r/>
    </w:p>
    <w:p>
      <w:pPr>
        <w:pStyle w:val="1003"/>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一、采购范围及技术参数要求</w:t>
      </w:r>
      <w:r/>
    </w:p>
    <w:p>
      <w:pPr>
        <w:ind w:firstLine="565"/>
        <w:spacing w:line="520" w:lineRule="exact"/>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lang w:val="en-US" w:eastAsia="zh-CN" w:bidi="ar-SA"/>
        </w:rPr>
        <w:t xml:space="preserve">（一）采购包1：教师办公室升级改造</w:t>
      </w:r>
      <w:r>
        <w:rPr>
          <w:rFonts w:hint="eastAsia" w:ascii="仿宋" w:hAnsi="仿宋" w:eastAsia="仿宋" w:cs="仿宋"/>
          <w:color w:val="auto"/>
          <w:sz w:val="28"/>
          <w:szCs w:val="28"/>
          <w:highlight w:val="none"/>
          <w:lang w:val="zh-CN" w:eastAsia="zh-CN" w:bidi="ar-SA"/>
        </w:rPr>
        <w:t xml:space="preserve">。</w:t>
      </w:r>
      <w:r/>
    </w:p>
    <w:p>
      <w:pPr>
        <w:ind w:firstLine="565"/>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1.采购范围：办公桌椅、书柜、窗帘采购安装；原有设施拆除清运、电路改造、隔墙、乳胶漆等。</w:t>
      </w:r>
      <w:r/>
    </w:p>
    <w:p>
      <w:pPr>
        <w:ind w:firstLine="565"/>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2.本标段核心产品为：教学楼办公桌。</w:t>
      </w:r>
      <w:r/>
    </w:p>
    <w:p>
      <w:pPr>
        <w:ind w:firstLine="565"/>
        <w:spacing w:line="52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3.技术参数</w:t>
      </w:r>
      <w:r/>
    </w:p>
    <w:tbl>
      <w:tblPr>
        <w:tblStyle w:val="763"/>
        <w:tblW w:w="5060" w:type="pct"/>
        <w:tblInd w:w="-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257"/>
        <w:gridCol w:w="10768"/>
        <w:gridCol w:w="738"/>
        <w:gridCol w:w="812"/>
      </w:tblGrid>
      <w:tr>
        <w:trPr/>
        <w:tc>
          <w:tcPr>
            <w:tcW w:w="268"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bidi="ar"/>
              </w:rPr>
              <w:t xml:space="preserve">序号</w:t>
            </w:r>
            <w:r/>
          </w:p>
        </w:tc>
        <w:tc>
          <w:tcPr>
            <w:tcW w:w="438"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bidi="ar"/>
              </w:rPr>
              <w:t xml:space="preserve">产品名称</w:t>
            </w:r>
            <w:r/>
          </w:p>
        </w:tc>
        <w:tc>
          <w:tcPr>
            <w:tcW w:w="3751"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bidi="ar"/>
              </w:rPr>
              <w:t xml:space="preserve">技术参数</w:t>
            </w:r>
            <w:r/>
          </w:p>
        </w:tc>
        <w:tc>
          <w:tcPr>
            <w:tcW w:w="257"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bidi="ar"/>
              </w:rPr>
              <w:t xml:space="preserve">数量</w:t>
            </w:r>
            <w:r/>
          </w:p>
        </w:tc>
        <w:tc>
          <w:tcPr>
            <w:tcW w:w="283"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bidi="ar"/>
              </w:rPr>
              <w:t xml:space="preserve">单位</w:t>
            </w:r>
            <w:r/>
          </w:p>
        </w:tc>
      </w:tr>
      <w:tr>
        <w:trPr/>
        <w:tc>
          <w:tcPr>
            <w:tcW w:w="268" w:type="pct"/>
            <w:vAlign w:val="center"/>
            <w:textDirection w:val="lrTb"/>
            <w:noWrap w:val="false"/>
          </w:tcPr>
          <w:p>
            <w:p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438" w:type="pct"/>
            <w:vAlign w:val="center"/>
            <w:textDirection w:val="lrTb"/>
            <w:noWrap w:val="false"/>
          </w:tcPr>
          <w:p>
            <w:p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教学楼</w:t>
            </w:r>
            <w:r/>
          </w:p>
          <w:p>
            <w:p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办公桌</w:t>
            </w:r>
            <w:r/>
          </w:p>
        </w:tc>
        <w:tc>
          <w:tcPr>
            <w:tcW w:w="10768" w:type="dxa"/>
            <w:vAlign w:val="center"/>
            <w:textDirection w:val="lrTb"/>
            <w:noWrap w:val="false"/>
          </w:tcPr>
          <w:p>
            <w:pPr>
              <w:numPr>
                <w:ilvl w:val="0"/>
                <w:numId w:val="15"/>
              </w:num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参考尺寸</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整体尺寸1500W*700D*750Hmm（±10mm）</w:t>
            </w:r>
            <w:r>
              <w:rPr>
                <w:rFonts w:hint="eastAsia" w:ascii="仿宋" w:hAnsi="仿宋" w:eastAsia="仿宋" w:cs="仿宋"/>
                <w:color w:val="auto"/>
                <w:sz w:val="24"/>
                <w:szCs w:val="24"/>
                <w:highlight w:val="none"/>
                <w:lang w:eastAsia="zh-CN"/>
              </w:rPr>
              <w:t xml:space="preserve">。</w:t>
            </w:r>
            <w:r/>
          </w:p>
          <w:p>
            <w:pPr>
              <w:numPr>
                <w:ilvl w:val="0"/>
                <w:numId w:val="15"/>
              </w:numPr>
              <w:jc w:val="left"/>
              <w:keepLines w:val="0"/>
              <w:keepNext w:val="0"/>
              <w:pageBreakBefore w:val="0"/>
              <w:spacing w:line="3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办公桌台面</w:t>
            </w:r>
            <w:r>
              <w:rPr>
                <w:rFonts w:hint="eastAsia" w:ascii="仿宋" w:hAnsi="仿宋" w:eastAsia="仿宋" w:cs="仿宋"/>
                <w:color w:val="auto"/>
                <w:sz w:val="24"/>
                <w:szCs w:val="24"/>
                <w:highlight w:val="none"/>
              </w:rPr>
              <w:t xml:space="preserve">采用优质橡胶木，面板厚度≥40mm,木纹清晰，板材经过脱脂、杀虫、干燥防腐，反复打磨细磨等工艺处理，抗拉强度高与握钉力强，具有防污、防刮、防火、耐磨、耐腐蚀、不易变形等特点；木材含水率≤12%、木制件外观要求合格；整体具备良好的横向纵向强弱电走线功能，提供必要走线辅件，反复拆装稳定不变；</w:t>
            </w:r>
            <w:r/>
          </w:p>
          <w:p>
            <w:pPr>
              <w:numPr>
                <w:ilvl w:val="0"/>
                <w:numId w:val="15"/>
              </w:num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方管50*30壁厚1.8mm，经过酸洗、磷洗等防锈处理，表面静电喷塑处理。侧台脚方管内部用板封住、加前挡板，厚度为15mm</w:t>
            </w:r>
            <w:r>
              <w:rPr>
                <w:rFonts w:hint="eastAsia" w:ascii="仿宋" w:hAnsi="仿宋" w:eastAsia="仿宋" w:cs="仿宋"/>
                <w:color w:val="auto"/>
                <w:sz w:val="24"/>
                <w:szCs w:val="24"/>
                <w:highlight w:val="none"/>
                <w:lang w:eastAsia="zh-CN"/>
              </w:rPr>
              <w:t xml:space="preserve">。</w:t>
            </w:r>
            <w:r/>
          </w:p>
          <w:p>
            <w:p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、水性面漆符合：GB 18581-2020；HJ 2537-2014；GB/T 23999-2009；HG/T 3950-2025；JC/T 1074-2021；GB/T 1766-2008；GB/T 21604-2022等标准，</w:t>
            </w:r>
            <w:r>
              <w:rPr>
                <w:rFonts w:hint="eastAsia" w:ascii="仿宋" w:hAnsi="仿宋" w:eastAsia="仿宋" w:cs="仿宋"/>
                <w:color w:val="auto"/>
                <w:sz w:val="24"/>
                <w:szCs w:val="24"/>
                <w:highlight w:val="none"/>
                <w:lang w:val="en-US"/>
              </w:rPr>
              <w:t xml:space="preserve">检测内容包含但不限于：</w:t>
            </w:r>
            <w:r>
              <w:rPr>
                <w:rFonts w:hint="eastAsia" w:ascii="仿宋" w:hAnsi="仿宋" w:eastAsia="仿宋" w:cs="仿宋"/>
                <w:color w:val="auto"/>
                <w:sz w:val="24"/>
                <w:szCs w:val="24"/>
                <w:highlight w:val="none"/>
              </w:rPr>
              <w:t xml:space="preserve">VOC含量未检出；甲醛含量未检出；总铅含量未检出；可溶性重金属（镉、铬、汞）均未检出；乙二醇醚及醚酯总和未检出；苯系物（苯、甲苯、二甲苯等）总和未检出；烷基酚聚氧乙烯醚总和未检出，结果均符合要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游离甲醛未检出；苯、甲苯、二甲苯及乙苯总量未检出；卤代烃（以二氯甲烷计）未检出，结果均符合要求。抗霉菌性能（黑曲霉、绿色木霉抗霉菌等级），结果≥0级；抗菌性能（肺炎克雷伯氏菌抗菌率≥99</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%、抗菌活性值≥4.0；金黄色葡萄球菌抗菌率≥99</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%、抗菌活性值≥4.0）</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甲醛净化效率≥8</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%。涂层老化（100h）评级为0级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急性皮肤刺激性/腐蚀性试验，结果无刺激性。</w:t>
            </w:r>
            <w:r/>
          </w:p>
          <w:p>
            <w:p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、水性底漆符合：GB 18581-2020；HJ 2537-2014；GB/T 23999-2009；HG/T 3950-2025；JC/T 1074-2021；GB/T 1766-2008；GB/T 21604-2022等标准，</w:t>
            </w:r>
            <w:r>
              <w:rPr>
                <w:rFonts w:hint="eastAsia" w:ascii="仿宋" w:hAnsi="仿宋" w:eastAsia="仿宋" w:cs="仿宋"/>
                <w:color w:val="auto"/>
                <w:sz w:val="24"/>
                <w:szCs w:val="24"/>
                <w:highlight w:val="none"/>
                <w:lang w:val="en-US"/>
              </w:rPr>
              <w:t xml:space="preserve">检测内容包含但不限于</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VOC含量未检出；甲醛含量未检出；总铅含量未检出；可溶性重金属（镉、铬、汞）均未检出；乙二醇醚及醚酯总和未检出；苯系物（苯、甲苯、二甲苯等）总和未检出；烷基酚聚氧乙烯醚总和未检出，结果均符合要求。游离甲醛未检出；苯、甲苯、二甲苯及乙苯总量未检出；卤代烃（以二氯甲烷计）未检出，结果均符合要求。抗霉菌性能（黑曲霉、绿色木霉抗霉菌等级），结果≥0级；抗菌性能（肺炎克雷伯氏菌抗菌率≥99</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%、抗菌活性值≥3.5；金黄色葡萄球菌抗菌率≥99</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%、抗菌活性值≥3.5）。甲醛净化效率≥84%。涂层老化（100h）评级为0级。急性皮肤刺激性/腐蚀性试验，结果无刺激性。 </w:t>
            </w:r>
            <w:r/>
          </w:p>
          <w:p>
            <w:p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、脚架：采用优质钢制脚架</w:t>
            </w:r>
            <w:r/>
          </w:p>
          <w:p>
            <w:p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符合：GB/T 35607-2024；QB/T 3826-1999；QB/T 3827-1999；QB/T 3828-1999；QB/T 3832-1999；QB/T 4371-2012；GB/T 6461-2002；GB/T 19746-2018；GB/T 2423.50-2025等标准，</w:t>
            </w:r>
            <w:r>
              <w:rPr>
                <w:rFonts w:hint="eastAsia" w:ascii="仿宋" w:hAnsi="仿宋" w:eastAsia="仿宋" w:cs="仿宋"/>
                <w:color w:val="auto"/>
                <w:sz w:val="24"/>
                <w:szCs w:val="24"/>
                <w:highlight w:val="none"/>
                <w:lang w:val="en-US"/>
              </w:rPr>
              <w:t xml:space="preserve">检测内容包含但不限于</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家具涂层可迁移元素：铅、镉、铬、汞、锑、钡、硒、砷均未检出。铜盐加速乙酸盐雾试验（连续喷雾≥300h，涂/镀层本身耐腐蚀等级≥10级，涂/镀层对基体保护等级≥10级）。抗菌性能（金黄色葡萄球菌、大肠杆菌、宋内氏志贺氏菌抑菌率），结果均≥99</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%。盐溶液周浸试验（≥300h，样品表面涂层未被腐蚀）。恒定湿热加速试验（≥300h，无开裂、无起泡）。</w:t>
            </w:r>
            <w:r/>
          </w:p>
          <w:p>
            <w:p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、五金配件 </w:t>
            </w:r>
            <w:r/>
          </w:p>
          <w:p>
            <w:pPr>
              <w:jc w:val="left"/>
              <w:keepLines w:val="0"/>
              <w:keepNext w:val="0"/>
              <w:pageBreakBefore w:val="0"/>
              <w:spacing w:line="340" w:lineRule="exact"/>
              <w:rPr>
                <w:rFonts w:hint="eastAsia" w:ascii="仿宋" w:hAnsi="仿宋" w:eastAsia="仿宋" w:cs="仿宋"/>
                <w:color w:val="auto"/>
                <w:sz w:val="24"/>
                <w:szCs w:val="24"/>
                <w:highlight w:val="none"/>
                <w:lang w:eastAsia="zh-CN"/>
              </w:rPr>
            </w:pPr>
            <w:r>
              <w:rPr>
                <w:rFonts w:hint="eastAsia" w:ascii="仿宋" w:hAnsi="仿宋" w:eastAsia="仿宋" w:cs="仿宋"/>
                <w:b w:val="0"/>
                <w:bCs w:val="0"/>
                <w:color w:val="auto"/>
                <w:sz w:val="24"/>
                <w:szCs w:val="24"/>
                <w:highlight w:val="none"/>
              </w:rPr>
              <w:t xml:space="preserve">▲</w:t>
            </w:r>
            <w:r>
              <w:rPr>
                <w:rFonts w:hint="eastAsia" w:ascii="仿宋" w:hAnsi="仿宋" w:eastAsia="仿宋" w:cs="仿宋"/>
                <w:color w:val="auto"/>
                <w:sz w:val="24"/>
                <w:szCs w:val="24"/>
                <w:highlight w:val="none"/>
              </w:rPr>
              <w:t xml:space="preserve">螺丝符合：GB/T 35607-2024；QB/T 3826-1999；QB/T 3827-1999；QB/T 3828-1999；QB/T 3832-1999等标准，</w:t>
            </w:r>
            <w:r>
              <w:rPr>
                <w:rFonts w:hint="eastAsia" w:ascii="仿宋" w:hAnsi="仿宋" w:eastAsia="仿宋" w:cs="仿宋"/>
                <w:color w:val="auto"/>
                <w:sz w:val="24"/>
                <w:szCs w:val="24"/>
                <w:highlight w:val="none"/>
                <w:lang w:val="en-US"/>
              </w:rPr>
              <w:t xml:space="preserve">检测内容包含但不限于</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家具涂层可迁移元素：铅、镉、铬、汞、锑、钡、硒、砷均未检出。乙酸盐雾试验（连续喷雾≥300h，涂/镀层本身耐腐蚀等级≥10级，涂/镀层对基体保护等级≥10级）。铜盐加速乙酸盐雾试验（连续喷≥300h，涂/镀层本身耐腐蚀等级≥10级，涂/镀层对基体保护等级≥10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抗菌性能（宋内氏志贺氏菌、白色念珠菌抑菌率），结果均≥99</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%。盐溶液周浸试验（≥300h，样品表面涂层未被腐蚀）。</w:t>
            </w:r>
            <w:r/>
          </w:p>
          <w:p>
            <w:pPr>
              <w:jc w:val="left"/>
              <w:keepLines w:val="0"/>
              <w:keepNext w:val="0"/>
              <w:pageBreakBefore w:val="0"/>
              <w:spacing w:line="3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桌面加挡板，面板厚度</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15mm，</w:t>
            </w:r>
            <w:r/>
          </w:p>
        </w:tc>
        <w:tc>
          <w:tcPr>
            <w:tcW w:w="257"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color w:val="auto"/>
                <w:sz w:val="24"/>
                <w:szCs w:val="24"/>
                <w:highlight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rPr>
                <w:rFonts w:hint="eastAsia" w:ascii="仿宋" w:hAnsi="仿宋" w:eastAsia="仿宋" w:cs="仿宋"/>
                <w:i w:val="0"/>
                <w:iCs w:val="0"/>
                <w:color w:val="auto"/>
                <w:sz w:val="24"/>
                <w:szCs w:val="24"/>
                <w:highlight w:val="none"/>
                <w:u w:val="none"/>
                <w:lang w:eastAsia="zh-CN" w:bidi="ar"/>
              </w:rPr>
              <w:t xml:space="preserve">37</w:t>
            </w:r>
            <w:r/>
          </w:p>
        </w:tc>
        <w:tc>
          <w:tcPr>
            <w:tcW w:w="283"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r>
      <w:tr>
        <w:trPr>
          <w:trHeight w:val="656"/>
        </w:trPr>
        <w:tc>
          <w:tcPr>
            <w:tcW w:w="268" w:type="pct"/>
            <w:vAlign w:val="center"/>
            <w:textDirection w:val="lrTb"/>
            <w:noWrap w:val="false"/>
          </w:tcPr>
          <w:p>
            <w:pPr>
              <w:jc w:val="left"/>
              <w:keepLines w:val="0"/>
              <w:keepNext w:val="0"/>
              <w:pageBreakBefore w:val="0"/>
              <w:spacing w:line="3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p>
        </w:tc>
        <w:tc>
          <w:tcPr>
            <w:tcW w:w="438" w:type="pct"/>
            <w:vAlign w:val="center"/>
            <w:textDirection w:val="lrTb"/>
            <w:noWrap w:val="false"/>
          </w:tcPr>
          <w:p>
            <w:p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办公椅</w:t>
            </w:r>
            <w:r/>
          </w:p>
        </w:tc>
        <w:tc>
          <w:tcPr>
            <w:tcW w:w="10768" w:type="dxa"/>
            <w:vAlign w:val="center"/>
            <w:textDirection w:val="lrTb"/>
            <w:noWrap w:val="false"/>
          </w:tcPr>
          <w:p>
            <w:pPr>
              <w:jc w:val="left"/>
              <w:keepLines w:val="0"/>
              <w:keepNext w:val="0"/>
              <w:pageBreakBefore w:val="0"/>
              <w:spacing w:line="3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1.参考尺寸：900mm*500mm*520mm（±10mm）</w:t>
            </w:r>
            <w:r/>
          </w:p>
          <w:p>
            <w:pPr>
              <w:keepLines w:val="0"/>
              <w:keepNext w:val="0"/>
              <w:pageBreakBefore w:val="0"/>
              <w:spacing w:line="3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2.基材：采用优质橡胶木，木纹清晰，板材经过脱脂、杀虫、干燥防腐，反复打磨细磨等工艺处理。木材含水率≤12%、木制件外观要求合格；</w:t>
            </w:r>
            <w:r/>
          </w:p>
          <w:p>
            <w:pPr>
              <w:pStyle w:val="743"/>
              <w:keepLines w:val="0"/>
              <w:keepNext w:val="0"/>
              <w:pageBreakBefore w:val="0"/>
              <w:spacing w:line="34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3.工艺：榫卯结构传统工艺制作，椅子榫卯结构处要用钢片固定。</w:t>
            </w:r>
            <w:r/>
          </w:p>
          <w:p>
            <w:pPr>
              <w:jc w:val="left"/>
              <w:keepLines w:val="0"/>
              <w:keepNext w:val="0"/>
              <w:pageBreakBefore w:val="0"/>
              <w:spacing w:line="3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水性面漆符合：GB 18581-2020；HJ 2537-2014；GB/T 23999-2009；HG/T 3950-2025；JC/T 1074-2021；GB/T 1766-2008；GB/T 21604-2022等标准，</w:t>
            </w:r>
            <w:r>
              <w:rPr>
                <w:rFonts w:hint="eastAsia" w:ascii="仿宋" w:hAnsi="仿宋" w:eastAsia="仿宋" w:cs="仿宋"/>
                <w:b w:val="0"/>
                <w:bCs w:val="0"/>
                <w:color w:val="auto"/>
                <w:sz w:val="24"/>
                <w:szCs w:val="24"/>
                <w:highlight w:val="none"/>
                <w:lang w:val="en-US"/>
              </w:rPr>
              <w:t xml:space="preserve">检测内容包含但不限于：</w:t>
            </w:r>
            <w:r>
              <w:rPr>
                <w:rFonts w:hint="eastAsia" w:ascii="仿宋" w:hAnsi="仿宋" w:eastAsia="仿宋" w:cs="仿宋"/>
                <w:b w:val="0"/>
                <w:bCs w:val="0"/>
                <w:color w:val="auto"/>
                <w:sz w:val="24"/>
                <w:szCs w:val="24"/>
                <w:highlight w:val="none"/>
              </w:rPr>
              <w:t xml:space="preserve">VOC含量未检出；甲醛含量未检出；总铅含量未检出；可溶性重金属（镉、铬、汞）均未检出；乙二醇醚及醚酯总和未检出；苯系物（苯、甲苯、二甲苯等）总和未检出；烷基酚聚氧乙烯醚总和未检出，结果均符合要求</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游离甲醛未检出；苯、甲苯、二甲苯及乙苯总量未检出；卤代烃（以二氯甲烷计）未检出，结果均符合要求。抗霉菌性能（黑曲霉、绿色木霉抗霉菌等级），结果≥0级；抗菌性能（肺炎克雷伯氏菌抗菌率≥99</w:t>
            </w: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rPr>
              <w:t xml:space="preserve">%、抗菌活性值≥4.0；金黄色葡萄球菌抗菌率≥99</w:t>
            </w: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rPr>
              <w:t xml:space="preserve">%、抗菌活性值≥4.0）</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甲醛净化效率≥8</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%。涂层老化（100h）评级为0级</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急性皮肤刺激性/腐蚀性试验，结果无刺激性。</w:t>
            </w:r>
            <w:r/>
          </w:p>
          <w:p>
            <w:pPr>
              <w:keepLines w:val="0"/>
              <w:keepNext w:val="0"/>
              <w:pageBreakBefore w:val="0"/>
              <w:spacing w:line="340" w:lineRule="exac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水性底漆符合：GB 18581-2020；HJ 2537-2014；GB/T 23999-2009；HG/T 3950-2025；JC/T 1074-2021；GB/T 1766-2008；GB/T 21604-2022等标准，</w:t>
            </w:r>
            <w:r>
              <w:rPr>
                <w:rFonts w:hint="eastAsia" w:ascii="仿宋" w:hAnsi="仿宋" w:eastAsia="仿宋" w:cs="仿宋"/>
                <w:b w:val="0"/>
                <w:bCs w:val="0"/>
                <w:color w:val="auto"/>
                <w:sz w:val="24"/>
                <w:szCs w:val="24"/>
                <w:highlight w:val="none"/>
                <w:lang w:val="en-US"/>
              </w:rPr>
              <w:t xml:space="preserve">检测内容包含但不限于</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VOC含量未检出；甲醛含量未检出；总铅含量未检出；可溶性重金属（镉、铬、汞）均未检出；乙二醇醚及醚酯总和未检出；苯系物（苯、甲苯、二甲苯等）总和未检出；烷基酚聚氧乙烯醚总和未检出，结果均符合要求。游离甲醛未检出；苯、甲苯、二甲苯及乙苯总量未检出；卤代烃（以二氯甲烷计）未检出，结果均符合要求。抗霉菌性能（黑曲霉、绿色木霉抗霉菌等级），结果≥0级；抗菌性能（肺炎克雷伯氏菌抗菌率≥99</w:t>
            </w: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rPr>
              <w:t xml:space="preserve">%、抗菌活性值≥3.5；金黄色葡萄球菌抗菌率≥99</w:t>
            </w: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rPr>
              <w:t xml:space="preserve">%、抗菌活性值≥3.5）。甲醛净化效率≥84%。涂层老化（100h）评级为0级。急性皮肤刺激性/腐蚀性试验，结果无刺激性。 </w:t>
            </w:r>
            <w:r/>
          </w:p>
          <w:p>
            <w:pPr>
              <w:keepLines w:val="0"/>
              <w:keepNext w:val="0"/>
              <w:pageBreakBefore w:val="0"/>
              <w:spacing w:line="3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rPr>
              <w:t xml:space="preserve">、五金配件 </w:t>
            </w:r>
            <w:r/>
          </w:p>
          <w:p>
            <w:pPr>
              <w:jc w:val="left"/>
              <w:keepLines w:val="0"/>
              <w:keepNext w:val="0"/>
              <w:pageBreakBefore w:val="0"/>
              <w:spacing w:line="3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螺丝符合：GB/T 35607-2024；QB/T 3826-1999；QB/T 3827-1999；QB/T 3828-1999；QB/T 3832-1999等标准，</w:t>
            </w:r>
            <w:r>
              <w:rPr>
                <w:rFonts w:hint="eastAsia" w:ascii="仿宋" w:hAnsi="仿宋" w:eastAsia="仿宋" w:cs="仿宋"/>
                <w:b w:val="0"/>
                <w:bCs w:val="0"/>
                <w:color w:val="auto"/>
                <w:sz w:val="24"/>
                <w:szCs w:val="24"/>
                <w:highlight w:val="none"/>
                <w:lang w:val="en-US"/>
              </w:rPr>
              <w:t xml:space="preserve">检测内容包含但不限于</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家具涂层可迁移元素：铅、镉、铬、汞、锑、钡、硒、砷均未检出。乙酸盐雾试验（连续喷雾≥300h，涂/镀层本身耐腐蚀等级≥10级，涂/镀层对基体保护等级≥10级）。铜盐加速乙酸盐雾试验（连续喷≥300h，涂/镀层本身耐腐蚀等级≥10级，涂/镀层对基体保护等级≥10级）</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抗菌性能（宋内氏志贺氏菌、白色念珠菌抑菌率），结果均≥99</w:t>
            </w: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rPr>
              <w:t xml:space="preserve">%。盐溶液周浸试验（≥300h，样品表面涂层未被腐蚀）。</w:t>
            </w:r>
            <w:r/>
          </w:p>
          <w:p>
            <w:pPr>
              <w:pStyle w:val="744"/>
              <w:ind w:left="0" w:right="33"/>
              <w:keepLines w:val="0"/>
              <w:keepNext w:val="0"/>
              <w:pageBreakBefore w:val="0"/>
              <w:spacing w:line="3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.颜色自选。</w:t>
            </w:r>
            <w:r/>
          </w:p>
        </w:tc>
        <w:tc>
          <w:tcPr>
            <w:tcW w:w="257"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rPr>
                <w:rFonts w:hint="eastAsia" w:ascii="仿宋" w:hAnsi="仿宋" w:eastAsia="仿宋" w:cs="仿宋"/>
                <w:i w:val="0"/>
                <w:iCs w:val="0"/>
                <w:color w:val="auto"/>
                <w:sz w:val="24"/>
                <w:szCs w:val="24"/>
                <w:highlight w:val="none"/>
                <w:u w:val="none"/>
                <w:lang w:eastAsia="zh-CN" w:bidi="ar"/>
              </w:rPr>
              <w:t xml:space="preserve">37</w:t>
            </w:r>
            <w:r/>
          </w:p>
        </w:tc>
        <w:tc>
          <w:tcPr>
            <w:tcW w:w="283"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把</w:t>
            </w:r>
            <w:r/>
          </w:p>
        </w:tc>
      </w:tr>
      <w:tr>
        <w:trPr/>
        <w:tc>
          <w:tcPr>
            <w:tcW w:w="268" w:type="pct"/>
            <w:vAlign w:val="center"/>
            <w:textDirection w:val="lrTb"/>
            <w:noWrap w:val="false"/>
          </w:tcPr>
          <w:p>
            <w:pPr>
              <w:jc w:val="center"/>
              <w:keepLines w:val="0"/>
              <w:keepNext w:val="0"/>
              <w:pageBreakBefore w:val="0"/>
              <w:spacing w:line="3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p>
        </w:tc>
        <w:tc>
          <w:tcPr>
            <w:tcW w:w="438" w:type="pct"/>
            <w:vAlign w:val="center"/>
            <w:textDirection w:val="lrTb"/>
            <w:noWrap w:val="false"/>
          </w:tcPr>
          <w:p>
            <w:pPr>
              <w:jc w:val="left"/>
              <w:keepLines w:val="0"/>
              <w:keepNext w:val="0"/>
              <w:pageBreakBefore w:val="0"/>
              <w:spacing w:line="34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桌面书柜</w:t>
            </w:r>
            <w:r/>
          </w:p>
        </w:tc>
        <w:tc>
          <w:tcPr>
            <w:tcW w:w="10768" w:type="dxa"/>
            <w:vAlign w:val="center"/>
            <w:textDirection w:val="lrTb"/>
            <w:noWrap w:val="false"/>
          </w:tcPr>
          <w:p>
            <w:pPr>
              <w:numPr>
                <w:ilvl w:val="0"/>
                <w:numId w:val="16"/>
              </w:numPr>
              <w:jc w:val="left"/>
              <w:keepLines w:val="0"/>
              <w:keepNext w:val="0"/>
              <w:pageBreakBefore w:val="0"/>
              <w:spacing w:line="3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参考尺寸：</w:t>
            </w:r>
            <w:r>
              <w:rPr>
                <w:rFonts w:hint="eastAsia" w:ascii="仿宋" w:hAnsi="仿宋" w:eastAsia="仿宋" w:cs="仿宋"/>
                <w:b w:val="0"/>
                <w:bCs w:val="0"/>
                <w:color w:val="auto"/>
                <w:sz w:val="24"/>
                <w:szCs w:val="24"/>
                <w:highlight w:val="none"/>
                <w:lang w:val="en-US" w:eastAsia="zh-CN"/>
              </w:rPr>
              <w:t xml:space="preserve">700</w:t>
            </w:r>
            <w:r>
              <w:rPr>
                <w:rFonts w:hint="eastAsia" w:ascii="仿宋" w:hAnsi="仿宋" w:eastAsia="仿宋" w:cs="仿宋"/>
                <w:b w:val="0"/>
                <w:bCs w:val="0"/>
                <w:color w:val="auto"/>
                <w:sz w:val="24"/>
                <w:szCs w:val="24"/>
                <w:highlight w:val="none"/>
              </w:rPr>
              <w:t xml:space="preserve">mm*</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00mm*</w:t>
            </w:r>
            <w:r>
              <w:rPr>
                <w:rFonts w:hint="eastAsia" w:ascii="仿宋" w:hAnsi="仿宋" w:eastAsia="仿宋" w:cs="仿宋"/>
                <w:b w:val="0"/>
                <w:bCs w:val="0"/>
                <w:color w:val="auto"/>
                <w:sz w:val="24"/>
                <w:szCs w:val="24"/>
                <w:highlight w:val="none"/>
                <w:lang w:val="en-US" w:eastAsia="zh-CN"/>
              </w:rPr>
              <w:t xml:space="preserve">115</w:t>
            </w:r>
            <w:r>
              <w:rPr>
                <w:rFonts w:hint="eastAsia" w:ascii="仿宋" w:hAnsi="仿宋" w:eastAsia="仿宋" w:cs="仿宋"/>
                <w:b w:val="0"/>
                <w:bCs w:val="0"/>
                <w:color w:val="auto"/>
                <w:sz w:val="24"/>
                <w:szCs w:val="24"/>
                <w:highlight w:val="none"/>
              </w:rPr>
              <w:t xml:space="preserve">0mm（±10mm）；</w:t>
            </w:r>
            <w:r/>
          </w:p>
          <w:p>
            <w:pPr>
              <w:numPr>
                <w:ilvl w:val="0"/>
                <w:numId w:val="16"/>
              </w:numPr>
              <w:ind w:left="0" w:firstLine="0"/>
              <w:jc w:val="left"/>
              <w:keepLines w:val="0"/>
              <w:keepNext w:val="0"/>
              <w:pageBreakBefore w:val="0"/>
              <w:spacing w:line="3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基材：采用</w:t>
            </w:r>
            <w:r>
              <w:rPr>
                <w:rFonts w:hint="eastAsia" w:ascii="仿宋" w:hAnsi="仿宋" w:eastAsia="仿宋" w:cs="仿宋"/>
                <w:b w:val="0"/>
                <w:bCs w:val="0"/>
                <w:color w:val="auto"/>
                <w:sz w:val="24"/>
                <w:szCs w:val="24"/>
                <w:highlight w:val="none"/>
                <w:lang w:val="en-US" w:eastAsia="zh-CN"/>
              </w:rPr>
              <w:t xml:space="preserve">优质实木多层板</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板材厚度</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18mm，</w:t>
            </w:r>
            <w:r>
              <w:rPr>
                <w:rFonts w:hint="eastAsia" w:ascii="仿宋" w:hAnsi="仿宋" w:eastAsia="仿宋" w:cs="仿宋"/>
                <w:b w:val="0"/>
                <w:bCs w:val="0"/>
                <w:color w:val="auto"/>
                <w:sz w:val="24"/>
                <w:szCs w:val="24"/>
                <w:highlight w:val="none"/>
              </w:rPr>
              <w:t xml:space="preserve">具有防污、防刮、防火、耐磨、耐腐蚀、不易变形、不易起泡、无任何刺鼻气味等特点，符合：GB/T 34722-2017；GB/T 35601-2024；GB/T 39600-2021；GB 18580-2017；JC/T 2039-2010；GB/T 29899-2024；GB/T 34749-2017等标准，</w:t>
            </w:r>
            <w:r>
              <w:rPr>
                <w:rFonts w:hint="eastAsia" w:ascii="仿宋" w:hAnsi="仿宋" w:eastAsia="仿宋" w:cs="仿宋"/>
                <w:b w:val="0"/>
                <w:bCs w:val="0"/>
                <w:color w:val="auto"/>
                <w:sz w:val="24"/>
                <w:szCs w:val="24"/>
                <w:highlight w:val="none"/>
                <w:lang w:val="en-US"/>
              </w:rPr>
              <w:t xml:space="preserve">检测内容包含但不限于</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理化性能（含水率6.0~16.0%；胶合强度试件强度值≥0.70MPa；表面胶合强度≥0.85MPa；表面耐划痕≥1.5N表面无大于90%连续划痕，结果符合要求；表面耐磨磨耗值≤40mg/100r，磨100r后花纹保留50%以上</w:t>
            </w:r>
            <w:r>
              <w:rPr>
                <w:rFonts w:hint="eastAsia" w:ascii="仿宋" w:hAnsi="仿宋" w:eastAsia="仿宋" w:cs="仿宋"/>
                <w:b w:val="0"/>
                <w:bCs w:val="0"/>
                <w:color w:val="auto"/>
                <w:sz w:val="24"/>
                <w:szCs w:val="24"/>
                <w:highlight w:val="none"/>
              </w:rPr>
              <w:t xml:space="preserve">，结果符合要求；表面耐干热≥5级；表面耐污染腐蚀≥5级；表面耐冷热循环无裂纹/鼓泡/变色/起皱，结果符合要求；表面耐龟裂≥5级；表面耐水蒸气≥5级；耐光色牢度≥4级）；其他要求（握螺钉力板面≥1210N、板边≥890N）。挥发性有机化合物释放浓度7d：苯未检出；甲苯未检出；二甲苯未检出；总挥发性有机化合物TVOC未检出。甲醛释放量≤0.015mg/m³。抗菌防霉性能（绿色木霉、出芽短梗霉防霉菌等级），结果均≥0级；抗细菌性能（肺炎克雷伯氏菌抗菌率），结果≥99.9%。耐火试验（耐火极限），结果≥1000s。</w:t>
            </w:r>
            <w:r/>
          </w:p>
          <w:p>
            <w:pPr>
              <w:numPr>
                <w:ilvl w:val="0"/>
                <w:numId w:val="0"/>
              </w:numPr>
              <w:jc w:val="left"/>
              <w:keepLines w:val="0"/>
              <w:keepNext w:val="0"/>
              <w:pageBreakBefore w:val="0"/>
              <w:spacing w:line="3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封边：采用优质PVC封边条</w:t>
            </w:r>
            <w:r/>
          </w:p>
          <w:p>
            <w:pPr>
              <w:numPr>
                <w:ilvl w:val="0"/>
                <w:numId w:val="0"/>
              </w:numPr>
              <w:jc w:val="left"/>
              <w:keepLines w:val="0"/>
              <w:keepNext w:val="0"/>
              <w:pageBreakBefore w:val="0"/>
              <w:spacing w:line="3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符合：QB/T 4463-2025；GB 8624-2012；GB/T 9341-2008；GB/T 1040.1-2025；GB 6675.4-2025；GB/T 40908-2021；GB/T 32487-2016等标准，</w:t>
            </w:r>
            <w:r>
              <w:rPr>
                <w:rFonts w:hint="eastAsia" w:ascii="仿宋" w:hAnsi="仿宋" w:eastAsia="仿宋" w:cs="仿宋"/>
                <w:b w:val="0"/>
                <w:bCs w:val="0"/>
                <w:color w:val="auto"/>
                <w:sz w:val="24"/>
                <w:szCs w:val="24"/>
                <w:highlight w:val="none"/>
                <w:lang w:val="en-US"/>
              </w:rPr>
              <w:t xml:space="preserve">检测内容包含但不限于</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燃烧性能，结果优于或等于V-0级。弯曲性能（弯曲强度），结果≥48MPa。拉伸性能（拉伸强度），结果≥30MPa。可迁移元素（铅、镉、铬、汞、砷、钡、锑、硒）含量检测，结果均未检出。多溴联苯PBB≤1000mg/kg、多溴联苯醚PBDE≤1000mg/kg含量检测，结果均未检出。</w:t>
            </w:r>
            <w:r/>
          </w:p>
          <w:p>
            <w:pPr>
              <w:numPr>
                <w:ilvl w:val="0"/>
                <w:numId w:val="0"/>
              </w:numPr>
              <w:jc w:val="left"/>
              <w:keepLines w:val="0"/>
              <w:keepNext w:val="0"/>
              <w:pageBreakBefore w:val="0"/>
              <w:spacing w:line="3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五金配件 </w:t>
            </w:r>
            <w:r/>
          </w:p>
          <w:p>
            <w:pPr>
              <w:numPr>
                <w:ilvl w:val="0"/>
                <w:numId w:val="0"/>
              </w:numPr>
              <w:jc w:val="left"/>
              <w:keepLines w:val="0"/>
              <w:keepNext w:val="0"/>
              <w:pageBreakBefore w:val="0"/>
              <w:spacing w:line="34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三合一连接件符合：GB/T 28203-2011；QB/T 3826-1999；QB/T 3832-1999；QB/T 3827-1999；QB/T 4371-2012；GB/T 19746-2018等标准，</w:t>
            </w:r>
            <w:r>
              <w:rPr>
                <w:rFonts w:hint="eastAsia" w:ascii="仿宋" w:hAnsi="仿宋" w:eastAsia="仿宋" w:cs="仿宋"/>
                <w:b w:val="0"/>
                <w:bCs w:val="0"/>
                <w:color w:val="auto"/>
                <w:sz w:val="24"/>
                <w:szCs w:val="24"/>
                <w:highlight w:val="none"/>
                <w:lang w:val="en-US"/>
              </w:rPr>
              <w:t xml:space="preserve">检测内容包含但不限于</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乙酸盐雾试验（连续喷雾≥300h，涂/镀层本身耐腐蚀等级≥10级，涂/镀层对基体保护等级≥10级）。抗菌性能（肺炎克雷伯氏菌、宋内氏志贺氏菌、白色念珠菌抑菌率），结果均≥99.9%。盐溶液周浸试验（≥300h，样品表面涂层未被腐蚀）。</w:t>
            </w:r>
            <w:r/>
          </w:p>
          <w:p>
            <w:pPr>
              <w:jc w:val="left"/>
              <w:keepLines w:val="0"/>
              <w:keepNext w:val="0"/>
              <w:pageBreakBefore w:val="0"/>
              <w:spacing w:line="34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螺丝符合：GB/T 35607-2024；QB/T 3826-1999；QB/T 3827-1999；QB/T 3828-1999；QB/T 3832-1999等标准，</w:t>
            </w:r>
            <w:r>
              <w:rPr>
                <w:rFonts w:hint="eastAsia" w:ascii="仿宋" w:hAnsi="仿宋" w:eastAsia="仿宋" w:cs="仿宋"/>
                <w:b w:val="0"/>
                <w:bCs w:val="0"/>
                <w:color w:val="auto"/>
                <w:sz w:val="24"/>
                <w:szCs w:val="24"/>
                <w:highlight w:val="none"/>
                <w:lang w:val="en-US"/>
              </w:rPr>
              <w:t xml:space="preserve">检测内容包含但不限于</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家具涂层可迁移元素：铅、镉、铬、汞、锑、钡、硒、砷均未检出。乙酸盐雾试验（连续喷雾≥300h，涂/镀层本身耐腐蚀等级≥10级，涂/镀层对基体保护等级≥10级）。铜盐加速乙酸盐雾试验（连续喷≥300h，涂/镀层本身耐腐蚀等级≥10级，涂/镀层对基体保护等级≥10级）</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抗菌性能（宋内氏志贺氏菌、白色念珠菌抑菌率），结果均≥99</w:t>
            </w:r>
            <w:r>
              <w:rPr>
                <w:rFonts w:hint="eastAsia" w:ascii="仿宋" w:hAnsi="仿宋" w:eastAsia="仿宋" w:cs="仿宋"/>
                <w:b w:val="0"/>
                <w:bCs w:val="0"/>
                <w:color w:val="auto"/>
                <w:sz w:val="24"/>
                <w:szCs w:val="24"/>
                <w:highlight w:val="none"/>
                <w:lang w:val="en-US" w:eastAsia="zh-CN"/>
              </w:rPr>
              <w:t xml:space="preserve">.9</w:t>
            </w:r>
            <w:r>
              <w:rPr>
                <w:rFonts w:hint="eastAsia" w:ascii="仿宋" w:hAnsi="仿宋" w:eastAsia="仿宋" w:cs="仿宋"/>
                <w:b w:val="0"/>
                <w:bCs w:val="0"/>
                <w:color w:val="auto"/>
                <w:sz w:val="24"/>
                <w:szCs w:val="24"/>
                <w:highlight w:val="none"/>
              </w:rPr>
              <w:t xml:space="preserve">%。盐溶液周浸试验（≥300h，样品表面涂层未被腐蚀）。</w:t>
            </w:r>
            <w:r/>
          </w:p>
        </w:tc>
        <w:tc>
          <w:tcPr>
            <w:tcW w:w="257"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225</w:t>
            </w:r>
            <w:r/>
          </w:p>
        </w:tc>
        <w:tc>
          <w:tcPr>
            <w:tcW w:w="283"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组</w:t>
            </w:r>
            <w:r/>
          </w:p>
        </w:tc>
      </w:tr>
      <w:tr>
        <w:trPr/>
        <w:tc>
          <w:tcPr>
            <w:tcW w:w="268" w:type="pct"/>
            <w:vAlign w:val="center"/>
            <w:textDirection w:val="lrTb"/>
            <w:noWrap w:val="false"/>
          </w:tcPr>
          <w:p>
            <w:pPr>
              <w:jc w:val="center"/>
              <w:keepLines w:val="0"/>
              <w:keepNext w:val="0"/>
              <w:pageBreakBefore w:val="0"/>
              <w:spacing w:line="3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p>
        </w:tc>
        <w:tc>
          <w:tcPr>
            <w:tcW w:w="438" w:type="pct"/>
            <w:vAlign w:val="center"/>
            <w:textDirection w:val="lrTb"/>
            <w:noWrap w:val="false"/>
          </w:tcPr>
          <w:p>
            <w:p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墙面书柜</w:t>
            </w:r>
            <w:r/>
          </w:p>
        </w:tc>
        <w:tc>
          <w:tcPr>
            <w:tcW w:w="10768" w:type="dxa"/>
            <w:vAlign w:val="center"/>
            <w:textDirection w:val="lrTb"/>
            <w:noWrap w:val="false"/>
          </w:tcPr>
          <w:p>
            <w:pPr>
              <w:numPr>
                <w:ilvl w:val="0"/>
                <w:numId w:val="17"/>
              </w:num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参考尺寸：</w:t>
            </w:r>
            <w:r>
              <w:rPr>
                <w:rFonts w:hint="eastAsia" w:ascii="仿宋" w:hAnsi="仿宋" w:eastAsia="仿宋" w:cs="仿宋"/>
                <w:color w:val="auto"/>
                <w:sz w:val="24"/>
                <w:szCs w:val="24"/>
                <w:highlight w:val="none"/>
                <w:lang w:val="en-US" w:eastAsia="zh-CN"/>
              </w:rPr>
              <w:t xml:space="preserve">700</w:t>
            </w:r>
            <w:r>
              <w:rPr>
                <w:rFonts w:hint="eastAsia" w:ascii="仿宋" w:hAnsi="仿宋" w:eastAsia="仿宋" w:cs="仿宋"/>
                <w:color w:val="auto"/>
                <w:sz w:val="24"/>
                <w:szCs w:val="24"/>
                <w:highlight w:val="none"/>
              </w:rPr>
              <w:t xml:space="preserve">mm*</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00mm*</w:t>
            </w:r>
            <w:r>
              <w:rPr>
                <w:rFonts w:hint="eastAsia" w:ascii="仿宋" w:hAnsi="仿宋" w:eastAsia="仿宋" w:cs="仿宋"/>
                <w:color w:val="auto"/>
                <w:sz w:val="24"/>
                <w:szCs w:val="24"/>
                <w:highlight w:val="none"/>
                <w:lang w:val="en-US" w:eastAsia="zh-CN"/>
              </w:rPr>
              <w:t xml:space="preserve">115</w:t>
            </w:r>
            <w:r>
              <w:rPr>
                <w:rFonts w:hint="eastAsia" w:ascii="仿宋" w:hAnsi="仿宋" w:eastAsia="仿宋" w:cs="仿宋"/>
                <w:color w:val="auto"/>
                <w:sz w:val="24"/>
                <w:szCs w:val="24"/>
                <w:highlight w:val="none"/>
              </w:rPr>
              <w:t xml:space="preserve">0mm（±10mm）；</w:t>
            </w:r>
            <w:r/>
          </w:p>
          <w:p>
            <w:pPr>
              <w:numPr>
                <w:ilvl w:val="0"/>
                <w:numId w:val="17"/>
              </w:numPr>
              <w:ind w:left="0" w:firstLine="0"/>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▲基材：采用</w:t>
            </w:r>
            <w:r>
              <w:rPr>
                <w:rFonts w:hint="eastAsia" w:ascii="仿宋" w:hAnsi="仿宋" w:eastAsia="仿宋" w:cs="仿宋"/>
                <w:color w:val="auto"/>
                <w:sz w:val="24"/>
                <w:szCs w:val="24"/>
                <w:highlight w:val="none"/>
                <w:lang w:val="en-US" w:eastAsia="zh-CN"/>
              </w:rPr>
              <w:t xml:space="preserve">优质实木多层板</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板材厚度</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18mm，</w:t>
            </w:r>
            <w:r>
              <w:rPr>
                <w:rFonts w:hint="eastAsia" w:ascii="仿宋" w:hAnsi="仿宋" w:eastAsia="仿宋" w:cs="仿宋"/>
                <w:color w:val="auto"/>
                <w:sz w:val="24"/>
                <w:szCs w:val="24"/>
                <w:highlight w:val="none"/>
              </w:rPr>
              <w:t xml:space="preserve">具有防污、防刮、防火、耐磨、耐腐蚀、不易变形、不易起泡、无任何刺鼻气味等特点，符合：GB/T 34722-2017；GB/T 35601-2024；GB/T 39600-2021；GB 18580-2017；JC/T 2039-2010；GB/T 29899-2024；GB/T 34749-2017等标准，</w:t>
            </w:r>
            <w:r>
              <w:rPr>
                <w:rFonts w:hint="eastAsia" w:ascii="仿宋" w:hAnsi="仿宋" w:eastAsia="仿宋" w:cs="仿宋"/>
                <w:color w:val="auto"/>
                <w:sz w:val="24"/>
                <w:szCs w:val="24"/>
                <w:highlight w:val="none"/>
                <w:lang w:val="en-US"/>
              </w:rPr>
              <w:t xml:space="preserve">检测内容包含但不限于</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理化性能（含水率6.0~16.0%；胶合强度试件强度值≥0.70MPa；表面胶合强度≥0.85MPa；表面耐划痕≥1.5N表面无大于90%连续划痕，结果符合要求；表面耐磨磨耗值≤40mg/100r，磨100r后花纹保留50%以上</w:t>
            </w:r>
            <w:r>
              <w:rPr>
                <w:rFonts w:hint="eastAsia" w:ascii="仿宋" w:hAnsi="仿宋" w:eastAsia="仿宋" w:cs="仿宋"/>
                <w:color w:val="auto"/>
                <w:sz w:val="24"/>
                <w:szCs w:val="24"/>
                <w:highlight w:val="none"/>
              </w:rPr>
              <w:t xml:space="preserve">，结果符合要求；表面耐干热≥5级；表面耐污染腐蚀≥5级；表面耐冷热循环无裂纹/鼓泡/变色/起皱，结果符合要求；表面耐龟裂≥5级；表面耐水蒸气≥5级；耐光色牢度≥4级）；其他要求（握螺钉力板面≥1210N、板边≥890N）。挥发性有机化合物释放浓度7d：苯未检出；甲苯未检出；二甲苯未检出；总挥发性有机化合物TVOC未检出。甲醛释放量≤0.015mg/m³。抗菌防霉性能（绿色木霉、出芽短梗霉防霉菌等级），结果均≥0级；抗细菌性能（肺炎克雷伯氏菌抗菌率），结果≥99.9%。耐火试验（耐火极限），结果≥1000s。</w:t>
            </w:r>
            <w:r/>
          </w:p>
          <w:p>
            <w:pPr>
              <w:numPr>
                <w:ilvl w:val="0"/>
                <w:numId w:val="0"/>
              </w:num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▲封边：采采用优质PVC封边条</w:t>
            </w:r>
            <w:r/>
          </w:p>
          <w:p>
            <w:pPr>
              <w:numPr>
                <w:ilvl w:val="0"/>
                <w:numId w:val="0"/>
              </w:num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符合：QB/T 4463-2025；GB 8624-2012；GB/T 9341-2008；GB/T 1040.1-2025；GB 6675.4-2025；GB/T 40908-2021；GB/T 32487-2016等标准，</w:t>
            </w:r>
            <w:r>
              <w:rPr>
                <w:rFonts w:hint="eastAsia" w:ascii="仿宋" w:hAnsi="仿宋" w:eastAsia="仿宋" w:cs="仿宋"/>
                <w:color w:val="auto"/>
                <w:sz w:val="24"/>
                <w:szCs w:val="24"/>
                <w:highlight w:val="none"/>
                <w:lang w:val="en-US"/>
              </w:rPr>
              <w:t xml:space="preserve">检测内容包含但不限于</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燃烧性能，结果优于或等于V-0级。弯曲性能（弯曲强度），结果≥48MPa。拉伸性能（拉伸强度），结果≥30MPa。可迁移元素（铅、镉、铬、汞、砷、钡、锑、硒）含量检测，结果均未检出。多溴联苯PBB≤1000mg/kg、多溴联苯醚PBDE≤1000mg/kg含量检测，结果均未检出。</w:t>
            </w:r>
            <w:r/>
          </w:p>
          <w:p>
            <w:pPr>
              <w:numPr>
                <w:ilvl w:val="0"/>
                <w:numId w:val="0"/>
              </w:num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五金配件 </w:t>
            </w:r>
            <w:r/>
          </w:p>
          <w:p>
            <w:pPr>
              <w:numPr>
                <w:ilvl w:val="0"/>
                <w:numId w:val="0"/>
              </w:num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▲三合一连接件符合：GB/T 28203-2011；QB/T 3826-1999；QB/T 3832-1999；QB/T 3827-1999；QB/T 4371-2012；GB/T 19746-2018等标准，</w:t>
            </w:r>
            <w:r>
              <w:rPr>
                <w:rFonts w:hint="eastAsia" w:ascii="仿宋" w:hAnsi="仿宋" w:eastAsia="仿宋" w:cs="仿宋"/>
                <w:color w:val="auto"/>
                <w:sz w:val="24"/>
                <w:szCs w:val="24"/>
                <w:highlight w:val="none"/>
                <w:lang w:val="en-US"/>
              </w:rPr>
              <w:t xml:space="preserve">检测内容包含但不限于</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乙酸盐雾试验（连续喷雾≥300h，涂/镀层本身耐腐蚀等级≥10级，涂/镀层对基体保护等级≥10级）。抗菌性能（肺炎克雷伯氏菌、宋内氏志贺氏菌、白色念珠菌抑菌率），结果均≥99.9%。盐溶液周浸试验（≥300h，样品表面涂层未被腐蚀）。</w:t>
            </w:r>
            <w:r/>
          </w:p>
          <w:p>
            <w:pPr>
              <w:numPr>
                <w:ilvl w:val="0"/>
                <w:numId w:val="0"/>
              </w:num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▲铰链：符合：QB/T 2189-2013；QB/T 3826-1999；QB/T 3827-1999；QB/T 3832-1999；GB/T 20854-2025；GB/T 24195-2009；GB/T 6461-2002；QB/T 4371-2012；GB/T 1741-2020；GB/T 19746-2018等标准，</w:t>
            </w:r>
            <w:r>
              <w:rPr>
                <w:rFonts w:hint="eastAsia" w:ascii="仿宋" w:hAnsi="仿宋" w:eastAsia="仿宋" w:cs="仿宋"/>
                <w:color w:val="auto"/>
                <w:sz w:val="24"/>
                <w:szCs w:val="24"/>
                <w:highlight w:val="none"/>
                <w:lang w:val="en-US"/>
              </w:rPr>
              <w:t xml:space="preserve">检测内容包含但不限于</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乙酸盐雾试验（连续喷雾≥300h，涂/镀层本身耐腐蚀等级≥10级，涂/镀层对基体保护等级≥10级）。抗菌性能（肺炎克雷伯氏菌、宋内氏志贺氏菌</w:t>
            </w:r>
            <w:r>
              <w:rPr>
                <w:rFonts w:hint="eastAsia" w:ascii="仿宋" w:hAnsi="仿宋" w:eastAsia="仿宋" w:cs="仿宋"/>
                <w:color w:val="auto"/>
                <w:sz w:val="24"/>
                <w:szCs w:val="24"/>
                <w:highlight w:val="none"/>
              </w:rPr>
              <w:t xml:space="preserve">、白色念珠菌抑菌率），结果均≥99.9%。盐溶液周浸试验（≥300h，样品表面涂层未被腐蚀）。乙酸盐雾试验（连续喷雾≥300h，涂/镀层本身耐腐蚀等级≥10级，涂/镀层对基体保护等级≥10级）。盐雾-干-湿循环加速腐蚀试验（≥300h，样品表面无锈蚀现象）。酸性盐雾-干-湿循环加速腐蚀试验（30个循环、240h，保护评级RP≥10级，外观评级RA≥10级）。抗菌性能（宋内氏志贺氏菌、白色念珠菌抑菌率），结果均≥99.9%。耐霉菌性（土曲霉、绳状青霉、宛氏拟青霉耐霉菌等级），结果均≥0级。盐溶液周浸试验（30</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h，样品表面涂层未被腐蚀）。</w:t>
            </w:r>
            <w:r/>
          </w:p>
          <w:p>
            <w:p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螺丝符合：GB/T 35607-2024；QB/T 3826-1999；QB/T 3827-1999；QB/T 3828-1999；QB/T 3832-1999等标准，</w:t>
            </w:r>
            <w:r>
              <w:rPr>
                <w:rFonts w:hint="eastAsia" w:ascii="仿宋" w:hAnsi="仿宋" w:eastAsia="仿宋" w:cs="仿宋"/>
                <w:color w:val="auto"/>
                <w:sz w:val="24"/>
                <w:szCs w:val="24"/>
                <w:highlight w:val="none"/>
                <w:lang w:val="en-US"/>
              </w:rPr>
              <w:t xml:space="preserve">检测内容包含但不限于</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家具涂层可迁移元素：铅、镉、铬、汞、锑、钡、硒、砷均未检出。乙酸盐雾试验（连续喷雾≥300h，涂/镀层本身耐腐蚀等级≥10级，涂/镀层对基体保护等级≥10级）。铜盐加速乙酸盐雾试验（连续喷≥300h，涂/镀层本身耐腐蚀等级≥10级，涂/镀层对基体保护等级≥10级）</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抗菌性能（宋内氏志贺氏菌、白色念珠菌抑菌率），结果均≥99</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%。盐溶液周浸试验（≥300h，样品表面涂层未被腐蚀）。</w:t>
            </w:r>
            <w:r/>
          </w:p>
        </w:tc>
        <w:tc>
          <w:tcPr>
            <w:tcW w:w="257"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225</w:t>
            </w:r>
            <w:r/>
          </w:p>
        </w:tc>
        <w:tc>
          <w:tcPr>
            <w:tcW w:w="283"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color w:val="auto"/>
                <w:sz w:val="24"/>
                <w:szCs w:val="24"/>
                <w:highlight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组</w:t>
            </w:r>
            <w:r/>
          </w:p>
        </w:tc>
      </w:tr>
      <w:tr>
        <w:trPr>
          <w:trHeight w:val="737"/>
        </w:trPr>
        <w:tc>
          <w:tcPr>
            <w:tcW w:w="268" w:type="pct"/>
            <w:vAlign w:val="center"/>
            <w:textDirection w:val="lrTb"/>
            <w:noWrap w:val="false"/>
          </w:tcPr>
          <w:p>
            <w:pPr>
              <w:jc w:val="center"/>
              <w:keepLines w:val="0"/>
              <w:keepNext w:val="0"/>
              <w:pageBreakBefore w:val="0"/>
              <w:spacing w:line="3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w:t>
            </w:r>
            <w:r/>
          </w:p>
        </w:tc>
        <w:tc>
          <w:tcPr>
            <w:tcW w:w="438" w:type="pct"/>
            <w:vAlign w:val="center"/>
            <w:textDirection w:val="lrTb"/>
            <w:noWrap w:val="false"/>
          </w:tcPr>
          <w:p>
            <w:pPr>
              <w:jc w:val="left"/>
              <w:keepLines w:val="0"/>
              <w:keepNext w:val="0"/>
              <w:pageBreakBefore w:val="0"/>
              <w:spacing w:line="340" w:lineRule="exact"/>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室内窗帘</w:t>
            </w:r>
            <w:r/>
          </w:p>
        </w:tc>
        <w:tc>
          <w:tcPr>
            <w:tcW w:w="10768" w:type="dxa"/>
            <w:vAlign w:val="center"/>
            <w:textDirection w:val="lrTb"/>
            <w:noWrap w:val="false"/>
          </w:tcPr>
          <w:p>
            <w:p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精选优质遮光双面</w:t>
            </w:r>
            <w:r>
              <w:rPr>
                <w:rFonts w:hint="eastAsia" w:ascii="仿宋" w:hAnsi="仿宋" w:eastAsia="仿宋" w:cs="仿宋"/>
                <w:color w:val="auto"/>
                <w:sz w:val="24"/>
                <w:szCs w:val="24"/>
                <w:highlight w:val="none"/>
                <w:lang w:val="en-US" w:eastAsia="zh-CN"/>
              </w:rPr>
              <w:t xml:space="preserve">棉麻布</w:t>
            </w:r>
            <w:r>
              <w:rPr>
                <w:rFonts w:hint="eastAsia" w:ascii="仿宋" w:hAnsi="仿宋" w:eastAsia="仿宋" w:cs="仿宋"/>
                <w:color w:val="auto"/>
                <w:sz w:val="24"/>
                <w:szCs w:val="24"/>
                <w:highlight w:val="none"/>
              </w:rPr>
              <w:t xml:space="preserve">料，经精湛纺织工艺而成，绒面丰满，手感柔软丝滑，织物厚实却质地轻盈。</w:t>
            </w:r>
            <w:r/>
          </w:p>
          <w:p>
            <w:p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强效遮光：克重高达1250克，独特的编织结构与加厚设计，使其遮光率达≥99%，能有效阻挡阳光直射，营造静谧舒适的室内环境。</w:t>
            </w:r>
            <w:r/>
          </w:p>
          <w:p>
            <w:pPr>
              <w:jc w:val="left"/>
              <w:keepLines w:val="0"/>
              <w:keepNext w:val="0"/>
              <w:pageBreakBefore w:val="0"/>
              <w:spacing w:line="3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▲甲醛含量符合GB/T </w:t>
            </w:r>
            <w:r>
              <w:rPr>
                <w:rFonts w:hint="eastAsia" w:ascii="仿宋" w:hAnsi="仿宋" w:eastAsia="仿宋" w:cs="仿宋"/>
                <w:color w:val="auto"/>
                <w:sz w:val="24"/>
                <w:szCs w:val="24"/>
                <w:highlight w:val="none"/>
                <w:lang w:val="en-US" w:eastAsia="zh-CN"/>
              </w:rPr>
              <w:t xml:space="preserve">2912.1-2009，</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20mg/kg</w:t>
            </w:r>
            <w:r>
              <w:rPr>
                <w:rFonts w:hint="eastAsia" w:ascii="仿宋" w:hAnsi="仿宋" w:eastAsia="仿宋" w:cs="仿宋"/>
                <w:color w:val="auto"/>
                <w:sz w:val="24"/>
                <w:szCs w:val="24"/>
                <w:highlight w:val="none"/>
              </w:rPr>
              <w:t xml:space="preserve">；</w:t>
            </w:r>
            <w:r/>
          </w:p>
          <w:p>
            <w:pPr>
              <w:jc w:val="left"/>
              <w:keepLines w:val="0"/>
              <w:keepNext w:val="0"/>
              <w:pageBreakBefore w:val="0"/>
              <w:spacing w:line="3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▲防紫外线：具备优秀的防紫外线性能，紫外线防护系数UPF&gt;40，可保护人体及室内家具等免受紫外线伤害。</w:t>
            </w:r>
            <w:r/>
          </w:p>
        </w:tc>
        <w:tc>
          <w:tcPr>
            <w:tcW w:w="257"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45</w:t>
            </w:r>
            <w:r/>
          </w:p>
        </w:tc>
        <w:tc>
          <w:tcPr>
            <w:tcW w:w="283"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间</w:t>
            </w:r>
            <w:r/>
          </w:p>
        </w:tc>
      </w:tr>
      <w:tr>
        <w:trPr/>
        <w:tc>
          <w:tcPr>
            <w:tcW w:w="268" w:type="pct"/>
            <w:vAlign w:val="center"/>
            <w:textDirection w:val="lrTb"/>
            <w:noWrap w:val="false"/>
          </w:tcPr>
          <w:p>
            <w:pPr>
              <w:jc w:val="center"/>
              <w:keepLines w:val="0"/>
              <w:keepNext w:val="0"/>
              <w:pageBreakBefore w:val="0"/>
              <w:spacing w:line="3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w:t>
            </w:r>
            <w:r/>
          </w:p>
        </w:tc>
        <w:tc>
          <w:tcPr>
            <w:tcW w:w="438" w:type="pct"/>
            <w:vAlign w:val="center"/>
            <w:textDirection w:val="lrTb"/>
            <w:noWrap w:val="false"/>
          </w:tcPr>
          <w:p>
            <w:pPr>
              <w:jc w:val="left"/>
              <w:keepLines w:val="0"/>
              <w:keepNext w:val="0"/>
              <w:pageBreakBefore w:val="0"/>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墙面地面拆除</w:t>
            </w:r>
            <w:r/>
          </w:p>
        </w:tc>
        <w:tc>
          <w:tcPr>
            <w:tcW w:w="3751" w:type="pct"/>
            <w:vAlign w:val="center"/>
            <w:textDirection w:val="lrTb"/>
            <w:noWrap w:val="false"/>
          </w:tcPr>
          <w:p>
            <w:pPr>
              <w:jc w:val="left"/>
              <w:keepLines w:val="0"/>
              <w:keepNext w:val="0"/>
              <w:pageBreakBefore w:val="0"/>
              <w:spacing w:line="3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原有室内一体机、黑板、讲台、地台、书柜、墙面广告等拆除（含垃圾清运），详见本采购需求第3条统一执行。</w:t>
            </w:r>
            <w:r/>
          </w:p>
        </w:tc>
        <w:tc>
          <w:tcPr>
            <w:tcW w:w="257"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W w:w="283"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间</w:t>
            </w:r>
            <w:r/>
          </w:p>
        </w:tc>
      </w:tr>
      <w:tr>
        <w:trPr/>
        <w:tc>
          <w:tcPr>
            <w:tcW w:w="268" w:type="pct"/>
            <w:vAlign w:val="center"/>
            <w:textDirection w:val="lrTb"/>
            <w:noWrap w:val="false"/>
          </w:tcPr>
          <w:p>
            <w:pPr>
              <w:jc w:val="center"/>
              <w:keepLines w:val="0"/>
              <w:keepNext w:val="0"/>
              <w:pageBreakBefore w:val="0"/>
              <w:spacing w:line="3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w:t>
            </w:r>
            <w:r/>
          </w:p>
        </w:tc>
        <w:tc>
          <w:tcPr>
            <w:tcW w:w="438" w:type="pct"/>
            <w:vAlign w:val="center"/>
            <w:textDirection w:val="lrTb"/>
            <w:noWrap w:val="false"/>
          </w:tcPr>
          <w:p>
            <w:pPr>
              <w:jc w:val="left"/>
              <w:keepLines w:val="0"/>
              <w:keepNext w:val="0"/>
              <w:pageBreakBefore w:val="0"/>
              <w:spacing w:line="3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办公桌椅拆除</w:t>
            </w:r>
            <w:r/>
          </w:p>
        </w:tc>
        <w:tc>
          <w:tcPr>
            <w:tcW w:w="3751" w:type="pct"/>
            <w:vAlign w:val="center"/>
            <w:textDirection w:val="lrTb"/>
            <w:noWrap w:val="false"/>
          </w:tcPr>
          <w:p>
            <w:pPr>
              <w:jc w:val="left"/>
              <w:keepLines w:val="0"/>
              <w:keepNext w:val="0"/>
              <w:pageBreakBefore w:val="0"/>
              <w:spacing w:line="3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原有办公桌椅拆除，详见本采购需求第3条统一执行。</w:t>
            </w:r>
            <w:r/>
          </w:p>
        </w:tc>
        <w:tc>
          <w:tcPr>
            <w:tcW w:w="257"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33</w:t>
            </w:r>
            <w:r/>
          </w:p>
        </w:tc>
        <w:tc>
          <w:tcPr>
            <w:tcW w:w="283"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间</w:t>
            </w:r>
            <w:r/>
          </w:p>
        </w:tc>
      </w:tr>
      <w:tr>
        <w:trPr/>
        <w:tc>
          <w:tcPr>
            <w:tcW w:w="268" w:type="pct"/>
            <w:vAlign w:val="center"/>
            <w:textDirection w:val="lrTb"/>
            <w:noWrap w:val="false"/>
          </w:tcPr>
          <w:p>
            <w:pPr>
              <w:jc w:val="center"/>
              <w:keepLines w:val="0"/>
              <w:keepNext w:val="0"/>
              <w:pageBreakBefore w:val="0"/>
              <w:spacing w:line="3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w:t>
            </w:r>
            <w:r/>
          </w:p>
        </w:tc>
        <w:tc>
          <w:tcPr>
            <w:tcW w:w="438" w:type="pct"/>
            <w:vAlign w:val="center"/>
            <w:textDirection w:val="lrTb"/>
            <w:noWrap w:val="false"/>
          </w:tcPr>
          <w:p>
            <w:pPr>
              <w:jc w:val="left"/>
              <w:keepLines w:val="0"/>
              <w:keepNext w:val="0"/>
              <w:pageBreakBefore w:val="0"/>
              <w:spacing w:line="340" w:lineRule="exac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电路改造</w:t>
            </w:r>
            <w:r/>
          </w:p>
        </w:tc>
        <w:tc>
          <w:tcPr>
            <w:tcW w:w="3751" w:type="pct"/>
            <w:vAlign w:val="center"/>
            <w:textDirection w:val="lrTb"/>
            <w:noWrap w:val="false"/>
          </w:tcPr>
          <w:p>
            <w:pPr>
              <w:pStyle w:val="1033"/>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含电线、PVC 线管、开关面板等，</w:t>
            </w:r>
            <w:r>
              <w:rPr>
                <w:rFonts w:hint="eastAsia" w:ascii="仿宋" w:hAnsi="仿宋" w:eastAsia="仿宋" w:cs="仿宋"/>
                <w:color w:val="auto"/>
                <w:sz w:val="24"/>
                <w:szCs w:val="24"/>
                <w:highlight w:val="none"/>
                <w:lang w:val="en-US" w:eastAsia="zh-CN" w:bidi="ar-SA"/>
              </w:rPr>
              <w:t xml:space="preserve">详见本采购需求第3条统一执行。</w:t>
            </w:r>
            <w:r/>
          </w:p>
        </w:tc>
        <w:tc>
          <w:tcPr>
            <w:tcW w:w="257"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45</w:t>
            </w:r>
            <w:r/>
          </w:p>
        </w:tc>
        <w:tc>
          <w:tcPr>
            <w:tcW w:w="283"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间</w:t>
            </w:r>
            <w:r/>
          </w:p>
        </w:tc>
      </w:tr>
      <w:tr>
        <w:trPr/>
        <w:tc>
          <w:tcPr>
            <w:tcW w:w="268" w:type="pct"/>
            <w:vAlign w:val="center"/>
            <w:textDirection w:val="lrTb"/>
            <w:noWrap w:val="false"/>
          </w:tcPr>
          <w:p>
            <w:pPr>
              <w:jc w:val="center"/>
              <w:keepLines w:val="0"/>
              <w:keepNext w:val="0"/>
              <w:pageBreakBefore w:val="0"/>
              <w:spacing w:line="3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w:t>
            </w:r>
            <w:r/>
          </w:p>
        </w:tc>
        <w:tc>
          <w:tcPr>
            <w:tcW w:w="438" w:type="pct"/>
            <w:vAlign w:val="center"/>
            <w:textDirection w:val="lrTb"/>
            <w:noWrap w:val="false"/>
          </w:tcPr>
          <w:p>
            <w:pPr>
              <w:jc w:val="left"/>
              <w:keepLines w:val="0"/>
              <w:keepNext w:val="0"/>
              <w:pageBreakBefore w:val="0"/>
              <w:spacing w:line="340" w:lineRule="exac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隔墙</w:t>
            </w:r>
            <w:r/>
          </w:p>
        </w:tc>
        <w:tc>
          <w:tcPr>
            <w:tcW w:w="3751" w:type="pct"/>
            <w:vAlign w:val="center"/>
            <w:textDirection w:val="lrTb"/>
            <w:noWrap w:val="false"/>
          </w:tcPr>
          <w:p>
            <w:pPr>
              <w:jc w:val="left"/>
              <w:keepLines w:val="0"/>
              <w:keepNext w:val="0"/>
              <w:pageBreakBefore w:val="0"/>
              <w:spacing w:line="3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轻钢龙骨骨架，双面双层石膏板，内填保温隔音材料（聚苯或岩棉）规格：墙厚≥10CM。</w:t>
            </w:r>
            <w:r/>
          </w:p>
        </w:tc>
        <w:tc>
          <w:tcPr>
            <w:tcW w:w="257"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180</w:t>
            </w:r>
            <w:r/>
          </w:p>
        </w:tc>
        <w:tc>
          <w:tcPr>
            <w:tcW w:w="283"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平米</w:t>
            </w:r>
            <w:r/>
          </w:p>
        </w:tc>
      </w:tr>
      <w:tr>
        <w:trPr/>
        <w:tc>
          <w:tcPr>
            <w:tcW w:w="268" w:type="pct"/>
            <w:vAlign w:val="center"/>
            <w:textDirection w:val="lrTb"/>
            <w:noWrap w:val="false"/>
          </w:tcPr>
          <w:p>
            <w:pPr>
              <w:jc w:val="center"/>
              <w:keepLines w:val="0"/>
              <w:keepNext w:val="0"/>
              <w:pageBreakBefore w:val="0"/>
              <w:spacing w:line="3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w:t>
            </w:r>
            <w:r/>
          </w:p>
        </w:tc>
        <w:tc>
          <w:tcPr>
            <w:tcW w:w="438" w:type="pct"/>
            <w:vAlign w:val="center"/>
            <w:textDirection w:val="lrTb"/>
            <w:noWrap w:val="false"/>
          </w:tcPr>
          <w:p>
            <w:pPr>
              <w:jc w:val="left"/>
              <w:keepLines w:val="0"/>
              <w:keepNext w:val="0"/>
              <w:pageBreakBefore w:val="0"/>
              <w:spacing w:line="340" w:lineRule="exact"/>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val="en-US" w:eastAsia="zh-CN"/>
              </w:rPr>
              <w:t xml:space="preserve">乳胶漆</w:t>
            </w:r>
            <w:r/>
          </w:p>
        </w:tc>
        <w:tc>
          <w:tcPr>
            <w:tcW w:w="3751" w:type="pct"/>
            <w:vAlign w:val="center"/>
            <w:textDirection w:val="lrTb"/>
            <w:noWrap w:val="false"/>
          </w:tcPr>
          <w:p>
            <w:pPr>
              <w:jc w:val="left"/>
              <w:keepLines w:val="0"/>
              <w:keepNext w:val="0"/>
              <w:pageBreakBefore w:val="0"/>
              <w:spacing w:line="34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批刮腻子两遍，打磨平整后双色面漆滚涂两遍。</w:t>
            </w:r>
            <w:r/>
          </w:p>
        </w:tc>
        <w:tc>
          <w:tcPr>
            <w:tcW w:w="257"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360</w:t>
            </w:r>
            <w:r/>
          </w:p>
        </w:tc>
        <w:tc>
          <w:tcPr>
            <w:tcW w:w="283" w:type="pct"/>
            <w:vAlign w:val="center"/>
            <w:textDirection w:val="lrTb"/>
            <w:noWrap w:val="false"/>
          </w:tcPr>
          <w:p>
            <w:pPr>
              <w:jc w:val="center"/>
              <w:keepLines w:val="0"/>
              <w:keepNext w:val="0"/>
              <w:pageBreakBefore w:val="0"/>
              <w:spacing w:line="340" w:lineRule="exact"/>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平米</w:t>
            </w:r>
            <w:r/>
          </w:p>
        </w:tc>
      </w:tr>
    </w:tbl>
    <w:p>
      <w:pPr>
        <w:ind w:left="560" w:hanging="560"/>
        <w:jc w:val="left"/>
        <w:keepLines w:val="0"/>
        <w:keepNext w:val="0"/>
        <w:pageBreakBefore w:val="0"/>
        <w:spacing w:line="340" w:lineRule="exact"/>
        <w:rPr>
          <w:rFonts w:hint="eastAsia" w:ascii="仿宋" w:hAnsi="仿宋" w:eastAsia="仿宋" w:cs="仿宋"/>
          <w:color w:val="auto"/>
          <w:sz w:val="28"/>
          <w:szCs w:val="28"/>
          <w:highlight w:val="none"/>
          <w:u w:val="none"/>
          <w:lang w:val="en-US" w:eastAsia="zh-CN"/>
        </w:rPr>
      </w:pPr>
      <w:r>
        <w:rPr>
          <w:rFonts w:hint="eastAsia" w:ascii="仿宋" w:hAnsi="仿宋" w:eastAsia="仿宋" w:cs="仿宋"/>
          <w:color w:val="auto"/>
          <w:sz w:val="28"/>
          <w:szCs w:val="28"/>
          <w:highlight w:val="none"/>
          <w:u w:val="none"/>
          <w:lang w:val="en-US" w:eastAsia="zh-CN"/>
        </w:rPr>
      </w:r>
      <w:r/>
    </w:p>
    <w:p>
      <w:pPr>
        <w:ind w:left="560" w:hanging="560"/>
        <w:jc w:val="left"/>
        <w:keepLines w:val="0"/>
        <w:keepNext w:val="0"/>
        <w:pageBreakBefore w:val="0"/>
        <w:spacing w:line="340" w:lineRule="exact"/>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u w:val="none"/>
          <w:lang w:val="en-US" w:eastAsia="zh-CN"/>
        </w:rPr>
        <w:t xml:space="preserve">说</w:t>
      </w:r>
      <w:r>
        <w:rPr>
          <w:rFonts w:hint="eastAsia" w:ascii="仿宋" w:hAnsi="仿宋" w:eastAsia="仿宋" w:cs="仿宋"/>
          <w:color w:val="auto"/>
          <w:sz w:val="28"/>
          <w:szCs w:val="28"/>
          <w:highlight w:val="none"/>
          <w:u w:val="none"/>
        </w:rPr>
        <w:t xml:space="preserve">明：</w:t>
      </w:r>
      <w:r/>
    </w:p>
    <w:p>
      <w:pPr>
        <w:ind w:firstLine="567"/>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1、履约到货阶段：中标人送货时须提供CMA或CNAS检测报告原件供采购人核验，报告所载技术指标、执行标准须与投标文件内检测报告、采购需求完全吻合。</w:t>
      </w:r>
      <w:r/>
    </w:p>
    <w:p>
      <w:pPr>
        <w:ind w:firstLine="567"/>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供货验收期间，采购人有权对到货成品抽样封存送检，抽检合格后方可完成验收、支付货款；若抽检指标不符合招标文件及合同约定标准，采购人有权暂缓付款、不予验收，中标人须免费返工更换全部不合格货品，并承担全部检测、样品、送检运输相关费用；经两次整改仍不合格的，采购人可拒收全部货物、解除合同并追究中标人全部违约责任。</w:t>
      </w:r>
      <w:r/>
    </w:p>
    <w:p>
      <w:pPr>
        <w:ind w:firstLine="567"/>
        <w:keepLines w:val="0"/>
        <w:keepNext w:val="0"/>
        <w:pageBreakBefore w:val="0"/>
        <w:spacing w:line="4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567"/>
        <w:keepLines w:val="0"/>
        <w:keepNext w:val="0"/>
        <w:pageBreakBefore w:val="0"/>
        <w:spacing w:line="4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567"/>
        <w:keepLines w:val="0"/>
        <w:keepNext w:val="0"/>
        <w:pageBreakBefore w:val="0"/>
        <w:spacing w:line="42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ind w:firstLine="567"/>
        <w:keepLines w:val="0"/>
        <w:keepNext w:val="0"/>
        <w:pageBreakBefore w:val="0"/>
        <w:spacing w:line="420" w:lineRule="exact"/>
        <w:widowControl w:val="off"/>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lang w:val="en-US" w:eastAsia="zh-CN" w:bidi="ar-SA"/>
        </w:rPr>
        <w:t xml:space="preserve">采购包2：教室门更换</w:t>
      </w:r>
      <w:r>
        <w:rPr>
          <w:rFonts w:hint="eastAsia" w:ascii="仿宋" w:hAnsi="仿宋" w:eastAsia="仿宋" w:cs="仿宋"/>
          <w:color w:val="auto"/>
          <w:sz w:val="28"/>
          <w:szCs w:val="28"/>
          <w:highlight w:val="none"/>
          <w:lang w:val="zh-CN" w:eastAsia="zh-CN" w:bidi="ar-SA"/>
        </w:rPr>
        <w:t xml:space="preserve">。</w:t>
      </w:r>
      <w:r/>
    </w:p>
    <w:p>
      <w:pPr>
        <w:numPr>
          <w:ilvl w:val="0"/>
          <w:numId w:val="0"/>
        </w:numPr>
        <w:ind w:firstLine="560"/>
        <w:keepLines w:val="0"/>
        <w:keepNext w:val="0"/>
        <w:pageBreakBefore w:val="0"/>
        <w:spacing w:line="420" w:lineRule="exact"/>
        <w:widowControl w:val="off"/>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lang w:val="en-US" w:eastAsia="zh-CN" w:bidi="ar-SA"/>
        </w:rPr>
        <w:t xml:space="preserve">1.</w:t>
      </w:r>
      <w:r>
        <w:rPr>
          <w:rFonts w:hint="eastAsia" w:ascii="仿宋" w:hAnsi="仿宋" w:eastAsia="仿宋" w:cs="仿宋"/>
          <w:color w:val="auto"/>
          <w:sz w:val="28"/>
          <w:szCs w:val="28"/>
          <w:highlight w:val="none"/>
          <w:lang w:val="zh-CN" w:eastAsia="zh-CN" w:bidi="ar-SA"/>
        </w:rPr>
        <w:t xml:space="preserve">采购范围：教室门制作、运输、安装、旧门拆除、垃圾清运、门洞修复等。</w:t>
      </w:r>
      <w:r/>
    </w:p>
    <w:p>
      <w:pPr>
        <w:numPr>
          <w:ilvl w:val="0"/>
          <w:numId w:val="0"/>
        </w:numPr>
        <w:ind w:firstLine="560"/>
        <w:keepLines w:val="0"/>
        <w:keepNext w:val="0"/>
        <w:pageBreakBefore w:val="0"/>
        <w:spacing w:line="420" w:lineRule="exact"/>
        <w:widowControl w:val="off"/>
        <w:rPr>
          <w:rFonts w:hint="eastAsia" w:ascii="仿宋" w:hAnsi="仿宋" w:eastAsia="仿宋" w:cs="仿宋"/>
          <w:color w:val="auto"/>
          <w:sz w:val="28"/>
          <w:szCs w:val="28"/>
          <w:highlight w:val="none"/>
          <w:lang w:val="zh-CN" w:eastAsia="zh-CN" w:bidi="ar-SA"/>
        </w:rPr>
      </w:pPr>
      <w:r>
        <w:rPr>
          <w:rFonts w:hint="eastAsia" w:ascii="仿宋" w:hAnsi="仿宋" w:eastAsia="仿宋" w:cs="仿宋"/>
          <w:color w:val="auto"/>
          <w:sz w:val="28"/>
          <w:szCs w:val="28"/>
          <w:highlight w:val="none"/>
          <w:lang w:val="en-US" w:eastAsia="zh-CN" w:bidi="ar-SA"/>
        </w:rPr>
        <w:t xml:space="preserve">2.</w:t>
      </w:r>
      <w:r>
        <w:rPr>
          <w:rFonts w:hint="eastAsia" w:ascii="仿宋" w:hAnsi="仿宋" w:eastAsia="仿宋" w:cs="仿宋"/>
          <w:color w:val="auto"/>
          <w:sz w:val="28"/>
          <w:szCs w:val="28"/>
          <w:highlight w:val="none"/>
          <w:lang w:val="zh-CN" w:eastAsia="zh-CN" w:bidi="ar-SA"/>
        </w:rPr>
        <w:t xml:space="preserve">技术参数：</w:t>
      </w:r>
      <w:r>
        <w:rPr>
          <w:rFonts w:hint="eastAsia" w:ascii="仿宋" w:hAnsi="仿宋" w:eastAsia="仿宋" w:cs="仿宋"/>
          <w:color w:val="auto"/>
          <w:sz w:val="28"/>
          <w:szCs w:val="28"/>
          <w:highlight w:val="none"/>
          <w:lang w:val="en-US" w:eastAsia="zh-CN" w:bidi="ar-SA"/>
        </w:rPr>
        <w:t xml:space="preserve"> </w:t>
      </w:r>
      <w:r/>
    </w:p>
    <w:tbl>
      <w:tblPr>
        <w:tblStyle w:val="763"/>
        <w:tblW w:w="15117" w:type="dxa"/>
        <w:tblInd w:w="-3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3044"/>
        <w:gridCol w:w="6816"/>
        <w:gridCol w:w="939"/>
        <w:gridCol w:w="2890"/>
      </w:tblGrid>
      <w:tr>
        <w:trPr/>
        <w:tc>
          <w:tcPr>
            <w:tcW w:w="1428"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名称</w:t>
            </w:r>
            <w:r/>
          </w:p>
        </w:tc>
        <w:tc>
          <w:tcPr>
            <w:tcW w:w="3044"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尺寸：宽</w:t>
            </w:r>
            <w:r>
              <w:rPr>
                <w:rFonts w:hint="eastAsia" w:ascii="仿宋" w:hAnsi="仿宋" w:eastAsia="仿宋" w:cs="仿宋"/>
                <w:color w:val="auto"/>
                <w:sz w:val="24"/>
                <w:szCs w:val="24"/>
                <w:highlight w:val="none"/>
              </w:rPr>
              <w:t xml:space="preserve">×高</w:t>
            </w:r>
            <w:r>
              <w:rPr>
                <w:rFonts w:hint="eastAsia" w:ascii="仿宋" w:hAnsi="仿宋" w:eastAsia="仿宋" w:cs="仿宋"/>
                <w:color w:val="auto"/>
                <w:sz w:val="24"/>
                <w:szCs w:val="24"/>
                <w:highlight w:val="none"/>
                <w:lang w:val="en-US" w:eastAsia="zh-CN"/>
              </w:rPr>
              <w:t xml:space="preserve"> （单位mm）</w:t>
            </w:r>
            <w:r/>
          </w:p>
        </w:tc>
        <w:tc>
          <w:tcPr>
            <w:tcW w:w="6816"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技术参数</w:t>
            </w:r>
            <w:r/>
          </w:p>
        </w:tc>
        <w:tc>
          <w:tcPr>
            <w:tcW w:w="939"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数量</w:t>
            </w:r>
            <w:r/>
          </w:p>
        </w:tc>
        <w:tc>
          <w:tcPr>
            <w:tcW w:w="2890"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备注 </w:t>
            </w:r>
            <w:r/>
          </w:p>
        </w:tc>
      </w:tr>
      <w:tr>
        <w:trPr>
          <w:trHeight w:val="964"/>
        </w:trPr>
        <w:tc>
          <w:tcPr>
            <w:tcW w:w="1428"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加高</w:t>
            </w:r>
            <w:r>
              <w:rPr>
                <w:rFonts w:hint="eastAsia" w:ascii="仿宋" w:hAnsi="仿宋" w:eastAsia="仿宋" w:cs="仿宋"/>
                <w:color w:val="auto"/>
                <w:sz w:val="24"/>
                <w:szCs w:val="24"/>
                <w:highlight w:val="none"/>
              </w:rPr>
              <w:t xml:space="preserve">单开门</w:t>
            </w:r>
            <w:r/>
          </w:p>
        </w:tc>
        <w:tc>
          <w:tcPr>
            <w:tcW w:w="3044"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成品尺寸：950×2690</w:t>
            </w:r>
            <w:r/>
          </w:p>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（按现场实际洞口微调）</w:t>
            </w:r>
            <w:r/>
          </w:p>
        </w:tc>
        <w:tc>
          <w:tcPr>
            <w:tcW w:w="6816" w:type="dxa"/>
            <w:vAlign w:val="center"/>
            <w:vMerge w:val="restart"/>
            <w:textDirection w:val="lrTb"/>
            <w:noWrap w:val="false"/>
          </w:tcPr>
          <w:p>
            <w:pPr>
              <w:jc w:val="left"/>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1.所有门型通用：观察窗基准净高统一580mm（±5mm），宽度与对应门扇同宽；对开门、子母门按门扇等分均分宽度（按现场实际门洞微调）；透光面板采用高透明、防刮、阻燃级 PC 耐力板（厚度≥5mm），或性能、安全等级不低于该标准的安全钢化玻璃，具备高强度抗冲击性能，完全符合校园安全管理相关规范。</w:t>
            </w:r>
            <w:r/>
          </w:p>
          <w:p>
            <w:pPr>
              <w:jc w:val="left"/>
              <w:keepLines w:val="0"/>
              <w:keepNext w:val="0"/>
              <w:pageBreakBefore w:val="0"/>
              <w:spacing w:line="37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门扇面板：优质镀锌钢板，厚度≥1.0mm</w:t>
            </w:r>
            <w:r>
              <w:rPr>
                <w:rFonts w:hint="eastAsia" w:ascii="仿宋" w:hAnsi="仿宋" w:eastAsia="仿宋" w:cs="仿宋"/>
                <w:color w:val="auto"/>
                <w:sz w:val="24"/>
                <w:szCs w:val="24"/>
                <w:highlight w:val="none"/>
                <w:lang w:eastAsia="zh-CN"/>
              </w:rPr>
              <w:t xml:space="preserve">；</w:t>
            </w:r>
            <w:r/>
          </w:p>
          <w:p>
            <w:pPr>
              <w:jc w:val="left"/>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门框板材：优质镀锌钢板，厚度≥1.8mm</w:t>
            </w:r>
            <w:r>
              <w:rPr>
                <w:rFonts w:hint="eastAsia" w:ascii="仿宋" w:hAnsi="仿宋" w:eastAsia="仿宋" w:cs="仿宋"/>
                <w:color w:val="auto"/>
                <w:sz w:val="24"/>
                <w:szCs w:val="24"/>
                <w:highlight w:val="none"/>
                <w:lang w:eastAsia="zh-CN"/>
              </w:rPr>
              <w:t xml:space="preserve">；</w:t>
            </w:r>
            <w:r/>
          </w:p>
          <w:p>
            <w:pPr>
              <w:jc w:val="left"/>
              <w:keepLines w:val="0"/>
              <w:keepNext w:val="0"/>
              <w:pageBreakBefore w:val="0"/>
              <w:spacing w:line="37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bCs/>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门扇内部填充：</w:t>
            </w:r>
            <w:r>
              <w:rPr>
                <w:rFonts w:hint="eastAsia" w:ascii="仿宋" w:hAnsi="仿宋" w:eastAsia="仿宋" w:cs="仿宋"/>
                <w:color w:val="auto"/>
                <w:sz w:val="24"/>
                <w:szCs w:val="24"/>
                <w:highlight w:val="none"/>
                <w:lang w:val="en-US" w:eastAsia="zh-CN"/>
              </w:rPr>
              <w:t xml:space="preserve">门扇内部填充环保隔音阻燃填充材料，填充饱满，整体结构稳固、抗变形、不易下沉。</w:t>
            </w:r>
            <w:r/>
          </w:p>
          <w:p>
            <w:pPr>
              <w:jc w:val="left"/>
              <w:keepLines w:val="0"/>
              <w:keepNext w:val="0"/>
              <w:pageBreakBefore w:val="0"/>
              <w:spacing w:line="37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 表面工艺：表面光滑、色泽均匀、耐摩擦、不掉色、无尖锐棱角。</w:t>
            </w:r>
            <w:r/>
          </w:p>
          <w:p>
            <w:pPr>
              <w:jc w:val="left"/>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 全套门用五金配件（含合页、锁体、拉手、锁芯等），须为国内工程成熟主流品牌，性能达到中高档公建工程标准；全部五金件须符合国家锁具、门窗五金强制安全规范，适配教室高频高负荷使用；本项目五金规格、档次、质保全程统一，不得降档混用。</w:t>
            </w:r>
            <w:r/>
          </w:p>
          <w:p>
            <w:pPr>
              <w:jc w:val="left"/>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 整体性能：门扇整体开合顺畅、静音降噪、长期使用不下垂、不变形、不掉扇，可满足学校每日高频、高强度开关使用环境，使用寿命适配校园长期使用需求。</w:t>
            </w:r>
            <w:r/>
          </w:p>
        </w:tc>
        <w:tc>
          <w:tcPr>
            <w:tcW w:w="939"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150樘</w:t>
            </w:r>
            <w:r/>
          </w:p>
        </w:tc>
        <w:tc>
          <w:tcPr>
            <w:tcW w:w="2890"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923"/>
        </w:trPr>
        <w:tc>
          <w:tcPr>
            <w:tcW w:w="1428"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对开门</w:t>
            </w:r>
            <w:r/>
          </w:p>
        </w:tc>
        <w:tc>
          <w:tcPr>
            <w:tcW w:w="3044"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成品尺寸：</w:t>
            </w:r>
            <w:r>
              <w:rPr>
                <w:rFonts w:hint="eastAsia" w:ascii="仿宋" w:hAnsi="仿宋" w:eastAsia="仿宋" w:cs="仿宋"/>
                <w:color w:val="auto"/>
                <w:sz w:val="24"/>
                <w:szCs w:val="24"/>
                <w:highlight w:val="none"/>
                <w:lang w:val="en-US" w:eastAsia="zh-CN"/>
              </w:rPr>
              <w:t xml:space="preserve">1500×2500</w:t>
            </w:r>
            <w:r>
              <w:rPr>
                <w:rFonts w:hint="eastAsia" w:ascii="仿宋" w:hAnsi="仿宋" w:eastAsia="仿宋" w:cs="仿宋"/>
                <w:color w:val="auto"/>
                <w:sz w:val="24"/>
                <w:szCs w:val="24"/>
                <w:highlight w:val="none"/>
              </w:rPr>
              <w:t xml:space="preserve">（按现场实际洞口微调）</w:t>
            </w:r>
            <w:r/>
          </w:p>
        </w:tc>
        <w:tc>
          <w:tcPr>
            <w:tcW w:w="6816" w:type="dxa"/>
            <w:vAlign w:val="center"/>
            <w:vMerge w:val="continue"/>
            <w:textDirection w:val="lrTb"/>
            <w:noWrap w:val="false"/>
          </w:tcPr>
          <w:p>
            <w:pPr>
              <w:jc w:val="left"/>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939"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3樘</w:t>
            </w:r>
            <w:r/>
          </w:p>
        </w:tc>
        <w:tc>
          <w:tcPr>
            <w:tcW w:w="2890"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963"/>
        </w:trPr>
        <w:tc>
          <w:tcPr>
            <w:shd w:val="clear" w:color="auto" w:fill="auto"/>
            <w:tcW w:w="1428"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对开门</w:t>
            </w:r>
            <w:r/>
          </w:p>
        </w:tc>
        <w:tc>
          <w:tcPr>
            <w:shd w:val="clear" w:color="auto" w:fill="auto"/>
            <w:tcW w:w="3044"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成品尺寸：</w:t>
            </w:r>
            <w:r>
              <w:rPr>
                <w:rFonts w:hint="eastAsia" w:ascii="仿宋" w:hAnsi="仿宋" w:eastAsia="仿宋" w:cs="仿宋"/>
                <w:color w:val="auto"/>
                <w:sz w:val="24"/>
                <w:szCs w:val="24"/>
                <w:highlight w:val="none"/>
                <w:lang w:val="en-US" w:eastAsia="zh-CN"/>
              </w:rPr>
              <w:t xml:space="preserve">1800×2300  </w:t>
            </w:r>
            <w:r>
              <w:rPr>
                <w:rFonts w:hint="eastAsia" w:ascii="仿宋" w:hAnsi="仿宋" w:eastAsia="仿宋" w:cs="仿宋"/>
                <w:color w:val="auto"/>
                <w:sz w:val="24"/>
                <w:szCs w:val="24"/>
                <w:highlight w:val="none"/>
              </w:rPr>
              <w:t xml:space="preserve">（按现场实际洞口微调）</w:t>
            </w:r>
            <w:r/>
          </w:p>
        </w:tc>
        <w:tc>
          <w:tcPr>
            <w:tcW w:w="6816" w:type="dxa"/>
            <w:vAlign w:val="center"/>
            <w:vMerge w:val="continue"/>
            <w:textDirection w:val="lrTb"/>
            <w:noWrap w:val="false"/>
          </w:tcPr>
          <w:p>
            <w:pPr>
              <w:jc w:val="left"/>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939"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4樘</w:t>
            </w:r>
            <w:r/>
          </w:p>
        </w:tc>
        <w:tc>
          <w:tcPr>
            <w:tcW w:w="2890"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935"/>
        </w:trPr>
        <w:tc>
          <w:tcPr>
            <w:shd w:val="clear" w:color="auto" w:fill="auto"/>
            <w:tcW w:w="1428"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对开门</w:t>
            </w:r>
            <w:r/>
          </w:p>
        </w:tc>
        <w:tc>
          <w:tcPr>
            <w:shd w:val="clear" w:color="auto" w:fill="auto"/>
            <w:tcW w:w="3044"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成品尺寸：</w:t>
            </w:r>
            <w:r>
              <w:rPr>
                <w:rFonts w:hint="eastAsia" w:ascii="仿宋" w:hAnsi="仿宋" w:eastAsia="仿宋" w:cs="仿宋"/>
                <w:color w:val="auto"/>
                <w:sz w:val="24"/>
                <w:szCs w:val="24"/>
                <w:highlight w:val="none"/>
                <w:lang w:val="en-US" w:eastAsia="zh-CN"/>
              </w:rPr>
              <w:t xml:space="preserve">1500×2300 </w:t>
            </w:r>
            <w:r>
              <w:rPr>
                <w:rFonts w:hint="eastAsia" w:ascii="仿宋" w:hAnsi="仿宋" w:eastAsia="仿宋" w:cs="仿宋"/>
                <w:color w:val="auto"/>
                <w:sz w:val="24"/>
                <w:szCs w:val="24"/>
                <w:highlight w:val="none"/>
              </w:rPr>
              <w:t xml:space="preserve">（按现场实际洞口微调）</w:t>
            </w:r>
            <w:r/>
          </w:p>
        </w:tc>
        <w:tc>
          <w:tcPr>
            <w:tcW w:w="6816" w:type="dxa"/>
            <w:vAlign w:val="center"/>
            <w:vMerge w:val="continue"/>
            <w:textDirection w:val="lrTb"/>
            <w:noWrap w:val="false"/>
          </w:tcPr>
          <w:p>
            <w:pPr>
              <w:jc w:val="left"/>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939"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2樘</w:t>
            </w:r>
            <w:r/>
          </w:p>
        </w:tc>
        <w:tc>
          <w:tcPr>
            <w:tcW w:w="2890"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906"/>
        </w:trPr>
        <w:tc>
          <w:tcPr>
            <w:tcW w:w="1428"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单开门</w:t>
            </w:r>
            <w:r/>
          </w:p>
        </w:tc>
        <w:tc>
          <w:tcPr>
            <w:tcW w:w="3044"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成品尺寸：</w:t>
            </w:r>
            <w:r>
              <w:rPr>
                <w:rFonts w:hint="eastAsia" w:ascii="仿宋" w:hAnsi="仿宋" w:eastAsia="仿宋" w:cs="仿宋"/>
                <w:color w:val="auto"/>
                <w:sz w:val="24"/>
                <w:szCs w:val="24"/>
                <w:highlight w:val="none"/>
                <w:lang w:val="en-US" w:eastAsia="zh-CN"/>
              </w:rPr>
              <w:t xml:space="preserve">1000×2500 </w:t>
            </w:r>
            <w:r>
              <w:rPr>
                <w:rFonts w:hint="eastAsia" w:ascii="仿宋" w:hAnsi="仿宋" w:eastAsia="仿宋" w:cs="仿宋"/>
                <w:color w:val="auto"/>
                <w:sz w:val="24"/>
                <w:szCs w:val="24"/>
                <w:highlight w:val="none"/>
              </w:rPr>
              <w:t xml:space="preserve">（按现场实际洞口微调）</w:t>
            </w:r>
            <w:r/>
          </w:p>
        </w:tc>
        <w:tc>
          <w:tcPr>
            <w:tcW w:w="6816" w:type="dxa"/>
            <w:vAlign w:val="center"/>
            <w:vMerge w:val="continue"/>
            <w:textDirection w:val="lrTb"/>
            <w:noWrap w:val="false"/>
          </w:tcPr>
          <w:p>
            <w:pPr>
              <w:jc w:val="left"/>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939"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3樘</w:t>
            </w:r>
            <w:r/>
          </w:p>
        </w:tc>
        <w:tc>
          <w:tcPr>
            <w:tcW w:w="2890"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1006"/>
        </w:trPr>
        <w:tc>
          <w:tcPr>
            <w:shd w:val="clear" w:color="auto" w:fill="auto"/>
            <w:tcW w:w="1428"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 xml:space="preserve">单开门</w:t>
            </w:r>
            <w:r/>
          </w:p>
        </w:tc>
        <w:tc>
          <w:tcPr>
            <w:shd w:val="clear" w:color="auto" w:fill="auto"/>
            <w:tcW w:w="3044"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 xml:space="preserve">成品尺寸：</w:t>
            </w:r>
            <w:r>
              <w:rPr>
                <w:rFonts w:hint="eastAsia" w:ascii="仿宋" w:hAnsi="仿宋" w:eastAsia="仿宋" w:cs="仿宋"/>
                <w:color w:val="auto"/>
                <w:sz w:val="24"/>
                <w:szCs w:val="24"/>
                <w:highlight w:val="none"/>
                <w:lang w:val="en-US" w:eastAsia="zh-CN"/>
              </w:rPr>
              <w:t xml:space="preserve">1100×2200 </w:t>
            </w:r>
            <w:r>
              <w:rPr>
                <w:rFonts w:hint="eastAsia" w:ascii="仿宋" w:hAnsi="仿宋" w:eastAsia="仿宋" w:cs="仿宋"/>
                <w:color w:val="auto"/>
                <w:sz w:val="24"/>
                <w:szCs w:val="24"/>
                <w:highlight w:val="none"/>
              </w:rPr>
              <w:t xml:space="preserve">（按现场实际洞口微调）</w:t>
            </w:r>
            <w:r/>
          </w:p>
        </w:tc>
        <w:tc>
          <w:tcPr>
            <w:tcW w:w="6816" w:type="dxa"/>
            <w:vAlign w:val="center"/>
            <w:vMerge w:val="continue"/>
            <w:textDirection w:val="lrTb"/>
            <w:noWrap w:val="false"/>
          </w:tcPr>
          <w:p>
            <w:pPr>
              <w:jc w:val="left"/>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939"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2樘</w:t>
            </w:r>
            <w:r/>
          </w:p>
        </w:tc>
        <w:tc>
          <w:tcPr>
            <w:tcW w:w="2890"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r>
      <w:tr>
        <w:trPr>
          <w:trHeight w:val="470"/>
        </w:trPr>
        <w:tc>
          <w:tcPr>
            <w:tcW w:w="1428"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子母门</w:t>
            </w:r>
            <w:r/>
          </w:p>
        </w:tc>
        <w:tc>
          <w:tcPr>
            <w:tcW w:w="3044"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成品尺寸：</w:t>
            </w:r>
            <w:r>
              <w:rPr>
                <w:rFonts w:hint="eastAsia" w:ascii="仿宋" w:hAnsi="仿宋" w:eastAsia="仿宋" w:cs="仿宋"/>
                <w:color w:val="auto"/>
                <w:sz w:val="24"/>
                <w:szCs w:val="24"/>
                <w:highlight w:val="none"/>
                <w:lang w:val="en-US" w:eastAsia="zh-CN"/>
              </w:rPr>
              <w:t xml:space="preserve">3000×2300 </w:t>
            </w:r>
            <w:r>
              <w:rPr>
                <w:rFonts w:hint="eastAsia" w:ascii="仿宋" w:hAnsi="仿宋" w:eastAsia="仿宋" w:cs="仿宋"/>
                <w:color w:val="auto"/>
                <w:sz w:val="24"/>
                <w:szCs w:val="24"/>
                <w:highlight w:val="none"/>
              </w:rPr>
              <w:t xml:space="preserve">（按现场实际洞口微调）</w:t>
            </w:r>
            <w:r>
              <w:rPr>
                <w:rFonts w:hint="eastAsia" w:ascii="仿宋" w:hAnsi="仿宋" w:eastAsia="仿宋" w:cs="仿宋"/>
                <w:color w:val="auto"/>
                <w:sz w:val="24"/>
                <w:szCs w:val="24"/>
                <w:highlight w:val="none"/>
                <w:lang w:val="en-US" w:eastAsia="zh-CN"/>
              </w:rPr>
              <w:t xml:space="preserve"> </w:t>
            </w:r>
            <w:r/>
          </w:p>
        </w:tc>
        <w:tc>
          <w:tcPr>
            <w:tcW w:w="6816" w:type="dxa"/>
            <w:vAlign w:val="center"/>
            <w:vMerge w:val="continue"/>
            <w:textDirection w:val="lrTb"/>
            <w:noWrap w:val="false"/>
          </w:tcPr>
          <w:p>
            <w:pPr>
              <w:jc w:val="left"/>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939"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2樘</w:t>
            </w:r>
            <w:r/>
          </w:p>
        </w:tc>
        <w:tc>
          <w:tcPr>
            <w:tcW w:w="2890" w:type="dxa"/>
            <w:vAlign w:val="center"/>
            <w:textDirection w:val="lrTb"/>
            <w:noWrap w:val="false"/>
          </w:tcPr>
          <w:p>
            <w:pPr>
              <w:jc w:val="both"/>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子母门观察窗主扇、副窗高度统一580mm（±5mm），宽度随门扇等分适配，材质、工艺与其他门型完全一致。</w:t>
            </w:r>
            <w:r/>
          </w:p>
        </w:tc>
      </w:tr>
      <w:tr>
        <w:trPr>
          <w:trHeight w:val="992"/>
        </w:trPr>
        <w:tc>
          <w:tcPr>
            <w:tcW w:w="1428"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钢化玻璃</w:t>
            </w:r>
            <w:r/>
          </w:p>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对开门</w:t>
            </w:r>
            <w:r/>
          </w:p>
          <w:p>
            <w:pPr>
              <w:jc w:val="center"/>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W w:w="3044"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成品尺寸：</w:t>
            </w:r>
            <w:r>
              <w:rPr>
                <w:rFonts w:hint="eastAsia" w:ascii="仿宋" w:hAnsi="仿宋" w:eastAsia="仿宋" w:cs="仿宋"/>
                <w:color w:val="auto"/>
                <w:sz w:val="24"/>
                <w:szCs w:val="24"/>
                <w:highlight w:val="none"/>
                <w:lang w:val="en-US" w:eastAsia="zh-CN"/>
              </w:rPr>
              <w:t xml:space="preserve">1800×2300  </w:t>
            </w:r>
            <w:r>
              <w:rPr>
                <w:rFonts w:hint="eastAsia" w:ascii="仿宋" w:hAnsi="仿宋" w:eastAsia="仿宋" w:cs="仿宋"/>
                <w:color w:val="auto"/>
                <w:sz w:val="24"/>
                <w:szCs w:val="24"/>
                <w:highlight w:val="none"/>
              </w:rPr>
              <w:t xml:space="preserve">（按现场实际洞口微调</w:t>
            </w:r>
            <w:r>
              <w:rPr>
                <w:rFonts w:hint="eastAsia" w:ascii="仿宋" w:hAnsi="仿宋" w:eastAsia="仿宋" w:cs="仿宋"/>
                <w:color w:val="auto"/>
                <w:sz w:val="24"/>
                <w:szCs w:val="24"/>
                <w:highlight w:val="none"/>
                <w:lang w:val="en-US" w:eastAsia="zh-CN"/>
              </w:rPr>
              <w:t xml:space="preserve">)</w:t>
            </w:r>
            <w:r/>
          </w:p>
        </w:tc>
        <w:tc>
          <w:tcPr>
            <w:tcW w:w="6816" w:type="dxa"/>
            <w:vAlign w:val="center"/>
            <w:textDirection w:val="lrTb"/>
            <w:noWrap w:val="false"/>
          </w:tcPr>
          <w:p>
            <w:pPr>
              <w:numPr>
                <w:ilvl w:val="0"/>
                <w:numId w:val="0"/>
              </w:numPr>
              <w:jc w:val="left"/>
              <w:keepLines w:val="0"/>
              <w:keepNext w:val="0"/>
              <w:pageBreakBefore w:val="0"/>
              <w:spacing w:line="37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门扇整体采用单层厚度≥6mm钢化安全玻璃，符合国家标准；玻璃表面无划痕、无气泡、无爆边，破碎后呈钝角细小颗粒，具备高抗冲击、防脱落安全性能，完全满足校园公共场所安全使用要求</w:t>
            </w:r>
            <w:r>
              <w:rPr>
                <w:rFonts w:hint="eastAsia" w:ascii="仿宋" w:hAnsi="仿宋" w:eastAsia="仿宋" w:cs="仿宋"/>
                <w:bCs/>
                <w:color w:val="auto"/>
                <w:sz w:val="24"/>
                <w:szCs w:val="24"/>
                <w:highlight w:val="none"/>
                <w:lang w:eastAsia="zh-CN"/>
              </w:rPr>
              <w:t xml:space="preserve">；</w:t>
            </w:r>
            <w:r/>
          </w:p>
          <w:p>
            <w:pPr>
              <w:numPr>
                <w:ilvl w:val="0"/>
                <w:numId w:val="0"/>
              </w:numPr>
              <w:jc w:val="both"/>
              <w:keepLines w:val="0"/>
              <w:keepNext w:val="0"/>
              <w:pageBreakBefore w:val="0"/>
              <w:spacing w:line="37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门框板材：采用优质镀锌钢板，厚度≥1.8mm；</w:t>
            </w:r>
            <w:r/>
          </w:p>
          <w:p>
            <w:pPr>
              <w:numPr>
                <w:ilvl w:val="0"/>
                <w:numId w:val="0"/>
              </w:numPr>
              <w:jc w:val="left"/>
              <w:keepLines w:val="0"/>
              <w:keepNext w:val="0"/>
              <w:pageBreakBefore w:val="0"/>
              <w:spacing w:line="370" w:lineRule="exact"/>
              <w:widowControl w:val="off"/>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表面工艺：表面光滑、色泽均匀、耐磨防腐、不掉色</w:t>
            </w:r>
            <w:r>
              <w:rPr>
                <w:rFonts w:hint="eastAsia" w:ascii="仿宋" w:hAnsi="仿宋" w:eastAsia="仿宋" w:cs="仿宋"/>
                <w:bCs/>
                <w:color w:val="auto"/>
                <w:sz w:val="24"/>
                <w:szCs w:val="24"/>
                <w:highlight w:val="none"/>
                <w:lang w:eastAsia="zh-CN"/>
              </w:rPr>
              <w:t xml:space="preserve">；</w:t>
            </w:r>
            <w:r/>
          </w:p>
          <w:p>
            <w:pPr>
              <w:jc w:val="left"/>
              <w:keepLines w:val="0"/>
              <w:keepNext w:val="0"/>
              <w:pageBreakBefore w:val="0"/>
              <w:spacing w:line="37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全套门用五金配件（含合页、锁体、拉手、锁芯等），须为国内工程成熟主流品牌，性能达到中高档公建工程标准；全部五金件须符合国家锁具、门窗五金强制安全规范，适配教室高频高负荷使用；本项目五金规格、档次、质保全程统一，不得降档混用。</w:t>
            </w:r>
            <w:r/>
          </w:p>
          <w:p>
            <w:pPr>
              <w:numPr>
                <w:ilvl w:val="0"/>
                <w:numId w:val="0"/>
              </w:numPr>
              <w:jc w:val="left"/>
              <w:keepLines w:val="0"/>
              <w:keepNext w:val="0"/>
              <w:pageBreakBefore w:val="0"/>
              <w:spacing w:line="37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5.整体性能：门扇开合顺畅、静音降噪、稳固耐用，适配校园每日高频、高强度开关使用场景。</w:t>
            </w:r>
            <w:r/>
          </w:p>
        </w:tc>
        <w:tc>
          <w:tcPr>
            <w:tcW w:w="939" w:type="dxa"/>
            <w:vAlign w:val="center"/>
            <w:textDirection w:val="lrTb"/>
            <w:noWrap w:val="false"/>
          </w:tcPr>
          <w:p>
            <w:pPr>
              <w:jc w:val="left"/>
              <w:keepLines w:val="0"/>
              <w:keepNext w:val="0"/>
              <w:pageBreakBefore w:val="0"/>
              <w:spacing w:line="37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 xml:space="preserve">2樘</w:t>
            </w:r>
            <w:r/>
          </w:p>
        </w:tc>
        <w:tc>
          <w:tcPr>
            <w:tcW w:w="2890" w:type="dxa"/>
            <w:vAlign w:val="center"/>
            <w:textDirection w:val="lrTb"/>
            <w:noWrap w:val="false"/>
          </w:tcPr>
          <w:p>
            <w:pPr>
              <w:jc w:val="left"/>
              <w:keepLines w:val="0"/>
              <w:keepNext w:val="0"/>
              <w:pageBreakBefore w:val="0"/>
              <w:spacing w:line="37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tc>
      </w:tr>
      <w:tr>
        <w:trPr>
          <w:trHeight w:val="578"/>
        </w:trPr>
        <w:tc>
          <w:tcPr>
            <w:tcW w:w="1428" w:type="dxa"/>
            <w:vAlign w:val="center"/>
            <w:textDirection w:val="lrTb"/>
            <w:noWrap w:val="false"/>
          </w:tcPr>
          <w:p>
            <w:pPr>
              <w:jc w:val="center"/>
              <w:keepLines w:val="0"/>
              <w:keepNext w:val="0"/>
              <w:pageBreakBefore w:val="0"/>
              <w:spacing w:line="37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合计</w:t>
            </w:r>
            <w:r/>
          </w:p>
        </w:tc>
        <w:tc>
          <w:tcPr>
            <w:tcW w:w="3044" w:type="dxa"/>
            <w:vAlign w:val="center"/>
            <w:textDirection w:val="lrTb"/>
            <w:noWrap w:val="false"/>
          </w:tcPr>
          <w:p>
            <w:pPr>
              <w:jc w:val="center"/>
              <w:keepLines w:val="0"/>
              <w:keepNext w:val="0"/>
              <w:pageBreakBefore w:val="0"/>
              <w:spacing w:line="37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6816" w:type="dxa"/>
            <w:vAlign w:val="center"/>
            <w:textDirection w:val="lrTb"/>
            <w:noWrap w:val="false"/>
          </w:tcPr>
          <w:p>
            <w:pPr>
              <w:numPr>
                <w:ilvl w:val="0"/>
                <w:numId w:val="0"/>
              </w:numPr>
              <w:jc w:val="left"/>
              <w:keepLines w:val="0"/>
              <w:keepNext w:val="0"/>
              <w:pageBreakBefore w:val="0"/>
              <w:spacing w:line="37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c>
          <w:tcPr>
            <w:tcW w:w="939" w:type="dxa"/>
            <w:vAlign w:val="center"/>
            <w:textDirection w:val="lrTb"/>
            <w:noWrap w:val="false"/>
          </w:tcPr>
          <w:p>
            <w:pPr>
              <w:jc w:val="left"/>
              <w:keepLines w:val="0"/>
              <w:keepNext w:val="0"/>
              <w:pageBreakBefore w:val="0"/>
              <w:spacing w:line="370" w:lineRule="exact"/>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168樘</w:t>
            </w:r>
            <w:r/>
          </w:p>
        </w:tc>
        <w:tc>
          <w:tcPr>
            <w:tcW w:w="2890" w:type="dxa"/>
            <w:vAlign w:val="center"/>
            <w:textDirection w:val="lrTb"/>
            <w:noWrap w:val="false"/>
          </w:tcPr>
          <w:p>
            <w:pPr>
              <w:jc w:val="left"/>
              <w:keepLines w:val="0"/>
              <w:keepNext w:val="0"/>
              <w:pageBreakBefore w:val="0"/>
              <w:spacing w:line="370" w:lineRule="exac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r>
            <w:r/>
          </w:p>
        </w:tc>
      </w:tr>
    </w:tbl>
    <w:p>
      <w:pPr>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r>
      <w:r/>
    </w:p>
    <w:p>
      <w:pPr>
        <w:ind w:firstLine="567"/>
        <w:keepLines w:val="0"/>
        <w:keepNext w:val="0"/>
        <w:pageBreakBefore w:val="0"/>
        <w:spacing w:line="40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说明：1、以上教室门成品尺寸参数允许偏差范围±5mm。</w:t>
      </w:r>
      <w:r/>
    </w:p>
    <w:p>
      <w:pPr>
        <w:ind w:firstLine="567"/>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2、履约到货阶段：中标人送货时须提供CMA或CNAS检测报告原件供采购人核验，报告所载技术指标、执行标准须与投标文件内检测报告、采购需求完全吻合。</w:t>
      </w:r>
      <w:r/>
    </w:p>
    <w:p>
      <w:pPr>
        <w:ind w:firstLine="567"/>
        <w:keepLines w:val="0"/>
        <w:keepNext w:val="0"/>
        <w:pageBreakBefore w:val="0"/>
        <w:spacing w:line="440" w:lineRule="exac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p>
      <w:pPr>
        <w:keepLines w:val="0"/>
        <w:keepNext w:val="0"/>
        <w:pageBreakBefore w:val="0"/>
        <w:spacing w:line="420" w:lineRule="exact"/>
        <w:widowControl w:val="off"/>
        <w:rPr>
          <w:rFonts w:hint="eastAsia" w:ascii="仿宋" w:hAnsi="仿宋" w:eastAsia="仿宋" w:cs="仿宋"/>
          <w:color w:val="auto"/>
          <w:sz w:val="28"/>
          <w:szCs w:val="28"/>
          <w:highlight w:val="none"/>
          <w:lang w:val="en-US" w:eastAsia="zh-CN" w:bidi="ar-SA"/>
        </w:rPr>
        <w:sectPr>
          <w:footnotePr/>
          <w:endnotePr/>
          <w:type w:val="nextPage"/>
          <w:pgSz w:w="16838" w:h="11906" w:orient="landscape"/>
          <w:pgMar w:top="1440" w:right="1440" w:bottom="1440" w:left="1440" w:header="851" w:footer="992" w:gutter="0"/>
          <w:cols w:num="1" w:sep="0" w:space="0" w:equalWidth="1"/>
          <w:docGrid w:linePitch="360"/>
        </w:sectPr>
      </w:pPr>
      <w:r>
        <w:rPr>
          <w:rFonts w:hint="eastAsia" w:ascii="仿宋" w:hAnsi="仿宋" w:eastAsia="仿宋" w:cs="仿宋"/>
          <w:color w:val="auto"/>
          <w:sz w:val="28"/>
          <w:szCs w:val="28"/>
          <w:highlight w:val="none"/>
          <w:lang w:val="en-US" w:eastAsia="zh-CN" w:bidi="ar-SA"/>
        </w:rPr>
      </w:r>
      <w:r/>
    </w:p>
    <w:p>
      <w:pPr>
        <w:pStyle w:val="1003"/>
        <w:ind w:firstLine="562"/>
        <w:spacing w:line="520" w:lineRule="exac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二、全域设施拆除、新门安装、墙面修复及废旧物资分类处置通用要求</w:t>
      </w:r>
      <w:r/>
    </w:p>
    <w:p>
      <w:pPr>
        <w:pStyle w:val="1003"/>
        <w:ind w:firstLine="560"/>
        <w:spacing w:line="520" w:lineRule="exac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本条款为项目全域通用强制标准，适用于旧门、柜体、桌椅、一体机、黑板、讲台、地台、老旧水电管线等所有设施的拆除、清运、安装、修复及废旧物资处置，采购包1、采购包2统一执行。</w:t>
      </w:r>
      <w:r/>
    </w:p>
    <w:p>
      <w:pPr>
        <w:numPr>
          <w:ilvl w:val="0"/>
          <w:numId w:val="18"/>
        </w:numPr>
        <w:ind w:left="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中标人负责产品生产、运输、搬运、安装、调试、成品保护；负</w:t>
      </w:r>
      <w:r/>
    </w:p>
    <w:p>
      <w:pPr>
        <w:numPr>
          <w:ilvl w:val="0"/>
          <w:numId w:val="0"/>
        </w:num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责所有旧设施拆除、垃圾清运、墙面破损修复，费用均含在投标总价内，采购人不另行支付。</w:t>
      </w:r>
      <w:r/>
    </w:p>
    <w:p>
      <w:pPr>
        <w:numPr>
          <w:ilvl w:val="0"/>
          <w:numId w:val="18"/>
        </w:numPr>
        <w:ind w:left="560" w:firstLine="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一体机、黑板为学校可继续使用的国有资产，中标人须完好拆除、</w:t>
      </w:r>
      <w:r/>
    </w:p>
    <w:p>
      <w:pPr>
        <w:numPr>
          <w:ilvl w:val="0"/>
          <w:numId w:val="0"/>
        </w:numPr>
        <w:spacing w:line="52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做好防护，搬运至采购人校内指定位置移交校方签收；产权归学校所有，中标人不得损坏、截留、处置、变卖。因中标人拆除防护不当磕碰致物品损坏、无法正常使用的，中标人按市场重置价赔偿；设备本身老化、原有瑕疵造成损坏除外。</w:t>
      </w:r>
      <w:r/>
    </w:p>
    <w:p>
      <w:pPr>
        <w:numPr>
          <w:ilvl w:val="0"/>
          <w:numId w:val="18"/>
        </w:numPr>
        <w:ind w:left="560" w:firstLine="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地台、旧橱柜、原有办公桌椅、旧门、门框及其他废旧报废物资，</w:t>
      </w:r>
      <w:r/>
    </w:p>
    <w:p>
      <w:pPr>
        <w:numPr>
          <w:ilvl w:val="0"/>
          <w:numId w:val="0"/>
        </w:num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全部为国有资产，残值及处置收益归采购人所有，按规定上缴财政，中标人无权回收、变卖、获利。中标人全权负责拆除、装车，清运至采购人指定外部移交地点交付，由采购人统一合规处置；人工、运输、清运等全部费用由中标人支付；严禁在校内堆放、丢弃、拆解、焚烧，全过程符合校园管理、环保及国有资产管理规定。</w:t>
      </w:r>
      <w:r/>
    </w:p>
    <w:p>
      <w:pPr>
        <w:numPr>
          <w:ilvl w:val="0"/>
          <w:numId w:val="18"/>
        </w:numPr>
        <w:ind w:left="560" w:firstLine="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拆除及施工全过程须做好原有墙面、设施成品保护；若造成原有</w:t>
      </w:r>
      <w:r/>
    </w:p>
    <w:p>
      <w:pPr>
        <w:numPr>
          <w:ilvl w:val="0"/>
          <w:numId w:val="0"/>
        </w:num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饰面、墙体破损，中标人须按原材质、原色、原标准无偿修复原状，全部修复费用自行承担，不得追加任何费用。</w:t>
      </w:r>
      <w:r/>
    </w:p>
    <w:p>
      <w:pPr>
        <w:numPr>
          <w:ilvl w:val="0"/>
          <w:numId w:val="0"/>
        </w:numPr>
        <w:ind w:left="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5、新门安装应牢固方正、填充饱满、密封顺直；门扇开合顺畅、无</w:t>
      </w:r>
      <w:r/>
    </w:p>
    <w:p>
      <w:pPr>
        <w:numPr>
          <w:ilvl w:val="0"/>
          <w:numId w:val="0"/>
        </w:num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异响、不漏光、五金灵活，符合校园安全使用与验收标准。</w:t>
      </w:r>
      <w:r/>
    </w:p>
    <w:p>
      <w:pPr>
        <w:numPr>
          <w:ilvl w:val="0"/>
          <w:numId w:val="0"/>
        </w:numPr>
        <w:ind w:left="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6、全部施工完工后，中标人须清理全部现场，所有建筑垃圾必须全</w:t>
      </w:r>
      <w:r/>
    </w:p>
    <w:p>
      <w:pPr>
        <w:numPr>
          <w:ilvl w:val="0"/>
          <w:numId w:val="0"/>
        </w:num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部清运出校园，严格做到工完场清、场地整洁。</w:t>
      </w:r>
      <w:r/>
    </w:p>
    <w:p>
      <w:pPr>
        <w:pStyle w:val="1003"/>
        <w:numPr>
          <w:ilvl w:val="0"/>
          <w:numId w:val="0"/>
        </w:numPr>
        <w:spacing w:line="520" w:lineRule="exact"/>
        <w:rPr>
          <w:rFonts w:hint="eastAsia"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三、环保安全、安装服务及质保要求</w:t>
      </w:r>
      <w:r/>
    </w:p>
    <w:p>
      <w:pPr>
        <w:numPr>
          <w:ilvl w:val="0"/>
          <w:numId w:val="0"/>
        </w:num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1、所有产品须符合国家室内环保、消防安全相关强制标准，无甲醛超标、无刺激性异味、无污染，交付即可投入使用。</w:t>
      </w:r>
      <w:r/>
    </w:p>
    <w:p>
      <w:pPr>
        <w:numPr>
          <w:ilvl w:val="0"/>
          <w:numId w:val="0"/>
        </w:numPr>
        <w:ind w:firstLine="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2、中标人全权负责本标段范围内产品制作、运输、安装、拆除、清运、调试、验收全过程，因现场尺寸偏差产生的整改费用自行承担。</w:t>
      </w:r>
      <w:r/>
    </w:p>
    <w:p>
      <w:pPr>
        <w:pStyle w:val="1003"/>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bCs/>
          <w:color w:val="auto"/>
          <w:sz w:val="28"/>
          <w:szCs w:val="28"/>
          <w:highlight w:val="none"/>
          <w:lang w:val="en-US" w:eastAsia="zh-CN"/>
        </w:rPr>
        <w:t xml:space="preserve">质保期≥5年，质保期内非人为损坏免费维修、免费更换配件。</w:t>
      </w:r>
      <w:r/>
    </w:p>
    <w:p>
      <w:pPr>
        <w:pStyle w:val="1003"/>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4、接到报修后 2小时内响应，4小时内到达现场；12小时内无法排除故障的，须立即提供同等规格的备用配件或备用门；24小时内完成最终修复。投标人可自主提供优于最低标准的售后服务方案。</w:t>
      </w:r>
      <w:r/>
    </w:p>
    <w:p>
      <w:pPr>
        <w:pStyle w:val="1003"/>
        <w:ind w:firstLine="560"/>
        <w:spacing w:line="520" w:lineRule="exact"/>
        <w:rPr>
          <w:rFonts w:hint="default" w:ascii="仿宋" w:hAnsi="仿宋" w:eastAsia="仿宋" w:cs="仿宋"/>
          <w:b/>
          <w:bCs w:val="0"/>
          <w:color w:val="auto"/>
          <w:sz w:val="28"/>
          <w:szCs w:val="28"/>
          <w:highlight w:val="none"/>
          <w:lang w:val="en-US" w:eastAsia="zh-CN"/>
        </w:rPr>
      </w:pPr>
      <w:r>
        <w:rPr>
          <w:rFonts w:hint="eastAsia" w:ascii="仿宋" w:hAnsi="仿宋" w:eastAsia="仿宋" w:cs="仿宋"/>
          <w:b/>
          <w:bCs w:val="0"/>
          <w:color w:val="auto"/>
          <w:sz w:val="28"/>
          <w:szCs w:val="28"/>
          <w:highlight w:val="none"/>
          <w:lang w:val="en-US" w:eastAsia="zh-CN"/>
        </w:rPr>
        <w:t xml:space="preserve">四、现场踏勘与报价说明</w:t>
      </w:r>
      <w:r/>
    </w:p>
    <w:p>
      <w:pPr>
        <w:pStyle w:val="1003"/>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1、采购人不组织集中现场踏勘。投标人应自行对项目现场和周围环境进行实地踏勘，以了解现场的施工环境、施工范围、技术要求及相关服务，获取有关编制投标文件和签订合同所需的各项资料。投标人应承担现场踏勘的责任和风险，费用由投标人自行承担。成交后不得以未踏勘现场或不了解现场为由提出任何增加费用的要求。</w:t>
      </w:r>
      <w:r/>
    </w:p>
    <w:p>
      <w:pPr>
        <w:pStyle w:val="1003"/>
        <w:ind w:firstLine="560"/>
        <w:spacing w:line="520" w:lineRule="exact"/>
        <w:rPr>
          <w:rFonts w:hint="eastAsia"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lang w:val="en-US" w:eastAsia="zh-CN"/>
        </w:rPr>
        <w:t xml:space="preserve">2、本项目为交钥匙工程，各标段投标报价均为总价包干，包含材料费、加工费、运输费、安装费、拆除费、垃圾清运费、管理费、税费等所有相关费用。投标人不得以任何理由漏项、另行增加其他额外费用，后期不再追加任何变更价款。</w:t>
      </w:r>
      <w:r/>
    </w:p>
    <w:p>
      <w:pPr>
        <w:pStyle w:val="1003"/>
        <w:numPr>
          <w:ilvl w:val="0"/>
          <w:numId w:val="0"/>
        </w:numPr>
        <w:ind w:firstLine="562"/>
        <w:spacing w:line="520" w:lineRule="exact"/>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lang w:val="en-US" w:eastAsia="zh-CN"/>
        </w:rPr>
        <w:t xml:space="preserve">五、</w:t>
      </w:r>
      <w:r>
        <w:rPr>
          <w:rFonts w:hint="eastAsia" w:ascii="仿宋" w:hAnsi="仿宋" w:eastAsia="仿宋" w:cs="仿宋"/>
          <w:b/>
          <w:bCs w:val="0"/>
          <w:color w:val="auto"/>
          <w:sz w:val="28"/>
          <w:szCs w:val="28"/>
          <w:highlight w:val="none"/>
        </w:rPr>
        <w:t xml:space="preserve">商务部分</w:t>
      </w:r>
      <w:r/>
    </w:p>
    <w:p>
      <w:pPr>
        <w:numPr>
          <w:ilvl w:val="0"/>
          <w:numId w:val="19"/>
        </w:num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供货时间:</w:t>
      </w:r>
      <w:r/>
    </w:p>
    <w:p>
      <w:pPr>
        <w:numPr>
          <w:ilvl w:val="0"/>
          <w:numId w:val="0"/>
        </w:num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①采购包1：教师办公室升级改造，</w:t>
      </w:r>
      <w:r>
        <w:rPr>
          <w:rFonts w:hint="eastAsia" w:ascii="仿宋" w:hAnsi="仿宋" w:eastAsia="仿宋" w:cs="仿宋"/>
          <w:color w:val="auto"/>
          <w:sz w:val="28"/>
          <w:szCs w:val="28"/>
          <w:highlight w:val="none"/>
          <w:lang w:eastAsia="zh-CN"/>
        </w:rPr>
        <w:t xml:space="preserve">合同签订后</w:t>
      </w: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lang w:eastAsia="zh-CN"/>
        </w:rPr>
        <w:t xml:space="preserve">日内供货安装调试到位并验收完成</w:t>
      </w:r>
      <w:r>
        <w:rPr>
          <w:rFonts w:hint="eastAsia" w:ascii="仿宋" w:hAnsi="仿宋" w:eastAsia="仿宋" w:cs="仿宋"/>
          <w:color w:val="auto"/>
          <w:sz w:val="28"/>
          <w:szCs w:val="28"/>
          <w:highlight w:val="none"/>
        </w:rPr>
        <w:t xml:space="preserve">。</w:t>
      </w:r>
      <w:r/>
    </w:p>
    <w:p>
      <w:pPr>
        <w:numPr>
          <w:ilvl w:val="0"/>
          <w:numId w:val="0"/>
        </w:num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①采购包2：教室门更换，</w:t>
      </w:r>
      <w:r>
        <w:rPr>
          <w:rFonts w:hint="eastAsia" w:ascii="仿宋" w:hAnsi="仿宋" w:eastAsia="仿宋" w:cs="仿宋"/>
          <w:color w:val="auto"/>
          <w:sz w:val="28"/>
          <w:szCs w:val="28"/>
          <w:highlight w:val="none"/>
          <w:lang w:eastAsia="zh-CN"/>
        </w:rPr>
        <w:t xml:space="preserve">合同签订后2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日内供货安装调试到位并验收完成</w:t>
      </w:r>
      <w:r>
        <w:rPr>
          <w:rFonts w:hint="eastAsia" w:ascii="仿宋" w:hAnsi="仿宋" w:eastAsia="仿宋" w:cs="仿宋"/>
          <w:color w:val="auto"/>
          <w:sz w:val="28"/>
          <w:szCs w:val="28"/>
          <w:highlight w:val="none"/>
        </w:rPr>
        <w:t xml:space="preserve">。</w:t>
      </w:r>
      <w:r/>
    </w:p>
    <w:p>
      <w:pPr>
        <w:numPr>
          <w:ilvl w:val="0"/>
          <w:numId w:val="19"/>
        </w:numPr>
        <w:ind w:left="0"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付款方式:</w:t>
      </w:r>
      <w:r/>
    </w:p>
    <w:p>
      <w:pPr>
        <w:numPr>
          <w:ilvl w:val="0"/>
          <w:numId w:val="0"/>
        </w:numPr>
        <w:ind w:left="560"/>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采购包1：教师办公室升级改造，依据苏财购【2020】52号文和淮审</w:t>
      </w:r>
      <w:r/>
    </w:p>
    <w:p>
      <w:pPr>
        <w:numPr>
          <w:ilvl w:val="0"/>
          <w:numId w:val="0"/>
        </w:num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批发【2022】23号文的相关规定，合同签订后15日内预付合同款项的40%，货到安装、验收合格，正常使用，采购人自验收合格之日起15日内一次性付清剩余货款。</w:t>
      </w:r>
      <w:r/>
    </w:p>
    <w:p>
      <w:pPr>
        <w:numPr>
          <w:ilvl w:val="0"/>
          <w:numId w:val="0"/>
        </w:numPr>
        <w:ind w:firstLine="560"/>
        <w:spacing w:line="520" w:lineRule="exact"/>
        <w:rPr>
          <w:rFonts w:hint="eastAsia" w:ascii="仿宋" w:hAnsi="仿宋" w:eastAsia="仿宋" w:cs="仿宋"/>
          <w:b w:val="0"/>
          <w:bCs w:val="0"/>
          <w:color w:val="auto"/>
          <w:sz w:val="28"/>
          <w:szCs w:val="28"/>
          <w:highlight w:val="none"/>
        </w:rPr>
      </w:pPr>
      <w:r>
        <w:rPr>
          <w:rFonts w:hint="eastAsia" w:ascii="仿宋" w:hAnsi="仿宋" w:eastAsia="仿宋" w:cs="仿宋"/>
          <w:color w:val="auto"/>
          <w:sz w:val="28"/>
          <w:szCs w:val="28"/>
          <w:highlight w:val="none"/>
          <w:lang w:val="en-US" w:eastAsia="zh-CN"/>
        </w:rPr>
        <w:t xml:space="preserve">采购包2：教室门更换，</w:t>
      </w:r>
      <w:r>
        <w:rPr>
          <w:rFonts w:hint="eastAsia" w:ascii="仿宋" w:hAnsi="仿宋" w:eastAsia="仿宋" w:cs="仿宋"/>
          <w:b w:val="0"/>
          <w:bCs w:val="0"/>
          <w:color w:val="auto"/>
          <w:sz w:val="28"/>
          <w:szCs w:val="28"/>
          <w:highlight w:val="none"/>
        </w:rPr>
        <w:t xml:space="preserve">全部设备现场安装调试完毕并经采购人验收合格后一次性付清。</w:t>
      </w:r>
      <w:r/>
    </w:p>
    <w:p>
      <w:pPr>
        <w:numPr>
          <w:ilvl w:val="0"/>
          <w:numId w:val="19"/>
        </w:numPr>
        <w:ind w:left="0"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供货地点:由采购人指定。</w:t>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r>
      <w:r/>
    </w:p>
    <w:p>
      <w:pPr>
        <w:jc w:val="center"/>
        <w:spacing w:line="400" w:lineRule="exact"/>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 xml:space="preserve">第六章  投标文件</w:t>
      </w:r>
      <w:r/>
    </w:p>
    <w:p>
      <w:pPr>
        <w:pStyle w:val="799"/>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799"/>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799"/>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799"/>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799"/>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both"/>
        <w:spacing w:line="400" w:lineRule="exact"/>
        <w:rPr>
          <w:rFonts w:hint="eastAsia" w:ascii="仿宋" w:hAnsi="仿宋" w:eastAsia="仿宋" w:cs="仿宋"/>
          <w:b/>
          <w:bCs/>
          <w:color w:val="auto"/>
          <w:sz w:val="36"/>
          <w:highlight w:val="none"/>
          <w:lang w:val="en-US" w:eastAsia="zh-CN"/>
        </w:rPr>
      </w:pPr>
      <w:r>
        <w:rPr>
          <w:rFonts w:hint="eastAsia" w:ascii="仿宋" w:hAnsi="仿宋" w:eastAsia="仿宋" w:cs="仿宋"/>
          <w:b/>
          <w:bCs/>
          <w:color w:val="auto"/>
          <w:sz w:val="32"/>
          <w:szCs w:val="22"/>
          <w:highlight w:val="none"/>
        </w:rPr>
        <w:t xml:space="preserve">项目名称:洪泽中学教师办公室升级改造及教室门更换</w:t>
      </w:r>
      <w:r>
        <w:rPr>
          <w:rFonts w:hint="eastAsia" w:ascii="仿宋" w:hAnsi="仿宋" w:eastAsia="仿宋" w:cs="仿宋"/>
          <w:b/>
          <w:bCs/>
          <w:color w:val="auto"/>
          <w:sz w:val="32"/>
          <w:szCs w:val="22"/>
          <w:highlight w:val="none"/>
          <w:lang w:val="en-US" w:eastAsia="zh-CN"/>
        </w:rPr>
        <w:t xml:space="preserve">项目</w:t>
      </w:r>
      <w:r/>
    </w:p>
    <w:p>
      <w:pPr>
        <w:pStyle w:val="799"/>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799"/>
        <w:jc w:val="center"/>
        <w:rPr>
          <w:rFonts w:hint="eastAsia" w:ascii="仿宋" w:hAnsi="仿宋" w:eastAsia="仿宋" w:cs="仿宋"/>
          <w:b/>
          <w:color w:val="auto"/>
          <w:sz w:val="36"/>
          <w:szCs w:val="24"/>
          <w:highlight w:val="none"/>
          <w:lang w:eastAsia="zh-CN"/>
        </w:rPr>
      </w:pPr>
      <w:r>
        <w:rPr>
          <w:rFonts w:hint="eastAsia" w:ascii="仿宋" w:hAnsi="仿宋" w:eastAsia="仿宋" w:cs="仿宋"/>
          <w:b/>
          <w:color w:val="auto"/>
          <w:sz w:val="36"/>
          <w:szCs w:val="24"/>
          <w:highlight w:val="none"/>
          <w:lang w:eastAsia="zh-CN"/>
        </w:rPr>
        <w:t xml:space="preserve">（</w:t>
      </w:r>
      <w:r>
        <w:rPr>
          <w:rFonts w:hint="eastAsia" w:ascii="仿宋" w:hAnsi="仿宋" w:eastAsia="仿宋" w:cs="仿宋"/>
          <w:b/>
          <w:bCs/>
          <w:color w:val="auto"/>
          <w:sz w:val="32"/>
          <w:szCs w:val="32"/>
          <w:highlight w:val="none"/>
          <w:lang w:val="en-US" w:eastAsia="zh-CN"/>
        </w:rPr>
        <w:t xml:space="preserve">采购包1/采购包2</w:t>
      </w:r>
      <w:r>
        <w:rPr>
          <w:rFonts w:hint="eastAsia" w:ascii="仿宋" w:hAnsi="仿宋" w:eastAsia="仿宋" w:cs="仿宋"/>
          <w:b/>
          <w:color w:val="auto"/>
          <w:sz w:val="36"/>
          <w:szCs w:val="24"/>
          <w:highlight w:val="none"/>
          <w:lang w:eastAsia="zh-CN"/>
        </w:rPr>
        <w:t xml:space="preserve">）</w:t>
      </w:r>
      <w:r/>
    </w:p>
    <w:p>
      <w:pPr>
        <w:pStyle w:val="799"/>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799"/>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799"/>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799"/>
        <w:ind w:firstLine="1066"/>
        <w:rPr>
          <w:rFonts w:hint="eastAsia" w:ascii="仿宋" w:hAnsi="仿宋" w:eastAsia="仿宋" w:cs="仿宋"/>
          <w:b/>
          <w:color w:val="auto"/>
          <w:sz w:val="32"/>
          <w:szCs w:val="22"/>
          <w:highlight w:val="none"/>
        </w:rPr>
      </w:pPr>
      <w:r>
        <w:rPr>
          <w:rFonts w:hint="eastAsia" w:ascii="仿宋" w:hAnsi="仿宋" w:eastAsia="仿宋" w:cs="仿宋"/>
          <w:b/>
          <w:color w:val="auto"/>
          <w:sz w:val="32"/>
          <w:szCs w:val="22"/>
          <w:highlight w:val="none"/>
        </w:rPr>
        <w:t xml:space="preserve">项目编号:</w:t>
      </w:r>
      <w:r/>
    </w:p>
    <w:p>
      <w:pPr>
        <w:spacing w:line="400" w:lineRule="exact"/>
        <w:rPr>
          <w:rFonts w:hint="eastAsia" w:ascii="仿宋" w:hAnsi="仿宋" w:eastAsia="仿宋" w:cs="仿宋"/>
          <w:color w:val="auto"/>
          <w:sz w:val="28"/>
          <w:szCs w:val="18"/>
          <w:highlight w:val="none"/>
        </w:rPr>
      </w:pPr>
      <w:r>
        <w:rPr>
          <w:rFonts w:hint="eastAsia" w:ascii="仿宋" w:hAnsi="仿宋" w:eastAsia="仿宋" w:cs="仿宋"/>
          <w:color w:val="auto"/>
          <w:sz w:val="28"/>
          <w:szCs w:val="18"/>
          <w:highlight w:val="none"/>
        </w:rPr>
      </w:r>
      <w:r/>
    </w:p>
    <w:p>
      <w:pPr>
        <w:spacing w:line="400" w:lineRule="exact"/>
        <w:rPr>
          <w:rFonts w:hint="eastAsia" w:ascii="仿宋" w:hAnsi="仿宋" w:eastAsia="仿宋" w:cs="仿宋"/>
          <w:color w:val="auto"/>
          <w:sz w:val="28"/>
          <w:szCs w:val="18"/>
          <w:highlight w:val="none"/>
        </w:rPr>
      </w:pPr>
      <w:r>
        <w:rPr>
          <w:rFonts w:hint="eastAsia" w:ascii="仿宋" w:hAnsi="仿宋" w:eastAsia="仿宋" w:cs="仿宋"/>
          <w:color w:val="auto"/>
          <w:sz w:val="28"/>
          <w:szCs w:val="18"/>
          <w:highlight w:val="none"/>
        </w:rPr>
      </w:r>
      <w:r/>
    </w:p>
    <w:p>
      <w:pPr>
        <w:spacing w:line="400" w:lineRule="exact"/>
        <w:rPr>
          <w:rFonts w:hint="eastAsia" w:ascii="仿宋" w:hAnsi="仿宋" w:eastAsia="仿宋" w:cs="仿宋"/>
          <w:color w:val="auto"/>
          <w:sz w:val="28"/>
          <w:szCs w:val="18"/>
          <w:highlight w:val="none"/>
        </w:rPr>
      </w:pPr>
      <w:r>
        <w:rPr>
          <w:rFonts w:hint="eastAsia" w:ascii="仿宋" w:hAnsi="仿宋" w:eastAsia="仿宋" w:cs="仿宋"/>
          <w:color w:val="auto"/>
          <w:sz w:val="28"/>
          <w:szCs w:val="18"/>
          <w:highlight w:val="none"/>
        </w:rPr>
      </w:r>
      <w:r/>
    </w:p>
    <w:p>
      <w:pPr>
        <w:spacing w:line="400" w:lineRule="exact"/>
        <w:rPr>
          <w:rFonts w:hint="eastAsia" w:ascii="仿宋" w:hAnsi="仿宋" w:eastAsia="仿宋" w:cs="仿宋"/>
          <w:color w:val="auto"/>
          <w:sz w:val="28"/>
          <w:szCs w:val="18"/>
          <w:highlight w:val="none"/>
        </w:rPr>
      </w:pPr>
      <w:r>
        <w:rPr>
          <w:rFonts w:hint="eastAsia" w:ascii="仿宋" w:hAnsi="仿宋" w:eastAsia="仿宋" w:cs="仿宋"/>
          <w:color w:val="auto"/>
          <w:sz w:val="28"/>
          <w:szCs w:val="18"/>
          <w:highlight w:val="none"/>
        </w:rPr>
      </w:r>
      <w:r/>
    </w:p>
    <w:p>
      <w:pPr>
        <w:spacing w:line="400" w:lineRule="exact"/>
        <w:rPr>
          <w:rFonts w:hint="eastAsia" w:ascii="仿宋" w:hAnsi="仿宋" w:eastAsia="仿宋" w:cs="仿宋"/>
          <w:color w:val="auto"/>
          <w:sz w:val="28"/>
          <w:szCs w:val="18"/>
          <w:highlight w:val="none"/>
        </w:rPr>
      </w:pPr>
      <w:r>
        <w:rPr>
          <w:rFonts w:hint="eastAsia" w:ascii="仿宋" w:hAnsi="仿宋" w:eastAsia="仿宋" w:cs="仿宋"/>
          <w:color w:val="auto"/>
          <w:sz w:val="28"/>
          <w:szCs w:val="18"/>
          <w:highlight w:val="none"/>
        </w:rPr>
      </w:r>
      <w:r/>
    </w:p>
    <w:p>
      <w:pPr>
        <w:spacing w:line="400" w:lineRule="exact"/>
        <w:rPr>
          <w:rFonts w:hint="eastAsia" w:ascii="仿宋" w:hAnsi="仿宋" w:eastAsia="仿宋" w:cs="仿宋"/>
          <w:color w:val="auto"/>
          <w:sz w:val="28"/>
          <w:szCs w:val="18"/>
          <w:highlight w:val="none"/>
        </w:rPr>
      </w:pPr>
      <w:r>
        <w:rPr>
          <w:rFonts w:hint="eastAsia" w:ascii="仿宋" w:hAnsi="仿宋" w:eastAsia="仿宋" w:cs="仿宋"/>
          <w:color w:val="auto"/>
          <w:sz w:val="28"/>
          <w:szCs w:val="18"/>
          <w:highlight w:val="none"/>
        </w:rPr>
      </w:r>
      <w:r/>
    </w:p>
    <w:p>
      <w:pPr>
        <w:ind w:firstLine="1066"/>
        <w:spacing w:line="400" w:lineRule="exact"/>
        <w:rPr>
          <w:rFonts w:hint="eastAsia" w:ascii="仿宋" w:hAnsi="仿宋" w:eastAsia="仿宋" w:cs="仿宋"/>
          <w:b/>
          <w:bCs/>
          <w:color w:val="auto"/>
          <w:sz w:val="28"/>
          <w:szCs w:val="22"/>
          <w:highlight w:val="none"/>
        </w:rPr>
      </w:pPr>
      <w:r>
        <w:rPr>
          <w:rFonts w:hint="eastAsia" w:ascii="仿宋" w:hAnsi="仿宋" w:eastAsia="仿宋" w:cs="仿宋"/>
          <w:b/>
          <w:bCs/>
          <w:color w:val="auto"/>
          <w:sz w:val="32"/>
          <w:szCs w:val="22"/>
          <w:highlight w:val="none"/>
        </w:rPr>
        <w:t xml:space="preserve">投 标 人:</w:t>
      </w:r>
      <w:r/>
    </w:p>
    <w:p>
      <w:pPr>
        <w:pStyle w:val="799"/>
        <w:ind w:firstLine="1904"/>
        <w:rPr>
          <w:rFonts w:hint="eastAsia" w:ascii="仿宋" w:hAnsi="仿宋" w:eastAsia="仿宋" w:cs="仿宋"/>
          <w:color w:val="auto"/>
          <w:sz w:val="28"/>
          <w:szCs w:val="18"/>
          <w:highlight w:val="none"/>
        </w:rPr>
      </w:pPr>
      <w:r>
        <w:rPr>
          <w:rFonts w:hint="eastAsia" w:ascii="仿宋" w:hAnsi="仿宋" w:eastAsia="仿宋" w:cs="仿宋"/>
          <w:color w:val="auto"/>
          <w:sz w:val="28"/>
          <w:szCs w:val="18"/>
          <w:highlight w:val="none"/>
        </w:rPr>
      </w:r>
      <w:r/>
    </w:p>
    <w:p>
      <w:pPr>
        <w:pStyle w:val="799"/>
        <w:ind w:firstLine="1904"/>
        <w:rPr>
          <w:rFonts w:hint="eastAsia" w:ascii="仿宋" w:hAnsi="仿宋" w:eastAsia="仿宋" w:cs="仿宋"/>
          <w:color w:val="auto"/>
          <w:sz w:val="28"/>
          <w:szCs w:val="18"/>
          <w:highlight w:val="none"/>
        </w:rPr>
      </w:pPr>
      <w:r>
        <w:rPr>
          <w:rFonts w:hint="eastAsia" w:ascii="仿宋" w:hAnsi="仿宋" w:eastAsia="仿宋" w:cs="仿宋"/>
          <w:color w:val="auto"/>
          <w:sz w:val="28"/>
          <w:szCs w:val="18"/>
          <w:highlight w:val="none"/>
        </w:rPr>
      </w:r>
      <w:r/>
    </w:p>
    <w:p>
      <w:pPr>
        <w:pStyle w:val="799"/>
        <w:ind w:firstLine="1904"/>
        <w:rPr>
          <w:rFonts w:hint="eastAsia" w:ascii="仿宋" w:hAnsi="仿宋" w:eastAsia="仿宋" w:cs="仿宋"/>
          <w:color w:val="auto"/>
          <w:sz w:val="28"/>
          <w:szCs w:val="18"/>
          <w:highlight w:val="none"/>
        </w:rPr>
      </w:pPr>
      <w:r>
        <w:rPr>
          <w:rFonts w:hint="eastAsia" w:ascii="仿宋" w:hAnsi="仿宋" w:eastAsia="仿宋" w:cs="仿宋"/>
          <w:color w:val="auto"/>
          <w:sz w:val="28"/>
          <w:szCs w:val="18"/>
          <w:highlight w:val="none"/>
        </w:rPr>
      </w:r>
      <w:r/>
    </w:p>
    <w:p>
      <w:pPr>
        <w:pStyle w:val="799"/>
        <w:ind w:firstLine="1904"/>
        <w:rPr>
          <w:rFonts w:hint="eastAsia" w:ascii="仿宋" w:hAnsi="仿宋" w:eastAsia="仿宋" w:cs="仿宋"/>
          <w:color w:val="auto"/>
          <w:sz w:val="28"/>
          <w:szCs w:val="18"/>
          <w:highlight w:val="none"/>
        </w:rPr>
      </w:pPr>
      <w:r>
        <w:rPr>
          <w:rFonts w:hint="eastAsia" w:ascii="仿宋" w:hAnsi="仿宋" w:eastAsia="仿宋" w:cs="仿宋"/>
          <w:color w:val="auto"/>
          <w:sz w:val="28"/>
          <w:szCs w:val="18"/>
          <w:highlight w:val="none"/>
        </w:rPr>
      </w:r>
      <w:r/>
    </w:p>
    <w:p>
      <w:pPr>
        <w:pStyle w:val="799"/>
        <w:ind w:firstLine="1904"/>
        <w:rPr>
          <w:rFonts w:hint="eastAsia" w:ascii="仿宋" w:hAnsi="仿宋" w:eastAsia="仿宋" w:cs="仿宋"/>
          <w:color w:val="auto"/>
          <w:sz w:val="28"/>
          <w:szCs w:val="18"/>
          <w:highlight w:val="none"/>
        </w:rPr>
      </w:pPr>
      <w:r>
        <w:rPr>
          <w:rFonts w:hint="eastAsia" w:ascii="仿宋" w:hAnsi="仿宋" w:eastAsia="仿宋" w:cs="仿宋"/>
          <w:color w:val="auto"/>
          <w:sz w:val="28"/>
          <w:szCs w:val="18"/>
          <w:highlight w:val="none"/>
        </w:rPr>
      </w:r>
      <w:r/>
    </w:p>
    <w:p>
      <w:pPr>
        <w:pStyle w:val="799"/>
        <w:ind w:firstLine="1904"/>
        <w:rPr>
          <w:rFonts w:hint="eastAsia" w:ascii="仿宋" w:hAnsi="仿宋" w:eastAsia="仿宋" w:cs="仿宋"/>
          <w:color w:val="auto"/>
          <w:sz w:val="28"/>
          <w:szCs w:val="18"/>
          <w:highlight w:val="none"/>
        </w:rPr>
      </w:pPr>
      <w:r>
        <w:rPr>
          <w:rFonts w:hint="eastAsia" w:ascii="仿宋" w:hAnsi="仿宋" w:eastAsia="仿宋" w:cs="仿宋"/>
          <w:color w:val="auto"/>
          <w:sz w:val="28"/>
          <w:szCs w:val="18"/>
          <w:highlight w:val="none"/>
        </w:rPr>
      </w:r>
      <w:r/>
    </w:p>
    <w:p>
      <w:pPr>
        <w:pStyle w:val="799"/>
        <w:ind w:firstLine="1904"/>
        <w:rPr>
          <w:rFonts w:hint="eastAsia" w:ascii="仿宋" w:hAnsi="仿宋" w:eastAsia="仿宋" w:cs="仿宋"/>
          <w:color w:val="auto"/>
          <w:sz w:val="28"/>
          <w:szCs w:val="18"/>
          <w:highlight w:val="none"/>
        </w:rPr>
      </w:pPr>
      <w:r>
        <w:rPr>
          <w:rFonts w:hint="eastAsia" w:ascii="仿宋" w:hAnsi="仿宋" w:eastAsia="仿宋" w:cs="仿宋"/>
          <w:color w:val="auto"/>
          <w:sz w:val="28"/>
          <w:szCs w:val="18"/>
          <w:highlight w:val="none"/>
        </w:rPr>
      </w:r>
      <w:r/>
    </w:p>
    <w:p>
      <w:pPr>
        <w:pStyle w:val="799"/>
        <w:ind w:firstLine="2103"/>
        <w:rPr>
          <w:rFonts w:hint="eastAsia" w:ascii="仿宋" w:hAnsi="仿宋" w:eastAsia="仿宋" w:cs="仿宋"/>
          <w:b/>
          <w:color w:val="auto"/>
          <w:sz w:val="32"/>
          <w:highlight w:val="none"/>
        </w:rPr>
      </w:pPr>
      <w:r>
        <w:rPr>
          <w:rFonts w:hint="eastAsia" w:ascii="仿宋" w:hAnsi="仿宋" w:eastAsia="仿宋" w:cs="仿宋"/>
          <w:b/>
          <w:color w:val="auto"/>
          <w:sz w:val="32"/>
          <w:szCs w:val="22"/>
          <w:highlight w:val="none"/>
        </w:rPr>
        <w:t xml:space="preserve">二</w:t>
      </w:r>
      <w:r>
        <w:rPr>
          <w:rFonts w:hint="eastAsia" w:ascii="仿宋" w:hAnsi="仿宋" w:eastAsia="仿宋" w:cs="仿宋"/>
          <w:b/>
          <w:color w:val="auto"/>
          <w:sz w:val="32"/>
          <w:szCs w:val="22"/>
          <w:highlight w:val="none"/>
          <w:lang w:val="en-US" w:eastAsia="zh-CN"/>
        </w:rPr>
        <w:t xml:space="preserve">〇</w:t>
      </w:r>
      <w:r>
        <w:rPr>
          <w:rFonts w:hint="eastAsia" w:ascii="仿宋" w:hAnsi="仿宋" w:eastAsia="仿宋" w:cs="仿宋"/>
          <w:b/>
          <w:color w:val="auto"/>
          <w:sz w:val="32"/>
          <w:szCs w:val="22"/>
          <w:highlight w:val="none"/>
        </w:rPr>
        <w:t xml:space="preserve">二</w:t>
      </w:r>
      <w:r>
        <w:rPr>
          <w:rFonts w:hint="eastAsia" w:ascii="仿宋" w:hAnsi="仿宋" w:eastAsia="仿宋" w:cs="仿宋"/>
          <w:b/>
          <w:color w:val="auto"/>
          <w:sz w:val="32"/>
          <w:szCs w:val="22"/>
          <w:highlight w:val="none"/>
          <w:lang w:val="en-US" w:eastAsia="zh-CN"/>
        </w:rPr>
        <w:t xml:space="preserve">六</w:t>
      </w:r>
      <w:r>
        <w:rPr>
          <w:rFonts w:hint="eastAsia" w:ascii="仿宋" w:hAnsi="仿宋" w:eastAsia="仿宋" w:cs="仿宋"/>
          <w:b/>
          <w:color w:val="auto"/>
          <w:sz w:val="32"/>
          <w:szCs w:val="22"/>
          <w:highlight w:val="none"/>
        </w:rPr>
        <w:t xml:space="preserve">年    月    日</w:t>
      </w:r>
      <w:r/>
    </w:p>
    <w:p>
      <w:pPr>
        <w:spacing w:line="600" w:lineRule="exact"/>
        <w:rPr>
          <w:rFonts w:hint="eastAsia" w:ascii="仿宋" w:hAnsi="仿宋" w:eastAsia="仿宋" w:cs="仿宋"/>
          <w:b/>
          <w:bCs/>
          <w:color w:val="auto"/>
          <w:sz w:val="28"/>
          <w:szCs w:val="28"/>
          <w:highlight w:val="none"/>
          <w:lang w:val="zh-CN"/>
        </w:rPr>
      </w:pPr>
      <w:r>
        <w:rPr>
          <w:rFonts w:hint="eastAsia" w:ascii="仿宋" w:hAnsi="仿宋" w:eastAsia="仿宋" w:cs="仿宋"/>
          <w:b/>
          <w:color w:val="auto"/>
          <w:sz w:val="32"/>
          <w:szCs w:val="32"/>
          <w:highlight w:val="none"/>
        </w:rPr>
        <w:br w:type="page" w:clear="all"/>
      </w:r>
      <w:r/>
    </w:p>
    <w:p>
      <w:pPr>
        <w:pStyle w:val="799"/>
        <w:ind w:firstLine="2875"/>
        <w:spacing w:line="6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一、投标函</w:t>
      </w:r>
      <w:r>
        <w:rPr>
          <w:rFonts w:hint="eastAsia" w:ascii="仿宋" w:hAnsi="仿宋" w:eastAsia="仿宋" w:cs="仿宋"/>
          <w:b/>
          <w:color w:val="auto"/>
          <w:sz w:val="32"/>
          <w:szCs w:val="32"/>
          <w:highlight w:val="none"/>
          <w:lang w:eastAsia="zh-CN"/>
        </w:rPr>
        <w:t xml:space="preserve">（</w:t>
      </w:r>
      <w:r>
        <w:rPr>
          <w:rFonts w:hint="eastAsia" w:ascii="仿宋" w:hAnsi="仿宋" w:eastAsia="仿宋" w:cs="仿宋"/>
          <w:b/>
          <w:bCs/>
          <w:color w:val="auto"/>
          <w:sz w:val="32"/>
          <w:szCs w:val="32"/>
          <w:highlight w:val="none"/>
        </w:rPr>
        <w:t xml:space="preserve">按</w:t>
      </w:r>
      <w:r>
        <w:rPr>
          <w:rFonts w:hint="eastAsia" w:ascii="仿宋" w:hAnsi="仿宋" w:eastAsia="仿宋" w:cs="仿宋"/>
          <w:b/>
          <w:bCs/>
          <w:color w:val="auto"/>
          <w:sz w:val="32"/>
          <w:szCs w:val="32"/>
          <w:highlight w:val="none"/>
          <w:lang w:val="en-US" w:eastAsia="zh-CN"/>
        </w:rPr>
        <w:t xml:space="preserve">采购包</w:t>
      </w:r>
      <w:r>
        <w:rPr>
          <w:rFonts w:hint="eastAsia" w:ascii="仿宋" w:hAnsi="仿宋" w:eastAsia="仿宋" w:cs="仿宋"/>
          <w:b/>
          <w:bCs/>
          <w:color w:val="auto"/>
          <w:sz w:val="32"/>
          <w:szCs w:val="32"/>
          <w:highlight w:val="none"/>
        </w:rPr>
        <w:t xml:space="preserve">填写</w:t>
      </w:r>
      <w:r>
        <w:rPr>
          <w:rFonts w:hint="eastAsia" w:ascii="仿宋" w:hAnsi="仿宋" w:eastAsia="仿宋" w:cs="仿宋"/>
          <w:b/>
          <w:color w:val="auto"/>
          <w:sz w:val="32"/>
          <w:szCs w:val="32"/>
          <w:highlight w:val="none"/>
          <w:lang w:eastAsia="zh-CN"/>
        </w:rPr>
        <w:t xml:space="preserve">）</w:t>
      </w:r>
      <w:r/>
    </w:p>
    <w:p>
      <w:pPr>
        <w:pStyle w:val="799"/>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lang w:eastAsia="zh-CN"/>
        </w:rPr>
        <w:t xml:space="preserve">正中国际项目管理集团有限公司</w:t>
      </w:r>
      <w:r>
        <w:rPr>
          <w:rFonts w:hint="eastAsia" w:ascii="仿宋" w:hAnsi="仿宋" w:eastAsia="仿宋" w:cs="仿宋"/>
          <w:color w:val="auto"/>
          <w:sz w:val="28"/>
          <w:szCs w:val="24"/>
          <w:highlight w:val="none"/>
        </w:rPr>
        <w:t xml:space="preserve">:</w:t>
      </w:r>
      <w:r/>
    </w:p>
    <w:p>
      <w:pPr>
        <w:pStyle w:val="796"/>
        <w:ind w:firstLine="70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（姓名和职务）代表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（投标人单位名称），全权处理本次项目投标的有关事宜。</w:t>
      </w:r>
      <w:r/>
    </w:p>
    <w:p>
      <w:pPr>
        <w:ind w:firstLine="56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1、</w:t>
      </w:r>
      <w:r>
        <w:rPr>
          <w:rFonts w:hint="eastAsia" w:ascii="仿宋" w:hAnsi="仿宋" w:eastAsia="仿宋" w:cs="仿宋"/>
          <w:color w:val="auto"/>
          <w:sz w:val="28"/>
          <w:szCs w:val="28"/>
          <w:highlight w:val="none"/>
        </w:rPr>
        <w:t xml:space="preserve">我公司没有为本项目提供整体设计、规范编制或者项目管理、监理、检测等服务。</w:t>
      </w:r>
      <w:r/>
    </w:p>
    <w:p>
      <w:pPr>
        <w:ind w:firstLine="560"/>
        <w:spacing w:line="6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796"/>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3、我们接受招标文件的所有的条款和规定。</w:t>
      </w:r>
      <w:r/>
    </w:p>
    <w:p>
      <w:pPr>
        <w:pStyle w:val="796"/>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796"/>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5、我们理解，你们无义务必须接受投标价最低的投标。同时也理解你们不承担我们本次投标的费用。</w:t>
      </w:r>
      <w:r/>
    </w:p>
    <w:p>
      <w:pPr>
        <w:pStyle w:val="796"/>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 xml:space="preserve">6、我们同意向贵方提供贵方可能要求的与投标有关的任何证据或资料，并保证所提供的都是真实的、准确的。</w:t>
      </w:r>
      <w:r/>
    </w:p>
    <w:p>
      <w:pPr>
        <w:pStyle w:val="796"/>
        <w:ind w:firstLine="56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7、一旦我方中标，我方将根据招标文件的规定，严格履行合同的责任和义务，并保证在按招标文件中规定的时间内供货，并完成项目的施工、调试、交付买方验收、使用。</w:t>
      </w:r>
      <w:r/>
    </w:p>
    <w:p>
      <w:pPr>
        <w:pStyle w:val="796"/>
        <w:ind w:right="560" w:firstLine="2940"/>
        <w:spacing w:before="0" w:after="0" w:line="6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p>
      <w:pPr>
        <w:pStyle w:val="796"/>
        <w:ind w:right="560" w:firstLine="2940"/>
        <w:spacing w:before="0" w:after="0" w:line="640" w:lineRule="exact"/>
        <w:rPr>
          <w:rFonts w:hint="eastAsia" w:ascii="仿宋" w:hAnsi="仿宋" w:eastAsia="仿宋" w:cs="仿宋"/>
          <w:color w:val="auto"/>
          <w:sz w:val="28"/>
          <w:highlight w:val="none"/>
          <w:u w:val="single"/>
        </w:rPr>
      </w:pPr>
      <w:r>
        <w:rPr>
          <w:rFonts w:hint="eastAsia" w:ascii="仿宋" w:hAnsi="仿宋" w:eastAsia="仿宋" w:cs="仿宋"/>
          <w:color w:val="auto"/>
          <w:sz w:val="28"/>
          <w:highlight w:val="none"/>
        </w:rPr>
        <w:t xml:space="preserve">投标人名称（电子签章）:</w:t>
      </w:r>
      <w:r>
        <w:rPr>
          <w:rFonts w:hint="eastAsia" w:ascii="仿宋" w:hAnsi="仿宋" w:eastAsia="仿宋" w:cs="仿宋"/>
          <w:color w:val="auto"/>
          <w:sz w:val="28"/>
          <w:highlight w:val="none"/>
          <w:u w:val="single"/>
        </w:rPr>
        <w:t xml:space="preserve">             </w:t>
      </w:r>
      <w:r/>
    </w:p>
    <w:p>
      <w:pPr>
        <w:pStyle w:val="796"/>
        <w:ind w:right="560" w:firstLine="2940"/>
        <w:spacing w:before="0" w:after="0"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邮编:</w:t>
      </w:r>
      <w:r>
        <w:rPr>
          <w:rFonts w:hint="eastAsia" w:ascii="仿宋" w:hAnsi="仿宋" w:eastAsia="仿宋" w:cs="仿宋"/>
          <w:color w:val="auto"/>
          <w:sz w:val="28"/>
          <w:szCs w:val="28"/>
          <w:highlight w:val="none"/>
          <w:u w:val="single"/>
        </w:rPr>
        <w:t xml:space="preserve">             </w:t>
      </w:r>
      <w:r/>
    </w:p>
    <w:p>
      <w:pPr>
        <w:ind w:right="560" w:firstLine="420"/>
        <w:jc w:val="center"/>
        <w:spacing w:line="64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电话:</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传真:</w:t>
      </w:r>
      <w:r>
        <w:rPr>
          <w:rFonts w:hint="eastAsia" w:ascii="仿宋" w:hAnsi="仿宋" w:eastAsia="仿宋" w:cs="仿宋"/>
          <w:color w:val="auto"/>
          <w:sz w:val="28"/>
          <w:szCs w:val="28"/>
          <w:highlight w:val="none"/>
          <w:u w:val="single"/>
        </w:rPr>
        <w:t xml:space="preserve">           </w:t>
      </w:r>
      <w:r/>
    </w:p>
    <w:p>
      <w:pPr>
        <w:pStyle w:val="799"/>
        <w:ind w:right="560" w:firstLine="420"/>
        <w:jc w:val="center"/>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日期: </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年</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月</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rPr>
        <w:t xml:space="preserve">日</w:t>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99"/>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99"/>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99"/>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99"/>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99"/>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99"/>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99"/>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99"/>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99"/>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99"/>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99"/>
        <w:spacing w:line="6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before="19" w:line="440" w:lineRule="exact"/>
        <w:widowControl/>
        <w:rPr>
          <w:rFonts w:hint="eastAsia" w:ascii="仿宋" w:hAnsi="仿宋" w:eastAsia="仿宋" w:cs="仿宋"/>
          <w:bCs/>
          <w:color w:val="auto"/>
          <w:sz w:val="32"/>
          <w:szCs w:val="32"/>
          <w:highlight w:val="none"/>
        </w:rPr>
      </w:pPr>
      <w:r>
        <w:rPr>
          <w:rFonts w:hint="eastAsia" w:ascii="仿宋" w:hAnsi="仿宋" w:eastAsia="仿宋" w:cs="仿宋"/>
          <w:bCs/>
          <w:color w:val="auto"/>
          <w:sz w:val="32"/>
          <w:szCs w:val="32"/>
          <w:highlight w:val="none"/>
        </w:rPr>
      </w:r>
      <w:r/>
    </w:p>
    <w:p>
      <w:pPr>
        <w:ind w:firstLine="2249"/>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二、开标一览表</w:t>
      </w:r>
      <w:r>
        <w:rPr>
          <w:rFonts w:hint="eastAsia" w:ascii="仿宋" w:hAnsi="仿宋" w:eastAsia="仿宋" w:cs="仿宋"/>
          <w:b/>
          <w:bCs/>
          <w:color w:val="auto"/>
          <w:sz w:val="32"/>
          <w:szCs w:val="32"/>
          <w:highlight w:val="none"/>
        </w:rPr>
        <w:t xml:space="preserve">（按</w:t>
      </w:r>
      <w:r>
        <w:rPr>
          <w:rFonts w:hint="eastAsia" w:ascii="仿宋" w:hAnsi="仿宋" w:eastAsia="仿宋" w:cs="仿宋"/>
          <w:b/>
          <w:bCs/>
          <w:color w:val="auto"/>
          <w:sz w:val="32"/>
          <w:szCs w:val="32"/>
          <w:highlight w:val="none"/>
          <w:lang w:val="en-US" w:eastAsia="zh-CN"/>
        </w:rPr>
        <w:t xml:space="preserve">采购包</w:t>
      </w:r>
      <w:r>
        <w:rPr>
          <w:rFonts w:hint="eastAsia" w:ascii="仿宋" w:hAnsi="仿宋" w:eastAsia="仿宋" w:cs="仿宋"/>
          <w:b/>
          <w:bCs/>
          <w:color w:val="auto"/>
          <w:sz w:val="32"/>
          <w:szCs w:val="32"/>
          <w:highlight w:val="none"/>
        </w:rPr>
        <w:t xml:space="preserve">填写）</w:t>
      </w:r>
      <w:r/>
    </w:p>
    <w:p>
      <w:pPr>
        <w:ind w:firstLine="3036"/>
        <w:spacing w:before="19" w:line="44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tbl>
      <w:tblPr>
        <w:tblStyle w:val="7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6759" w:type="dxa"/>
            <w:vAlign w:val="center"/>
            <w:textDirection w:val="lrTb"/>
            <w:noWrap w:val="false"/>
          </w:tcPr>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cantSplit/>
          <w:trHeight w:val="2261"/>
        </w:trPr>
        <w:tc>
          <w:tcPr>
            <w:tcW w:w="1701" w:type="dxa"/>
            <w:vAlign w:val="center"/>
            <w:textDirection w:val="lrTb"/>
            <w:noWrap w:val="false"/>
          </w:tcPr>
          <w:p>
            <w:pPr>
              <w:jc w:val="cente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投标报价</w:t>
            </w:r>
            <w:r/>
          </w:p>
          <w:p>
            <w:pPr>
              <w:jc w:val="cente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总计</w:t>
            </w:r>
            <w:r/>
          </w:p>
        </w:tc>
        <w:tc>
          <w:tcPr>
            <w:tcW w:w="6759" w:type="dxa"/>
            <w:vAlign w:val="center"/>
            <w:textDirection w:val="lrTb"/>
            <w:noWrap w:val="false"/>
          </w:tcPr>
          <w:p>
            <w:pPr>
              <w:spacing w:line="7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（小写）¥ </w:t>
            </w:r>
            <w:r>
              <w:rPr>
                <w:rFonts w:hint="eastAsia" w:ascii="仿宋" w:hAnsi="仿宋" w:eastAsia="仿宋" w:cs="仿宋"/>
                <w:color w:val="auto"/>
                <w:sz w:val="28"/>
                <w:szCs w:val="28"/>
                <w:highlight w:val="none"/>
                <w:u w:val="single"/>
              </w:rPr>
              <w:t xml:space="preserve">                                  </w:t>
            </w:r>
            <w:r/>
          </w:p>
          <w:p>
            <w:pPr>
              <w:spacing w:line="7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（大写）人民币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万</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佰</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拾</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元整</w:t>
            </w:r>
            <w:r/>
          </w:p>
        </w:tc>
      </w:tr>
      <w:tr>
        <w:trPr>
          <w:cantSplit/>
          <w:trHeight w:val="1273"/>
        </w:trPr>
        <w:tc>
          <w:tcPr>
            <w:tcW w:w="1701" w:type="dxa"/>
            <w:vAlign w:val="center"/>
            <w:textDirection w:val="lrTb"/>
            <w:noWrap w:val="false"/>
          </w:tcPr>
          <w:p>
            <w:pPr>
              <w:ind w:firstLine="1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核心品牌</w:t>
            </w:r>
            <w:r/>
          </w:p>
        </w:tc>
        <w:tc>
          <w:tcPr>
            <w:tcW w:w="6759" w:type="dxa"/>
            <w:vAlign w:val="center"/>
            <w:textDirection w:val="lrTb"/>
            <w:noWrap w:val="false"/>
          </w:tcPr>
          <w:p>
            <w:pPr>
              <w:ind w:firstLine="154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tc>
      </w:tr>
    </w:tbl>
    <w:p>
      <w:pPr>
        <w:ind w:firstLine="411"/>
        <w:spacing w:line="440" w:lineRule="exact"/>
        <w:rPr>
          <w:rFonts w:hint="eastAsia" w:ascii="仿宋" w:hAnsi="仿宋" w:eastAsia="仿宋" w:cs="仿宋"/>
          <w:color w:val="auto"/>
          <w:sz w:val="28"/>
          <w:szCs w:val="28"/>
          <w:highlight w:val="none"/>
        </w:rPr>
      </w:pPr>
      <w:r/>
      <w:bookmarkStart w:id="36" w:name="_Toc136924766"/>
      <w:r/>
      <w:bookmarkStart w:id="37" w:name="_Toc157775459"/>
      <w:r/>
      <w:r/>
    </w:p>
    <w:p>
      <w:pPr>
        <w:ind w:firstLine="411"/>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bookmarkEnd w:id="36"/>
      <w:bookmarkEnd w:id="37"/>
      <w:r/>
    </w:p>
    <w:p>
      <w:pPr>
        <w:pStyle w:val="799"/>
        <w:ind w:firstLine="2875"/>
        <w:rPr>
          <w:rFonts w:hint="eastAsia" w:ascii="仿宋" w:hAnsi="仿宋" w:eastAsia="仿宋" w:cs="仿宋"/>
          <w:b/>
          <w:color w:val="auto"/>
          <w:sz w:val="32"/>
          <w:szCs w:val="32"/>
          <w:highlight w:val="none"/>
        </w:rPr>
      </w:pPr>
      <w:r/>
      <w:bookmarkStart w:id="38" w:name="_Toc157775468"/>
      <w:r/>
      <w:r/>
    </w:p>
    <w:p>
      <w:pPr>
        <w:pStyle w:val="799"/>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99"/>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99"/>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99"/>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99"/>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99"/>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99"/>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99"/>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99"/>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99"/>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99"/>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99"/>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99"/>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99"/>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99"/>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99"/>
        <w:ind w:firstLine="2875"/>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99"/>
        <w:jc w:val="center"/>
        <w:rPr>
          <w:rFonts w:hint="eastAsia" w:ascii="仿宋" w:hAnsi="仿宋" w:eastAsia="仿宋" w:cs="仿宋"/>
          <w:b/>
          <w:color w:val="auto"/>
          <w:sz w:val="32"/>
          <w:szCs w:val="32"/>
          <w:highlight w:val="none"/>
          <w:lang w:eastAsia="zh-CN"/>
        </w:rPr>
      </w:pPr>
      <w:r>
        <w:rPr>
          <w:rFonts w:hint="eastAsia" w:ascii="仿宋" w:hAnsi="仿宋" w:eastAsia="仿宋" w:cs="仿宋"/>
          <w:b/>
          <w:color w:val="auto"/>
          <w:sz w:val="32"/>
          <w:szCs w:val="32"/>
          <w:highlight w:val="none"/>
        </w:rPr>
        <w:t xml:space="preserve">三、投标报价明细表</w:t>
      </w:r>
      <w:r>
        <w:rPr>
          <w:rFonts w:hint="eastAsia" w:ascii="仿宋" w:hAnsi="仿宋" w:eastAsia="仿宋" w:cs="仿宋"/>
          <w:b/>
          <w:bCs/>
          <w:color w:val="auto"/>
          <w:sz w:val="32"/>
          <w:szCs w:val="32"/>
          <w:highlight w:val="none"/>
        </w:rPr>
        <w:t xml:space="preserve">（按</w:t>
      </w:r>
      <w:r>
        <w:rPr>
          <w:rFonts w:hint="eastAsia" w:ascii="仿宋" w:hAnsi="仿宋" w:eastAsia="仿宋" w:cs="仿宋"/>
          <w:b/>
          <w:bCs/>
          <w:color w:val="auto"/>
          <w:sz w:val="32"/>
          <w:szCs w:val="32"/>
          <w:highlight w:val="none"/>
          <w:lang w:val="en-US" w:eastAsia="zh-CN"/>
        </w:rPr>
        <w:t xml:space="preserve">采购包</w:t>
      </w:r>
      <w:r>
        <w:rPr>
          <w:rFonts w:hint="eastAsia" w:ascii="仿宋" w:hAnsi="仿宋" w:eastAsia="仿宋" w:cs="仿宋"/>
          <w:b/>
          <w:bCs/>
          <w:color w:val="auto"/>
          <w:sz w:val="32"/>
          <w:szCs w:val="32"/>
          <w:highlight w:val="none"/>
        </w:rPr>
        <w:t xml:space="preserve">填写）</w:t>
      </w:r>
      <w:r/>
    </w:p>
    <w:p>
      <w:pPr>
        <w:pStyle w:val="799"/>
        <w:jc w:val="center"/>
        <w:spacing w:line="3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993"/>
        <w:gridCol w:w="1417"/>
        <w:gridCol w:w="851"/>
        <w:gridCol w:w="992"/>
        <w:gridCol w:w="850"/>
        <w:gridCol w:w="851"/>
        <w:gridCol w:w="850"/>
      </w:tblGrid>
      <w:tr>
        <w:trPr>
          <w:trHeight w:val="544"/>
        </w:trPr>
        <w:tc>
          <w:tcPr>
            <w:tcMar>
              <w:left w:w="108" w:type="dxa"/>
              <w:top w:w="0" w:type="dxa"/>
              <w:right w:w="108" w:type="dxa"/>
              <w:bottom w:w="0" w:type="dxa"/>
            </w:tcMar>
            <w:tcW w:w="959"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序号</w:t>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产品名称</w:t>
            </w:r>
            <w:r/>
          </w:p>
        </w:tc>
        <w:tc>
          <w:tcPr>
            <w:tcMar>
              <w:left w:w="108" w:type="dxa"/>
              <w:top w:w="0" w:type="dxa"/>
              <w:right w:w="108" w:type="dxa"/>
              <w:bottom w:w="0" w:type="dxa"/>
            </w:tcMar>
            <w:tcW w:w="993"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品牌</w:t>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规格型号</w:t>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产地</w:t>
            </w:r>
            <w:r/>
          </w:p>
        </w:tc>
        <w:tc>
          <w:tcPr>
            <w:tcMar>
              <w:left w:w="108" w:type="dxa"/>
              <w:top w:w="0" w:type="dxa"/>
              <w:right w:w="108" w:type="dxa"/>
              <w:bottom w:w="0" w:type="dxa"/>
            </w:tcMar>
            <w:tcW w:w="992"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交付期</w:t>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数量</w:t>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分项单价</w:t>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分项总价</w:t>
            </w:r>
            <w:r/>
          </w:p>
        </w:tc>
      </w:tr>
      <w:tr>
        <w:trPr>
          <w:trHeight w:val="583"/>
        </w:trPr>
        <w:tc>
          <w:tcPr>
            <w:tcMar>
              <w:left w:w="108" w:type="dxa"/>
              <w:top w:w="0" w:type="dxa"/>
              <w:right w:w="108" w:type="dxa"/>
              <w:bottom w:w="0" w:type="dxa"/>
            </w:tcMar>
            <w:tcW w:w="959"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3"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w:t>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993"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992"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r>
      <w:tr>
        <w:trPr>
          <w:trHeight w:val="724"/>
        </w:trPr>
        <w:tc>
          <w:tcPr>
            <w:tcMar>
              <w:left w:w="108" w:type="dxa"/>
              <w:top w:w="0" w:type="dxa"/>
              <w:right w:w="108" w:type="dxa"/>
              <w:bottom w:w="0" w:type="dxa"/>
            </w:tcMar>
            <w:tcW w:w="959"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w:t>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993"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992"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w:t>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993"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992"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r>
      <w:tr>
        <w:trPr>
          <w:trHeight w:val="640"/>
        </w:trPr>
        <w:tc>
          <w:tcPr>
            <w:tcMar>
              <w:left w:w="108" w:type="dxa"/>
              <w:top w:w="0" w:type="dxa"/>
              <w:right w:w="108" w:type="dxa"/>
              <w:bottom w:w="0" w:type="dxa"/>
            </w:tcMar>
            <w:tcW w:w="959"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5</w:t>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3"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6</w:t>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3"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7</w:t>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3"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8</w:t>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3"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9</w:t>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3"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992"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r>
      <w:tr>
        <w:trPr>
          <w:trHeight w:val="580"/>
        </w:trPr>
        <w:tc>
          <w:tcPr>
            <w:tcBorders>
              <w:bottom w:val="single" w:color="000000" w:sz="4" w:space="0"/>
            </w:tcBorders>
            <w:tcMar>
              <w:left w:w="108" w:type="dxa"/>
              <w:top w:w="0" w:type="dxa"/>
              <w:right w:w="108" w:type="dxa"/>
              <w:bottom w:w="0" w:type="dxa"/>
            </w:tcMar>
            <w:tcW w:w="959"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p>
        </w:tc>
        <w:tc>
          <w:tcPr>
            <w:tcBorders>
              <w:bottom w:val="single" w:color="000000" w:sz="4" w:space="0"/>
            </w:tcBorders>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p>
        </w:tc>
        <w:tc>
          <w:tcPr>
            <w:tcBorders>
              <w:bottom w:val="single" w:color="000000" w:sz="4" w:space="0"/>
            </w:tcBorders>
            <w:tcMar>
              <w:left w:w="108" w:type="dxa"/>
              <w:top w:w="0" w:type="dxa"/>
              <w:right w:w="108" w:type="dxa"/>
              <w:bottom w:w="0" w:type="dxa"/>
            </w:tcMar>
            <w:tcW w:w="993"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bottom w:val="single" w:color="000000" w:sz="4" w:space="0"/>
            </w:tcBorders>
            <w:tcMar>
              <w:left w:w="108" w:type="dxa"/>
              <w:top w:w="0" w:type="dxa"/>
              <w:right w:w="108" w:type="dxa"/>
              <w:bottom w:w="0" w:type="dxa"/>
            </w:tcMar>
            <w:tcW w:w="1417"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bottom w:val="single" w:color="000000" w:sz="4" w:space="0"/>
            </w:tcBorders>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bottom w:val="single" w:color="000000" w:sz="4" w:space="0"/>
            </w:tcBorders>
            <w:tcMar>
              <w:left w:w="108" w:type="dxa"/>
              <w:top w:w="0" w:type="dxa"/>
              <w:right w:w="108" w:type="dxa"/>
              <w:bottom w:w="0" w:type="dxa"/>
            </w:tcMar>
            <w:tcW w:w="992"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bottom w:val="single" w:color="000000" w:sz="4" w:space="0"/>
            </w:tcBorders>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Borders>
              <w:bottom w:val="single" w:color="000000" w:sz="4" w:space="0"/>
            </w:tcBorders>
            <w:tcMar>
              <w:left w:w="108" w:type="dxa"/>
              <w:top w:w="0" w:type="dxa"/>
              <w:right w:w="108" w:type="dxa"/>
              <w:bottom w:w="0" w:type="dxa"/>
            </w:tcMar>
            <w:tcW w:w="851"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c>
          <w:tcPr>
            <w:tcMar>
              <w:left w:w="108" w:type="dxa"/>
              <w:top w:w="0" w:type="dxa"/>
              <w:right w:w="108" w:type="dxa"/>
              <w:bottom w:w="0" w:type="dxa"/>
            </w:tcMar>
            <w:tcW w:w="850" w:type="dxa"/>
            <w:vAlign w:val="center"/>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r>
      <w:tr>
        <w:trPr>
          <w:trHeight w:val="1030"/>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30" w:type="dxa"/>
            <w:vAlign w:val="center"/>
            <w:textDirection w:val="lrTb"/>
            <w:noWrap w:val="false"/>
          </w:tcPr>
          <w:p>
            <w:pPr>
              <w:pStyle w:val="799"/>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投标总报价（人民币：元）</w:t>
            </w:r>
            <w:r/>
          </w:p>
        </w:tc>
        <w:tc>
          <w:tcPr>
            <w:tcBorders>
              <w:left w:val="single" w:color="000000" w:sz="4" w:space="0"/>
            </w:tcBorders>
            <w:tcMar>
              <w:left w:w="108" w:type="dxa"/>
              <w:top w:w="0" w:type="dxa"/>
              <w:right w:w="108" w:type="dxa"/>
              <w:bottom w:w="0" w:type="dxa"/>
            </w:tcMar>
            <w:tcW w:w="850" w:type="dxa"/>
            <w:textDirection w:val="lrTb"/>
            <w:noWrap w:val="false"/>
          </w:tcPr>
          <w:p>
            <w:pPr>
              <w:pStyle w:val="799"/>
              <w:jc w:val="center"/>
              <w:spacing w:line="3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tc>
      </w:tr>
    </w:tbl>
    <w:p>
      <w:pPr>
        <w:pStyle w:val="799"/>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r>
      <w:r/>
    </w:p>
    <w:p>
      <w:pPr>
        <w:pStyle w:val="799"/>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99"/>
        <w:ind w:firstLine="69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2、“投标分项报价表”中“投标总报价”数额应当与“开标一览表”中“投标总报价”数额一致。</w:t>
      </w:r>
      <w:r/>
    </w:p>
    <w:p>
      <w:pPr>
        <w:pStyle w:val="799"/>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w:t>
      </w:r>
      <w:r/>
    </w:p>
    <w:p>
      <w:pPr>
        <w:pStyle w:val="799"/>
        <w:ind w:firstLine="411"/>
        <w:spacing w:line="440" w:lineRule="exact"/>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 </w:t>
      </w:r>
      <w:r/>
    </w:p>
    <w:p>
      <w:pPr>
        <w:rPr>
          <w:rFonts w:hint="eastAsia"/>
          <w:color w:val="auto"/>
          <w:highlight w:val="none"/>
        </w:rPr>
      </w:pPr>
      <w:r>
        <w:rPr>
          <w:rFonts w:hint="eastAsia"/>
          <w:color w:val="auto"/>
          <w:highlight w:val="none"/>
        </w:rPr>
      </w:r>
      <w:r/>
    </w:p>
    <w:p>
      <w:pPr>
        <w:pStyle w:val="799"/>
        <w:jc w:val="center"/>
        <w:spacing w:line="4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四、技术要求</w:t>
      </w:r>
      <w:r>
        <w:rPr>
          <w:rFonts w:hint="eastAsia" w:ascii="仿宋" w:hAnsi="仿宋" w:eastAsia="仿宋" w:cs="仿宋"/>
          <w:b/>
          <w:color w:val="auto"/>
          <w:sz w:val="32"/>
          <w:szCs w:val="32"/>
          <w:highlight w:val="none"/>
        </w:rPr>
        <w:t xml:space="preserve">响应</w:t>
      </w:r>
      <w:r>
        <w:rPr>
          <w:rFonts w:hint="eastAsia" w:ascii="仿宋" w:hAnsi="仿宋" w:eastAsia="仿宋" w:cs="仿宋"/>
          <w:b/>
          <w:color w:val="auto"/>
          <w:sz w:val="32"/>
          <w:highlight w:val="none"/>
        </w:rPr>
        <w:t xml:space="preserve">偏离表</w:t>
      </w:r>
      <w:r>
        <w:rPr>
          <w:rFonts w:hint="eastAsia" w:ascii="仿宋" w:hAnsi="仿宋" w:eastAsia="仿宋" w:cs="仿宋"/>
          <w:b/>
          <w:bCs/>
          <w:color w:val="auto"/>
          <w:sz w:val="32"/>
          <w:szCs w:val="32"/>
          <w:highlight w:val="none"/>
        </w:rPr>
        <w:t xml:space="preserve">（按</w:t>
      </w:r>
      <w:r>
        <w:rPr>
          <w:rFonts w:hint="eastAsia" w:ascii="仿宋" w:hAnsi="仿宋" w:eastAsia="仿宋" w:cs="仿宋"/>
          <w:b/>
          <w:bCs/>
          <w:color w:val="auto"/>
          <w:sz w:val="32"/>
          <w:szCs w:val="32"/>
          <w:highlight w:val="none"/>
          <w:lang w:val="en-US" w:eastAsia="zh-CN"/>
        </w:rPr>
        <w:t xml:space="preserve">采购包</w:t>
      </w:r>
      <w:r>
        <w:rPr>
          <w:rFonts w:hint="eastAsia" w:ascii="仿宋" w:hAnsi="仿宋" w:eastAsia="仿宋" w:cs="仿宋"/>
          <w:b/>
          <w:bCs/>
          <w:color w:val="auto"/>
          <w:sz w:val="32"/>
          <w:szCs w:val="32"/>
          <w:highlight w:val="none"/>
        </w:rPr>
        <w:t xml:space="preserve">填写）</w:t>
      </w:r>
      <w:r/>
    </w:p>
    <w:tbl>
      <w:tblPr>
        <w:tblStyle w:val="736"/>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32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项目采购需求中主要技术</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条款描述</w:t>
            </w:r>
            <w:r/>
          </w:p>
        </w:tc>
        <w:tc>
          <w:tcPr>
            <w:tcW w:w="23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所投产品规格、型号及相应技术参数描述</w:t>
            </w:r>
            <w:r/>
          </w:p>
        </w:tc>
        <w:tc>
          <w:tcPr>
            <w:tcW w:w="1080" w:type="dxa"/>
            <w:vAlign w:val="center"/>
            <w:textDirection w:val="lrTb"/>
            <w:noWrap w:val="false"/>
          </w:tcPr>
          <w:p>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偏离情况</w:t>
            </w:r>
            <w:r/>
          </w:p>
        </w:tc>
        <w:tc>
          <w:tcPr>
            <w:tcW w:w="107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2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80"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2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80"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2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80"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2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80"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2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80"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2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80"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2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80"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773"/>
        </w:trPr>
        <w:tc>
          <w:tcPr>
            <w:tcW w:w="1083"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3237"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346" w:type="dxa"/>
            <w:vAlign w:val="center"/>
            <w:textDirection w:val="lrTb"/>
            <w:noWrap w:val="false"/>
          </w:tcPr>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80"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074" w:type="dxa"/>
            <w:vAlign w:val="center"/>
            <w:textDirection w:val="lrTb"/>
            <w:noWrap w:val="false"/>
          </w:tcPr>
          <w:p>
            <w:pPr>
              <w:jc w:val="cente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注:（1）是否偏离用符号“+、=、-”分别表示正偏离、完全响应、负偏离。 </w:t>
      </w:r>
      <w:r/>
    </w:p>
    <w:p>
      <w:pPr>
        <w:ind w:firstLine="420"/>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仿宋" w:hAnsi="仿宋" w:eastAsia="仿宋" w:cs="仿宋"/>
          <w:bCs/>
          <w:color w:val="auto"/>
          <w:sz w:val="32"/>
          <w:highlight w:val="none"/>
        </w:rPr>
      </w:pPr>
      <w:r>
        <w:rPr>
          <w:rFonts w:hint="eastAsia" w:ascii="仿宋" w:hAnsi="仿宋" w:eastAsia="仿宋" w:cs="仿宋"/>
          <w:bCs/>
          <w:color w:val="auto"/>
          <w:sz w:val="32"/>
          <w:highlight w:val="none"/>
        </w:rPr>
      </w:r>
      <w:r/>
    </w:p>
    <w:p>
      <w:pPr>
        <w:pStyle w:val="810"/>
        <w:ind w:left="0" w:right="34" w:firstLine="2715"/>
        <w:spacing w:before="120"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10"/>
        <w:ind w:left="0" w:right="34" w:firstLine="2715"/>
        <w:spacing w:before="120"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10"/>
        <w:ind w:left="0" w:right="34" w:firstLine="2715"/>
        <w:spacing w:before="120"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10"/>
        <w:ind w:left="0" w:right="34" w:firstLine="2715"/>
        <w:spacing w:before="120"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10"/>
        <w:ind w:left="0" w:right="34" w:firstLine="2715"/>
        <w:spacing w:before="120" w:line="520" w:lineRule="exact"/>
        <w:rPr>
          <w:rFonts w:hint="eastAsia" w:ascii="仿宋" w:hAnsi="仿宋" w:eastAsia="仿宋" w:cs="仿宋"/>
          <w:b/>
          <w:color w:val="auto"/>
          <w:sz w:val="32"/>
          <w:szCs w:val="32"/>
          <w:highlight w:val="none"/>
        </w:rPr>
        <w:sectPr>
          <w:footnotePr/>
          <w:endnotePr/>
          <w:type w:val="nextPage"/>
          <w:pgSz w:w="11906" w:h="16838" w:orient="portrait"/>
          <w:pgMar w:top="1440" w:right="1440" w:bottom="1440" w:left="1440" w:header="851" w:footer="992" w:gutter="0"/>
          <w:cols w:num="1" w:sep="0" w:space="0" w:equalWidth="1"/>
          <w:docGrid w:linePitch="360"/>
        </w:sectPr>
      </w:pPr>
      <w:r>
        <w:rPr>
          <w:rFonts w:hint="eastAsia" w:ascii="仿宋" w:hAnsi="仿宋" w:eastAsia="仿宋" w:cs="仿宋"/>
          <w:b/>
          <w:color w:val="auto"/>
          <w:sz w:val="32"/>
          <w:szCs w:val="32"/>
          <w:highlight w:val="none"/>
        </w:rPr>
      </w:r>
      <w:bookmarkEnd w:id="38"/>
      <w:r/>
    </w:p>
    <w:p>
      <w:pPr>
        <w:numPr>
          <w:ilvl w:val="0"/>
          <w:numId w:val="20"/>
        </w:numPr>
        <w:jc w:val="center"/>
        <w:spacing w:line="520" w:lineRule="exact"/>
        <w:rPr>
          <w:rFonts w:hint="eastAsia" w:ascii="仿宋" w:hAnsi="仿宋" w:eastAsia="仿宋" w:cs="仿宋"/>
          <w:b/>
          <w:bCs/>
          <w:color w:val="auto"/>
          <w:sz w:val="32"/>
          <w:szCs w:val="32"/>
          <w:highlight w:val="none"/>
        </w:rPr>
      </w:pPr>
      <w:r>
        <w:rPr>
          <w:rFonts w:hint="eastAsia" w:ascii="仿宋" w:hAnsi="仿宋" w:eastAsia="仿宋" w:cs="仿宋"/>
          <w:b/>
          <w:color w:val="auto"/>
          <w:sz w:val="32"/>
          <w:szCs w:val="32"/>
          <w:highlight w:val="none"/>
        </w:rPr>
        <w:t xml:space="preserve">资质审查时</w:t>
      </w:r>
      <w:r>
        <w:rPr>
          <w:rFonts w:hint="eastAsia" w:ascii="仿宋" w:hAnsi="仿宋" w:eastAsia="仿宋" w:cs="仿宋"/>
          <w:b/>
          <w:bCs/>
          <w:color w:val="auto"/>
          <w:sz w:val="32"/>
          <w:szCs w:val="32"/>
          <w:highlight w:val="none"/>
        </w:rPr>
        <w:t xml:space="preserve">投标人必须提供的资格证明文件</w:t>
      </w:r>
      <w:r/>
    </w:p>
    <w:p>
      <w:pPr>
        <w:numPr>
          <w:ilvl w:val="0"/>
          <w:numId w:val="0"/>
        </w:numPr>
        <w:jc w:val="center"/>
        <w:spacing w:line="52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（适用于</w:t>
      </w:r>
      <w:r>
        <w:rPr>
          <w:rFonts w:hint="eastAsia" w:ascii="仿宋" w:hAnsi="仿宋" w:eastAsia="仿宋" w:cs="仿宋"/>
          <w:b/>
          <w:bCs/>
          <w:color w:val="auto"/>
          <w:sz w:val="32"/>
          <w:szCs w:val="32"/>
          <w:highlight w:val="none"/>
          <w:lang w:val="en-US" w:eastAsia="zh-CN"/>
        </w:rPr>
        <w:t xml:space="preserve">各采购包</w:t>
      </w:r>
      <w:r>
        <w:rPr>
          <w:rFonts w:hint="eastAsia" w:ascii="仿宋" w:hAnsi="仿宋" w:eastAsia="仿宋" w:cs="仿宋"/>
          <w:b/>
          <w:bCs/>
          <w:color w:val="auto"/>
          <w:sz w:val="32"/>
          <w:szCs w:val="32"/>
          <w:highlight w:val="none"/>
        </w:rPr>
        <w:t xml:space="preserve">）</w:t>
      </w:r>
      <w:r/>
    </w:p>
    <w:p>
      <w:pPr>
        <w:pStyle w:val="799"/>
        <w:ind w:firstLine="551"/>
        <w:spacing w:line="520" w:lineRule="exact"/>
        <w:rPr>
          <w:rFonts w:hint="eastAsia" w:ascii="仿宋" w:hAnsi="仿宋" w:eastAsia="仿宋" w:cs="仿宋"/>
          <w:b/>
          <w:bCs/>
          <w:color w:val="auto"/>
          <w:sz w:val="32"/>
          <w:szCs w:val="32"/>
          <w:highlight w:val="none"/>
        </w:rPr>
      </w:pPr>
      <w:r>
        <w:rPr>
          <w:rFonts w:hint="eastAsia" w:ascii="仿宋" w:hAnsi="仿宋" w:eastAsia="仿宋" w:cs="仿宋"/>
          <w:color w:val="auto"/>
          <w:sz w:val="28"/>
          <w:szCs w:val="28"/>
          <w:highlight w:val="none"/>
        </w:rPr>
        <w:t xml:space="preserve">1、提供下列材料之一:</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（1）投标人</w:t>
      </w:r>
      <w:r>
        <w:rPr>
          <w:rFonts w:hint="eastAsia" w:ascii="仿宋" w:hAnsi="仿宋" w:eastAsia="仿宋" w:cs="仿宋"/>
          <w:color w:val="auto"/>
          <w:sz w:val="28"/>
          <w:szCs w:val="28"/>
          <w:highlight w:val="none"/>
        </w:rPr>
        <w:t xml:space="preserve">提供</w:t>
      </w:r>
      <w:r>
        <w:rPr>
          <w:rFonts w:hint="eastAsia" w:ascii="仿宋" w:hAnsi="仿宋" w:eastAsia="仿宋" w:cs="仿宋"/>
          <w:bCs/>
          <w:color w:val="auto"/>
          <w:sz w:val="28"/>
          <w:szCs w:val="28"/>
          <w:highlight w:val="none"/>
        </w:rPr>
        <w:t xml:space="preserve">法定代表人资格证明</w:t>
      </w:r>
      <w:r>
        <w:rPr>
          <w:rFonts w:hint="eastAsia" w:ascii="仿宋" w:hAnsi="仿宋" w:eastAsia="仿宋" w:cs="仿宋"/>
          <w:color w:val="auto"/>
          <w:sz w:val="28"/>
          <w:highlight w:val="none"/>
        </w:rPr>
        <w:t xml:space="preserve">（格式详见示范格式一）和</w:t>
      </w:r>
      <w:r>
        <w:rPr>
          <w:rFonts w:hint="eastAsia" w:ascii="仿宋" w:hAnsi="仿宋" w:eastAsia="仿宋" w:cs="仿宋"/>
          <w:bCs/>
          <w:color w:val="auto"/>
          <w:sz w:val="28"/>
          <w:highlight w:val="none"/>
        </w:rPr>
        <w:t xml:space="preserve">法定代表人</w:t>
      </w:r>
      <w:r>
        <w:rPr>
          <w:rFonts w:hint="eastAsia" w:ascii="仿宋" w:hAnsi="仿宋" w:eastAsia="仿宋" w:cs="仿宋"/>
          <w:bCs/>
          <w:color w:val="auto"/>
          <w:sz w:val="28"/>
          <w:szCs w:val="28"/>
          <w:highlight w:val="none"/>
        </w:rPr>
        <w:t xml:space="preserve">身份证（加盖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highlight w:val="none"/>
        </w:rPr>
        <w:t xml:space="preserve">；</w:t>
      </w:r>
      <w:r/>
    </w:p>
    <w:p>
      <w:pPr>
        <w:ind w:firstLine="420"/>
        <w:spacing w:line="52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（2）投标人提供授权委托书（格式详见示范格式二）和</w:t>
      </w:r>
      <w:r>
        <w:rPr>
          <w:rFonts w:hint="eastAsia" w:ascii="仿宋" w:hAnsi="仿宋" w:eastAsia="仿宋" w:cs="仿宋"/>
          <w:bCs/>
          <w:color w:val="auto"/>
          <w:sz w:val="28"/>
          <w:szCs w:val="28"/>
          <w:highlight w:val="none"/>
        </w:rPr>
        <w:t xml:space="preserve">受托人身份证（加盖</w:t>
      </w:r>
      <w:r>
        <w:rPr>
          <w:rFonts w:hint="eastAsia" w:ascii="仿宋" w:hAnsi="仿宋" w:eastAsia="仿宋" w:cs="仿宋"/>
          <w:color w:val="auto"/>
          <w:sz w:val="28"/>
          <w:highlight w:val="none"/>
        </w:rPr>
        <w:t xml:space="preserve">CA电子签</w:t>
      </w:r>
      <w:r>
        <w:rPr>
          <w:rFonts w:hint="eastAsia" w:ascii="仿宋" w:hAnsi="仿宋" w:eastAsia="仿宋" w:cs="仿宋"/>
          <w:bCs/>
          <w:color w:val="auto"/>
          <w:sz w:val="28"/>
          <w:szCs w:val="28"/>
          <w:highlight w:val="none"/>
        </w:rPr>
        <w:t xml:space="preserve">章）</w:t>
      </w:r>
      <w:r>
        <w:rPr>
          <w:rFonts w:hint="eastAsia" w:ascii="仿宋" w:hAnsi="仿宋" w:eastAsia="仿宋" w:cs="仿宋"/>
          <w:color w:val="auto"/>
          <w:sz w:val="28"/>
          <w:highlight w:val="none"/>
        </w:rPr>
        <w:t xml:space="preserve">。</w:t>
      </w:r>
      <w:r/>
    </w:p>
    <w:p>
      <w:pPr>
        <w:ind w:firstLine="560"/>
        <w:spacing w:line="520" w:lineRule="exact"/>
        <w:rPr>
          <w:rFonts w:hint="eastAsia" w:ascii="仿宋" w:hAnsi="仿宋" w:eastAsia="仿宋" w:cs="仿宋"/>
          <w:color w:val="auto"/>
          <w:sz w:val="28"/>
          <w:highlight w:val="none"/>
          <w:lang w:val="en-US" w:eastAsia="zh-CN"/>
        </w:rPr>
      </w:pPr>
      <w:r>
        <w:rPr>
          <w:rFonts w:hint="eastAsia" w:ascii="仿宋" w:hAnsi="仿宋" w:eastAsia="仿宋"/>
          <w:color w:val="auto"/>
          <w:sz w:val="28"/>
          <w:highlight w:val="none"/>
        </w:rPr>
        <w:t xml:space="preserve">2</w:t>
      </w:r>
      <w:r>
        <w:rPr>
          <w:rFonts w:hint="eastAsia" w:ascii="仿宋" w:hAnsi="仿宋" w:eastAsia="仿宋"/>
          <w:color w:val="auto"/>
          <w:sz w:val="28"/>
          <w:highlight w:val="none"/>
          <w:lang w:eastAsia="zh-CN"/>
        </w:rPr>
        <w:t xml:space="preserve">、</w:t>
      </w:r>
      <w:r>
        <w:rPr>
          <w:rFonts w:hint="eastAsia" w:ascii="仿宋" w:hAnsi="仿宋" w:eastAsia="仿宋" w:cs="仿宋"/>
          <w:color w:val="auto"/>
          <w:sz w:val="28"/>
          <w:szCs w:val="28"/>
          <w:highlight w:val="none"/>
        </w:rPr>
        <w:t xml:space="preserve">投标人须具有在有效期内三证合一的营业执照（提供营业执照扫描件并加盖CA电子签章）</w:t>
      </w:r>
      <w:r/>
    </w:p>
    <w:p>
      <w:pPr>
        <w:ind w:firstLine="560"/>
        <w:spacing w:line="520" w:lineRule="exact"/>
        <w:rPr>
          <w:rFonts w:hint="eastAsia" w:ascii="仿宋" w:hAnsi="仿宋" w:eastAsia="仿宋" w:cs="仿宋"/>
          <w:color w:val="auto"/>
          <w:sz w:val="28"/>
          <w:highlight w:val="none"/>
          <w:lang w:val="zh-CN"/>
        </w:rPr>
      </w:pPr>
      <w:r>
        <w:rPr>
          <w:rFonts w:hint="eastAsia" w:ascii="仿宋" w:hAnsi="仿宋" w:eastAsia="仿宋" w:cs="仿宋"/>
          <w:color w:val="auto"/>
          <w:sz w:val="28"/>
          <w:highlight w:val="none"/>
          <w:lang w:val="en-US" w:eastAsia="zh-CN"/>
        </w:rPr>
        <w:t xml:space="preserve">3</w:t>
      </w:r>
      <w:r>
        <w:rPr>
          <w:rFonts w:hint="eastAsia" w:ascii="仿宋" w:hAnsi="仿宋" w:eastAsia="仿宋" w:cs="仿宋"/>
          <w:color w:val="auto"/>
          <w:sz w:val="28"/>
          <w:highlight w:val="none"/>
        </w:rPr>
        <w:t xml:space="preserve">、投标人符合《中华人民共和国政府采购法》第二十二条规定条件的承诺函</w:t>
      </w:r>
      <w:r>
        <w:rPr>
          <w:rFonts w:hint="eastAsia" w:ascii="仿宋" w:hAnsi="仿宋" w:eastAsia="仿宋" w:cs="仿宋"/>
          <w:color w:val="auto"/>
          <w:sz w:val="28"/>
          <w:highlight w:val="none"/>
          <w:lang w:val="zh-CN"/>
        </w:rPr>
        <w:t xml:space="preserve">（</w:t>
      </w:r>
      <w:r>
        <w:rPr>
          <w:rFonts w:hint="eastAsia" w:ascii="仿宋" w:hAnsi="仿宋" w:eastAsia="仿宋" w:cs="仿宋"/>
          <w:color w:val="auto"/>
          <w:sz w:val="28"/>
          <w:highlight w:val="none"/>
        </w:rPr>
        <w:t xml:space="preserve">格式详见示范格式三</w:t>
      </w:r>
      <w:r>
        <w:rPr>
          <w:rFonts w:hint="eastAsia" w:ascii="仿宋" w:hAnsi="仿宋" w:eastAsia="仿宋" w:cs="仿宋"/>
          <w:color w:val="auto"/>
          <w:sz w:val="28"/>
          <w:highlight w:val="none"/>
          <w:lang w:val="zh-CN"/>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lang w:val="en-US" w:eastAsia="zh-CN"/>
        </w:rPr>
        <w:t xml:space="preserve">4</w:t>
      </w:r>
      <w:r>
        <w:rPr>
          <w:rFonts w:hint="eastAsia" w:ascii="仿宋" w:hAnsi="仿宋" w:eastAsia="仿宋" w:cs="仿宋"/>
          <w:color w:val="auto"/>
          <w:sz w:val="28"/>
          <w:highlight w:val="none"/>
          <w:lang w:val="zh-CN"/>
        </w:rPr>
        <w:t xml:space="preserve">、</w:t>
      </w:r>
      <w:r>
        <w:rPr>
          <w:rFonts w:hint="eastAsia" w:ascii="仿宋" w:hAnsi="仿宋" w:eastAsia="仿宋" w:cs="仿宋"/>
          <w:color w:val="auto"/>
          <w:sz w:val="28"/>
          <w:szCs w:val="28"/>
          <w:highlight w:val="none"/>
        </w:rPr>
        <w:t xml:space="preserve">落实政府采购政策需满足的资格要求（提供下列任一项材料即可，</w:t>
      </w:r>
      <w:r>
        <w:rPr>
          <w:rFonts w:hint="eastAsia" w:ascii="仿宋" w:hAnsi="仿宋" w:eastAsia="仿宋" w:cs="仿宋"/>
          <w:color w:val="auto"/>
          <w:sz w:val="28"/>
          <w:szCs w:val="28"/>
          <w:highlight w:val="none"/>
          <w:lang w:val="zh-CN"/>
        </w:rPr>
        <w:t xml:space="preserve">非专门面向中小企业或者预留份额的采购项目，本项无需提供</w:t>
      </w:r>
      <w:r>
        <w:rPr>
          <w:rFonts w:hint="eastAsia" w:ascii="仿宋" w:hAnsi="仿宋" w:eastAsia="仿宋" w:cs="仿宋"/>
          <w:color w:val="auto"/>
          <w:sz w:val="28"/>
          <w:szCs w:val="28"/>
          <w:highlight w:val="none"/>
        </w:rPr>
        <w:t xml:space="preserve">）:</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（1）企业声明函（详见示范格式四）；</w:t>
      </w:r>
      <w:r/>
    </w:p>
    <w:p>
      <w:pPr>
        <w:ind w:firstLine="560"/>
        <w:spacing w:line="5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（2）《残疾人福利性单位声明函》（详见示范格式五）；</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（3）由省级以上监狱管理局、戒毒管理局（含新疆生产建设兵团）出具的属于监狱企业的证明文件）（加盖出具单位公章的电子件）。</w:t>
      </w:r>
      <w:r/>
    </w:p>
    <w:p>
      <w:pPr>
        <w:ind w:firstLine="157"/>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left"/>
        <w:widowControl/>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jc w:val="center"/>
        <w:spacing w:line="520" w:lineRule="exact"/>
        <w:widowControl/>
        <w:rPr>
          <w:rFonts w:hint="eastAsia" w:ascii="仿宋" w:hAnsi="仿宋" w:eastAsia="仿宋" w:cs="仿宋"/>
          <w:b/>
          <w:bCs/>
          <w:color w:val="auto"/>
          <w:sz w:val="32"/>
          <w:highlight w:val="none"/>
        </w:rPr>
      </w:pPr>
      <w:r>
        <w:rPr>
          <w:rFonts w:hint="eastAsia" w:ascii="仿宋" w:hAnsi="仿宋" w:eastAsia="仿宋" w:cs="仿宋"/>
          <w:b/>
          <w:color w:val="auto"/>
          <w:sz w:val="36"/>
          <w:highlight w:val="none"/>
        </w:rPr>
        <w:br w:type="page" w:clear="all"/>
      </w:r>
      <w:bookmarkStart w:id="39" w:name="_Toc157775454"/>
      <w:r>
        <w:rPr>
          <w:rFonts w:hint="eastAsia" w:ascii="仿宋" w:hAnsi="仿宋" w:eastAsia="仿宋" w:cs="仿宋"/>
          <w:b/>
          <w:bCs/>
          <w:color w:val="auto"/>
          <w:sz w:val="32"/>
          <w:highlight w:val="none"/>
        </w:rPr>
        <w:t xml:space="preserve">六、综合评分时投标人需提供的证明文件</w:t>
      </w:r>
      <w:r>
        <w:rPr>
          <w:rFonts w:hint="eastAsia" w:ascii="仿宋" w:hAnsi="仿宋" w:eastAsia="仿宋" w:cs="仿宋"/>
          <w:b/>
          <w:bCs/>
          <w:color w:val="auto"/>
          <w:sz w:val="32"/>
          <w:szCs w:val="32"/>
          <w:highlight w:val="none"/>
        </w:rPr>
        <w:t xml:space="preserve">（按</w:t>
      </w:r>
      <w:r>
        <w:rPr>
          <w:rFonts w:hint="eastAsia" w:ascii="仿宋" w:hAnsi="仿宋" w:eastAsia="仿宋" w:cs="仿宋"/>
          <w:b/>
          <w:bCs/>
          <w:color w:val="auto"/>
          <w:sz w:val="32"/>
          <w:szCs w:val="32"/>
          <w:highlight w:val="none"/>
          <w:lang w:val="en-US" w:eastAsia="zh-CN"/>
        </w:rPr>
        <w:t xml:space="preserve">采购包提供</w:t>
      </w:r>
      <w:r>
        <w:rPr>
          <w:rFonts w:hint="eastAsia" w:ascii="仿宋" w:hAnsi="仿宋" w:eastAsia="仿宋" w:cs="仿宋"/>
          <w:b/>
          <w:bCs/>
          <w:color w:val="auto"/>
          <w:sz w:val="32"/>
          <w:szCs w:val="32"/>
          <w:highlight w:val="none"/>
        </w:rPr>
        <w:t xml:space="preserve">）</w:t>
      </w:r>
      <w:r/>
    </w:p>
    <w:p>
      <w:pPr>
        <w:ind w:firstLine="840"/>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lang w:val="en-US" w:eastAsia="zh-CN"/>
        </w:rPr>
        <w:t xml:space="preserve">投标人</w:t>
      </w:r>
      <w:r>
        <w:rPr>
          <w:rFonts w:hint="eastAsia" w:ascii="仿宋" w:hAnsi="仿宋" w:eastAsia="仿宋" w:cs="仿宋"/>
          <w:color w:val="auto"/>
          <w:sz w:val="28"/>
          <w:szCs w:val="28"/>
          <w:highlight w:val="none"/>
          <w:lang w:val="zh-CN"/>
        </w:rPr>
        <w:t xml:space="preserve">根据第三章评标标准的要求提供相关材料）</w:t>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877"/>
        <w:spacing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557"/>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七、示范格式</w:t>
      </w:r>
      <w:r/>
    </w:p>
    <w:p>
      <w:pPr>
        <w:spacing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示范格式一                 </w:t>
      </w:r>
      <w:r/>
    </w:p>
    <w:p>
      <w:pPr>
        <w:ind w:firstLine="2570"/>
        <w:spacing w:line="44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bookmarkEnd w:id="39"/>
      <w:r/>
    </w:p>
    <w:p>
      <w:pPr>
        <w:ind w:firstLine="2891"/>
        <w:spacing w:line="640" w:lineRule="exact"/>
        <w:rPr>
          <w:rFonts w:hint="eastAsia" w:ascii="仿宋" w:hAnsi="仿宋" w:eastAsia="仿宋" w:cs="仿宋"/>
          <w:b/>
          <w:bCs/>
          <w:color w:val="auto"/>
          <w:sz w:val="32"/>
          <w:szCs w:val="32"/>
          <w:highlight w:val="none"/>
          <w:lang w:val="zh-CN"/>
        </w:rPr>
      </w:pPr>
      <w:r>
        <w:rPr>
          <w:rFonts w:hint="eastAsia" w:ascii="仿宋" w:hAnsi="仿宋" w:eastAsia="仿宋" w:cs="仿宋"/>
          <w:b/>
          <w:bCs/>
          <w:color w:val="auto"/>
          <w:sz w:val="32"/>
          <w:szCs w:val="32"/>
          <w:highlight w:val="none"/>
          <w:lang w:val="zh-CN"/>
        </w:rPr>
        <w:t xml:space="preserve">法定代表人资格证明</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单位名称:</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地址:</w:t>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姓名:     性别:      年龄:      职务:</w:t>
      </w:r>
      <w:r/>
    </w:p>
    <w:p>
      <w:pPr>
        <w:ind w:left="1" w:firstLine="560"/>
        <w:spacing w:line="640" w:lineRule="exact"/>
        <w:rPr>
          <w:rFonts w:hint="eastAsia" w:ascii="仿宋" w:hAnsi="仿宋" w:eastAsia="仿宋" w:cs="仿宋"/>
          <w:color w:val="auto"/>
          <w:sz w:val="28"/>
          <w:highlight w:val="none"/>
        </w:rPr>
      </w:pPr>
      <w:r>
        <w:rPr>
          <w:rFonts w:hint="eastAsia" w:ascii="仿宋" w:hAnsi="仿宋" w:eastAsia="仿宋" w:cs="仿宋"/>
          <w:color w:val="auto"/>
          <w:sz w:val="28"/>
          <w:szCs w:val="28"/>
          <w:highlight w:val="none"/>
          <w:lang w:val="zh-CN"/>
        </w:rPr>
        <w:t xml:space="preserve">系</w:t>
      </w:r>
      <w:r>
        <w:rPr>
          <w:rFonts w:hint="eastAsia" w:ascii="仿宋" w:hAnsi="仿宋" w:eastAsia="仿宋" w:cs="仿宋"/>
          <w:color w:val="auto"/>
          <w:sz w:val="28"/>
          <w:szCs w:val="28"/>
          <w:highlight w:val="none"/>
          <w:u w:val="single"/>
          <w:lang w:val="zh-CN"/>
        </w:rPr>
        <w:t xml:space="preserve"> （投标人单位名称）</w:t>
      </w:r>
      <w:r>
        <w:rPr>
          <w:rFonts w:hint="eastAsia" w:ascii="仿宋" w:hAnsi="仿宋" w:eastAsia="仿宋" w:cs="仿宋"/>
          <w:color w:val="auto"/>
          <w:sz w:val="28"/>
          <w:szCs w:val="28"/>
          <w:highlight w:val="none"/>
          <w:lang w:val="zh-CN"/>
        </w:rPr>
        <w:t xml:space="preserve">的法定代表人。</w:t>
      </w:r>
      <w:r>
        <w:rPr>
          <w:rFonts w:hint="eastAsia" w:ascii="仿宋" w:hAnsi="仿宋" w:eastAsia="仿宋" w:cs="仿宋"/>
          <w:color w:val="auto"/>
          <w:sz w:val="28"/>
          <w:highlight w:val="none"/>
        </w:rPr>
        <w:t xml:space="preserve">为参与</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项目，签署上述项目的投标文件、进行招标、签署合同和处理与之有关的一切事务。</w:t>
      </w:r>
      <w:r/>
    </w:p>
    <w:p>
      <w:pPr>
        <w:ind w:firstLine="28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0"/>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特此证明。</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pStyle w:val="796"/>
        <w:ind w:left="4760" w:right="560" w:hanging="1820"/>
        <w:spacing w:before="0" w:after="0"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p>
    <w:p>
      <w:pPr>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highlight w:val="none"/>
        </w:rPr>
        <w:t xml:space="preserve">注:投标人法定代表人</w:t>
      </w:r>
      <w:r>
        <w:rPr>
          <w:rFonts w:hint="eastAsia" w:ascii="仿宋" w:hAnsi="仿宋" w:eastAsia="仿宋" w:cs="仿宋"/>
          <w:bCs/>
          <w:color w:val="auto"/>
          <w:sz w:val="28"/>
          <w:szCs w:val="28"/>
          <w:highlight w:val="none"/>
        </w:rPr>
        <w:t xml:space="preserve">参加投标的，必须附</w:t>
      </w:r>
      <w:r>
        <w:rPr>
          <w:rFonts w:hint="eastAsia" w:ascii="仿宋" w:hAnsi="仿宋" w:eastAsia="仿宋" w:cs="仿宋"/>
          <w:bCs/>
          <w:color w:val="auto"/>
          <w:sz w:val="28"/>
          <w:highlight w:val="none"/>
        </w:rPr>
        <w:t xml:space="preserve">法定代表人</w:t>
      </w:r>
      <w:r>
        <w:rPr>
          <w:rFonts w:hint="eastAsia" w:ascii="仿宋" w:hAnsi="仿宋" w:eastAsia="仿宋" w:cs="仿宋"/>
          <w:bCs/>
          <w:color w:val="auto"/>
          <w:sz w:val="28"/>
          <w:szCs w:val="28"/>
          <w:highlight w:val="none"/>
        </w:rPr>
        <w:t xml:space="preserve">身份证扫描件加盖投标人电子签章。</w:t>
      </w:r>
      <w:r>
        <w:rPr>
          <w:rFonts w:hint="eastAsia" w:ascii="仿宋" w:hAnsi="仿宋" w:eastAsia="仿宋" w:cs="仿宋"/>
          <w:color w:val="auto"/>
          <w:sz w:val="28"/>
          <w:szCs w:val="28"/>
          <w:highlight w:val="none"/>
        </w:rPr>
        <w:t xml:space="preserve">法定代表人授权其他人参加投标的，仅需填写“授权委托书”。</w:t>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32"/>
          <w:highlight w:val="none"/>
        </w:rPr>
      </w:pPr>
      <w:r>
        <w:rPr>
          <w:rFonts w:hint="eastAsia" w:ascii="仿宋" w:hAnsi="仿宋" w:eastAsia="仿宋" w:cs="仿宋"/>
          <w:b/>
          <w:color w:val="auto"/>
          <w:sz w:val="32"/>
          <w:highlight w:val="none"/>
        </w:rPr>
      </w:r>
      <w:r/>
    </w:p>
    <w:p>
      <w:pPr>
        <w:ind w:left="-359" w:firstLine="357"/>
        <w:spacing w:line="640" w:lineRule="exact"/>
        <w:rPr>
          <w:rFonts w:hint="eastAsia" w:ascii="仿宋" w:hAnsi="仿宋" w:eastAsia="仿宋" w:cs="仿宋"/>
          <w:b/>
          <w:color w:val="auto"/>
          <w:sz w:val="28"/>
          <w:szCs w:val="28"/>
          <w:highlight w:val="none"/>
        </w:rPr>
      </w:pPr>
      <w:r>
        <w:rPr>
          <w:rFonts w:hint="eastAsia" w:ascii="仿宋" w:hAnsi="仿宋" w:eastAsia="仿宋" w:cs="仿宋"/>
          <w:b/>
          <w:color w:val="auto"/>
          <w:sz w:val="32"/>
          <w:highlight w:val="none"/>
        </w:rPr>
        <w:t xml:space="preserve">示范格式二</w:t>
      </w:r>
      <w:r/>
    </w:p>
    <w:p>
      <w:pPr>
        <w:ind w:firstLine="3213"/>
        <w:spacing w:line="520" w:lineRule="exact"/>
        <w:rPr>
          <w:rFonts w:hint="eastAsia" w:ascii="仿宋" w:hAnsi="仿宋" w:eastAsia="仿宋" w:cs="仿宋"/>
          <w:b/>
          <w:bCs/>
          <w:color w:val="auto"/>
          <w:sz w:val="28"/>
          <w:highlight w:val="none"/>
        </w:rPr>
      </w:pPr>
      <w:r>
        <w:rPr>
          <w:rFonts w:hint="eastAsia" w:ascii="仿宋" w:hAnsi="仿宋" w:eastAsia="仿宋" w:cs="仿宋"/>
          <w:b/>
          <w:bCs/>
          <w:color w:val="auto"/>
          <w:sz w:val="32"/>
          <w:highlight w:val="none"/>
        </w:rPr>
        <w:t xml:space="preserve">授权委托书</w:t>
      </w:r>
      <w:r/>
    </w:p>
    <w:p>
      <w:pPr>
        <w:spacing w:line="520" w:lineRule="exact"/>
        <w:rPr>
          <w:rFonts w:hint="eastAsia" w:ascii="仿宋" w:hAnsi="仿宋" w:eastAsia="仿宋" w:cs="仿宋"/>
          <w:bCs/>
          <w:color w:val="auto"/>
          <w:sz w:val="30"/>
          <w:szCs w:val="28"/>
          <w:highlight w:val="none"/>
        </w:rPr>
      </w:pPr>
      <w:r>
        <w:rPr>
          <w:rFonts w:hint="eastAsia" w:ascii="仿宋" w:hAnsi="仿宋" w:eastAsia="仿宋" w:cs="仿宋"/>
          <w:bCs/>
          <w:color w:val="auto"/>
          <w:sz w:val="30"/>
          <w:szCs w:val="28"/>
          <w:highlight w:val="none"/>
        </w:rPr>
        <w:t xml:space="preserve">致</w:t>
      </w:r>
      <w:r>
        <w:rPr>
          <w:rFonts w:hint="eastAsia" w:ascii="仿宋" w:hAnsi="仿宋" w:eastAsia="仿宋" w:cs="仿宋"/>
          <w:bCs/>
          <w:color w:val="auto"/>
          <w:sz w:val="30"/>
          <w:szCs w:val="28"/>
          <w:highlight w:val="none"/>
          <w:lang w:eastAsia="zh-CN"/>
        </w:rPr>
        <w:t xml:space="preserve">正中国际项目管理集团有限公司</w:t>
      </w:r>
      <w:r>
        <w:rPr>
          <w:rFonts w:hint="eastAsia" w:ascii="仿宋" w:hAnsi="仿宋" w:eastAsia="仿宋" w:cs="仿宋"/>
          <w:bCs/>
          <w:color w:val="auto"/>
          <w:sz w:val="30"/>
          <w:szCs w:val="28"/>
          <w:highlight w:val="none"/>
        </w:rPr>
        <w:t xml:space="preserve">:</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本授权书宣告:</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委托方:</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受托人:姓名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日</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所在单位: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职务:</w:t>
      </w:r>
      <w:r>
        <w:rPr>
          <w:rFonts w:hint="eastAsia" w:ascii="仿宋" w:hAnsi="仿宋" w:eastAsia="仿宋" w:cs="仿宋"/>
          <w:color w:val="auto"/>
          <w:sz w:val="28"/>
          <w:szCs w:val="28"/>
          <w:highlight w:val="none"/>
          <w:u w:val="single"/>
        </w:rPr>
        <w:t xml:space="preserve">           </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 份 证:</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u w:val="single"/>
        </w:rPr>
        <w:t xml:space="preserve">       </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兹委托受托人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代表我公司参加</w:t>
      </w:r>
      <w:r>
        <w:rPr>
          <w:rFonts w:hint="eastAsia" w:ascii="仿宋" w:hAnsi="仿宋" w:eastAsia="仿宋" w:cs="仿宋"/>
          <w:color w:val="auto"/>
          <w:sz w:val="28"/>
          <w:szCs w:val="28"/>
          <w:highlight w:val="none"/>
          <w:lang w:eastAsia="zh-CN"/>
        </w:rPr>
        <w:t xml:space="preserve">正中国际项目管理集团有限公司</w:t>
      </w:r>
      <w:r>
        <w:rPr>
          <w:rFonts w:hint="eastAsia" w:ascii="仿宋" w:hAnsi="仿宋" w:eastAsia="仿宋" w:cs="仿宋"/>
          <w:color w:val="auto"/>
          <w:sz w:val="28"/>
          <w:szCs w:val="28"/>
          <w:highlight w:val="none"/>
        </w:rPr>
        <w:t xml:space="preserve">组织的（项目编号: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 xml:space="preserve">采购项目的政府采购活动，受托人有权在该招标活动中，以我单位的名义签署投标函和投标文件，与洪泽分中心协商、澄清、解释，签订合同书并执行一切与此有关的事项。</w:t>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委托期限:至上述事宜处理完毕止。</w:t>
      </w:r>
      <w:r/>
    </w:p>
    <w:p>
      <w:pPr>
        <w:ind w:firstLine="600"/>
        <w:spacing w:line="52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投标人:</w:t>
      </w:r>
      <w:r>
        <w:rPr>
          <w:rFonts w:hint="eastAsia" w:ascii="仿宋" w:hAnsi="仿宋" w:eastAsia="仿宋" w:cs="仿宋"/>
          <w:color w:val="auto"/>
          <w:sz w:val="28"/>
          <w:szCs w:val="28"/>
          <w:highlight w:val="none"/>
          <w:u w:val="single"/>
          <w:lang w:val="zh-CN"/>
        </w:rPr>
        <w:t xml:space="preserve">     （电子签章）    </w:t>
      </w:r>
      <w:r/>
    </w:p>
    <w:p>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left="-359" w:firstLine="548"/>
        <w:spacing w:line="520" w:lineRule="exact"/>
        <w:rPr>
          <w:rFonts w:hint="eastAsia" w:ascii="仿宋" w:hAnsi="仿宋" w:eastAsia="仿宋" w:cs="仿宋"/>
          <w:bCs/>
          <w:color w:val="auto"/>
          <w:sz w:val="28"/>
          <w:highlight w:val="none"/>
        </w:rPr>
      </w:pPr>
      <w:r>
        <w:rPr>
          <w:rFonts w:hint="eastAsia" w:ascii="仿宋" w:hAnsi="仿宋" w:eastAsia="仿宋" w:cs="仿宋"/>
          <w:bCs/>
          <w:color w:val="auto"/>
          <w:sz w:val="28"/>
          <w:highlight w:val="none"/>
        </w:rPr>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highlight w:val="none"/>
        </w:rPr>
        <w:t xml:space="preserve">注:投标人委托</w:t>
      </w:r>
      <w:r>
        <w:rPr>
          <w:rFonts w:hint="eastAsia" w:ascii="仿宋" w:hAnsi="仿宋" w:eastAsia="仿宋" w:cs="仿宋"/>
          <w:bCs/>
          <w:color w:val="auto"/>
          <w:sz w:val="28"/>
          <w:szCs w:val="28"/>
          <w:highlight w:val="none"/>
        </w:rPr>
        <w:t xml:space="preserve">受托人参加投标的，必须附受托人身份证</w:t>
      </w:r>
      <w:r>
        <w:rPr>
          <w:rFonts w:hint="eastAsia" w:ascii="仿宋" w:hAnsi="仿宋" w:eastAsia="仿宋" w:cs="仿宋"/>
          <w:color w:val="auto"/>
          <w:sz w:val="28"/>
          <w:szCs w:val="28"/>
          <w:highlight w:val="none"/>
        </w:rPr>
        <w:t xml:space="preserve">扫描</w:t>
      </w:r>
      <w:r>
        <w:rPr>
          <w:rFonts w:hint="eastAsia" w:ascii="仿宋" w:hAnsi="仿宋" w:eastAsia="仿宋" w:cs="仿宋"/>
          <w:bCs/>
          <w:color w:val="auto"/>
          <w:sz w:val="28"/>
          <w:szCs w:val="28"/>
          <w:highlight w:val="none"/>
        </w:rPr>
        <w:t xml:space="preserve">件加盖投标人电子签章。</w:t>
      </w:r>
      <w:r>
        <w:rPr>
          <w:rFonts w:hint="eastAsia" w:ascii="仿宋" w:hAnsi="仿宋" w:eastAsia="仿宋" w:cs="仿宋"/>
          <w:color w:val="auto"/>
          <w:sz w:val="28"/>
          <w:szCs w:val="28"/>
          <w:highlight w:val="none"/>
        </w:rPr>
        <w:t xml:space="preserve">法定代表人直接参加投标的，仅需填写“法定代表人资格证明”。</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示范格式三</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符合《中华人民共和国政府采购法》第二十二条规定条件的</w:t>
      </w:r>
      <w:r/>
    </w:p>
    <w:p>
      <w:pPr>
        <w:jc w:val="center"/>
        <w:spacing w:line="520" w:lineRule="exact"/>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 xml:space="preserve">声明函</w:t>
      </w:r>
      <w:r/>
    </w:p>
    <w:p>
      <w:pPr>
        <w:pStyle w:val="881"/>
        <w:ind w:firstLine="0"/>
        <w:spacing w:line="72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lang w:eastAsia="zh-CN"/>
        </w:rPr>
        <w:t xml:space="preserve">正中国际项目管理集团有限公司</w:t>
      </w:r>
      <w:r>
        <w:rPr>
          <w:rFonts w:hint="eastAsia" w:ascii="仿宋" w:hAnsi="仿宋" w:eastAsia="仿宋" w:cs="仿宋"/>
          <w:bCs/>
          <w:color w:val="auto"/>
          <w:sz w:val="28"/>
          <w:szCs w:val="28"/>
          <w:highlight w:val="none"/>
        </w:rPr>
        <w:t xml:space="preserve">:</w:t>
      </w:r>
      <w:r/>
    </w:p>
    <w:p>
      <w:pPr>
        <w:ind w:firstLine="84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我公司参加贵中心组织实施的（项目编号:       ）</w:t>
      </w:r>
      <w:r>
        <w:rPr>
          <w:rFonts w:hint="eastAsia" w:ascii="仿宋" w:hAnsi="仿宋" w:eastAsia="仿宋" w:cs="仿宋"/>
          <w:bCs/>
          <w:color w:val="auto"/>
          <w:sz w:val="28"/>
          <w:highlight w:val="none"/>
        </w:rPr>
        <w:t xml:space="preserve">    </w:t>
      </w:r>
      <w:r>
        <w:rPr>
          <w:rFonts w:hint="eastAsia" w:ascii="仿宋" w:hAnsi="仿宋" w:eastAsia="仿宋" w:cs="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1、我单位具有独立承担民事责任的能力；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2、我单位具有良好的商业信誉和健全的财务会计制度；</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3、我单位具有履行合同所必需的设备和专业技术能力；</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4、我单位有依法缴纳税收和社会保障资金的良好记录；</w:t>
      </w:r>
      <w:r/>
    </w:p>
    <w:p>
      <w:pPr>
        <w:ind w:firstLine="560"/>
        <w:jc w:val="left"/>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6、我单位满足法律、行政法规规定的其他条件。</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jc w:val="right"/>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承诺人</w:t>
      </w:r>
      <w:r>
        <w:rPr>
          <w:rFonts w:hint="eastAsia" w:ascii="仿宋" w:hAnsi="仿宋" w:eastAsia="仿宋" w:cs="仿宋"/>
          <w:color w:val="auto"/>
          <w:sz w:val="28"/>
          <w:szCs w:val="28"/>
          <w:highlight w:val="none"/>
          <w:lang w:val="zh-CN"/>
        </w:rPr>
        <w:t xml:space="preserve">:</w:t>
      </w:r>
      <w:r>
        <w:rPr>
          <w:rFonts w:hint="eastAsia" w:ascii="仿宋" w:hAnsi="仿宋" w:eastAsia="仿宋" w:cs="仿宋"/>
          <w:color w:val="auto"/>
          <w:sz w:val="28"/>
          <w:szCs w:val="28"/>
          <w:highlight w:val="none"/>
          <w:u w:val="single"/>
          <w:lang w:val="zh-CN"/>
        </w:rPr>
        <w:t xml:space="preserve">     （电子签章）    </w:t>
      </w:r>
      <w:r/>
    </w:p>
    <w:p>
      <w:pPr>
        <w:spacing w:line="52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color w:val="auto"/>
          <w:sz w:val="28"/>
          <w:szCs w:val="28"/>
          <w:highlight w:val="none"/>
        </w:rPr>
      </w:pPr>
      <w:r>
        <w:rPr>
          <w:rFonts w:hint="eastAsia" w:ascii="仿宋" w:hAnsi="仿宋" w:eastAsia="仿宋" w:cs="仿宋"/>
          <w:b/>
          <w:color w:val="auto"/>
          <w:sz w:val="32"/>
          <w:szCs w:val="32"/>
          <w:highlight w:val="none"/>
        </w:rPr>
        <w:t xml:space="preserve">示范格式四</w:t>
      </w:r>
      <w:r>
        <w:rPr>
          <w:rFonts w:hint="eastAsia" w:ascii="仿宋" w:hAnsi="仿宋" w:eastAsia="仿宋" w:cs="仿宋"/>
          <w:color w:val="auto"/>
          <w:sz w:val="28"/>
          <w:szCs w:val="28"/>
          <w:highlight w:val="none"/>
        </w:rPr>
        <w:t xml:space="preserve">                                           </w:t>
      </w:r>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中小企业声明函（货物类）</w:t>
      </w:r>
      <w:r/>
    </w:p>
    <w:p>
      <w:pPr>
        <w:pStyle w:val="881"/>
        <w:ind w:firstLine="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lang w:eastAsia="zh-CN"/>
        </w:rPr>
        <w:t xml:space="preserve">正中国际项目管理集团有限公司</w:t>
      </w:r>
      <w:r>
        <w:rPr>
          <w:rFonts w:hint="eastAsia" w:ascii="仿宋" w:hAnsi="仿宋" w:eastAsia="仿宋" w:cs="仿宋"/>
          <w:bCs/>
          <w:color w:val="auto"/>
          <w:sz w:val="28"/>
          <w:szCs w:val="28"/>
          <w:highlight w:val="none"/>
        </w:rPr>
        <w:t xml:space="preserve">:</w:t>
      </w:r>
      <w:r/>
    </w:p>
    <w:p>
      <w:pPr>
        <w:pStyle w:val="88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cs="仿宋"/>
          <w:bCs/>
          <w:color w:val="auto"/>
          <w:sz w:val="28"/>
          <w:szCs w:val="28"/>
          <w:highlight w:val="none"/>
          <w:u w:val="single"/>
        </w:rPr>
        <w:t xml:space="preserve">（单位名称）</w:t>
      </w:r>
      <w:r>
        <w:rPr>
          <w:rFonts w:hint="eastAsia" w:ascii="仿宋" w:hAnsi="仿宋" w:eastAsia="仿宋" w:cs="仿宋"/>
          <w:bCs/>
          <w:color w:val="auto"/>
          <w:sz w:val="28"/>
          <w:szCs w:val="28"/>
          <w:highlight w:val="none"/>
        </w:rPr>
        <w:t xml:space="preserve">的</w:t>
      </w:r>
      <w:r>
        <w:rPr>
          <w:rFonts w:hint="eastAsia" w:ascii="仿宋" w:hAnsi="仿宋" w:eastAsia="仿宋" w:cs="仿宋"/>
          <w:bCs/>
          <w:color w:val="auto"/>
          <w:sz w:val="28"/>
          <w:szCs w:val="28"/>
          <w:highlight w:val="none"/>
          <w:u w:val="single"/>
        </w:rPr>
        <w:t xml:space="preserve">（项目名称）</w:t>
      </w:r>
      <w:r>
        <w:rPr>
          <w:rFonts w:hint="eastAsia" w:ascii="仿宋" w:hAnsi="仿宋" w:eastAsia="仿宋" w:cs="仿宋"/>
          <w:bCs/>
          <w:color w:val="auto"/>
          <w:sz w:val="28"/>
          <w:szCs w:val="28"/>
          <w:highlight w:val="none"/>
        </w:rPr>
        <w:t xml:space="preserve">采购活动，提供的货物全部由符合政策要求的中小企业制造。相关企业的具体情况如下： </w:t>
      </w:r>
      <w:r/>
    </w:p>
    <w:p>
      <w:pPr>
        <w:pStyle w:val="88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 </w:t>
      </w:r>
      <w:r>
        <w:rPr>
          <w:rFonts w:hint="eastAsia" w:ascii="仿宋" w:hAnsi="仿宋" w:eastAsia="仿宋" w:cs="仿宋"/>
          <w:bCs/>
          <w:color w:val="auto"/>
          <w:sz w:val="28"/>
          <w:szCs w:val="28"/>
          <w:highlight w:val="none"/>
          <w:u w:val="single"/>
        </w:rPr>
        <w:t xml:space="preserve">（标的名称）</w:t>
      </w:r>
      <w:r>
        <w:rPr>
          <w:rFonts w:hint="eastAsia" w:ascii="仿宋" w:hAnsi="仿宋" w:eastAsia="仿宋" w:cs="仿宋"/>
          <w:bCs/>
          <w:color w:val="auto"/>
          <w:sz w:val="28"/>
          <w:szCs w:val="28"/>
          <w:highlight w:val="none"/>
        </w:rPr>
        <w:t xml:space="preserve"> ，属于</w:t>
      </w:r>
      <w:r>
        <w:rPr>
          <w:rFonts w:hint="eastAsia" w:ascii="仿宋" w:hAnsi="仿宋" w:eastAsia="仿宋" w:cs="仿宋"/>
          <w:bCs/>
          <w:color w:val="auto"/>
          <w:sz w:val="28"/>
          <w:szCs w:val="28"/>
          <w:highlight w:val="none"/>
          <w:u w:val="single"/>
        </w:rPr>
        <w:t xml:space="preserve">（</w:t>
      </w:r>
      <w:r>
        <w:rPr>
          <w:rFonts w:hint="eastAsia" w:ascii="仿宋" w:hAnsi="仿宋" w:eastAsia="仿宋" w:cs="仿宋"/>
          <w:bCs/>
          <w:color w:val="auto"/>
          <w:sz w:val="28"/>
          <w:szCs w:val="28"/>
          <w:highlight w:val="none"/>
          <w:u w:val="single"/>
          <w:lang w:val="en-US" w:eastAsia="zh-CN"/>
        </w:rPr>
        <w:t xml:space="preserve">工业</w:t>
      </w:r>
      <w:r>
        <w:rPr>
          <w:rFonts w:hint="eastAsia" w:ascii="仿宋" w:hAnsi="仿宋" w:eastAsia="仿宋" w:cs="仿宋"/>
          <w:bCs/>
          <w:color w:val="auto"/>
          <w:sz w:val="28"/>
          <w:szCs w:val="28"/>
          <w:highlight w:val="none"/>
          <w:u w:val="single"/>
        </w:rPr>
        <w:t xml:space="preserve">）</w:t>
      </w:r>
      <w:r>
        <w:rPr>
          <w:rFonts w:hint="eastAsia" w:ascii="仿宋" w:hAnsi="仿宋" w:eastAsia="仿宋" w:cs="仿宋"/>
          <w:bCs/>
          <w:color w:val="auto"/>
          <w:sz w:val="28"/>
          <w:szCs w:val="28"/>
          <w:highlight w:val="none"/>
        </w:rPr>
        <w:t xml:space="preserve">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r/>
    </w:p>
    <w:p>
      <w:pPr>
        <w:pStyle w:val="88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w:t>
      </w:r>
      <w:r>
        <w:rPr>
          <w:rFonts w:hint="eastAsia" w:ascii="仿宋" w:hAnsi="仿宋" w:eastAsia="仿宋" w:cs="仿宋"/>
          <w:bCs/>
          <w:color w:val="auto"/>
          <w:sz w:val="28"/>
          <w:szCs w:val="28"/>
          <w:highlight w:val="none"/>
          <w:u w:val="single"/>
        </w:rPr>
        <w:t xml:space="preserve"> （标的名称）</w:t>
      </w:r>
      <w:r>
        <w:rPr>
          <w:rFonts w:hint="eastAsia" w:ascii="仿宋" w:hAnsi="仿宋" w:eastAsia="仿宋" w:cs="仿宋"/>
          <w:bCs/>
          <w:color w:val="auto"/>
          <w:sz w:val="28"/>
          <w:szCs w:val="28"/>
          <w:highlight w:val="none"/>
        </w:rPr>
        <w:t xml:space="preserve"> ，属于（</w:t>
      </w:r>
      <w:r>
        <w:rPr>
          <w:rFonts w:hint="eastAsia" w:ascii="仿宋" w:hAnsi="仿宋" w:eastAsia="仿宋" w:cs="仿宋"/>
          <w:bCs/>
          <w:color w:val="auto"/>
          <w:sz w:val="28"/>
          <w:szCs w:val="28"/>
          <w:highlight w:val="none"/>
          <w:lang w:val="en-US" w:eastAsia="zh-CN"/>
        </w:rPr>
        <w:t xml:space="preserve">工业</w:t>
      </w:r>
      <w:r>
        <w:rPr>
          <w:rFonts w:hint="eastAsia" w:ascii="仿宋" w:hAnsi="仿宋" w:eastAsia="仿宋" w:cs="仿宋"/>
          <w:bCs/>
          <w:color w:val="auto"/>
          <w:sz w:val="28"/>
          <w:szCs w:val="28"/>
          <w:highlight w:val="none"/>
        </w:rPr>
        <w:t xml:space="preserve">）行业；制造商为（企业名称），从业人员</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人，营业收入为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万元，资产总额为</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万元，属于（中型企业、小型企业、微型企业）。 </w:t>
      </w:r>
      <w:r/>
    </w:p>
    <w:p>
      <w:pPr>
        <w:pStyle w:val="88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w:t>
      </w:r>
      <w:r/>
    </w:p>
    <w:p>
      <w:pPr>
        <w:pStyle w:val="88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以上企业，不属于大企业的分支机构，不存在控股股东为大企业的情形，也不存在与大企业的负责人为同一人的情形。</w:t>
      </w:r>
      <w:r/>
    </w:p>
    <w:p>
      <w:pPr>
        <w:pStyle w:val="881"/>
        <w:ind w:firstLine="560"/>
        <w:spacing w:line="6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本企业对上述声明内容的真实性负责。如有虚假，将依法承担相应责任。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r>
        <w:rPr>
          <w:rFonts w:hint="eastAsia" w:ascii="仿宋" w:hAnsi="仿宋" w:eastAsia="仿宋" w:cs="仿宋"/>
          <w:bCs/>
          <w:color w:val="auto"/>
          <w:sz w:val="28"/>
          <w:szCs w:val="28"/>
          <w:highlight w:val="none"/>
          <w:lang w:val="zh-CN"/>
        </w:rPr>
        <w:t xml:space="preserve"> </w:t>
      </w:r>
      <w:r>
        <w:rPr>
          <w:rFonts w:hint="eastAsia" w:ascii="仿宋" w:hAnsi="仿宋" w:eastAsia="仿宋" w:cs="仿宋"/>
          <w:bCs/>
          <w:color w:val="auto"/>
          <w:sz w:val="28"/>
          <w:szCs w:val="28"/>
          <w:highlight w:val="none"/>
        </w:rPr>
        <w:t xml:space="preserve">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highlight w:val="none"/>
          <w:u w:val="single"/>
        </w:rPr>
        <w:t xml:space="preserve">（电子签章或电子签字）</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pStyle w:val="881"/>
        <w:ind w:firstLine="0"/>
        <w:spacing w:line="6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注：从业人员、营业收入、资产总额填报上一年度数据，无上一年度数据的新成立企业可不填报。</w:t>
      </w:r>
      <w:r/>
    </w:p>
    <w:p>
      <w:pPr>
        <w:pStyle w:val="881"/>
        <w:ind w:firstLine="0"/>
        <w:jc w:val="left"/>
        <w:spacing w:line="52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示范格式五</w:t>
      </w:r>
      <w:r/>
    </w:p>
    <w:p>
      <w:pPr>
        <w:jc w:val="center"/>
        <w:spacing w:line="640" w:lineRule="exact"/>
        <w:widowControl/>
        <w:rPr>
          <w:rFonts w:hint="eastAsia" w:ascii="仿宋" w:hAnsi="仿宋" w:eastAsia="仿宋" w:cs="仿宋"/>
          <w:color w:val="auto"/>
          <w:sz w:val="24"/>
          <w:highlight w:val="none"/>
        </w:rPr>
      </w:pPr>
      <w:r>
        <w:rPr>
          <w:rFonts w:hint="eastAsia" w:ascii="仿宋" w:hAnsi="仿宋" w:eastAsia="仿宋" w:cs="仿宋"/>
          <w:b/>
          <w:bCs/>
          <w:color w:val="auto"/>
          <w:sz w:val="32"/>
          <w:szCs w:val="32"/>
          <w:highlight w:val="none"/>
        </w:rPr>
        <w:t xml:space="preserve">残疾人福利性单位声明函</w:t>
      </w:r>
      <w:r/>
    </w:p>
    <w:p>
      <w:pPr>
        <w:pStyle w:val="881"/>
        <w:ind w:firstLine="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bCs/>
          <w:color w:val="auto"/>
          <w:sz w:val="28"/>
          <w:szCs w:val="28"/>
          <w:highlight w:val="none"/>
          <w:lang w:eastAsia="zh-CN"/>
        </w:rPr>
        <w:t xml:space="preserve">正中国际项目管理集团有限公司</w:t>
      </w:r>
      <w:r>
        <w:rPr>
          <w:rFonts w:hint="eastAsia" w:ascii="仿宋" w:hAnsi="仿宋" w:eastAsia="仿宋" w:cs="仿宋"/>
          <w:bCs/>
          <w:color w:val="auto"/>
          <w:sz w:val="28"/>
          <w:szCs w:val="28"/>
          <w:highlight w:val="none"/>
        </w:rPr>
        <w:t xml:space="preserve">:</w:t>
      </w:r>
      <w:r/>
    </w:p>
    <w:p>
      <w:pPr>
        <w:pStyle w:val="881"/>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81"/>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1、根据《财政部 民政部 中国残疾人联合会关于促进残疾人就业政府采购政策的通知》（财库〔2017〕141 号）规定的划分标准，本公司为残疾人福利性企业。</w:t>
      </w:r>
      <w:r/>
    </w:p>
    <w:p>
      <w:pPr>
        <w:pStyle w:val="881"/>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881"/>
        <w:ind w:firstLine="560"/>
        <w:spacing w:line="64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注:</w:t>
      </w:r>
      <w:r>
        <w:rPr>
          <w:rFonts w:hint="eastAsia" w:ascii="仿宋" w:hAnsi="仿宋" w:eastAsia="仿宋" w:cs="仿宋"/>
          <w:bCs/>
          <w:color w:val="auto"/>
          <w:sz w:val="28"/>
          <w:szCs w:val="28"/>
          <w:highlight w:val="none"/>
        </w:rPr>
        <w:t xml:space="preserve">本公司对上述声明的真实性负责。如有虚假，将依法承担相应责任。</w:t>
      </w:r>
      <w:r/>
    </w:p>
    <w:p>
      <w:pPr>
        <w:pStyle w:val="881"/>
        <w:ind w:firstLine="560"/>
        <w:spacing w:line="6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投标人:</w:t>
      </w:r>
      <w:r>
        <w:rPr>
          <w:rFonts w:hint="eastAsia" w:ascii="仿宋" w:hAnsi="仿宋" w:eastAsia="仿宋" w:cs="仿宋"/>
          <w:color w:val="auto"/>
          <w:sz w:val="28"/>
          <w:szCs w:val="28"/>
          <w:highlight w:val="none"/>
          <w:u w:val="single"/>
          <w:lang w:val="zh-CN"/>
        </w:rPr>
        <w:t xml:space="preserve">        （电子签章）     </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highlight w:val="none"/>
          <w:u w:val="single"/>
        </w:rPr>
        <w:t xml:space="preserve">（电子签章或电子签字）</w:t>
      </w:r>
      <w:r/>
    </w:p>
    <w:p>
      <w:pPr>
        <w:jc w:val="center"/>
        <w:spacing w:line="64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                        日期</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年 </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u w:val="single"/>
          <w:lang w:val="zh-CN"/>
        </w:rPr>
        <w:t xml:space="preserve">      </w:t>
      </w:r>
      <w:r>
        <w:rPr>
          <w:rFonts w:hint="eastAsia" w:ascii="仿宋" w:hAnsi="仿宋" w:eastAsia="仿宋" w:cs="仿宋"/>
          <w:color w:val="auto"/>
          <w:sz w:val="28"/>
          <w:szCs w:val="28"/>
          <w:highlight w:val="none"/>
          <w:lang w:val="zh-CN"/>
        </w:rPr>
        <w:t xml:space="preserve">日</w:t>
      </w:r>
      <w:r/>
    </w:p>
    <w:p>
      <w:pPr>
        <w:ind w:firstLine="565"/>
        <w:spacing w:line="640" w:lineRule="exact"/>
        <w:rPr>
          <w:rFonts w:hint="eastAsia" w:ascii="宋体" w:hAnsi="宋体" w:eastAsia="宋体" w:cs="宋体"/>
          <w:color w:val="auto"/>
          <w:sz w:val="28"/>
          <w:szCs w:val="28"/>
          <w:highlight w:val="none"/>
        </w:rPr>
      </w:pPr>
      <w:r>
        <w:rPr>
          <w:rFonts w:hint="eastAsia" w:ascii="仿宋" w:hAnsi="仿宋" w:eastAsia="仿宋" w:cs="仿宋"/>
          <w:color w:val="auto"/>
          <w:sz w:val="28"/>
          <w:szCs w:val="28"/>
          <w:highlight w:val="none"/>
        </w:rPr>
        <w:t xml:space="preserve">注:非</w:t>
      </w:r>
      <w:r>
        <w:rPr>
          <w:rFonts w:hint="eastAsia" w:ascii="仿宋" w:hAnsi="仿宋" w:eastAsia="仿宋" w:cs="仿宋"/>
          <w:color w:val="auto"/>
          <w:sz w:val="28"/>
          <w:highlight w:val="none"/>
        </w:rPr>
        <w:t xml:space="preserve">残疾人福利性单位不</w:t>
      </w:r>
      <w:r>
        <w:rPr>
          <w:rFonts w:hint="eastAsia" w:ascii="仿宋" w:hAnsi="仿宋" w:eastAsia="仿宋" w:cs="仿宋"/>
          <w:color w:val="auto"/>
          <w:sz w:val="28"/>
          <w:szCs w:val="28"/>
          <w:highlight w:val="none"/>
        </w:rPr>
        <w:t xml:space="preserve">需提供此函。</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default"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r>
      <w:r/>
    </w:p>
    <w:p>
      <w:pPr>
        <w:rPr>
          <w:rFonts w:hint="eastAsia" w:ascii="仿宋" w:hAnsi="仿宋" w:eastAsia="仿宋" w:cs="仿宋"/>
          <w:sz w:val="28"/>
          <w:szCs w:val="28"/>
          <w:lang w:eastAsia="zh-CN"/>
        </w:rPr>
      </w:pPr>
      <w:r>
        <w:rPr>
          <w:rFonts w:hint="eastAsia" w:ascii="仿宋" w:hAnsi="仿宋" w:eastAsia="仿宋" w:cs="仿宋"/>
          <w:b/>
          <w:sz w:val="32"/>
          <w:szCs w:val="32"/>
        </w:rPr>
        <w:t xml:space="preserve">示范格式</w:t>
      </w:r>
      <w:r>
        <w:rPr>
          <w:rFonts w:hint="eastAsia" w:ascii="仿宋" w:hAnsi="仿宋" w:eastAsia="仿宋" w:cs="仿宋"/>
          <w:b/>
          <w:sz w:val="32"/>
          <w:szCs w:val="32"/>
          <w:lang w:val="en-US" w:eastAsia="zh-CN"/>
        </w:rPr>
        <w:t xml:space="preserve">六</w:t>
      </w:r>
      <w:bookmarkStart w:id="40" w:name="_GoBack"/>
      <w:r/>
      <w:bookmarkEnd w:id="40"/>
      <w:r/>
      <w:r/>
    </w:p>
    <w:p>
      <w:pPr>
        <w:ind w:left="-359" w:firstLine="357"/>
        <w:jc w:val="center"/>
        <w:spacing w:line="600" w:lineRule="exact"/>
        <w:rPr>
          <w:rFonts w:ascii="仿宋" w:hAnsi="仿宋" w:eastAsia="仿宋" w:cs="仿宋"/>
          <w:b/>
          <w:color w:val="000000"/>
          <w:sz w:val="32"/>
        </w:rPr>
      </w:pPr>
      <w:r>
        <w:rPr>
          <w:rFonts w:hint="eastAsia" w:ascii="仿宋" w:hAnsi="仿宋" w:eastAsia="仿宋" w:cs="仿宋"/>
          <w:b/>
          <w:color w:val="000000"/>
          <w:sz w:val="32"/>
        </w:rPr>
        <w:t xml:space="preserve">承诺书</w:t>
      </w:r>
      <w:r/>
    </w:p>
    <w:p>
      <w:pPr>
        <w:ind w:left="-359" w:firstLine="357"/>
        <w:spacing w:line="600" w:lineRule="exact"/>
        <w:rPr>
          <w:rFonts w:ascii="仿宋" w:hAnsi="仿宋" w:eastAsia="仿宋" w:cs="仿宋"/>
          <w:b/>
          <w:color w:val="000000"/>
          <w:sz w:val="32"/>
        </w:rPr>
      </w:pPr>
      <w:r>
        <w:rPr>
          <w:rFonts w:ascii="仿宋" w:hAnsi="仿宋" w:eastAsia="仿宋" w:cs="仿宋"/>
          <w:b/>
          <w:color w:val="000000"/>
          <w:sz w:val="32"/>
        </w:rPr>
      </w:r>
      <w:r/>
    </w:p>
    <w:p>
      <w:pPr>
        <w:spacing w:line="6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我单位符合下列要求：</w:t>
      </w:r>
      <w:r/>
    </w:p>
    <w:p>
      <w:pPr>
        <w:numPr>
          <w:ilvl w:val="0"/>
          <w:numId w:val="21"/>
        </w:numPr>
        <w:ind w:firstLine="560"/>
        <w:spacing w:line="6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投标人单位负责人为同一人或者存在直接控股、管理关系的不同投标人，不得同时参加同一合同项下的政府采购活动。</w:t>
      </w:r>
      <w:r/>
    </w:p>
    <w:p>
      <w:pPr>
        <w:numPr>
          <w:ilvl w:val="0"/>
          <w:numId w:val="21"/>
        </w:numPr>
        <w:ind w:firstLine="560"/>
        <w:spacing w:line="6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凡为采购项目提供整体设计、规范编制或者项目管理、监理、检测等服务的投标人，不得再参加本项目的采购活动。</w:t>
      </w:r>
      <w:r/>
    </w:p>
    <w:p>
      <w:pPr>
        <w:numPr>
          <w:ilvl w:val="0"/>
          <w:numId w:val="21"/>
        </w:numPr>
        <w:ind w:firstLine="560"/>
        <w:spacing w:line="6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我单位未被“信用中国”网站（www.creditchina.gov.cn）、“中国政府采购网”（www.ccgp.gov.cn）列入失信被执行人、重大税收违法案件当事人名单、政府采购严重违法失信行为记录名单。</w:t>
      </w:r>
      <w:r/>
    </w:p>
    <w:p>
      <w:pPr>
        <w:spacing w:line="600" w:lineRule="exact"/>
        <w:rPr>
          <w:rFonts w:ascii="仿宋" w:hAnsi="仿宋" w:eastAsia="仿宋" w:cs="仿宋"/>
          <w:color w:val="000000"/>
          <w:sz w:val="28"/>
          <w:szCs w:val="28"/>
        </w:rPr>
      </w:pPr>
      <w:r>
        <w:rPr>
          <w:rFonts w:ascii="仿宋" w:hAnsi="仿宋" w:eastAsia="仿宋" w:cs="仿宋"/>
          <w:color w:val="000000"/>
          <w:sz w:val="28"/>
          <w:szCs w:val="28"/>
        </w:rPr>
      </w:r>
      <w:r/>
    </w:p>
    <w:p>
      <w:pPr>
        <w:spacing w:line="60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560"/>
        <w:jc w:val="left"/>
        <w:spacing w:line="60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特此声明！</w:t>
      </w:r>
      <w:r/>
    </w:p>
    <w:p>
      <w:pPr>
        <w:pStyle w:val="881"/>
        <w:ind w:firstLine="643"/>
        <w:jc w:val="left"/>
        <w:spacing w:line="520" w:lineRule="exact"/>
        <w:rPr>
          <w:rFonts w:ascii="仿宋" w:hAnsi="仿宋" w:eastAsia="仿宋" w:cs="仿宋"/>
          <w:b/>
          <w:color w:val="000000"/>
          <w:sz w:val="32"/>
          <w:szCs w:val="32"/>
        </w:rPr>
      </w:pPr>
      <w:r>
        <w:rPr>
          <w:rFonts w:ascii="仿宋" w:hAnsi="仿宋" w:eastAsia="仿宋" w:cs="仿宋"/>
          <w:b/>
          <w:color w:val="000000"/>
          <w:sz w:val="32"/>
          <w:szCs w:val="32"/>
        </w:rPr>
      </w:r>
      <w:r/>
    </w:p>
    <w:p>
      <w:pPr>
        <w:pStyle w:val="881"/>
        <w:ind w:firstLine="643"/>
        <w:jc w:val="left"/>
        <w:spacing w:line="520" w:lineRule="exact"/>
        <w:rPr>
          <w:rFonts w:ascii="仿宋" w:hAnsi="仿宋" w:eastAsia="仿宋" w:cs="仿宋"/>
          <w:b/>
          <w:color w:val="000000"/>
          <w:sz w:val="32"/>
          <w:szCs w:val="32"/>
        </w:rPr>
      </w:pPr>
      <w:r>
        <w:rPr>
          <w:rFonts w:ascii="仿宋" w:hAnsi="仿宋" w:eastAsia="仿宋" w:cs="仿宋"/>
          <w:b/>
          <w:color w:val="000000"/>
          <w:sz w:val="32"/>
          <w:szCs w:val="32"/>
        </w:rPr>
      </w:r>
      <w:r/>
    </w:p>
    <w:p>
      <w:pPr>
        <w:jc w:val="right"/>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投标人:</w:t>
      </w:r>
      <w:r>
        <w:rPr>
          <w:rFonts w:hint="eastAsia" w:ascii="仿宋" w:hAnsi="仿宋" w:eastAsia="仿宋" w:cs="仿宋"/>
          <w:color w:val="000000"/>
          <w:sz w:val="28"/>
          <w:szCs w:val="28"/>
          <w:u w:val="single"/>
          <w:lang w:val="zh-CN"/>
        </w:rPr>
        <w:t xml:space="preserve">（电子签章）</w:t>
      </w:r>
      <w:r/>
    </w:p>
    <w:p>
      <w:pPr>
        <w:jc w:val="right"/>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u w:val="single"/>
        </w:rPr>
        <w:t xml:space="preserve">（电子签章或电子签字）</w:t>
      </w:r>
      <w:r/>
    </w:p>
    <w:p>
      <w:pPr>
        <w:jc w:val="righ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r>
      <w:r/>
    </w:p>
    <w:p>
      <w:pPr>
        <w:jc w:val="right"/>
        <w:rPr>
          <w:rFonts w:hint="default" w:ascii="宋体" w:hAnsi="宋体" w:cs="宋体"/>
          <w:color w:val="auto"/>
          <w:sz w:val="28"/>
          <w:szCs w:val="28"/>
          <w:highlight w:val="none"/>
          <w:lang w:val="en-US" w:eastAsia="zh-CN"/>
        </w:rPr>
      </w:pP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zh-CN"/>
        </w:rPr>
        <w:t xml:space="preserve">年</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zh-CN"/>
        </w:rPr>
        <w:t xml:space="preserve">日</w:t>
      </w:r>
      <w:r/>
    </w:p>
    <w:sectPr>
      <w:footnotePr/>
      <w:endnotePr/>
      <w:type w:val="nextPage"/>
      <w:pgSz w:w="11906" w:h="16838" w:orient="portrait"/>
      <w:pgMar w:top="1440" w:right="1440" w:bottom="1440" w:left="144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Tahoma">
    <w:panose1 w:val="020B0604030504040204"/>
  </w:font>
  <w:font w:name="Constantia">
    <w:panose1 w:val="02030602050306030303"/>
  </w:font>
  <w:font w:name="Courier New">
    <w:panose1 w:val="02070309020205020404"/>
  </w:font>
  <w:font w:name="等线">
    <w:panose1 w:val="02010600030101010101"/>
  </w:font>
  <w:font w:name="仿宋">
    <w:panose1 w:val="02010609060101010101"/>
  </w:font>
  <w:font w:name="Cambria">
    <w:panose1 w:val="02040503050406030204"/>
  </w:font>
  <w:font w:name="Adobe 仿宋 Std R">
    <w:panose1 w:val="020B0503020202020204"/>
  </w:font>
  <w:font w:name="Calibri">
    <w:panose1 w:val="020F0502020204030204"/>
  </w:font>
  <w:font w:name="楷体_GB2312">
    <w:panose1 w:val="02010609060101010101"/>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fldChar w:fldCharType="begin"/>
                          </w:r>
                          <w:r>
                            <w:rPr>
                              <w:rStyle w:val="847"/>
                            </w:rPr>
                            <w:instrText xml:space="preserve">PAGE  </w:instrText>
                          </w:r>
                          <w:r>
                            <w:fldChar w:fldCharType="separate"/>
                          </w:r>
                          <w:r>
                            <w:rPr>
                              <w:rStyle w:val="847"/>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fldChar w:fldCharType="begin"/>
                    </w:r>
                    <w:r>
                      <w:rPr>
                        <w:rStyle w:val="847"/>
                      </w:rPr>
                      <w:instrText xml:space="preserve">PAGE  </w:instrText>
                    </w:r>
                    <w:r>
                      <w:fldChar w:fldCharType="separate"/>
                    </w:r>
                    <w:r>
                      <w:rPr>
                        <w:rStyle w:val="847"/>
                      </w:rP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8"/>
                            <w:jc w:val="center"/>
                          </w:pPr>
                          <w:r>
                            <w:fldChar w:fldCharType="begin"/>
                          </w:r>
                          <w:r>
                            <w:instrText xml:space="preserve">PAGE   \* MERGEFORMAT</w:instrText>
                          </w:r>
                          <w:r>
                            <w:fldChar w:fldCharType="separate"/>
                          </w:r>
                          <w:r>
                            <w:rPr>
                              <w:lang w:val="zh-CN"/>
                            </w:rP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8"/>
                      <w:jc w:val="center"/>
                    </w:pPr>
                    <w:r>
                      <w:fldChar w:fldCharType="begin"/>
                    </w:r>
                    <w:r>
                      <w:instrText xml:space="preserve">PAGE   \* MERGEFORMAT</w:instrText>
                    </w:r>
                    <w:r>
                      <w:fldChar w:fldCharType="separate"/>
                    </w:r>
                    <w:r>
                      <w:rPr>
                        <w:lang w:val="zh-CN"/>
                      </w:rPr>
                      <w:t xml:space="preserve">19</w:t>
                    </w:r>
                    <w:r>
                      <w:fldChar w:fldCharType="end"/>
                    </w:r>
                    <w:r/>
                  </w:p>
                </w:txbxContent>
              </v:textbox>
            </v:shape>
          </w:pict>
        </mc:Fallback>
      </mc:AlternateContent>
    </w:r>
    <w:r/>
  </w:p>
  <w:p>
    <w:pPr>
      <w:pStyle w:val="103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Thousand"/>
      <w:pStyle w:val="779"/>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992"/>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Thousand"/>
      <w:pStyle w:val="958"/>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19">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8"/>
  </w:num>
  <w:num w:numId="3">
    <w:abstractNumId w:val="9"/>
  </w:num>
  <w:num w:numId="4">
    <w:abstractNumId w:val="3"/>
  </w:num>
  <w:num w:numId="5">
    <w:abstractNumId w:val="5"/>
  </w:num>
  <w:num w:numId="6">
    <w:abstractNumId w:val="12"/>
  </w:num>
  <w:num w:numId="7">
    <w:abstractNumId w:val="11"/>
  </w:num>
  <w:num w:numId="8">
    <w:abstractNumId w:val="0"/>
  </w:num>
  <w:num w:numId="9">
    <w:abstractNumId w:val="19"/>
  </w:num>
  <w:num w:numId="10">
    <w:abstractNumId w:val="16"/>
  </w:num>
  <w:num w:numId="11">
    <w:abstractNumId w:val="20"/>
  </w:num>
  <w:num w:numId="12">
    <w:abstractNumId w:val="10"/>
  </w:num>
  <w:num w:numId="13">
    <w:abstractNumId w:val="1"/>
  </w:num>
  <w:num w:numId="14">
    <w:abstractNumId w:val="15"/>
  </w:num>
  <w:num w:numId="15">
    <w:abstractNumId w:val="7"/>
  </w:num>
  <w:num w:numId="16">
    <w:abstractNumId w:val="17"/>
  </w:num>
  <w:num w:numId="17">
    <w:abstractNumId w:val="13"/>
  </w:num>
  <w:num w:numId="18">
    <w:abstractNumId w:val="8"/>
  </w:num>
  <w:num w:numId="19">
    <w:abstractNumId w:val="2"/>
  </w:num>
  <w:num w:numId="20">
    <w:abstractNumId w:val="14"/>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5"/>
    <w:link w:val="726"/>
    <w:uiPriority w:val="9"/>
    <w:rPr>
      <w:rFonts w:ascii="Arial" w:hAnsi="Arial" w:eastAsia="Arial" w:cs="Arial"/>
      <w:sz w:val="40"/>
      <w:szCs w:val="40"/>
    </w:rPr>
  </w:style>
  <w:style w:type="character" w:styleId="15">
    <w:name w:val="Heading 2 Char"/>
    <w:basedOn w:val="735"/>
    <w:link w:val="727"/>
    <w:uiPriority w:val="9"/>
    <w:rPr>
      <w:rFonts w:ascii="Arial" w:hAnsi="Arial" w:eastAsia="Arial" w:cs="Arial"/>
      <w:sz w:val="34"/>
    </w:rPr>
  </w:style>
  <w:style w:type="character" w:styleId="17">
    <w:name w:val="Heading 3 Char"/>
    <w:basedOn w:val="735"/>
    <w:link w:val="728"/>
    <w:uiPriority w:val="9"/>
    <w:rPr>
      <w:rFonts w:ascii="Arial" w:hAnsi="Arial" w:eastAsia="Arial" w:cs="Arial"/>
      <w:sz w:val="30"/>
      <w:szCs w:val="30"/>
    </w:rPr>
  </w:style>
  <w:style w:type="character" w:styleId="19">
    <w:name w:val="Heading 4 Char"/>
    <w:basedOn w:val="735"/>
    <w:link w:val="729"/>
    <w:uiPriority w:val="9"/>
    <w:rPr>
      <w:rFonts w:ascii="Arial" w:hAnsi="Arial" w:eastAsia="Arial" w:cs="Arial"/>
      <w:b/>
      <w:bCs/>
      <w:sz w:val="26"/>
      <w:szCs w:val="26"/>
    </w:rPr>
  </w:style>
  <w:style w:type="character" w:styleId="21">
    <w:name w:val="Heading 5 Char"/>
    <w:basedOn w:val="735"/>
    <w:link w:val="730"/>
    <w:uiPriority w:val="9"/>
    <w:rPr>
      <w:rFonts w:ascii="Arial" w:hAnsi="Arial" w:eastAsia="Arial" w:cs="Arial"/>
      <w:b/>
      <w:bCs/>
      <w:sz w:val="24"/>
      <w:szCs w:val="24"/>
    </w:rPr>
  </w:style>
  <w:style w:type="character" w:styleId="23">
    <w:name w:val="Heading 6 Char"/>
    <w:basedOn w:val="735"/>
    <w:link w:val="731"/>
    <w:uiPriority w:val="9"/>
    <w:rPr>
      <w:rFonts w:ascii="Arial" w:hAnsi="Arial" w:eastAsia="Arial" w:cs="Arial"/>
      <w:b/>
      <w:bCs/>
      <w:sz w:val="22"/>
      <w:szCs w:val="22"/>
    </w:rPr>
  </w:style>
  <w:style w:type="character" w:styleId="25">
    <w:name w:val="Heading 7 Char"/>
    <w:basedOn w:val="735"/>
    <w:link w:val="732"/>
    <w:uiPriority w:val="9"/>
    <w:rPr>
      <w:rFonts w:ascii="Arial" w:hAnsi="Arial" w:eastAsia="Arial" w:cs="Arial"/>
      <w:b/>
      <w:bCs/>
      <w:i/>
      <w:iCs/>
      <w:sz w:val="22"/>
      <w:szCs w:val="22"/>
    </w:rPr>
  </w:style>
  <w:style w:type="character" w:styleId="27">
    <w:name w:val="Heading 8 Char"/>
    <w:basedOn w:val="735"/>
    <w:link w:val="733"/>
    <w:uiPriority w:val="9"/>
    <w:rPr>
      <w:rFonts w:ascii="Arial" w:hAnsi="Arial" w:eastAsia="Arial" w:cs="Arial"/>
      <w:i/>
      <w:iCs/>
      <w:sz w:val="22"/>
      <w:szCs w:val="22"/>
    </w:rPr>
  </w:style>
  <w:style w:type="character" w:styleId="29">
    <w:name w:val="Heading 9 Char"/>
    <w:basedOn w:val="735"/>
    <w:link w:val="734"/>
    <w:uiPriority w:val="9"/>
    <w:rPr>
      <w:rFonts w:ascii="Arial" w:hAnsi="Arial" w:eastAsia="Arial" w:cs="Arial"/>
      <w:i/>
      <w:iCs/>
      <w:sz w:val="21"/>
      <w:szCs w:val="21"/>
    </w:rPr>
  </w:style>
  <w:style w:type="character" w:styleId="34">
    <w:name w:val="Title Char"/>
    <w:basedOn w:val="735"/>
    <w:link w:val="762"/>
    <w:uiPriority w:val="10"/>
    <w:rPr>
      <w:sz w:val="48"/>
      <w:szCs w:val="48"/>
    </w:rPr>
  </w:style>
  <w:style w:type="character" w:styleId="36">
    <w:name w:val="Subtitle Char"/>
    <w:basedOn w:val="735"/>
    <w:link w:val="754"/>
    <w:uiPriority w:val="11"/>
    <w:rPr>
      <w:sz w:val="24"/>
      <w:szCs w:val="24"/>
    </w:rPr>
  </w:style>
  <w:style w:type="character" w:styleId="38">
    <w:name w:val="Quote Char"/>
    <w:link w:val="858"/>
    <w:uiPriority w:val="29"/>
    <w:rPr>
      <w:i/>
    </w:rPr>
  </w:style>
  <w:style w:type="character" w:styleId="40">
    <w:name w:val="Intense Quote Char"/>
    <w:link w:val="957"/>
    <w:uiPriority w:val="30"/>
    <w:rPr>
      <w:i/>
    </w:rPr>
  </w:style>
  <w:style w:type="character" w:styleId="42">
    <w:name w:val="Header Char"/>
    <w:basedOn w:val="735"/>
    <w:link w:val="751"/>
    <w:uiPriority w:val="99"/>
  </w:style>
  <w:style w:type="character" w:styleId="46">
    <w:name w:val="Caption Char"/>
    <w:basedOn w:val="740"/>
    <w:link w:val="749"/>
    <w:uiPriority w:val="99"/>
  </w:style>
  <w:style w:type="table" w:styleId="49">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55"/>
    <w:uiPriority w:val="99"/>
    <w:rPr>
      <w:sz w:val="18"/>
    </w:rPr>
  </w:style>
  <w:style w:type="character" w:styleId="178">
    <w:name w:val="Endnote Text Char"/>
    <w:link w:val="748"/>
    <w:uiPriority w:val="99"/>
    <w:rPr>
      <w:sz w:val="20"/>
    </w:rPr>
  </w:style>
  <w:style w:type="paragraph" w:styleId="189">
    <w:name w:val="TOC Heading"/>
    <w:uiPriority w:val="39"/>
    <w:unhideWhenUsed/>
  </w:style>
  <w:style w:type="paragraph" w:styleId="725" w:default="1">
    <w:name w:val="Normal"/>
    <w:next w:val="737"/>
    <w:uiPriority w:val="0"/>
    <w:qFormat/>
    <w:pPr>
      <w:jc w:val="both"/>
      <w:widowControl w:val="off"/>
    </w:pPr>
    <w:rPr>
      <w:rFonts w:ascii="Times New Roman" w:hAnsi="Times New Roman" w:eastAsia="宋体" w:cs="Times New Roman"/>
      <w:sz w:val="21"/>
      <w:szCs w:val="24"/>
      <w:lang w:val="en-US" w:eastAsia="zh-CN" w:bidi="ar-SA"/>
    </w:rPr>
  </w:style>
  <w:style w:type="paragraph" w:styleId="726">
    <w:name w:val="Heading 1"/>
    <w:basedOn w:val="725"/>
    <w:next w:val="725"/>
    <w:link w:val="1014"/>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link w:val="804"/>
    <w:uiPriority w:val="9"/>
    <w:unhideWhenUsed/>
    <w:qFormat/>
    <w:pPr>
      <w:keepLines/>
      <w:keepNext/>
      <w:spacing w:before="360" w:after="200"/>
      <w:outlineLvl w:val="1"/>
    </w:pPr>
    <w:rPr>
      <w:rFonts w:ascii="Arial" w:hAnsi="Arial" w:eastAsia="Arial" w:cs="Arial"/>
      <w:sz w:val="34"/>
    </w:rPr>
  </w:style>
  <w:style w:type="paragraph" w:styleId="728">
    <w:name w:val="Heading 3"/>
    <w:basedOn w:val="725"/>
    <w:next w:val="725"/>
    <w:link w:val="852"/>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985"/>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907"/>
    <w:uiPriority w:val="9"/>
    <w:unhideWhenUsed/>
    <w:qFormat/>
    <w:pPr>
      <w:keepLines/>
      <w:keepNext/>
      <w:spacing w:before="320" w:after="200"/>
      <w:outlineLvl w:val="4"/>
    </w:pPr>
    <w:rPr>
      <w:rFonts w:ascii="Arial" w:hAnsi="Arial" w:eastAsia="Arial" w:cs="Arial"/>
      <w:b/>
      <w:bCs/>
      <w:sz w:val="24"/>
    </w:rPr>
  </w:style>
  <w:style w:type="paragraph" w:styleId="731">
    <w:name w:val="Heading 6"/>
    <w:basedOn w:val="725"/>
    <w:next w:val="725"/>
    <w:link w:val="814"/>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972"/>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884"/>
    <w:uiPriority w:val="9"/>
    <w:unhideWhenUsed/>
    <w:qFormat/>
    <w:pPr>
      <w:keepLines/>
      <w:keepNext/>
      <w:spacing w:before="320" w:after="200"/>
      <w:outlineLvl w:val="8"/>
    </w:pPr>
    <w:rPr>
      <w:rFonts w:ascii="Arial" w:hAnsi="Arial" w:eastAsia="Arial" w:cs="Arial"/>
      <w:i/>
      <w:iCs/>
      <w:szCs w:val="21"/>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Body Text First Indent 2"/>
    <w:basedOn w:val="738"/>
    <w:uiPriority w:val="99"/>
    <w:qFormat/>
    <w:pPr>
      <w:ind w:left="0" w:firstLine="420"/>
    </w:pPr>
  </w:style>
  <w:style w:type="paragraph" w:styleId="738">
    <w:name w:val="Body Text Indent"/>
    <w:basedOn w:val="725"/>
    <w:uiPriority w:val="0"/>
    <w:qFormat/>
    <w:pPr>
      <w:ind w:left="420"/>
      <w:spacing w:after="120"/>
    </w:pPr>
  </w:style>
  <w:style w:type="paragraph" w:styleId="739">
    <w:name w:val="toc 7"/>
    <w:basedOn w:val="725"/>
    <w:next w:val="725"/>
    <w:uiPriority w:val="39"/>
    <w:unhideWhenUsed/>
    <w:qFormat/>
    <w:pPr>
      <w:ind w:left="1701"/>
      <w:spacing w:after="57"/>
    </w:pPr>
  </w:style>
  <w:style w:type="paragraph" w:styleId="740">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toa heading"/>
    <w:basedOn w:val="725"/>
    <w:next w:val="725"/>
    <w:uiPriority w:val="0"/>
    <w:qFormat/>
    <w:rPr>
      <w:rFonts w:ascii="Arial" w:hAnsi="Arial"/>
      <w:sz w:val="24"/>
    </w:rPr>
  </w:style>
  <w:style w:type="paragraph" w:styleId="742">
    <w:name w:val="annotation text"/>
    <w:basedOn w:val="725"/>
    <w:uiPriority w:val="99"/>
    <w:semiHidden/>
    <w:unhideWhenUsed/>
    <w:qFormat/>
    <w:pPr>
      <w:jc w:val="left"/>
    </w:pPr>
  </w:style>
  <w:style w:type="paragraph" w:styleId="743">
    <w:name w:val="Body Text"/>
    <w:basedOn w:val="725"/>
    <w:next w:val="725"/>
    <w:uiPriority w:val="0"/>
    <w:qFormat/>
    <w:pPr>
      <w:spacing w:line="500" w:lineRule="exact"/>
      <w:tabs>
        <w:tab w:val="left" w:pos="2020" w:leader="none"/>
        <w:tab w:val="center" w:pos="4535" w:leader="none"/>
      </w:tabs>
      <w:outlineLvl w:val="0"/>
    </w:pPr>
    <w:rPr>
      <w:rFonts w:hint="eastAsia" w:ascii="华文彩云" w:hAnsi="宋体" w:eastAsia="华文彩云"/>
      <w:bCs/>
      <w:color w:val="000000"/>
      <w:sz w:val="28"/>
    </w:rPr>
  </w:style>
  <w:style w:type="paragraph" w:styleId="744">
    <w:name w:val="Block Text"/>
    <w:basedOn w:val="725"/>
    <w:uiPriority w:val="99"/>
    <w:qFormat/>
    <w:pPr>
      <w:ind w:left="420" w:right="33"/>
      <w:jc w:val="left"/>
    </w:pPr>
    <w:rPr>
      <w:sz w:val="24"/>
      <w:szCs w:val="20"/>
    </w:rPr>
  </w:style>
  <w:style w:type="paragraph" w:styleId="745">
    <w:name w:val="toc 5"/>
    <w:basedOn w:val="725"/>
    <w:next w:val="725"/>
    <w:uiPriority w:val="39"/>
    <w:unhideWhenUsed/>
    <w:qFormat/>
    <w:pPr>
      <w:ind w:left="1134"/>
      <w:spacing w:after="57"/>
    </w:pPr>
  </w:style>
  <w:style w:type="paragraph" w:styleId="746">
    <w:name w:val="toc 3"/>
    <w:basedOn w:val="725"/>
    <w:next w:val="725"/>
    <w:uiPriority w:val="39"/>
    <w:unhideWhenUsed/>
    <w:qFormat/>
    <w:pPr>
      <w:ind w:left="567"/>
      <w:spacing w:after="57"/>
    </w:pPr>
  </w:style>
  <w:style w:type="paragraph" w:styleId="747">
    <w:name w:val="toc 8"/>
    <w:basedOn w:val="725"/>
    <w:next w:val="725"/>
    <w:uiPriority w:val="39"/>
    <w:unhideWhenUsed/>
    <w:qFormat/>
    <w:pPr>
      <w:ind w:left="1984"/>
      <w:spacing w:after="57"/>
    </w:pPr>
  </w:style>
  <w:style w:type="paragraph" w:styleId="748">
    <w:name w:val="endnote text"/>
    <w:basedOn w:val="725"/>
    <w:link w:val="910"/>
    <w:uiPriority w:val="99"/>
    <w:semiHidden/>
    <w:unhideWhenUsed/>
    <w:qFormat/>
    <w:rPr>
      <w:sz w:val="20"/>
    </w:rPr>
  </w:style>
  <w:style w:type="paragraph" w:styleId="749">
    <w:name w:val="Footer"/>
    <w:basedOn w:val="725"/>
    <w:link w:val="899"/>
    <w:uiPriority w:val="99"/>
    <w:unhideWhenUsed/>
    <w:qFormat/>
    <w:pPr>
      <w:tabs>
        <w:tab w:val="center" w:pos="7143" w:leader="none"/>
        <w:tab w:val="right" w:pos="14287" w:leader="none"/>
      </w:tabs>
    </w:pPr>
  </w:style>
  <w:style w:type="paragraph" w:styleId="750">
    <w:name w:val="envelope return"/>
    <w:basedOn w:val="725"/>
    <w:uiPriority w:val="0"/>
    <w:qFormat/>
    <w:rPr>
      <w:rFonts w:ascii="Arial" w:hAnsi="Arial"/>
    </w:rPr>
  </w:style>
  <w:style w:type="paragraph" w:styleId="751">
    <w:name w:val="Header"/>
    <w:basedOn w:val="725"/>
    <w:link w:val="865"/>
    <w:uiPriority w:val="99"/>
    <w:unhideWhenUsed/>
    <w:qFormat/>
    <w:pPr>
      <w:tabs>
        <w:tab w:val="center" w:pos="7143" w:leader="none"/>
        <w:tab w:val="right" w:pos="14287" w:leader="none"/>
      </w:tabs>
    </w:pPr>
  </w:style>
  <w:style w:type="paragraph" w:styleId="752">
    <w:name w:val="toc 1"/>
    <w:basedOn w:val="725"/>
    <w:next w:val="725"/>
    <w:uiPriority w:val="39"/>
    <w:unhideWhenUsed/>
    <w:qFormat/>
    <w:pPr>
      <w:spacing w:after="57"/>
    </w:pPr>
  </w:style>
  <w:style w:type="paragraph" w:styleId="753">
    <w:name w:val="toc 4"/>
    <w:basedOn w:val="725"/>
    <w:next w:val="725"/>
    <w:uiPriority w:val="39"/>
    <w:unhideWhenUsed/>
    <w:qFormat/>
    <w:pPr>
      <w:ind w:left="850"/>
      <w:spacing w:after="57"/>
    </w:pPr>
  </w:style>
  <w:style w:type="paragraph" w:styleId="754">
    <w:name w:val="Subtitle"/>
    <w:basedOn w:val="725"/>
    <w:next w:val="725"/>
    <w:link w:val="1029"/>
    <w:uiPriority w:val="11"/>
    <w:qFormat/>
    <w:pPr>
      <w:spacing w:before="200" w:after="200"/>
    </w:pPr>
    <w:rPr>
      <w:sz w:val="24"/>
    </w:rPr>
  </w:style>
  <w:style w:type="paragraph" w:styleId="755">
    <w:name w:val="footnote text"/>
    <w:basedOn w:val="725"/>
    <w:link w:val="944"/>
    <w:uiPriority w:val="99"/>
    <w:semiHidden/>
    <w:unhideWhenUsed/>
    <w:qFormat/>
    <w:pPr>
      <w:spacing w:after="40"/>
    </w:pPr>
    <w:rPr>
      <w:sz w:val="18"/>
    </w:rPr>
  </w:style>
  <w:style w:type="paragraph" w:styleId="756">
    <w:name w:val="toc 6"/>
    <w:basedOn w:val="725"/>
    <w:next w:val="725"/>
    <w:uiPriority w:val="39"/>
    <w:unhideWhenUsed/>
    <w:qFormat/>
    <w:pPr>
      <w:ind w:left="1417"/>
      <w:spacing w:after="57"/>
    </w:pPr>
  </w:style>
  <w:style w:type="paragraph" w:styleId="757">
    <w:name w:val="table of figures"/>
    <w:basedOn w:val="725"/>
    <w:next w:val="725"/>
    <w:uiPriority w:val="99"/>
    <w:unhideWhenUsed/>
    <w:qFormat/>
  </w:style>
  <w:style w:type="paragraph" w:styleId="758">
    <w:name w:val="toc 2"/>
    <w:basedOn w:val="725"/>
    <w:next w:val="725"/>
    <w:uiPriority w:val="39"/>
    <w:unhideWhenUsed/>
    <w:qFormat/>
    <w:pPr>
      <w:ind w:left="283"/>
      <w:spacing w:after="57"/>
    </w:pPr>
  </w:style>
  <w:style w:type="paragraph" w:styleId="759">
    <w:name w:val="toc 9"/>
    <w:basedOn w:val="725"/>
    <w:next w:val="725"/>
    <w:uiPriority w:val="39"/>
    <w:unhideWhenUsed/>
    <w:qFormat/>
    <w:pPr>
      <w:ind w:left="2268"/>
      <w:spacing w:after="57"/>
    </w:pPr>
  </w:style>
  <w:style w:type="paragraph" w:styleId="760">
    <w:name w:val="Body Text 2"/>
    <w:basedOn w:val="725"/>
    <w:uiPriority w:val="0"/>
    <w:qFormat/>
    <w:pPr>
      <w:spacing w:line="440" w:lineRule="exact"/>
    </w:pPr>
    <w:rPr>
      <w:rFonts w:ascii="楷体_GB2312" w:eastAsia="楷体_GB2312"/>
      <w:sz w:val="28"/>
    </w:rPr>
  </w:style>
  <w:style w:type="paragraph" w:styleId="761">
    <w:name w:val="Normal (Web)"/>
    <w:basedOn w:val="725"/>
    <w:uiPriority w:val="99"/>
    <w:semiHidden/>
    <w:unhideWhenUsed/>
    <w:qFormat/>
    <w:pPr>
      <w:jc w:val="left"/>
    </w:pPr>
    <w:rPr>
      <w:sz w:val="24"/>
    </w:rPr>
  </w:style>
  <w:style w:type="paragraph" w:styleId="762">
    <w:name w:val="Title"/>
    <w:basedOn w:val="725"/>
    <w:next w:val="725"/>
    <w:link w:val="893"/>
    <w:uiPriority w:val="10"/>
    <w:qFormat/>
    <w:pPr>
      <w:contextualSpacing/>
      <w:spacing w:before="300" w:after="200"/>
    </w:pPr>
    <w:rPr>
      <w:sz w:val="48"/>
      <w:szCs w:val="48"/>
    </w:rPr>
  </w:style>
  <w:style w:type="table" w:styleId="7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Strong"/>
    <w:basedOn w:val="735"/>
    <w:uiPriority w:val="22"/>
    <w:qFormat/>
  </w:style>
  <w:style w:type="character" w:styleId="765">
    <w:name w:val="endnote reference"/>
    <w:uiPriority w:val="99"/>
    <w:semiHidden/>
    <w:unhideWhenUsed/>
    <w:qFormat/>
    <w:rPr>
      <w:vertAlign w:val="superscript"/>
    </w:rPr>
  </w:style>
  <w:style w:type="character" w:styleId="766">
    <w:name w:val="FollowedHyperlink"/>
    <w:basedOn w:val="735"/>
    <w:uiPriority w:val="99"/>
    <w:semiHidden/>
    <w:unhideWhenUsed/>
    <w:qFormat/>
    <w:rPr>
      <w:color w:val="800080"/>
      <w:u w:val="none"/>
    </w:rPr>
  </w:style>
  <w:style w:type="character" w:styleId="767">
    <w:name w:val="Emphasis"/>
    <w:basedOn w:val="735"/>
    <w:uiPriority w:val="20"/>
    <w:qFormat/>
  </w:style>
  <w:style w:type="character" w:styleId="768">
    <w:name w:val="HTML Definition"/>
    <w:basedOn w:val="735"/>
    <w:uiPriority w:val="99"/>
    <w:semiHidden/>
    <w:unhideWhenUsed/>
    <w:qFormat/>
  </w:style>
  <w:style w:type="character" w:styleId="769">
    <w:name w:val="HTML Typewriter"/>
    <w:basedOn w:val="735"/>
    <w:uiPriority w:val="99"/>
    <w:semiHidden/>
    <w:unhideWhenUsed/>
    <w:qFormat/>
    <w:rPr>
      <w:rFonts w:hint="default" w:ascii="monospace" w:hAnsi="monospace" w:eastAsia="monospace" w:cs="monospace"/>
      <w:sz w:val="20"/>
    </w:rPr>
  </w:style>
  <w:style w:type="character" w:styleId="770">
    <w:name w:val="HTML Acronym"/>
    <w:basedOn w:val="735"/>
    <w:uiPriority w:val="99"/>
    <w:semiHidden/>
    <w:unhideWhenUsed/>
    <w:qFormat/>
  </w:style>
  <w:style w:type="character" w:styleId="771">
    <w:name w:val="HTML Variable"/>
    <w:basedOn w:val="735"/>
    <w:uiPriority w:val="99"/>
    <w:semiHidden/>
    <w:unhideWhenUsed/>
    <w:qFormat/>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HTML Code"/>
    <w:basedOn w:val="735"/>
    <w:uiPriority w:val="99"/>
    <w:semiHidden/>
    <w:unhideWhenUsed/>
    <w:qFormat/>
    <w:rPr>
      <w:rFonts w:hint="default" w:ascii="monospace" w:hAnsi="monospace" w:eastAsia="monospace" w:cs="monospace"/>
      <w:sz w:val="20"/>
    </w:rPr>
  </w:style>
  <w:style w:type="character" w:styleId="774">
    <w:name w:val="HTML Cite"/>
    <w:basedOn w:val="735"/>
    <w:uiPriority w:val="99"/>
    <w:semiHidden/>
    <w:unhideWhenUsed/>
    <w:qFormat/>
  </w:style>
  <w:style w:type="character" w:styleId="775">
    <w:name w:val="footnote reference"/>
    <w:uiPriority w:val="99"/>
    <w:unhideWhenUsed/>
    <w:qFormat/>
    <w:rPr>
      <w:vertAlign w:val="superscript"/>
    </w:rPr>
  </w:style>
  <w:style w:type="character" w:styleId="776">
    <w:name w:val="HTML Keyboard"/>
    <w:basedOn w:val="735"/>
    <w:uiPriority w:val="99"/>
    <w:semiHidden/>
    <w:unhideWhenUsed/>
    <w:qFormat/>
    <w:rPr>
      <w:rFonts w:hint="default" w:ascii="monospace" w:hAnsi="monospace" w:eastAsia="monospace" w:cs="monospace"/>
      <w:sz w:val="20"/>
    </w:rPr>
  </w:style>
  <w:style w:type="character" w:styleId="777">
    <w:name w:val="HTML Sample"/>
    <w:basedOn w:val="735"/>
    <w:uiPriority w:val="99"/>
    <w:semiHidden/>
    <w:unhideWhenUsed/>
    <w:qFormat/>
    <w:rPr>
      <w:rFonts w:ascii="monospace" w:hAnsi="monospace" w:eastAsia="monospace" w:cs="monospace"/>
    </w:rPr>
  </w:style>
  <w:style w:type="paragraph" w:styleId="778" w:customStyle="1">
    <w:name w:val="正文1"/>
    <w:basedOn w:val="779"/>
    <w:uiPriority w:val="0"/>
    <w:qFormat/>
    <w:pPr>
      <w:contextualSpacing/>
      <w:ind w:firstLine="200"/>
      <w:spacing w:before="120" w:after="120" w:line="180" w:lineRule="auto"/>
      <w:tabs>
        <w:tab w:val="left" w:pos="1110" w:leader="none"/>
      </w:tabs>
    </w:pPr>
    <w:rPr>
      <w:rFonts w:ascii="Calibri" w:hAnsi="Calibri" w:eastAsia="Adobe 仿宋 Std R"/>
    </w:rPr>
  </w:style>
  <w:style w:type="paragraph" w:styleId="779" w:customStyle="1">
    <w:name w:val="样式1"/>
    <w:basedOn w:val="725"/>
    <w:uiPriority w:val="0"/>
    <w:qFormat/>
    <w:pPr>
      <w:numPr>
        <w:ilvl w:val="0"/>
        <w:numId w:val="1"/>
      </w:numPr>
      <w:tabs>
        <w:tab w:val="left" w:pos="1110" w:leader="none"/>
      </w:tabs>
    </w:pPr>
    <w:rPr>
      <w:rFonts w:ascii="宋体" w:hAnsi="宋体"/>
      <w:szCs w:val="21"/>
    </w:rPr>
  </w:style>
  <w:style w:type="paragraph" w:styleId="780" w:customStyle="1">
    <w:name w:val="Default"/>
    <w:next w:val="781"/>
    <w:uiPriority w:val="0"/>
    <w:qFormat/>
    <w:pPr>
      <w:widowControl w:val="off"/>
    </w:pPr>
    <w:rPr>
      <w:rFonts w:ascii="仿宋" w:hAnsi="Times New Roman" w:eastAsia="仿宋" w:cs="仿宋"/>
      <w:color w:val="000000"/>
      <w:sz w:val="24"/>
      <w:szCs w:val="24"/>
      <w:lang w:val="en-US" w:eastAsia="zh-CN" w:bidi="ar-SA"/>
    </w:rPr>
  </w:style>
  <w:style w:type="paragraph" w:styleId="781" w:customStyle="1">
    <w:name w:val="正文文字 6"/>
    <w:next w:val="725"/>
    <w:uiPriority w:val="99"/>
    <w:qFormat/>
    <w:pPr>
      <w:ind w:left="240"/>
      <w:jc w:val="both"/>
      <w:widowControl w:val="off"/>
    </w:pPr>
    <w:rPr>
      <w:rFonts w:hint="default" w:ascii="宋体" w:hAnsi="Times New Roman" w:eastAsia="宋体" w:cs="Times New Roman"/>
      <w:b/>
      <w:bCs/>
      <w:sz w:val="32"/>
      <w:szCs w:val="32"/>
      <w:lang w:val="en-US" w:eastAsia="zh-CN" w:bidi="ar-SA"/>
    </w:rPr>
  </w:style>
  <w:style w:type="table" w:styleId="78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character" w:styleId="783" w:customStyle="1">
    <w:name w:val="标题 5 Char"/>
    <w:link w:val="784"/>
    <w:uiPriority w:val="9"/>
    <w:qFormat/>
    <w:rPr>
      <w:b/>
      <w:bCs/>
      <w:sz w:val="28"/>
      <w:szCs w:val="28"/>
    </w:rPr>
  </w:style>
  <w:style w:type="paragraph" w:styleId="784" w:customStyle="1">
    <w:name w:val="标题 511"/>
    <w:basedOn w:val="725"/>
    <w:next w:val="725"/>
    <w:link w:val="783"/>
    <w:uiPriority w:val="9"/>
    <w:qFormat/>
    <w:pPr>
      <w:keepLines/>
      <w:keepNext/>
      <w:spacing w:before="280" w:after="290" w:line="376" w:lineRule="auto"/>
      <w:outlineLvl w:val="4"/>
    </w:pPr>
    <w:rPr>
      <w:b/>
      <w:bCs/>
      <w:sz w:val="28"/>
      <w:szCs w:val="28"/>
    </w:rPr>
  </w:style>
  <w:style w:type="character" w:styleId="785" w:customStyle="1">
    <w:name w:val="已访问的超链接1"/>
    <w:uiPriority w:val="0"/>
    <w:qFormat/>
    <w:rPr>
      <w:color w:val="800080"/>
      <w:u w:val="none"/>
    </w:rPr>
  </w:style>
  <w:style w:type="table" w:styleId="78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paragraph" w:styleId="787" w:customStyle="1">
    <w:name w:val="目录 21"/>
    <w:basedOn w:val="725"/>
    <w:next w:val="725"/>
    <w:uiPriority w:val="0"/>
    <w:semiHidden/>
    <w:qFormat/>
    <w:pPr>
      <w:ind w:left="420"/>
    </w:pPr>
    <w:rPr>
      <w:szCs w:val="20"/>
    </w:rPr>
  </w:style>
  <w:style w:type="table" w:styleId="7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790" w:customStyle="1">
    <w:name w:val="Style11"/>
    <w:basedOn w:val="725"/>
    <w:uiPriority w:val="0"/>
    <w:qFormat/>
    <w:pPr>
      <w:jc w:val="left"/>
      <w:spacing w:line="446" w:lineRule="exact"/>
    </w:pPr>
    <w:rPr>
      <w:rFonts w:ascii="宋体"/>
      <w:sz w:val="24"/>
    </w:rPr>
  </w:style>
  <w:style w:type="paragraph" w:styleId="791" w:customStyle="1">
    <w:name w:val="正文文本 31"/>
    <w:basedOn w:val="725"/>
    <w:uiPriority w:val="0"/>
    <w:qFormat/>
    <w:rPr>
      <w:rFonts w:ascii="楷体_GB2312" w:hAnsi="Arial" w:eastAsia="楷体_GB2312" w:cs="Arial"/>
      <w:b/>
      <w:bCs/>
      <w:color w:val="000000"/>
      <w:sz w:val="24"/>
    </w:rPr>
  </w:style>
  <w:style w:type="character" w:styleId="792" w:customStyle="1">
    <w:name w:val="默认段落字体1"/>
    <w:uiPriority w:val="0"/>
    <w:semiHidden/>
    <w:qFormat/>
  </w:style>
  <w:style w:type="table" w:styleId="79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character" w:styleId="795" w:customStyle="1">
    <w:name w:val="HTML 定义1"/>
    <w:uiPriority w:val="0"/>
    <w:qFormat/>
  </w:style>
  <w:style w:type="paragraph" w:styleId="796" w:customStyle="1">
    <w:name w:val="普通正文"/>
    <w:basedOn w:val="725"/>
    <w:uiPriority w:val="0"/>
    <w:qFormat/>
    <w:pPr>
      <w:ind w:firstLine="480"/>
      <w:jc w:val="left"/>
      <w:spacing w:before="120" w:after="120" w:line="360" w:lineRule="auto"/>
    </w:pPr>
    <w:rPr>
      <w:rFonts w:ascii="Arial" w:hAnsi="Arial"/>
      <w:sz w:val="24"/>
    </w:rPr>
  </w:style>
  <w:style w:type="table" w:styleId="7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799" w:customStyle="1">
    <w:name w:val="纯文本11"/>
    <w:basedOn w:val="725"/>
    <w:next w:val="725"/>
    <w:link w:val="983"/>
    <w:uiPriority w:val="0"/>
    <w:qFormat/>
    <w:rPr>
      <w:rFonts w:ascii="宋体" w:hAnsi="Courier New"/>
      <w:szCs w:val="20"/>
    </w:rPr>
  </w:style>
  <w:style w:type="table" w:styleId="80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paragraph" w:styleId="802" w:customStyle="1">
    <w:name w:val="标题 51"/>
    <w:basedOn w:val="725"/>
    <w:next w:val="725"/>
    <w:uiPriority w:val="9"/>
    <w:qFormat/>
    <w:pPr>
      <w:keepLines/>
      <w:keepNext/>
      <w:spacing w:before="280" w:after="290" w:line="376" w:lineRule="auto"/>
      <w:outlineLvl w:val="4"/>
    </w:pPr>
    <w:rPr>
      <w:b/>
      <w:bCs/>
      <w:sz w:val="28"/>
      <w:szCs w:val="28"/>
    </w:rPr>
  </w:style>
  <w:style w:type="character" w:styleId="803" w:customStyle="1">
    <w:name w:val="font31"/>
    <w:basedOn w:val="792"/>
    <w:uiPriority w:val="0"/>
    <w:qFormat/>
    <w:rPr>
      <w:rFonts w:hint="eastAsia" w:ascii="宋体" w:hAnsi="宋体" w:eastAsia="宋体" w:cs="宋体"/>
      <w:color w:val="000000"/>
      <w:sz w:val="20"/>
      <w:szCs w:val="20"/>
      <w:u w:val="none"/>
    </w:rPr>
  </w:style>
  <w:style w:type="character" w:styleId="804" w:customStyle="1">
    <w:name w:val="标题 2 字符"/>
    <w:link w:val="727"/>
    <w:uiPriority w:val="9"/>
    <w:qFormat/>
    <w:rPr>
      <w:rFonts w:ascii="Arial" w:hAnsi="Arial" w:eastAsia="Arial" w:cs="Arial"/>
      <w:sz w:val="34"/>
    </w:rPr>
  </w:style>
  <w:style w:type="table" w:styleId="8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paragraph" w:styleId="806" w:customStyle="1">
    <w:name w:val="页眉1"/>
    <w:basedOn w:val="725"/>
    <w:link w:val="924"/>
    <w:uiPriority w:val="0"/>
    <w:qFormat/>
    <w:pPr>
      <w:jc w:val="center"/>
      <w:tabs>
        <w:tab w:val="center" w:pos="4153" w:leader="none"/>
        <w:tab w:val="right" w:pos="8306" w:leader="none"/>
      </w:tabs>
      <w:pBdr>
        <w:bottom w:val="single" w:color="000000" w:sz="6" w:space="1"/>
      </w:pBdr>
    </w:pPr>
    <w:rPr>
      <w:sz w:val="18"/>
      <w:szCs w:val="18"/>
    </w:rPr>
  </w:style>
  <w:style w:type="paragraph" w:styleId="807" w:customStyle="1">
    <w:name w:val="正文文本缩进 21"/>
    <w:basedOn w:val="725"/>
    <w:uiPriority w:val="0"/>
    <w:qFormat/>
    <w:pPr>
      <w:ind w:left="420"/>
      <w:spacing w:after="120" w:line="480" w:lineRule="auto"/>
    </w:pPr>
  </w:style>
  <w:style w:type="table" w:styleId="8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810" w:customStyle="1">
    <w:name w:val="文本块1"/>
    <w:basedOn w:val="725"/>
    <w:uiPriority w:val="0"/>
    <w:qFormat/>
    <w:pPr>
      <w:ind w:left="420" w:right="33"/>
      <w:jc w:val="left"/>
    </w:pPr>
    <w:rPr>
      <w:sz w:val="24"/>
      <w:szCs w:val="20"/>
    </w:rPr>
  </w:style>
  <w:style w:type="character" w:styleId="811" w:customStyle="1">
    <w:name w:val="font21"/>
    <w:basedOn w:val="792"/>
    <w:uiPriority w:val="0"/>
    <w:qFormat/>
    <w:rPr>
      <w:sz w:val="21"/>
      <w:szCs w:val="24"/>
      <w:lang w:val="en-US" w:eastAsia="zh-CN" w:bidi="ar-SA"/>
    </w:rPr>
  </w:style>
  <w:style w:type="table" w:styleId="81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character" w:styleId="814" w:customStyle="1">
    <w:name w:val="标题 6 字符"/>
    <w:link w:val="731"/>
    <w:uiPriority w:val="9"/>
    <w:qFormat/>
    <w:rPr>
      <w:rFonts w:ascii="Arial" w:hAnsi="Arial" w:eastAsia="Arial" w:cs="Arial"/>
      <w:b/>
      <w:bCs/>
      <w:sz w:val="22"/>
      <w:szCs w:val="22"/>
    </w:rPr>
  </w:style>
  <w:style w:type="paragraph" w:styleId="815"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table" w:styleId="8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paragraph" w:styleId="820" w:customStyle="1">
    <w:name w:val="正文文本缩进 31"/>
    <w:basedOn w:val="725"/>
    <w:uiPriority w:val="99"/>
    <w:qFormat/>
    <w:pPr>
      <w:ind w:firstLine="420"/>
    </w:pPr>
    <w:rPr>
      <w:rFonts w:eastAsia="楷体_GB2312"/>
    </w:rPr>
  </w:style>
  <w:style w:type="character" w:styleId="821" w:customStyle="1">
    <w:name w:val="要点1"/>
    <w:uiPriority w:val="0"/>
    <w:qFormat/>
  </w:style>
  <w:style w:type="character" w:styleId="822" w:customStyle="1">
    <w:name w:val="Plain Text Char"/>
    <w:uiPriority w:val="0"/>
    <w:qFormat/>
    <w:rPr>
      <w:rFonts w:ascii="宋体" w:hAnsi="Courier New" w:eastAsia="宋体"/>
      <w:sz w:val="21"/>
      <w:lang w:val="en-US" w:eastAsia="zh-CN" w:bidi="ar-SA"/>
    </w:rPr>
  </w:style>
  <w:style w:type="paragraph" w:styleId="823">
    <w:name w:val="No Spacing"/>
    <w:uiPriority w:val="1"/>
    <w:qFormat/>
    <w:rPr>
      <w:rFonts w:ascii="Times New Roman" w:hAnsi="Times New Roman" w:eastAsia="宋体" w:cs="Times New Roman"/>
      <w:sz w:val="21"/>
      <w:szCs w:val="22"/>
      <w:lang w:val="en-US" w:eastAsia="zh-CN" w:bidi="ar-SA"/>
    </w:rPr>
  </w:style>
  <w:style w:type="table" w:styleId="8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character" w:styleId="826" w:customStyle="1">
    <w:name w:val="批注框文本 Char"/>
    <w:link w:val="827"/>
    <w:uiPriority w:val="0"/>
    <w:qFormat/>
    <w:rPr>
      <w:sz w:val="18"/>
      <w:szCs w:val="18"/>
    </w:rPr>
  </w:style>
  <w:style w:type="paragraph" w:styleId="827" w:customStyle="1">
    <w:name w:val="批注框文本1"/>
    <w:basedOn w:val="725"/>
    <w:link w:val="826"/>
    <w:uiPriority w:val="0"/>
    <w:qFormat/>
    <w:rPr>
      <w:sz w:val="18"/>
      <w:szCs w:val="18"/>
    </w:rPr>
  </w:style>
  <w:style w:type="character" w:styleId="828" w:customStyle="1">
    <w:name w:val="Font Style28"/>
    <w:uiPriority w:val="0"/>
    <w:qFormat/>
    <w:rPr>
      <w:rFonts w:ascii="Constantia" w:hAnsi="Constantia" w:cs="Constantia"/>
      <w:sz w:val="28"/>
      <w:szCs w:val="28"/>
    </w:rPr>
  </w:style>
  <w:style w:type="paragraph" w:styleId="829" w:customStyle="1">
    <w:name w:val="目录 31"/>
    <w:basedOn w:val="725"/>
    <w:next w:val="725"/>
    <w:uiPriority w:val="0"/>
    <w:semiHidden/>
    <w:qFormat/>
    <w:pPr>
      <w:ind w:left="840"/>
      <w:spacing w:line="300" w:lineRule="auto"/>
      <w:tabs>
        <w:tab w:val="right" w:pos="9344" w:leader="dot"/>
      </w:tabs>
    </w:pPr>
    <w:rPr>
      <w:rFonts w:ascii="Arial" w:hAnsi="Arial" w:cs="Arial"/>
      <w:szCs w:val="21"/>
    </w:rPr>
  </w:style>
  <w:style w:type="table" w:styleId="83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character" w:styleId="831" w:customStyle="1">
    <w:name w:val="标题 7 字符"/>
    <w:link w:val="732"/>
    <w:uiPriority w:val="9"/>
    <w:qFormat/>
    <w:rPr>
      <w:rFonts w:ascii="Arial" w:hAnsi="Arial" w:eastAsia="Arial" w:cs="Arial"/>
      <w:b/>
      <w:bCs/>
      <w:i/>
      <w:iCs/>
      <w:sz w:val="22"/>
      <w:szCs w:val="22"/>
    </w:rPr>
  </w:style>
  <w:style w:type="paragraph" w:styleId="832" w:customStyle="1">
    <w:name w:val="Char Char Char1 Char Char Char Char"/>
    <w:basedOn w:val="725"/>
    <w:uiPriority w:val="0"/>
    <w:qFormat/>
    <w:pPr>
      <w:jc w:val="left"/>
      <w:spacing w:after="160" w:line="240" w:lineRule="exact"/>
      <w:widowControl/>
    </w:pPr>
    <w:rPr>
      <w:rFonts w:ascii="宋体" w:hAnsi="宋体"/>
      <w:b/>
      <w:sz w:val="28"/>
      <w:szCs w:val="28"/>
    </w:rPr>
  </w:style>
  <w:style w:type="table" w:styleId="8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34" w:customStyle="1">
    <w:name w:val="正文文本 2 Char"/>
    <w:link w:val="835"/>
    <w:uiPriority w:val="0"/>
    <w:qFormat/>
    <w:rPr>
      <w:rFonts w:ascii="楷体_GB2312" w:eastAsia="楷体_GB2312"/>
      <w:sz w:val="28"/>
      <w:szCs w:val="24"/>
    </w:rPr>
  </w:style>
  <w:style w:type="paragraph" w:styleId="835" w:customStyle="1">
    <w:name w:val="正文文本 211"/>
    <w:basedOn w:val="725"/>
    <w:link w:val="834"/>
    <w:uiPriority w:val="0"/>
    <w:qFormat/>
    <w:pPr>
      <w:spacing w:line="440" w:lineRule="exact"/>
    </w:pPr>
    <w:rPr>
      <w:rFonts w:ascii="楷体_GB2312" w:eastAsia="楷体_GB2312"/>
      <w:sz w:val="28"/>
    </w:rPr>
  </w:style>
  <w:style w:type="paragraph" w:styleId="836" w:customStyle="1">
    <w:name w:val="默认段落字体 Para Char Char Char Char Char Char Char Char Char1 Char Char Char Char Char Char Char"/>
    <w:basedOn w:val="837"/>
    <w:uiPriority w:val="0"/>
    <w:qFormat/>
    <w:rPr>
      <w:rFonts w:ascii="Tahoma" w:hAnsi="Tahoma"/>
      <w:sz w:val="24"/>
    </w:rPr>
  </w:style>
  <w:style w:type="paragraph" w:styleId="837" w:customStyle="1">
    <w:name w:val="文档结构图1"/>
    <w:basedOn w:val="725"/>
    <w:uiPriority w:val="0"/>
    <w:semiHidden/>
    <w:qFormat/>
    <w:pPr>
      <w:shd w:val="clear" w:color="auto" w:fill="000080"/>
    </w:pPr>
  </w:style>
  <w:style w:type="table" w:styleId="83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839" w:customStyle="1">
    <w:name w:val="首行缩进"/>
    <w:basedOn w:val="725"/>
    <w:uiPriority w:val="0"/>
    <w:qFormat/>
    <w:pPr>
      <w:ind w:firstLine="420"/>
      <w:spacing w:line="360" w:lineRule="auto"/>
    </w:pPr>
    <w:rPr>
      <w:sz w:val="20"/>
    </w:rPr>
  </w:style>
  <w:style w:type="table" w:styleId="8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character" w:styleId="841" w:customStyle="1">
    <w:name w:val="默认段落字体11"/>
    <w:uiPriority w:val="0"/>
    <w:semiHidden/>
    <w:qFormat/>
  </w:style>
  <w:style w:type="table" w:styleId="8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843" w:customStyle="1">
    <w:name w:val="Char"/>
    <w:basedOn w:val="725"/>
    <w:uiPriority w:val="0"/>
    <w:qFormat/>
    <w:pPr>
      <w:tabs>
        <w:tab w:val="left" w:pos="360" w:leader="none"/>
      </w:tabs>
    </w:pPr>
    <w:rPr>
      <w:sz w:val="24"/>
    </w:rPr>
  </w:style>
  <w:style w:type="table" w:styleId="8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45" w:customStyle="1">
    <w:name w:val="批注引用1"/>
    <w:uiPriority w:val="0"/>
    <w:qFormat/>
    <w:rPr>
      <w:sz w:val="21"/>
      <w:szCs w:val="21"/>
    </w:rPr>
  </w:style>
  <w:style w:type="table" w:styleId="84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character" w:styleId="847" w:customStyle="1">
    <w:name w:val="页码1"/>
    <w:uiPriority w:val="0"/>
    <w:qFormat/>
  </w:style>
  <w:style w:type="table" w:styleId="84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character" w:styleId="849" w:customStyle="1">
    <w:name w:val="a_p_21"/>
    <w:basedOn w:val="735"/>
    <w:uiPriority w:val="0"/>
    <w:qFormat/>
    <w:rPr>
      <w:sz w:val="27"/>
      <w:szCs w:val="27"/>
    </w:rPr>
  </w:style>
  <w:style w:type="character" w:styleId="850" w:customStyle="1">
    <w:name w:val="页脚 Char"/>
    <w:link w:val="851"/>
    <w:uiPriority w:val="0"/>
    <w:qFormat/>
    <w:rPr>
      <w:sz w:val="18"/>
      <w:szCs w:val="18"/>
    </w:rPr>
  </w:style>
  <w:style w:type="paragraph" w:styleId="851" w:customStyle="1">
    <w:name w:val="页脚1"/>
    <w:basedOn w:val="725"/>
    <w:link w:val="850"/>
    <w:uiPriority w:val="0"/>
    <w:qFormat/>
    <w:pPr>
      <w:jc w:val="left"/>
      <w:tabs>
        <w:tab w:val="center" w:pos="4153" w:leader="none"/>
        <w:tab w:val="right" w:pos="8306" w:leader="none"/>
      </w:tabs>
    </w:pPr>
    <w:rPr>
      <w:sz w:val="18"/>
      <w:szCs w:val="18"/>
    </w:rPr>
  </w:style>
  <w:style w:type="character" w:styleId="852" w:customStyle="1">
    <w:name w:val="标题 3 字符"/>
    <w:link w:val="728"/>
    <w:uiPriority w:val="9"/>
    <w:qFormat/>
    <w:rPr>
      <w:rFonts w:ascii="Arial" w:hAnsi="Arial" w:eastAsia="Arial" w:cs="Arial"/>
      <w:sz w:val="30"/>
      <w:szCs w:val="30"/>
    </w:rPr>
  </w:style>
  <w:style w:type="table" w:styleId="85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855" w:customStyle="1">
    <w:name w:val="标题1"/>
    <w:basedOn w:val="856"/>
    <w:next w:val="725"/>
    <w:uiPriority w:val="0"/>
    <w:qFormat/>
    <w:pPr>
      <w:ind w:left="432" w:firstLine="288"/>
      <w:jc w:val="left"/>
      <w:spacing w:line="578" w:lineRule="atLeast"/>
    </w:pPr>
  </w:style>
  <w:style w:type="paragraph" w:styleId="856" w:customStyle="1">
    <w:name w:val="标题 11"/>
    <w:basedOn w:val="725"/>
    <w:next w:val="725"/>
    <w:uiPriority w:val="9"/>
    <w:qFormat/>
    <w:pPr>
      <w:keepLines/>
      <w:keepNext/>
      <w:spacing w:before="340" w:after="330" w:line="578" w:lineRule="auto"/>
      <w:outlineLvl w:val="0"/>
    </w:pPr>
    <w:rPr>
      <w:b/>
      <w:bCs/>
      <w:sz w:val="44"/>
      <w:szCs w:val="44"/>
    </w:rPr>
  </w:style>
  <w:style w:type="character" w:styleId="857" w:customStyle="1">
    <w:name w:val="引用 字符"/>
    <w:link w:val="858"/>
    <w:uiPriority w:val="29"/>
    <w:qFormat/>
    <w:rPr>
      <w:i/>
    </w:rPr>
  </w:style>
  <w:style w:type="paragraph" w:styleId="858">
    <w:name w:val="Quote"/>
    <w:basedOn w:val="725"/>
    <w:next w:val="725"/>
    <w:link w:val="857"/>
    <w:uiPriority w:val="29"/>
    <w:qFormat/>
    <w:pPr>
      <w:ind w:left="720" w:right="720"/>
    </w:pPr>
    <w:rPr>
      <w:i/>
    </w:rPr>
  </w:style>
  <w:style w:type="table" w:styleId="8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character" w:styleId="863" w:customStyle="1">
    <w:name w:val="Font Style37"/>
    <w:uiPriority w:val="0"/>
    <w:qFormat/>
    <w:rPr>
      <w:rFonts w:ascii="Arial" w:hAnsi="Arial" w:cs="Arial"/>
      <w:sz w:val="16"/>
      <w:szCs w:val="16"/>
    </w:rPr>
  </w:style>
  <w:style w:type="paragraph" w:styleId="864" w:customStyle="1">
    <w:name w:val="标题 41"/>
    <w:basedOn w:val="725"/>
    <w:next w:val="725"/>
    <w:link w:val="930"/>
    <w:uiPriority w:val="9"/>
    <w:qFormat/>
    <w:pPr>
      <w:keepLines/>
      <w:keepNext/>
      <w:spacing w:before="280" w:after="290" w:line="376" w:lineRule="auto"/>
      <w:outlineLvl w:val="3"/>
    </w:pPr>
    <w:rPr>
      <w:rFonts w:ascii="Cambria" w:hAnsi="Cambria"/>
      <w:b/>
      <w:bCs/>
      <w:sz w:val="28"/>
      <w:szCs w:val="28"/>
    </w:rPr>
  </w:style>
  <w:style w:type="character" w:styleId="865" w:customStyle="1">
    <w:name w:val="页眉 字符"/>
    <w:link w:val="751"/>
    <w:uiPriority w:val="99"/>
    <w:qFormat/>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character" w:styleId="867" w:customStyle="1">
    <w:name w:val="HTML 样本1"/>
    <w:uiPriority w:val="0"/>
    <w:qFormat/>
    <w:rPr>
      <w:rFonts w:ascii="monospace" w:hAnsi="monospace" w:eastAsia="monospace" w:cs="monospace"/>
    </w:rPr>
  </w:style>
  <w:style w:type="table" w:styleId="86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paragraph" w:styleId="871" w:customStyle="1">
    <w:name w:val="TOC 标题1"/>
    <w:uiPriority w:val="39"/>
    <w:unhideWhenUsed/>
    <w:qFormat/>
    <w:rPr>
      <w:rFonts w:ascii="Times New Roman" w:hAnsi="Times New Roman" w:eastAsia="宋体" w:cs="Times New Roman"/>
      <w:sz w:val="21"/>
      <w:szCs w:val="22"/>
      <w:lang w:val="en-US" w:eastAsia="zh-CN" w:bidi="ar-SA"/>
    </w:rPr>
  </w:style>
  <w:style w:type="table" w:styleId="8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character" w:styleId="874" w:customStyle="1">
    <w:name w:val="Font Style29"/>
    <w:uiPriority w:val="0"/>
    <w:qFormat/>
    <w:rPr>
      <w:rFonts w:ascii="Arial" w:hAnsi="Arial" w:cs="Arial"/>
      <w:sz w:val="14"/>
      <w:szCs w:val="14"/>
    </w:rPr>
  </w:style>
  <w:style w:type="table" w:styleId="87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character" w:styleId="877" w:customStyle="1">
    <w:name w:val="HTML 缩写1"/>
    <w:uiPriority w:val="0"/>
    <w:qFormat/>
  </w:style>
  <w:style w:type="table" w:styleId="87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paragraph" w:styleId="881" w:customStyle="1">
    <w:name w:val="正文缩进1"/>
    <w:basedOn w:val="725"/>
    <w:link w:val="933"/>
    <w:uiPriority w:val="0"/>
    <w:qFormat/>
    <w:pPr>
      <w:ind w:firstLine="420"/>
    </w:pPr>
    <w:rPr>
      <w:szCs w:val="20"/>
    </w:rPr>
  </w:style>
  <w:style w:type="table" w:styleId="88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character" w:styleId="884" w:customStyle="1">
    <w:name w:val="标题 9 字符"/>
    <w:link w:val="734"/>
    <w:uiPriority w:val="9"/>
    <w:qFormat/>
    <w:rPr>
      <w:rFonts w:ascii="Arial" w:hAnsi="Arial" w:eastAsia="Arial" w:cs="Arial"/>
      <w:i/>
      <w:iCs/>
      <w:sz w:val="21"/>
      <w:szCs w:val="21"/>
    </w:rPr>
  </w:style>
  <w:style w:type="table" w:styleId="8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character" w:styleId="886" w:customStyle="1">
    <w:name w:val="a_p_3"/>
    <w:basedOn w:val="735"/>
    <w:uiPriority w:val="0"/>
    <w:qFormat/>
    <w:rPr>
      <w:sz w:val="27"/>
      <w:szCs w:val="27"/>
    </w:rPr>
  </w:style>
  <w:style w:type="character" w:styleId="887" w:customStyle="1">
    <w:name w:val="hour_am"/>
    <w:uiPriority w:val="0"/>
    <w:qFormat/>
  </w:style>
  <w:style w:type="table" w:styleId="88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paragraph" w:styleId="890" w:customStyle="1">
    <w:name w:val="正文文本 21"/>
    <w:basedOn w:val="725"/>
    <w:uiPriority w:val="0"/>
    <w:qFormat/>
    <w:pPr>
      <w:spacing w:line="440" w:lineRule="exact"/>
    </w:pPr>
    <w:rPr>
      <w:rFonts w:ascii="楷体_GB2312" w:eastAsia="楷体_GB2312"/>
      <w:sz w:val="28"/>
      <w:lang w:eastAsia="en-US"/>
    </w:rPr>
  </w:style>
  <w:style w:type="paragraph" w:styleId="891" w:customStyle="1">
    <w:name w:val="Char1"/>
    <w:basedOn w:val="725"/>
    <w:uiPriority w:val="0"/>
    <w:qFormat/>
    <w:pPr>
      <w:ind w:left="840" w:hanging="420"/>
      <w:tabs>
        <w:tab w:val="left" w:pos="840" w:leader="none"/>
      </w:tabs>
    </w:pPr>
    <w:rPr>
      <w:sz w:val="24"/>
    </w:rPr>
  </w:style>
  <w:style w:type="character" w:styleId="892" w:customStyle="1">
    <w:name w:val="标题 2 Char"/>
    <w:uiPriority w:val="0"/>
    <w:qFormat/>
    <w:rPr>
      <w:rFonts w:ascii="Arial" w:hAnsi="Arial" w:eastAsia="黑体"/>
      <w:b/>
      <w:sz w:val="32"/>
      <w:lang w:val="en-US" w:eastAsia="zh-CN"/>
    </w:rPr>
  </w:style>
  <w:style w:type="character" w:styleId="893" w:customStyle="1">
    <w:name w:val="标题 字符"/>
    <w:link w:val="762"/>
    <w:uiPriority w:val="10"/>
    <w:qFormat/>
    <w:rPr>
      <w:sz w:val="48"/>
      <w:szCs w:val="48"/>
    </w:rPr>
  </w:style>
  <w:style w:type="table" w:styleId="89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character" w:styleId="897" w:customStyle="1">
    <w:name w:val="Font Style36"/>
    <w:uiPriority w:val="0"/>
    <w:qFormat/>
    <w:rPr>
      <w:rFonts w:ascii="宋体" w:eastAsia="宋体" w:cs="宋体"/>
      <w:sz w:val="16"/>
      <w:szCs w:val="16"/>
    </w:rPr>
  </w:style>
  <w:style w:type="table" w:styleId="89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character" w:styleId="899" w:customStyle="1">
    <w:name w:val="页脚 字符"/>
    <w:link w:val="749"/>
    <w:uiPriority w:val="99"/>
    <w:qFormat/>
  </w:style>
  <w:style w:type="paragraph" w:styleId="900" w:customStyle="1">
    <w:name w:val="文档正文"/>
    <w:basedOn w:val="725"/>
    <w:uiPriority w:val="0"/>
    <w:qFormat/>
    <w:pPr>
      <w:ind w:firstLine="567"/>
      <w:spacing w:line="480" w:lineRule="atLeast"/>
    </w:pPr>
    <w:rPr>
      <w:rFonts w:ascii="仿宋_GB2312"/>
      <w:szCs w:val="20"/>
    </w:rPr>
  </w:style>
  <w:style w:type="table" w:styleId="90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character" w:styleId="902" w:customStyle="1">
    <w:name w:val="HTML 键盘1"/>
    <w:uiPriority w:val="0"/>
    <w:qFormat/>
    <w:rPr>
      <w:rFonts w:ascii="monospace" w:hAnsi="monospace" w:eastAsia="monospace" w:cs="monospace"/>
      <w:sz w:val="20"/>
    </w:rPr>
  </w:style>
  <w:style w:type="table" w:styleId="90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paragraph" w:styleId="904" w:customStyle="1">
    <w:name w:val="题注1"/>
    <w:basedOn w:val="725"/>
    <w:next w:val="725"/>
    <w:uiPriority w:val="35"/>
    <w:qFormat/>
    <w:pPr>
      <w:jc w:val="center"/>
      <w:spacing w:before="156" w:after="156" w:line="360" w:lineRule="auto"/>
    </w:pPr>
    <w:rPr>
      <w:rFonts w:ascii="Arial" w:hAnsi="Arial" w:cs="Arial"/>
      <w:sz w:val="24"/>
      <w:szCs w:val="20"/>
    </w:rPr>
  </w:style>
  <w:style w:type="paragraph" w:styleId="905" w:customStyle="1">
    <w:name w:val="Style10"/>
    <w:basedOn w:val="725"/>
    <w:uiPriority w:val="0"/>
    <w:qFormat/>
    <w:pPr>
      <w:jc w:val="left"/>
    </w:pPr>
    <w:rPr>
      <w:rFonts w:ascii="宋体"/>
      <w:sz w:val="24"/>
    </w:rPr>
  </w:style>
  <w:style w:type="table" w:styleId="90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character" w:styleId="907" w:customStyle="1">
    <w:name w:val="标题 5 字符"/>
    <w:link w:val="730"/>
    <w:uiPriority w:val="9"/>
    <w:qFormat/>
    <w:rPr>
      <w:rFonts w:ascii="Arial" w:hAnsi="Arial" w:eastAsia="Arial" w:cs="Arial"/>
      <w:b/>
      <w:bCs/>
      <w:sz w:val="24"/>
      <w:szCs w:val="24"/>
    </w:rPr>
  </w:style>
  <w:style w:type="paragraph" w:styleId="908" w:customStyle="1">
    <w:name w:val="Char Char Char Char Char Char Char Char Char Char Char Char Char"/>
    <w:basedOn w:val="725"/>
    <w:uiPriority w:val="0"/>
    <w:qFormat/>
    <w:pPr>
      <w:jc w:val="left"/>
      <w:spacing w:after="160" w:line="240" w:lineRule="exact"/>
      <w:widowControl/>
    </w:pPr>
    <w:rPr>
      <w:rFonts w:ascii="Verdana" w:hAnsi="Verdana"/>
      <w:sz w:val="20"/>
      <w:szCs w:val="20"/>
      <w:lang w:eastAsia="en-US"/>
    </w:rPr>
  </w:style>
  <w:style w:type="table" w:styleId="9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910" w:customStyle="1">
    <w:name w:val="尾注文本 字符"/>
    <w:link w:val="748"/>
    <w:uiPriority w:val="99"/>
    <w:qFormat/>
    <w:rPr>
      <w:sz w:val="20"/>
    </w:rPr>
  </w:style>
  <w:style w:type="table" w:styleId="9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913" w:customStyle="1">
    <w:name w:val="正文首行缩进 21"/>
    <w:basedOn w:val="914"/>
    <w:uiPriority w:val="0"/>
    <w:qFormat/>
    <w:pPr>
      <w:ind w:left="420" w:firstLine="420"/>
      <w:spacing w:after="120"/>
      <w:widowControl/>
    </w:pPr>
    <w:rPr>
      <w:rFonts w:ascii="仿宋_GB2312" w:eastAsia="仿宋_GB2312"/>
      <w:color w:val="ff6600"/>
      <w:sz w:val="21"/>
    </w:rPr>
  </w:style>
  <w:style w:type="paragraph" w:styleId="914" w:customStyle="1">
    <w:name w:val="正文文本缩进1"/>
    <w:basedOn w:val="725"/>
    <w:uiPriority w:val="0"/>
    <w:qFormat/>
    <w:pPr>
      <w:ind w:firstLine="630"/>
    </w:pPr>
    <w:rPr>
      <w:rFonts w:ascii="楷体_GB2312" w:eastAsia="楷体_GB2312"/>
      <w:sz w:val="32"/>
      <w:szCs w:val="20"/>
    </w:r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paragraph" w:styleId="916" w:customStyle="1">
    <w:name w:val="正文（无缩进）"/>
    <w:basedOn w:val="725"/>
    <w:uiPriority w:val="0"/>
    <w:qFormat/>
    <w:pPr>
      <w:spacing w:line="360" w:lineRule="auto"/>
    </w:pPr>
    <w:rPr>
      <w:rFonts w:ascii="Calibri" w:hAnsi="Calibri"/>
      <w:sz w:val="24"/>
      <w:szCs w:val="21"/>
    </w:rPr>
  </w:style>
  <w:style w:type="paragraph" w:styleId="917" w:customStyle="1">
    <w:name w:val="修订1"/>
    <w:uiPriority w:val="99"/>
    <w:semiHidden/>
    <w:qFormat/>
    <w:rPr>
      <w:rFonts w:ascii="Times New Roman" w:hAnsi="Times New Roman" w:eastAsia="宋体" w:cs="Times New Roman"/>
      <w:sz w:val="21"/>
      <w:szCs w:val="24"/>
      <w:lang w:val="en-US" w:eastAsia="zh-CN" w:bidi="ar-SA"/>
    </w:rPr>
  </w:style>
  <w:style w:type="paragraph" w:styleId="918" w:customStyle="1">
    <w:name w:val="Char Char1 Char Char Char Char Char Char"/>
    <w:basedOn w:val="725"/>
    <w:uiPriority w:val="0"/>
    <w:qFormat/>
    <w:pPr>
      <w:jc w:val="center"/>
      <w:widowControl/>
    </w:pPr>
    <w:rPr>
      <w:rFonts w:ascii="宋体" w:hAnsi="宋体"/>
      <w:b/>
      <w:sz w:val="24"/>
      <w:lang w:eastAsia="en-US"/>
    </w:rPr>
  </w:style>
  <w:style w:type="table" w:styleId="91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paragraph" w:styleId="921" w:customStyle="1">
    <w:name w:val="正文文本1"/>
    <w:basedOn w:val="725"/>
    <w:next w:val="72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table" w:styleId="9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character" w:styleId="924" w:customStyle="1">
    <w:name w:val="页眉 Char"/>
    <w:link w:val="806"/>
    <w:uiPriority w:val="0"/>
    <w:qFormat/>
    <w:rPr>
      <w:sz w:val="18"/>
      <w:szCs w:val="18"/>
    </w:rPr>
  </w:style>
  <w:style w:type="table" w:styleId="92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character" w:styleId="930" w:customStyle="1">
    <w:name w:val="标题 4 Char"/>
    <w:link w:val="864"/>
    <w:uiPriority w:val="9"/>
    <w:qFormat/>
    <w:rPr>
      <w:rFonts w:ascii="Cambria" w:hAnsi="Cambria"/>
      <w:b/>
      <w:bCs/>
      <w:sz w:val="28"/>
      <w:szCs w:val="28"/>
    </w:rPr>
  </w:style>
  <w:style w:type="table" w:styleId="931"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table" w:styleId="9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character" w:styleId="933" w:customStyle="1">
    <w:name w:val="正文缩进 Char"/>
    <w:link w:val="881"/>
    <w:uiPriority w:val="0"/>
    <w:qFormat/>
    <w:rPr>
      <w:sz w:val="21"/>
    </w:rPr>
  </w:style>
  <w:style w:type="table" w:styleId="9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character" w:styleId="936" w:customStyle="1">
    <w:name w:val="HTML 打字机1"/>
    <w:uiPriority w:val="0"/>
    <w:qFormat/>
    <w:rPr>
      <w:rFonts w:ascii="monospace" w:hAnsi="monospace" w:eastAsia="monospace" w:cs="monospace"/>
      <w:sz w:val="20"/>
    </w:rPr>
  </w:style>
  <w:style w:type="character" w:styleId="937" w:customStyle="1">
    <w:name w:val="ul_li_a_1"/>
    <w:basedOn w:val="735"/>
    <w:uiPriority w:val="0"/>
    <w:qFormat/>
    <w:rPr>
      <w:b/>
      <w:bCs/>
      <w:color w:val="ffffff"/>
    </w:rPr>
  </w:style>
  <w:style w:type="table" w:styleId="93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character" w:styleId="942" w:customStyle="1">
    <w:name w:val="Footer Char"/>
    <w:uiPriority w:val="99"/>
    <w:qFormat/>
  </w:style>
  <w:style w:type="table" w:styleId="9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character" w:styleId="944" w:customStyle="1">
    <w:name w:val="脚注文本 字符"/>
    <w:link w:val="755"/>
    <w:uiPriority w:val="99"/>
    <w:qFormat/>
    <w:rPr>
      <w:sz w:val="18"/>
    </w:rPr>
  </w:style>
  <w:style w:type="paragraph" w:styleId="945" w:customStyle="1">
    <w:name w:val="批注文字1"/>
    <w:basedOn w:val="725"/>
    <w:link w:val="1023"/>
    <w:uiPriority w:val="99"/>
    <w:unhideWhenUsed/>
    <w:qFormat/>
    <w:pPr>
      <w:jc w:val="left"/>
    </w:pPr>
  </w:style>
  <w:style w:type="table" w:styleId="9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paragraph" w:styleId="948" w:customStyle="1">
    <w:name w:val="标题 31"/>
    <w:basedOn w:val="725"/>
    <w:next w:val="725"/>
    <w:uiPriority w:val="9"/>
    <w:qFormat/>
    <w:pPr>
      <w:keepLines/>
      <w:keepNext/>
      <w:spacing w:before="260" w:after="260" w:line="413" w:lineRule="auto"/>
      <w:outlineLvl w:val="2"/>
    </w:pPr>
    <w:rPr>
      <w:rFonts w:ascii="Arial" w:hAnsi="Arial"/>
      <w:b/>
      <w:sz w:val="32"/>
      <w:szCs w:val="20"/>
    </w:rPr>
  </w:style>
  <w:style w:type="character" w:styleId="949" w:customStyle="1">
    <w:name w:val="hover"/>
    <w:uiPriority w:val="0"/>
    <w:qFormat/>
    <w:rPr>
      <w:shd w:val="clear" w:color="auto" w:fill="eeeeee"/>
    </w:rPr>
  </w:style>
  <w:style w:type="table" w:styleId="9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paragraph" w:styleId="955" w:customStyle="1">
    <w:name w:val="_Style 56"/>
    <w:basedOn w:val="837"/>
    <w:uiPriority w:val="0"/>
    <w:qFormat/>
    <w:pPr>
      <w:spacing w:line="436" w:lineRule="exact"/>
    </w:pPr>
    <w:rPr>
      <w:szCs w:val="20"/>
    </w:rPr>
  </w:style>
  <w:style w:type="character" w:styleId="956" w:customStyle="1">
    <w:name w:val="明显引用 字符"/>
    <w:link w:val="957"/>
    <w:uiPriority w:val="30"/>
    <w:qFormat/>
    <w:rPr>
      <w:i/>
    </w:rPr>
  </w:style>
  <w:style w:type="paragraph" w:styleId="957">
    <w:name w:val="Intense Quote"/>
    <w:basedOn w:val="725"/>
    <w:next w:val="725"/>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8" w:customStyle="1">
    <w:name w:val="我的样式"/>
    <w:basedOn w:val="856"/>
    <w:next w:val="725"/>
    <w:uiPriority w:val="0"/>
    <w:qFormat/>
    <w:pPr>
      <w:numPr>
        <w:ilvl w:val="0"/>
        <w:numId w:val="2"/>
      </w:numPr>
      <w:spacing w:line="360" w:lineRule="auto"/>
    </w:pPr>
    <w:rPr>
      <w:rFonts w:ascii="仿宋_GB2312" w:eastAsia="仿宋_GB2312"/>
      <w:sz w:val="32"/>
      <w:szCs w:val="30"/>
    </w:rPr>
  </w:style>
  <w:style w:type="paragraph" w:styleId="959">
    <w:name w:val="List Paragraph"/>
    <w:basedOn w:val="725"/>
    <w:uiPriority w:val="34"/>
    <w:qFormat/>
    <w:pPr>
      <w:contextualSpacing/>
      <w:ind w:left="720"/>
    </w:pPr>
  </w:style>
  <w:style w:type="table" w:styleId="9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character" w:styleId="963" w:customStyle="1">
    <w:name w:val="a_p_1"/>
    <w:basedOn w:val="735"/>
    <w:uiPriority w:val="0"/>
    <w:qFormat/>
    <w:rPr>
      <w:sz w:val="27"/>
      <w:szCs w:val="27"/>
    </w:rPr>
  </w:style>
  <w:style w:type="paragraph" w:styleId="964" w:customStyle="1">
    <w:name w:val="正文（缩进） Char1"/>
    <w:basedOn w:val="725"/>
    <w:uiPriority w:val="0"/>
    <w:qFormat/>
    <w:pPr>
      <w:ind w:firstLine="480"/>
      <w:spacing w:before="156" w:after="156" w:line="360" w:lineRule="auto"/>
    </w:pPr>
    <w:rPr>
      <w:sz w:val="24"/>
    </w:rPr>
  </w:style>
  <w:style w:type="paragraph" w:styleId="965" w:customStyle="1">
    <w:name w:val="Style9"/>
    <w:basedOn w:val="725"/>
    <w:uiPriority w:val="0"/>
    <w:qFormat/>
    <w:pPr>
      <w:jc w:val="left"/>
    </w:pPr>
    <w:rPr>
      <w:rFonts w:ascii="宋体"/>
      <w:sz w:val="24"/>
    </w:rPr>
  </w:style>
  <w:style w:type="paragraph" w:styleId="966" w:customStyle="1">
    <w:name w:val="批注主题1"/>
    <w:basedOn w:val="945"/>
    <w:next w:val="945"/>
    <w:link w:val="976"/>
    <w:uiPriority w:val="0"/>
    <w:qFormat/>
    <w:rPr>
      <w:b/>
      <w:bCs/>
    </w:rPr>
  </w:style>
  <w:style w:type="table" w:styleId="9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968" w:customStyle="1">
    <w:name w:val="Char Char Char Char"/>
    <w:basedOn w:val="837"/>
    <w:uiPriority w:val="0"/>
    <w:qFormat/>
    <w:pPr>
      <w:spacing w:line="360" w:lineRule="auto"/>
    </w:pPr>
    <w:rPr>
      <w:rFonts w:ascii="Tahoma" w:hAnsi="Tahoma"/>
      <w:sz w:val="24"/>
    </w:rPr>
  </w:style>
  <w:style w:type="table" w:styleId="96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character" w:styleId="972" w:customStyle="1">
    <w:name w:val="标题 8 字符"/>
    <w:link w:val="733"/>
    <w:uiPriority w:val="9"/>
    <w:qFormat/>
    <w:rPr>
      <w:rFonts w:ascii="Arial" w:hAnsi="Arial" w:eastAsia="Arial" w:cs="Arial"/>
      <w:i/>
      <w:iCs/>
      <w:sz w:val="22"/>
      <w:szCs w:val="22"/>
    </w:rPr>
  </w:style>
  <w:style w:type="table" w:styleId="9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character" w:styleId="974" w:customStyle="1">
    <w:name w:val="HTML 代码1"/>
    <w:uiPriority w:val="0"/>
    <w:qFormat/>
    <w:rPr>
      <w:rFonts w:ascii="monospace" w:hAnsi="monospace" w:eastAsia="monospace" w:cs="monospace"/>
      <w:sz w:val="20"/>
    </w:rPr>
  </w:style>
  <w:style w:type="character" w:styleId="975" w:customStyle="1">
    <w:name w:val="glyphicon"/>
    <w:uiPriority w:val="0"/>
    <w:qFormat/>
  </w:style>
  <w:style w:type="character" w:styleId="976" w:customStyle="1">
    <w:name w:val="批注主题 Char"/>
    <w:link w:val="966"/>
    <w:uiPriority w:val="0"/>
    <w:qFormat/>
    <w:rPr>
      <w:b/>
      <w:bCs/>
      <w:sz w:val="21"/>
      <w:szCs w:val="24"/>
    </w:rPr>
  </w:style>
  <w:style w:type="character" w:styleId="977" w:customStyle="1">
    <w:name w:val="font41"/>
    <w:basedOn w:val="792"/>
    <w:uiPriority w:val="0"/>
    <w:qFormat/>
    <w:rPr>
      <w:rFonts w:hint="eastAsia" w:ascii="宋体" w:hAnsi="宋体" w:eastAsia="宋体" w:cs="宋体"/>
      <w:b/>
      <w:bCs/>
      <w:color w:val="000000"/>
      <w:sz w:val="21"/>
      <w:szCs w:val="21"/>
      <w:u w:val="none"/>
    </w:rPr>
  </w:style>
  <w:style w:type="paragraph" w:styleId="978" w:customStyle="1">
    <w:name w:val="目录 11"/>
    <w:basedOn w:val="725"/>
    <w:next w:val="725"/>
    <w:uiPriority w:val="0"/>
    <w:semiHidden/>
    <w:qFormat/>
  </w:style>
  <w:style w:type="table" w:styleId="97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character" w:styleId="980" w:customStyle="1">
    <w:name w:val="hour_pm"/>
    <w:uiPriority w:val="0"/>
    <w:qFormat/>
  </w:style>
  <w:style w:type="table" w:styleId="9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character" w:styleId="983" w:customStyle="1">
    <w:name w:val="纯文本 Char"/>
    <w:link w:val="799"/>
    <w:uiPriority w:val="0"/>
    <w:qFormat/>
    <w:rPr>
      <w:rFonts w:ascii="宋体" w:hAnsi="Courier New" w:eastAsia="宋体"/>
      <w:sz w:val="21"/>
      <w:lang w:val="en-US" w:eastAsia="zh-CN" w:bidi="ar-SA"/>
    </w:rPr>
  </w:style>
  <w:style w:type="character" w:styleId="984" w:customStyle="1">
    <w:name w:val="HTML 变量1"/>
    <w:uiPriority w:val="0"/>
    <w:qFormat/>
  </w:style>
  <w:style w:type="character" w:styleId="985" w:customStyle="1">
    <w:name w:val="标题 4 字符"/>
    <w:link w:val="729"/>
    <w:uiPriority w:val="9"/>
    <w:qFormat/>
    <w:rPr>
      <w:rFonts w:ascii="Arial" w:hAnsi="Arial" w:eastAsia="Arial" w:cs="Arial"/>
      <w:b/>
      <w:bCs/>
      <w:sz w:val="26"/>
      <w:szCs w:val="26"/>
    </w:rPr>
  </w:style>
  <w:style w:type="table" w:styleId="9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8" w:customStyle="1">
    <w:name w:val="网格型1"/>
    <w:basedOn w:val="931"/>
    <w:uiPriority w:val="0"/>
    <w:qFormat/>
    <w:tblPr>
      <w:tblCellMar>
        <w:left w:w="0" w:type="dxa"/>
        <w:top w:w="0" w:type="dxa"/>
        <w:right w:w="0" w:type="dxa"/>
        <w:bottom w:w="0" w:type="dxa"/>
      </w:tblCellMar>
    </w:tblPr>
  </w:style>
  <w:style w:type="table" w:styleId="98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paragraph" w:styleId="992" w:customStyle="1">
    <w:name w:val="要点标题"/>
    <w:basedOn w:val="725"/>
    <w:uiPriority w:val="0"/>
    <w:qFormat/>
    <w:pPr>
      <w:numPr>
        <w:ilvl w:val="0"/>
        <w:numId w:val="3"/>
      </w:numPr>
      <w:jc w:val="left"/>
    </w:pPr>
    <w:rPr>
      <w:rFonts w:ascii="宋体" w:hAnsi="宋体"/>
      <w:b/>
      <w:sz w:val="24"/>
    </w:rPr>
  </w:style>
  <w:style w:type="table" w:styleId="9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character" w:styleId="999" w:customStyle="1">
    <w:name w:val="font51"/>
    <w:basedOn w:val="792"/>
    <w:uiPriority w:val="0"/>
    <w:qFormat/>
    <w:rPr>
      <w:rFonts w:hint="eastAsia" w:ascii="宋体" w:hAnsi="宋体" w:eastAsia="宋体" w:cs="宋体"/>
      <w:b/>
      <w:bCs/>
      <w:color w:val="000000"/>
      <w:sz w:val="20"/>
      <w:szCs w:val="20"/>
      <w:u w:val="none"/>
    </w:rPr>
  </w:style>
  <w:style w:type="table" w:styleId="100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character" w:styleId="1001" w:customStyle="1">
    <w:name w:val="old"/>
    <w:uiPriority w:val="0"/>
    <w:qFormat/>
    <w:rPr>
      <w:color w:val="999999"/>
    </w:rPr>
  </w:style>
  <w:style w:type="table" w:styleId="100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paragraph" w:styleId="1003" w:customStyle="1">
    <w:name w:val="纯文本1"/>
    <w:basedOn w:val="725"/>
    <w:uiPriority w:val="0"/>
    <w:qFormat/>
    <w:rPr>
      <w:rFonts w:ascii="宋体" w:hAnsi="Courier New"/>
      <w:szCs w:val="20"/>
    </w:rPr>
  </w:style>
  <w:style w:type="table" w:styleId="100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character" w:styleId="1005" w:customStyle="1">
    <w:name w:val="exap"/>
    <w:basedOn w:val="735"/>
    <w:uiPriority w:val="0"/>
    <w:qFormat/>
    <w:rPr>
      <w:sz w:val="27"/>
      <w:szCs w:val="27"/>
    </w:rPr>
  </w:style>
  <w:style w:type="character" w:styleId="1006" w:customStyle="1">
    <w:name w:val="强调1"/>
    <w:uiPriority w:val="0"/>
    <w:qFormat/>
  </w:style>
  <w:style w:type="table" w:styleId="100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character" w:styleId="1009" w:customStyle="1">
    <w:name w:val="超链接1"/>
    <w:uiPriority w:val="0"/>
    <w:qFormat/>
    <w:rPr>
      <w:color w:val="0000ff"/>
      <w:u w:val="none"/>
    </w:rPr>
  </w:style>
  <w:style w:type="character" w:styleId="1010" w:customStyle="1">
    <w:name w:val="Font Style30"/>
    <w:uiPriority w:val="0"/>
    <w:qFormat/>
    <w:rPr>
      <w:rFonts w:ascii="宋体" w:eastAsia="宋体" w:cs="宋体"/>
      <w:sz w:val="14"/>
      <w:szCs w:val="14"/>
    </w:rPr>
  </w:style>
  <w:style w:type="table" w:styleId="10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character" w:styleId="1013" w:customStyle="1">
    <w:name w:val="a_p_2"/>
    <w:basedOn w:val="735"/>
    <w:uiPriority w:val="0"/>
    <w:qFormat/>
  </w:style>
  <w:style w:type="character" w:styleId="1014" w:customStyle="1">
    <w:name w:val="标题 1 字符"/>
    <w:link w:val="726"/>
    <w:uiPriority w:val="9"/>
    <w:qFormat/>
    <w:rPr>
      <w:rFonts w:ascii="Arial" w:hAnsi="Arial" w:eastAsia="Arial" w:cs="Arial"/>
      <w:sz w:val="40"/>
      <w:szCs w:val="40"/>
    </w:rPr>
  </w:style>
  <w:style w:type="table" w:styleId="10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table" w:styleId="101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paragraph" w:styleId="1021" w:customStyle="1">
    <w:name w:val="Style12"/>
    <w:basedOn w:val="725"/>
    <w:uiPriority w:val="0"/>
    <w:qFormat/>
    <w:pPr>
      <w:jc w:val="left"/>
    </w:pPr>
    <w:rPr>
      <w:rFonts w:ascii="宋体"/>
      <w:sz w:val="24"/>
    </w:rPr>
  </w:style>
  <w:style w:type="table" w:styleId="102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character" w:styleId="1023" w:customStyle="1">
    <w:name w:val="批注文字 Char"/>
    <w:link w:val="945"/>
    <w:uiPriority w:val="99"/>
    <w:qFormat/>
    <w:rPr>
      <w:sz w:val="21"/>
      <w:szCs w:val="24"/>
    </w:rPr>
  </w:style>
  <w:style w:type="paragraph" w:styleId="1024" w:customStyle="1">
    <w:name w:val="标题 21"/>
    <w:basedOn w:val="725"/>
    <w:next w:val="881"/>
    <w:uiPriority w:val="9"/>
    <w:qFormat/>
    <w:pPr>
      <w:keepLines/>
      <w:keepNext/>
      <w:spacing w:before="260" w:after="260" w:line="413" w:lineRule="auto"/>
      <w:outlineLvl w:val="1"/>
    </w:pPr>
    <w:rPr>
      <w:rFonts w:ascii="Arial" w:hAnsi="Arial" w:eastAsia="黑体"/>
      <w:b/>
      <w:sz w:val="32"/>
      <w:szCs w:val="20"/>
    </w:rPr>
  </w:style>
  <w:style w:type="paragraph" w:styleId="1025" w:customStyle="1">
    <w:name w:val="Char2"/>
    <w:basedOn w:val="725"/>
    <w:uiPriority w:val="0"/>
    <w:qFormat/>
    <w:pPr>
      <w:ind w:left="420" w:hanging="420"/>
      <w:jc w:val="left"/>
      <w:tabs>
        <w:tab w:val="left" w:pos="420" w:leader="none"/>
      </w:tabs>
    </w:pPr>
    <w:rPr>
      <w:szCs w:val="20"/>
    </w:rPr>
  </w:style>
  <w:style w:type="table" w:styleId="10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character" w:styleId="1028" w:customStyle="1">
    <w:name w:val="HTML 引文1"/>
    <w:uiPriority w:val="0"/>
    <w:qFormat/>
  </w:style>
  <w:style w:type="character" w:styleId="1029" w:customStyle="1">
    <w:name w:val="副标题 字符"/>
    <w:link w:val="754"/>
    <w:uiPriority w:val="11"/>
    <w:qFormat/>
    <w:rPr>
      <w:sz w:val="24"/>
      <w:szCs w:val="24"/>
    </w:rPr>
  </w:style>
  <w:style w:type="table" w:styleId="10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031" w:customStyle="1">
    <w:name w:val="Table Text"/>
    <w:basedOn w:val="725"/>
    <w:uiPriority w:val="0"/>
    <w:semiHidden/>
    <w:qFormat/>
    <w:rPr>
      <w:rFonts w:ascii="宋体" w:hAnsi="宋体" w:cs="宋体"/>
      <w:sz w:val="14"/>
      <w:szCs w:val="14"/>
      <w:lang w:eastAsia="en-US"/>
    </w:rPr>
  </w:style>
  <w:style w:type="table" w:styleId="1032" w:customStyle="1">
    <w:name w:val="Table Normal"/>
    <w:uiPriority w:val="0"/>
    <w:unhideWhenUsed/>
    <w:qFormat/>
    <w:tblPr>
      <w:tblCellMar>
        <w:left w:w="0" w:type="dxa"/>
        <w:top w:w="0" w:type="dxa"/>
        <w:right w:w="0" w:type="dxa"/>
        <w:bottom w:w="0" w:type="dxa"/>
      </w:tblCellMar>
    </w:tblPr>
  </w:style>
  <w:style w:type="paragraph" w:styleId="1033" w:customStyle="1">
    <w:name w:val="_Style 13"/>
    <w:uiPriority w:val="0"/>
    <w:qFormat/>
    <w:pPr>
      <w:ind w:left="0"/>
      <w:jc w:val="left"/>
      <w:spacing w:before="120" w:after="120" w:line="288" w:lineRule="auto"/>
    </w:pPr>
    <w:rPr>
      <w:rFonts w:ascii="Arial" w:hAnsi="Arial" w:eastAsia="等线" w:cs="Arial"/>
      <w:sz w:val="22"/>
      <w:szCs w:val="22"/>
    </w:rPr>
  </w:style>
  <w:style w:type="paragraph" w:styleId="1034" w:customStyle="1">
    <w:name w:val="正文文本缩进11"/>
    <w:basedOn w:val="725"/>
    <w:uiPriority w:val="0"/>
    <w:unhideWhenUsed/>
    <w:qFormat/>
    <w:pPr>
      <w:ind w:left="420"/>
      <w:spacing w:after="120"/>
    </w:pPr>
  </w:style>
  <w:style w:type="paragraph" w:styleId="103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36" w:customStyle="1">
    <w:name w:val="列出段落1"/>
    <w:basedOn w:val="725"/>
    <w:uiPriority w:val="0"/>
    <w:qFormat/>
    <w:pPr>
      <w:contextualSpacing/>
      <w:ind w:left="720"/>
      <w:jc w:val="left"/>
      <w:widowControl/>
    </w:pPr>
    <w:rPr>
      <w:rFonts w:ascii="Calibri" w:hAnsi="Calibri"/>
      <w:sz w:val="24"/>
      <w:szCs w:val="24"/>
      <w:lang w:eastAsia="en-US" w:bidi="en-US"/>
    </w:rPr>
  </w:style>
  <w:style w:type="paragraph" w:styleId="1037" w:customStyle="1">
    <w:name w:val="纯文本111"/>
    <w:basedOn w:val="725"/>
    <w:uiPriority w:val="0"/>
    <w:qFormat/>
    <w:rPr>
      <w:rFonts w:ascii="宋体" w:hAnsi="Courier New" w:eastAsia="宋体" w:cs="Courier New"/>
      <w:szCs w:val="21"/>
    </w:rPr>
  </w:style>
  <w:style w:type="paragraph" w:styleId="1038" w:customStyle="1">
    <w:name w:val="页脚11"/>
    <w:basedOn w:val="725"/>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1039" w:customStyle="1">
    <w:name w:val="_Style 14"/>
    <w:uiPriority w:val="0"/>
    <w:qFormat/>
    <w:pPr>
      <w:ind w:left="0"/>
      <w:jc w:val="left"/>
      <w:spacing w:before="120" w:after="120" w:line="288" w:lineRule="auto"/>
    </w:pPr>
    <w:rPr>
      <w:rFonts w:ascii="Arial" w:hAnsi="Arial" w:eastAsia="等线" w:cs="Arial"/>
      <w:color w:val="8f959e"/>
      <w:sz w:val="22"/>
      <w:szCs w:val="22"/>
    </w:rPr>
  </w:style>
  <w:style w:type="paragraph" w:styleId="1040" w:customStyle="1">
    <w:name w:val="列出段落"/>
    <w:basedOn w:val="725"/>
    <w:uiPriority w:val="0"/>
    <w:qFormat/>
    <w:pPr>
      <w:contextualSpacing/>
      <w:ind w:left="720"/>
      <w:jc w:val="left"/>
      <w:widowControl/>
    </w:pPr>
    <w:rPr>
      <w:rFonts w:ascii="Calibri" w:hAnsi="Calibri" w:eastAsia="宋体" w:cs="Times New Roman"/>
      <w:sz w:val="24"/>
      <w:szCs w:val="24"/>
      <w:lang w:eastAsia="en-US" w:bidi="en-US"/>
    </w:rPr>
  </w:style>
  <w:style w:type="numbering" w:styleId="114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淮安分公司（主锁）</cp:lastModifiedBy>
  <cp:revision>7</cp:revision>
  <dcterms:created xsi:type="dcterms:W3CDTF">2025-07-16T09:17:00Z</dcterms:created>
  <dcterms:modified xsi:type="dcterms:W3CDTF">2026-06-11T02:31:49Z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eyJoZGlkIjoiNzZiNDRiZGIwNWNkY2RlMGM0MTkzYzgxZmEwZjViMWMiLCJ1c2VySWQiOiIxOTYwNTgzMjAifQ==</vt:lpwstr>
  </property>
  <property fmtid="{D5CDD505-2E9C-101B-9397-08002B2CF9AE}" pid="3" name="KSOProductBuildVer">
    <vt:lpwstr>2052-12.1.0.26895</vt:lpwstr>
  </property>
  <property fmtid="{D5CDD505-2E9C-101B-9397-08002B2CF9AE}" pid="4" name="ICV">
    <vt:lpwstr>858E451D75094A48BC8A04CA4C2C6DC4_13</vt:lpwstr>
  </property>
</Properties>
</file>